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BE417" w14:textId="15223A74" w:rsidR="007D66D7" w:rsidRPr="000C29EE" w:rsidRDefault="007D66D7" w:rsidP="006C35BA">
      <w:pPr>
        <w:bidi w:val="0"/>
        <w:spacing w:after="200" w:line="276" w:lineRule="auto"/>
        <w:jc w:val="center"/>
        <w:rPr>
          <w:rFonts w:asciiTheme="majorBidi" w:eastAsiaTheme="minorEastAsia" w:hAnsiTheme="majorBidi" w:cstheme="majorBidi"/>
          <w:b/>
          <w:bCs/>
          <w:color w:val="0D0D0D"/>
          <w:kern w:val="0"/>
          <w:sz w:val="40"/>
          <w:szCs w:val="40"/>
          <w14:ligatures w14:val="none"/>
        </w:rPr>
      </w:pPr>
      <w:r w:rsidRPr="000C29EE">
        <w:rPr>
          <w:noProof/>
        </w:rPr>
        <w:drawing>
          <wp:anchor distT="0" distB="0" distL="114300" distR="114300" simplePos="0" relativeHeight="251652096" behindDoc="1" locked="0" layoutInCell="1" allowOverlap="1" wp14:anchorId="125CDAF9" wp14:editId="393C6549">
            <wp:simplePos x="0" y="0"/>
            <wp:positionH relativeFrom="margin">
              <wp:posOffset>3519548</wp:posOffset>
            </wp:positionH>
            <wp:positionV relativeFrom="margin">
              <wp:posOffset>-459843</wp:posOffset>
            </wp:positionV>
            <wp:extent cx="2310765" cy="940435"/>
            <wp:effectExtent l="0" t="0" r="0" b="0"/>
            <wp:wrapSquare wrapText="bothSides"/>
            <wp:docPr id="465835695" name="Picture 1"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35695" name="Picture 1" descr="A black and blue logo&#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0765" cy="940435"/>
                    </a:xfrm>
                    <a:prstGeom prst="rect">
                      <a:avLst/>
                    </a:prstGeom>
                    <a:noFill/>
                  </pic:spPr>
                </pic:pic>
              </a:graphicData>
            </a:graphic>
            <wp14:sizeRelH relativeFrom="page">
              <wp14:pctWidth>0</wp14:pctWidth>
            </wp14:sizeRelH>
            <wp14:sizeRelV relativeFrom="page">
              <wp14:pctHeight>0</wp14:pctHeight>
            </wp14:sizeRelV>
          </wp:anchor>
        </w:drawing>
      </w:r>
    </w:p>
    <w:p w14:paraId="5CD17434" w14:textId="77777777" w:rsidR="0026741E" w:rsidRPr="000C29EE" w:rsidRDefault="0026741E" w:rsidP="0026741E">
      <w:pPr>
        <w:bidi w:val="0"/>
        <w:spacing w:after="200" w:line="276" w:lineRule="auto"/>
        <w:jc w:val="center"/>
        <w:rPr>
          <w:rFonts w:asciiTheme="majorBidi" w:eastAsiaTheme="minorEastAsia" w:hAnsiTheme="majorBidi" w:cstheme="majorBidi"/>
          <w:b/>
          <w:bCs/>
          <w:color w:val="0D0D0D"/>
          <w:kern w:val="0"/>
          <w:sz w:val="40"/>
          <w:szCs w:val="40"/>
          <w14:ligatures w14:val="none"/>
        </w:rPr>
      </w:pPr>
    </w:p>
    <w:p w14:paraId="6A63DD55" w14:textId="77777777" w:rsidR="0026741E" w:rsidRPr="000C29EE" w:rsidRDefault="0026741E" w:rsidP="0026741E">
      <w:pPr>
        <w:bidi w:val="0"/>
        <w:spacing w:after="200" w:line="276" w:lineRule="auto"/>
        <w:jc w:val="center"/>
        <w:rPr>
          <w:rFonts w:asciiTheme="majorBidi" w:eastAsiaTheme="minorEastAsia" w:hAnsiTheme="majorBidi" w:cstheme="majorBidi"/>
          <w:b/>
          <w:bCs/>
          <w:color w:val="0D0D0D"/>
          <w:kern w:val="0"/>
          <w:sz w:val="40"/>
          <w:szCs w:val="40"/>
          <w:rtl/>
          <w:lang w:val="en"/>
          <w14:ligatures w14:val="none"/>
        </w:rPr>
      </w:pPr>
      <w:r w:rsidRPr="000C29EE">
        <w:rPr>
          <w:rFonts w:asciiTheme="majorBidi" w:eastAsiaTheme="minorEastAsia" w:hAnsiTheme="majorBidi" w:cstheme="majorBidi"/>
          <w:b/>
          <w:bCs/>
          <w:color w:val="0D0D0D"/>
          <w:kern w:val="0"/>
          <w:sz w:val="40"/>
          <w:szCs w:val="40"/>
          <w:lang w:val="en"/>
          <w14:ligatures w14:val="none"/>
        </w:rPr>
        <w:t>The Impact of the Functional Relationship Between Account Managers and Sales Teams on Enhancing Risk Management: A Case Study of Al Rajhi Bank in Riyadh,Saudi Arabia</w:t>
      </w:r>
    </w:p>
    <w:p w14:paraId="142EFC0B" w14:textId="77777777" w:rsidR="0026741E" w:rsidRPr="000C29EE" w:rsidRDefault="0026741E" w:rsidP="0026741E">
      <w:pPr>
        <w:bidi w:val="0"/>
        <w:spacing w:after="200" w:line="276" w:lineRule="auto"/>
        <w:jc w:val="center"/>
        <w:rPr>
          <w:rFonts w:asciiTheme="majorBidi" w:eastAsiaTheme="minorEastAsia" w:hAnsiTheme="majorBidi" w:cstheme="majorBidi"/>
          <w:b/>
          <w:bCs/>
          <w:color w:val="0D0D0D"/>
          <w:kern w:val="0"/>
          <w:sz w:val="40"/>
          <w:szCs w:val="40"/>
          <w:rtl/>
          <w:lang w:val="en"/>
          <w14:ligatures w14:val="none"/>
        </w:rPr>
      </w:pPr>
    </w:p>
    <w:p w14:paraId="6987F6A1" w14:textId="77777777" w:rsidR="0026741E" w:rsidRPr="000C29EE" w:rsidRDefault="0026741E" w:rsidP="0026741E">
      <w:pPr>
        <w:bidi w:val="0"/>
        <w:jc w:val="center"/>
        <w:rPr>
          <w:rFonts w:asciiTheme="majorBidi" w:hAnsiTheme="majorBidi" w:cstheme="majorBidi"/>
          <w:sz w:val="28"/>
          <w:szCs w:val="28"/>
          <w:rtl/>
          <w:lang w:bidi="ar-EG"/>
        </w:rPr>
      </w:pPr>
    </w:p>
    <w:p w14:paraId="200D6704" w14:textId="77777777" w:rsidR="0026741E" w:rsidRPr="000C29EE" w:rsidRDefault="0026741E" w:rsidP="0026741E">
      <w:pPr>
        <w:bidi w:val="0"/>
        <w:jc w:val="center"/>
        <w:rPr>
          <w:rFonts w:asciiTheme="majorBidi" w:hAnsiTheme="majorBidi" w:cstheme="majorBidi"/>
          <w:b/>
          <w:bCs/>
          <w:sz w:val="28"/>
          <w:szCs w:val="28"/>
          <w:rtl/>
          <w:lang w:bidi="ar-EG"/>
        </w:rPr>
      </w:pPr>
    </w:p>
    <w:p w14:paraId="3D35C6D7" w14:textId="77777777" w:rsidR="0026741E" w:rsidRPr="000C29EE" w:rsidRDefault="0026741E" w:rsidP="0026741E">
      <w:pPr>
        <w:bidi w:val="0"/>
        <w:ind w:left="125"/>
        <w:jc w:val="center"/>
        <w:rPr>
          <w:rFonts w:asciiTheme="majorBidi" w:hAnsiTheme="majorBidi" w:cstheme="majorBidi"/>
          <w:sz w:val="36"/>
        </w:rPr>
      </w:pPr>
      <w:r w:rsidRPr="000C29EE">
        <w:rPr>
          <w:rFonts w:asciiTheme="majorBidi" w:hAnsiTheme="majorBidi" w:cstheme="majorBidi"/>
          <w:sz w:val="36"/>
        </w:rPr>
        <w:t>Mubarak AlQahtani</w:t>
      </w:r>
    </w:p>
    <w:p w14:paraId="5319FD65" w14:textId="77777777" w:rsidR="0026741E" w:rsidRPr="000C29EE" w:rsidRDefault="0026741E" w:rsidP="0026741E">
      <w:pPr>
        <w:bidi w:val="0"/>
        <w:ind w:left="125"/>
        <w:jc w:val="center"/>
        <w:rPr>
          <w:rFonts w:asciiTheme="majorBidi" w:hAnsiTheme="majorBidi" w:cstheme="majorBidi"/>
          <w:sz w:val="36"/>
          <w:rtl/>
          <w:lang w:bidi="ar-EG"/>
        </w:rPr>
      </w:pPr>
    </w:p>
    <w:p w14:paraId="271AFCFC" w14:textId="77777777" w:rsidR="0026741E" w:rsidRPr="000C29EE" w:rsidRDefault="0026741E" w:rsidP="0026741E">
      <w:pPr>
        <w:bidi w:val="0"/>
        <w:ind w:left="125"/>
        <w:jc w:val="center"/>
        <w:rPr>
          <w:rFonts w:asciiTheme="majorBidi" w:hAnsiTheme="majorBidi" w:cstheme="majorBidi"/>
          <w:sz w:val="36"/>
          <w:rtl/>
          <w:lang w:bidi="ar-EG"/>
        </w:rPr>
      </w:pPr>
    </w:p>
    <w:p w14:paraId="51681B99" w14:textId="77777777" w:rsidR="0026741E" w:rsidRPr="000C29EE" w:rsidRDefault="0026741E" w:rsidP="0026741E">
      <w:pPr>
        <w:bidi w:val="0"/>
        <w:ind w:left="125"/>
        <w:jc w:val="center"/>
        <w:rPr>
          <w:rFonts w:asciiTheme="majorBidi" w:hAnsiTheme="majorBidi" w:cstheme="majorBidi"/>
          <w:sz w:val="36"/>
        </w:rPr>
      </w:pPr>
      <w:r w:rsidRPr="000C29EE">
        <w:rPr>
          <w:rFonts w:asciiTheme="majorBidi" w:hAnsiTheme="majorBidi" w:cstheme="majorBidi"/>
          <w:sz w:val="36"/>
        </w:rPr>
        <w:t>Supervisor</w:t>
      </w:r>
    </w:p>
    <w:p w14:paraId="21F7A46F" w14:textId="77777777" w:rsidR="0026741E" w:rsidRPr="000C29EE" w:rsidRDefault="0026741E" w:rsidP="0026741E">
      <w:pPr>
        <w:bidi w:val="0"/>
        <w:ind w:left="125"/>
        <w:jc w:val="center"/>
        <w:rPr>
          <w:rFonts w:asciiTheme="majorBidi" w:hAnsiTheme="majorBidi" w:cstheme="majorBidi"/>
          <w:sz w:val="36"/>
          <w:rtl/>
        </w:rPr>
      </w:pPr>
      <w:r w:rsidRPr="000C29EE">
        <w:rPr>
          <w:rFonts w:asciiTheme="majorBidi" w:hAnsiTheme="majorBidi" w:cstheme="majorBidi"/>
          <w:sz w:val="36"/>
        </w:rPr>
        <w:t>Dr. Faisal Abdul Hamid</w:t>
      </w:r>
    </w:p>
    <w:p w14:paraId="346C06B9" w14:textId="77777777" w:rsidR="0026741E" w:rsidRPr="000C29EE" w:rsidRDefault="0026741E" w:rsidP="0026741E">
      <w:pPr>
        <w:bidi w:val="0"/>
        <w:ind w:left="125"/>
        <w:jc w:val="center"/>
        <w:rPr>
          <w:rFonts w:asciiTheme="majorBidi" w:hAnsiTheme="majorBidi" w:cstheme="majorBidi"/>
          <w:sz w:val="36"/>
          <w:rtl/>
        </w:rPr>
      </w:pPr>
      <w:r w:rsidRPr="000C29EE">
        <w:rPr>
          <w:rFonts w:asciiTheme="majorBidi" w:hAnsiTheme="majorBidi" w:cstheme="majorBidi"/>
          <w:sz w:val="36"/>
        </w:rPr>
        <w:t>Dr. Fayez Jrad</w:t>
      </w:r>
    </w:p>
    <w:p w14:paraId="2F4ABD3A" w14:textId="77777777" w:rsidR="0026741E" w:rsidRPr="000C29EE" w:rsidRDefault="0026741E" w:rsidP="0026741E">
      <w:pPr>
        <w:bidi w:val="0"/>
        <w:ind w:left="125"/>
        <w:jc w:val="center"/>
        <w:rPr>
          <w:rFonts w:asciiTheme="majorBidi" w:hAnsiTheme="majorBidi" w:cstheme="majorBidi"/>
          <w:sz w:val="36"/>
          <w:rtl/>
        </w:rPr>
      </w:pPr>
    </w:p>
    <w:p w14:paraId="614A21A0" w14:textId="77777777" w:rsidR="0026741E" w:rsidRDefault="0026741E" w:rsidP="0026741E">
      <w:pPr>
        <w:bidi w:val="0"/>
        <w:ind w:left="125"/>
        <w:jc w:val="center"/>
        <w:rPr>
          <w:rFonts w:asciiTheme="majorBidi" w:hAnsiTheme="majorBidi" w:cstheme="majorBidi"/>
          <w:sz w:val="36"/>
          <w:lang w:bidi="ar-EG"/>
        </w:rPr>
      </w:pPr>
    </w:p>
    <w:p w14:paraId="73F8E2DE" w14:textId="77777777" w:rsidR="0026741E" w:rsidRDefault="0026741E" w:rsidP="0026741E">
      <w:pPr>
        <w:bidi w:val="0"/>
        <w:ind w:left="125"/>
        <w:jc w:val="center"/>
        <w:rPr>
          <w:rFonts w:asciiTheme="majorBidi" w:hAnsiTheme="majorBidi" w:cstheme="majorBidi"/>
          <w:sz w:val="36"/>
          <w:lang w:bidi="ar-EG"/>
        </w:rPr>
      </w:pPr>
    </w:p>
    <w:p w14:paraId="2E24667F" w14:textId="77777777" w:rsidR="0026741E" w:rsidRPr="000C29EE" w:rsidRDefault="0026741E" w:rsidP="0026741E">
      <w:pPr>
        <w:bidi w:val="0"/>
        <w:ind w:left="125"/>
        <w:jc w:val="center"/>
        <w:rPr>
          <w:rFonts w:asciiTheme="majorBidi" w:hAnsiTheme="majorBidi" w:cstheme="majorBidi"/>
          <w:sz w:val="36"/>
          <w:rtl/>
          <w:lang w:bidi="ar-EG"/>
        </w:rPr>
      </w:pPr>
    </w:p>
    <w:p w14:paraId="457CD5C0" w14:textId="77777777" w:rsidR="0026741E" w:rsidRPr="000C29EE" w:rsidRDefault="0026741E" w:rsidP="0026741E">
      <w:pPr>
        <w:bidi w:val="0"/>
        <w:ind w:left="125"/>
        <w:jc w:val="center"/>
        <w:rPr>
          <w:rFonts w:asciiTheme="majorBidi" w:hAnsiTheme="majorBidi" w:cstheme="majorBidi"/>
          <w:sz w:val="36"/>
        </w:rPr>
      </w:pPr>
      <w:r w:rsidRPr="000C29EE">
        <w:rPr>
          <w:rFonts w:asciiTheme="majorBidi" w:hAnsiTheme="majorBidi" w:cstheme="majorBidi"/>
          <w:sz w:val="36"/>
        </w:rPr>
        <w:t>Academic year</w:t>
      </w:r>
      <w:r w:rsidRPr="000C29EE">
        <w:rPr>
          <w:rFonts w:asciiTheme="majorBidi" w:hAnsiTheme="majorBidi" w:cstheme="majorBidi"/>
          <w:sz w:val="36"/>
          <w:rtl/>
        </w:rPr>
        <w:t>:</w:t>
      </w:r>
    </w:p>
    <w:p w14:paraId="612108C1" w14:textId="77777777" w:rsidR="0026741E" w:rsidRPr="000C29EE" w:rsidRDefault="0026741E" w:rsidP="0026741E">
      <w:pPr>
        <w:bidi w:val="0"/>
        <w:ind w:left="125"/>
        <w:jc w:val="center"/>
        <w:rPr>
          <w:rFonts w:asciiTheme="majorBidi" w:hAnsiTheme="majorBidi" w:cstheme="majorBidi"/>
          <w:sz w:val="36"/>
          <w:rtl/>
        </w:rPr>
      </w:pPr>
      <w:r w:rsidRPr="000C29EE">
        <w:rPr>
          <w:rFonts w:asciiTheme="majorBidi" w:hAnsiTheme="majorBidi" w:cstheme="majorBidi"/>
          <w:sz w:val="36"/>
          <w:rtl/>
        </w:rPr>
        <w:t>202</w:t>
      </w:r>
      <w:r w:rsidRPr="000C29EE">
        <w:rPr>
          <w:rFonts w:asciiTheme="majorBidi" w:hAnsiTheme="majorBidi" w:cstheme="majorBidi" w:hint="cs"/>
          <w:sz w:val="36"/>
          <w:rtl/>
        </w:rPr>
        <w:t>5</w:t>
      </w:r>
    </w:p>
    <w:p w14:paraId="4B59C46E" w14:textId="77777777" w:rsidR="0026741E" w:rsidRPr="000C29EE" w:rsidRDefault="0026741E" w:rsidP="0026741E">
      <w:pPr>
        <w:bidi w:val="0"/>
        <w:ind w:left="125"/>
        <w:jc w:val="center"/>
        <w:rPr>
          <w:rFonts w:asciiTheme="majorBidi" w:hAnsiTheme="majorBidi" w:cstheme="majorBidi"/>
          <w:sz w:val="36"/>
          <w:rtl/>
        </w:rPr>
      </w:pPr>
    </w:p>
    <w:p w14:paraId="38A4D990" w14:textId="273B2DE0" w:rsidR="0026741E" w:rsidRDefault="0026741E" w:rsidP="0026741E">
      <w:pPr>
        <w:bidi w:val="0"/>
        <w:spacing w:after="200" w:line="276" w:lineRule="auto"/>
        <w:jc w:val="center"/>
        <w:rPr>
          <w:rFonts w:asciiTheme="majorBidi" w:eastAsiaTheme="minorEastAsia" w:hAnsiTheme="majorBidi" w:cstheme="majorBidi"/>
          <w:b/>
          <w:bCs/>
          <w:color w:val="0D0D0D"/>
          <w:kern w:val="0"/>
          <w:sz w:val="40"/>
          <w:szCs w:val="40"/>
          <w14:ligatures w14:val="none"/>
        </w:rPr>
      </w:pPr>
    </w:p>
    <w:p w14:paraId="245BA592" w14:textId="6AEB988B" w:rsidR="0026741E" w:rsidRDefault="0026741E" w:rsidP="0026741E">
      <w:pPr>
        <w:bidi w:val="0"/>
        <w:spacing w:after="200" w:line="276" w:lineRule="auto"/>
        <w:jc w:val="center"/>
        <w:rPr>
          <w:rFonts w:asciiTheme="majorBidi" w:eastAsiaTheme="minorEastAsia" w:hAnsiTheme="majorBidi" w:cstheme="majorBidi"/>
          <w:b/>
          <w:bCs/>
          <w:color w:val="0D0D0D"/>
          <w:kern w:val="0"/>
          <w:sz w:val="40"/>
          <w:szCs w:val="40"/>
          <w14:ligatures w14:val="none"/>
        </w:rPr>
      </w:pPr>
    </w:p>
    <w:p w14:paraId="6FEBE376" w14:textId="478218BB" w:rsidR="0026741E" w:rsidRDefault="0026741E" w:rsidP="0026741E">
      <w:pPr>
        <w:bidi w:val="0"/>
        <w:spacing w:after="200" w:line="276" w:lineRule="auto"/>
        <w:rPr>
          <w:rFonts w:asciiTheme="majorBidi" w:eastAsiaTheme="minorEastAsia" w:hAnsiTheme="majorBidi" w:cstheme="majorBidi"/>
          <w:b/>
          <w:bCs/>
          <w:color w:val="0D0D0D"/>
          <w:kern w:val="0"/>
          <w:sz w:val="40"/>
          <w:szCs w:val="40"/>
          <w14:ligatures w14:val="none"/>
        </w:rPr>
      </w:pPr>
    </w:p>
    <w:p w14:paraId="39CA076B" w14:textId="77777777" w:rsidR="0026741E" w:rsidRDefault="0026741E" w:rsidP="0026741E">
      <w:pPr>
        <w:bidi w:val="0"/>
        <w:spacing w:after="200" w:line="276" w:lineRule="auto"/>
        <w:jc w:val="center"/>
        <w:rPr>
          <w:rFonts w:asciiTheme="majorBidi" w:eastAsiaTheme="minorEastAsia" w:hAnsiTheme="majorBidi" w:cstheme="majorBidi"/>
          <w:b/>
          <w:bCs/>
          <w:color w:val="0D0D0D"/>
          <w:kern w:val="0"/>
          <w:sz w:val="40"/>
          <w:szCs w:val="40"/>
          <w14:ligatures w14:val="none"/>
        </w:rPr>
        <w:sectPr w:rsidR="0026741E" w:rsidSect="0026741E">
          <w:pgSz w:w="11906" w:h="16838"/>
          <w:pgMar w:top="1134" w:right="1701" w:bottom="1134" w:left="1134" w:header="709" w:footer="709" w:gutter="0"/>
          <w:pgNumType w:fmt="lowerRoman"/>
          <w:cols w:space="708"/>
          <w:bidi/>
          <w:rtlGutter/>
          <w:docGrid w:linePitch="360"/>
        </w:sectPr>
      </w:pPr>
    </w:p>
    <w:p w14:paraId="4582AFC0" w14:textId="77777777" w:rsidR="0026741E" w:rsidRPr="000C29EE" w:rsidRDefault="0026741E" w:rsidP="0026741E">
      <w:pPr>
        <w:bidi w:val="0"/>
        <w:spacing w:after="200" w:line="276" w:lineRule="auto"/>
        <w:jc w:val="center"/>
        <w:rPr>
          <w:rFonts w:asciiTheme="majorBidi" w:eastAsiaTheme="minorEastAsia" w:hAnsiTheme="majorBidi" w:cstheme="majorBidi"/>
          <w:b/>
          <w:bCs/>
          <w:color w:val="0D0D0D"/>
          <w:kern w:val="0"/>
          <w:sz w:val="40"/>
          <w:szCs w:val="40"/>
          <w14:ligatures w14:val="none"/>
        </w:rPr>
      </w:pPr>
    </w:p>
    <w:p w14:paraId="1AA4343F" w14:textId="7F06F38D" w:rsidR="009125CE" w:rsidRPr="000C29EE" w:rsidRDefault="007D66D7" w:rsidP="006C35BA">
      <w:pPr>
        <w:bidi w:val="0"/>
        <w:spacing w:after="200" w:line="276" w:lineRule="auto"/>
        <w:jc w:val="center"/>
        <w:rPr>
          <w:rFonts w:asciiTheme="majorBidi" w:eastAsiaTheme="minorEastAsia" w:hAnsiTheme="majorBidi" w:cstheme="majorBidi"/>
          <w:b/>
          <w:bCs/>
          <w:color w:val="0D0D0D"/>
          <w:kern w:val="0"/>
          <w:sz w:val="40"/>
          <w:szCs w:val="40"/>
          <w:rtl/>
          <w:lang w:val="en"/>
          <w14:ligatures w14:val="none"/>
        </w:rPr>
      </w:pPr>
      <w:bookmarkStart w:id="0" w:name="_Hlk214499175"/>
      <w:r w:rsidRPr="000C29EE">
        <w:rPr>
          <w:rFonts w:asciiTheme="majorBidi" w:eastAsiaTheme="minorEastAsia" w:hAnsiTheme="majorBidi" w:cstheme="majorBidi"/>
          <w:b/>
          <w:bCs/>
          <w:color w:val="0D0D0D"/>
          <w:kern w:val="0"/>
          <w:sz w:val="40"/>
          <w:szCs w:val="40"/>
          <w:lang w:val="en"/>
          <w14:ligatures w14:val="none"/>
        </w:rPr>
        <w:t>The Impact of the Functional Relationship Between Account Managers and Sales Teams on Enhancing Risk Management: A Case Study of Al Rajhi Bank in Riyadh,Saudi Arabia</w:t>
      </w:r>
    </w:p>
    <w:bookmarkEnd w:id="0"/>
    <w:p w14:paraId="3024630C" w14:textId="77777777" w:rsidR="009125CE" w:rsidRPr="000C29EE" w:rsidRDefault="009125CE" w:rsidP="006C35BA">
      <w:pPr>
        <w:bidi w:val="0"/>
        <w:spacing w:after="200" w:line="276" w:lineRule="auto"/>
        <w:jc w:val="center"/>
        <w:rPr>
          <w:rFonts w:asciiTheme="majorBidi" w:eastAsiaTheme="minorEastAsia" w:hAnsiTheme="majorBidi" w:cstheme="majorBidi"/>
          <w:b/>
          <w:bCs/>
          <w:color w:val="0D0D0D"/>
          <w:kern w:val="0"/>
          <w:sz w:val="40"/>
          <w:szCs w:val="40"/>
          <w:rtl/>
          <w:lang w:val="en"/>
          <w14:ligatures w14:val="none"/>
        </w:rPr>
      </w:pPr>
    </w:p>
    <w:p w14:paraId="232F19A4" w14:textId="77777777" w:rsidR="009125CE" w:rsidRPr="000C29EE" w:rsidRDefault="009125CE" w:rsidP="006C35BA">
      <w:pPr>
        <w:bidi w:val="0"/>
        <w:jc w:val="center"/>
        <w:rPr>
          <w:rFonts w:asciiTheme="majorBidi" w:hAnsiTheme="majorBidi" w:cstheme="majorBidi"/>
          <w:sz w:val="28"/>
          <w:szCs w:val="28"/>
          <w:rtl/>
          <w:lang w:bidi="ar-EG"/>
        </w:rPr>
      </w:pPr>
    </w:p>
    <w:p w14:paraId="0EB57E30" w14:textId="77777777" w:rsidR="009125CE" w:rsidRPr="000C29EE" w:rsidRDefault="009125CE" w:rsidP="006C35BA">
      <w:pPr>
        <w:bidi w:val="0"/>
        <w:jc w:val="center"/>
        <w:rPr>
          <w:rFonts w:asciiTheme="majorBidi" w:hAnsiTheme="majorBidi" w:cstheme="majorBidi"/>
          <w:b/>
          <w:bCs/>
          <w:sz w:val="28"/>
          <w:szCs w:val="28"/>
          <w:rtl/>
          <w:lang w:bidi="ar-EG"/>
        </w:rPr>
      </w:pPr>
    </w:p>
    <w:p w14:paraId="1D13592D" w14:textId="77777777" w:rsidR="007D66D7" w:rsidRPr="000C29EE" w:rsidRDefault="007D66D7" w:rsidP="006C35BA">
      <w:pPr>
        <w:bidi w:val="0"/>
        <w:ind w:left="125"/>
        <w:jc w:val="center"/>
        <w:rPr>
          <w:rFonts w:asciiTheme="majorBidi" w:hAnsiTheme="majorBidi" w:cstheme="majorBidi"/>
          <w:sz w:val="36"/>
        </w:rPr>
      </w:pPr>
      <w:r w:rsidRPr="000C29EE">
        <w:rPr>
          <w:rFonts w:asciiTheme="majorBidi" w:hAnsiTheme="majorBidi" w:cstheme="majorBidi"/>
          <w:sz w:val="36"/>
        </w:rPr>
        <w:t>Mubarak AlQahtani</w:t>
      </w:r>
    </w:p>
    <w:p w14:paraId="58D6152F" w14:textId="55AF2E3E" w:rsidR="009125CE" w:rsidRPr="000C29EE" w:rsidRDefault="009125CE" w:rsidP="006C35BA">
      <w:pPr>
        <w:bidi w:val="0"/>
        <w:ind w:left="125"/>
        <w:jc w:val="center"/>
        <w:rPr>
          <w:rFonts w:asciiTheme="majorBidi" w:hAnsiTheme="majorBidi" w:cstheme="majorBidi"/>
          <w:sz w:val="36"/>
          <w:rtl/>
          <w:lang w:bidi="ar-EG"/>
        </w:rPr>
      </w:pPr>
    </w:p>
    <w:p w14:paraId="3C8DE1EE" w14:textId="77777777" w:rsidR="007D66D7" w:rsidRPr="000C29EE" w:rsidRDefault="007D66D7" w:rsidP="006C35BA">
      <w:pPr>
        <w:bidi w:val="0"/>
        <w:ind w:left="125"/>
        <w:jc w:val="center"/>
        <w:rPr>
          <w:rFonts w:asciiTheme="majorBidi" w:hAnsiTheme="majorBidi" w:cstheme="majorBidi"/>
          <w:sz w:val="36"/>
          <w:rtl/>
          <w:lang w:bidi="ar-EG"/>
        </w:rPr>
      </w:pPr>
    </w:p>
    <w:p w14:paraId="5C710A49" w14:textId="77777777" w:rsidR="007D66D7" w:rsidRPr="000C29EE" w:rsidRDefault="007D66D7" w:rsidP="006C35BA">
      <w:pPr>
        <w:bidi w:val="0"/>
        <w:ind w:left="125"/>
        <w:jc w:val="center"/>
        <w:rPr>
          <w:rFonts w:asciiTheme="majorBidi" w:hAnsiTheme="majorBidi" w:cstheme="majorBidi"/>
          <w:sz w:val="36"/>
        </w:rPr>
      </w:pPr>
      <w:r w:rsidRPr="000C29EE">
        <w:rPr>
          <w:rFonts w:asciiTheme="majorBidi" w:hAnsiTheme="majorBidi" w:cstheme="majorBidi"/>
          <w:sz w:val="36"/>
        </w:rPr>
        <w:t>Supervisor</w:t>
      </w:r>
    </w:p>
    <w:p w14:paraId="4E4C9D6B" w14:textId="77777777" w:rsidR="004145B5" w:rsidRPr="000C29EE" w:rsidRDefault="004145B5" w:rsidP="006C35BA">
      <w:pPr>
        <w:bidi w:val="0"/>
        <w:ind w:left="125"/>
        <w:jc w:val="center"/>
        <w:rPr>
          <w:rFonts w:asciiTheme="majorBidi" w:hAnsiTheme="majorBidi" w:cstheme="majorBidi"/>
          <w:sz w:val="36"/>
          <w:rtl/>
        </w:rPr>
      </w:pPr>
      <w:r w:rsidRPr="000C29EE">
        <w:rPr>
          <w:rFonts w:asciiTheme="majorBidi" w:hAnsiTheme="majorBidi" w:cstheme="majorBidi"/>
          <w:sz w:val="36"/>
        </w:rPr>
        <w:t>Dr. Faisal Abdul Hamid</w:t>
      </w:r>
    </w:p>
    <w:p w14:paraId="16CF2D6A" w14:textId="0896E998" w:rsidR="009125CE" w:rsidRPr="000C29EE" w:rsidRDefault="004145B5" w:rsidP="006C35BA">
      <w:pPr>
        <w:bidi w:val="0"/>
        <w:ind w:left="125"/>
        <w:jc w:val="center"/>
        <w:rPr>
          <w:rFonts w:asciiTheme="majorBidi" w:hAnsiTheme="majorBidi" w:cstheme="majorBidi"/>
          <w:sz w:val="36"/>
          <w:rtl/>
        </w:rPr>
      </w:pPr>
      <w:r w:rsidRPr="000C29EE">
        <w:rPr>
          <w:rFonts w:asciiTheme="majorBidi" w:hAnsiTheme="majorBidi" w:cstheme="majorBidi"/>
          <w:sz w:val="36"/>
        </w:rPr>
        <w:t>Dr. Fayez Jrad</w:t>
      </w:r>
    </w:p>
    <w:p w14:paraId="51965DF5" w14:textId="77777777" w:rsidR="004145B5" w:rsidRPr="000C29EE" w:rsidRDefault="004145B5" w:rsidP="006C35BA">
      <w:pPr>
        <w:bidi w:val="0"/>
        <w:ind w:left="125"/>
        <w:jc w:val="center"/>
        <w:rPr>
          <w:rFonts w:asciiTheme="majorBidi" w:hAnsiTheme="majorBidi" w:cstheme="majorBidi"/>
          <w:sz w:val="36"/>
          <w:rtl/>
        </w:rPr>
      </w:pPr>
    </w:p>
    <w:p w14:paraId="22738CC6" w14:textId="4EBC1B7C" w:rsidR="009125CE" w:rsidRDefault="009125CE" w:rsidP="006C35BA">
      <w:pPr>
        <w:bidi w:val="0"/>
        <w:ind w:left="125"/>
        <w:jc w:val="center"/>
        <w:rPr>
          <w:rFonts w:asciiTheme="majorBidi" w:hAnsiTheme="majorBidi" w:cstheme="majorBidi"/>
          <w:sz w:val="36"/>
          <w:lang w:bidi="ar-EG"/>
        </w:rPr>
      </w:pPr>
    </w:p>
    <w:p w14:paraId="21773EDD" w14:textId="76B35D74" w:rsidR="0026741E" w:rsidRDefault="0026741E" w:rsidP="0026741E">
      <w:pPr>
        <w:bidi w:val="0"/>
        <w:ind w:left="125"/>
        <w:jc w:val="center"/>
        <w:rPr>
          <w:rFonts w:asciiTheme="majorBidi" w:hAnsiTheme="majorBidi" w:cstheme="majorBidi"/>
          <w:sz w:val="36"/>
          <w:lang w:bidi="ar-EG"/>
        </w:rPr>
      </w:pPr>
    </w:p>
    <w:p w14:paraId="5A151BAF" w14:textId="77777777" w:rsidR="0026741E" w:rsidRPr="000C29EE" w:rsidRDefault="0026741E" w:rsidP="0026741E">
      <w:pPr>
        <w:bidi w:val="0"/>
        <w:ind w:left="125"/>
        <w:jc w:val="center"/>
        <w:rPr>
          <w:rFonts w:asciiTheme="majorBidi" w:hAnsiTheme="majorBidi" w:cstheme="majorBidi"/>
          <w:sz w:val="36"/>
          <w:rtl/>
          <w:lang w:bidi="ar-EG"/>
        </w:rPr>
      </w:pPr>
    </w:p>
    <w:p w14:paraId="05232437" w14:textId="77777777" w:rsidR="004145B5" w:rsidRPr="000C29EE" w:rsidRDefault="004145B5" w:rsidP="006C35BA">
      <w:pPr>
        <w:bidi w:val="0"/>
        <w:ind w:left="125"/>
        <w:jc w:val="center"/>
        <w:rPr>
          <w:rFonts w:asciiTheme="majorBidi" w:hAnsiTheme="majorBidi" w:cstheme="majorBidi"/>
          <w:sz w:val="36"/>
        </w:rPr>
      </w:pPr>
      <w:r w:rsidRPr="000C29EE">
        <w:rPr>
          <w:rFonts w:asciiTheme="majorBidi" w:hAnsiTheme="majorBidi" w:cstheme="majorBidi"/>
          <w:sz w:val="36"/>
        </w:rPr>
        <w:t>Academic year</w:t>
      </w:r>
      <w:r w:rsidRPr="000C29EE">
        <w:rPr>
          <w:rFonts w:asciiTheme="majorBidi" w:hAnsiTheme="majorBidi" w:cstheme="majorBidi"/>
          <w:sz w:val="36"/>
          <w:rtl/>
        </w:rPr>
        <w:t>:</w:t>
      </w:r>
    </w:p>
    <w:p w14:paraId="5DBA947E" w14:textId="3C2DA569" w:rsidR="009125CE" w:rsidRPr="000C29EE" w:rsidRDefault="004145B5" w:rsidP="006C35BA">
      <w:pPr>
        <w:bidi w:val="0"/>
        <w:ind w:left="125"/>
        <w:jc w:val="center"/>
        <w:rPr>
          <w:rFonts w:asciiTheme="majorBidi" w:hAnsiTheme="majorBidi" w:cstheme="majorBidi"/>
          <w:sz w:val="36"/>
          <w:rtl/>
        </w:rPr>
      </w:pPr>
      <w:r w:rsidRPr="000C29EE">
        <w:rPr>
          <w:rFonts w:asciiTheme="majorBidi" w:hAnsiTheme="majorBidi" w:cstheme="majorBidi"/>
          <w:sz w:val="36"/>
          <w:rtl/>
        </w:rPr>
        <w:t>202</w:t>
      </w:r>
      <w:r w:rsidR="007D66D7" w:rsidRPr="000C29EE">
        <w:rPr>
          <w:rFonts w:asciiTheme="majorBidi" w:hAnsiTheme="majorBidi" w:cstheme="majorBidi" w:hint="cs"/>
          <w:sz w:val="36"/>
          <w:rtl/>
        </w:rPr>
        <w:t>5</w:t>
      </w:r>
    </w:p>
    <w:p w14:paraId="665485EA" w14:textId="77777777" w:rsidR="004145B5" w:rsidRPr="000C29EE" w:rsidRDefault="004145B5" w:rsidP="006C35BA">
      <w:pPr>
        <w:bidi w:val="0"/>
        <w:ind w:left="125"/>
        <w:jc w:val="center"/>
        <w:rPr>
          <w:rFonts w:asciiTheme="majorBidi" w:hAnsiTheme="majorBidi" w:cstheme="majorBidi"/>
          <w:sz w:val="36"/>
          <w:rtl/>
        </w:rPr>
      </w:pPr>
    </w:p>
    <w:p w14:paraId="15797BFE" w14:textId="1519C19E" w:rsidR="004145B5" w:rsidRDefault="004145B5" w:rsidP="006C35BA">
      <w:pPr>
        <w:bidi w:val="0"/>
        <w:jc w:val="center"/>
        <w:rPr>
          <w:rFonts w:asciiTheme="majorBidi" w:hAnsiTheme="majorBidi" w:cstheme="majorBidi"/>
          <w:b/>
          <w:bCs/>
          <w:sz w:val="28"/>
          <w:szCs w:val="28"/>
          <w:lang w:bidi="ar-EG"/>
        </w:rPr>
      </w:pPr>
    </w:p>
    <w:p w14:paraId="18257D1C" w14:textId="713D555F" w:rsidR="0026741E" w:rsidRDefault="0026741E" w:rsidP="0026741E">
      <w:pPr>
        <w:bidi w:val="0"/>
        <w:jc w:val="center"/>
        <w:rPr>
          <w:rFonts w:asciiTheme="majorBidi" w:hAnsiTheme="majorBidi" w:cstheme="majorBidi"/>
          <w:b/>
          <w:bCs/>
          <w:sz w:val="28"/>
          <w:szCs w:val="28"/>
          <w:lang w:bidi="ar-EG"/>
        </w:rPr>
      </w:pPr>
    </w:p>
    <w:p w14:paraId="5901045E" w14:textId="17117AEB" w:rsidR="0026741E" w:rsidRDefault="0026741E" w:rsidP="0026741E">
      <w:pPr>
        <w:bidi w:val="0"/>
        <w:jc w:val="center"/>
        <w:rPr>
          <w:rFonts w:asciiTheme="majorBidi" w:hAnsiTheme="majorBidi" w:cstheme="majorBidi"/>
          <w:b/>
          <w:bCs/>
          <w:sz w:val="28"/>
          <w:szCs w:val="28"/>
          <w:lang w:bidi="ar-EG"/>
        </w:rPr>
      </w:pPr>
    </w:p>
    <w:p w14:paraId="14A54B03" w14:textId="77777777" w:rsidR="0026741E" w:rsidRPr="000C29EE" w:rsidRDefault="0026741E" w:rsidP="0026741E">
      <w:pPr>
        <w:bidi w:val="0"/>
        <w:jc w:val="center"/>
        <w:rPr>
          <w:rFonts w:asciiTheme="majorBidi" w:hAnsiTheme="majorBidi" w:cstheme="majorBidi"/>
          <w:b/>
          <w:bCs/>
          <w:sz w:val="28"/>
          <w:szCs w:val="28"/>
          <w:rtl/>
          <w:lang w:bidi="ar-EG"/>
        </w:rPr>
      </w:pPr>
    </w:p>
    <w:p w14:paraId="17DFDF6F" w14:textId="77777777" w:rsidR="00D37492" w:rsidRPr="000C29EE" w:rsidRDefault="00D37492" w:rsidP="006C35BA">
      <w:pPr>
        <w:bidi w:val="0"/>
        <w:jc w:val="center"/>
        <w:rPr>
          <w:rFonts w:asciiTheme="majorBidi" w:hAnsiTheme="majorBidi" w:cstheme="majorBidi"/>
          <w:b/>
          <w:bCs/>
          <w:sz w:val="28"/>
          <w:szCs w:val="28"/>
          <w:rtl/>
          <w:lang w:bidi="ar-EG"/>
        </w:rPr>
      </w:pPr>
    </w:p>
    <w:p w14:paraId="14109781" w14:textId="77777777" w:rsidR="00D5598F" w:rsidRPr="00F745CB" w:rsidRDefault="00D5598F" w:rsidP="00D5598F">
      <w:pPr>
        <w:spacing w:before="188" w:line="360" w:lineRule="auto"/>
        <w:ind w:left="123" w:right="521"/>
        <w:jc w:val="center"/>
        <w:rPr>
          <w:rFonts w:asciiTheme="majorBidi" w:hAnsiTheme="majorBidi" w:cstheme="majorBidi"/>
          <w:b/>
          <w:bCs/>
          <w:sz w:val="36"/>
        </w:rPr>
      </w:pPr>
      <w:r w:rsidRPr="00F745CB">
        <w:rPr>
          <w:rFonts w:asciiTheme="majorBidi" w:hAnsiTheme="majorBidi" w:cstheme="majorBidi"/>
          <w:b/>
          <w:bCs/>
          <w:sz w:val="36"/>
        </w:rPr>
        <w:lastRenderedPageBreak/>
        <w:t>Acknowledgment</w:t>
      </w:r>
    </w:p>
    <w:p w14:paraId="1C7EF66E" w14:textId="00F9FAE8"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sz w:val="24"/>
          <w:szCs w:val="24"/>
        </w:rPr>
        <w:t>I would like to express my heartfelt gratitude to everyone who supported the completion of this study. First and foremost, my deepest thanks go to my supervisors, Dr. Faisal Abdul Hamid and Dr. Fayez Jrad, for their invaluable guidance, thoughtful feedback, and continuous encouragement at every stage of the research. I am sincerely grateful to the management and staff of Al Rajhi Bank in Riyadh, especially colleagues across Account Management, Sales, Risk Management, Compliance, Operations, IT/Technology, and Finance, for their cooperation and for generously contributing their time and insights through the survey. Their participation made this work possible and enriched its practical relevance. I also extend appreciation to the faculty members and administrators at my university for their academic support and for fostering a rigorous research environment. My thanks go to my peers and colleagues for their constructive discussions, moral support, and helpful suggestions that strengthened the analysis and presentation of findings.</w:t>
      </w:r>
    </w:p>
    <w:p w14:paraId="631793A0" w14:textId="77777777" w:rsidR="00D5598F" w:rsidRDefault="00D5598F" w:rsidP="00B03C22">
      <w:pPr>
        <w:bidi w:val="0"/>
        <w:ind w:left="125"/>
        <w:jc w:val="center"/>
        <w:rPr>
          <w:rFonts w:asciiTheme="majorBidi" w:hAnsiTheme="majorBidi" w:cstheme="majorBidi"/>
          <w:sz w:val="36"/>
        </w:rPr>
      </w:pPr>
    </w:p>
    <w:p w14:paraId="1A874F46" w14:textId="302FF250" w:rsidR="00D5598F" w:rsidRDefault="00D5598F" w:rsidP="00B03C22">
      <w:pPr>
        <w:bidi w:val="0"/>
        <w:ind w:left="125"/>
        <w:jc w:val="center"/>
        <w:rPr>
          <w:rFonts w:asciiTheme="majorBidi" w:hAnsiTheme="majorBidi" w:cstheme="majorBidi"/>
          <w:sz w:val="36"/>
        </w:rPr>
      </w:pPr>
    </w:p>
    <w:p w14:paraId="3A6FB729" w14:textId="6AD28066" w:rsidR="00B03C22" w:rsidRDefault="00B03C22" w:rsidP="00B03C22">
      <w:pPr>
        <w:bidi w:val="0"/>
        <w:ind w:left="125"/>
        <w:jc w:val="center"/>
        <w:rPr>
          <w:rFonts w:asciiTheme="majorBidi" w:hAnsiTheme="majorBidi" w:cstheme="majorBidi"/>
          <w:sz w:val="36"/>
        </w:rPr>
      </w:pPr>
    </w:p>
    <w:p w14:paraId="2894C776" w14:textId="6EB4BDD3" w:rsidR="00B03C22" w:rsidRDefault="00B03C22" w:rsidP="00B03C22">
      <w:pPr>
        <w:bidi w:val="0"/>
        <w:ind w:left="125"/>
        <w:jc w:val="center"/>
        <w:rPr>
          <w:rFonts w:asciiTheme="majorBidi" w:hAnsiTheme="majorBidi" w:cstheme="majorBidi"/>
          <w:sz w:val="36"/>
        </w:rPr>
      </w:pPr>
    </w:p>
    <w:p w14:paraId="26E33E31" w14:textId="76D59F0F" w:rsidR="00B03C22" w:rsidRDefault="00B03C22" w:rsidP="00B03C22">
      <w:pPr>
        <w:bidi w:val="0"/>
        <w:ind w:left="125"/>
        <w:jc w:val="center"/>
        <w:rPr>
          <w:rFonts w:asciiTheme="majorBidi" w:hAnsiTheme="majorBidi" w:cstheme="majorBidi"/>
          <w:sz w:val="36"/>
        </w:rPr>
      </w:pPr>
    </w:p>
    <w:p w14:paraId="7C440AAA" w14:textId="595A24A7" w:rsidR="00B03C22" w:rsidRDefault="00B03C22" w:rsidP="00B03C22">
      <w:pPr>
        <w:bidi w:val="0"/>
        <w:ind w:left="125"/>
        <w:jc w:val="center"/>
        <w:rPr>
          <w:rFonts w:asciiTheme="majorBidi" w:hAnsiTheme="majorBidi" w:cstheme="majorBidi"/>
          <w:sz w:val="36"/>
        </w:rPr>
      </w:pPr>
    </w:p>
    <w:p w14:paraId="723CEF1C" w14:textId="26ADFA36" w:rsidR="00B03C22" w:rsidRDefault="00B03C22" w:rsidP="00B03C22">
      <w:pPr>
        <w:bidi w:val="0"/>
        <w:ind w:left="125"/>
        <w:jc w:val="center"/>
        <w:rPr>
          <w:rFonts w:asciiTheme="majorBidi" w:hAnsiTheme="majorBidi" w:cstheme="majorBidi"/>
          <w:sz w:val="36"/>
        </w:rPr>
      </w:pPr>
    </w:p>
    <w:p w14:paraId="7B64B8F7" w14:textId="77777777" w:rsidR="00B03C22" w:rsidRDefault="00B03C22" w:rsidP="00B03C22">
      <w:pPr>
        <w:bidi w:val="0"/>
        <w:ind w:left="125"/>
        <w:jc w:val="center"/>
        <w:rPr>
          <w:rFonts w:asciiTheme="majorBidi" w:hAnsiTheme="majorBidi" w:cstheme="majorBidi"/>
          <w:sz w:val="36"/>
        </w:rPr>
      </w:pPr>
    </w:p>
    <w:p w14:paraId="53F8E45B" w14:textId="77777777" w:rsidR="00D5598F" w:rsidRDefault="00D5598F" w:rsidP="00D5598F">
      <w:pPr>
        <w:spacing w:before="188" w:line="360" w:lineRule="auto"/>
        <w:ind w:left="123" w:right="521"/>
        <w:jc w:val="center"/>
        <w:rPr>
          <w:rFonts w:asciiTheme="majorBidi" w:hAnsiTheme="majorBidi" w:cstheme="majorBidi"/>
          <w:sz w:val="36"/>
        </w:rPr>
      </w:pPr>
    </w:p>
    <w:p w14:paraId="0E5D4C2E" w14:textId="77777777" w:rsidR="00D5598F" w:rsidRDefault="00D5598F" w:rsidP="00D5598F">
      <w:pPr>
        <w:spacing w:before="188" w:line="360" w:lineRule="auto"/>
        <w:ind w:left="123" w:right="521"/>
        <w:jc w:val="center"/>
        <w:rPr>
          <w:rFonts w:asciiTheme="majorBidi" w:hAnsiTheme="majorBidi" w:cstheme="majorBidi"/>
          <w:sz w:val="36"/>
        </w:rPr>
      </w:pPr>
    </w:p>
    <w:p w14:paraId="2C404160" w14:textId="27B3BF3E" w:rsidR="00D5598F" w:rsidRDefault="00D5598F" w:rsidP="00D5598F">
      <w:pPr>
        <w:spacing w:before="188" w:line="360" w:lineRule="auto"/>
        <w:ind w:left="123" w:right="521"/>
        <w:jc w:val="center"/>
        <w:rPr>
          <w:rFonts w:asciiTheme="majorBidi" w:hAnsiTheme="majorBidi" w:cstheme="majorBidi"/>
          <w:sz w:val="36"/>
          <w:rtl/>
          <w:lang w:bidi="ar-EG"/>
        </w:rPr>
      </w:pPr>
    </w:p>
    <w:p w14:paraId="35BC7AA0" w14:textId="1AB92272" w:rsidR="00D5598F" w:rsidRDefault="00D5598F" w:rsidP="00D5598F">
      <w:pPr>
        <w:spacing w:before="188" w:line="360" w:lineRule="auto"/>
        <w:ind w:left="123" w:right="521"/>
        <w:jc w:val="center"/>
        <w:rPr>
          <w:rFonts w:asciiTheme="majorBidi" w:hAnsiTheme="majorBidi" w:cstheme="majorBidi"/>
          <w:sz w:val="36"/>
          <w:rtl/>
          <w:lang w:bidi="ar-EG"/>
        </w:rPr>
      </w:pPr>
    </w:p>
    <w:p w14:paraId="4B6B2C7B" w14:textId="699645F2" w:rsidR="00D5598F" w:rsidRDefault="00D5598F" w:rsidP="00D5598F">
      <w:pPr>
        <w:spacing w:before="188" w:line="360" w:lineRule="auto"/>
        <w:ind w:left="123" w:right="521"/>
        <w:jc w:val="center"/>
        <w:rPr>
          <w:rFonts w:asciiTheme="majorBidi" w:hAnsiTheme="majorBidi" w:cstheme="majorBidi"/>
          <w:sz w:val="36"/>
          <w:rtl/>
          <w:lang w:bidi="ar-EG"/>
        </w:rPr>
      </w:pPr>
    </w:p>
    <w:p w14:paraId="450637E5" w14:textId="1A9B2403" w:rsidR="00D5598F" w:rsidRDefault="00D5598F" w:rsidP="00D5598F">
      <w:pPr>
        <w:spacing w:before="188" w:line="360" w:lineRule="auto"/>
        <w:ind w:left="123" w:right="521"/>
        <w:jc w:val="center"/>
        <w:rPr>
          <w:rFonts w:asciiTheme="majorBidi" w:hAnsiTheme="majorBidi" w:cstheme="majorBidi"/>
          <w:sz w:val="36"/>
          <w:rtl/>
          <w:lang w:bidi="ar-EG"/>
        </w:rPr>
      </w:pPr>
    </w:p>
    <w:p w14:paraId="4CC13612" w14:textId="2B44261C" w:rsidR="00D5598F" w:rsidRDefault="00D5598F" w:rsidP="00D5598F">
      <w:pPr>
        <w:spacing w:before="188" w:line="360" w:lineRule="auto"/>
        <w:ind w:left="123" w:right="521"/>
        <w:jc w:val="center"/>
        <w:rPr>
          <w:rFonts w:asciiTheme="majorBidi" w:hAnsiTheme="majorBidi" w:cstheme="majorBidi"/>
          <w:sz w:val="36"/>
          <w:rtl/>
          <w:lang w:bidi="ar-EG"/>
        </w:rPr>
      </w:pPr>
    </w:p>
    <w:p w14:paraId="7076C447" w14:textId="1754DC45" w:rsidR="00D5598F" w:rsidRDefault="00D5598F" w:rsidP="00D5598F">
      <w:pPr>
        <w:spacing w:before="188" w:line="360" w:lineRule="auto"/>
        <w:ind w:left="123" w:right="521"/>
        <w:jc w:val="center"/>
        <w:rPr>
          <w:rFonts w:asciiTheme="majorBidi" w:hAnsiTheme="majorBidi" w:cstheme="majorBidi"/>
          <w:sz w:val="36"/>
          <w:rtl/>
          <w:lang w:bidi="ar-EG"/>
        </w:rPr>
      </w:pPr>
    </w:p>
    <w:p w14:paraId="2D92FBF0" w14:textId="7AD7FADA" w:rsidR="00D5598F" w:rsidRDefault="00D5598F" w:rsidP="00D5598F">
      <w:pPr>
        <w:spacing w:before="188" w:line="360" w:lineRule="auto"/>
        <w:ind w:left="123" w:right="521"/>
        <w:jc w:val="center"/>
        <w:rPr>
          <w:rFonts w:asciiTheme="majorBidi" w:hAnsiTheme="majorBidi" w:cstheme="majorBidi"/>
          <w:sz w:val="36"/>
          <w:rtl/>
          <w:lang w:bidi="ar-EG"/>
        </w:rPr>
      </w:pPr>
    </w:p>
    <w:p w14:paraId="2AFDC352" w14:textId="77777777" w:rsidR="00D5598F" w:rsidRPr="00F745CB" w:rsidRDefault="00D5598F" w:rsidP="00D5598F">
      <w:pPr>
        <w:spacing w:before="188" w:line="360" w:lineRule="auto"/>
        <w:ind w:left="123" w:right="521"/>
        <w:jc w:val="center"/>
        <w:rPr>
          <w:rFonts w:asciiTheme="majorBidi" w:hAnsiTheme="majorBidi" w:cstheme="majorBidi"/>
          <w:sz w:val="36"/>
        </w:rPr>
      </w:pPr>
      <w:r w:rsidRPr="00F745CB">
        <w:rPr>
          <w:rFonts w:asciiTheme="majorBidi" w:hAnsiTheme="majorBidi" w:cstheme="majorBidi"/>
          <w:sz w:val="36"/>
        </w:rPr>
        <w:t>Dedication</w:t>
      </w:r>
    </w:p>
    <w:p w14:paraId="42524AD4" w14:textId="3F03DEEF" w:rsidR="00D5598F" w:rsidRPr="00B03C22" w:rsidRDefault="00B03C22" w:rsidP="00B03C22">
      <w:pPr>
        <w:bidi w:val="0"/>
        <w:ind w:left="125"/>
        <w:jc w:val="both"/>
        <w:rPr>
          <w:rFonts w:asciiTheme="majorBidi" w:hAnsiTheme="majorBidi" w:cstheme="majorBidi"/>
          <w:sz w:val="24"/>
          <w:szCs w:val="24"/>
          <w:rtl/>
        </w:rPr>
      </w:pPr>
      <w:r w:rsidRPr="00B03C22">
        <w:rPr>
          <w:rFonts w:asciiTheme="majorBidi" w:hAnsiTheme="majorBidi" w:cstheme="majorBidi"/>
          <w:sz w:val="24"/>
          <w:szCs w:val="24"/>
        </w:rPr>
        <w:t>To my beloved family</w:t>
      </w:r>
      <w:r>
        <w:rPr>
          <w:rFonts w:asciiTheme="majorBidi" w:hAnsiTheme="majorBidi" w:cstheme="majorBidi"/>
          <w:sz w:val="24"/>
          <w:szCs w:val="24"/>
        </w:rPr>
        <w:t>-</w:t>
      </w:r>
      <w:r w:rsidRPr="00B03C22">
        <w:rPr>
          <w:rFonts w:asciiTheme="majorBidi" w:hAnsiTheme="majorBidi" w:cstheme="majorBidi"/>
          <w:sz w:val="24"/>
          <w:szCs w:val="24"/>
        </w:rPr>
        <w:t>whose patience, prayers, and unwavering belief lit the path when it felt dim</w:t>
      </w:r>
      <w:r>
        <w:rPr>
          <w:rFonts w:asciiTheme="majorBidi" w:hAnsiTheme="majorBidi" w:cstheme="majorBidi"/>
          <w:sz w:val="24"/>
          <w:szCs w:val="24"/>
        </w:rPr>
        <w:t>-</w:t>
      </w:r>
      <w:r w:rsidRPr="00B03C22">
        <w:rPr>
          <w:rFonts w:asciiTheme="majorBidi" w:hAnsiTheme="majorBidi" w:cstheme="majorBidi"/>
          <w:sz w:val="24"/>
          <w:szCs w:val="24"/>
        </w:rPr>
        <w:t>this work is for you</w:t>
      </w:r>
      <w:r w:rsidRPr="00B03C22">
        <w:rPr>
          <w:rFonts w:asciiTheme="majorBidi" w:hAnsiTheme="majorBidi" w:cstheme="majorBidi"/>
          <w:sz w:val="24"/>
          <w:szCs w:val="24"/>
          <w:rtl/>
        </w:rPr>
        <w:t>.</w:t>
      </w:r>
      <w:r w:rsidRPr="00B03C22">
        <w:rPr>
          <w:rFonts w:asciiTheme="majorBidi" w:hAnsiTheme="majorBidi" w:cstheme="majorBidi"/>
          <w:sz w:val="24"/>
          <w:szCs w:val="24"/>
        </w:rPr>
        <w:t>To my supervisors, Dr. Faisal Abdul Hamid and Dr. Fayez Jrad, whose guidance shaped both the study and the researcher behind it</w:t>
      </w:r>
      <w:r w:rsidRPr="00B03C22">
        <w:rPr>
          <w:rFonts w:asciiTheme="majorBidi" w:hAnsiTheme="majorBidi" w:cstheme="majorBidi"/>
          <w:sz w:val="24"/>
          <w:szCs w:val="24"/>
          <w:rtl/>
        </w:rPr>
        <w:t>.</w:t>
      </w:r>
      <w:r w:rsidRPr="00B03C22">
        <w:rPr>
          <w:rFonts w:asciiTheme="majorBidi" w:hAnsiTheme="majorBidi" w:cstheme="majorBidi"/>
          <w:sz w:val="24"/>
          <w:szCs w:val="24"/>
        </w:rPr>
        <w:t xml:space="preserve"> To the colleagues and participants at Al Rajhi Bank, Riyadh, whose generosity with time and insight made this research possible</w:t>
      </w:r>
      <w:r w:rsidRPr="00B03C22">
        <w:rPr>
          <w:rFonts w:asciiTheme="majorBidi" w:hAnsiTheme="majorBidi" w:cstheme="majorBidi"/>
          <w:sz w:val="24"/>
          <w:szCs w:val="24"/>
          <w:rtl/>
        </w:rPr>
        <w:t>.</w:t>
      </w:r>
      <w:r w:rsidRPr="00B03C22">
        <w:rPr>
          <w:rFonts w:asciiTheme="majorBidi" w:hAnsiTheme="majorBidi" w:cstheme="majorBidi"/>
          <w:sz w:val="24"/>
          <w:szCs w:val="24"/>
        </w:rPr>
        <w:t xml:space="preserve"> And to every mentor and friend who reminded me that steady effort, integrity, and hope can carry us farther than talent alone</w:t>
      </w:r>
      <w:r>
        <w:rPr>
          <w:rFonts w:asciiTheme="majorBidi" w:hAnsiTheme="majorBidi" w:cstheme="majorBidi"/>
          <w:sz w:val="24"/>
          <w:szCs w:val="24"/>
        </w:rPr>
        <w:t>-</w:t>
      </w:r>
      <w:r w:rsidRPr="00B03C22">
        <w:rPr>
          <w:rFonts w:asciiTheme="majorBidi" w:hAnsiTheme="majorBidi" w:cstheme="majorBidi"/>
          <w:sz w:val="24"/>
          <w:szCs w:val="24"/>
        </w:rPr>
        <w:t>I dedicate this thesis with gratitude and respect</w:t>
      </w:r>
      <w:r w:rsidRPr="00B03C22">
        <w:rPr>
          <w:rFonts w:asciiTheme="majorBidi" w:hAnsiTheme="majorBidi" w:cstheme="majorBidi"/>
          <w:sz w:val="24"/>
          <w:szCs w:val="24"/>
          <w:rtl/>
        </w:rPr>
        <w:t>.</w:t>
      </w:r>
    </w:p>
    <w:p w14:paraId="6A0D84F9" w14:textId="77777777" w:rsidR="00D5598F" w:rsidRPr="00B03C22" w:rsidRDefault="00D5598F" w:rsidP="00B03C22">
      <w:pPr>
        <w:bidi w:val="0"/>
        <w:ind w:left="125"/>
        <w:jc w:val="both"/>
        <w:rPr>
          <w:rFonts w:asciiTheme="majorBidi" w:hAnsiTheme="majorBidi" w:cstheme="majorBidi"/>
          <w:sz w:val="24"/>
          <w:szCs w:val="24"/>
        </w:rPr>
      </w:pPr>
    </w:p>
    <w:p w14:paraId="23B33C1F" w14:textId="77777777" w:rsidR="00D5598F" w:rsidRPr="00B03C22" w:rsidRDefault="00D5598F" w:rsidP="00B03C22">
      <w:pPr>
        <w:bidi w:val="0"/>
        <w:ind w:left="125"/>
        <w:jc w:val="both"/>
        <w:rPr>
          <w:rFonts w:asciiTheme="majorBidi" w:hAnsiTheme="majorBidi" w:cstheme="majorBidi"/>
          <w:sz w:val="24"/>
          <w:szCs w:val="24"/>
        </w:rPr>
      </w:pPr>
    </w:p>
    <w:p w14:paraId="2E1627D0" w14:textId="77777777" w:rsidR="00D5598F" w:rsidRDefault="00D5598F" w:rsidP="00D5598F">
      <w:pPr>
        <w:spacing w:before="188" w:line="360" w:lineRule="auto"/>
        <w:ind w:left="123" w:right="521"/>
        <w:jc w:val="center"/>
        <w:rPr>
          <w:rFonts w:asciiTheme="majorBidi" w:hAnsiTheme="majorBidi" w:cstheme="majorBidi"/>
          <w:sz w:val="36"/>
        </w:rPr>
      </w:pPr>
    </w:p>
    <w:p w14:paraId="23021308" w14:textId="77777777" w:rsidR="00D5598F" w:rsidRDefault="00D5598F" w:rsidP="00D5598F">
      <w:pPr>
        <w:spacing w:before="188" w:line="360" w:lineRule="auto"/>
        <w:ind w:left="123" w:right="521"/>
        <w:jc w:val="center"/>
        <w:rPr>
          <w:rFonts w:asciiTheme="majorBidi" w:hAnsiTheme="majorBidi" w:cstheme="majorBidi"/>
          <w:sz w:val="36"/>
          <w:lang w:bidi="ar-EG"/>
        </w:rPr>
      </w:pPr>
    </w:p>
    <w:p w14:paraId="21A0E3CA" w14:textId="77777777" w:rsidR="00D5598F" w:rsidRDefault="00D5598F" w:rsidP="00D5598F">
      <w:pPr>
        <w:spacing w:before="188" w:line="360" w:lineRule="auto"/>
        <w:ind w:left="123" w:right="521"/>
        <w:jc w:val="center"/>
        <w:rPr>
          <w:rFonts w:asciiTheme="majorBidi" w:hAnsiTheme="majorBidi" w:cstheme="majorBidi"/>
          <w:sz w:val="36"/>
        </w:rPr>
      </w:pPr>
    </w:p>
    <w:p w14:paraId="344F739B" w14:textId="77777777" w:rsidR="00D5598F" w:rsidRDefault="00D5598F" w:rsidP="00D5598F">
      <w:pPr>
        <w:spacing w:before="188" w:line="360" w:lineRule="auto"/>
        <w:ind w:left="123" w:right="521"/>
        <w:jc w:val="center"/>
        <w:rPr>
          <w:rFonts w:asciiTheme="majorBidi" w:hAnsiTheme="majorBidi" w:cstheme="majorBidi"/>
          <w:sz w:val="36"/>
          <w:lang w:bidi="ar-EG"/>
        </w:rPr>
      </w:pPr>
    </w:p>
    <w:p w14:paraId="6712D620" w14:textId="77777777" w:rsidR="00D5598F" w:rsidRDefault="00D5598F" w:rsidP="00D5598F">
      <w:pPr>
        <w:spacing w:before="188" w:line="360" w:lineRule="auto"/>
        <w:ind w:left="123" w:right="521"/>
        <w:jc w:val="center"/>
        <w:rPr>
          <w:rFonts w:asciiTheme="majorBidi" w:hAnsiTheme="majorBidi" w:cstheme="majorBidi"/>
          <w:sz w:val="36"/>
        </w:rPr>
      </w:pPr>
    </w:p>
    <w:p w14:paraId="58AD7B24" w14:textId="77777777" w:rsidR="00D5598F" w:rsidRDefault="00D5598F" w:rsidP="00D5598F">
      <w:pPr>
        <w:spacing w:before="188" w:line="360" w:lineRule="auto"/>
        <w:ind w:right="521"/>
        <w:rPr>
          <w:rFonts w:asciiTheme="majorBidi" w:hAnsiTheme="majorBidi" w:cstheme="majorBidi"/>
          <w:sz w:val="36"/>
        </w:rPr>
      </w:pPr>
    </w:p>
    <w:p w14:paraId="1259F50A" w14:textId="128C54DD" w:rsidR="00D5598F" w:rsidRDefault="00D5598F" w:rsidP="00D5598F">
      <w:pPr>
        <w:spacing w:before="188" w:line="360" w:lineRule="auto"/>
        <w:ind w:right="521"/>
        <w:rPr>
          <w:rFonts w:asciiTheme="majorBidi" w:hAnsiTheme="majorBidi" w:cstheme="majorBidi"/>
          <w:sz w:val="36"/>
          <w:rtl/>
          <w:lang w:bidi="ar-EG"/>
        </w:rPr>
      </w:pPr>
    </w:p>
    <w:p w14:paraId="2CA05430" w14:textId="1DCA8E3B" w:rsidR="00B03C22" w:rsidRDefault="00B03C22" w:rsidP="00D5598F">
      <w:pPr>
        <w:spacing w:before="188" w:line="360" w:lineRule="auto"/>
        <w:ind w:right="521"/>
        <w:rPr>
          <w:rFonts w:asciiTheme="majorBidi" w:hAnsiTheme="majorBidi" w:cstheme="majorBidi"/>
          <w:sz w:val="36"/>
          <w:rtl/>
          <w:lang w:bidi="ar-EG"/>
        </w:rPr>
      </w:pPr>
    </w:p>
    <w:p w14:paraId="7EBF2A46" w14:textId="06C5AC28" w:rsidR="00B03C22" w:rsidRDefault="00B03C22" w:rsidP="00D5598F">
      <w:pPr>
        <w:spacing w:before="188" w:line="360" w:lineRule="auto"/>
        <w:ind w:right="521"/>
        <w:rPr>
          <w:rFonts w:asciiTheme="majorBidi" w:hAnsiTheme="majorBidi" w:cstheme="majorBidi"/>
          <w:sz w:val="36"/>
          <w:rtl/>
          <w:lang w:bidi="ar-EG"/>
        </w:rPr>
      </w:pPr>
    </w:p>
    <w:p w14:paraId="686A1D39" w14:textId="49EFF15E" w:rsidR="00B03C22" w:rsidRDefault="00B03C22" w:rsidP="00D5598F">
      <w:pPr>
        <w:spacing w:before="188" w:line="360" w:lineRule="auto"/>
        <w:ind w:right="521"/>
        <w:rPr>
          <w:rFonts w:asciiTheme="majorBidi" w:hAnsiTheme="majorBidi" w:cstheme="majorBidi"/>
          <w:sz w:val="36"/>
          <w:rtl/>
          <w:lang w:bidi="ar-EG"/>
        </w:rPr>
      </w:pPr>
    </w:p>
    <w:p w14:paraId="150B7EF0" w14:textId="75118437" w:rsidR="00B03C22" w:rsidRDefault="00B03C22" w:rsidP="00D5598F">
      <w:pPr>
        <w:spacing w:before="188" w:line="360" w:lineRule="auto"/>
        <w:ind w:right="521"/>
        <w:rPr>
          <w:rFonts w:asciiTheme="majorBidi" w:hAnsiTheme="majorBidi" w:cstheme="majorBidi"/>
          <w:sz w:val="36"/>
          <w:rtl/>
          <w:lang w:bidi="ar-EG"/>
        </w:rPr>
      </w:pPr>
    </w:p>
    <w:p w14:paraId="1E5E60FD" w14:textId="25BB9C2F" w:rsidR="00B03C22" w:rsidRDefault="00B03C22" w:rsidP="00D5598F">
      <w:pPr>
        <w:spacing w:before="188" w:line="360" w:lineRule="auto"/>
        <w:ind w:right="521"/>
        <w:rPr>
          <w:rFonts w:asciiTheme="majorBidi" w:hAnsiTheme="majorBidi" w:cstheme="majorBidi"/>
          <w:sz w:val="36"/>
          <w:rtl/>
          <w:lang w:bidi="ar-EG"/>
        </w:rPr>
      </w:pPr>
    </w:p>
    <w:p w14:paraId="29637B7C" w14:textId="77777777" w:rsidR="00B03C22" w:rsidRDefault="00B03C22" w:rsidP="00D5598F">
      <w:pPr>
        <w:spacing w:before="188" w:line="360" w:lineRule="auto"/>
        <w:ind w:right="521"/>
        <w:rPr>
          <w:rFonts w:asciiTheme="majorBidi" w:hAnsiTheme="majorBidi" w:cstheme="majorBidi"/>
          <w:sz w:val="36"/>
          <w:lang w:bidi="ar-EG"/>
        </w:rPr>
      </w:pPr>
    </w:p>
    <w:p w14:paraId="201A35C2" w14:textId="23FB82D8" w:rsidR="00D5598F" w:rsidRDefault="00D5598F" w:rsidP="00D5598F">
      <w:pPr>
        <w:spacing w:before="188" w:line="360" w:lineRule="auto"/>
        <w:ind w:right="521"/>
        <w:rPr>
          <w:rFonts w:asciiTheme="majorBidi" w:hAnsiTheme="majorBidi" w:cstheme="majorBidi"/>
          <w:sz w:val="36"/>
          <w:rtl/>
          <w:lang w:bidi="ar-EG"/>
        </w:rPr>
      </w:pPr>
    </w:p>
    <w:p w14:paraId="02D76739" w14:textId="1C9FA584" w:rsidR="00D5598F" w:rsidRDefault="00D5598F" w:rsidP="00D5598F">
      <w:pPr>
        <w:spacing w:before="188" w:line="360" w:lineRule="auto"/>
        <w:ind w:right="521"/>
        <w:rPr>
          <w:rFonts w:asciiTheme="majorBidi" w:hAnsiTheme="majorBidi" w:cstheme="majorBidi"/>
          <w:sz w:val="36"/>
          <w:rtl/>
          <w:lang w:bidi="ar-EG"/>
        </w:rPr>
      </w:pPr>
    </w:p>
    <w:p w14:paraId="339D6816" w14:textId="38AEE823" w:rsidR="00D5598F" w:rsidRDefault="00D5598F" w:rsidP="00D5598F">
      <w:pPr>
        <w:spacing w:before="188" w:line="360" w:lineRule="auto"/>
        <w:ind w:right="521"/>
        <w:rPr>
          <w:rFonts w:asciiTheme="majorBidi" w:hAnsiTheme="majorBidi" w:cstheme="majorBidi"/>
          <w:sz w:val="36"/>
          <w:rtl/>
          <w:lang w:bidi="ar-EG"/>
        </w:rPr>
      </w:pPr>
    </w:p>
    <w:p w14:paraId="290C5FE2" w14:textId="5AC71A6C" w:rsidR="00D5598F" w:rsidRDefault="00D5598F" w:rsidP="00D5598F">
      <w:pPr>
        <w:spacing w:before="188" w:line="360" w:lineRule="auto"/>
        <w:ind w:right="521"/>
        <w:rPr>
          <w:rFonts w:asciiTheme="majorBidi" w:hAnsiTheme="majorBidi" w:cstheme="majorBidi"/>
          <w:sz w:val="36"/>
          <w:rtl/>
          <w:lang w:bidi="ar-EG"/>
        </w:rPr>
      </w:pPr>
    </w:p>
    <w:p w14:paraId="234D795A" w14:textId="6E353C8C" w:rsidR="00D5598F" w:rsidRDefault="00D5598F" w:rsidP="00D5598F">
      <w:pPr>
        <w:spacing w:before="188" w:line="360" w:lineRule="auto"/>
        <w:ind w:right="521"/>
        <w:rPr>
          <w:rFonts w:asciiTheme="majorBidi" w:hAnsiTheme="majorBidi" w:cstheme="majorBidi"/>
          <w:sz w:val="36"/>
          <w:rtl/>
          <w:lang w:bidi="ar-EG"/>
        </w:rPr>
      </w:pPr>
    </w:p>
    <w:p w14:paraId="288D2500" w14:textId="77777777" w:rsidR="00D5598F" w:rsidRPr="00217DA0" w:rsidRDefault="00D5598F" w:rsidP="00D5598F">
      <w:pPr>
        <w:pStyle w:val="Default"/>
        <w:jc w:val="center"/>
        <w:rPr>
          <w:sz w:val="36"/>
          <w:szCs w:val="36"/>
        </w:rPr>
      </w:pPr>
      <w:r w:rsidRPr="00217DA0">
        <w:rPr>
          <w:sz w:val="36"/>
          <w:szCs w:val="36"/>
        </w:rPr>
        <w:t>Abstract</w:t>
      </w:r>
    </w:p>
    <w:p w14:paraId="49D13C74" w14:textId="77777777" w:rsidR="00D5598F" w:rsidRPr="00B03C22" w:rsidRDefault="00D5598F" w:rsidP="00D5598F">
      <w:pPr>
        <w:pStyle w:val="Default"/>
        <w:rPr>
          <w:sz w:val="23"/>
          <w:szCs w:val="23"/>
        </w:rPr>
      </w:pPr>
    </w:p>
    <w:p w14:paraId="7F076F9E" w14:textId="77777777"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b/>
          <w:bCs/>
          <w:sz w:val="24"/>
          <w:szCs w:val="24"/>
        </w:rPr>
        <w:t>Summary of the Study:</w:t>
      </w:r>
      <w:r w:rsidRPr="00B03C22">
        <w:rPr>
          <w:rFonts w:asciiTheme="majorBidi" w:hAnsiTheme="majorBidi" w:cstheme="majorBidi"/>
          <w:b/>
          <w:bCs/>
          <w:sz w:val="24"/>
          <w:szCs w:val="24"/>
        </w:rPr>
        <w:br/>
      </w:r>
      <w:r w:rsidRPr="00B03C22">
        <w:rPr>
          <w:rFonts w:asciiTheme="majorBidi" w:hAnsiTheme="majorBidi" w:cstheme="majorBidi"/>
          <w:sz w:val="24"/>
          <w:szCs w:val="24"/>
        </w:rPr>
        <w:t>This study examines how the functional relationship between Account Managers (AMs) and Sales Teams—operationalized through four dimensions (Communication Quality &amp; Cadence, Information Sharing &amp; Data Integration, Goal/KPI &amp; Incentive Alignment, and Decision Rights &amp; Escalation Clarity)—influences Risk-Management Effectiveness at Al Rajhi Bank, Riyadh. The research premise is that stronger cross-functional integration at origination enhances early risk identification and onboarding quality, credit discipline and outcomes, liquidity/market-risk fit at origination, and operational resilience and third-party risk control.</w:t>
      </w:r>
    </w:p>
    <w:p w14:paraId="5B5201E0" w14:textId="77777777"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b/>
          <w:bCs/>
          <w:sz w:val="24"/>
          <w:szCs w:val="24"/>
        </w:rPr>
        <w:t>Methodology</w:t>
      </w:r>
      <w:r w:rsidRPr="00B03C22">
        <w:rPr>
          <w:rFonts w:asciiTheme="majorBidi" w:hAnsiTheme="majorBidi" w:cstheme="majorBidi"/>
          <w:sz w:val="24"/>
          <w:szCs w:val="24"/>
        </w:rPr>
        <w:t>:</w:t>
      </w:r>
      <w:r w:rsidRPr="00B03C22">
        <w:rPr>
          <w:rFonts w:asciiTheme="majorBidi" w:hAnsiTheme="majorBidi" w:cstheme="majorBidi"/>
          <w:sz w:val="24"/>
          <w:szCs w:val="24"/>
        </w:rPr>
        <w:br/>
        <w:t>A descriptive–analytical, quantitative design was employed. The research population (N=400) comprised employees within the Riyadh scope; the sample (n=196) was determined using Krejcie &amp; Morgan at 95% confidence and 5% margin of error. Data were collected via a structured 5-point Likert questionnaire and analyzed with SPSS (v27). Construct validity and reliability were confirmed (high communalities, acceptable AVE, and excellent Cronbach’s alpha). Hypotheses were tested using correlation and regression models.</w:t>
      </w:r>
    </w:p>
    <w:p w14:paraId="741EC36A" w14:textId="77777777"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b/>
          <w:bCs/>
          <w:sz w:val="24"/>
          <w:szCs w:val="24"/>
        </w:rPr>
        <w:t>Findings</w:t>
      </w:r>
      <w:r w:rsidRPr="00B03C22">
        <w:rPr>
          <w:rFonts w:asciiTheme="majorBidi" w:hAnsiTheme="majorBidi" w:cstheme="majorBidi"/>
          <w:sz w:val="24"/>
          <w:szCs w:val="24"/>
        </w:rPr>
        <w:t>:</w:t>
      </w:r>
      <w:r w:rsidRPr="00B03C22">
        <w:rPr>
          <w:rFonts w:asciiTheme="majorBidi" w:hAnsiTheme="majorBidi" w:cstheme="majorBidi"/>
          <w:sz w:val="24"/>
          <w:szCs w:val="24"/>
        </w:rPr>
        <w:br/>
        <w:t>Results indicate a strong, positive, and statistically significant association between the AM–Sales functional relationship and risk-management effectiveness (R=0.885; R²=0.784; p&lt;0.001). At the dimensional level, Information Sharing &amp; Data Integration emerged as the dominant positive predictor; Goal/KPI &amp; Incentive Alignment showed a smaller yet significant positive effect. Communication Quality &amp; Cadence exhibited a negative coefficient when controlling for the “hard” mechanisms, suggesting specification/suppression effects or overlap. Decision Rights &amp; Escalation Clarity (RACI) was not significant in the multivariate model.</w:t>
      </w:r>
    </w:p>
    <w:p w14:paraId="5B3BBFEE" w14:textId="77777777"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b/>
          <w:bCs/>
          <w:sz w:val="24"/>
          <w:szCs w:val="24"/>
        </w:rPr>
        <w:t>Originality and Implications:</w:t>
      </w:r>
      <w:r w:rsidRPr="00B03C22">
        <w:rPr>
          <w:rFonts w:asciiTheme="majorBidi" w:hAnsiTheme="majorBidi" w:cstheme="majorBidi"/>
          <w:b/>
          <w:bCs/>
          <w:sz w:val="24"/>
          <w:szCs w:val="24"/>
        </w:rPr>
        <w:br/>
      </w:r>
      <w:r w:rsidRPr="00B03C22">
        <w:rPr>
          <w:rFonts w:asciiTheme="majorBidi" w:hAnsiTheme="majorBidi" w:cstheme="majorBidi"/>
          <w:sz w:val="24"/>
          <w:szCs w:val="24"/>
        </w:rPr>
        <w:t>The study contributes a bank-specific, measurement-validated model linking AM–Sales integration to frontline risk outcomes. Practically, the findings recommend prioritizing data integration at origination, coupling risk-aware KPIs and incentives across AMs and Sales, re-engineering communication for decision latency and actionability, and refining decision rights with threshold-based escalations. These steps can materially improve early-risk controls, pricing/tenor/collateral discipline, market-risk fit, and operational resilience.</w:t>
      </w:r>
    </w:p>
    <w:p w14:paraId="1E3EE235" w14:textId="77777777" w:rsidR="00B03C22" w:rsidRPr="00B03C22" w:rsidRDefault="00B03C22" w:rsidP="00B03C22">
      <w:pPr>
        <w:bidi w:val="0"/>
        <w:ind w:left="125"/>
        <w:jc w:val="both"/>
        <w:rPr>
          <w:rFonts w:asciiTheme="majorBidi" w:hAnsiTheme="majorBidi" w:cstheme="majorBidi"/>
          <w:sz w:val="24"/>
          <w:szCs w:val="24"/>
        </w:rPr>
      </w:pPr>
      <w:r w:rsidRPr="00B03C22">
        <w:rPr>
          <w:rFonts w:asciiTheme="majorBidi" w:hAnsiTheme="majorBidi" w:cstheme="majorBidi"/>
          <w:b/>
          <w:bCs/>
          <w:sz w:val="24"/>
          <w:szCs w:val="24"/>
        </w:rPr>
        <w:t>Keywords:</w:t>
      </w:r>
      <w:r w:rsidRPr="00B03C22">
        <w:rPr>
          <w:rFonts w:asciiTheme="majorBidi" w:hAnsiTheme="majorBidi" w:cstheme="majorBidi"/>
          <w:b/>
          <w:bCs/>
          <w:sz w:val="24"/>
          <w:szCs w:val="24"/>
        </w:rPr>
        <w:br/>
      </w:r>
      <w:r w:rsidRPr="00B03C22">
        <w:rPr>
          <w:rFonts w:asciiTheme="majorBidi" w:hAnsiTheme="majorBidi" w:cstheme="majorBidi"/>
          <w:sz w:val="24"/>
          <w:szCs w:val="24"/>
        </w:rPr>
        <w:t>Functional relationship; Account Managers; Sales Teams; Information sharing; Data integration; KPI alignment; RACI; Risk-management effectiveness; Banking; Al Rajhi Bank; Riyadh; Saudi Arabia.</w:t>
      </w:r>
    </w:p>
    <w:p w14:paraId="59529E2C" w14:textId="77777777" w:rsidR="00D5598F" w:rsidRPr="00B03C22" w:rsidRDefault="00D5598F" w:rsidP="00B03C22">
      <w:pPr>
        <w:bidi w:val="0"/>
        <w:ind w:left="125"/>
        <w:jc w:val="both"/>
        <w:rPr>
          <w:rFonts w:asciiTheme="majorBidi" w:hAnsiTheme="majorBidi" w:cstheme="majorBidi"/>
          <w:sz w:val="24"/>
          <w:szCs w:val="24"/>
        </w:rPr>
      </w:pPr>
    </w:p>
    <w:p w14:paraId="518AD80C" w14:textId="77777777" w:rsidR="00D5598F" w:rsidRPr="00B03C22" w:rsidRDefault="00D5598F" w:rsidP="00D5598F">
      <w:pPr>
        <w:pStyle w:val="Default"/>
        <w:rPr>
          <w:sz w:val="23"/>
          <w:szCs w:val="23"/>
        </w:rPr>
      </w:pPr>
    </w:p>
    <w:p w14:paraId="568F2AEF" w14:textId="77777777" w:rsidR="00D5598F" w:rsidRPr="00B03C22" w:rsidRDefault="00D5598F" w:rsidP="00D5598F">
      <w:pPr>
        <w:pStyle w:val="Default"/>
        <w:rPr>
          <w:sz w:val="23"/>
          <w:szCs w:val="23"/>
        </w:rPr>
      </w:pPr>
    </w:p>
    <w:p w14:paraId="4D6F0637" w14:textId="77777777" w:rsidR="00D5598F" w:rsidRPr="00B03C22" w:rsidRDefault="00D5598F" w:rsidP="00D5598F">
      <w:pPr>
        <w:pStyle w:val="Default"/>
        <w:rPr>
          <w:sz w:val="23"/>
          <w:szCs w:val="23"/>
        </w:rPr>
      </w:pPr>
    </w:p>
    <w:p w14:paraId="2A2E4D43" w14:textId="1AF81065" w:rsidR="00A74F76" w:rsidRPr="00B03C22" w:rsidRDefault="00A74F76" w:rsidP="00D96E63">
      <w:pPr>
        <w:bidi w:val="0"/>
        <w:spacing w:line="360" w:lineRule="auto"/>
        <w:rPr>
          <w:rFonts w:asciiTheme="majorBidi" w:hAnsiTheme="majorBidi" w:cstheme="majorBidi"/>
          <w:sz w:val="28"/>
          <w:szCs w:val="28"/>
        </w:rPr>
      </w:pPr>
    </w:p>
    <w:p w14:paraId="3999AD83" w14:textId="31AC110B" w:rsidR="00D5598F" w:rsidRDefault="00D5598F" w:rsidP="00D5598F">
      <w:pPr>
        <w:bidi w:val="0"/>
        <w:spacing w:line="360" w:lineRule="auto"/>
        <w:rPr>
          <w:rFonts w:asciiTheme="majorBidi" w:hAnsiTheme="majorBidi" w:cstheme="majorBidi"/>
          <w:sz w:val="28"/>
          <w:szCs w:val="28"/>
        </w:rPr>
      </w:pPr>
    </w:p>
    <w:p w14:paraId="3116A771" w14:textId="4D2268BA" w:rsidR="00D5598F" w:rsidRDefault="00D5598F" w:rsidP="00D5598F">
      <w:pPr>
        <w:bidi w:val="0"/>
        <w:spacing w:line="360" w:lineRule="auto"/>
        <w:rPr>
          <w:rFonts w:asciiTheme="majorBidi" w:hAnsiTheme="majorBidi" w:cstheme="majorBidi"/>
          <w:sz w:val="28"/>
          <w:szCs w:val="28"/>
        </w:rPr>
      </w:pPr>
    </w:p>
    <w:p w14:paraId="064590DC" w14:textId="77777777" w:rsidR="00D5598F" w:rsidRPr="00C3486F" w:rsidRDefault="00D5598F" w:rsidP="00C3486F">
      <w:pPr>
        <w:bidi w:val="0"/>
        <w:ind w:left="125"/>
        <w:jc w:val="center"/>
        <w:rPr>
          <w:rFonts w:asciiTheme="majorBidi" w:hAnsiTheme="majorBidi" w:cstheme="majorBidi"/>
          <w:b/>
          <w:bCs/>
          <w:sz w:val="36"/>
          <w:szCs w:val="36"/>
        </w:rPr>
      </w:pPr>
      <w:r w:rsidRPr="00C3486F">
        <w:rPr>
          <w:rFonts w:asciiTheme="majorBidi" w:hAnsiTheme="majorBidi" w:cstheme="majorBidi"/>
          <w:b/>
          <w:bCs/>
          <w:sz w:val="36"/>
          <w:szCs w:val="36"/>
        </w:rPr>
        <w:t>Table of Contents</w:t>
      </w:r>
    </w:p>
    <w:p w14:paraId="3E3A19A5" w14:textId="160871B9" w:rsidR="00C3486F" w:rsidRPr="00C3486F" w:rsidRDefault="00D5598F" w:rsidP="00C3486F">
      <w:pPr>
        <w:pStyle w:val="10"/>
        <w:bidi w:val="0"/>
        <w:rPr>
          <w:rFonts w:asciiTheme="majorBidi" w:eastAsiaTheme="minorEastAsia" w:hAnsiTheme="majorBidi" w:cstheme="majorBidi"/>
          <w:noProof/>
          <w:kern w:val="0"/>
          <w:sz w:val="24"/>
          <w:rtl/>
          <w14:ligatures w14:val="none"/>
        </w:rPr>
      </w:pPr>
      <w:r w:rsidRPr="00C3486F">
        <w:rPr>
          <w:rFonts w:asciiTheme="majorBidi" w:hAnsiTheme="majorBidi" w:cstheme="majorBidi"/>
          <w:sz w:val="24"/>
        </w:rPr>
        <w:fldChar w:fldCharType="begin"/>
      </w:r>
      <w:r w:rsidRPr="00C3486F">
        <w:rPr>
          <w:rFonts w:asciiTheme="majorBidi" w:hAnsiTheme="majorBidi" w:cstheme="majorBidi"/>
          <w:sz w:val="24"/>
        </w:rPr>
        <w:instrText xml:space="preserve"> TOC \o "1-4" \h \z \u </w:instrText>
      </w:r>
      <w:r w:rsidRPr="00C3486F">
        <w:rPr>
          <w:rFonts w:asciiTheme="majorBidi" w:hAnsiTheme="majorBidi" w:cstheme="majorBidi"/>
          <w:sz w:val="24"/>
        </w:rPr>
        <w:fldChar w:fldCharType="separate"/>
      </w:r>
      <w:hyperlink w:anchor="_Toc214621096" w:history="1">
        <w:r w:rsidR="00C3486F" w:rsidRPr="00C3486F">
          <w:rPr>
            <w:rStyle w:val="Hyperlink"/>
            <w:rFonts w:asciiTheme="majorBidi" w:hAnsiTheme="majorBidi" w:cstheme="majorBidi"/>
            <w:noProof/>
            <w:sz w:val="24"/>
            <w:lang w:bidi="ar-EG"/>
          </w:rPr>
          <w:t>1. Chapter 1: Introduction</w:t>
        </w:r>
        <w:r w:rsidR="00C3486F" w:rsidRPr="00C3486F">
          <w:rPr>
            <w:rFonts w:asciiTheme="majorBidi" w:hAnsiTheme="majorBidi" w:cstheme="majorBidi"/>
            <w:noProof/>
            <w:webHidden/>
            <w:sz w:val="24"/>
            <w:rtl/>
          </w:rPr>
          <w:tab/>
        </w:r>
        <w:r w:rsidR="00C3486F" w:rsidRPr="00C3486F">
          <w:rPr>
            <w:rStyle w:val="Hyperlink"/>
            <w:rFonts w:asciiTheme="majorBidi" w:hAnsiTheme="majorBidi" w:cstheme="majorBidi"/>
            <w:noProof/>
            <w:sz w:val="24"/>
            <w:rtl/>
          </w:rPr>
          <w:fldChar w:fldCharType="begin"/>
        </w:r>
        <w:r w:rsidR="00C3486F" w:rsidRPr="00C3486F">
          <w:rPr>
            <w:rFonts w:asciiTheme="majorBidi" w:hAnsiTheme="majorBidi" w:cstheme="majorBidi"/>
            <w:noProof/>
            <w:webHidden/>
            <w:sz w:val="24"/>
            <w:rtl/>
          </w:rPr>
          <w:instrText xml:space="preserve"> </w:instrText>
        </w:r>
        <w:r w:rsidR="00C3486F" w:rsidRPr="00C3486F">
          <w:rPr>
            <w:rFonts w:asciiTheme="majorBidi" w:hAnsiTheme="majorBidi" w:cstheme="majorBidi"/>
            <w:noProof/>
            <w:webHidden/>
            <w:sz w:val="24"/>
          </w:rPr>
          <w:instrText>PAGEREF</w:instrText>
        </w:r>
        <w:r w:rsidR="00C3486F" w:rsidRPr="00C3486F">
          <w:rPr>
            <w:rFonts w:asciiTheme="majorBidi" w:hAnsiTheme="majorBidi" w:cstheme="majorBidi"/>
            <w:noProof/>
            <w:webHidden/>
            <w:sz w:val="24"/>
            <w:rtl/>
          </w:rPr>
          <w:instrText xml:space="preserve"> _</w:instrText>
        </w:r>
        <w:r w:rsidR="00C3486F" w:rsidRPr="00C3486F">
          <w:rPr>
            <w:rFonts w:asciiTheme="majorBidi" w:hAnsiTheme="majorBidi" w:cstheme="majorBidi"/>
            <w:noProof/>
            <w:webHidden/>
            <w:sz w:val="24"/>
          </w:rPr>
          <w:instrText>Toc214621096 \h</w:instrText>
        </w:r>
        <w:r w:rsidR="00C3486F" w:rsidRPr="00C3486F">
          <w:rPr>
            <w:rFonts w:asciiTheme="majorBidi" w:hAnsiTheme="majorBidi" w:cstheme="majorBidi"/>
            <w:noProof/>
            <w:webHidden/>
            <w:sz w:val="24"/>
            <w:rtl/>
          </w:rPr>
          <w:instrText xml:space="preserve"> </w:instrText>
        </w:r>
        <w:r w:rsidR="00C3486F" w:rsidRPr="00C3486F">
          <w:rPr>
            <w:rStyle w:val="Hyperlink"/>
            <w:rFonts w:asciiTheme="majorBidi" w:hAnsiTheme="majorBidi" w:cstheme="majorBidi"/>
            <w:noProof/>
            <w:sz w:val="24"/>
            <w:rtl/>
          </w:rPr>
        </w:r>
        <w:r w:rsidR="00C3486F"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w:t>
        </w:r>
        <w:r w:rsidR="00C3486F" w:rsidRPr="00C3486F">
          <w:rPr>
            <w:rStyle w:val="Hyperlink"/>
            <w:rFonts w:asciiTheme="majorBidi" w:hAnsiTheme="majorBidi" w:cstheme="majorBidi"/>
            <w:noProof/>
            <w:sz w:val="24"/>
            <w:rtl/>
          </w:rPr>
          <w:fldChar w:fldCharType="end"/>
        </w:r>
      </w:hyperlink>
    </w:p>
    <w:p w14:paraId="55F6B165" w14:textId="6D6B7C52"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097" w:history="1">
        <w:r w:rsidRPr="00C3486F">
          <w:rPr>
            <w:rStyle w:val="Hyperlink"/>
            <w:rFonts w:asciiTheme="majorBidi" w:hAnsiTheme="majorBidi" w:cstheme="majorBidi"/>
            <w:noProof/>
            <w:sz w:val="24"/>
            <w:lang w:bidi="ar-EG"/>
          </w:rPr>
          <w:t>1.1. Overview:</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Toc214621097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2</w:t>
        </w:r>
        <w:r w:rsidRPr="00C3486F">
          <w:rPr>
            <w:rStyle w:val="Hyperlink"/>
            <w:rFonts w:asciiTheme="majorBidi" w:hAnsiTheme="majorBidi" w:cstheme="majorBidi"/>
            <w:noProof/>
            <w:sz w:val="24"/>
            <w:rtl/>
          </w:rPr>
          <w:fldChar w:fldCharType="end"/>
        </w:r>
      </w:hyperlink>
    </w:p>
    <w:p w14:paraId="74006374" w14:textId="7A17DAD0"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098" w:history="1">
        <w:r w:rsidRPr="00C3486F">
          <w:rPr>
            <w:rStyle w:val="Hyperlink"/>
            <w:rFonts w:asciiTheme="majorBidi" w:hAnsiTheme="majorBidi" w:cstheme="majorBidi"/>
            <w:noProof/>
            <w:sz w:val="24"/>
            <w:lang w:bidi="ar-EG"/>
          </w:rPr>
          <w:t>1.2. Research Problem</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Toc214621098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w:t>
        </w:r>
        <w:r w:rsidRPr="00C3486F">
          <w:rPr>
            <w:rStyle w:val="Hyperlink"/>
            <w:rFonts w:asciiTheme="majorBidi" w:hAnsiTheme="majorBidi" w:cstheme="majorBidi"/>
            <w:noProof/>
            <w:sz w:val="24"/>
            <w:rtl/>
          </w:rPr>
          <w:fldChar w:fldCharType="end"/>
        </w:r>
      </w:hyperlink>
    </w:p>
    <w:p w14:paraId="4DF44B55" w14:textId="26E51E4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099" w:history="1">
        <w:r w:rsidRPr="00C3486F">
          <w:rPr>
            <w:rStyle w:val="Hyperlink"/>
            <w:rFonts w:asciiTheme="majorBidi" w:hAnsiTheme="majorBidi" w:cstheme="majorBidi"/>
            <w:noProof/>
            <w:sz w:val="24"/>
            <w:lang w:bidi="ar-EG"/>
          </w:rPr>
          <w:t>1.2.1. Theoretical Gaps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Toc214621099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w:t>
        </w:r>
        <w:r w:rsidRPr="00C3486F">
          <w:rPr>
            <w:rStyle w:val="Hyperlink"/>
            <w:rFonts w:asciiTheme="majorBidi" w:hAnsiTheme="majorBidi" w:cstheme="majorBidi"/>
            <w:noProof/>
            <w:sz w:val="24"/>
            <w:rtl/>
          </w:rPr>
          <w:fldChar w:fldCharType="end"/>
        </w:r>
      </w:hyperlink>
    </w:p>
    <w:p w14:paraId="2FFACED3" w14:textId="18ACBBE8"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00" w:history="1">
        <w:r w:rsidRPr="00C3486F">
          <w:rPr>
            <w:rStyle w:val="Hyperlink"/>
            <w:rFonts w:asciiTheme="majorBidi" w:hAnsiTheme="majorBidi" w:cstheme="majorBidi"/>
            <w:noProof/>
            <w:sz w:val="24"/>
            <w:lang w:bidi="ar-EG"/>
          </w:rPr>
          <w:t>1.2.2. Empirical Gaps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w:t>
        </w:r>
        <w:r w:rsidRPr="00C3486F">
          <w:rPr>
            <w:rStyle w:val="Hyperlink"/>
            <w:rFonts w:asciiTheme="majorBidi" w:hAnsiTheme="majorBidi" w:cstheme="majorBidi"/>
            <w:noProof/>
            <w:sz w:val="24"/>
            <w:rtl/>
          </w:rPr>
          <w:fldChar w:fldCharType="end"/>
        </w:r>
      </w:hyperlink>
    </w:p>
    <w:p w14:paraId="43DD516A" w14:textId="74F32D4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01" w:history="1">
        <w:r w:rsidRPr="00C3486F">
          <w:rPr>
            <w:rStyle w:val="Hyperlink"/>
            <w:rFonts w:asciiTheme="majorBidi" w:hAnsiTheme="majorBidi" w:cstheme="majorBidi"/>
            <w:noProof/>
            <w:sz w:val="24"/>
            <w:lang w:bidi="ar-EG"/>
          </w:rPr>
          <w:t>1.2.3. Main Research Question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w:t>
        </w:r>
        <w:r w:rsidRPr="00C3486F">
          <w:rPr>
            <w:rStyle w:val="Hyperlink"/>
            <w:rFonts w:asciiTheme="majorBidi" w:hAnsiTheme="majorBidi" w:cstheme="majorBidi"/>
            <w:noProof/>
            <w:sz w:val="24"/>
            <w:rtl/>
          </w:rPr>
          <w:fldChar w:fldCharType="end"/>
        </w:r>
      </w:hyperlink>
    </w:p>
    <w:p w14:paraId="1C892467" w14:textId="70C71753"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02" w:history="1">
        <w:r w:rsidRPr="00C3486F">
          <w:rPr>
            <w:rStyle w:val="Hyperlink"/>
            <w:rFonts w:asciiTheme="majorBidi" w:hAnsiTheme="majorBidi" w:cstheme="majorBidi"/>
            <w:noProof/>
            <w:sz w:val="24"/>
            <w:lang w:bidi="ar-EG"/>
          </w:rPr>
          <w:t>1.3. Research Significance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w:t>
        </w:r>
        <w:r w:rsidRPr="00C3486F">
          <w:rPr>
            <w:rStyle w:val="Hyperlink"/>
            <w:rFonts w:asciiTheme="majorBidi" w:hAnsiTheme="majorBidi" w:cstheme="majorBidi"/>
            <w:noProof/>
            <w:sz w:val="24"/>
            <w:rtl/>
          </w:rPr>
          <w:fldChar w:fldCharType="end"/>
        </w:r>
      </w:hyperlink>
    </w:p>
    <w:p w14:paraId="5446558A" w14:textId="6A4FDEDF"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03" w:history="1">
        <w:r w:rsidRPr="00C3486F">
          <w:rPr>
            <w:rStyle w:val="Hyperlink"/>
            <w:rFonts w:asciiTheme="majorBidi" w:hAnsiTheme="majorBidi" w:cstheme="majorBidi"/>
            <w:noProof/>
            <w:sz w:val="24"/>
            <w:lang w:bidi="ar-EG"/>
          </w:rPr>
          <w:t>1.3.1. Theoretical Significance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w:t>
        </w:r>
        <w:r w:rsidRPr="00C3486F">
          <w:rPr>
            <w:rStyle w:val="Hyperlink"/>
            <w:rFonts w:asciiTheme="majorBidi" w:hAnsiTheme="majorBidi" w:cstheme="majorBidi"/>
            <w:noProof/>
            <w:sz w:val="24"/>
            <w:rtl/>
          </w:rPr>
          <w:fldChar w:fldCharType="end"/>
        </w:r>
      </w:hyperlink>
    </w:p>
    <w:p w14:paraId="294C6BF8" w14:textId="6D757EEC"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04" w:history="1">
        <w:r w:rsidRPr="00C3486F">
          <w:rPr>
            <w:rStyle w:val="Hyperlink"/>
            <w:rFonts w:asciiTheme="majorBidi" w:hAnsiTheme="majorBidi" w:cstheme="majorBidi"/>
            <w:b/>
            <w:bCs/>
            <w:noProof/>
            <w:sz w:val="24"/>
            <w:szCs w:val="24"/>
          </w:rPr>
          <w:t>1.3.1.1.</w:t>
        </w:r>
        <w:r w:rsidRPr="00C3486F">
          <w:rPr>
            <w:rStyle w:val="Hyperlink"/>
            <w:rFonts w:asciiTheme="majorBidi" w:hAnsiTheme="majorBidi" w:cstheme="majorBidi"/>
            <w:noProof/>
            <w:sz w:val="24"/>
            <w:szCs w:val="24"/>
          </w:rPr>
          <w:t xml:space="preserve"> Development of a front-to-back integration framework.</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Toc214621104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7</w:t>
        </w:r>
        <w:r w:rsidRPr="00C3486F">
          <w:rPr>
            <w:rStyle w:val="Hyperlink"/>
            <w:rFonts w:asciiTheme="majorBidi" w:hAnsiTheme="majorBidi" w:cstheme="majorBidi"/>
            <w:noProof/>
            <w:sz w:val="24"/>
            <w:szCs w:val="24"/>
            <w:rtl/>
          </w:rPr>
          <w:fldChar w:fldCharType="end"/>
        </w:r>
      </w:hyperlink>
    </w:p>
    <w:p w14:paraId="73D6E4F4" w14:textId="57B483F1"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05" w:history="1">
        <w:r w:rsidRPr="00C3486F">
          <w:rPr>
            <w:rStyle w:val="Hyperlink"/>
            <w:rFonts w:asciiTheme="majorBidi" w:hAnsiTheme="majorBidi" w:cstheme="majorBidi"/>
            <w:b/>
            <w:bCs/>
            <w:noProof/>
            <w:sz w:val="24"/>
            <w:szCs w:val="24"/>
          </w:rPr>
          <w:t>1.3.1.2.</w:t>
        </w:r>
        <w:r w:rsidRPr="00C3486F">
          <w:rPr>
            <w:rStyle w:val="Hyperlink"/>
            <w:rFonts w:asciiTheme="majorBidi" w:hAnsiTheme="majorBidi" w:cstheme="majorBidi"/>
            <w:noProof/>
            <w:sz w:val="24"/>
            <w:szCs w:val="24"/>
          </w:rPr>
          <w:t xml:space="preserve"> Extension to Islamic-finance governance.</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Toc214621105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7</w:t>
        </w:r>
        <w:r w:rsidRPr="00C3486F">
          <w:rPr>
            <w:rStyle w:val="Hyperlink"/>
            <w:rFonts w:asciiTheme="majorBidi" w:hAnsiTheme="majorBidi" w:cstheme="majorBidi"/>
            <w:noProof/>
            <w:sz w:val="24"/>
            <w:szCs w:val="24"/>
            <w:rtl/>
          </w:rPr>
          <w:fldChar w:fldCharType="end"/>
        </w:r>
      </w:hyperlink>
    </w:p>
    <w:p w14:paraId="161A5902" w14:textId="1EC506B8"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06" w:history="1">
        <w:r w:rsidRPr="00C3486F">
          <w:rPr>
            <w:rStyle w:val="Hyperlink"/>
            <w:rFonts w:asciiTheme="majorBidi" w:hAnsiTheme="majorBidi" w:cstheme="majorBidi"/>
            <w:noProof/>
            <w:sz w:val="24"/>
            <w:lang w:bidi="ar-EG"/>
          </w:rPr>
          <w:t>1.3.2. Empirical Significance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w:t>
        </w:r>
        <w:r w:rsidRPr="00C3486F">
          <w:rPr>
            <w:rStyle w:val="Hyperlink"/>
            <w:rFonts w:asciiTheme="majorBidi" w:hAnsiTheme="majorBidi" w:cstheme="majorBidi"/>
            <w:noProof/>
            <w:sz w:val="24"/>
            <w:rtl/>
          </w:rPr>
          <w:fldChar w:fldCharType="end"/>
        </w:r>
      </w:hyperlink>
    </w:p>
    <w:p w14:paraId="0BD558A7" w14:textId="0CA58F4C"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07" w:history="1">
        <w:r w:rsidRPr="00C3486F">
          <w:rPr>
            <w:rStyle w:val="Hyperlink"/>
            <w:rFonts w:asciiTheme="majorBidi" w:hAnsiTheme="majorBidi" w:cstheme="majorBidi"/>
            <w:b/>
            <w:bCs/>
            <w:noProof/>
            <w:sz w:val="24"/>
            <w:szCs w:val="24"/>
          </w:rPr>
          <w:t>1.3.2.1. Validation of collaboration–risk links in a systemically relevant bank.</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Toc214621107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7</w:t>
        </w:r>
        <w:r w:rsidRPr="00C3486F">
          <w:rPr>
            <w:rStyle w:val="Hyperlink"/>
            <w:rFonts w:asciiTheme="majorBidi" w:hAnsiTheme="majorBidi" w:cstheme="majorBidi"/>
            <w:noProof/>
            <w:sz w:val="24"/>
            <w:szCs w:val="24"/>
            <w:rtl/>
          </w:rPr>
          <w:fldChar w:fldCharType="end"/>
        </w:r>
      </w:hyperlink>
    </w:p>
    <w:p w14:paraId="12B6B79E" w14:textId="6303BA8C"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08" w:history="1">
        <w:r w:rsidRPr="00C3486F">
          <w:rPr>
            <w:rStyle w:val="Hyperlink"/>
            <w:rFonts w:asciiTheme="majorBidi" w:hAnsiTheme="majorBidi" w:cstheme="majorBidi"/>
            <w:b/>
            <w:bCs/>
            <w:noProof/>
            <w:sz w:val="24"/>
            <w:szCs w:val="24"/>
          </w:rPr>
          <w:t>1.3.2.2. Generation of actionable design levers for front lines.</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Toc214621108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7</w:t>
        </w:r>
        <w:r w:rsidRPr="00C3486F">
          <w:rPr>
            <w:rStyle w:val="Hyperlink"/>
            <w:rFonts w:asciiTheme="majorBidi" w:hAnsiTheme="majorBidi" w:cstheme="majorBidi"/>
            <w:noProof/>
            <w:sz w:val="24"/>
            <w:szCs w:val="24"/>
            <w:rtl/>
          </w:rPr>
          <w:fldChar w:fldCharType="end"/>
        </w:r>
      </w:hyperlink>
    </w:p>
    <w:p w14:paraId="06AEDDAD" w14:textId="41118839"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09" w:history="1">
        <w:r w:rsidRPr="00C3486F">
          <w:rPr>
            <w:rStyle w:val="Hyperlink"/>
            <w:rFonts w:asciiTheme="majorBidi" w:hAnsiTheme="majorBidi" w:cstheme="majorBidi"/>
            <w:noProof/>
            <w:sz w:val="24"/>
            <w:lang w:bidi="ar-EG"/>
          </w:rPr>
          <w:t>1.4. Research Question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Toc214621109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w:t>
        </w:r>
        <w:r w:rsidRPr="00C3486F">
          <w:rPr>
            <w:rStyle w:val="Hyperlink"/>
            <w:rFonts w:asciiTheme="majorBidi" w:hAnsiTheme="majorBidi" w:cstheme="majorBidi"/>
            <w:noProof/>
            <w:sz w:val="24"/>
            <w:rtl/>
          </w:rPr>
          <w:fldChar w:fldCharType="end"/>
        </w:r>
      </w:hyperlink>
    </w:p>
    <w:p w14:paraId="7D7AEEF1" w14:textId="20917586"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10" w:history="1">
        <w:r w:rsidRPr="00C3486F">
          <w:rPr>
            <w:rStyle w:val="Hyperlink"/>
            <w:rFonts w:asciiTheme="majorBidi" w:hAnsiTheme="majorBidi" w:cstheme="majorBidi"/>
            <w:noProof/>
            <w:sz w:val="24"/>
            <w:lang w:bidi="ar-EG"/>
          </w:rPr>
          <w:t>1.5. Research Objectives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w:t>
        </w:r>
        <w:r w:rsidRPr="00C3486F">
          <w:rPr>
            <w:rStyle w:val="Hyperlink"/>
            <w:rFonts w:asciiTheme="majorBidi" w:hAnsiTheme="majorBidi" w:cstheme="majorBidi"/>
            <w:noProof/>
            <w:sz w:val="24"/>
            <w:rtl/>
          </w:rPr>
          <w:fldChar w:fldCharType="end"/>
        </w:r>
      </w:hyperlink>
    </w:p>
    <w:p w14:paraId="702D7D1F" w14:textId="1563A825"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11" w:history="1">
        <w:r w:rsidRPr="00C3486F">
          <w:rPr>
            <w:rStyle w:val="Hyperlink"/>
            <w:rFonts w:asciiTheme="majorBidi" w:hAnsiTheme="majorBidi" w:cstheme="majorBidi"/>
            <w:noProof/>
            <w:sz w:val="24"/>
            <w:highlight w:val="white"/>
            <w:lang w:bidi="ar-EG"/>
          </w:rPr>
          <w:t>1.6. Research hypotheses: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w:t>
        </w:r>
        <w:r w:rsidRPr="00C3486F">
          <w:rPr>
            <w:rStyle w:val="Hyperlink"/>
            <w:rFonts w:asciiTheme="majorBidi" w:hAnsiTheme="majorBidi" w:cstheme="majorBidi"/>
            <w:noProof/>
            <w:sz w:val="24"/>
            <w:rtl/>
          </w:rPr>
          <w:fldChar w:fldCharType="end"/>
        </w:r>
      </w:hyperlink>
    </w:p>
    <w:p w14:paraId="1C260BEB" w14:textId="5D178DDC"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12" w:history="1">
        <w:r w:rsidRPr="00C3486F">
          <w:rPr>
            <w:rStyle w:val="Hyperlink"/>
            <w:rFonts w:asciiTheme="majorBidi" w:hAnsiTheme="majorBidi" w:cstheme="majorBidi"/>
            <w:noProof/>
            <w:sz w:val="24"/>
            <w:highlight w:val="white"/>
            <w:lang w:bidi="ar-EG"/>
          </w:rPr>
          <w:t>1.7. Research model:</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w:t>
        </w:r>
        <w:r w:rsidRPr="00C3486F">
          <w:rPr>
            <w:rStyle w:val="Hyperlink"/>
            <w:rFonts w:asciiTheme="majorBidi" w:hAnsiTheme="majorBidi" w:cstheme="majorBidi"/>
            <w:noProof/>
            <w:sz w:val="24"/>
            <w:rtl/>
          </w:rPr>
          <w:fldChar w:fldCharType="end"/>
        </w:r>
      </w:hyperlink>
    </w:p>
    <w:p w14:paraId="7AA4015F" w14:textId="777F7495"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13" w:history="1">
        <w:r w:rsidRPr="00C3486F">
          <w:rPr>
            <w:rStyle w:val="Hyperlink"/>
            <w:rFonts w:asciiTheme="majorBidi" w:hAnsiTheme="majorBidi" w:cstheme="majorBidi"/>
            <w:noProof/>
            <w:sz w:val="24"/>
            <w:lang w:bidi="ar-EG"/>
          </w:rPr>
          <w:t>1.8. Scope of the Study</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w:t>
        </w:r>
        <w:r w:rsidRPr="00C3486F">
          <w:rPr>
            <w:rStyle w:val="Hyperlink"/>
            <w:rFonts w:asciiTheme="majorBidi" w:hAnsiTheme="majorBidi" w:cstheme="majorBidi"/>
            <w:noProof/>
            <w:sz w:val="24"/>
            <w:rtl/>
          </w:rPr>
          <w:fldChar w:fldCharType="end"/>
        </w:r>
      </w:hyperlink>
    </w:p>
    <w:p w14:paraId="00D592E6" w14:textId="2DC99EDE"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4" w:history="1">
        <w:r w:rsidRPr="00C3486F">
          <w:rPr>
            <w:rStyle w:val="Hyperlink"/>
            <w:rFonts w:asciiTheme="majorBidi" w:hAnsiTheme="majorBidi" w:cstheme="majorBidi"/>
            <w:noProof/>
            <w:sz w:val="24"/>
            <w:lang w:bidi="ar-EG"/>
          </w:rPr>
          <w:t>1.8.1. Introduction About Al Rajhi Bank</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w:t>
        </w:r>
        <w:r w:rsidRPr="00C3486F">
          <w:rPr>
            <w:rStyle w:val="Hyperlink"/>
            <w:rFonts w:asciiTheme="majorBidi" w:hAnsiTheme="majorBidi" w:cstheme="majorBidi"/>
            <w:noProof/>
            <w:sz w:val="24"/>
            <w:rtl/>
          </w:rPr>
          <w:fldChar w:fldCharType="end"/>
        </w:r>
      </w:hyperlink>
    </w:p>
    <w:p w14:paraId="1C713EEC" w14:textId="00B51331"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5" w:history="1">
        <w:r w:rsidRPr="00C3486F">
          <w:rPr>
            <w:rStyle w:val="Hyperlink"/>
            <w:rFonts w:asciiTheme="majorBidi" w:hAnsiTheme="majorBidi" w:cstheme="majorBidi"/>
            <w:noProof/>
            <w:sz w:val="24"/>
            <w:lang w:bidi="ar-EG"/>
          </w:rPr>
          <w:t>1.8.2. Vision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w:t>
        </w:r>
        <w:r w:rsidRPr="00C3486F">
          <w:rPr>
            <w:rStyle w:val="Hyperlink"/>
            <w:rFonts w:asciiTheme="majorBidi" w:hAnsiTheme="majorBidi" w:cstheme="majorBidi"/>
            <w:noProof/>
            <w:sz w:val="24"/>
            <w:rtl/>
          </w:rPr>
          <w:fldChar w:fldCharType="end"/>
        </w:r>
      </w:hyperlink>
    </w:p>
    <w:p w14:paraId="3F87B482" w14:textId="555C9DA8"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6" w:history="1">
        <w:r w:rsidRPr="00C3486F">
          <w:rPr>
            <w:rStyle w:val="Hyperlink"/>
            <w:rFonts w:asciiTheme="majorBidi" w:hAnsiTheme="majorBidi" w:cstheme="majorBidi"/>
            <w:noProof/>
            <w:sz w:val="24"/>
            <w:lang w:bidi="ar-EG"/>
          </w:rPr>
          <w:t>1.8.3. Mission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5424BD39" w14:textId="24439E0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7" w:history="1">
        <w:r w:rsidRPr="00C3486F">
          <w:rPr>
            <w:rStyle w:val="Hyperlink"/>
            <w:rFonts w:asciiTheme="majorBidi" w:hAnsiTheme="majorBidi" w:cstheme="majorBidi"/>
            <w:noProof/>
            <w:sz w:val="24"/>
            <w:lang w:bidi="ar-EG"/>
          </w:rPr>
          <w:t>1.8.4. Business Lines and Service Context</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207C1BB6" w14:textId="56C6FC73"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8" w:history="1">
        <w:r w:rsidRPr="00C3486F">
          <w:rPr>
            <w:rStyle w:val="Hyperlink"/>
            <w:rFonts w:asciiTheme="majorBidi" w:hAnsiTheme="majorBidi" w:cstheme="majorBidi"/>
            <w:noProof/>
            <w:sz w:val="24"/>
            <w:lang w:bidi="ar-EG"/>
          </w:rPr>
          <w:t>1.8.5. Importance of Studying Al Rajhi Bank</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543FCD16" w14:textId="797267D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19" w:history="1">
        <w:r w:rsidRPr="00C3486F">
          <w:rPr>
            <w:rStyle w:val="Hyperlink"/>
            <w:rFonts w:asciiTheme="majorBidi" w:hAnsiTheme="majorBidi" w:cstheme="majorBidi"/>
            <w:noProof/>
            <w:sz w:val="24"/>
            <w:lang w:bidi="ar-EG"/>
          </w:rPr>
          <w:t>1.8.6. Spatial Scope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Toc214621119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2EABB922" w14:textId="53985162"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0" w:history="1">
        <w:r w:rsidRPr="00C3486F">
          <w:rPr>
            <w:rStyle w:val="Hyperlink"/>
            <w:rFonts w:asciiTheme="majorBidi" w:hAnsiTheme="majorBidi" w:cstheme="majorBidi"/>
            <w:noProof/>
            <w:sz w:val="24"/>
            <w:lang w:bidi="ar-EG"/>
          </w:rPr>
          <w:t>1.8.7. Temporal Scope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0CEA15A9" w14:textId="11DBA794"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1" w:history="1">
        <w:r w:rsidRPr="00C3486F">
          <w:rPr>
            <w:rStyle w:val="Hyperlink"/>
            <w:rFonts w:asciiTheme="majorBidi" w:hAnsiTheme="majorBidi" w:cstheme="majorBidi"/>
            <w:noProof/>
            <w:sz w:val="24"/>
            <w:lang w:bidi="ar-EG"/>
          </w:rPr>
          <w:t>1.8.8. Thematic Scope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0B4DB2BD" w14:textId="6B87681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2" w:history="1">
        <w:r w:rsidRPr="00C3486F">
          <w:rPr>
            <w:rStyle w:val="Hyperlink"/>
            <w:rFonts w:asciiTheme="majorBidi" w:hAnsiTheme="majorBidi" w:cstheme="majorBidi"/>
            <w:noProof/>
            <w:sz w:val="24"/>
            <w:lang w:bidi="ar-EG"/>
          </w:rPr>
          <w:t>1.8.9. Organizational Scope (Inclusions/Exclusions)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w:t>
        </w:r>
        <w:r w:rsidRPr="00C3486F">
          <w:rPr>
            <w:rStyle w:val="Hyperlink"/>
            <w:rFonts w:asciiTheme="majorBidi" w:hAnsiTheme="majorBidi" w:cstheme="majorBidi"/>
            <w:noProof/>
            <w:sz w:val="24"/>
            <w:rtl/>
          </w:rPr>
          <w:fldChar w:fldCharType="end"/>
        </w:r>
      </w:hyperlink>
    </w:p>
    <w:p w14:paraId="3ECEB4EF" w14:textId="6AC7E005"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3" w:history="1">
        <w:r w:rsidRPr="00C3486F">
          <w:rPr>
            <w:rStyle w:val="Hyperlink"/>
            <w:rFonts w:asciiTheme="majorBidi" w:hAnsiTheme="majorBidi" w:cstheme="majorBidi"/>
            <w:noProof/>
            <w:sz w:val="24"/>
            <w:lang w:bidi="ar-EG"/>
          </w:rPr>
          <w:t>1.8.10. Methodological Boundaries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11</w:t>
        </w:r>
        <w:r w:rsidRPr="00C3486F">
          <w:rPr>
            <w:rStyle w:val="Hyperlink"/>
            <w:rFonts w:asciiTheme="majorBidi" w:hAnsiTheme="majorBidi" w:cstheme="majorBidi"/>
            <w:noProof/>
            <w:sz w:val="24"/>
            <w:rtl/>
          </w:rPr>
          <w:fldChar w:fldCharType="end"/>
        </w:r>
      </w:hyperlink>
    </w:p>
    <w:p w14:paraId="1AFFF81D" w14:textId="7CC200D7"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4" w:history="1">
        <w:r w:rsidRPr="00C3486F">
          <w:rPr>
            <w:rStyle w:val="Hyperlink"/>
            <w:rFonts w:asciiTheme="majorBidi" w:hAnsiTheme="majorBidi" w:cstheme="majorBidi"/>
            <w:noProof/>
            <w:sz w:val="24"/>
            <w:lang w:bidi="ar-EG"/>
          </w:rPr>
          <w:t>1.8.11.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11</w:t>
        </w:r>
        <w:r w:rsidRPr="00C3486F">
          <w:rPr>
            <w:rStyle w:val="Hyperlink"/>
            <w:rFonts w:asciiTheme="majorBidi" w:hAnsiTheme="majorBidi" w:cstheme="majorBidi"/>
            <w:noProof/>
            <w:sz w:val="24"/>
            <w:rtl/>
          </w:rPr>
          <w:fldChar w:fldCharType="end"/>
        </w:r>
      </w:hyperlink>
    </w:p>
    <w:p w14:paraId="68DE285B" w14:textId="5CA13D9E"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25" w:history="1">
        <w:r w:rsidRPr="00C3486F">
          <w:rPr>
            <w:rStyle w:val="Hyperlink"/>
            <w:rFonts w:asciiTheme="majorBidi" w:hAnsiTheme="majorBidi" w:cstheme="majorBidi"/>
            <w:noProof/>
            <w:sz w:val="24"/>
            <w:lang w:bidi="ar-EG"/>
          </w:rPr>
          <w:t>1.9. The The Project structure: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11</w:t>
        </w:r>
        <w:r w:rsidRPr="00C3486F">
          <w:rPr>
            <w:rStyle w:val="Hyperlink"/>
            <w:rFonts w:asciiTheme="majorBidi" w:hAnsiTheme="majorBidi" w:cstheme="majorBidi"/>
            <w:noProof/>
            <w:sz w:val="24"/>
            <w:rtl/>
          </w:rPr>
          <w:fldChar w:fldCharType="end"/>
        </w:r>
      </w:hyperlink>
    </w:p>
    <w:p w14:paraId="2DBF1143" w14:textId="2E06634E"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126" w:history="1">
        <w:r w:rsidRPr="00C3486F">
          <w:rPr>
            <w:rStyle w:val="Hyperlink"/>
            <w:rFonts w:asciiTheme="majorBidi" w:hAnsiTheme="majorBidi" w:cstheme="majorBidi"/>
            <w:noProof/>
            <w:sz w:val="24"/>
            <w:lang w:bidi="ar-EG"/>
          </w:rPr>
          <w:t>2. Chapter 2: literature review</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12</w:t>
        </w:r>
        <w:r w:rsidRPr="00C3486F">
          <w:rPr>
            <w:rStyle w:val="Hyperlink"/>
            <w:rFonts w:asciiTheme="majorBidi" w:hAnsiTheme="majorBidi" w:cstheme="majorBidi"/>
            <w:noProof/>
            <w:sz w:val="24"/>
            <w:rtl/>
          </w:rPr>
          <w:fldChar w:fldCharType="end"/>
        </w:r>
      </w:hyperlink>
    </w:p>
    <w:p w14:paraId="160607E4" w14:textId="4A97FAEE"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27" w:history="1">
        <w:r w:rsidRPr="00C3486F">
          <w:rPr>
            <w:rStyle w:val="Hyperlink"/>
            <w:rFonts w:asciiTheme="majorBidi" w:hAnsiTheme="majorBidi" w:cstheme="majorBidi"/>
            <w:noProof/>
            <w:sz w:val="24"/>
            <w:lang w:bidi="ar-EG"/>
          </w:rPr>
          <w:t>2.1. Introduction: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13</w:t>
        </w:r>
        <w:r w:rsidRPr="00C3486F">
          <w:rPr>
            <w:rStyle w:val="Hyperlink"/>
            <w:rFonts w:asciiTheme="majorBidi" w:hAnsiTheme="majorBidi" w:cstheme="majorBidi"/>
            <w:noProof/>
            <w:sz w:val="24"/>
            <w:rtl/>
          </w:rPr>
          <w:fldChar w:fldCharType="end"/>
        </w:r>
      </w:hyperlink>
    </w:p>
    <w:p w14:paraId="0069736C" w14:textId="7AEAB17E"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28" w:history="1">
        <w:r w:rsidRPr="00C3486F">
          <w:rPr>
            <w:rStyle w:val="Hyperlink"/>
            <w:rFonts w:asciiTheme="majorBidi" w:hAnsiTheme="majorBidi" w:cstheme="majorBidi"/>
            <w:noProof/>
            <w:sz w:val="24"/>
            <w:lang w:bidi="ar-EG"/>
          </w:rPr>
          <w:t>2.2. Functional Relationship between Account Managers and Sales Teams (IV)</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13</w:t>
        </w:r>
        <w:r w:rsidRPr="00C3486F">
          <w:rPr>
            <w:rStyle w:val="Hyperlink"/>
            <w:rFonts w:asciiTheme="majorBidi" w:hAnsiTheme="majorBidi" w:cstheme="majorBidi"/>
            <w:noProof/>
            <w:sz w:val="24"/>
            <w:rtl/>
          </w:rPr>
          <w:fldChar w:fldCharType="end"/>
        </w:r>
      </w:hyperlink>
    </w:p>
    <w:p w14:paraId="687DB58C" w14:textId="0863CFE2"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29" w:history="1">
        <w:r w:rsidRPr="00C3486F">
          <w:rPr>
            <w:rStyle w:val="Hyperlink"/>
            <w:rFonts w:asciiTheme="majorBidi" w:hAnsiTheme="majorBidi" w:cstheme="majorBidi"/>
            <w:noProof/>
            <w:sz w:val="24"/>
            <w:lang w:bidi="ar-EG"/>
          </w:rPr>
          <w:t>2.2.1. Conceptualization and Definitions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Toc214621129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14</w:t>
        </w:r>
        <w:r w:rsidRPr="00C3486F">
          <w:rPr>
            <w:rStyle w:val="Hyperlink"/>
            <w:rFonts w:asciiTheme="majorBidi" w:hAnsiTheme="majorBidi" w:cstheme="majorBidi"/>
            <w:noProof/>
            <w:sz w:val="24"/>
            <w:rtl/>
          </w:rPr>
          <w:fldChar w:fldCharType="end"/>
        </w:r>
      </w:hyperlink>
    </w:p>
    <w:p w14:paraId="39AAA85C" w14:textId="1AE6DD66"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30" w:history="1">
        <w:r w:rsidRPr="00C3486F">
          <w:rPr>
            <w:rStyle w:val="Hyperlink"/>
            <w:rFonts w:asciiTheme="majorBidi" w:hAnsiTheme="majorBidi" w:cstheme="majorBidi"/>
            <w:b/>
            <w:bCs/>
            <w:noProof/>
            <w:sz w:val="24"/>
            <w:szCs w:val="24"/>
          </w:rPr>
          <w:t>2.2.1.1.</w:t>
        </w:r>
        <w:r w:rsidRPr="00C3486F">
          <w:rPr>
            <w:rStyle w:val="Hyperlink"/>
            <w:rFonts w:asciiTheme="majorBidi" w:hAnsiTheme="majorBidi" w:cstheme="majorBidi"/>
            <w:noProof/>
            <w:sz w:val="24"/>
            <w:szCs w:val="24"/>
          </w:rPr>
          <w:t xml:space="preserve"> Front-to-Back Execution: Defining Role Boundaries between AM and Sales</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Toc214621130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15</w:t>
        </w:r>
        <w:r w:rsidRPr="00C3486F">
          <w:rPr>
            <w:rStyle w:val="Hyperlink"/>
            <w:rFonts w:asciiTheme="majorBidi" w:hAnsiTheme="majorBidi" w:cstheme="majorBidi"/>
            <w:noProof/>
            <w:sz w:val="24"/>
            <w:szCs w:val="24"/>
            <w:rtl/>
          </w:rPr>
          <w:fldChar w:fldCharType="end"/>
        </w:r>
      </w:hyperlink>
    </w:p>
    <w:p w14:paraId="630993E2" w14:textId="10A172C0"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31" w:history="1">
        <w:r w:rsidRPr="00C3486F">
          <w:rPr>
            <w:rStyle w:val="Hyperlink"/>
            <w:rFonts w:asciiTheme="majorBidi" w:hAnsiTheme="majorBidi" w:cstheme="majorBidi"/>
            <w:noProof/>
            <w:sz w:val="24"/>
          </w:rPr>
          <w:t>2.2.2.</w:t>
        </w:r>
        <w:r w:rsidRPr="00C3486F">
          <w:rPr>
            <w:rStyle w:val="Hyperlink"/>
            <w:rFonts w:asciiTheme="majorBidi" w:hAnsiTheme="majorBidi" w:cstheme="majorBidi"/>
            <w:noProof/>
            <w:sz w:val="24"/>
            <w:lang w:bidi="ar-EG"/>
          </w:rPr>
          <w:t xml:space="preserve"> Theoretical Foundations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Toc214621131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16</w:t>
        </w:r>
        <w:r w:rsidRPr="00C3486F">
          <w:rPr>
            <w:rStyle w:val="Hyperlink"/>
            <w:rFonts w:asciiTheme="majorBidi" w:hAnsiTheme="majorBidi" w:cstheme="majorBidi"/>
            <w:noProof/>
            <w:sz w:val="24"/>
            <w:rtl/>
          </w:rPr>
          <w:fldChar w:fldCharType="end"/>
        </w:r>
      </w:hyperlink>
    </w:p>
    <w:p w14:paraId="017B235E" w14:textId="7272D26D"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32" w:history="1">
        <w:r w:rsidRPr="00C3486F">
          <w:rPr>
            <w:rStyle w:val="Hyperlink"/>
            <w:rFonts w:asciiTheme="majorBidi" w:hAnsiTheme="majorBidi" w:cstheme="majorBidi"/>
            <w:b/>
            <w:bCs/>
            <w:noProof/>
            <w:sz w:val="24"/>
            <w:szCs w:val="24"/>
          </w:rPr>
          <w:t>2.2.2.1.</w:t>
        </w:r>
        <w:r w:rsidRPr="00C3486F">
          <w:rPr>
            <w:rStyle w:val="Hyperlink"/>
            <w:rFonts w:asciiTheme="majorBidi" w:hAnsiTheme="majorBidi" w:cstheme="majorBidi"/>
            <w:noProof/>
            <w:sz w:val="24"/>
            <w:szCs w:val="24"/>
          </w:rPr>
          <w:t xml:space="preserve"> Organizational Integration</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Toc214621132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16</w:t>
        </w:r>
        <w:r w:rsidRPr="00C3486F">
          <w:rPr>
            <w:rStyle w:val="Hyperlink"/>
            <w:rFonts w:asciiTheme="majorBidi" w:hAnsiTheme="majorBidi" w:cstheme="majorBidi"/>
            <w:noProof/>
            <w:sz w:val="24"/>
            <w:szCs w:val="24"/>
            <w:rtl/>
          </w:rPr>
          <w:fldChar w:fldCharType="end"/>
        </w:r>
      </w:hyperlink>
    </w:p>
    <w:p w14:paraId="6C086D97" w14:textId="1ACB3974"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33" w:history="1">
        <w:r w:rsidRPr="00C3486F">
          <w:rPr>
            <w:rStyle w:val="Hyperlink"/>
            <w:rFonts w:asciiTheme="majorBidi" w:hAnsiTheme="majorBidi" w:cstheme="majorBidi"/>
            <w:b/>
            <w:bCs/>
            <w:noProof/>
            <w:sz w:val="24"/>
            <w:szCs w:val="24"/>
          </w:rPr>
          <w:t>2.2.2.2.</w:t>
        </w:r>
        <w:r w:rsidRPr="00C3486F">
          <w:rPr>
            <w:rStyle w:val="Hyperlink"/>
            <w:rFonts w:asciiTheme="majorBidi" w:hAnsiTheme="majorBidi" w:cstheme="majorBidi"/>
            <w:noProof/>
            <w:sz w:val="24"/>
            <w:szCs w:val="24"/>
          </w:rPr>
          <w:t xml:space="preserve"> Information-Processing</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Toc214621133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17</w:t>
        </w:r>
        <w:r w:rsidRPr="00C3486F">
          <w:rPr>
            <w:rStyle w:val="Hyperlink"/>
            <w:rFonts w:asciiTheme="majorBidi" w:hAnsiTheme="majorBidi" w:cstheme="majorBidi"/>
            <w:noProof/>
            <w:sz w:val="24"/>
            <w:szCs w:val="24"/>
            <w:rtl/>
          </w:rPr>
          <w:fldChar w:fldCharType="end"/>
        </w:r>
      </w:hyperlink>
    </w:p>
    <w:p w14:paraId="1A612CA6" w14:textId="054DC727"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34" w:history="1">
        <w:r w:rsidRPr="00C3486F">
          <w:rPr>
            <w:rStyle w:val="Hyperlink"/>
            <w:rFonts w:asciiTheme="majorBidi" w:hAnsiTheme="majorBidi" w:cstheme="majorBidi"/>
            <w:b/>
            <w:bCs/>
            <w:noProof/>
            <w:sz w:val="24"/>
            <w:szCs w:val="24"/>
          </w:rPr>
          <w:t>2.2.2.3.</w:t>
        </w:r>
        <w:r w:rsidRPr="00C3486F">
          <w:rPr>
            <w:rStyle w:val="Hyperlink"/>
            <w:rFonts w:asciiTheme="majorBidi" w:hAnsiTheme="majorBidi" w:cstheme="majorBidi"/>
            <w:noProof/>
            <w:sz w:val="24"/>
            <w:szCs w:val="24"/>
          </w:rPr>
          <w:t xml:space="preserve"> Three Lines Model</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Toc214621134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17</w:t>
        </w:r>
        <w:r w:rsidRPr="00C3486F">
          <w:rPr>
            <w:rStyle w:val="Hyperlink"/>
            <w:rFonts w:asciiTheme="majorBidi" w:hAnsiTheme="majorBidi" w:cstheme="majorBidi"/>
            <w:noProof/>
            <w:sz w:val="24"/>
            <w:szCs w:val="24"/>
            <w:rtl/>
          </w:rPr>
          <w:fldChar w:fldCharType="end"/>
        </w:r>
      </w:hyperlink>
    </w:p>
    <w:p w14:paraId="1CFAA5D0" w14:textId="40B6F2A7"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35" w:history="1">
        <w:r w:rsidRPr="00C3486F">
          <w:rPr>
            <w:rStyle w:val="Hyperlink"/>
            <w:rFonts w:asciiTheme="majorBidi" w:hAnsiTheme="majorBidi" w:cstheme="majorBidi"/>
            <w:b/>
            <w:bCs/>
            <w:noProof/>
            <w:sz w:val="24"/>
            <w:szCs w:val="24"/>
          </w:rPr>
          <w:t>2.2.2.4.</w:t>
        </w:r>
        <w:r w:rsidRPr="00C3486F">
          <w:rPr>
            <w:rStyle w:val="Hyperlink"/>
            <w:rFonts w:asciiTheme="majorBidi" w:hAnsiTheme="majorBidi" w:cstheme="majorBidi"/>
            <w:noProof/>
            <w:sz w:val="24"/>
            <w:szCs w:val="24"/>
          </w:rPr>
          <w:t xml:space="preserve"> Governance &amp; Escalation Logic</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Toc214621135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18</w:t>
        </w:r>
        <w:r w:rsidRPr="00C3486F">
          <w:rPr>
            <w:rStyle w:val="Hyperlink"/>
            <w:rFonts w:asciiTheme="majorBidi" w:hAnsiTheme="majorBidi" w:cstheme="majorBidi"/>
            <w:noProof/>
            <w:sz w:val="24"/>
            <w:szCs w:val="24"/>
            <w:rtl/>
          </w:rPr>
          <w:fldChar w:fldCharType="end"/>
        </w:r>
      </w:hyperlink>
    </w:p>
    <w:p w14:paraId="56B7D74E" w14:textId="06308E4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36" w:history="1">
        <w:r w:rsidRPr="00C3486F">
          <w:rPr>
            <w:rStyle w:val="Hyperlink"/>
            <w:rFonts w:asciiTheme="majorBidi" w:hAnsiTheme="majorBidi" w:cstheme="majorBidi"/>
            <w:noProof/>
            <w:sz w:val="24"/>
            <w:lang w:bidi="ar-EG"/>
          </w:rPr>
          <w:t>2.2.3. Communication Quality and Cadence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Toc214621136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19</w:t>
        </w:r>
        <w:r w:rsidRPr="00C3486F">
          <w:rPr>
            <w:rStyle w:val="Hyperlink"/>
            <w:rFonts w:asciiTheme="majorBidi" w:hAnsiTheme="majorBidi" w:cstheme="majorBidi"/>
            <w:noProof/>
            <w:sz w:val="24"/>
            <w:rtl/>
          </w:rPr>
          <w:fldChar w:fldCharType="end"/>
        </w:r>
      </w:hyperlink>
    </w:p>
    <w:p w14:paraId="65CBB4C2" w14:textId="20E7442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37" w:history="1">
        <w:r w:rsidRPr="00C3486F">
          <w:rPr>
            <w:rStyle w:val="Hyperlink"/>
            <w:rFonts w:asciiTheme="majorBidi" w:hAnsiTheme="majorBidi" w:cstheme="majorBidi"/>
            <w:noProof/>
            <w:sz w:val="24"/>
            <w:lang w:bidi="ar-EG"/>
          </w:rPr>
          <w:t>2.2.4. Information Sharing and Data Integration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Toc214621137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21</w:t>
        </w:r>
        <w:r w:rsidRPr="00C3486F">
          <w:rPr>
            <w:rStyle w:val="Hyperlink"/>
            <w:rFonts w:asciiTheme="majorBidi" w:hAnsiTheme="majorBidi" w:cstheme="majorBidi"/>
            <w:noProof/>
            <w:sz w:val="24"/>
            <w:rtl/>
          </w:rPr>
          <w:fldChar w:fldCharType="end"/>
        </w:r>
      </w:hyperlink>
    </w:p>
    <w:p w14:paraId="52E2661E" w14:textId="7D780F33"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38" w:history="1">
        <w:r w:rsidRPr="00C3486F">
          <w:rPr>
            <w:rStyle w:val="Hyperlink"/>
            <w:rFonts w:asciiTheme="majorBidi" w:hAnsiTheme="majorBidi" w:cstheme="majorBidi"/>
            <w:noProof/>
            <w:sz w:val="24"/>
            <w:lang w:bidi="ar-EG"/>
          </w:rPr>
          <w:t>2.2.5. Goal / KPI and Incentive Alignment</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Toc214621138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24</w:t>
        </w:r>
        <w:r w:rsidRPr="00C3486F">
          <w:rPr>
            <w:rStyle w:val="Hyperlink"/>
            <w:rFonts w:asciiTheme="majorBidi" w:hAnsiTheme="majorBidi" w:cstheme="majorBidi"/>
            <w:noProof/>
            <w:sz w:val="24"/>
            <w:rtl/>
          </w:rPr>
          <w:fldChar w:fldCharType="end"/>
        </w:r>
      </w:hyperlink>
    </w:p>
    <w:p w14:paraId="52747F77" w14:textId="59AD6ECD"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39" w:history="1">
        <w:r w:rsidRPr="00C3486F">
          <w:rPr>
            <w:rStyle w:val="Hyperlink"/>
            <w:rFonts w:asciiTheme="majorBidi" w:hAnsiTheme="majorBidi" w:cstheme="majorBidi"/>
            <w:noProof/>
            <w:sz w:val="24"/>
            <w:lang w:bidi="ar-EG"/>
          </w:rPr>
          <w:t>2.2.6. Decision Rights and Escalation Clarity (RACI Framework)</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Toc214621139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26</w:t>
        </w:r>
        <w:r w:rsidRPr="00C3486F">
          <w:rPr>
            <w:rStyle w:val="Hyperlink"/>
            <w:rFonts w:asciiTheme="majorBidi" w:hAnsiTheme="majorBidi" w:cstheme="majorBidi"/>
            <w:noProof/>
            <w:sz w:val="24"/>
            <w:rtl/>
          </w:rPr>
          <w:fldChar w:fldCharType="end"/>
        </w:r>
      </w:hyperlink>
    </w:p>
    <w:p w14:paraId="5A4AC7A7" w14:textId="76ACB13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0" w:history="1">
        <w:r w:rsidRPr="00C3486F">
          <w:rPr>
            <w:rStyle w:val="Hyperlink"/>
            <w:rFonts w:asciiTheme="majorBidi" w:hAnsiTheme="majorBidi" w:cstheme="majorBidi"/>
            <w:noProof/>
            <w:sz w:val="24"/>
            <w:lang w:bidi="ar-EG"/>
          </w:rPr>
          <w:t>2.2.7. Cross-Functional Governance in Islamic Banks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29</w:t>
        </w:r>
        <w:r w:rsidRPr="00C3486F">
          <w:rPr>
            <w:rStyle w:val="Hyperlink"/>
            <w:rFonts w:asciiTheme="majorBidi" w:hAnsiTheme="majorBidi" w:cstheme="majorBidi"/>
            <w:noProof/>
            <w:sz w:val="24"/>
            <w:rtl/>
          </w:rPr>
          <w:fldChar w:fldCharType="end"/>
        </w:r>
      </w:hyperlink>
    </w:p>
    <w:p w14:paraId="01DA4031" w14:textId="6388ABF0"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1" w:history="1">
        <w:r w:rsidRPr="00C3486F">
          <w:rPr>
            <w:rStyle w:val="Hyperlink"/>
            <w:rFonts w:asciiTheme="majorBidi" w:hAnsiTheme="majorBidi" w:cstheme="majorBidi"/>
            <w:noProof/>
            <w:sz w:val="24"/>
            <w:lang w:bidi="ar-EG"/>
          </w:rPr>
          <w:t>2.2.8. Digital and Third-Party Interdependencies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31</w:t>
        </w:r>
        <w:r w:rsidRPr="00C3486F">
          <w:rPr>
            <w:rStyle w:val="Hyperlink"/>
            <w:rFonts w:asciiTheme="majorBidi" w:hAnsiTheme="majorBidi" w:cstheme="majorBidi"/>
            <w:noProof/>
            <w:sz w:val="24"/>
            <w:rtl/>
          </w:rPr>
          <w:fldChar w:fldCharType="end"/>
        </w:r>
      </w:hyperlink>
    </w:p>
    <w:p w14:paraId="2CDD4835" w14:textId="5CCD292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2" w:history="1">
        <w:r w:rsidRPr="00C3486F">
          <w:rPr>
            <w:rStyle w:val="Hyperlink"/>
            <w:rFonts w:asciiTheme="majorBidi" w:hAnsiTheme="majorBidi" w:cstheme="majorBidi"/>
            <w:noProof/>
            <w:sz w:val="24"/>
            <w:lang w:bidi="ar-EG"/>
          </w:rPr>
          <w:t>2.2.9. Measurement Approaches in Prior Studies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33</w:t>
        </w:r>
        <w:r w:rsidRPr="00C3486F">
          <w:rPr>
            <w:rStyle w:val="Hyperlink"/>
            <w:rFonts w:asciiTheme="majorBidi" w:hAnsiTheme="majorBidi" w:cstheme="majorBidi"/>
            <w:noProof/>
            <w:sz w:val="24"/>
            <w:rtl/>
          </w:rPr>
          <w:fldChar w:fldCharType="end"/>
        </w:r>
      </w:hyperlink>
    </w:p>
    <w:p w14:paraId="4027D9C5" w14:textId="3E349BA5"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43" w:history="1">
        <w:r w:rsidRPr="00C3486F">
          <w:rPr>
            <w:rStyle w:val="Hyperlink"/>
            <w:rFonts w:asciiTheme="majorBidi" w:hAnsiTheme="majorBidi" w:cstheme="majorBidi"/>
            <w:noProof/>
            <w:sz w:val="24"/>
            <w:lang w:bidi="ar-EG"/>
          </w:rPr>
          <w:t>2.3. Risk Management Effectiveness (DV)</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36</w:t>
        </w:r>
        <w:r w:rsidRPr="00C3486F">
          <w:rPr>
            <w:rStyle w:val="Hyperlink"/>
            <w:rFonts w:asciiTheme="majorBidi" w:hAnsiTheme="majorBidi" w:cstheme="majorBidi"/>
            <w:noProof/>
            <w:sz w:val="24"/>
            <w:rtl/>
          </w:rPr>
          <w:fldChar w:fldCharType="end"/>
        </w:r>
      </w:hyperlink>
    </w:p>
    <w:p w14:paraId="53DA341B" w14:textId="5EAD80D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4" w:history="1">
        <w:r w:rsidRPr="00C3486F">
          <w:rPr>
            <w:rStyle w:val="Hyperlink"/>
            <w:rFonts w:asciiTheme="majorBidi" w:hAnsiTheme="majorBidi" w:cstheme="majorBidi"/>
            <w:noProof/>
            <w:sz w:val="24"/>
            <w:lang w:bidi="ar-EG"/>
          </w:rPr>
          <w:t>2.3.1. Conceptualization and Scope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37</w:t>
        </w:r>
        <w:r w:rsidRPr="00C3486F">
          <w:rPr>
            <w:rStyle w:val="Hyperlink"/>
            <w:rFonts w:asciiTheme="majorBidi" w:hAnsiTheme="majorBidi" w:cstheme="majorBidi"/>
            <w:noProof/>
            <w:sz w:val="24"/>
            <w:rtl/>
          </w:rPr>
          <w:fldChar w:fldCharType="end"/>
        </w:r>
      </w:hyperlink>
    </w:p>
    <w:p w14:paraId="750DCBF8" w14:textId="139175FD"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5" w:history="1">
        <w:r w:rsidRPr="00C3486F">
          <w:rPr>
            <w:rStyle w:val="Hyperlink"/>
            <w:rFonts w:asciiTheme="majorBidi" w:hAnsiTheme="majorBidi" w:cstheme="majorBidi"/>
            <w:noProof/>
            <w:sz w:val="24"/>
            <w:lang w:bidi="ar-EG"/>
          </w:rPr>
          <w:t>2.3.2. Framework Anchors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38</w:t>
        </w:r>
        <w:r w:rsidRPr="00C3486F">
          <w:rPr>
            <w:rStyle w:val="Hyperlink"/>
            <w:rFonts w:asciiTheme="majorBidi" w:hAnsiTheme="majorBidi" w:cstheme="majorBidi"/>
            <w:noProof/>
            <w:sz w:val="24"/>
            <w:rtl/>
          </w:rPr>
          <w:fldChar w:fldCharType="end"/>
        </w:r>
      </w:hyperlink>
    </w:p>
    <w:p w14:paraId="2D56D2F8" w14:textId="0AE9D312"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6" w:history="1">
        <w:r w:rsidRPr="00C3486F">
          <w:rPr>
            <w:rStyle w:val="Hyperlink"/>
            <w:rFonts w:asciiTheme="majorBidi" w:hAnsiTheme="majorBidi" w:cstheme="majorBidi"/>
            <w:noProof/>
            <w:sz w:val="24"/>
            <w:lang w:bidi="ar-EG"/>
          </w:rPr>
          <w:t>2.3.3. Early Risk Identification and Onboarding Quality</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40</w:t>
        </w:r>
        <w:r w:rsidRPr="00C3486F">
          <w:rPr>
            <w:rStyle w:val="Hyperlink"/>
            <w:rFonts w:asciiTheme="majorBidi" w:hAnsiTheme="majorBidi" w:cstheme="majorBidi"/>
            <w:noProof/>
            <w:sz w:val="24"/>
            <w:rtl/>
          </w:rPr>
          <w:fldChar w:fldCharType="end"/>
        </w:r>
      </w:hyperlink>
    </w:p>
    <w:p w14:paraId="76E840E4" w14:textId="5B070304"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7" w:history="1">
        <w:r w:rsidRPr="00C3486F">
          <w:rPr>
            <w:rStyle w:val="Hyperlink"/>
            <w:rFonts w:asciiTheme="majorBidi" w:hAnsiTheme="majorBidi" w:cstheme="majorBidi"/>
            <w:noProof/>
            <w:sz w:val="24"/>
            <w:lang w:bidi="ar-EG"/>
          </w:rPr>
          <w:t>2.3.4. Credit Discipline and Outcomes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42</w:t>
        </w:r>
        <w:r w:rsidRPr="00C3486F">
          <w:rPr>
            <w:rStyle w:val="Hyperlink"/>
            <w:rFonts w:asciiTheme="majorBidi" w:hAnsiTheme="majorBidi" w:cstheme="majorBidi"/>
            <w:noProof/>
            <w:sz w:val="24"/>
            <w:rtl/>
          </w:rPr>
          <w:fldChar w:fldCharType="end"/>
        </w:r>
      </w:hyperlink>
    </w:p>
    <w:p w14:paraId="470E7200" w14:textId="5393D09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8" w:history="1">
        <w:r w:rsidRPr="00C3486F">
          <w:rPr>
            <w:rStyle w:val="Hyperlink"/>
            <w:rFonts w:asciiTheme="majorBidi" w:hAnsiTheme="majorBidi" w:cstheme="majorBidi"/>
            <w:noProof/>
            <w:sz w:val="24"/>
            <w:lang w:bidi="ar-EG"/>
          </w:rPr>
          <w:t>2.3.5. Liquidity and Market-Risk Fit at Origination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46</w:t>
        </w:r>
        <w:r w:rsidRPr="00C3486F">
          <w:rPr>
            <w:rStyle w:val="Hyperlink"/>
            <w:rFonts w:asciiTheme="majorBidi" w:hAnsiTheme="majorBidi" w:cstheme="majorBidi"/>
            <w:noProof/>
            <w:sz w:val="24"/>
            <w:rtl/>
          </w:rPr>
          <w:fldChar w:fldCharType="end"/>
        </w:r>
      </w:hyperlink>
    </w:p>
    <w:p w14:paraId="1038378E" w14:textId="25C8D9C2"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49" w:history="1">
        <w:r w:rsidRPr="00C3486F">
          <w:rPr>
            <w:rStyle w:val="Hyperlink"/>
            <w:rFonts w:asciiTheme="majorBidi" w:hAnsiTheme="majorBidi" w:cstheme="majorBidi"/>
            <w:noProof/>
            <w:sz w:val="24"/>
            <w:lang w:bidi="ar-EG"/>
          </w:rPr>
          <w:t>2.3.6. Operational Resilience and Third-Party Risk Control</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Toc214621149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48</w:t>
        </w:r>
        <w:r w:rsidRPr="00C3486F">
          <w:rPr>
            <w:rStyle w:val="Hyperlink"/>
            <w:rFonts w:asciiTheme="majorBidi" w:hAnsiTheme="majorBidi" w:cstheme="majorBidi"/>
            <w:noProof/>
            <w:sz w:val="24"/>
            <w:rtl/>
          </w:rPr>
          <w:fldChar w:fldCharType="end"/>
        </w:r>
      </w:hyperlink>
    </w:p>
    <w:p w14:paraId="57B7F5FC" w14:textId="0A71670D"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0" w:history="1">
        <w:r w:rsidRPr="00C3486F">
          <w:rPr>
            <w:rStyle w:val="Hyperlink"/>
            <w:rFonts w:asciiTheme="majorBidi" w:hAnsiTheme="majorBidi" w:cstheme="majorBidi"/>
            <w:noProof/>
            <w:sz w:val="24"/>
            <w:lang w:bidi="ar-EG"/>
          </w:rPr>
          <w:t>2.3.7. Measurement in Prior Studies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51</w:t>
        </w:r>
        <w:r w:rsidRPr="00C3486F">
          <w:rPr>
            <w:rStyle w:val="Hyperlink"/>
            <w:rFonts w:asciiTheme="majorBidi" w:hAnsiTheme="majorBidi" w:cstheme="majorBidi"/>
            <w:noProof/>
            <w:sz w:val="24"/>
            <w:rtl/>
          </w:rPr>
          <w:fldChar w:fldCharType="end"/>
        </w:r>
      </w:hyperlink>
    </w:p>
    <w:p w14:paraId="4764B59D" w14:textId="635E8955"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51" w:history="1">
        <w:r w:rsidRPr="00C3486F">
          <w:rPr>
            <w:rStyle w:val="Hyperlink"/>
            <w:rFonts w:asciiTheme="majorBidi" w:hAnsiTheme="majorBidi" w:cstheme="majorBidi"/>
            <w:noProof/>
            <w:sz w:val="24"/>
            <w:lang w:bidi="ar-EG"/>
          </w:rPr>
          <w:t>2.4. Context: GCC/Saudi &amp; Islamic-Banking Evidence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54</w:t>
        </w:r>
        <w:r w:rsidRPr="00C3486F">
          <w:rPr>
            <w:rStyle w:val="Hyperlink"/>
            <w:rFonts w:asciiTheme="majorBidi" w:hAnsiTheme="majorBidi" w:cstheme="majorBidi"/>
            <w:noProof/>
            <w:sz w:val="24"/>
            <w:rtl/>
          </w:rPr>
          <w:fldChar w:fldCharType="end"/>
        </w:r>
      </w:hyperlink>
    </w:p>
    <w:p w14:paraId="7D98258B" w14:textId="49FC122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2" w:history="1">
        <w:r w:rsidRPr="00C3486F">
          <w:rPr>
            <w:rStyle w:val="Hyperlink"/>
            <w:rFonts w:asciiTheme="majorBidi" w:hAnsiTheme="majorBidi" w:cstheme="majorBidi"/>
            <w:noProof/>
            <w:sz w:val="24"/>
            <w:lang w:bidi="ar-EG"/>
          </w:rPr>
          <w:t>2.4.1. Purpose and Link to Model</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55</w:t>
        </w:r>
        <w:r w:rsidRPr="00C3486F">
          <w:rPr>
            <w:rStyle w:val="Hyperlink"/>
            <w:rFonts w:asciiTheme="majorBidi" w:hAnsiTheme="majorBidi" w:cstheme="majorBidi"/>
            <w:noProof/>
            <w:sz w:val="24"/>
            <w:rtl/>
          </w:rPr>
          <w:fldChar w:fldCharType="end"/>
        </w:r>
      </w:hyperlink>
    </w:p>
    <w:p w14:paraId="50E539B6" w14:textId="514A9A82"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3" w:history="1">
        <w:r w:rsidRPr="00C3486F">
          <w:rPr>
            <w:rStyle w:val="Hyperlink"/>
            <w:rFonts w:asciiTheme="majorBidi" w:hAnsiTheme="majorBidi" w:cstheme="majorBidi"/>
            <w:noProof/>
            <w:sz w:val="24"/>
            <w:lang w:bidi="ar-EG"/>
          </w:rPr>
          <w:t>2.4.2. Sector Structure in Saudi/GCC</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56</w:t>
        </w:r>
        <w:r w:rsidRPr="00C3486F">
          <w:rPr>
            <w:rStyle w:val="Hyperlink"/>
            <w:rFonts w:asciiTheme="majorBidi" w:hAnsiTheme="majorBidi" w:cstheme="majorBidi"/>
            <w:noProof/>
            <w:sz w:val="24"/>
            <w:rtl/>
          </w:rPr>
          <w:fldChar w:fldCharType="end"/>
        </w:r>
      </w:hyperlink>
    </w:p>
    <w:p w14:paraId="04E3CA78" w14:textId="0F666C37"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4" w:history="1">
        <w:r w:rsidRPr="00C3486F">
          <w:rPr>
            <w:rStyle w:val="Hyperlink"/>
            <w:rFonts w:asciiTheme="majorBidi" w:hAnsiTheme="majorBidi" w:cstheme="majorBidi"/>
            <w:noProof/>
            <w:sz w:val="24"/>
            <w:lang w:bidi="ar-EG"/>
          </w:rPr>
          <w:t>2.4.3. Product Mix and Contract Forms.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58</w:t>
        </w:r>
        <w:r w:rsidRPr="00C3486F">
          <w:rPr>
            <w:rStyle w:val="Hyperlink"/>
            <w:rFonts w:asciiTheme="majorBidi" w:hAnsiTheme="majorBidi" w:cstheme="majorBidi"/>
            <w:noProof/>
            <w:sz w:val="24"/>
            <w:rtl/>
          </w:rPr>
          <w:fldChar w:fldCharType="end"/>
        </w:r>
      </w:hyperlink>
    </w:p>
    <w:p w14:paraId="31DB1EC8" w14:textId="5564C1A9"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5" w:history="1">
        <w:r w:rsidRPr="00C3486F">
          <w:rPr>
            <w:rStyle w:val="Hyperlink"/>
            <w:rFonts w:asciiTheme="majorBidi" w:hAnsiTheme="majorBidi" w:cstheme="majorBidi"/>
            <w:noProof/>
            <w:sz w:val="24"/>
            <w:lang w:bidi="ar-EG"/>
          </w:rPr>
          <w:t>2.4.4. Digital Transformation and Third-Party Rails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60</w:t>
        </w:r>
        <w:r w:rsidRPr="00C3486F">
          <w:rPr>
            <w:rStyle w:val="Hyperlink"/>
            <w:rFonts w:asciiTheme="majorBidi" w:hAnsiTheme="majorBidi" w:cstheme="majorBidi"/>
            <w:noProof/>
            <w:sz w:val="24"/>
            <w:rtl/>
          </w:rPr>
          <w:fldChar w:fldCharType="end"/>
        </w:r>
      </w:hyperlink>
    </w:p>
    <w:p w14:paraId="3E38B98B" w14:textId="1057702E"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6" w:history="1">
        <w:r w:rsidRPr="00C3486F">
          <w:rPr>
            <w:rStyle w:val="Hyperlink"/>
            <w:rFonts w:asciiTheme="majorBidi" w:hAnsiTheme="majorBidi" w:cstheme="majorBidi"/>
            <w:noProof/>
            <w:sz w:val="24"/>
            <w:lang w:bidi="ar-EG"/>
          </w:rPr>
          <w:t>2.4.5. Shariah Governance Touchpoints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61</w:t>
        </w:r>
        <w:r w:rsidRPr="00C3486F">
          <w:rPr>
            <w:rStyle w:val="Hyperlink"/>
            <w:rFonts w:asciiTheme="majorBidi" w:hAnsiTheme="majorBidi" w:cstheme="majorBidi"/>
            <w:noProof/>
            <w:sz w:val="24"/>
            <w:rtl/>
          </w:rPr>
          <w:fldChar w:fldCharType="end"/>
        </w:r>
      </w:hyperlink>
    </w:p>
    <w:p w14:paraId="2132F000" w14:textId="4B9AB0CD"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7" w:history="1">
        <w:r w:rsidRPr="00C3486F">
          <w:rPr>
            <w:rStyle w:val="Hyperlink"/>
            <w:rFonts w:asciiTheme="majorBidi" w:hAnsiTheme="majorBidi" w:cstheme="majorBidi"/>
            <w:noProof/>
            <w:sz w:val="24"/>
            <w:lang w:bidi="ar-EG"/>
          </w:rPr>
          <w:t>2.4.6. Evidence Gaps in Bank-Level Quantitative Studies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62</w:t>
        </w:r>
        <w:r w:rsidRPr="00C3486F">
          <w:rPr>
            <w:rStyle w:val="Hyperlink"/>
            <w:rFonts w:asciiTheme="majorBidi" w:hAnsiTheme="majorBidi" w:cstheme="majorBidi"/>
            <w:noProof/>
            <w:sz w:val="24"/>
            <w:rtl/>
          </w:rPr>
          <w:fldChar w:fldCharType="end"/>
        </w:r>
      </w:hyperlink>
    </w:p>
    <w:p w14:paraId="3A2DF60F" w14:textId="50595B9E"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58" w:history="1">
        <w:r w:rsidRPr="00C3486F">
          <w:rPr>
            <w:rStyle w:val="Hyperlink"/>
            <w:rFonts w:asciiTheme="majorBidi" w:hAnsiTheme="majorBidi" w:cstheme="majorBidi"/>
            <w:noProof/>
            <w:sz w:val="24"/>
            <w:lang w:bidi="ar-EG"/>
          </w:rPr>
          <w:t>2.4.7. Contextualization to Al Rajhi Bank</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64</w:t>
        </w:r>
        <w:r w:rsidRPr="00C3486F">
          <w:rPr>
            <w:rStyle w:val="Hyperlink"/>
            <w:rFonts w:asciiTheme="majorBidi" w:hAnsiTheme="majorBidi" w:cstheme="majorBidi"/>
            <w:noProof/>
            <w:sz w:val="24"/>
            <w:rtl/>
          </w:rPr>
          <w:fldChar w:fldCharType="end"/>
        </w:r>
      </w:hyperlink>
    </w:p>
    <w:p w14:paraId="104570EC" w14:textId="54D9898F"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59" w:history="1">
        <w:r w:rsidRPr="00C3486F">
          <w:rPr>
            <w:rStyle w:val="Hyperlink"/>
            <w:rFonts w:asciiTheme="majorBidi" w:hAnsiTheme="majorBidi" w:cstheme="majorBidi"/>
            <w:noProof/>
            <w:sz w:val="24"/>
            <w:lang w:bidi="ar-EG"/>
          </w:rPr>
          <w:t>2.5. Linking the IV and DV: Mechanisms and Propositions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Toc214621159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66</w:t>
        </w:r>
        <w:r w:rsidRPr="00C3486F">
          <w:rPr>
            <w:rStyle w:val="Hyperlink"/>
            <w:rFonts w:asciiTheme="majorBidi" w:hAnsiTheme="majorBidi" w:cstheme="majorBidi"/>
            <w:noProof/>
            <w:sz w:val="24"/>
            <w:rtl/>
          </w:rPr>
          <w:fldChar w:fldCharType="end"/>
        </w:r>
      </w:hyperlink>
    </w:p>
    <w:p w14:paraId="5309CE8C" w14:textId="7D4E30B9"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60" w:history="1">
        <w:r w:rsidRPr="00C3486F">
          <w:rPr>
            <w:rStyle w:val="Hyperlink"/>
            <w:rFonts w:asciiTheme="majorBidi" w:hAnsiTheme="majorBidi" w:cstheme="majorBidi"/>
            <w:noProof/>
            <w:sz w:val="24"/>
            <w:lang w:bidi="ar-EG"/>
          </w:rPr>
          <w:t>2.5.1. Communication → Early Identification &amp; Onboarding</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67</w:t>
        </w:r>
        <w:r w:rsidRPr="00C3486F">
          <w:rPr>
            <w:rStyle w:val="Hyperlink"/>
            <w:rFonts w:asciiTheme="majorBidi" w:hAnsiTheme="majorBidi" w:cstheme="majorBidi"/>
            <w:noProof/>
            <w:sz w:val="24"/>
            <w:rtl/>
          </w:rPr>
          <w:fldChar w:fldCharType="end"/>
        </w:r>
      </w:hyperlink>
    </w:p>
    <w:p w14:paraId="3A45AF45" w14:textId="7081EF44"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61" w:history="1">
        <w:r w:rsidRPr="00C3486F">
          <w:rPr>
            <w:rStyle w:val="Hyperlink"/>
            <w:rFonts w:asciiTheme="majorBidi" w:hAnsiTheme="majorBidi" w:cstheme="majorBidi"/>
            <w:noProof/>
            <w:sz w:val="24"/>
            <w:lang w:bidi="ar-EG"/>
          </w:rPr>
          <w:t>2.5.2. Information Sharing → Credit Discipline &amp; Outcomes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67</w:t>
        </w:r>
        <w:r w:rsidRPr="00C3486F">
          <w:rPr>
            <w:rStyle w:val="Hyperlink"/>
            <w:rFonts w:asciiTheme="majorBidi" w:hAnsiTheme="majorBidi" w:cstheme="majorBidi"/>
            <w:noProof/>
            <w:sz w:val="24"/>
            <w:rtl/>
          </w:rPr>
          <w:fldChar w:fldCharType="end"/>
        </w:r>
      </w:hyperlink>
    </w:p>
    <w:p w14:paraId="1E61BED0" w14:textId="7922425E"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62" w:history="1">
        <w:r w:rsidRPr="00C3486F">
          <w:rPr>
            <w:rStyle w:val="Hyperlink"/>
            <w:rFonts w:asciiTheme="majorBidi" w:hAnsiTheme="majorBidi" w:cstheme="majorBidi"/>
            <w:noProof/>
            <w:sz w:val="24"/>
            <w:lang w:bidi="ar-EG"/>
          </w:rPr>
          <w:t>2.5.3. KPI/Incentive Alignment → Liquidity &amp; Market-Risk Fit</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68</w:t>
        </w:r>
        <w:r w:rsidRPr="00C3486F">
          <w:rPr>
            <w:rStyle w:val="Hyperlink"/>
            <w:rFonts w:asciiTheme="majorBidi" w:hAnsiTheme="majorBidi" w:cstheme="majorBidi"/>
            <w:noProof/>
            <w:sz w:val="24"/>
            <w:rtl/>
          </w:rPr>
          <w:fldChar w:fldCharType="end"/>
        </w:r>
      </w:hyperlink>
    </w:p>
    <w:p w14:paraId="26E1F5C0" w14:textId="1A9663E5"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63" w:history="1">
        <w:r w:rsidRPr="00C3486F">
          <w:rPr>
            <w:rStyle w:val="Hyperlink"/>
            <w:rFonts w:asciiTheme="majorBidi" w:hAnsiTheme="majorBidi" w:cstheme="majorBidi"/>
            <w:noProof/>
            <w:sz w:val="24"/>
            <w:lang w:bidi="ar-EG"/>
          </w:rPr>
          <w:t>2.5.4. 2.5.4 RACI/Escalation → Operational Resilience &amp; Third-Party Control</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69</w:t>
        </w:r>
        <w:r w:rsidRPr="00C3486F">
          <w:rPr>
            <w:rStyle w:val="Hyperlink"/>
            <w:rFonts w:asciiTheme="majorBidi" w:hAnsiTheme="majorBidi" w:cstheme="majorBidi"/>
            <w:noProof/>
            <w:sz w:val="24"/>
            <w:rtl/>
          </w:rPr>
          <w:fldChar w:fldCharType="end"/>
        </w:r>
      </w:hyperlink>
    </w:p>
    <w:p w14:paraId="459D8577" w14:textId="3C45268A"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64" w:history="1">
        <w:r w:rsidRPr="00C3486F">
          <w:rPr>
            <w:rStyle w:val="Hyperlink"/>
            <w:rFonts w:asciiTheme="majorBidi" w:hAnsiTheme="majorBidi" w:cstheme="majorBidi"/>
            <w:b/>
            <w:bCs/>
            <w:noProof/>
            <w:sz w:val="24"/>
            <w:szCs w:val="24"/>
          </w:rPr>
          <w:t>2.5.4.1.</w:t>
        </w:r>
        <w:r w:rsidRPr="00C3486F">
          <w:rPr>
            <w:rStyle w:val="Hyperlink"/>
            <w:rFonts w:asciiTheme="majorBidi" w:hAnsiTheme="majorBidi" w:cstheme="majorBidi"/>
            <w:noProof/>
            <w:sz w:val="24"/>
            <w:szCs w:val="24"/>
          </w:rPr>
          <w:t xml:space="preserve"> Integrated narrative connecting the four mechanisms to the four outcomes</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Toc214621164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69</w:t>
        </w:r>
        <w:r w:rsidRPr="00C3486F">
          <w:rPr>
            <w:rStyle w:val="Hyperlink"/>
            <w:rFonts w:asciiTheme="majorBidi" w:hAnsiTheme="majorBidi" w:cstheme="majorBidi"/>
            <w:noProof/>
            <w:sz w:val="24"/>
            <w:szCs w:val="24"/>
            <w:rtl/>
          </w:rPr>
          <w:fldChar w:fldCharType="end"/>
        </w:r>
      </w:hyperlink>
    </w:p>
    <w:p w14:paraId="47160158" w14:textId="2ACE571A"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65" w:history="1">
        <w:r w:rsidRPr="00C3486F">
          <w:rPr>
            <w:rStyle w:val="Hyperlink"/>
            <w:rFonts w:asciiTheme="majorBidi" w:hAnsiTheme="majorBidi" w:cstheme="majorBidi"/>
            <w:noProof/>
            <w:sz w:val="24"/>
            <w:lang w:bidi="ar-EG"/>
          </w:rPr>
          <w:t>2.6.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70</w:t>
        </w:r>
        <w:r w:rsidRPr="00C3486F">
          <w:rPr>
            <w:rStyle w:val="Hyperlink"/>
            <w:rFonts w:asciiTheme="majorBidi" w:hAnsiTheme="majorBidi" w:cstheme="majorBidi"/>
            <w:noProof/>
            <w:sz w:val="24"/>
            <w:rtl/>
          </w:rPr>
          <w:fldChar w:fldCharType="end"/>
        </w:r>
      </w:hyperlink>
    </w:p>
    <w:p w14:paraId="323E6203" w14:textId="47C19452"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166" w:history="1">
        <w:r w:rsidRPr="00C3486F">
          <w:rPr>
            <w:rStyle w:val="Hyperlink"/>
            <w:rFonts w:asciiTheme="majorBidi" w:hAnsiTheme="majorBidi" w:cstheme="majorBidi"/>
            <w:noProof/>
            <w:sz w:val="24"/>
            <w:lang w:bidi="ar-EG"/>
          </w:rPr>
          <w:t>3. Chapter 3 : Research Methodology</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71</w:t>
        </w:r>
        <w:r w:rsidRPr="00C3486F">
          <w:rPr>
            <w:rStyle w:val="Hyperlink"/>
            <w:rFonts w:asciiTheme="majorBidi" w:hAnsiTheme="majorBidi" w:cstheme="majorBidi"/>
            <w:noProof/>
            <w:sz w:val="24"/>
            <w:rtl/>
          </w:rPr>
          <w:fldChar w:fldCharType="end"/>
        </w:r>
      </w:hyperlink>
    </w:p>
    <w:p w14:paraId="1E42ED26" w14:textId="5C46B6D2"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67" w:history="1">
        <w:r w:rsidRPr="00C3486F">
          <w:rPr>
            <w:rStyle w:val="Hyperlink"/>
            <w:rFonts w:asciiTheme="majorBidi" w:eastAsia="Times New Roman" w:hAnsiTheme="majorBidi" w:cstheme="majorBidi"/>
            <w:noProof/>
            <w:sz w:val="24"/>
            <w:lang w:bidi="ar-EG"/>
          </w:rPr>
          <w:t>3.1. Introduction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08909F67" w14:textId="0464E3AF"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68" w:history="1">
        <w:r w:rsidRPr="00C3486F">
          <w:rPr>
            <w:rStyle w:val="Hyperlink"/>
            <w:rFonts w:asciiTheme="majorBidi" w:hAnsiTheme="majorBidi" w:cstheme="majorBidi"/>
            <w:noProof/>
            <w:sz w:val="24"/>
            <w:lang w:bidi="ar-EG"/>
          </w:rPr>
          <w:t>3.2. Operational definitions for research variables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2F3FE8AB" w14:textId="0BF46F79"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69" w:history="1">
        <w:r w:rsidRPr="00C3486F">
          <w:rPr>
            <w:rStyle w:val="Hyperlink"/>
            <w:rFonts w:asciiTheme="majorBidi" w:hAnsiTheme="majorBidi" w:cstheme="majorBidi"/>
            <w:noProof/>
            <w:sz w:val="24"/>
            <w:lang w:bidi="ar-EG"/>
          </w:rPr>
          <w:t>3.2.1. Functional Relationship Between Account Managers and Sales Teams (Independent variable)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Toc214621169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41CDAF14" w14:textId="361CF5D9"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0" w:history="1">
        <w:r w:rsidRPr="00C3486F">
          <w:rPr>
            <w:rStyle w:val="Hyperlink"/>
            <w:rFonts w:asciiTheme="majorBidi" w:hAnsiTheme="majorBidi" w:cstheme="majorBidi"/>
            <w:noProof/>
            <w:sz w:val="24"/>
            <w:lang w:bidi="ar-EG"/>
          </w:rPr>
          <w:t>3.2.2. Risk Management Effectiveness (Dependent variable)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0AC26CA2" w14:textId="5B2B2995"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71" w:history="1">
        <w:r w:rsidRPr="00C3486F">
          <w:rPr>
            <w:rStyle w:val="Hyperlink"/>
            <w:rFonts w:asciiTheme="majorBidi" w:eastAsia="Times New Roman" w:hAnsiTheme="majorBidi" w:cstheme="majorBidi"/>
            <w:noProof/>
            <w:sz w:val="24"/>
            <w:lang w:bidi="ar-EG"/>
          </w:rPr>
          <w:t>3.3. Research design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5FCE3893" w14:textId="3BFD012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2" w:history="1">
        <w:r w:rsidRPr="00C3486F">
          <w:rPr>
            <w:rStyle w:val="Hyperlink"/>
            <w:rFonts w:asciiTheme="majorBidi" w:hAnsiTheme="majorBidi" w:cstheme="majorBidi"/>
            <w:noProof/>
            <w:sz w:val="24"/>
            <w:lang w:bidi="ar-EG"/>
          </w:rPr>
          <w:t>3.3.1. Research Design: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72</w:t>
        </w:r>
        <w:r w:rsidRPr="00C3486F">
          <w:rPr>
            <w:rStyle w:val="Hyperlink"/>
            <w:rFonts w:asciiTheme="majorBidi" w:hAnsiTheme="majorBidi" w:cstheme="majorBidi"/>
            <w:noProof/>
            <w:sz w:val="24"/>
            <w:rtl/>
          </w:rPr>
          <w:fldChar w:fldCharType="end"/>
        </w:r>
      </w:hyperlink>
    </w:p>
    <w:p w14:paraId="055D4250" w14:textId="6E4703D3"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73" w:history="1">
        <w:r w:rsidRPr="00C3486F">
          <w:rPr>
            <w:rStyle w:val="Hyperlink"/>
            <w:rFonts w:asciiTheme="majorBidi" w:eastAsia="Times New Roman" w:hAnsiTheme="majorBidi" w:cstheme="majorBidi"/>
            <w:noProof/>
            <w:sz w:val="24"/>
            <w:lang w:bidi="ar-EG"/>
          </w:rPr>
          <w:t>3.4. Research population &amp; Sampling methods and technique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73</w:t>
        </w:r>
        <w:r w:rsidRPr="00C3486F">
          <w:rPr>
            <w:rStyle w:val="Hyperlink"/>
            <w:rFonts w:asciiTheme="majorBidi" w:hAnsiTheme="majorBidi" w:cstheme="majorBidi"/>
            <w:noProof/>
            <w:sz w:val="24"/>
            <w:rtl/>
          </w:rPr>
          <w:fldChar w:fldCharType="end"/>
        </w:r>
      </w:hyperlink>
    </w:p>
    <w:p w14:paraId="65C5A18B" w14:textId="57D57B11"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4" w:history="1">
        <w:r w:rsidRPr="00C3486F">
          <w:rPr>
            <w:rStyle w:val="Hyperlink"/>
            <w:rFonts w:asciiTheme="majorBidi" w:hAnsiTheme="majorBidi" w:cstheme="majorBidi"/>
            <w:noProof/>
            <w:sz w:val="24"/>
            <w:lang w:bidi="ar-EG"/>
          </w:rPr>
          <w:t>3.4.1. Research Population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73</w:t>
        </w:r>
        <w:r w:rsidRPr="00C3486F">
          <w:rPr>
            <w:rStyle w:val="Hyperlink"/>
            <w:rFonts w:asciiTheme="majorBidi" w:hAnsiTheme="majorBidi" w:cstheme="majorBidi"/>
            <w:noProof/>
            <w:sz w:val="24"/>
            <w:rtl/>
          </w:rPr>
          <w:fldChar w:fldCharType="end"/>
        </w:r>
      </w:hyperlink>
    </w:p>
    <w:p w14:paraId="69D35152" w14:textId="10A6271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5" w:history="1">
        <w:r w:rsidRPr="00C3486F">
          <w:rPr>
            <w:rStyle w:val="Hyperlink"/>
            <w:rFonts w:asciiTheme="majorBidi" w:hAnsiTheme="majorBidi" w:cstheme="majorBidi"/>
            <w:noProof/>
            <w:sz w:val="24"/>
            <w:lang w:bidi="ar-EG"/>
          </w:rPr>
          <w:t>3.4.2. Research Sample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74</w:t>
        </w:r>
        <w:r w:rsidRPr="00C3486F">
          <w:rPr>
            <w:rStyle w:val="Hyperlink"/>
            <w:rFonts w:asciiTheme="majorBidi" w:hAnsiTheme="majorBidi" w:cstheme="majorBidi"/>
            <w:noProof/>
            <w:sz w:val="24"/>
            <w:rtl/>
          </w:rPr>
          <w:fldChar w:fldCharType="end"/>
        </w:r>
      </w:hyperlink>
    </w:p>
    <w:p w14:paraId="6AE3B258" w14:textId="24DFFC97"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6" w:history="1">
        <w:r w:rsidRPr="00C3486F">
          <w:rPr>
            <w:rStyle w:val="Hyperlink"/>
            <w:rFonts w:asciiTheme="majorBidi" w:hAnsiTheme="majorBidi" w:cstheme="majorBidi"/>
            <w:noProof/>
            <w:sz w:val="24"/>
            <w:lang w:bidi="ar-EG"/>
          </w:rPr>
          <w:t>3.4.3. Sampling Method &amp; Techniques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75</w:t>
        </w:r>
        <w:r w:rsidRPr="00C3486F">
          <w:rPr>
            <w:rStyle w:val="Hyperlink"/>
            <w:rFonts w:asciiTheme="majorBidi" w:hAnsiTheme="majorBidi" w:cstheme="majorBidi"/>
            <w:noProof/>
            <w:sz w:val="24"/>
            <w:rtl/>
          </w:rPr>
          <w:fldChar w:fldCharType="end"/>
        </w:r>
      </w:hyperlink>
    </w:p>
    <w:p w14:paraId="3C3DC7F7" w14:textId="0A9D8B10"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77" w:history="1">
        <w:r w:rsidRPr="00C3486F">
          <w:rPr>
            <w:rStyle w:val="Hyperlink"/>
            <w:rFonts w:asciiTheme="majorBidi" w:eastAsia="Times New Roman" w:hAnsiTheme="majorBidi" w:cstheme="majorBidi"/>
            <w:noProof/>
            <w:sz w:val="24"/>
            <w:lang w:bidi="ar-EG"/>
          </w:rPr>
          <w:t>3.5. Data collection method</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75</w:t>
        </w:r>
        <w:r w:rsidRPr="00C3486F">
          <w:rPr>
            <w:rStyle w:val="Hyperlink"/>
            <w:rFonts w:asciiTheme="majorBidi" w:hAnsiTheme="majorBidi" w:cstheme="majorBidi"/>
            <w:noProof/>
            <w:sz w:val="24"/>
            <w:rtl/>
          </w:rPr>
          <w:fldChar w:fldCharType="end"/>
        </w:r>
      </w:hyperlink>
    </w:p>
    <w:p w14:paraId="292D1B16" w14:textId="081C7ABD"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8" w:history="1">
        <w:r w:rsidRPr="00C3486F">
          <w:rPr>
            <w:rStyle w:val="Hyperlink"/>
            <w:rFonts w:asciiTheme="majorBidi" w:hAnsiTheme="majorBidi" w:cstheme="majorBidi"/>
            <w:noProof/>
            <w:sz w:val="24"/>
            <w:lang w:bidi="ar-EG"/>
          </w:rPr>
          <w:t>3.5.1. The Independent Variable: Functional Relationship Between Account Managers and Sales Teams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76</w:t>
        </w:r>
        <w:r w:rsidRPr="00C3486F">
          <w:rPr>
            <w:rStyle w:val="Hyperlink"/>
            <w:rFonts w:asciiTheme="majorBidi" w:hAnsiTheme="majorBidi" w:cstheme="majorBidi"/>
            <w:noProof/>
            <w:sz w:val="24"/>
            <w:rtl/>
          </w:rPr>
          <w:fldChar w:fldCharType="end"/>
        </w:r>
      </w:hyperlink>
    </w:p>
    <w:p w14:paraId="4274D1FD" w14:textId="7B2E1E2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79" w:history="1">
        <w:r w:rsidRPr="00C3486F">
          <w:rPr>
            <w:rStyle w:val="Hyperlink"/>
            <w:rFonts w:asciiTheme="majorBidi" w:hAnsiTheme="majorBidi" w:cstheme="majorBidi"/>
            <w:noProof/>
            <w:sz w:val="24"/>
            <w:lang w:bidi="ar-EG"/>
          </w:rPr>
          <w:t>3.5.2. The Dependent Variable: Risk Management Effectiveness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Toc214621179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76</w:t>
        </w:r>
        <w:r w:rsidRPr="00C3486F">
          <w:rPr>
            <w:rStyle w:val="Hyperlink"/>
            <w:rFonts w:asciiTheme="majorBidi" w:hAnsiTheme="majorBidi" w:cstheme="majorBidi"/>
            <w:noProof/>
            <w:sz w:val="24"/>
            <w:rtl/>
          </w:rPr>
          <w:fldChar w:fldCharType="end"/>
        </w:r>
      </w:hyperlink>
    </w:p>
    <w:p w14:paraId="16A8BD31" w14:textId="76810C4D"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0" w:history="1">
        <w:r w:rsidRPr="00C3486F">
          <w:rPr>
            <w:rStyle w:val="Hyperlink"/>
            <w:rFonts w:asciiTheme="majorBidi" w:hAnsiTheme="majorBidi" w:cstheme="majorBidi"/>
            <w:noProof/>
            <w:sz w:val="24"/>
            <w:lang w:bidi="ar-EG"/>
          </w:rPr>
          <w:t>3.6. 3.6. Types of Data</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77</w:t>
        </w:r>
        <w:r w:rsidRPr="00C3486F">
          <w:rPr>
            <w:rStyle w:val="Hyperlink"/>
            <w:rFonts w:asciiTheme="majorBidi" w:hAnsiTheme="majorBidi" w:cstheme="majorBidi"/>
            <w:noProof/>
            <w:sz w:val="24"/>
            <w:rtl/>
          </w:rPr>
          <w:fldChar w:fldCharType="end"/>
        </w:r>
      </w:hyperlink>
    </w:p>
    <w:p w14:paraId="626EB1F4" w14:textId="5918E72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81" w:history="1">
        <w:r w:rsidRPr="00C3486F">
          <w:rPr>
            <w:rStyle w:val="Hyperlink"/>
            <w:rFonts w:asciiTheme="majorBidi" w:hAnsiTheme="majorBidi" w:cstheme="majorBidi"/>
            <w:noProof/>
            <w:sz w:val="24"/>
            <w:lang w:bidi="ar-EG"/>
          </w:rPr>
          <w:t>3.6.1. Primary Data</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77</w:t>
        </w:r>
        <w:r w:rsidRPr="00C3486F">
          <w:rPr>
            <w:rStyle w:val="Hyperlink"/>
            <w:rFonts w:asciiTheme="majorBidi" w:hAnsiTheme="majorBidi" w:cstheme="majorBidi"/>
            <w:noProof/>
            <w:sz w:val="24"/>
            <w:rtl/>
          </w:rPr>
          <w:fldChar w:fldCharType="end"/>
        </w:r>
      </w:hyperlink>
    </w:p>
    <w:p w14:paraId="4BADBD79" w14:textId="7AEE65F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82" w:history="1">
        <w:r w:rsidRPr="00C3486F">
          <w:rPr>
            <w:rStyle w:val="Hyperlink"/>
            <w:rFonts w:asciiTheme="majorBidi" w:hAnsiTheme="majorBidi" w:cstheme="majorBidi"/>
            <w:noProof/>
            <w:sz w:val="24"/>
            <w:lang w:bidi="ar-EG"/>
          </w:rPr>
          <w:t>3.6.2. Secondary Data</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77</w:t>
        </w:r>
        <w:r w:rsidRPr="00C3486F">
          <w:rPr>
            <w:rStyle w:val="Hyperlink"/>
            <w:rFonts w:asciiTheme="majorBidi" w:hAnsiTheme="majorBidi" w:cstheme="majorBidi"/>
            <w:noProof/>
            <w:sz w:val="24"/>
            <w:rtl/>
          </w:rPr>
          <w:fldChar w:fldCharType="end"/>
        </w:r>
      </w:hyperlink>
    </w:p>
    <w:p w14:paraId="634AB102" w14:textId="5F1DEE0F"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3" w:history="1">
        <w:r w:rsidRPr="00C3486F">
          <w:rPr>
            <w:rStyle w:val="Hyperlink"/>
            <w:rFonts w:asciiTheme="majorBidi" w:hAnsiTheme="majorBidi" w:cstheme="majorBidi"/>
            <w:noProof/>
            <w:sz w:val="24"/>
            <w:lang w:bidi="ar-EG"/>
          </w:rPr>
          <w:t>3.7. Data Analysis Methods &amp; Procedures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78</w:t>
        </w:r>
        <w:r w:rsidRPr="00C3486F">
          <w:rPr>
            <w:rStyle w:val="Hyperlink"/>
            <w:rFonts w:asciiTheme="majorBidi" w:hAnsiTheme="majorBidi" w:cstheme="majorBidi"/>
            <w:noProof/>
            <w:sz w:val="24"/>
            <w:rtl/>
          </w:rPr>
          <w:fldChar w:fldCharType="end"/>
        </w:r>
      </w:hyperlink>
    </w:p>
    <w:p w14:paraId="437582B4" w14:textId="0A2051C9"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4" w:history="1">
        <w:r w:rsidRPr="00C3486F">
          <w:rPr>
            <w:rStyle w:val="Hyperlink"/>
            <w:rFonts w:asciiTheme="majorBidi" w:hAnsiTheme="majorBidi" w:cstheme="majorBidi"/>
            <w:noProof/>
            <w:sz w:val="24"/>
            <w:lang w:bidi="ar-EG"/>
          </w:rPr>
          <w:t>3.8.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78</w:t>
        </w:r>
        <w:r w:rsidRPr="00C3486F">
          <w:rPr>
            <w:rStyle w:val="Hyperlink"/>
            <w:rFonts w:asciiTheme="majorBidi" w:hAnsiTheme="majorBidi" w:cstheme="majorBidi"/>
            <w:noProof/>
            <w:sz w:val="24"/>
            <w:rtl/>
          </w:rPr>
          <w:fldChar w:fldCharType="end"/>
        </w:r>
      </w:hyperlink>
    </w:p>
    <w:p w14:paraId="0E23F93A" w14:textId="14B3098B"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185" w:history="1">
        <w:r w:rsidRPr="00C3486F">
          <w:rPr>
            <w:rStyle w:val="Hyperlink"/>
            <w:rFonts w:asciiTheme="majorBidi" w:hAnsiTheme="majorBidi" w:cstheme="majorBidi"/>
            <w:noProof/>
            <w:sz w:val="24"/>
            <w:lang w:bidi="ar-EG"/>
          </w:rPr>
          <w:t>4. Chapter 4: Statistical Analysis &amp; Findings (discussion)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80</w:t>
        </w:r>
        <w:r w:rsidRPr="00C3486F">
          <w:rPr>
            <w:rStyle w:val="Hyperlink"/>
            <w:rFonts w:asciiTheme="majorBidi" w:hAnsiTheme="majorBidi" w:cstheme="majorBidi"/>
            <w:noProof/>
            <w:sz w:val="24"/>
            <w:rtl/>
          </w:rPr>
          <w:fldChar w:fldCharType="end"/>
        </w:r>
      </w:hyperlink>
    </w:p>
    <w:p w14:paraId="151CE4A3" w14:textId="15875F4C"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6" w:history="1">
        <w:r w:rsidRPr="00C3486F">
          <w:rPr>
            <w:rStyle w:val="Hyperlink"/>
            <w:rFonts w:asciiTheme="majorBidi" w:hAnsiTheme="majorBidi" w:cstheme="majorBidi"/>
            <w:noProof/>
            <w:sz w:val="24"/>
            <w:lang w:bidi="ar-EG"/>
          </w:rPr>
          <w:t>4.1. Introduction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81</w:t>
        </w:r>
        <w:r w:rsidRPr="00C3486F">
          <w:rPr>
            <w:rStyle w:val="Hyperlink"/>
            <w:rFonts w:asciiTheme="majorBidi" w:hAnsiTheme="majorBidi" w:cstheme="majorBidi"/>
            <w:noProof/>
            <w:sz w:val="24"/>
            <w:rtl/>
          </w:rPr>
          <w:fldChar w:fldCharType="end"/>
        </w:r>
      </w:hyperlink>
    </w:p>
    <w:p w14:paraId="107C0E65" w14:textId="3F64F2A4"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7" w:history="1">
        <w:r w:rsidRPr="00C3486F">
          <w:rPr>
            <w:rStyle w:val="Hyperlink"/>
            <w:rFonts w:asciiTheme="majorBidi" w:hAnsiTheme="majorBidi" w:cstheme="majorBidi"/>
            <w:noProof/>
            <w:sz w:val="24"/>
            <w:lang w:bidi="ar-EG"/>
          </w:rPr>
          <w:t>4.2. Sample Profile (Descriptive Statistics for Research Sample)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81</w:t>
        </w:r>
        <w:r w:rsidRPr="00C3486F">
          <w:rPr>
            <w:rStyle w:val="Hyperlink"/>
            <w:rFonts w:asciiTheme="majorBidi" w:hAnsiTheme="majorBidi" w:cstheme="majorBidi"/>
            <w:noProof/>
            <w:sz w:val="24"/>
            <w:rtl/>
          </w:rPr>
          <w:fldChar w:fldCharType="end"/>
        </w:r>
      </w:hyperlink>
    </w:p>
    <w:p w14:paraId="0240EF9E" w14:textId="5DB3395D"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188" w:history="1">
        <w:r w:rsidRPr="00C3486F">
          <w:rPr>
            <w:rStyle w:val="Hyperlink"/>
            <w:rFonts w:asciiTheme="majorBidi" w:hAnsiTheme="majorBidi" w:cstheme="majorBidi"/>
            <w:noProof/>
            <w:sz w:val="24"/>
            <w:lang w:bidi="ar-EG"/>
          </w:rPr>
          <w:t>4.3. Validity &amp; reliability tests for the questionnaires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85</w:t>
        </w:r>
        <w:r w:rsidRPr="00C3486F">
          <w:rPr>
            <w:rStyle w:val="Hyperlink"/>
            <w:rFonts w:asciiTheme="majorBidi" w:hAnsiTheme="majorBidi" w:cstheme="majorBidi"/>
            <w:noProof/>
            <w:sz w:val="24"/>
            <w:rtl/>
          </w:rPr>
          <w:fldChar w:fldCharType="end"/>
        </w:r>
      </w:hyperlink>
    </w:p>
    <w:p w14:paraId="10353959" w14:textId="5BC9C086"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89" w:history="1">
        <w:r w:rsidRPr="00C3486F">
          <w:rPr>
            <w:rStyle w:val="Hyperlink"/>
            <w:rFonts w:asciiTheme="majorBidi" w:hAnsiTheme="majorBidi" w:cstheme="majorBidi"/>
            <w:noProof/>
            <w:sz w:val="24"/>
            <w:rtl/>
            <w:lang w:bidi="ar-EG"/>
          </w:rPr>
          <w:t>4.3.1.</w:t>
        </w:r>
        <w:r w:rsidRPr="00C3486F">
          <w:rPr>
            <w:rStyle w:val="Hyperlink"/>
            <w:rFonts w:asciiTheme="majorBidi" w:hAnsiTheme="majorBidi" w:cstheme="majorBidi"/>
            <w:noProof/>
            <w:sz w:val="24"/>
            <w:lang w:bidi="ar-EG"/>
          </w:rPr>
          <w:t xml:space="preserve"> The Frist Variable Functional relationship between Account Managers and Sales Teams: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Toc214621189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86</w:t>
        </w:r>
        <w:r w:rsidRPr="00C3486F">
          <w:rPr>
            <w:rStyle w:val="Hyperlink"/>
            <w:rFonts w:asciiTheme="majorBidi" w:hAnsiTheme="majorBidi" w:cstheme="majorBidi"/>
            <w:noProof/>
            <w:sz w:val="24"/>
            <w:rtl/>
          </w:rPr>
          <w:fldChar w:fldCharType="end"/>
        </w:r>
      </w:hyperlink>
    </w:p>
    <w:p w14:paraId="64E5C09B" w14:textId="1DEC11FB"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0" w:history="1">
        <w:r w:rsidRPr="00C3486F">
          <w:rPr>
            <w:rStyle w:val="Hyperlink"/>
            <w:rFonts w:asciiTheme="majorBidi" w:hAnsiTheme="majorBidi" w:cstheme="majorBidi"/>
            <w:b/>
            <w:bCs/>
            <w:noProof/>
            <w:sz w:val="24"/>
            <w:szCs w:val="24"/>
          </w:rPr>
          <w:t>4.3.1.1.</w:t>
        </w:r>
        <w:r w:rsidRPr="00C3486F">
          <w:rPr>
            <w:rStyle w:val="Hyperlink"/>
            <w:rFonts w:asciiTheme="majorBidi" w:hAnsiTheme="majorBidi" w:cstheme="majorBidi"/>
            <w:noProof/>
            <w:sz w:val="24"/>
            <w:szCs w:val="24"/>
          </w:rPr>
          <w:t xml:space="preserve"> Validity of the scales used in the study</w:t>
        </w:r>
        <w:r w:rsidRPr="00C3486F">
          <w:rPr>
            <w:rStyle w:val="Hyperlink"/>
            <w:rFonts w:asciiTheme="majorBidi" w:hAnsiTheme="majorBidi" w:cstheme="majorBidi"/>
            <w:noProof/>
            <w:sz w:val="24"/>
            <w:szCs w:val="24"/>
            <w:rtl/>
          </w:rPr>
          <w:t>:</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Toc214621190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86</w:t>
        </w:r>
        <w:r w:rsidRPr="00C3486F">
          <w:rPr>
            <w:rStyle w:val="Hyperlink"/>
            <w:rFonts w:asciiTheme="majorBidi" w:hAnsiTheme="majorBidi" w:cstheme="majorBidi"/>
            <w:noProof/>
            <w:sz w:val="24"/>
            <w:szCs w:val="24"/>
            <w:rtl/>
          </w:rPr>
          <w:fldChar w:fldCharType="end"/>
        </w:r>
      </w:hyperlink>
    </w:p>
    <w:p w14:paraId="5D1AF0C5" w14:textId="6DFC427B"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91" w:history="1">
        <w:r w:rsidRPr="00C3486F">
          <w:rPr>
            <w:rStyle w:val="Hyperlink"/>
            <w:rFonts w:asciiTheme="majorBidi" w:hAnsiTheme="majorBidi" w:cstheme="majorBidi"/>
            <w:noProof/>
            <w:sz w:val="24"/>
            <w:lang w:bidi="ar-EG"/>
          </w:rPr>
          <w:t>4.3.2. Discussion of the Exploratory Factor Analysis Table</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Toc214621191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87</w:t>
        </w:r>
        <w:r w:rsidRPr="00C3486F">
          <w:rPr>
            <w:rStyle w:val="Hyperlink"/>
            <w:rFonts w:asciiTheme="majorBidi" w:hAnsiTheme="majorBidi" w:cstheme="majorBidi"/>
            <w:noProof/>
            <w:sz w:val="24"/>
            <w:rtl/>
          </w:rPr>
          <w:fldChar w:fldCharType="end"/>
        </w:r>
      </w:hyperlink>
    </w:p>
    <w:p w14:paraId="6D939612" w14:textId="747E4C61"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2" w:history="1">
        <w:r w:rsidRPr="00C3486F">
          <w:rPr>
            <w:rStyle w:val="Hyperlink"/>
            <w:rFonts w:asciiTheme="majorBidi" w:hAnsiTheme="majorBidi" w:cstheme="majorBidi"/>
            <w:b/>
            <w:bCs/>
            <w:noProof/>
            <w:sz w:val="24"/>
            <w:szCs w:val="24"/>
          </w:rPr>
          <w:t>4.3.2.1.</w:t>
        </w:r>
        <w:r w:rsidRPr="00C3486F">
          <w:rPr>
            <w:rStyle w:val="Hyperlink"/>
            <w:rFonts w:asciiTheme="majorBidi" w:hAnsiTheme="majorBidi" w:cstheme="majorBidi"/>
            <w:noProof/>
            <w:sz w:val="24"/>
            <w:szCs w:val="24"/>
          </w:rPr>
          <w:t xml:space="preserve"> Measuring The Reliability Of the Study (Cronbach's Alpha)</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Toc214621192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88</w:t>
        </w:r>
        <w:r w:rsidRPr="00C3486F">
          <w:rPr>
            <w:rStyle w:val="Hyperlink"/>
            <w:rFonts w:asciiTheme="majorBidi" w:hAnsiTheme="majorBidi" w:cstheme="majorBidi"/>
            <w:noProof/>
            <w:sz w:val="24"/>
            <w:szCs w:val="24"/>
            <w:rtl/>
          </w:rPr>
          <w:fldChar w:fldCharType="end"/>
        </w:r>
      </w:hyperlink>
    </w:p>
    <w:p w14:paraId="51F12EF1" w14:textId="74135940"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3" w:history="1">
        <w:r w:rsidRPr="00C3486F">
          <w:rPr>
            <w:rStyle w:val="Hyperlink"/>
            <w:rFonts w:asciiTheme="majorBidi" w:hAnsiTheme="majorBidi" w:cstheme="majorBidi"/>
            <w:b/>
            <w:bCs/>
            <w:noProof/>
            <w:sz w:val="24"/>
            <w:szCs w:val="24"/>
          </w:rPr>
          <w:t>4.3.2.2.</w:t>
        </w:r>
        <w:r w:rsidRPr="00C3486F">
          <w:rPr>
            <w:rStyle w:val="Hyperlink"/>
            <w:rFonts w:asciiTheme="majorBidi" w:hAnsiTheme="majorBidi" w:cstheme="majorBidi"/>
            <w:noProof/>
            <w:sz w:val="24"/>
            <w:szCs w:val="24"/>
          </w:rPr>
          <w:t xml:space="preserve"> Measuring The Reliability Of the Study (Cronbach's Alpha)</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Toc214621193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89</w:t>
        </w:r>
        <w:r w:rsidRPr="00C3486F">
          <w:rPr>
            <w:rStyle w:val="Hyperlink"/>
            <w:rFonts w:asciiTheme="majorBidi" w:hAnsiTheme="majorBidi" w:cstheme="majorBidi"/>
            <w:noProof/>
            <w:sz w:val="24"/>
            <w:szCs w:val="24"/>
            <w:rtl/>
          </w:rPr>
          <w:fldChar w:fldCharType="end"/>
        </w:r>
      </w:hyperlink>
    </w:p>
    <w:p w14:paraId="2CA2BDE0" w14:textId="1D83A868"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4" w:history="1">
        <w:r w:rsidRPr="00C3486F">
          <w:rPr>
            <w:rStyle w:val="Hyperlink"/>
            <w:rFonts w:asciiTheme="majorBidi" w:hAnsiTheme="majorBidi" w:cstheme="majorBidi"/>
            <w:b/>
            <w:bCs/>
            <w:noProof/>
            <w:sz w:val="24"/>
            <w:szCs w:val="24"/>
            <w:rtl/>
          </w:rPr>
          <w:t>4.3.2.3.</w:t>
        </w:r>
        <w:r w:rsidRPr="00C3486F">
          <w:rPr>
            <w:rStyle w:val="Hyperlink"/>
            <w:rFonts w:asciiTheme="majorBidi" w:hAnsiTheme="majorBidi" w:cstheme="majorBidi"/>
            <w:noProof/>
            <w:sz w:val="24"/>
            <w:szCs w:val="24"/>
          </w:rPr>
          <w:t xml:space="preserve"> Communities Mean</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Toc214621194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89</w:t>
        </w:r>
        <w:r w:rsidRPr="00C3486F">
          <w:rPr>
            <w:rStyle w:val="Hyperlink"/>
            <w:rFonts w:asciiTheme="majorBidi" w:hAnsiTheme="majorBidi" w:cstheme="majorBidi"/>
            <w:noProof/>
            <w:sz w:val="24"/>
            <w:szCs w:val="24"/>
            <w:rtl/>
          </w:rPr>
          <w:fldChar w:fldCharType="end"/>
        </w:r>
      </w:hyperlink>
    </w:p>
    <w:p w14:paraId="7A5B0A8C" w14:textId="625D1753"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5" w:history="1">
        <w:r w:rsidRPr="00C3486F">
          <w:rPr>
            <w:rStyle w:val="Hyperlink"/>
            <w:rFonts w:asciiTheme="majorBidi" w:hAnsiTheme="majorBidi" w:cstheme="majorBidi"/>
            <w:b/>
            <w:bCs/>
            <w:noProof/>
            <w:sz w:val="24"/>
            <w:szCs w:val="24"/>
          </w:rPr>
          <w:t>4.3.2.4.</w:t>
        </w:r>
        <w:r w:rsidRPr="00C3486F">
          <w:rPr>
            <w:rStyle w:val="Hyperlink"/>
            <w:rFonts w:asciiTheme="majorBidi" w:hAnsiTheme="majorBidi" w:cstheme="majorBidi"/>
            <w:noProof/>
            <w:sz w:val="24"/>
            <w:szCs w:val="24"/>
          </w:rPr>
          <w:t xml:space="preserve"> Total Variance Explained (EigenValue)</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Toc214621195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89</w:t>
        </w:r>
        <w:r w:rsidRPr="00C3486F">
          <w:rPr>
            <w:rStyle w:val="Hyperlink"/>
            <w:rFonts w:asciiTheme="majorBidi" w:hAnsiTheme="majorBidi" w:cstheme="majorBidi"/>
            <w:noProof/>
            <w:sz w:val="24"/>
            <w:szCs w:val="24"/>
            <w:rtl/>
          </w:rPr>
          <w:fldChar w:fldCharType="end"/>
        </w:r>
      </w:hyperlink>
    </w:p>
    <w:p w14:paraId="11B08457" w14:textId="524D55D1"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196" w:history="1">
        <w:r w:rsidRPr="00C3486F">
          <w:rPr>
            <w:rStyle w:val="Hyperlink"/>
            <w:rFonts w:asciiTheme="majorBidi" w:hAnsiTheme="majorBidi" w:cstheme="majorBidi"/>
            <w:noProof/>
            <w:sz w:val="24"/>
            <w:lang w:bidi="ar-EG"/>
          </w:rPr>
          <w:t>4.3.3. The Second Variable Risk management effectiveness: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Toc214621196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90</w:t>
        </w:r>
        <w:r w:rsidRPr="00C3486F">
          <w:rPr>
            <w:rStyle w:val="Hyperlink"/>
            <w:rFonts w:asciiTheme="majorBidi" w:hAnsiTheme="majorBidi" w:cstheme="majorBidi"/>
            <w:noProof/>
            <w:sz w:val="24"/>
            <w:rtl/>
          </w:rPr>
          <w:fldChar w:fldCharType="end"/>
        </w:r>
      </w:hyperlink>
    </w:p>
    <w:p w14:paraId="3BD1AB3D" w14:textId="296134C4"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7" w:history="1">
        <w:r w:rsidRPr="00C3486F">
          <w:rPr>
            <w:rStyle w:val="Hyperlink"/>
            <w:rFonts w:asciiTheme="majorBidi" w:hAnsiTheme="majorBidi" w:cstheme="majorBidi"/>
            <w:b/>
            <w:bCs/>
            <w:noProof/>
            <w:sz w:val="24"/>
            <w:szCs w:val="24"/>
            <w:lang w:bidi="ar-EG"/>
          </w:rPr>
          <w:t>4.3.3.1.</w:t>
        </w:r>
        <w:r w:rsidRPr="00C3486F">
          <w:rPr>
            <w:rStyle w:val="Hyperlink"/>
            <w:rFonts w:asciiTheme="majorBidi" w:hAnsiTheme="majorBidi" w:cstheme="majorBidi"/>
            <w:noProof/>
            <w:sz w:val="24"/>
            <w:szCs w:val="24"/>
            <w:lang w:bidi="ar-EG"/>
          </w:rPr>
          <w:t xml:space="preserve"> Exploratory Factor Analysis (loading factor)</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Toc214621197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90</w:t>
        </w:r>
        <w:r w:rsidRPr="00C3486F">
          <w:rPr>
            <w:rStyle w:val="Hyperlink"/>
            <w:rFonts w:asciiTheme="majorBidi" w:hAnsiTheme="majorBidi" w:cstheme="majorBidi"/>
            <w:noProof/>
            <w:sz w:val="24"/>
            <w:szCs w:val="24"/>
            <w:rtl/>
          </w:rPr>
          <w:fldChar w:fldCharType="end"/>
        </w:r>
      </w:hyperlink>
    </w:p>
    <w:p w14:paraId="75A30E63" w14:textId="47F05EEE"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8" w:history="1">
        <w:r w:rsidRPr="00C3486F">
          <w:rPr>
            <w:rStyle w:val="Hyperlink"/>
            <w:rFonts w:asciiTheme="majorBidi" w:hAnsiTheme="majorBidi" w:cstheme="majorBidi"/>
            <w:b/>
            <w:bCs/>
            <w:noProof/>
            <w:sz w:val="24"/>
            <w:szCs w:val="24"/>
          </w:rPr>
          <w:t>4.3.3.2.</w:t>
        </w:r>
        <w:r w:rsidRPr="00C3486F">
          <w:rPr>
            <w:rStyle w:val="Hyperlink"/>
            <w:rFonts w:asciiTheme="majorBidi" w:hAnsiTheme="majorBidi" w:cstheme="majorBidi"/>
            <w:noProof/>
            <w:sz w:val="24"/>
            <w:szCs w:val="24"/>
          </w:rPr>
          <w:t xml:space="preserve"> Measuring The Reliability Of the Study (Cronbach's Alpha)</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Toc214621198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91</w:t>
        </w:r>
        <w:r w:rsidRPr="00C3486F">
          <w:rPr>
            <w:rStyle w:val="Hyperlink"/>
            <w:rFonts w:asciiTheme="majorBidi" w:hAnsiTheme="majorBidi" w:cstheme="majorBidi"/>
            <w:noProof/>
            <w:sz w:val="24"/>
            <w:szCs w:val="24"/>
            <w:rtl/>
          </w:rPr>
          <w:fldChar w:fldCharType="end"/>
        </w:r>
      </w:hyperlink>
    </w:p>
    <w:p w14:paraId="0B6BD3E5" w14:textId="4328155E"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199" w:history="1">
        <w:r w:rsidRPr="00C3486F">
          <w:rPr>
            <w:rStyle w:val="Hyperlink"/>
            <w:rFonts w:asciiTheme="majorBidi" w:hAnsiTheme="majorBidi" w:cstheme="majorBidi"/>
            <w:b/>
            <w:bCs/>
            <w:noProof/>
            <w:sz w:val="24"/>
            <w:szCs w:val="24"/>
          </w:rPr>
          <w:t>4.3.3.3.</w:t>
        </w:r>
        <w:r w:rsidRPr="00C3486F">
          <w:rPr>
            <w:rStyle w:val="Hyperlink"/>
            <w:rFonts w:asciiTheme="majorBidi" w:hAnsiTheme="majorBidi" w:cstheme="majorBidi"/>
            <w:noProof/>
            <w:sz w:val="24"/>
            <w:szCs w:val="24"/>
          </w:rPr>
          <w:t xml:space="preserve"> Measuring The Reliability Of the Study (Cronbach's Alpha)</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Toc214621199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92</w:t>
        </w:r>
        <w:r w:rsidRPr="00C3486F">
          <w:rPr>
            <w:rStyle w:val="Hyperlink"/>
            <w:rFonts w:asciiTheme="majorBidi" w:hAnsiTheme="majorBidi" w:cstheme="majorBidi"/>
            <w:noProof/>
            <w:sz w:val="24"/>
            <w:szCs w:val="24"/>
            <w:rtl/>
          </w:rPr>
          <w:fldChar w:fldCharType="end"/>
        </w:r>
      </w:hyperlink>
    </w:p>
    <w:p w14:paraId="42ACA945" w14:textId="711B83D2"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200" w:history="1">
        <w:r w:rsidRPr="00C3486F">
          <w:rPr>
            <w:rStyle w:val="Hyperlink"/>
            <w:rFonts w:asciiTheme="majorBidi" w:hAnsiTheme="majorBidi" w:cstheme="majorBidi"/>
            <w:b/>
            <w:bCs/>
            <w:noProof/>
            <w:sz w:val="24"/>
            <w:szCs w:val="24"/>
            <w:rtl/>
          </w:rPr>
          <w:t>4.3.3.4.</w:t>
        </w:r>
        <w:r w:rsidRPr="00C3486F">
          <w:rPr>
            <w:rStyle w:val="Hyperlink"/>
            <w:rFonts w:asciiTheme="majorBidi" w:hAnsiTheme="majorBidi" w:cstheme="majorBidi"/>
            <w:noProof/>
            <w:sz w:val="24"/>
            <w:szCs w:val="24"/>
          </w:rPr>
          <w:t xml:space="preserve"> Communities Mean</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Toc214621200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92</w:t>
        </w:r>
        <w:r w:rsidRPr="00C3486F">
          <w:rPr>
            <w:rStyle w:val="Hyperlink"/>
            <w:rFonts w:asciiTheme="majorBidi" w:hAnsiTheme="majorBidi" w:cstheme="majorBidi"/>
            <w:noProof/>
            <w:sz w:val="24"/>
            <w:szCs w:val="24"/>
            <w:rtl/>
          </w:rPr>
          <w:fldChar w:fldCharType="end"/>
        </w:r>
      </w:hyperlink>
    </w:p>
    <w:p w14:paraId="74E694EE" w14:textId="6CCD4485"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201" w:history="1">
        <w:r w:rsidRPr="00C3486F">
          <w:rPr>
            <w:rStyle w:val="Hyperlink"/>
            <w:rFonts w:asciiTheme="majorBidi" w:hAnsiTheme="majorBidi" w:cstheme="majorBidi"/>
            <w:b/>
            <w:bCs/>
            <w:noProof/>
            <w:sz w:val="24"/>
            <w:szCs w:val="24"/>
          </w:rPr>
          <w:t>4.3.3.5.</w:t>
        </w:r>
        <w:r w:rsidRPr="00C3486F">
          <w:rPr>
            <w:rStyle w:val="Hyperlink"/>
            <w:rFonts w:asciiTheme="majorBidi" w:hAnsiTheme="majorBidi" w:cstheme="majorBidi"/>
            <w:noProof/>
            <w:sz w:val="24"/>
            <w:szCs w:val="24"/>
          </w:rPr>
          <w:t xml:space="preserve"> Total Variance Explained (EigenValue)</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Toc214621201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93</w:t>
        </w:r>
        <w:r w:rsidRPr="00C3486F">
          <w:rPr>
            <w:rStyle w:val="Hyperlink"/>
            <w:rFonts w:asciiTheme="majorBidi" w:hAnsiTheme="majorBidi" w:cstheme="majorBidi"/>
            <w:noProof/>
            <w:sz w:val="24"/>
            <w:szCs w:val="24"/>
            <w:rtl/>
          </w:rPr>
          <w:fldChar w:fldCharType="end"/>
        </w:r>
      </w:hyperlink>
    </w:p>
    <w:p w14:paraId="4CEC58A2" w14:textId="0E50B410"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202" w:history="1">
        <w:r w:rsidRPr="00C3486F">
          <w:rPr>
            <w:rStyle w:val="Hyperlink"/>
            <w:rFonts w:asciiTheme="majorBidi" w:hAnsiTheme="majorBidi" w:cstheme="majorBidi"/>
            <w:noProof/>
            <w:sz w:val="24"/>
            <w:lang w:bidi="ar-EG"/>
          </w:rPr>
          <w:t>4.4. Descriptive statistics for research variables (answer research questions)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93</w:t>
        </w:r>
        <w:r w:rsidRPr="00C3486F">
          <w:rPr>
            <w:rStyle w:val="Hyperlink"/>
            <w:rFonts w:asciiTheme="majorBidi" w:hAnsiTheme="majorBidi" w:cstheme="majorBidi"/>
            <w:noProof/>
            <w:sz w:val="24"/>
            <w:rtl/>
          </w:rPr>
          <w:fldChar w:fldCharType="end"/>
        </w:r>
      </w:hyperlink>
    </w:p>
    <w:p w14:paraId="22112787" w14:textId="4D48DD82"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203" w:history="1">
        <w:r w:rsidRPr="00C3486F">
          <w:rPr>
            <w:rStyle w:val="Hyperlink"/>
            <w:rFonts w:asciiTheme="majorBidi" w:hAnsiTheme="majorBidi" w:cstheme="majorBidi"/>
            <w:noProof/>
            <w:sz w:val="24"/>
            <w:lang w:bidi="ar-EG"/>
          </w:rPr>
          <w:t>4.5. Testing Hypotheses &amp; Findings Discussion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95</w:t>
        </w:r>
        <w:r w:rsidRPr="00C3486F">
          <w:rPr>
            <w:rStyle w:val="Hyperlink"/>
            <w:rFonts w:asciiTheme="majorBidi" w:hAnsiTheme="majorBidi" w:cstheme="majorBidi"/>
            <w:noProof/>
            <w:sz w:val="24"/>
            <w:rtl/>
          </w:rPr>
          <w:fldChar w:fldCharType="end"/>
        </w:r>
      </w:hyperlink>
    </w:p>
    <w:p w14:paraId="0726365F" w14:textId="20BC0D7A"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204" w:history="1">
        <w:r w:rsidRPr="00C3486F">
          <w:rPr>
            <w:rStyle w:val="Hyperlink"/>
            <w:rFonts w:asciiTheme="majorBidi" w:hAnsiTheme="majorBidi" w:cstheme="majorBidi"/>
            <w:noProof/>
            <w:sz w:val="24"/>
            <w:lang w:bidi="ar-EG"/>
          </w:rPr>
          <w:t>4.5.1. Testing study hypotheses and discussing results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95</w:t>
        </w:r>
        <w:r w:rsidRPr="00C3486F">
          <w:rPr>
            <w:rStyle w:val="Hyperlink"/>
            <w:rFonts w:asciiTheme="majorBidi" w:hAnsiTheme="majorBidi" w:cstheme="majorBidi"/>
            <w:noProof/>
            <w:sz w:val="24"/>
            <w:rtl/>
          </w:rPr>
          <w:fldChar w:fldCharType="end"/>
        </w:r>
      </w:hyperlink>
    </w:p>
    <w:p w14:paraId="60008332" w14:textId="4D43ACE2"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205" w:history="1">
        <w:r w:rsidRPr="00C3486F">
          <w:rPr>
            <w:rStyle w:val="Hyperlink"/>
            <w:rFonts w:asciiTheme="majorBidi" w:hAnsiTheme="majorBidi" w:cstheme="majorBidi"/>
            <w:b/>
            <w:bCs/>
            <w:noProof/>
            <w:sz w:val="24"/>
            <w:szCs w:val="24"/>
          </w:rPr>
          <w:t>4.5.1.1.</w:t>
        </w:r>
        <w:r w:rsidRPr="00C3486F">
          <w:rPr>
            <w:rStyle w:val="Hyperlink"/>
            <w:rFonts w:asciiTheme="majorBidi" w:hAnsiTheme="majorBidi" w:cstheme="majorBidi"/>
            <w:noProof/>
            <w:sz w:val="24"/>
            <w:szCs w:val="24"/>
            <w:lang w:bidi="ar-EG"/>
          </w:rPr>
          <w:t xml:space="preserve"> Results of testing the main hypothesis of the study:</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Toc214621205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96</w:t>
        </w:r>
        <w:r w:rsidRPr="00C3486F">
          <w:rPr>
            <w:rStyle w:val="Hyperlink"/>
            <w:rFonts w:asciiTheme="majorBidi" w:hAnsiTheme="majorBidi" w:cstheme="majorBidi"/>
            <w:noProof/>
            <w:sz w:val="24"/>
            <w:szCs w:val="24"/>
            <w:rtl/>
          </w:rPr>
          <w:fldChar w:fldCharType="end"/>
        </w:r>
      </w:hyperlink>
    </w:p>
    <w:p w14:paraId="0EB60735" w14:textId="5C664DC2" w:rsidR="00C3486F" w:rsidRPr="00C3486F" w:rsidRDefault="00C3486F" w:rsidP="00C3486F">
      <w:pPr>
        <w:pStyle w:val="40"/>
        <w:tabs>
          <w:tab w:val="right" w:leader="dot" w:pos="9061"/>
        </w:tabs>
        <w:bidi w:val="0"/>
        <w:rPr>
          <w:rFonts w:asciiTheme="majorBidi" w:eastAsiaTheme="minorEastAsia" w:hAnsiTheme="majorBidi" w:cstheme="majorBidi"/>
          <w:noProof/>
          <w:kern w:val="0"/>
          <w:sz w:val="24"/>
          <w:szCs w:val="24"/>
          <w:rtl/>
          <w14:ligatures w14:val="none"/>
        </w:rPr>
      </w:pPr>
      <w:hyperlink w:anchor="_Toc214621206" w:history="1">
        <w:r w:rsidRPr="00C3486F">
          <w:rPr>
            <w:rStyle w:val="Hyperlink"/>
            <w:rFonts w:asciiTheme="majorBidi" w:hAnsiTheme="majorBidi" w:cstheme="majorBidi"/>
            <w:b/>
            <w:bCs/>
            <w:noProof/>
            <w:sz w:val="24"/>
            <w:szCs w:val="24"/>
          </w:rPr>
          <w:t>4.5.1.2.</w:t>
        </w:r>
        <w:r w:rsidRPr="00C3486F">
          <w:rPr>
            <w:rStyle w:val="Hyperlink"/>
            <w:rFonts w:asciiTheme="majorBidi" w:hAnsiTheme="majorBidi" w:cstheme="majorBidi"/>
            <w:noProof/>
            <w:sz w:val="24"/>
            <w:szCs w:val="24"/>
          </w:rPr>
          <w:t xml:space="preserve"> Results of the study's sub-hypotheses test:</w:t>
        </w:r>
        <w:r w:rsidRPr="00C3486F">
          <w:rPr>
            <w:rFonts w:asciiTheme="majorBidi" w:hAnsiTheme="majorBidi" w:cstheme="majorBidi"/>
            <w:noProof/>
            <w:webHidden/>
            <w:sz w:val="24"/>
            <w:szCs w:val="24"/>
            <w:rtl/>
          </w:rPr>
          <w:tab/>
        </w:r>
        <w:r w:rsidRPr="00C3486F">
          <w:rPr>
            <w:rStyle w:val="Hyperlink"/>
            <w:rFonts w:asciiTheme="majorBidi" w:hAnsiTheme="majorBidi" w:cstheme="majorBidi"/>
            <w:noProof/>
            <w:sz w:val="24"/>
            <w:szCs w:val="24"/>
            <w:rtl/>
          </w:rPr>
          <w:fldChar w:fldCharType="begin"/>
        </w:r>
        <w:r w:rsidRPr="00C3486F">
          <w:rPr>
            <w:rFonts w:asciiTheme="majorBidi" w:hAnsiTheme="majorBidi" w:cstheme="majorBidi"/>
            <w:noProof/>
            <w:webHidden/>
            <w:sz w:val="24"/>
            <w:szCs w:val="24"/>
            <w:rtl/>
          </w:rPr>
          <w:instrText xml:space="preserve"> </w:instrText>
        </w:r>
        <w:r w:rsidRPr="00C3486F">
          <w:rPr>
            <w:rFonts w:asciiTheme="majorBidi" w:hAnsiTheme="majorBidi" w:cstheme="majorBidi"/>
            <w:noProof/>
            <w:webHidden/>
            <w:sz w:val="24"/>
            <w:szCs w:val="24"/>
          </w:rPr>
          <w:instrText>PAGEREF</w:instrText>
        </w:r>
        <w:r w:rsidRPr="00C3486F">
          <w:rPr>
            <w:rFonts w:asciiTheme="majorBidi" w:hAnsiTheme="majorBidi" w:cstheme="majorBidi"/>
            <w:noProof/>
            <w:webHidden/>
            <w:sz w:val="24"/>
            <w:szCs w:val="24"/>
            <w:rtl/>
          </w:rPr>
          <w:instrText xml:space="preserve"> _</w:instrText>
        </w:r>
        <w:r w:rsidRPr="00C3486F">
          <w:rPr>
            <w:rFonts w:asciiTheme="majorBidi" w:hAnsiTheme="majorBidi" w:cstheme="majorBidi"/>
            <w:noProof/>
            <w:webHidden/>
            <w:sz w:val="24"/>
            <w:szCs w:val="24"/>
          </w:rPr>
          <w:instrText>Toc214621206 \h</w:instrText>
        </w:r>
        <w:r w:rsidRPr="00C3486F">
          <w:rPr>
            <w:rFonts w:asciiTheme="majorBidi" w:hAnsiTheme="majorBidi" w:cstheme="majorBidi"/>
            <w:noProof/>
            <w:webHidden/>
            <w:sz w:val="24"/>
            <w:szCs w:val="24"/>
            <w:rtl/>
          </w:rPr>
          <w:instrText xml:space="preserve"> </w:instrText>
        </w:r>
        <w:r w:rsidRPr="00C3486F">
          <w:rPr>
            <w:rStyle w:val="Hyperlink"/>
            <w:rFonts w:asciiTheme="majorBidi" w:hAnsiTheme="majorBidi" w:cstheme="majorBidi"/>
            <w:noProof/>
            <w:sz w:val="24"/>
            <w:szCs w:val="24"/>
            <w:rtl/>
          </w:rPr>
        </w:r>
        <w:r w:rsidRPr="00C3486F">
          <w:rPr>
            <w:rStyle w:val="Hyperlink"/>
            <w:rFonts w:asciiTheme="majorBidi" w:hAnsiTheme="majorBidi" w:cstheme="majorBidi"/>
            <w:noProof/>
            <w:sz w:val="24"/>
            <w:szCs w:val="24"/>
            <w:rtl/>
          </w:rPr>
          <w:fldChar w:fldCharType="separate"/>
        </w:r>
        <w:r w:rsidR="00CD4CCF">
          <w:rPr>
            <w:rFonts w:asciiTheme="majorBidi" w:hAnsiTheme="majorBidi" w:cstheme="majorBidi"/>
            <w:noProof/>
            <w:webHidden/>
            <w:sz w:val="24"/>
            <w:szCs w:val="24"/>
          </w:rPr>
          <w:t>98</w:t>
        </w:r>
        <w:r w:rsidRPr="00C3486F">
          <w:rPr>
            <w:rStyle w:val="Hyperlink"/>
            <w:rFonts w:asciiTheme="majorBidi" w:hAnsiTheme="majorBidi" w:cstheme="majorBidi"/>
            <w:noProof/>
            <w:sz w:val="24"/>
            <w:szCs w:val="24"/>
            <w:rtl/>
          </w:rPr>
          <w:fldChar w:fldCharType="end"/>
        </w:r>
      </w:hyperlink>
    </w:p>
    <w:p w14:paraId="783F4142" w14:textId="3BA08267"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207" w:history="1">
        <w:r w:rsidRPr="00C3486F">
          <w:rPr>
            <w:rStyle w:val="Hyperlink"/>
            <w:rFonts w:asciiTheme="majorBidi" w:hAnsiTheme="majorBidi" w:cstheme="majorBidi"/>
            <w:noProof/>
            <w:sz w:val="24"/>
            <w:lang w:bidi="ar-EG"/>
          </w:rPr>
          <w:t>4.6.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Toc214621207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101</w:t>
        </w:r>
        <w:r w:rsidRPr="00C3486F">
          <w:rPr>
            <w:rStyle w:val="Hyperlink"/>
            <w:rFonts w:asciiTheme="majorBidi" w:hAnsiTheme="majorBidi" w:cstheme="majorBidi"/>
            <w:noProof/>
            <w:sz w:val="24"/>
            <w:rtl/>
          </w:rPr>
          <w:fldChar w:fldCharType="end"/>
        </w:r>
      </w:hyperlink>
    </w:p>
    <w:p w14:paraId="2DB78C58" w14:textId="78277625"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208" w:history="1">
        <w:r w:rsidRPr="00C3486F">
          <w:rPr>
            <w:rStyle w:val="Hyperlink"/>
            <w:rFonts w:asciiTheme="majorBidi" w:hAnsiTheme="majorBidi" w:cstheme="majorBidi"/>
            <w:noProof/>
            <w:sz w:val="24"/>
            <w:lang w:bidi="ar-EG"/>
          </w:rPr>
          <w:t>5. Ch. 5: Research limitations, Recommendations &amp;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Toc214621208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102</w:t>
        </w:r>
        <w:r w:rsidRPr="00C3486F">
          <w:rPr>
            <w:rStyle w:val="Hyperlink"/>
            <w:rFonts w:asciiTheme="majorBidi" w:hAnsiTheme="majorBidi" w:cstheme="majorBidi"/>
            <w:noProof/>
            <w:sz w:val="24"/>
            <w:rtl/>
          </w:rPr>
          <w:fldChar w:fldCharType="end"/>
        </w:r>
      </w:hyperlink>
    </w:p>
    <w:p w14:paraId="758FE01C" w14:textId="3092DF3F" w:rsidR="00C3486F" w:rsidRPr="00C3486F" w:rsidRDefault="00C3486F" w:rsidP="00C3486F">
      <w:pPr>
        <w:pStyle w:val="20"/>
        <w:tabs>
          <w:tab w:val="right" w:leader="dot" w:pos="9061"/>
        </w:tabs>
        <w:bidi w:val="0"/>
        <w:rPr>
          <w:rFonts w:asciiTheme="majorBidi" w:eastAsiaTheme="minorEastAsia" w:hAnsiTheme="majorBidi" w:cstheme="majorBidi"/>
          <w:smallCaps w:val="0"/>
          <w:noProof/>
          <w:kern w:val="0"/>
          <w:sz w:val="24"/>
          <w:rtl/>
          <w14:ligatures w14:val="none"/>
        </w:rPr>
      </w:pPr>
      <w:hyperlink w:anchor="_Toc214621209" w:history="1">
        <w:r w:rsidRPr="00C3486F">
          <w:rPr>
            <w:rStyle w:val="Hyperlink"/>
            <w:rFonts w:asciiTheme="majorBidi" w:hAnsiTheme="majorBidi" w:cstheme="majorBidi"/>
            <w:noProof/>
            <w:sz w:val="24"/>
            <w:lang w:bidi="ar-EG"/>
          </w:rPr>
          <w:t>5.1. Introduction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Toc214621209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103</w:t>
        </w:r>
        <w:r w:rsidRPr="00C3486F">
          <w:rPr>
            <w:rStyle w:val="Hyperlink"/>
            <w:rFonts w:asciiTheme="majorBidi" w:hAnsiTheme="majorBidi" w:cstheme="majorBidi"/>
            <w:noProof/>
            <w:sz w:val="24"/>
            <w:rtl/>
          </w:rPr>
          <w:fldChar w:fldCharType="end"/>
        </w:r>
      </w:hyperlink>
    </w:p>
    <w:p w14:paraId="2B9591B4" w14:textId="3348D4B8"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210" w:history="1">
        <w:r w:rsidRPr="00C3486F">
          <w:rPr>
            <w:rStyle w:val="Hyperlink"/>
            <w:rFonts w:asciiTheme="majorBidi" w:hAnsiTheme="majorBidi" w:cstheme="majorBidi"/>
            <w:noProof/>
            <w:sz w:val="24"/>
            <w:lang w:bidi="ar-EG"/>
          </w:rPr>
          <w:t>5.1.1. Theoretical Contribution &amp; Practical Implications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Toc214621210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103</w:t>
        </w:r>
        <w:r w:rsidRPr="00C3486F">
          <w:rPr>
            <w:rStyle w:val="Hyperlink"/>
            <w:rFonts w:asciiTheme="majorBidi" w:hAnsiTheme="majorBidi" w:cstheme="majorBidi"/>
            <w:noProof/>
            <w:sz w:val="24"/>
            <w:rtl/>
          </w:rPr>
          <w:fldChar w:fldCharType="end"/>
        </w:r>
      </w:hyperlink>
    </w:p>
    <w:p w14:paraId="24035FDD" w14:textId="2BC7AFCF"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211" w:history="1">
        <w:r w:rsidRPr="00C3486F">
          <w:rPr>
            <w:rStyle w:val="Hyperlink"/>
            <w:rFonts w:asciiTheme="majorBidi" w:hAnsiTheme="majorBidi" w:cstheme="majorBidi"/>
            <w:noProof/>
            <w:sz w:val="24"/>
            <w:lang w:bidi="ar-EG"/>
          </w:rPr>
          <w:t>5.1.2. Research Limitations &amp; Future Research</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Toc214621211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104</w:t>
        </w:r>
        <w:r w:rsidRPr="00C3486F">
          <w:rPr>
            <w:rStyle w:val="Hyperlink"/>
            <w:rFonts w:asciiTheme="majorBidi" w:hAnsiTheme="majorBidi" w:cstheme="majorBidi"/>
            <w:noProof/>
            <w:sz w:val="24"/>
            <w:rtl/>
          </w:rPr>
          <w:fldChar w:fldCharType="end"/>
        </w:r>
      </w:hyperlink>
    </w:p>
    <w:p w14:paraId="308160FA" w14:textId="5A7856C7"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212" w:history="1">
        <w:r w:rsidRPr="00C3486F">
          <w:rPr>
            <w:rStyle w:val="Hyperlink"/>
            <w:rFonts w:asciiTheme="majorBidi" w:hAnsiTheme="majorBidi" w:cstheme="majorBidi"/>
            <w:noProof/>
            <w:sz w:val="24"/>
            <w:lang w:bidi="ar-EG"/>
          </w:rPr>
          <w:t>5.1.3. Research Recommendations (Managerial)</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Toc214621212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105</w:t>
        </w:r>
        <w:r w:rsidRPr="00C3486F">
          <w:rPr>
            <w:rStyle w:val="Hyperlink"/>
            <w:rFonts w:asciiTheme="majorBidi" w:hAnsiTheme="majorBidi" w:cstheme="majorBidi"/>
            <w:noProof/>
            <w:sz w:val="24"/>
            <w:rtl/>
          </w:rPr>
          <w:fldChar w:fldCharType="end"/>
        </w:r>
      </w:hyperlink>
    </w:p>
    <w:p w14:paraId="6E72196E" w14:textId="5A643CE4" w:rsidR="00C3486F" w:rsidRPr="00C3486F" w:rsidRDefault="00C3486F" w:rsidP="00C3486F">
      <w:pPr>
        <w:pStyle w:val="30"/>
        <w:tabs>
          <w:tab w:val="right" w:leader="dot" w:pos="9061"/>
        </w:tabs>
        <w:bidi w:val="0"/>
        <w:rPr>
          <w:rFonts w:asciiTheme="majorBidi" w:eastAsiaTheme="minorEastAsia" w:hAnsiTheme="majorBidi" w:cstheme="majorBidi"/>
          <w:i w:val="0"/>
          <w:iCs w:val="0"/>
          <w:noProof/>
          <w:kern w:val="0"/>
          <w:sz w:val="24"/>
          <w:rtl/>
          <w14:ligatures w14:val="none"/>
        </w:rPr>
      </w:pPr>
      <w:hyperlink w:anchor="_Toc214621213" w:history="1">
        <w:r w:rsidRPr="00C3486F">
          <w:rPr>
            <w:rStyle w:val="Hyperlink"/>
            <w:rFonts w:asciiTheme="majorBidi" w:hAnsiTheme="majorBidi" w:cstheme="majorBidi"/>
            <w:noProof/>
            <w:sz w:val="24"/>
            <w:lang w:bidi="ar-EG"/>
          </w:rPr>
          <w:t>5.1.4. Conclusion</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Toc214621213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106</w:t>
        </w:r>
        <w:r w:rsidRPr="00C3486F">
          <w:rPr>
            <w:rStyle w:val="Hyperlink"/>
            <w:rFonts w:asciiTheme="majorBidi" w:hAnsiTheme="majorBidi" w:cstheme="majorBidi"/>
            <w:noProof/>
            <w:sz w:val="24"/>
            <w:rtl/>
          </w:rPr>
          <w:fldChar w:fldCharType="end"/>
        </w:r>
      </w:hyperlink>
    </w:p>
    <w:p w14:paraId="2A467D29" w14:textId="353C05FD"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214" w:history="1">
        <w:r w:rsidRPr="00C3486F">
          <w:rPr>
            <w:rStyle w:val="Hyperlink"/>
            <w:rFonts w:asciiTheme="majorBidi" w:hAnsiTheme="majorBidi" w:cstheme="majorBidi"/>
            <w:noProof/>
            <w:sz w:val="24"/>
            <w:rtl/>
            <w:lang w:bidi="ar-EG"/>
          </w:rPr>
          <w:t>6.</w:t>
        </w:r>
        <w:r w:rsidRPr="00C3486F">
          <w:rPr>
            <w:rStyle w:val="Hyperlink"/>
            <w:rFonts w:asciiTheme="majorBidi" w:hAnsiTheme="majorBidi" w:cstheme="majorBidi"/>
            <w:noProof/>
            <w:sz w:val="24"/>
            <w:lang w:bidi="ar-EG"/>
          </w:rPr>
          <w:t xml:space="preserve"> References</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Toc214621214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107</w:t>
        </w:r>
        <w:r w:rsidRPr="00C3486F">
          <w:rPr>
            <w:rStyle w:val="Hyperlink"/>
            <w:rFonts w:asciiTheme="majorBidi" w:hAnsiTheme="majorBidi" w:cstheme="majorBidi"/>
            <w:noProof/>
            <w:sz w:val="24"/>
            <w:rtl/>
          </w:rPr>
          <w:fldChar w:fldCharType="end"/>
        </w:r>
      </w:hyperlink>
    </w:p>
    <w:p w14:paraId="6D3C4C75" w14:textId="5BBF4289" w:rsidR="00C3486F" w:rsidRPr="00C3486F" w:rsidRDefault="00C3486F" w:rsidP="00C3486F">
      <w:pPr>
        <w:pStyle w:val="10"/>
        <w:bidi w:val="0"/>
        <w:rPr>
          <w:rFonts w:asciiTheme="majorBidi" w:eastAsiaTheme="minorEastAsia" w:hAnsiTheme="majorBidi" w:cstheme="majorBidi"/>
          <w:noProof/>
          <w:kern w:val="0"/>
          <w:sz w:val="24"/>
          <w:rtl/>
          <w14:ligatures w14:val="none"/>
        </w:rPr>
      </w:pPr>
      <w:hyperlink w:anchor="_Toc214621215" w:history="1">
        <w:r w:rsidRPr="00C3486F">
          <w:rPr>
            <w:rStyle w:val="Hyperlink"/>
            <w:rFonts w:asciiTheme="majorBidi" w:hAnsiTheme="majorBidi" w:cstheme="majorBidi"/>
            <w:noProof/>
            <w:sz w:val="24"/>
            <w:lang w:bidi="ar-EG"/>
          </w:rPr>
          <w:t>7. Appendix</w:t>
        </w:r>
        <w:r w:rsidRPr="00C3486F">
          <w:rPr>
            <w:rFonts w:asciiTheme="majorBidi" w:hAnsiTheme="majorBidi" w:cstheme="majorBidi"/>
            <w:noProof/>
            <w:webHidden/>
            <w:sz w:val="24"/>
            <w:rtl/>
          </w:rPr>
          <w:tab/>
        </w:r>
        <w:r w:rsidRPr="00C3486F">
          <w:rPr>
            <w:rStyle w:val="Hyperlink"/>
            <w:rFonts w:asciiTheme="majorBidi" w:hAnsiTheme="majorBidi" w:cstheme="majorBidi"/>
            <w:noProof/>
            <w:sz w:val="24"/>
            <w:rtl/>
          </w:rPr>
          <w:fldChar w:fldCharType="begin"/>
        </w:r>
        <w:r w:rsidRPr="00C3486F">
          <w:rPr>
            <w:rFonts w:asciiTheme="majorBidi" w:hAnsiTheme="majorBidi" w:cstheme="majorBidi"/>
            <w:noProof/>
            <w:webHidden/>
            <w:sz w:val="24"/>
            <w:rtl/>
          </w:rPr>
          <w:instrText xml:space="preserve"> </w:instrText>
        </w:r>
        <w:r w:rsidRPr="00C3486F">
          <w:rPr>
            <w:rFonts w:asciiTheme="majorBidi" w:hAnsiTheme="majorBidi" w:cstheme="majorBidi"/>
            <w:noProof/>
            <w:webHidden/>
            <w:sz w:val="24"/>
          </w:rPr>
          <w:instrText>PAGEREF</w:instrText>
        </w:r>
        <w:r w:rsidRPr="00C3486F">
          <w:rPr>
            <w:rFonts w:asciiTheme="majorBidi" w:hAnsiTheme="majorBidi" w:cstheme="majorBidi"/>
            <w:noProof/>
            <w:webHidden/>
            <w:sz w:val="24"/>
            <w:rtl/>
          </w:rPr>
          <w:instrText xml:space="preserve"> _</w:instrText>
        </w:r>
        <w:r w:rsidRPr="00C3486F">
          <w:rPr>
            <w:rFonts w:asciiTheme="majorBidi" w:hAnsiTheme="majorBidi" w:cstheme="majorBidi"/>
            <w:noProof/>
            <w:webHidden/>
            <w:sz w:val="24"/>
          </w:rPr>
          <w:instrText>Toc214621215 \h</w:instrText>
        </w:r>
        <w:r w:rsidRPr="00C3486F">
          <w:rPr>
            <w:rFonts w:asciiTheme="majorBidi" w:hAnsiTheme="majorBidi" w:cstheme="majorBidi"/>
            <w:noProof/>
            <w:webHidden/>
            <w:sz w:val="24"/>
            <w:rtl/>
          </w:rPr>
          <w:instrText xml:space="preserve"> </w:instrText>
        </w:r>
        <w:r w:rsidRPr="00C3486F">
          <w:rPr>
            <w:rStyle w:val="Hyperlink"/>
            <w:rFonts w:asciiTheme="majorBidi" w:hAnsiTheme="majorBidi" w:cstheme="majorBidi"/>
            <w:noProof/>
            <w:sz w:val="24"/>
            <w:rtl/>
          </w:rPr>
        </w:r>
        <w:r w:rsidRPr="00C3486F">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112</w:t>
        </w:r>
        <w:r w:rsidRPr="00C3486F">
          <w:rPr>
            <w:rStyle w:val="Hyperlink"/>
            <w:rFonts w:asciiTheme="majorBidi" w:hAnsiTheme="majorBidi" w:cstheme="majorBidi"/>
            <w:noProof/>
            <w:sz w:val="24"/>
            <w:rtl/>
          </w:rPr>
          <w:fldChar w:fldCharType="end"/>
        </w:r>
      </w:hyperlink>
    </w:p>
    <w:p w14:paraId="12932EA0" w14:textId="3D4E180B" w:rsidR="00D5598F" w:rsidRDefault="00D5598F" w:rsidP="00C3486F">
      <w:pPr>
        <w:bidi w:val="0"/>
        <w:spacing w:line="360" w:lineRule="auto"/>
        <w:rPr>
          <w:rFonts w:asciiTheme="majorBidi" w:hAnsiTheme="majorBidi" w:cstheme="majorBidi"/>
          <w:sz w:val="28"/>
          <w:szCs w:val="28"/>
        </w:rPr>
      </w:pPr>
      <w:r w:rsidRPr="00C3486F">
        <w:rPr>
          <w:rFonts w:asciiTheme="majorBidi" w:hAnsiTheme="majorBidi" w:cstheme="majorBidi"/>
          <w:sz w:val="24"/>
          <w:szCs w:val="24"/>
        </w:rPr>
        <w:fldChar w:fldCharType="end"/>
      </w:r>
    </w:p>
    <w:p w14:paraId="793401EB" w14:textId="77F26C13" w:rsidR="00D5598F" w:rsidRDefault="00D5598F" w:rsidP="00D5598F">
      <w:pPr>
        <w:bidi w:val="0"/>
        <w:spacing w:line="360" w:lineRule="auto"/>
        <w:rPr>
          <w:rFonts w:asciiTheme="majorBidi" w:hAnsiTheme="majorBidi" w:cstheme="majorBidi"/>
          <w:sz w:val="28"/>
          <w:szCs w:val="28"/>
        </w:rPr>
      </w:pPr>
    </w:p>
    <w:p w14:paraId="2A291EC6" w14:textId="068E4DCD" w:rsidR="00C3486F" w:rsidRDefault="00C3486F" w:rsidP="00C3486F">
      <w:pPr>
        <w:bidi w:val="0"/>
        <w:spacing w:line="360" w:lineRule="auto"/>
        <w:rPr>
          <w:rFonts w:asciiTheme="majorBidi" w:hAnsiTheme="majorBidi" w:cstheme="majorBidi"/>
          <w:sz w:val="28"/>
          <w:szCs w:val="28"/>
        </w:rPr>
      </w:pPr>
    </w:p>
    <w:p w14:paraId="1C4B69F9" w14:textId="142D274A" w:rsidR="00C3486F" w:rsidRDefault="00C3486F" w:rsidP="00C3486F">
      <w:pPr>
        <w:bidi w:val="0"/>
        <w:spacing w:line="360" w:lineRule="auto"/>
        <w:rPr>
          <w:rFonts w:asciiTheme="majorBidi" w:hAnsiTheme="majorBidi" w:cstheme="majorBidi"/>
          <w:sz w:val="28"/>
          <w:szCs w:val="28"/>
        </w:rPr>
      </w:pPr>
    </w:p>
    <w:p w14:paraId="2348ED58" w14:textId="3FC609EF" w:rsidR="00C3486F" w:rsidRDefault="00C3486F" w:rsidP="00C3486F">
      <w:pPr>
        <w:bidi w:val="0"/>
        <w:spacing w:line="360" w:lineRule="auto"/>
        <w:rPr>
          <w:rFonts w:asciiTheme="majorBidi" w:hAnsiTheme="majorBidi" w:cstheme="majorBidi"/>
          <w:sz w:val="28"/>
          <w:szCs w:val="28"/>
        </w:rPr>
      </w:pPr>
    </w:p>
    <w:p w14:paraId="2B77DBCF" w14:textId="77777777" w:rsidR="00C3486F" w:rsidRDefault="00C3486F" w:rsidP="00C3486F">
      <w:pPr>
        <w:bidi w:val="0"/>
        <w:spacing w:line="360" w:lineRule="auto"/>
        <w:rPr>
          <w:rFonts w:asciiTheme="majorBidi" w:hAnsiTheme="majorBidi" w:cstheme="majorBidi"/>
          <w:sz w:val="28"/>
          <w:szCs w:val="28"/>
        </w:rPr>
      </w:pPr>
    </w:p>
    <w:p w14:paraId="58518A3D" w14:textId="77777777" w:rsidR="007E61A3" w:rsidRPr="00EA757A" w:rsidRDefault="007E61A3" w:rsidP="007E61A3">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center"/>
        <w:rPr>
          <w:rFonts w:asciiTheme="majorBidi" w:hAnsiTheme="majorBidi" w:cstheme="majorBidi"/>
          <w:b/>
          <w:bCs/>
          <w:sz w:val="36"/>
          <w:szCs w:val="28"/>
          <w:rtl/>
          <w:lang w:bidi="ar-EG"/>
        </w:rPr>
      </w:pPr>
      <w:r w:rsidRPr="00EA757A">
        <w:rPr>
          <w:rFonts w:asciiTheme="majorBidi" w:hAnsiTheme="majorBidi" w:cstheme="majorBidi"/>
          <w:b/>
          <w:bCs/>
          <w:sz w:val="36"/>
          <w:szCs w:val="28"/>
        </w:rPr>
        <w:t>List of Tables:</w:t>
      </w:r>
    </w:p>
    <w:p w14:paraId="3F3EB9A3" w14:textId="1B1E5A42" w:rsidR="002E6F27" w:rsidRPr="002E6F27" w:rsidRDefault="007E61A3"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r w:rsidRPr="002E6F27">
        <w:rPr>
          <w:rFonts w:asciiTheme="majorBidi" w:hAnsiTheme="majorBidi" w:cstheme="majorBidi"/>
          <w:sz w:val="24"/>
        </w:rPr>
        <w:fldChar w:fldCharType="begin"/>
      </w:r>
      <w:r w:rsidRPr="002E6F27">
        <w:rPr>
          <w:rFonts w:asciiTheme="majorBidi" w:hAnsiTheme="majorBidi" w:cstheme="majorBidi"/>
          <w:sz w:val="24"/>
        </w:rPr>
        <w:instrText xml:space="preserve"> TOC \h \z \c "Table" </w:instrText>
      </w:r>
      <w:r w:rsidRPr="002E6F27">
        <w:rPr>
          <w:rFonts w:asciiTheme="majorBidi" w:hAnsiTheme="majorBidi" w:cstheme="majorBidi"/>
          <w:sz w:val="24"/>
        </w:rPr>
        <w:fldChar w:fldCharType="separate"/>
      </w:r>
      <w:hyperlink w:anchor="_Toc214622007" w:history="1">
        <w:r w:rsidR="002E6F27" w:rsidRPr="002E6F27">
          <w:rPr>
            <w:rStyle w:val="Hyperlink"/>
            <w:rFonts w:asciiTheme="majorBidi" w:hAnsiTheme="majorBidi" w:cstheme="majorBidi"/>
            <w:noProof/>
            <w:sz w:val="24"/>
          </w:rPr>
          <w:t>Table 1: Saudi/GCC Banking Structure Snapshot (Islamic Share, HQLA, and Credit Growth Bands)</w:t>
        </w:r>
        <w:r w:rsidR="002E6F27" w:rsidRPr="002E6F27">
          <w:rPr>
            <w:rFonts w:asciiTheme="majorBidi" w:hAnsiTheme="majorBidi" w:cstheme="majorBidi"/>
            <w:noProof/>
            <w:webHidden/>
            <w:sz w:val="24"/>
            <w:rtl/>
          </w:rPr>
          <w:tab/>
        </w:r>
        <w:r w:rsidR="002E6F27" w:rsidRPr="002E6F27">
          <w:rPr>
            <w:rStyle w:val="Hyperlink"/>
            <w:rFonts w:asciiTheme="majorBidi" w:hAnsiTheme="majorBidi" w:cstheme="majorBidi"/>
            <w:noProof/>
            <w:sz w:val="24"/>
            <w:rtl/>
          </w:rPr>
          <w:fldChar w:fldCharType="begin"/>
        </w:r>
        <w:r w:rsidR="002E6F27" w:rsidRPr="002E6F27">
          <w:rPr>
            <w:rFonts w:asciiTheme="majorBidi" w:hAnsiTheme="majorBidi" w:cstheme="majorBidi"/>
            <w:noProof/>
            <w:webHidden/>
            <w:sz w:val="24"/>
            <w:rtl/>
          </w:rPr>
          <w:instrText xml:space="preserve"> </w:instrText>
        </w:r>
        <w:r w:rsidR="002E6F27" w:rsidRPr="002E6F27">
          <w:rPr>
            <w:rFonts w:asciiTheme="majorBidi" w:hAnsiTheme="majorBidi" w:cstheme="majorBidi"/>
            <w:noProof/>
            <w:webHidden/>
            <w:sz w:val="24"/>
          </w:rPr>
          <w:instrText>PAGEREF</w:instrText>
        </w:r>
        <w:r w:rsidR="002E6F27" w:rsidRPr="002E6F27">
          <w:rPr>
            <w:rFonts w:asciiTheme="majorBidi" w:hAnsiTheme="majorBidi" w:cstheme="majorBidi"/>
            <w:noProof/>
            <w:webHidden/>
            <w:sz w:val="24"/>
            <w:rtl/>
          </w:rPr>
          <w:instrText xml:space="preserve"> _</w:instrText>
        </w:r>
        <w:r w:rsidR="002E6F27" w:rsidRPr="002E6F27">
          <w:rPr>
            <w:rFonts w:asciiTheme="majorBidi" w:hAnsiTheme="majorBidi" w:cstheme="majorBidi"/>
            <w:noProof/>
            <w:webHidden/>
            <w:sz w:val="24"/>
          </w:rPr>
          <w:instrText>Toc214622007 \h</w:instrText>
        </w:r>
        <w:r w:rsidR="002E6F27" w:rsidRPr="002E6F27">
          <w:rPr>
            <w:rFonts w:asciiTheme="majorBidi" w:hAnsiTheme="majorBidi" w:cstheme="majorBidi"/>
            <w:noProof/>
            <w:webHidden/>
            <w:sz w:val="24"/>
            <w:rtl/>
          </w:rPr>
          <w:instrText xml:space="preserve"> </w:instrText>
        </w:r>
        <w:r w:rsidR="002E6F27" w:rsidRPr="002E6F27">
          <w:rPr>
            <w:rStyle w:val="Hyperlink"/>
            <w:rFonts w:asciiTheme="majorBidi" w:hAnsiTheme="majorBidi" w:cstheme="majorBidi"/>
            <w:noProof/>
            <w:sz w:val="24"/>
            <w:rtl/>
          </w:rPr>
        </w:r>
        <w:r w:rsidR="002E6F27"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57</w:t>
        </w:r>
        <w:r w:rsidR="002E6F27" w:rsidRPr="002E6F27">
          <w:rPr>
            <w:rStyle w:val="Hyperlink"/>
            <w:rFonts w:asciiTheme="majorBidi" w:hAnsiTheme="majorBidi" w:cstheme="majorBidi"/>
            <w:noProof/>
            <w:sz w:val="24"/>
            <w:rtl/>
          </w:rPr>
          <w:fldChar w:fldCharType="end"/>
        </w:r>
      </w:hyperlink>
    </w:p>
    <w:p w14:paraId="646480D9" w14:textId="28D2587C"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08" w:history="1">
        <w:r w:rsidRPr="002E6F27">
          <w:rPr>
            <w:rStyle w:val="Hyperlink"/>
            <w:rFonts w:asciiTheme="majorBidi" w:hAnsiTheme="majorBidi" w:cstheme="majorBidi"/>
            <w:noProof/>
            <w:sz w:val="24"/>
          </w:rPr>
          <w:t>Table 2: Gap Matrix - What the Literature Measures vs. What This Study Measures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Toc214622008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63</w:t>
        </w:r>
        <w:r w:rsidRPr="002E6F27">
          <w:rPr>
            <w:rStyle w:val="Hyperlink"/>
            <w:rFonts w:asciiTheme="majorBidi" w:hAnsiTheme="majorBidi" w:cstheme="majorBidi"/>
            <w:noProof/>
            <w:sz w:val="24"/>
            <w:rtl/>
          </w:rPr>
          <w:fldChar w:fldCharType="end"/>
        </w:r>
      </w:hyperlink>
    </w:p>
    <w:p w14:paraId="7EAFEE7A" w14:textId="1B109D8F"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09" w:history="1">
        <w:r w:rsidRPr="002E6F27">
          <w:rPr>
            <w:rStyle w:val="Hyperlink"/>
            <w:rFonts w:asciiTheme="majorBidi" w:hAnsiTheme="majorBidi" w:cstheme="majorBidi"/>
            <w:noProof/>
            <w:sz w:val="24"/>
          </w:rPr>
          <w:t xml:space="preserve">Table 3:“Evidence-to-Instrument” - Context Fact </w:t>
        </w:r>
        <w:r w:rsidRPr="002E6F27">
          <w:rPr>
            <w:rStyle w:val="Hyperlink"/>
            <w:rFonts w:ascii="Segoe UI Symbol" w:hAnsi="Segoe UI Symbol" w:cs="Segoe UI Symbol"/>
            <w:noProof/>
            <w:sz w:val="24"/>
          </w:rPr>
          <w:t>➜</w:t>
        </w:r>
        <w:r w:rsidRPr="002E6F27">
          <w:rPr>
            <w:rStyle w:val="Hyperlink"/>
            <w:rFonts w:asciiTheme="majorBidi" w:hAnsiTheme="majorBidi" w:cstheme="majorBidi"/>
            <w:noProof/>
            <w:sz w:val="24"/>
          </w:rPr>
          <w:t xml:space="preserve"> Item Family (IV) </w:t>
        </w:r>
        <w:r w:rsidRPr="002E6F27">
          <w:rPr>
            <w:rStyle w:val="Hyperlink"/>
            <w:rFonts w:ascii="Segoe UI Symbol" w:hAnsi="Segoe UI Symbol" w:cs="Segoe UI Symbol"/>
            <w:noProof/>
            <w:sz w:val="24"/>
          </w:rPr>
          <w:t>➜</w:t>
        </w:r>
        <w:r w:rsidRPr="002E6F27">
          <w:rPr>
            <w:rStyle w:val="Hyperlink"/>
            <w:rFonts w:asciiTheme="majorBidi" w:hAnsiTheme="majorBidi" w:cstheme="majorBidi"/>
            <w:noProof/>
            <w:sz w:val="24"/>
          </w:rPr>
          <w:t xml:space="preserve"> DV Anchor</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Toc214622009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65</w:t>
        </w:r>
        <w:r w:rsidRPr="002E6F27">
          <w:rPr>
            <w:rStyle w:val="Hyperlink"/>
            <w:rFonts w:asciiTheme="majorBidi" w:hAnsiTheme="majorBidi" w:cstheme="majorBidi"/>
            <w:noProof/>
            <w:sz w:val="24"/>
            <w:rtl/>
          </w:rPr>
          <w:fldChar w:fldCharType="end"/>
        </w:r>
      </w:hyperlink>
    </w:p>
    <w:p w14:paraId="3E5CC2DE" w14:textId="324B7C02"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0" w:history="1">
        <w:r w:rsidRPr="002E6F27">
          <w:rPr>
            <w:rStyle w:val="Hyperlink"/>
            <w:rFonts w:asciiTheme="majorBidi" w:hAnsiTheme="majorBidi" w:cstheme="majorBidi"/>
            <w:noProof/>
            <w:sz w:val="24"/>
          </w:rPr>
          <w:t>Table</w:t>
        </w:r>
        <w:r w:rsidRPr="002E6F27">
          <w:rPr>
            <w:rStyle w:val="Hyperlink"/>
            <w:rFonts w:asciiTheme="majorBidi" w:hAnsiTheme="majorBidi" w:cstheme="majorBidi"/>
            <w:noProof/>
            <w:sz w:val="24"/>
            <w:rtl/>
          </w:rPr>
          <w:t xml:space="preserve"> 4</w:t>
        </w:r>
        <w:r w:rsidRPr="002E6F27">
          <w:rPr>
            <w:rStyle w:val="Hyperlink"/>
            <w:rFonts w:asciiTheme="majorBidi" w:hAnsiTheme="majorBidi" w:cstheme="majorBidi"/>
            <w:noProof/>
            <w:sz w:val="24"/>
          </w:rPr>
          <w:t>: The Research Population.</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Toc214622010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74</w:t>
        </w:r>
        <w:r w:rsidRPr="002E6F27">
          <w:rPr>
            <w:rStyle w:val="Hyperlink"/>
            <w:rFonts w:asciiTheme="majorBidi" w:hAnsiTheme="majorBidi" w:cstheme="majorBidi"/>
            <w:noProof/>
            <w:sz w:val="24"/>
            <w:rtl/>
          </w:rPr>
          <w:fldChar w:fldCharType="end"/>
        </w:r>
      </w:hyperlink>
    </w:p>
    <w:p w14:paraId="07ACA4EE" w14:textId="1ADCDEB3"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1" w:history="1">
        <w:r w:rsidRPr="002E6F27">
          <w:rPr>
            <w:rStyle w:val="Hyperlink"/>
            <w:rFonts w:asciiTheme="majorBidi" w:hAnsiTheme="majorBidi" w:cstheme="majorBidi"/>
            <w:noProof/>
            <w:sz w:val="24"/>
          </w:rPr>
          <w:t>Table 5: for Sample composition using stratified random sampling.</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Toc214622011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74</w:t>
        </w:r>
        <w:r w:rsidRPr="002E6F27">
          <w:rPr>
            <w:rStyle w:val="Hyperlink"/>
            <w:rFonts w:asciiTheme="majorBidi" w:hAnsiTheme="majorBidi" w:cstheme="majorBidi"/>
            <w:noProof/>
            <w:sz w:val="24"/>
            <w:rtl/>
          </w:rPr>
          <w:fldChar w:fldCharType="end"/>
        </w:r>
      </w:hyperlink>
    </w:p>
    <w:p w14:paraId="053FEF9E" w14:textId="2295C12C"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2" w:history="1">
        <w:r w:rsidRPr="002E6F27">
          <w:rPr>
            <w:rStyle w:val="Hyperlink"/>
            <w:rFonts w:asciiTheme="majorBidi" w:hAnsiTheme="majorBidi" w:cstheme="majorBidi"/>
            <w:noProof/>
            <w:sz w:val="24"/>
          </w:rPr>
          <w:t>Table</w:t>
        </w:r>
        <w:r w:rsidRPr="002E6F27">
          <w:rPr>
            <w:rStyle w:val="Hyperlink"/>
            <w:rFonts w:asciiTheme="majorBidi" w:hAnsiTheme="majorBidi" w:cstheme="majorBidi"/>
            <w:noProof/>
            <w:sz w:val="24"/>
            <w:rtl/>
          </w:rPr>
          <w:t xml:space="preserve"> 6</w:t>
        </w:r>
        <w:r w:rsidRPr="002E6F27">
          <w:rPr>
            <w:rStyle w:val="Hyperlink"/>
            <w:rFonts w:asciiTheme="majorBidi" w:hAnsiTheme="majorBidi" w:cstheme="majorBidi"/>
            <w:noProof/>
            <w:sz w:val="24"/>
            <w:rtl/>
            <w:lang w:bidi="ar-EG"/>
          </w:rPr>
          <w:t xml:space="preserve">: </w:t>
        </w:r>
        <w:r w:rsidRPr="002E6F27">
          <w:rPr>
            <w:rStyle w:val="Hyperlink"/>
            <w:rFonts w:asciiTheme="majorBidi" w:hAnsiTheme="majorBidi" w:cstheme="majorBidi"/>
            <w:noProof/>
            <w:sz w:val="24"/>
            <w:lang w:bidi="ar-EG"/>
          </w:rPr>
          <w:t>for Sample composition using stratified random sampling</w:t>
        </w:r>
        <w:r w:rsidRPr="002E6F27">
          <w:rPr>
            <w:rStyle w:val="Hyperlink"/>
            <w:rFonts w:asciiTheme="majorBidi" w:hAnsiTheme="majorBidi" w:cstheme="majorBidi"/>
            <w:noProof/>
            <w:sz w:val="24"/>
            <w:rtl/>
            <w:lang w:bidi="ar-EG"/>
          </w:rPr>
          <w:t>.</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Toc214622012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75</w:t>
        </w:r>
        <w:r w:rsidRPr="002E6F27">
          <w:rPr>
            <w:rStyle w:val="Hyperlink"/>
            <w:rFonts w:asciiTheme="majorBidi" w:hAnsiTheme="majorBidi" w:cstheme="majorBidi"/>
            <w:noProof/>
            <w:sz w:val="24"/>
            <w:rtl/>
          </w:rPr>
          <w:fldChar w:fldCharType="end"/>
        </w:r>
      </w:hyperlink>
    </w:p>
    <w:p w14:paraId="00D839DF" w14:textId="05E6B670"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3" w:history="1">
        <w:r w:rsidRPr="002E6F27">
          <w:rPr>
            <w:rStyle w:val="Hyperlink"/>
            <w:rFonts w:asciiTheme="majorBidi" w:hAnsiTheme="majorBidi" w:cstheme="majorBidi"/>
            <w:noProof/>
            <w:sz w:val="24"/>
          </w:rPr>
          <w:t>Table</w:t>
        </w:r>
        <w:r w:rsidRPr="002E6F27">
          <w:rPr>
            <w:rStyle w:val="Hyperlink"/>
            <w:rFonts w:asciiTheme="majorBidi" w:hAnsiTheme="majorBidi" w:cstheme="majorBidi"/>
            <w:noProof/>
            <w:sz w:val="24"/>
            <w:rtl/>
          </w:rPr>
          <w:t xml:space="preserve"> 7</w:t>
        </w:r>
        <w:r w:rsidRPr="002E6F27">
          <w:rPr>
            <w:rStyle w:val="Hyperlink"/>
            <w:rFonts w:asciiTheme="majorBidi" w:hAnsiTheme="majorBidi" w:cstheme="majorBidi"/>
            <w:noProof/>
            <w:sz w:val="24"/>
          </w:rPr>
          <w:t>: Instrument of the Independent Variable (Functional Relationship Between Account Managers and Sales Teams)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Toc214622013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76</w:t>
        </w:r>
        <w:r w:rsidRPr="002E6F27">
          <w:rPr>
            <w:rStyle w:val="Hyperlink"/>
            <w:rFonts w:asciiTheme="majorBidi" w:hAnsiTheme="majorBidi" w:cstheme="majorBidi"/>
            <w:noProof/>
            <w:sz w:val="24"/>
            <w:rtl/>
          </w:rPr>
          <w:fldChar w:fldCharType="end"/>
        </w:r>
      </w:hyperlink>
    </w:p>
    <w:p w14:paraId="0230DFB4" w14:textId="1569524C"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4" w:history="1">
        <w:r w:rsidRPr="002E6F27">
          <w:rPr>
            <w:rStyle w:val="Hyperlink"/>
            <w:rFonts w:asciiTheme="majorBidi" w:hAnsiTheme="majorBidi" w:cstheme="majorBidi"/>
            <w:noProof/>
            <w:sz w:val="24"/>
          </w:rPr>
          <w:t>Table</w:t>
        </w:r>
        <w:r w:rsidRPr="002E6F27">
          <w:rPr>
            <w:rStyle w:val="Hyperlink"/>
            <w:rFonts w:asciiTheme="majorBidi" w:hAnsiTheme="majorBidi" w:cstheme="majorBidi"/>
            <w:noProof/>
            <w:sz w:val="24"/>
            <w:rtl/>
          </w:rPr>
          <w:t xml:space="preserve"> 8</w:t>
        </w:r>
        <w:r w:rsidRPr="002E6F27">
          <w:rPr>
            <w:rStyle w:val="Hyperlink"/>
            <w:rFonts w:asciiTheme="majorBidi" w:hAnsiTheme="majorBidi" w:cstheme="majorBidi"/>
            <w:noProof/>
            <w:sz w:val="24"/>
          </w:rPr>
          <w:t>: for the Instrument of the Dependent Variable</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Toc214622014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77</w:t>
        </w:r>
        <w:r w:rsidRPr="002E6F27">
          <w:rPr>
            <w:rStyle w:val="Hyperlink"/>
            <w:rFonts w:asciiTheme="majorBidi" w:hAnsiTheme="majorBidi" w:cstheme="majorBidi"/>
            <w:noProof/>
            <w:sz w:val="24"/>
            <w:rtl/>
          </w:rPr>
          <w:fldChar w:fldCharType="end"/>
        </w:r>
      </w:hyperlink>
    </w:p>
    <w:p w14:paraId="2802BF01" w14:textId="4433E926"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5" w:history="1">
        <w:r w:rsidRPr="002E6F27">
          <w:rPr>
            <w:rStyle w:val="Hyperlink"/>
            <w:rFonts w:asciiTheme="majorBidi" w:hAnsiTheme="majorBidi" w:cstheme="majorBidi"/>
            <w:noProof/>
            <w:sz w:val="24"/>
          </w:rPr>
          <w:t>Table 9: Descriptive Statistics for the Research Sample</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Toc214622015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81</w:t>
        </w:r>
        <w:r w:rsidRPr="002E6F27">
          <w:rPr>
            <w:rStyle w:val="Hyperlink"/>
            <w:rFonts w:asciiTheme="majorBidi" w:hAnsiTheme="majorBidi" w:cstheme="majorBidi"/>
            <w:noProof/>
            <w:sz w:val="24"/>
            <w:rtl/>
          </w:rPr>
          <w:fldChar w:fldCharType="end"/>
        </w:r>
      </w:hyperlink>
    </w:p>
    <w:p w14:paraId="0C665AB3" w14:textId="6867BA51"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6" w:history="1">
        <w:r w:rsidRPr="002E6F27">
          <w:rPr>
            <w:rStyle w:val="Hyperlink"/>
            <w:rFonts w:asciiTheme="majorBidi" w:hAnsiTheme="majorBidi" w:cstheme="majorBidi"/>
            <w:noProof/>
            <w:sz w:val="24"/>
          </w:rPr>
          <w:t>Table 10</w:t>
        </w:r>
        <w:r w:rsidRPr="002E6F27">
          <w:rPr>
            <w:rStyle w:val="Hyperlink"/>
            <w:rFonts w:asciiTheme="majorBidi" w:hAnsiTheme="majorBidi" w:cstheme="majorBidi"/>
            <w:noProof/>
            <w:sz w:val="24"/>
            <w:rtl/>
            <w:lang w:bidi="ar-EG"/>
          </w:rPr>
          <w:t xml:space="preserve">: </w:t>
        </w:r>
        <w:r w:rsidRPr="002E6F27">
          <w:rPr>
            <w:rStyle w:val="Hyperlink"/>
            <w:rFonts w:asciiTheme="majorBidi" w:hAnsiTheme="majorBidi" w:cstheme="majorBidi"/>
            <w:noProof/>
            <w:sz w:val="24"/>
            <w:lang w:bidi="ar-EG"/>
          </w:rPr>
          <w:t>Measurement model for the study variables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Toc214622016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85</w:t>
        </w:r>
        <w:r w:rsidRPr="002E6F27">
          <w:rPr>
            <w:rStyle w:val="Hyperlink"/>
            <w:rFonts w:asciiTheme="majorBidi" w:hAnsiTheme="majorBidi" w:cstheme="majorBidi"/>
            <w:noProof/>
            <w:sz w:val="24"/>
            <w:rtl/>
          </w:rPr>
          <w:fldChar w:fldCharType="end"/>
        </w:r>
      </w:hyperlink>
    </w:p>
    <w:p w14:paraId="4DB23B3D" w14:textId="01BD38DB"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7" w:history="1">
        <w:r w:rsidRPr="002E6F27">
          <w:rPr>
            <w:rStyle w:val="Hyperlink"/>
            <w:rFonts w:asciiTheme="majorBidi" w:hAnsiTheme="majorBidi" w:cstheme="majorBidi"/>
            <w:noProof/>
            <w:sz w:val="24"/>
          </w:rPr>
          <w:t>Table 11: Exploratory Factor Analysis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Toc214622017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86</w:t>
        </w:r>
        <w:r w:rsidRPr="002E6F27">
          <w:rPr>
            <w:rStyle w:val="Hyperlink"/>
            <w:rFonts w:asciiTheme="majorBidi" w:hAnsiTheme="majorBidi" w:cstheme="majorBidi"/>
            <w:noProof/>
            <w:sz w:val="24"/>
            <w:rtl/>
          </w:rPr>
          <w:fldChar w:fldCharType="end"/>
        </w:r>
      </w:hyperlink>
    </w:p>
    <w:p w14:paraId="499769D1" w14:textId="12A08692"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8" w:history="1">
        <w:r w:rsidRPr="002E6F27">
          <w:rPr>
            <w:rStyle w:val="Hyperlink"/>
            <w:rFonts w:asciiTheme="majorBidi" w:hAnsiTheme="majorBidi" w:cstheme="majorBidi"/>
            <w:noProof/>
            <w:sz w:val="24"/>
          </w:rPr>
          <w:t>Table 12</w:t>
        </w:r>
        <w:r w:rsidRPr="002E6F27">
          <w:rPr>
            <w:rStyle w:val="Hyperlink"/>
            <w:rFonts w:asciiTheme="majorBidi" w:hAnsiTheme="majorBidi" w:cstheme="majorBidi"/>
            <w:noProof/>
            <w:sz w:val="24"/>
            <w:rtl/>
            <w:lang w:bidi="ar-EG"/>
          </w:rPr>
          <w:t xml:space="preserve">: </w:t>
        </w:r>
        <w:r w:rsidRPr="002E6F27">
          <w:rPr>
            <w:rStyle w:val="Hyperlink"/>
            <w:rFonts w:asciiTheme="majorBidi" w:hAnsiTheme="majorBidi" w:cstheme="majorBidi"/>
            <w:noProof/>
            <w:sz w:val="24"/>
            <w:lang w:bidi="ar-EG"/>
          </w:rPr>
          <w:t>Reliability Statistics for the Study Instrument</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Toc214622018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88</w:t>
        </w:r>
        <w:r w:rsidRPr="002E6F27">
          <w:rPr>
            <w:rStyle w:val="Hyperlink"/>
            <w:rFonts w:asciiTheme="majorBidi" w:hAnsiTheme="majorBidi" w:cstheme="majorBidi"/>
            <w:noProof/>
            <w:sz w:val="24"/>
            <w:rtl/>
          </w:rPr>
          <w:fldChar w:fldCharType="end"/>
        </w:r>
      </w:hyperlink>
    </w:p>
    <w:p w14:paraId="50C34034" w14:textId="35F2EFE0"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19" w:history="1">
        <w:r w:rsidRPr="002E6F27">
          <w:rPr>
            <w:rStyle w:val="Hyperlink"/>
            <w:rFonts w:asciiTheme="majorBidi" w:hAnsiTheme="majorBidi" w:cstheme="majorBidi"/>
            <w:noProof/>
            <w:sz w:val="24"/>
          </w:rPr>
          <w:t>Table 13: KMO and Bartlett’s Test Results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Toc214622019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89</w:t>
        </w:r>
        <w:r w:rsidRPr="002E6F27">
          <w:rPr>
            <w:rStyle w:val="Hyperlink"/>
            <w:rFonts w:asciiTheme="majorBidi" w:hAnsiTheme="majorBidi" w:cstheme="majorBidi"/>
            <w:noProof/>
            <w:sz w:val="24"/>
            <w:rtl/>
          </w:rPr>
          <w:fldChar w:fldCharType="end"/>
        </w:r>
      </w:hyperlink>
    </w:p>
    <w:p w14:paraId="6D82FD74" w14:textId="6549BE0E"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0" w:history="1">
        <w:r w:rsidRPr="002E6F27">
          <w:rPr>
            <w:rStyle w:val="Hyperlink"/>
            <w:rFonts w:asciiTheme="majorBidi" w:hAnsiTheme="majorBidi" w:cstheme="majorBidi"/>
            <w:noProof/>
            <w:sz w:val="24"/>
          </w:rPr>
          <w:t>Table 14</w:t>
        </w:r>
        <w:r w:rsidRPr="002E6F27">
          <w:rPr>
            <w:rStyle w:val="Hyperlink"/>
            <w:rFonts w:asciiTheme="majorBidi" w:hAnsiTheme="majorBidi" w:cstheme="majorBidi"/>
            <w:noProof/>
            <w:sz w:val="24"/>
            <w:rtl/>
            <w:lang w:bidi="ar-EG"/>
          </w:rPr>
          <w:t xml:space="preserve">: </w:t>
        </w:r>
        <w:r w:rsidRPr="002E6F27">
          <w:rPr>
            <w:rStyle w:val="Hyperlink"/>
            <w:rFonts w:asciiTheme="majorBidi" w:hAnsiTheme="majorBidi" w:cstheme="majorBidi"/>
            <w:noProof/>
            <w:sz w:val="24"/>
            <w:lang w:bidi="ar-EG"/>
          </w:rPr>
          <w:t>Communalities Mean Value</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Toc214622020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89</w:t>
        </w:r>
        <w:r w:rsidRPr="002E6F27">
          <w:rPr>
            <w:rStyle w:val="Hyperlink"/>
            <w:rFonts w:asciiTheme="majorBidi" w:hAnsiTheme="majorBidi" w:cstheme="majorBidi"/>
            <w:noProof/>
            <w:sz w:val="24"/>
            <w:rtl/>
          </w:rPr>
          <w:fldChar w:fldCharType="end"/>
        </w:r>
      </w:hyperlink>
    </w:p>
    <w:p w14:paraId="554240ED" w14:textId="674B0D7E"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1" w:history="1">
        <w:r w:rsidRPr="002E6F27">
          <w:rPr>
            <w:rStyle w:val="Hyperlink"/>
            <w:rFonts w:asciiTheme="majorBidi" w:hAnsiTheme="majorBidi" w:cstheme="majorBidi"/>
            <w:noProof/>
            <w:sz w:val="24"/>
          </w:rPr>
          <w:t>Table 15: Rotated Component Matrix (PCA – Varimax Rotation)</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Toc214622021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90</w:t>
        </w:r>
        <w:r w:rsidRPr="002E6F27">
          <w:rPr>
            <w:rStyle w:val="Hyperlink"/>
            <w:rFonts w:asciiTheme="majorBidi" w:hAnsiTheme="majorBidi" w:cstheme="majorBidi"/>
            <w:noProof/>
            <w:sz w:val="24"/>
            <w:rtl/>
          </w:rPr>
          <w:fldChar w:fldCharType="end"/>
        </w:r>
      </w:hyperlink>
    </w:p>
    <w:p w14:paraId="69C1B29D" w14:textId="6465F501"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2" w:history="1">
        <w:r w:rsidRPr="002E6F27">
          <w:rPr>
            <w:rStyle w:val="Hyperlink"/>
            <w:rFonts w:asciiTheme="majorBidi" w:hAnsiTheme="majorBidi" w:cstheme="majorBidi"/>
            <w:noProof/>
            <w:sz w:val="24"/>
          </w:rPr>
          <w:t>Table 16: Reliability Statistics for the Dependent Variable (DV)</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Toc214622022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91</w:t>
        </w:r>
        <w:r w:rsidRPr="002E6F27">
          <w:rPr>
            <w:rStyle w:val="Hyperlink"/>
            <w:rFonts w:asciiTheme="majorBidi" w:hAnsiTheme="majorBidi" w:cstheme="majorBidi"/>
            <w:noProof/>
            <w:sz w:val="24"/>
            <w:rtl/>
          </w:rPr>
          <w:fldChar w:fldCharType="end"/>
        </w:r>
      </w:hyperlink>
    </w:p>
    <w:p w14:paraId="46EE2E2A" w14:textId="41CA58EB"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3" w:history="1">
        <w:r w:rsidRPr="002E6F27">
          <w:rPr>
            <w:rStyle w:val="Hyperlink"/>
            <w:rFonts w:asciiTheme="majorBidi" w:hAnsiTheme="majorBidi" w:cstheme="majorBidi"/>
            <w:noProof/>
            <w:sz w:val="24"/>
          </w:rPr>
          <w:t>Table 17: KMO and Bartlett’s Test Results for the Dependent Variable (DV)</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Toc214622023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92</w:t>
        </w:r>
        <w:r w:rsidRPr="002E6F27">
          <w:rPr>
            <w:rStyle w:val="Hyperlink"/>
            <w:rFonts w:asciiTheme="majorBidi" w:hAnsiTheme="majorBidi" w:cstheme="majorBidi"/>
            <w:noProof/>
            <w:sz w:val="24"/>
            <w:rtl/>
          </w:rPr>
          <w:fldChar w:fldCharType="end"/>
        </w:r>
      </w:hyperlink>
    </w:p>
    <w:p w14:paraId="3A6DE823" w14:textId="4DC072A1"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4" w:history="1">
        <w:r w:rsidRPr="002E6F27">
          <w:rPr>
            <w:rStyle w:val="Hyperlink"/>
            <w:rFonts w:asciiTheme="majorBidi" w:hAnsiTheme="majorBidi" w:cstheme="majorBidi"/>
            <w:noProof/>
            <w:sz w:val="24"/>
          </w:rPr>
          <w:t>Table 18: Communalities Mean Value for the Dependent Variable (DV)</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Toc214622024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92</w:t>
        </w:r>
        <w:r w:rsidRPr="002E6F27">
          <w:rPr>
            <w:rStyle w:val="Hyperlink"/>
            <w:rFonts w:asciiTheme="majorBidi" w:hAnsiTheme="majorBidi" w:cstheme="majorBidi"/>
            <w:noProof/>
            <w:sz w:val="24"/>
            <w:rtl/>
          </w:rPr>
          <w:fldChar w:fldCharType="end"/>
        </w:r>
      </w:hyperlink>
    </w:p>
    <w:p w14:paraId="256F4941" w14:textId="23E790AE"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5" w:history="1">
        <w:r w:rsidRPr="002E6F27">
          <w:rPr>
            <w:rStyle w:val="Hyperlink"/>
            <w:rFonts w:asciiTheme="majorBidi" w:hAnsiTheme="majorBidi" w:cstheme="majorBidi"/>
            <w:noProof/>
            <w:sz w:val="24"/>
          </w:rPr>
          <w:t>Table 19: Likert Scale Response Coding (1–5)</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Toc214622025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93</w:t>
        </w:r>
        <w:r w:rsidRPr="002E6F27">
          <w:rPr>
            <w:rStyle w:val="Hyperlink"/>
            <w:rFonts w:asciiTheme="majorBidi" w:hAnsiTheme="majorBidi" w:cstheme="majorBidi"/>
            <w:noProof/>
            <w:sz w:val="24"/>
            <w:rtl/>
          </w:rPr>
          <w:fldChar w:fldCharType="end"/>
        </w:r>
      </w:hyperlink>
    </w:p>
    <w:p w14:paraId="395A017B" w14:textId="52399328"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6" w:history="1">
        <w:r w:rsidRPr="002E6F27">
          <w:rPr>
            <w:rStyle w:val="Hyperlink"/>
            <w:rFonts w:asciiTheme="majorBidi" w:hAnsiTheme="majorBidi" w:cstheme="majorBidi"/>
            <w:noProof/>
            <w:sz w:val="24"/>
          </w:rPr>
          <w:t>Table 20: Interpretation of Arithmetic Mean and Relative Weight</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Toc214622026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93</w:t>
        </w:r>
        <w:r w:rsidRPr="002E6F27">
          <w:rPr>
            <w:rStyle w:val="Hyperlink"/>
            <w:rFonts w:asciiTheme="majorBidi" w:hAnsiTheme="majorBidi" w:cstheme="majorBidi"/>
            <w:noProof/>
            <w:sz w:val="24"/>
            <w:rtl/>
          </w:rPr>
          <w:fldChar w:fldCharType="end"/>
        </w:r>
      </w:hyperlink>
    </w:p>
    <w:p w14:paraId="4CF78E5F" w14:textId="7CCA19A5"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7" w:history="1">
        <w:r w:rsidRPr="002E6F27">
          <w:rPr>
            <w:rStyle w:val="Hyperlink"/>
            <w:rFonts w:asciiTheme="majorBidi" w:hAnsiTheme="majorBidi" w:cstheme="majorBidi"/>
            <w:noProof/>
            <w:sz w:val="24"/>
          </w:rPr>
          <w:t>Table 21: Arithmetic Means and Standard Deviations of the Study Variables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Toc214622027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94</w:t>
        </w:r>
        <w:r w:rsidRPr="002E6F27">
          <w:rPr>
            <w:rStyle w:val="Hyperlink"/>
            <w:rFonts w:asciiTheme="majorBidi" w:hAnsiTheme="majorBidi" w:cstheme="majorBidi"/>
            <w:noProof/>
            <w:sz w:val="24"/>
            <w:rtl/>
          </w:rPr>
          <w:fldChar w:fldCharType="end"/>
        </w:r>
      </w:hyperlink>
    </w:p>
    <w:p w14:paraId="501D9F50" w14:textId="6449B56F"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8" w:history="1">
        <w:r w:rsidRPr="002E6F27">
          <w:rPr>
            <w:rStyle w:val="Hyperlink"/>
            <w:rFonts w:asciiTheme="majorBidi" w:hAnsiTheme="majorBidi" w:cstheme="majorBidi"/>
            <w:noProof/>
            <w:sz w:val="24"/>
          </w:rPr>
          <w:t>Table 22: Pearson Correlation Between Information Sharing &amp; Data Integration and Credit Discipline &amp; Outcomes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Toc214622028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95</w:t>
        </w:r>
        <w:r w:rsidRPr="002E6F27">
          <w:rPr>
            <w:rStyle w:val="Hyperlink"/>
            <w:rFonts w:asciiTheme="majorBidi" w:hAnsiTheme="majorBidi" w:cstheme="majorBidi"/>
            <w:noProof/>
            <w:sz w:val="24"/>
            <w:rtl/>
          </w:rPr>
          <w:fldChar w:fldCharType="end"/>
        </w:r>
      </w:hyperlink>
    </w:p>
    <w:p w14:paraId="1B75A0DF" w14:textId="09523EB1"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29" w:history="1">
        <w:r w:rsidRPr="002E6F27">
          <w:rPr>
            <w:rStyle w:val="Hyperlink"/>
            <w:rFonts w:asciiTheme="majorBidi" w:hAnsiTheme="majorBidi" w:cstheme="majorBidi"/>
            <w:noProof/>
            <w:sz w:val="24"/>
          </w:rPr>
          <w:t>Table 23: Model Summary for the Regression Analysis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Toc214622029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96</w:t>
        </w:r>
        <w:r w:rsidRPr="002E6F27">
          <w:rPr>
            <w:rStyle w:val="Hyperlink"/>
            <w:rFonts w:asciiTheme="majorBidi" w:hAnsiTheme="majorBidi" w:cstheme="majorBidi"/>
            <w:noProof/>
            <w:sz w:val="24"/>
            <w:rtl/>
          </w:rPr>
          <w:fldChar w:fldCharType="end"/>
        </w:r>
      </w:hyperlink>
    </w:p>
    <w:p w14:paraId="0AA95891" w14:textId="16168885"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0" w:history="1">
        <w:r w:rsidRPr="002E6F27">
          <w:rPr>
            <w:rStyle w:val="Hyperlink"/>
            <w:rFonts w:asciiTheme="majorBidi" w:hAnsiTheme="majorBidi" w:cstheme="majorBidi"/>
            <w:noProof/>
            <w:sz w:val="24"/>
          </w:rPr>
          <w:t>Table 24: ANOVA Results for the Regression Model</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Toc214622030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96</w:t>
        </w:r>
        <w:r w:rsidRPr="002E6F27">
          <w:rPr>
            <w:rStyle w:val="Hyperlink"/>
            <w:rFonts w:asciiTheme="majorBidi" w:hAnsiTheme="majorBidi" w:cstheme="majorBidi"/>
            <w:noProof/>
            <w:sz w:val="24"/>
            <w:rtl/>
          </w:rPr>
          <w:fldChar w:fldCharType="end"/>
        </w:r>
      </w:hyperlink>
    </w:p>
    <w:p w14:paraId="1DB76614" w14:textId="419CB00E"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1" w:history="1">
        <w:r w:rsidRPr="002E6F27">
          <w:rPr>
            <w:rStyle w:val="Hyperlink"/>
            <w:rFonts w:asciiTheme="majorBidi" w:hAnsiTheme="majorBidi" w:cstheme="majorBidi"/>
            <w:noProof/>
            <w:sz w:val="24"/>
          </w:rPr>
          <w:t>Table 25: Regression Coefficients for the Impact of Information Sharing &amp; Data Integration on Risk Management Effectiveness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Toc214622031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96</w:t>
        </w:r>
        <w:r w:rsidRPr="002E6F27">
          <w:rPr>
            <w:rStyle w:val="Hyperlink"/>
            <w:rFonts w:asciiTheme="majorBidi" w:hAnsiTheme="majorBidi" w:cstheme="majorBidi"/>
            <w:noProof/>
            <w:sz w:val="24"/>
            <w:rtl/>
          </w:rPr>
          <w:fldChar w:fldCharType="end"/>
        </w:r>
      </w:hyperlink>
    </w:p>
    <w:p w14:paraId="1FD3D7F9" w14:textId="27F9815C"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2" w:history="1">
        <w:r w:rsidRPr="002E6F27">
          <w:rPr>
            <w:rStyle w:val="Hyperlink"/>
            <w:rFonts w:asciiTheme="majorBidi" w:hAnsiTheme="majorBidi" w:cstheme="majorBidi"/>
            <w:noProof/>
            <w:sz w:val="24"/>
          </w:rPr>
          <w:t>Table 26: Model Summary for the Multiple Regression Model</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Toc214622032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98</w:t>
        </w:r>
        <w:r w:rsidRPr="002E6F27">
          <w:rPr>
            <w:rStyle w:val="Hyperlink"/>
            <w:rFonts w:asciiTheme="majorBidi" w:hAnsiTheme="majorBidi" w:cstheme="majorBidi"/>
            <w:noProof/>
            <w:sz w:val="24"/>
            <w:rtl/>
          </w:rPr>
          <w:fldChar w:fldCharType="end"/>
        </w:r>
      </w:hyperlink>
    </w:p>
    <w:p w14:paraId="1D11229B" w14:textId="3BC936A7"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3" w:history="1">
        <w:r w:rsidRPr="002E6F27">
          <w:rPr>
            <w:rStyle w:val="Hyperlink"/>
            <w:rFonts w:asciiTheme="majorBidi" w:hAnsiTheme="majorBidi" w:cstheme="majorBidi"/>
            <w:noProof/>
            <w:sz w:val="24"/>
          </w:rPr>
          <w:t>Table 27: ANOVA Results for the Multiple Regression Model</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Toc214622033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98</w:t>
        </w:r>
        <w:r w:rsidRPr="002E6F27">
          <w:rPr>
            <w:rStyle w:val="Hyperlink"/>
            <w:rFonts w:asciiTheme="majorBidi" w:hAnsiTheme="majorBidi" w:cstheme="majorBidi"/>
            <w:noProof/>
            <w:sz w:val="24"/>
            <w:rtl/>
          </w:rPr>
          <w:fldChar w:fldCharType="end"/>
        </w:r>
      </w:hyperlink>
    </w:p>
    <w:p w14:paraId="35696229" w14:textId="5FA88B23"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4" w:history="1">
        <w:r w:rsidRPr="002E6F27">
          <w:rPr>
            <w:rStyle w:val="Hyperlink"/>
            <w:rFonts w:asciiTheme="majorBidi" w:hAnsiTheme="majorBidi" w:cstheme="majorBidi"/>
            <w:noProof/>
            <w:sz w:val="24"/>
          </w:rPr>
          <w:t>Table 28: Regression Coefficients for the Multiple Predictors of Risk Management Effectiveness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Toc214622034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98</w:t>
        </w:r>
        <w:r w:rsidRPr="002E6F27">
          <w:rPr>
            <w:rStyle w:val="Hyperlink"/>
            <w:rFonts w:asciiTheme="majorBidi" w:hAnsiTheme="majorBidi" w:cstheme="majorBidi"/>
            <w:noProof/>
            <w:sz w:val="24"/>
            <w:rtl/>
          </w:rPr>
          <w:fldChar w:fldCharType="end"/>
        </w:r>
      </w:hyperlink>
    </w:p>
    <w:p w14:paraId="26E78E2C" w14:textId="6258104E"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5" w:history="1">
        <w:r w:rsidRPr="002E6F27">
          <w:rPr>
            <w:rStyle w:val="Hyperlink"/>
            <w:rFonts w:asciiTheme="majorBidi" w:hAnsiTheme="majorBidi" w:cstheme="majorBidi"/>
            <w:noProof/>
            <w:sz w:val="24"/>
          </w:rPr>
          <w:t>Table 29: Study Variables, Dimensions</w:t>
        </w:r>
        <w:r w:rsidRPr="002E6F27">
          <w:rPr>
            <w:rFonts w:asciiTheme="majorBidi" w:hAnsiTheme="majorBidi" w:cstheme="majorBidi"/>
            <w:noProof/>
            <w:webHidden/>
            <w:sz w:val="24"/>
            <w:rtl/>
          </w:rPr>
          <w:tab/>
        </w:r>
        <w:r w:rsidRPr="002E6F27">
          <w:rPr>
            <w:rStyle w:val="Hyperlink"/>
            <w:rFonts w:asciiTheme="majorBidi" w:hAnsiTheme="majorBidi" w:cstheme="majorBidi"/>
            <w:noProof/>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Toc214622035 \h</w:instrText>
        </w:r>
        <w:r w:rsidRPr="002E6F27">
          <w:rPr>
            <w:rFonts w:asciiTheme="majorBidi" w:hAnsiTheme="majorBidi" w:cstheme="majorBidi"/>
            <w:noProof/>
            <w:webHidden/>
            <w:sz w:val="24"/>
            <w:rtl/>
          </w:rPr>
          <w:instrText xml:space="preserve"> </w:instrText>
        </w:r>
        <w:r w:rsidRPr="002E6F27">
          <w:rPr>
            <w:rStyle w:val="Hyperlink"/>
            <w:rFonts w:asciiTheme="majorBidi" w:hAnsiTheme="majorBidi" w:cstheme="majorBidi"/>
            <w:noProof/>
            <w:sz w:val="24"/>
            <w:rtl/>
          </w:rPr>
        </w:r>
        <w:r w:rsidRPr="002E6F27">
          <w:rPr>
            <w:rStyle w:val="Hyperlink"/>
            <w:rFonts w:asciiTheme="majorBidi" w:hAnsiTheme="majorBidi" w:cstheme="majorBidi"/>
            <w:noProof/>
            <w:sz w:val="24"/>
            <w:rtl/>
          </w:rPr>
          <w:fldChar w:fldCharType="separate"/>
        </w:r>
        <w:r w:rsidR="00CD4CCF">
          <w:rPr>
            <w:rFonts w:asciiTheme="majorBidi" w:hAnsiTheme="majorBidi" w:cstheme="majorBidi"/>
            <w:noProof/>
            <w:webHidden/>
            <w:sz w:val="24"/>
          </w:rPr>
          <w:t>113</w:t>
        </w:r>
        <w:r w:rsidRPr="002E6F27">
          <w:rPr>
            <w:rStyle w:val="Hyperlink"/>
            <w:rFonts w:asciiTheme="majorBidi" w:hAnsiTheme="majorBidi" w:cstheme="majorBidi"/>
            <w:noProof/>
            <w:sz w:val="24"/>
            <w:rtl/>
          </w:rPr>
          <w:fldChar w:fldCharType="end"/>
        </w:r>
      </w:hyperlink>
    </w:p>
    <w:p w14:paraId="6DE4A54B" w14:textId="1C45E835" w:rsidR="00D5598F" w:rsidRPr="002E6F27" w:rsidRDefault="007E61A3" w:rsidP="002E6F27">
      <w:pPr>
        <w:bidi w:val="0"/>
        <w:spacing w:line="360" w:lineRule="auto"/>
        <w:rPr>
          <w:rFonts w:asciiTheme="majorBidi" w:hAnsiTheme="majorBidi" w:cstheme="majorBidi"/>
          <w:sz w:val="24"/>
          <w:szCs w:val="24"/>
        </w:rPr>
      </w:pPr>
      <w:r w:rsidRPr="002E6F27">
        <w:rPr>
          <w:rFonts w:asciiTheme="majorBidi" w:hAnsiTheme="majorBidi" w:cstheme="majorBidi"/>
          <w:sz w:val="24"/>
          <w:szCs w:val="24"/>
        </w:rPr>
        <w:fldChar w:fldCharType="end"/>
      </w:r>
    </w:p>
    <w:p w14:paraId="39D88B90" w14:textId="436EDBC5" w:rsidR="00D5598F" w:rsidRPr="00C3486F" w:rsidRDefault="00D5598F" w:rsidP="00C3486F">
      <w:pPr>
        <w:bidi w:val="0"/>
        <w:spacing w:line="360" w:lineRule="auto"/>
        <w:rPr>
          <w:rFonts w:asciiTheme="majorBidi" w:hAnsiTheme="majorBidi" w:cstheme="majorBidi"/>
          <w:sz w:val="24"/>
          <w:szCs w:val="24"/>
        </w:rPr>
      </w:pPr>
    </w:p>
    <w:p w14:paraId="0EF1E0D9" w14:textId="487B4D9F" w:rsidR="00D5598F" w:rsidRDefault="00D5598F" w:rsidP="00D5598F">
      <w:pPr>
        <w:bidi w:val="0"/>
        <w:spacing w:line="360" w:lineRule="auto"/>
        <w:rPr>
          <w:rFonts w:asciiTheme="majorBidi" w:hAnsiTheme="majorBidi" w:cstheme="majorBidi"/>
          <w:sz w:val="28"/>
          <w:szCs w:val="28"/>
        </w:rPr>
      </w:pPr>
    </w:p>
    <w:p w14:paraId="3D5DA4CE" w14:textId="77777777" w:rsidR="002E6F27" w:rsidRDefault="002E6F27" w:rsidP="002E6F27">
      <w:pPr>
        <w:bidi w:val="0"/>
        <w:spacing w:line="360" w:lineRule="auto"/>
        <w:rPr>
          <w:rFonts w:asciiTheme="majorBidi" w:hAnsiTheme="majorBidi" w:cstheme="majorBidi"/>
          <w:sz w:val="28"/>
          <w:szCs w:val="28"/>
        </w:rPr>
      </w:pPr>
    </w:p>
    <w:p w14:paraId="30F8DDC5" w14:textId="566096B9" w:rsidR="00D96E63" w:rsidRPr="00D96E63" w:rsidRDefault="00D96E63" w:rsidP="00D96E63">
      <w:pPr>
        <w:bidi w:val="0"/>
        <w:spacing w:line="360" w:lineRule="auto"/>
        <w:rPr>
          <w:rFonts w:asciiTheme="majorBidi" w:hAnsiTheme="majorBidi" w:cstheme="majorBidi"/>
          <w:sz w:val="28"/>
          <w:szCs w:val="28"/>
        </w:rPr>
      </w:pPr>
    </w:p>
    <w:p w14:paraId="7F427542" w14:textId="77777777" w:rsidR="00D5598F" w:rsidRPr="00EA757A" w:rsidRDefault="00D5598F" w:rsidP="00D5598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160" w:line="360" w:lineRule="auto"/>
        <w:jc w:val="center"/>
        <w:rPr>
          <w:rFonts w:asciiTheme="majorBidi" w:hAnsiTheme="majorBidi" w:cstheme="majorBidi"/>
          <w:b/>
          <w:bCs/>
          <w:sz w:val="36"/>
          <w:szCs w:val="28"/>
        </w:rPr>
      </w:pPr>
      <w:r w:rsidRPr="00EA757A">
        <w:rPr>
          <w:rFonts w:asciiTheme="majorBidi" w:hAnsiTheme="majorBidi" w:cstheme="majorBidi"/>
          <w:b/>
          <w:bCs/>
          <w:sz w:val="36"/>
          <w:szCs w:val="28"/>
        </w:rPr>
        <w:t>List of Figures:</w:t>
      </w:r>
    </w:p>
    <w:p w14:paraId="199106B4" w14:textId="432639BE" w:rsidR="002E6F27" w:rsidRPr="002E6F27" w:rsidRDefault="007E61A3"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r w:rsidRPr="002E6F27">
        <w:rPr>
          <w:rFonts w:asciiTheme="majorBidi" w:hAnsiTheme="majorBidi" w:cstheme="majorBidi"/>
          <w:sz w:val="24"/>
        </w:rPr>
        <w:fldChar w:fldCharType="begin"/>
      </w:r>
      <w:r w:rsidRPr="002E6F27">
        <w:rPr>
          <w:rFonts w:asciiTheme="majorBidi" w:hAnsiTheme="majorBidi" w:cstheme="majorBidi"/>
          <w:sz w:val="24"/>
        </w:rPr>
        <w:instrText xml:space="preserve"> TOC \h \z \c "Figure" </w:instrText>
      </w:r>
      <w:r w:rsidRPr="002E6F27">
        <w:rPr>
          <w:rFonts w:asciiTheme="majorBidi" w:hAnsiTheme="majorBidi" w:cstheme="majorBidi"/>
          <w:sz w:val="24"/>
        </w:rPr>
        <w:fldChar w:fldCharType="separate"/>
      </w:r>
      <w:hyperlink r:id="rId9" w:anchor="_Toc214622036" w:history="1">
        <w:r w:rsidR="002E6F27" w:rsidRPr="002E6F27">
          <w:rPr>
            <w:rStyle w:val="Hyperlink"/>
            <w:rFonts w:asciiTheme="majorBidi" w:hAnsiTheme="majorBidi" w:cstheme="majorBidi"/>
            <w:noProof/>
            <w:sz w:val="24"/>
          </w:rPr>
          <w:t>Figure 1: Suggested project model</w:t>
        </w:r>
        <w:r w:rsidR="002E6F27" w:rsidRPr="002E6F27">
          <w:rPr>
            <w:rFonts w:asciiTheme="majorBidi" w:hAnsiTheme="majorBidi" w:cstheme="majorBidi"/>
            <w:noProof/>
            <w:webHidden/>
            <w:sz w:val="24"/>
            <w:rtl/>
          </w:rPr>
          <w:tab/>
        </w:r>
        <w:r w:rsidR="002E6F27" w:rsidRPr="002E6F27">
          <w:rPr>
            <w:rFonts w:asciiTheme="majorBidi" w:hAnsiTheme="majorBidi" w:cstheme="majorBidi"/>
            <w:noProof/>
            <w:webHidden/>
            <w:sz w:val="24"/>
            <w:rtl/>
          </w:rPr>
          <w:fldChar w:fldCharType="begin"/>
        </w:r>
        <w:r w:rsidR="002E6F27" w:rsidRPr="002E6F27">
          <w:rPr>
            <w:rFonts w:asciiTheme="majorBidi" w:hAnsiTheme="majorBidi" w:cstheme="majorBidi"/>
            <w:noProof/>
            <w:webHidden/>
            <w:sz w:val="24"/>
            <w:rtl/>
          </w:rPr>
          <w:instrText xml:space="preserve"> </w:instrText>
        </w:r>
        <w:r w:rsidR="002E6F27" w:rsidRPr="002E6F27">
          <w:rPr>
            <w:rFonts w:asciiTheme="majorBidi" w:hAnsiTheme="majorBidi" w:cstheme="majorBidi"/>
            <w:noProof/>
            <w:webHidden/>
            <w:sz w:val="24"/>
          </w:rPr>
          <w:instrText>PAGEREF</w:instrText>
        </w:r>
        <w:r w:rsidR="002E6F27" w:rsidRPr="002E6F27">
          <w:rPr>
            <w:rFonts w:asciiTheme="majorBidi" w:hAnsiTheme="majorBidi" w:cstheme="majorBidi"/>
            <w:noProof/>
            <w:webHidden/>
            <w:sz w:val="24"/>
            <w:rtl/>
          </w:rPr>
          <w:instrText xml:space="preserve"> _</w:instrText>
        </w:r>
        <w:r w:rsidR="002E6F27" w:rsidRPr="002E6F27">
          <w:rPr>
            <w:rFonts w:asciiTheme="majorBidi" w:hAnsiTheme="majorBidi" w:cstheme="majorBidi"/>
            <w:noProof/>
            <w:webHidden/>
            <w:sz w:val="24"/>
          </w:rPr>
          <w:instrText>Toc214622036 \h</w:instrText>
        </w:r>
        <w:r w:rsidR="002E6F27" w:rsidRPr="002E6F27">
          <w:rPr>
            <w:rFonts w:asciiTheme="majorBidi" w:hAnsiTheme="majorBidi" w:cstheme="majorBidi"/>
            <w:noProof/>
            <w:webHidden/>
            <w:sz w:val="24"/>
            <w:rtl/>
          </w:rPr>
          <w:instrText xml:space="preserve"> </w:instrText>
        </w:r>
        <w:r w:rsidR="002E6F27" w:rsidRPr="002E6F27">
          <w:rPr>
            <w:rFonts w:asciiTheme="majorBidi" w:hAnsiTheme="majorBidi" w:cstheme="majorBidi"/>
            <w:noProof/>
            <w:webHidden/>
            <w:sz w:val="24"/>
            <w:rtl/>
          </w:rPr>
        </w:r>
        <w:r w:rsidR="002E6F27"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9</w:t>
        </w:r>
        <w:r w:rsidR="002E6F27" w:rsidRPr="002E6F27">
          <w:rPr>
            <w:rFonts w:asciiTheme="majorBidi" w:hAnsiTheme="majorBidi" w:cstheme="majorBidi"/>
            <w:noProof/>
            <w:webHidden/>
            <w:sz w:val="24"/>
            <w:rtl/>
          </w:rPr>
          <w:fldChar w:fldCharType="end"/>
        </w:r>
      </w:hyperlink>
    </w:p>
    <w:p w14:paraId="6BBAE787" w14:textId="141B3376"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7" w:history="1">
        <w:r w:rsidRPr="002E6F27">
          <w:rPr>
            <w:rStyle w:val="Hyperlink"/>
            <w:rFonts w:asciiTheme="majorBidi" w:hAnsiTheme="majorBidi" w:cstheme="majorBidi"/>
            <w:noProof/>
            <w:sz w:val="24"/>
          </w:rPr>
          <w:t>Figure 2: Islamic Contract Forms and Front-to-Back Handoffs (AM–Sales–Shariah)</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Toc214622037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60</w:t>
        </w:r>
        <w:r w:rsidRPr="002E6F27">
          <w:rPr>
            <w:rFonts w:asciiTheme="majorBidi" w:hAnsiTheme="majorBidi" w:cstheme="majorBidi"/>
            <w:noProof/>
            <w:webHidden/>
            <w:sz w:val="24"/>
            <w:rtl/>
          </w:rPr>
          <w:fldChar w:fldCharType="end"/>
        </w:r>
      </w:hyperlink>
    </w:p>
    <w:p w14:paraId="7C511276" w14:textId="614D36AD"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8" w:history="1">
        <w:r w:rsidRPr="002E6F27">
          <w:rPr>
            <w:rStyle w:val="Hyperlink"/>
            <w:rFonts w:asciiTheme="majorBidi" w:hAnsiTheme="majorBidi" w:cstheme="majorBidi"/>
            <w:noProof/>
            <w:sz w:val="24"/>
          </w:rPr>
          <w:t>Figure 3: Research Design</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Toc214622038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72</w:t>
        </w:r>
        <w:r w:rsidRPr="002E6F27">
          <w:rPr>
            <w:rFonts w:asciiTheme="majorBidi" w:hAnsiTheme="majorBidi" w:cstheme="majorBidi"/>
            <w:noProof/>
            <w:webHidden/>
            <w:sz w:val="24"/>
            <w:rtl/>
          </w:rPr>
          <w:fldChar w:fldCharType="end"/>
        </w:r>
      </w:hyperlink>
    </w:p>
    <w:p w14:paraId="4D3E32C6" w14:textId="6BEA70EA"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39" w:history="1">
        <w:r w:rsidRPr="002E6F27">
          <w:rPr>
            <w:rStyle w:val="Hyperlink"/>
            <w:rFonts w:asciiTheme="majorBidi" w:hAnsiTheme="majorBidi" w:cstheme="majorBidi"/>
            <w:noProof/>
            <w:sz w:val="24"/>
          </w:rPr>
          <w:t>Figure 4: Distribution of the Sample by Gender</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Toc214622039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82</w:t>
        </w:r>
        <w:r w:rsidRPr="002E6F27">
          <w:rPr>
            <w:rFonts w:asciiTheme="majorBidi" w:hAnsiTheme="majorBidi" w:cstheme="majorBidi"/>
            <w:noProof/>
            <w:webHidden/>
            <w:sz w:val="24"/>
            <w:rtl/>
          </w:rPr>
          <w:fldChar w:fldCharType="end"/>
        </w:r>
      </w:hyperlink>
    </w:p>
    <w:p w14:paraId="662EC426" w14:textId="7CADD38D"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40" w:history="1">
        <w:r w:rsidRPr="002E6F27">
          <w:rPr>
            <w:rStyle w:val="Hyperlink"/>
            <w:rFonts w:asciiTheme="majorBidi" w:hAnsiTheme="majorBidi" w:cstheme="majorBidi"/>
            <w:noProof/>
            <w:sz w:val="24"/>
          </w:rPr>
          <w:t>Figure 5: Distribution of the Sample by Age Group</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Toc214622040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83</w:t>
        </w:r>
        <w:r w:rsidRPr="002E6F27">
          <w:rPr>
            <w:rFonts w:asciiTheme="majorBidi" w:hAnsiTheme="majorBidi" w:cstheme="majorBidi"/>
            <w:noProof/>
            <w:webHidden/>
            <w:sz w:val="24"/>
            <w:rtl/>
          </w:rPr>
          <w:fldChar w:fldCharType="end"/>
        </w:r>
      </w:hyperlink>
    </w:p>
    <w:p w14:paraId="2B27C710" w14:textId="2E65A6DD"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41" w:history="1">
        <w:r w:rsidRPr="002E6F27">
          <w:rPr>
            <w:rStyle w:val="Hyperlink"/>
            <w:rFonts w:asciiTheme="majorBidi" w:hAnsiTheme="majorBidi" w:cstheme="majorBidi"/>
            <w:noProof/>
            <w:sz w:val="24"/>
          </w:rPr>
          <w:t>Figure 6: Distribution of the Sample by Educational Level</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Toc214622041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83</w:t>
        </w:r>
        <w:r w:rsidRPr="002E6F27">
          <w:rPr>
            <w:rFonts w:asciiTheme="majorBidi" w:hAnsiTheme="majorBidi" w:cstheme="majorBidi"/>
            <w:noProof/>
            <w:webHidden/>
            <w:sz w:val="24"/>
            <w:rtl/>
          </w:rPr>
          <w:fldChar w:fldCharType="end"/>
        </w:r>
      </w:hyperlink>
    </w:p>
    <w:p w14:paraId="300C81D0" w14:textId="20FAAAE9"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42" w:history="1">
        <w:r w:rsidRPr="002E6F27">
          <w:rPr>
            <w:rStyle w:val="Hyperlink"/>
            <w:rFonts w:asciiTheme="majorBidi" w:hAnsiTheme="majorBidi" w:cstheme="majorBidi"/>
            <w:noProof/>
            <w:sz w:val="24"/>
          </w:rPr>
          <w:t>Figure 7: Distribution of the Sample by Length of Employment</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Toc214622042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84</w:t>
        </w:r>
        <w:r w:rsidRPr="002E6F27">
          <w:rPr>
            <w:rFonts w:asciiTheme="majorBidi" w:hAnsiTheme="majorBidi" w:cstheme="majorBidi"/>
            <w:noProof/>
            <w:webHidden/>
            <w:sz w:val="24"/>
            <w:rtl/>
          </w:rPr>
          <w:fldChar w:fldCharType="end"/>
        </w:r>
      </w:hyperlink>
    </w:p>
    <w:p w14:paraId="6ADCC999" w14:textId="5AF78AD5"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43" w:history="1">
        <w:r w:rsidRPr="002E6F27">
          <w:rPr>
            <w:rStyle w:val="Hyperlink"/>
            <w:rFonts w:asciiTheme="majorBidi" w:hAnsiTheme="majorBidi" w:cstheme="majorBidi"/>
            <w:noProof/>
            <w:sz w:val="24"/>
          </w:rPr>
          <w:t>Figure 8: Distribution of the Sample by Job Level</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Toc214622043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84</w:t>
        </w:r>
        <w:r w:rsidRPr="002E6F27">
          <w:rPr>
            <w:rFonts w:asciiTheme="majorBidi" w:hAnsiTheme="majorBidi" w:cstheme="majorBidi"/>
            <w:noProof/>
            <w:webHidden/>
            <w:sz w:val="24"/>
            <w:rtl/>
          </w:rPr>
          <w:fldChar w:fldCharType="end"/>
        </w:r>
      </w:hyperlink>
    </w:p>
    <w:p w14:paraId="332EE5E6" w14:textId="44E22959" w:rsidR="002E6F27" w:rsidRPr="002E6F27" w:rsidRDefault="002E6F27" w:rsidP="002E6F27">
      <w:pPr>
        <w:pStyle w:val="af0"/>
        <w:tabs>
          <w:tab w:val="right" w:leader="dot" w:pos="9061"/>
        </w:tabs>
        <w:bidi w:val="0"/>
        <w:rPr>
          <w:rFonts w:asciiTheme="majorBidi" w:eastAsiaTheme="minorEastAsia" w:hAnsiTheme="majorBidi" w:cstheme="majorBidi"/>
          <w:smallCaps w:val="0"/>
          <w:noProof/>
          <w:kern w:val="0"/>
          <w:sz w:val="24"/>
          <w:rtl/>
          <w14:ligatures w14:val="none"/>
        </w:rPr>
      </w:pPr>
      <w:hyperlink w:anchor="_Toc214622044" w:history="1">
        <w:r w:rsidRPr="002E6F27">
          <w:rPr>
            <w:rStyle w:val="Hyperlink"/>
            <w:rFonts w:asciiTheme="majorBidi" w:hAnsiTheme="majorBidi" w:cstheme="majorBidi"/>
            <w:noProof/>
            <w:sz w:val="24"/>
          </w:rPr>
          <w:t>Figure 9: Distribution of the Sample by Department</w:t>
        </w:r>
        <w:r w:rsidRPr="002E6F27">
          <w:rPr>
            <w:rFonts w:asciiTheme="majorBidi" w:hAnsiTheme="majorBidi" w:cstheme="majorBidi"/>
            <w:noProof/>
            <w:webHidden/>
            <w:sz w:val="24"/>
            <w:rtl/>
          </w:rPr>
          <w:tab/>
        </w:r>
        <w:r w:rsidRPr="002E6F27">
          <w:rPr>
            <w:rFonts w:asciiTheme="majorBidi" w:hAnsiTheme="majorBidi" w:cstheme="majorBidi"/>
            <w:noProof/>
            <w:webHidden/>
            <w:sz w:val="24"/>
            <w:rtl/>
          </w:rPr>
          <w:fldChar w:fldCharType="begin"/>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Pr>
          <w:instrText>PAGEREF</w:instrText>
        </w:r>
        <w:r w:rsidRPr="002E6F27">
          <w:rPr>
            <w:rFonts w:asciiTheme="majorBidi" w:hAnsiTheme="majorBidi" w:cstheme="majorBidi"/>
            <w:noProof/>
            <w:webHidden/>
            <w:sz w:val="24"/>
            <w:rtl/>
          </w:rPr>
          <w:instrText xml:space="preserve"> _</w:instrText>
        </w:r>
        <w:r w:rsidRPr="002E6F27">
          <w:rPr>
            <w:rFonts w:asciiTheme="majorBidi" w:hAnsiTheme="majorBidi" w:cstheme="majorBidi"/>
            <w:noProof/>
            <w:webHidden/>
            <w:sz w:val="24"/>
          </w:rPr>
          <w:instrText>Toc214622044 \h</w:instrText>
        </w:r>
        <w:r w:rsidRPr="002E6F27">
          <w:rPr>
            <w:rFonts w:asciiTheme="majorBidi" w:hAnsiTheme="majorBidi" w:cstheme="majorBidi"/>
            <w:noProof/>
            <w:webHidden/>
            <w:sz w:val="24"/>
            <w:rtl/>
          </w:rPr>
          <w:instrText xml:space="preserve"> </w:instrText>
        </w:r>
        <w:r w:rsidRPr="002E6F27">
          <w:rPr>
            <w:rFonts w:asciiTheme="majorBidi" w:hAnsiTheme="majorBidi" w:cstheme="majorBidi"/>
            <w:noProof/>
            <w:webHidden/>
            <w:sz w:val="24"/>
            <w:rtl/>
          </w:rPr>
        </w:r>
        <w:r w:rsidRPr="002E6F27">
          <w:rPr>
            <w:rFonts w:asciiTheme="majorBidi" w:hAnsiTheme="majorBidi" w:cstheme="majorBidi"/>
            <w:noProof/>
            <w:webHidden/>
            <w:sz w:val="24"/>
            <w:rtl/>
          </w:rPr>
          <w:fldChar w:fldCharType="separate"/>
        </w:r>
        <w:r w:rsidR="00CD4CCF">
          <w:rPr>
            <w:rFonts w:asciiTheme="majorBidi" w:hAnsiTheme="majorBidi" w:cstheme="majorBidi"/>
            <w:noProof/>
            <w:webHidden/>
            <w:sz w:val="24"/>
          </w:rPr>
          <w:t>85</w:t>
        </w:r>
        <w:r w:rsidRPr="002E6F27">
          <w:rPr>
            <w:rFonts w:asciiTheme="majorBidi" w:hAnsiTheme="majorBidi" w:cstheme="majorBidi"/>
            <w:noProof/>
            <w:webHidden/>
            <w:sz w:val="24"/>
            <w:rtl/>
          </w:rPr>
          <w:fldChar w:fldCharType="end"/>
        </w:r>
      </w:hyperlink>
    </w:p>
    <w:p w14:paraId="52830DF9" w14:textId="29367103" w:rsidR="00D96E63" w:rsidRDefault="007E61A3" w:rsidP="002E6F27">
      <w:pPr>
        <w:bidi w:val="0"/>
        <w:spacing w:line="360" w:lineRule="auto"/>
        <w:rPr>
          <w:rFonts w:asciiTheme="majorBidi" w:hAnsiTheme="majorBidi" w:cstheme="majorBidi"/>
          <w:sz w:val="28"/>
          <w:szCs w:val="28"/>
        </w:rPr>
      </w:pPr>
      <w:r w:rsidRPr="002E6F27">
        <w:rPr>
          <w:rFonts w:asciiTheme="majorBidi" w:hAnsiTheme="majorBidi" w:cstheme="majorBidi"/>
          <w:sz w:val="24"/>
          <w:szCs w:val="24"/>
        </w:rPr>
        <w:fldChar w:fldCharType="end"/>
      </w:r>
    </w:p>
    <w:p w14:paraId="3E0737F1" w14:textId="35F9FD41" w:rsidR="00D5598F" w:rsidRDefault="00D5598F" w:rsidP="00D5598F">
      <w:pPr>
        <w:bidi w:val="0"/>
        <w:spacing w:line="360" w:lineRule="auto"/>
        <w:rPr>
          <w:rFonts w:asciiTheme="majorBidi" w:hAnsiTheme="majorBidi" w:cstheme="majorBidi"/>
          <w:sz w:val="28"/>
          <w:szCs w:val="28"/>
        </w:rPr>
      </w:pPr>
    </w:p>
    <w:p w14:paraId="5275853F" w14:textId="0185AB8A" w:rsidR="00D5598F" w:rsidRDefault="00D5598F" w:rsidP="00D5598F">
      <w:pPr>
        <w:bidi w:val="0"/>
        <w:spacing w:line="360" w:lineRule="auto"/>
        <w:rPr>
          <w:rFonts w:asciiTheme="majorBidi" w:hAnsiTheme="majorBidi" w:cstheme="majorBidi"/>
          <w:sz w:val="28"/>
          <w:szCs w:val="28"/>
        </w:rPr>
      </w:pPr>
    </w:p>
    <w:p w14:paraId="001284F5" w14:textId="61836AD8" w:rsidR="00D5598F" w:rsidRDefault="00D5598F" w:rsidP="00D5598F">
      <w:pPr>
        <w:bidi w:val="0"/>
        <w:spacing w:line="360" w:lineRule="auto"/>
        <w:rPr>
          <w:rFonts w:asciiTheme="majorBidi" w:hAnsiTheme="majorBidi" w:cstheme="majorBidi"/>
          <w:sz w:val="28"/>
          <w:szCs w:val="28"/>
        </w:rPr>
      </w:pPr>
    </w:p>
    <w:p w14:paraId="09A6BC85" w14:textId="5C9AF1B0" w:rsidR="00D5598F" w:rsidRDefault="00D5598F" w:rsidP="00D5598F">
      <w:pPr>
        <w:bidi w:val="0"/>
        <w:spacing w:line="360" w:lineRule="auto"/>
        <w:rPr>
          <w:rFonts w:asciiTheme="majorBidi" w:hAnsiTheme="majorBidi" w:cstheme="majorBidi"/>
          <w:sz w:val="28"/>
          <w:szCs w:val="28"/>
        </w:rPr>
      </w:pPr>
    </w:p>
    <w:p w14:paraId="4715F24F" w14:textId="28958AFA" w:rsidR="00D5598F" w:rsidRDefault="00D5598F" w:rsidP="00D5598F">
      <w:pPr>
        <w:bidi w:val="0"/>
        <w:spacing w:line="360" w:lineRule="auto"/>
        <w:rPr>
          <w:rFonts w:asciiTheme="majorBidi" w:hAnsiTheme="majorBidi" w:cstheme="majorBidi"/>
          <w:sz w:val="28"/>
          <w:szCs w:val="28"/>
        </w:rPr>
      </w:pPr>
    </w:p>
    <w:p w14:paraId="0C015045" w14:textId="29712A6E" w:rsidR="00C3486F" w:rsidRDefault="00C3486F" w:rsidP="00C3486F">
      <w:pPr>
        <w:bidi w:val="0"/>
        <w:spacing w:line="360" w:lineRule="auto"/>
        <w:rPr>
          <w:rFonts w:asciiTheme="majorBidi" w:hAnsiTheme="majorBidi" w:cstheme="majorBidi"/>
          <w:sz w:val="28"/>
          <w:szCs w:val="28"/>
        </w:rPr>
      </w:pPr>
    </w:p>
    <w:p w14:paraId="75757CBF" w14:textId="373FB3D5" w:rsidR="00C3486F" w:rsidRDefault="00C3486F" w:rsidP="00C3486F">
      <w:pPr>
        <w:bidi w:val="0"/>
        <w:spacing w:line="360" w:lineRule="auto"/>
        <w:rPr>
          <w:rFonts w:asciiTheme="majorBidi" w:hAnsiTheme="majorBidi" w:cstheme="majorBidi"/>
          <w:sz w:val="28"/>
          <w:szCs w:val="28"/>
        </w:rPr>
      </w:pPr>
    </w:p>
    <w:p w14:paraId="21E2C361" w14:textId="1C2200C5" w:rsidR="00C3486F" w:rsidRDefault="00C3486F" w:rsidP="00C3486F">
      <w:pPr>
        <w:bidi w:val="0"/>
        <w:spacing w:line="360" w:lineRule="auto"/>
        <w:rPr>
          <w:rFonts w:asciiTheme="majorBidi" w:hAnsiTheme="majorBidi" w:cstheme="majorBidi"/>
          <w:sz w:val="28"/>
          <w:szCs w:val="28"/>
        </w:rPr>
      </w:pPr>
    </w:p>
    <w:p w14:paraId="5F844AE0" w14:textId="77777777" w:rsidR="00C3486F" w:rsidRDefault="00C3486F" w:rsidP="00C3486F">
      <w:pPr>
        <w:bidi w:val="0"/>
        <w:spacing w:line="360" w:lineRule="auto"/>
        <w:rPr>
          <w:rFonts w:asciiTheme="majorBidi" w:hAnsiTheme="majorBidi" w:cstheme="majorBidi"/>
          <w:sz w:val="28"/>
          <w:szCs w:val="28"/>
        </w:rPr>
      </w:pPr>
    </w:p>
    <w:p w14:paraId="02FF6DC0" w14:textId="77777777" w:rsidR="00C3486F" w:rsidRDefault="00C3486F" w:rsidP="00C3486F">
      <w:pPr>
        <w:bidi w:val="0"/>
        <w:spacing w:line="360" w:lineRule="auto"/>
        <w:rPr>
          <w:rFonts w:asciiTheme="majorBidi" w:hAnsiTheme="majorBidi" w:cstheme="majorBidi"/>
          <w:sz w:val="28"/>
          <w:szCs w:val="28"/>
        </w:rPr>
      </w:pPr>
    </w:p>
    <w:p w14:paraId="2CD9CBEE" w14:textId="3A713750" w:rsidR="00D5598F" w:rsidRDefault="00D5598F" w:rsidP="00D5598F">
      <w:pPr>
        <w:bidi w:val="0"/>
        <w:spacing w:line="360" w:lineRule="auto"/>
        <w:rPr>
          <w:rFonts w:asciiTheme="majorBidi" w:hAnsiTheme="majorBidi" w:cstheme="majorBidi"/>
          <w:sz w:val="28"/>
          <w:szCs w:val="28"/>
        </w:rPr>
      </w:pPr>
    </w:p>
    <w:p w14:paraId="2463C757" w14:textId="2FE8A6B1" w:rsidR="00D5598F" w:rsidRDefault="00D5598F" w:rsidP="00D5598F">
      <w:pPr>
        <w:bidi w:val="0"/>
        <w:spacing w:line="360" w:lineRule="auto"/>
        <w:rPr>
          <w:rFonts w:asciiTheme="majorBidi" w:hAnsiTheme="majorBidi" w:cstheme="majorBidi"/>
          <w:sz w:val="28"/>
          <w:szCs w:val="28"/>
        </w:rPr>
      </w:pPr>
    </w:p>
    <w:p w14:paraId="0B4FA53A" w14:textId="72FFF416" w:rsidR="002E6F27" w:rsidRDefault="002E6F27" w:rsidP="002E6F27">
      <w:pPr>
        <w:bidi w:val="0"/>
        <w:spacing w:line="360" w:lineRule="auto"/>
        <w:rPr>
          <w:rFonts w:asciiTheme="majorBidi" w:hAnsiTheme="majorBidi" w:cstheme="majorBidi"/>
          <w:sz w:val="28"/>
          <w:szCs w:val="28"/>
        </w:rPr>
      </w:pPr>
    </w:p>
    <w:p w14:paraId="6043D25F" w14:textId="24EA7362" w:rsidR="002E6F27" w:rsidRDefault="002E6F27" w:rsidP="002E6F27">
      <w:pPr>
        <w:bidi w:val="0"/>
        <w:spacing w:line="360" w:lineRule="auto"/>
        <w:rPr>
          <w:rFonts w:asciiTheme="majorBidi" w:hAnsiTheme="majorBidi" w:cstheme="majorBidi"/>
          <w:sz w:val="28"/>
          <w:szCs w:val="28"/>
        </w:rPr>
      </w:pPr>
    </w:p>
    <w:p w14:paraId="51594D85" w14:textId="77777777" w:rsidR="002E6F27" w:rsidRDefault="002E6F27" w:rsidP="002E6F27">
      <w:pPr>
        <w:bidi w:val="0"/>
        <w:spacing w:line="360" w:lineRule="auto"/>
        <w:rPr>
          <w:rFonts w:asciiTheme="majorBidi" w:hAnsiTheme="majorBidi" w:cstheme="majorBidi"/>
          <w:sz w:val="28"/>
          <w:szCs w:val="28"/>
        </w:rPr>
      </w:pPr>
    </w:p>
    <w:p w14:paraId="44908CA1" w14:textId="77777777" w:rsidR="0026741E" w:rsidRDefault="0026741E" w:rsidP="002E6F27">
      <w:pPr>
        <w:bidi w:val="0"/>
        <w:spacing w:line="360" w:lineRule="auto"/>
        <w:rPr>
          <w:rFonts w:asciiTheme="majorBidi" w:hAnsiTheme="majorBidi" w:cstheme="majorBidi"/>
          <w:sz w:val="28"/>
          <w:szCs w:val="28"/>
        </w:rPr>
        <w:sectPr w:rsidR="0026741E" w:rsidSect="0026741E">
          <w:footerReference w:type="default" r:id="rId10"/>
          <w:pgSz w:w="11906" w:h="16838"/>
          <w:pgMar w:top="1134" w:right="1701" w:bottom="1134" w:left="1134" w:header="709" w:footer="709" w:gutter="0"/>
          <w:pgNumType w:fmt="lowerRoman" w:start="1"/>
          <w:cols w:space="708"/>
          <w:bidi/>
          <w:rtlGutter/>
          <w:docGrid w:linePitch="360"/>
        </w:sectPr>
      </w:pPr>
    </w:p>
    <w:p w14:paraId="6915A226" w14:textId="7DFA7A2C" w:rsidR="002E6F27" w:rsidRDefault="002E6F27" w:rsidP="002E6F27">
      <w:pPr>
        <w:bidi w:val="0"/>
        <w:spacing w:line="360" w:lineRule="auto"/>
        <w:rPr>
          <w:rFonts w:asciiTheme="majorBidi" w:hAnsiTheme="majorBidi" w:cstheme="majorBidi"/>
          <w:sz w:val="28"/>
          <w:szCs w:val="28"/>
        </w:rPr>
      </w:pPr>
    </w:p>
    <w:p w14:paraId="0D2DD92E" w14:textId="32F18278" w:rsidR="002E6F27" w:rsidRDefault="002E6F27" w:rsidP="002E6F27">
      <w:pPr>
        <w:bidi w:val="0"/>
        <w:spacing w:line="360" w:lineRule="auto"/>
        <w:rPr>
          <w:rFonts w:asciiTheme="majorBidi" w:hAnsiTheme="majorBidi" w:cstheme="majorBidi"/>
          <w:sz w:val="28"/>
          <w:szCs w:val="28"/>
        </w:rPr>
      </w:pPr>
    </w:p>
    <w:p w14:paraId="7626F761" w14:textId="4FED3082" w:rsidR="002E6F27" w:rsidRDefault="002E6F27" w:rsidP="002E6F27">
      <w:pPr>
        <w:bidi w:val="0"/>
        <w:spacing w:line="360" w:lineRule="auto"/>
        <w:rPr>
          <w:rFonts w:asciiTheme="majorBidi" w:hAnsiTheme="majorBidi" w:cstheme="majorBidi"/>
          <w:sz w:val="28"/>
          <w:szCs w:val="28"/>
        </w:rPr>
      </w:pPr>
    </w:p>
    <w:p w14:paraId="596AD732" w14:textId="72CE8F8C" w:rsidR="002E6F27" w:rsidRDefault="002E6F27" w:rsidP="002E6F27">
      <w:pPr>
        <w:bidi w:val="0"/>
        <w:spacing w:line="360" w:lineRule="auto"/>
        <w:rPr>
          <w:rFonts w:asciiTheme="majorBidi" w:hAnsiTheme="majorBidi" w:cstheme="majorBidi"/>
          <w:sz w:val="28"/>
          <w:szCs w:val="28"/>
        </w:rPr>
      </w:pPr>
    </w:p>
    <w:p w14:paraId="7965EDC2" w14:textId="565F2E13" w:rsidR="002E6F27" w:rsidRDefault="002E6F27" w:rsidP="002E6F27">
      <w:pPr>
        <w:bidi w:val="0"/>
        <w:spacing w:line="360" w:lineRule="auto"/>
        <w:rPr>
          <w:rFonts w:asciiTheme="majorBidi" w:hAnsiTheme="majorBidi" w:cstheme="majorBidi"/>
          <w:sz w:val="28"/>
          <w:szCs w:val="28"/>
        </w:rPr>
      </w:pPr>
    </w:p>
    <w:p w14:paraId="1C777FD2" w14:textId="2F6F6ADD" w:rsidR="002E6F27" w:rsidRDefault="002E6F27" w:rsidP="002E6F27">
      <w:pPr>
        <w:bidi w:val="0"/>
        <w:spacing w:line="360" w:lineRule="auto"/>
        <w:rPr>
          <w:rFonts w:asciiTheme="majorBidi" w:hAnsiTheme="majorBidi" w:cstheme="majorBidi"/>
          <w:sz w:val="28"/>
          <w:szCs w:val="28"/>
        </w:rPr>
      </w:pPr>
    </w:p>
    <w:p w14:paraId="60637660" w14:textId="62C135C3" w:rsidR="002E6F27" w:rsidRDefault="002E6F27" w:rsidP="002E6F27">
      <w:pPr>
        <w:bidi w:val="0"/>
        <w:spacing w:line="360" w:lineRule="auto"/>
        <w:rPr>
          <w:rFonts w:asciiTheme="majorBidi" w:hAnsiTheme="majorBidi" w:cstheme="majorBidi"/>
          <w:sz w:val="28"/>
          <w:szCs w:val="28"/>
        </w:rPr>
      </w:pPr>
    </w:p>
    <w:p w14:paraId="29386178" w14:textId="69FFB5C4" w:rsidR="002E6F27" w:rsidRDefault="002E6F27" w:rsidP="002E6F27">
      <w:pPr>
        <w:bidi w:val="0"/>
        <w:spacing w:line="360" w:lineRule="auto"/>
        <w:rPr>
          <w:rFonts w:asciiTheme="majorBidi" w:hAnsiTheme="majorBidi" w:cstheme="majorBidi"/>
          <w:sz w:val="28"/>
          <w:szCs w:val="28"/>
        </w:rPr>
      </w:pPr>
    </w:p>
    <w:p w14:paraId="11ED00DD" w14:textId="77777777" w:rsidR="002E6F27" w:rsidRDefault="002E6F27" w:rsidP="002E6F27">
      <w:pPr>
        <w:bidi w:val="0"/>
        <w:spacing w:line="360" w:lineRule="auto"/>
        <w:rPr>
          <w:rFonts w:asciiTheme="majorBidi" w:hAnsiTheme="majorBidi" w:cstheme="majorBidi"/>
          <w:sz w:val="28"/>
          <w:szCs w:val="28"/>
        </w:rPr>
      </w:pPr>
    </w:p>
    <w:p w14:paraId="7BBC93A8" w14:textId="0C79A086" w:rsidR="00D5598F" w:rsidRDefault="00D5598F" w:rsidP="00D5598F">
      <w:pPr>
        <w:bidi w:val="0"/>
        <w:spacing w:line="360" w:lineRule="auto"/>
        <w:rPr>
          <w:rFonts w:asciiTheme="majorBidi" w:hAnsiTheme="majorBidi" w:cstheme="majorBidi"/>
          <w:sz w:val="28"/>
          <w:szCs w:val="28"/>
        </w:rPr>
      </w:pPr>
    </w:p>
    <w:p w14:paraId="310FFE56" w14:textId="4D9CF1EC" w:rsidR="00D5598F" w:rsidRDefault="00D5598F" w:rsidP="00D5598F">
      <w:pPr>
        <w:bidi w:val="0"/>
        <w:spacing w:line="360" w:lineRule="auto"/>
        <w:rPr>
          <w:rFonts w:asciiTheme="majorBidi" w:hAnsiTheme="majorBidi" w:cstheme="majorBidi"/>
          <w:sz w:val="28"/>
          <w:szCs w:val="28"/>
        </w:rPr>
      </w:pPr>
    </w:p>
    <w:p w14:paraId="46F8C13C" w14:textId="6F35B4CD" w:rsidR="00D96E63" w:rsidRPr="00B03044" w:rsidRDefault="00D96E63" w:rsidP="00C3486F">
      <w:pPr>
        <w:pStyle w:val="1"/>
      </w:pPr>
      <w:bookmarkStart w:id="1" w:name="_Toc164260995"/>
      <w:bookmarkStart w:id="2" w:name="_Toc174813376"/>
      <w:bookmarkStart w:id="3" w:name="_Toc214621096"/>
      <w:r w:rsidRPr="00B03044">
        <w:t xml:space="preserve">Chapter 1: </w:t>
      </w:r>
      <w:bookmarkEnd w:id="1"/>
      <w:r w:rsidRPr="00B03044">
        <w:t>Introduction</w:t>
      </w:r>
      <w:bookmarkEnd w:id="2"/>
      <w:bookmarkEnd w:id="3"/>
    </w:p>
    <w:p w14:paraId="4FFE70AE" w14:textId="44D20889" w:rsidR="00C3486F" w:rsidRDefault="00C3486F" w:rsidP="00C3486F">
      <w:pPr>
        <w:bidi w:val="0"/>
      </w:pPr>
      <w:bookmarkStart w:id="4" w:name="_Toc164260996"/>
      <w:bookmarkStart w:id="5" w:name="_Toc174813377"/>
      <w:bookmarkStart w:id="6" w:name="_Toc214621097"/>
    </w:p>
    <w:p w14:paraId="489E36BA" w14:textId="78A657EE" w:rsidR="00C3486F" w:rsidRDefault="00C3486F" w:rsidP="00C3486F">
      <w:pPr>
        <w:bidi w:val="0"/>
      </w:pPr>
    </w:p>
    <w:p w14:paraId="208847EA" w14:textId="239937E5" w:rsidR="00C3486F" w:rsidRDefault="00C3486F" w:rsidP="00C3486F">
      <w:pPr>
        <w:bidi w:val="0"/>
      </w:pPr>
    </w:p>
    <w:p w14:paraId="480221C2" w14:textId="14D5F9F4" w:rsidR="00C3486F" w:rsidRDefault="00C3486F" w:rsidP="00C3486F">
      <w:pPr>
        <w:bidi w:val="0"/>
      </w:pPr>
    </w:p>
    <w:p w14:paraId="6FE2BD62" w14:textId="68885E32" w:rsidR="00C3486F" w:rsidRDefault="00C3486F" w:rsidP="00C3486F">
      <w:pPr>
        <w:bidi w:val="0"/>
      </w:pPr>
    </w:p>
    <w:p w14:paraId="52929F45" w14:textId="6C215D50" w:rsidR="00C3486F" w:rsidRDefault="00C3486F" w:rsidP="00C3486F">
      <w:pPr>
        <w:bidi w:val="0"/>
      </w:pPr>
    </w:p>
    <w:p w14:paraId="5705C19E" w14:textId="77777777" w:rsidR="00C3486F" w:rsidRDefault="00C3486F" w:rsidP="00C3486F">
      <w:pPr>
        <w:bidi w:val="0"/>
      </w:pPr>
    </w:p>
    <w:p w14:paraId="1BBEE01E" w14:textId="04A893A7" w:rsidR="00C3486F" w:rsidRDefault="00C3486F" w:rsidP="00C3486F">
      <w:pPr>
        <w:bidi w:val="0"/>
      </w:pPr>
    </w:p>
    <w:p w14:paraId="52351C59" w14:textId="5A8D6264" w:rsidR="00C3486F" w:rsidRDefault="00C3486F" w:rsidP="00C3486F">
      <w:pPr>
        <w:bidi w:val="0"/>
      </w:pPr>
    </w:p>
    <w:p w14:paraId="7D046AEB" w14:textId="2D86BC59" w:rsidR="00C3486F" w:rsidRDefault="00C3486F" w:rsidP="00C3486F">
      <w:pPr>
        <w:bidi w:val="0"/>
      </w:pPr>
    </w:p>
    <w:p w14:paraId="24F4694B" w14:textId="4F78163F" w:rsidR="00C3486F" w:rsidRDefault="00C3486F" w:rsidP="00C3486F">
      <w:pPr>
        <w:bidi w:val="0"/>
      </w:pPr>
    </w:p>
    <w:p w14:paraId="4CFA4AF9" w14:textId="391B155D" w:rsidR="00C3486F" w:rsidRDefault="00C3486F" w:rsidP="00C3486F">
      <w:pPr>
        <w:bidi w:val="0"/>
      </w:pPr>
    </w:p>
    <w:p w14:paraId="5F0F61A2" w14:textId="77777777" w:rsidR="00C3486F" w:rsidRDefault="00C3486F" w:rsidP="00C3486F">
      <w:pPr>
        <w:bidi w:val="0"/>
      </w:pPr>
    </w:p>
    <w:p w14:paraId="41E05FC9" w14:textId="062EE471" w:rsidR="00C3486F" w:rsidRPr="00C3486F" w:rsidRDefault="00D96E63" w:rsidP="00C3486F">
      <w:pPr>
        <w:pStyle w:val="2"/>
      </w:pPr>
      <w:r w:rsidRPr="00131FE1">
        <w:t>Overview:</w:t>
      </w:r>
      <w:bookmarkEnd w:id="4"/>
      <w:bookmarkEnd w:id="5"/>
      <w:bookmarkEnd w:id="6"/>
    </w:p>
    <w:p w14:paraId="1A6E54D1" w14:textId="2CE0DDB3"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International Monetary Fund (2023) argues that tighter monetary policy, lingering core inflation, and shifting risk sentiment elevate interest-rate, liquidity, and market risks while compressing buffers</w:t>
      </w:r>
      <w:r w:rsidR="00B03C22">
        <w:rPr>
          <w:rFonts w:asciiTheme="majorBidi" w:hAnsiTheme="majorBidi" w:cstheme="majorBidi"/>
          <w:sz w:val="24"/>
          <w:szCs w:val="24"/>
        </w:rPr>
        <w:t>-</w:t>
      </w:r>
      <w:r w:rsidRPr="00131FE1">
        <w:rPr>
          <w:rFonts w:asciiTheme="majorBidi" w:hAnsiTheme="majorBidi" w:cstheme="majorBidi"/>
          <w:sz w:val="24"/>
          <w:szCs w:val="24"/>
        </w:rPr>
        <w:t>especially where stress-testing discipline and data quality are uneven. International Monetary Fund (2023) further contends that in such a regime, operational mistakes at origination</w:t>
      </w:r>
      <w:r w:rsidR="00B03C22">
        <w:rPr>
          <w:rFonts w:asciiTheme="majorBidi" w:hAnsiTheme="majorBidi" w:cstheme="majorBidi"/>
          <w:sz w:val="24"/>
          <w:szCs w:val="24"/>
        </w:rPr>
        <w:t>-</w:t>
      </w:r>
      <w:r w:rsidRPr="00131FE1">
        <w:rPr>
          <w:rFonts w:asciiTheme="majorBidi" w:hAnsiTheme="majorBidi" w:cstheme="majorBidi"/>
          <w:sz w:val="24"/>
          <w:szCs w:val="24"/>
        </w:rPr>
        <w:t>client selection, pricing, tenor, collateral, and covenants</w:t>
      </w:r>
      <w:r w:rsidR="00B03C22">
        <w:rPr>
          <w:rFonts w:asciiTheme="majorBidi" w:hAnsiTheme="majorBidi" w:cstheme="majorBidi"/>
          <w:sz w:val="24"/>
          <w:szCs w:val="24"/>
        </w:rPr>
        <w:t>-</w:t>
      </w:r>
      <w:r w:rsidRPr="00131FE1">
        <w:rPr>
          <w:rFonts w:asciiTheme="majorBidi" w:hAnsiTheme="majorBidi" w:cstheme="majorBidi"/>
          <w:sz w:val="24"/>
          <w:szCs w:val="24"/>
        </w:rPr>
        <w:t>carry outsized consequences for stability, because small misalignments propagate through balance-sheet and funding channels. Building on this macro lens, International Monetary Fund (2023) therefore reframes “risk” from a back-office compliance matter to a front-line execution problem that must be anticipated before deals are booked</w:t>
      </w:r>
      <w:r w:rsidRPr="00131FE1">
        <w:rPr>
          <w:rFonts w:asciiTheme="majorBidi" w:hAnsiTheme="majorBidi" w:cstheme="majorBidi"/>
          <w:sz w:val="24"/>
          <w:szCs w:val="24"/>
          <w:rtl/>
        </w:rPr>
        <w:t>.</w:t>
      </w:r>
    </w:p>
    <w:p w14:paraId="15B88309" w14:textId="77777777"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Organization for Economic Cooperation and Development (2022) maintains that rapid digitalization and the diffusion of fintech platforms have deepened banks’ reliance on cloud, data vendors, and embedded financial services, converting idiosyncratic outages and model errors into cross-organizational disruptions. Organization for Economic Cooperation and Development (2022) also notes that these interdependencies blur boundaries between commercial and control functions, implying that resilience hinges on information sharing, shared metrics, and pre-deal consultation rather than after-the-fact checks. This logic is particularly salient in Islamic banking, where product structuring and asset-backing requirements increase the number of coordination touchpoints that must be handled early and jointly</w:t>
      </w:r>
      <w:r w:rsidRPr="00131FE1">
        <w:rPr>
          <w:rFonts w:asciiTheme="majorBidi" w:hAnsiTheme="majorBidi" w:cstheme="majorBidi"/>
          <w:sz w:val="24"/>
          <w:szCs w:val="24"/>
          <w:rtl/>
        </w:rPr>
        <w:t>.</w:t>
      </w:r>
    </w:p>
    <w:p w14:paraId="1D429544" w14:textId="27B0FD0D" w:rsidR="00D96E63"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Bank for International Settlements (2023) reinforces the operational nature of this challenge by showing that Basel III’s Liquidity Coverage Ratio translates prudential aims into daily constraints on product mix, pricing, and tenor that frontline teams must internalize. Bank for International Settlements (2023) therefore implies that compliance without cross-functional ownership</w:t>
      </w:r>
      <w:r w:rsidR="00B03C22">
        <w:rPr>
          <w:rFonts w:asciiTheme="majorBidi" w:hAnsiTheme="majorBidi" w:cstheme="majorBidi"/>
          <w:sz w:val="24"/>
          <w:szCs w:val="24"/>
        </w:rPr>
        <w:t>-</w:t>
      </w:r>
      <w:r w:rsidRPr="00131FE1">
        <w:rPr>
          <w:rFonts w:asciiTheme="majorBidi" w:hAnsiTheme="majorBidi" w:cstheme="majorBidi"/>
          <w:sz w:val="24"/>
          <w:szCs w:val="24"/>
        </w:rPr>
        <w:t>clear decision rights, timely escalations, and integrated data between account managers, sales, and risk</w:t>
      </w:r>
      <w:r w:rsidR="00B03C22">
        <w:rPr>
          <w:rFonts w:asciiTheme="majorBidi" w:hAnsiTheme="majorBidi" w:cstheme="majorBidi"/>
          <w:sz w:val="24"/>
          <w:szCs w:val="24"/>
        </w:rPr>
        <w:t>-</w:t>
      </w:r>
      <w:r w:rsidRPr="00131FE1">
        <w:rPr>
          <w:rFonts w:asciiTheme="majorBidi" w:hAnsiTheme="majorBidi" w:cstheme="majorBidi"/>
          <w:sz w:val="24"/>
          <w:szCs w:val="24"/>
        </w:rPr>
        <w:t>will underperform when liquidity tightens or markets gap. Taken together, International Monetary Fund (2023), Organization for Economic Cooperation and Development (2022), and Bank for International Settlements (2023) converge on a single premise: risk outcomes are an emergent property of how commercial and control teams collaborate, a premise this thesis examines in the Saudi context using Al Rajhi Bank as a strategic case.</w:t>
      </w:r>
    </w:p>
    <w:p w14:paraId="7917EBE8" w14:textId="35048B65"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Financial Stability Board (2023) characterizes the modern bank as a network of interdependent lines of defense: the front line (account managers and sales) originates and owns risk; the independent risk function sets appetites, models, and oversight; and assurance tests adherence and control quality. Financial Stability Board (2023) argues that breakdowns rarely stem from a single unit’s failure; they arise at the seams</w:t>
      </w:r>
      <w:r w:rsidR="00B03C22">
        <w:rPr>
          <w:rFonts w:asciiTheme="majorBidi" w:hAnsiTheme="majorBidi" w:cstheme="majorBidi"/>
          <w:sz w:val="24"/>
          <w:szCs w:val="24"/>
        </w:rPr>
        <w:t>-</w:t>
      </w:r>
      <w:r w:rsidRPr="00131FE1">
        <w:rPr>
          <w:rFonts w:asciiTheme="majorBidi" w:hAnsiTheme="majorBidi" w:cstheme="majorBidi"/>
          <w:sz w:val="24"/>
          <w:szCs w:val="24"/>
        </w:rPr>
        <w:t>misaligned incentives, asynchronous handoffs, and fragmented data</w:t>
      </w:r>
      <w:r w:rsidR="00B03C22">
        <w:rPr>
          <w:rFonts w:asciiTheme="majorBidi" w:hAnsiTheme="majorBidi" w:cstheme="majorBidi"/>
          <w:sz w:val="24"/>
          <w:szCs w:val="24"/>
        </w:rPr>
        <w:t>-</w:t>
      </w:r>
      <w:r w:rsidRPr="00131FE1">
        <w:rPr>
          <w:rFonts w:asciiTheme="majorBidi" w:hAnsiTheme="majorBidi" w:cstheme="majorBidi"/>
          <w:sz w:val="24"/>
          <w:szCs w:val="24"/>
        </w:rPr>
        <w:t>that distort how pricing, tenor, collateral, and covenants are decided in real time. In other words, resilience is not only “what the policy says” but “how the functions interact” while serving the same client</w:t>
      </w:r>
      <w:r w:rsidRPr="00131FE1">
        <w:rPr>
          <w:rFonts w:asciiTheme="majorBidi" w:hAnsiTheme="majorBidi" w:cstheme="majorBidi"/>
          <w:sz w:val="24"/>
          <w:szCs w:val="24"/>
          <w:rtl/>
        </w:rPr>
        <w:t>.</w:t>
      </w:r>
    </w:p>
    <w:p w14:paraId="25C21480" w14:textId="305F8D6A"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Thomas and Morris (2021) extend this logic to commercial execution, contending that sales–risk alignment is a leading indicator of portfolio quality: when revenue targets ignore risk-adjusted returns, front lines chase volume and defer hard conversations on limits and early warnings. Conversely, Thomas and Morris (2021) show that shared KPIs (e.g., RAROC, delinquency, override discipline) and joint pipeline reviews tie origination quality directly to risk outcomes. Financial Stability Board (2023) complements this with governance mechanics</w:t>
      </w:r>
      <w:r w:rsidR="00B03C22">
        <w:rPr>
          <w:rFonts w:asciiTheme="majorBidi" w:hAnsiTheme="majorBidi" w:cstheme="majorBidi"/>
          <w:sz w:val="24"/>
          <w:szCs w:val="24"/>
        </w:rPr>
        <w:t>-</w:t>
      </w:r>
      <w:r w:rsidRPr="00131FE1">
        <w:rPr>
          <w:rFonts w:asciiTheme="majorBidi" w:hAnsiTheme="majorBidi" w:cstheme="majorBidi"/>
          <w:sz w:val="24"/>
          <w:szCs w:val="24"/>
        </w:rPr>
        <w:t>RACI clarity, pre-deal risk consultations embedded in CRM, and time-bound escalation paths</w:t>
      </w:r>
      <w:r w:rsidR="00B03C22">
        <w:rPr>
          <w:rFonts w:asciiTheme="majorBidi" w:hAnsiTheme="majorBidi" w:cstheme="majorBidi"/>
          <w:sz w:val="24"/>
          <w:szCs w:val="24"/>
        </w:rPr>
        <w:t>-</w:t>
      </w:r>
      <w:r w:rsidRPr="00131FE1">
        <w:rPr>
          <w:rFonts w:asciiTheme="majorBidi" w:hAnsiTheme="majorBidi" w:cstheme="majorBidi"/>
          <w:sz w:val="24"/>
          <w:szCs w:val="24"/>
        </w:rPr>
        <w:t>that convert policies into predictable behaviors at the point of sale</w:t>
      </w:r>
      <w:r w:rsidRPr="00131FE1">
        <w:rPr>
          <w:rFonts w:asciiTheme="majorBidi" w:hAnsiTheme="majorBidi" w:cstheme="majorBidi"/>
          <w:sz w:val="24"/>
          <w:szCs w:val="24"/>
          <w:rtl/>
        </w:rPr>
        <w:t>.</w:t>
      </w:r>
    </w:p>
    <w:p w14:paraId="046ED27F" w14:textId="707D356B"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Linking back to the macro-operational pressures outlined earlier, Financial Stability Board (2023) stresses that third-party and digital interdependencies magnify seam risk unless information is co-visible across business and risk. Looking ahead to the Saudi/Islamic context, Thomas and Morris (2021) imply that the same alignment logic should travel to settings where product structures and Shariah governance add touchpoints</w:t>
      </w:r>
      <w:r w:rsidR="00B03C22">
        <w:rPr>
          <w:rFonts w:asciiTheme="majorBidi" w:hAnsiTheme="majorBidi" w:cstheme="majorBidi"/>
          <w:sz w:val="24"/>
          <w:szCs w:val="24"/>
        </w:rPr>
        <w:t>-</w:t>
      </w:r>
      <w:r w:rsidRPr="00131FE1">
        <w:rPr>
          <w:rFonts w:asciiTheme="majorBidi" w:hAnsiTheme="majorBidi" w:cstheme="majorBidi"/>
          <w:sz w:val="24"/>
          <w:szCs w:val="24"/>
        </w:rPr>
        <w:t>making Account–Sales–Risk coordination decisive for accurate pricing, disciplined limit setting, and timely early-warning triggers.</w:t>
      </w:r>
    </w:p>
    <w:p w14:paraId="553550F1" w14:textId="713E0BA5"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International Monetary Fund (2023) argues that in a higher-for-longer rate regime, risk is no longer a back-office compliance task but an operational priority that shapes what gets sold, at what price, and on what terms each day; when funding costs and market volatility rise, small misjudgments at origination</w:t>
      </w:r>
      <w:r w:rsidR="00B03C22">
        <w:rPr>
          <w:rFonts w:asciiTheme="majorBidi" w:hAnsiTheme="majorBidi" w:cstheme="majorBidi"/>
          <w:sz w:val="24"/>
          <w:szCs w:val="24"/>
        </w:rPr>
        <w:t>-</w:t>
      </w:r>
      <w:r w:rsidRPr="00131FE1">
        <w:rPr>
          <w:rFonts w:asciiTheme="majorBidi" w:hAnsiTheme="majorBidi" w:cstheme="majorBidi"/>
          <w:sz w:val="24"/>
          <w:szCs w:val="24"/>
        </w:rPr>
        <w:t>client selection, tenor, collateral, and covenants</w:t>
      </w:r>
      <w:r w:rsidR="00B03C22">
        <w:rPr>
          <w:rFonts w:asciiTheme="majorBidi" w:hAnsiTheme="majorBidi" w:cstheme="majorBidi"/>
          <w:sz w:val="24"/>
          <w:szCs w:val="24"/>
        </w:rPr>
        <w:t>-</w:t>
      </w:r>
      <w:r w:rsidRPr="00131FE1">
        <w:rPr>
          <w:rFonts w:asciiTheme="majorBidi" w:hAnsiTheme="majorBidi" w:cstheme="majorBidi"/>
          <w:sz w:val="24"/>
          <w:szCs w:val="24"/>
        </w:rPr>
        <w:t>propagate quickly through earnings, capital, and liquidity buffers. International Monetary Fund (2023) further shows that shock transmission is heterogeneous across emerging markets, which means governance must translate macro vigilance into front-to-back routines</w:t>
      </w:r>
      <w:r w:rsidR="00B03C22">
        <w:rPr>
          <w:rFonts w:asciiTheme="majorBidi" w:hAnsiTheme="majorBidi" w:cstheme="majorBidi"/>
          <w:sz w:val="24"/>
          <w:szCs w:val="24"/>
        </w:rPr>
        <w:t>-</w:t>
      </w:r>
      <w:r w:rsidRPr="00131FE1">
        <w:rPr>
          <w:rFonts w:asciiTheme="majorBidi" w:hAnsiTheme="majorBidi" w:cstheme="majorBidi"/>
          <w:sz w:val="24"/>
          <w:szCs w:val="24"/>
        </w:rPr>
        <w:t>pre-deal risk consultation, co-visible early-warning signals, and disciplined overrides</w:t>
      </w:r>
      <w:r w:rsidR="00B03C22">
        <w:rPr>
          <w:rFonts w:asciiTheme="majorBidi" w:hAnsiTheme="majorBidi" w:cstheme="majorBidi"/>
          <w:sz w:val="24"/>
          <w:szCs w:val="24"/>
        </w:rPr>
        <w:t>-</w:t>
      </w:r>
      <w:r w:rsidRPr="00131FE1">
        <w:rPr>
          <w:rFonts w:asciiTheme="majorBidi" w:hAnsiTheme="majorBidi" w:cstheme="majorBidi"/>
          <w:sz w:val="24"/>
          <w:szCs w:val="24"/>
        </w:rPr>
        <w:t>so that commercial choices internalize risk before booking</w:t>
      </w:r>
      <w:r w:rsidRPr="00131FE1">
        <w:rPr>
          <w:rFonts w:asciiTheme="majorBidi" w:hAnsiTheme="majorBidi" w:cstheme="majorBidi"/>
          <w:sz w:val="24"/>
          <w:szCs w:val="24"/>
          <w:rtl/>
        </w:rPr>
        <w:t>.</w:t>
      </w:r>
    </w:p>
    <w:p w14:paraId="796F0168" w14:textId="77777777"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Bank for International Settlements (2023) makes this operational translation explicit through Basel III’s Liquidity Coverage Ratio (LCR) and attendant liquidity-risk monitoring tools, which require banks to maintain high-quality liquid assets against short-term stressed outflows; this turns prudential aims into daily commercial constraints that account managers and sales must embed in pricing, product mix, and limit-setting. Bank for International Settlements (2023) also implies that LCR discipline is only as strong as the cross-functional execution behind it: if risk signals are absent from CRM workflows or escalation paths are slow, deals can meet formal policy yet still erode liquidity resilience when markets gap</w:t>
      </w:r>
      <w:r w:rsidRPr="00131FE1">
        <w:rPr>
          <w:rFonts w:asciiTheme="majorBidi" w:hAnsiTheme="majorBidi" w:cstheme="majorBidi"/>
          <w:sz w:val="24"/>
          <w:szCs w:val="24"/>
          <w:rtl/>
        </w:rPr>
        <w:t>.</w:t>
      </w:r>
    </w:p>
    <w:p w14:paraId="28FF73C9" w14:textId="35B69640" w:rsidR="00D96E63"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Bridging these perspectives, International Monetary Fund (2023) underscores that emerging-market banks face uneven data, stress-testing, and third-party dependencies, raising the premium on local governance capacity to adapt global standards to domestic structures. Bank for International Settlements (2023) therefore supports treating risk as an organizational capability</w:t>
      </w:r>
      <w:r w:rsidR="00B03C22">
        <w:rPr>
          <w:rFonts w:asciiTheme="majorBidi" w:hAnsiTheme="majorBidi" w:cstheme="majorBidi"/>
          <w:sz w:val="24"/>
          <w:szCs w:val="24"/>
        </w:rPr>
        <w:t>-</w:t>
      </w:r>
      <w:r w:rsidRPr="00131FE1">
        <w:rPr>
          <w:rFonts w:asciiTheme="majorBidi" w:hAnsiTheme="majorBidi" w:cstheme="majorBidi"/>
          <w:sz w:val="24"/>
          <w:szCs w:val="24"/>
        </w:rPr>
        <w:t>shared KPIs, clear decision rights, and time-bound escalations</w:t>
      </w:r>
      <w:r w:rsidR="00B03C22">
        <w:rPr>
          <w:rFonts w:asciiTheme="majorBidi" w:hAnsiTheme="majorBidi" w:cstheme="majorBidi"/>
          <w:sz w:val="24"/>
          <w:szCs w:val="24"/>
        </w:rPr>
        <w:t>-</w:t>
      </w:r>
      <w:r w:rsidRPr="00131FE1">
        <w:rPr>
          <w:rFonts w:asciiTheme="majorBidi" w:hAnsiTheme="majorBidi" w:cstheme="majorBidi"/>
          <w:sz w:val="24"/>
          <w:szCs w:val="24"/>
        </w:rPr>
        <w:t>so that commercial growth and liquidity fitness co-evolve rather than conflict.</w:t>
      </w:r>
    </w:p>
    <w:p w14:paraId="3061009F" w14:textId="77777777"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Islamic Financial Services Board (2024) argues that the industry’s recent growth comes with structurally distinct risk channels: asset-backing requirements, profit-and-loss sharing, and contractual specificity mean that murabaha, ijara, and musharaka transmit shocks through documentation quality, asset verification, and cash-flow allocation rather than interest-rate resets alone. Islamic Financial Services Board (2024) therefore contends that resilience hinges on early, cross-functional coordination among sales, account management, risk, compliance, and Shariah governance, because product feasibility, pricing logic, and limit setting are inseparable from contract form and evidence of underlying assets</w:t>
      </w:r>
      <w:r w:rsidRPr="00131FE1">
        <w:rPr>
          <w:rFonts w:asciiTheme="majorBidi" w:hAnsiTheme="majorBidi" w:cstheme="majorBidi"/>
          <w:sz w:val="24"/>
          <w:szCs w:val="24"/>
          <w:rtl/>
        </w:rPr>
        <w:t>.</w:t>
      </w:r>
    </w:p>
    <w:p w14:paraId="1461A237" w14:textId="4A7B9DDC" w:rsidR="005D30BB"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Al Hammadi (2025) extends this point empirically by showing that fintech adoption in Islamic banks can raise capability (faster onboarding, richer scoring, digital monitoring) and exposure (vendor concentration, model risk, data lineage) at the same time; Al Hammadi (2025) concludes that front-to-back collaboration must embed Shariah and risk checks before quotes are finalized, not after booking. Practically, Al Hammadi (2025) highlights three seam risks that collaboration can neutralize: (1) asset evidence risk</w:t>
      </w:r>
      <w:r w:rsidR="00B03C22">
        <w:rPr>
          <w:rFonts w:asciiTheme="majorBidi" w:hAnsiTheme="majorBidi" w:cstheme="majorBidi"/>
          <w:sz w:val="24"/>
          <w:szCs w:val="24"/>
        </w:rPr>
        <w:t>-</w:t>
      </w:r>
      <w:r w:rsidRPr="00131FE1">
        <w:rPr>
          <w:rFonts w:asciiTheme="majorBidi" w:hAnsiTheme="majorBidi" w:cstheme="majorBidi"/>
          <w:sz w:val="24"/>
          <w:szCs w:val="24"/>
        </w:rPr>
        <w:t>where weak documentation in murabaha/ijara undermines enforceability; (2) structuring risk</w:t>
      </w:r>
      <w:r w:rsidR="00B03C22">
        <w:rPr>
          <w:rFonts w:asciiTheme="majorBidi" w:hAnsiTheme="majorBidi" w:cstheme="majorBidi"/>
          <w:sz w:val="24"/>
          <w:szCs w:val="24"/>
        </w:rPr>
        <w:t>-</w:t>
      </w:r>
      <w:r w:rsidRPr="00131FE1">
        <w:rPr>
          <w:rFonts w:asciiTheme="majorBidi" w:hAnsiTheme="majorBidi" w:cstheme="majorBidi"/>
          <w:sz w:val="24"/>
          <w:szCs w:val="24"/>
        </w:rPr>
        <w:t>where pricing or tenor violates contract logic; and (3) third-party execution risk</w:t>
      </w:r>
      <w:r w:rsidR="00B03C22">
        <w:rPr>
          <w:rFonts w:asciiTheme="majorBidi" w:hAnsiTheme="majorBidi" w:cstheme="majorBidi"/>
          <w:sz w:val="24"/>
          <w:szCs w:val="24"/>
        </w:rPr>
        <w:t>-</w:t>
      </w:r>
      <w:r w:rsidRPr="00131FE1">
        <w:rPr>
          <w:rFonts w:asciiTheme="majorBidi" w:hAnsiTheme="majorBidi" w:cstheme="majorBidi"/>
          <w:sz w:val="24"/>
          <w:szCs w:val="24"/>
        </w:rPr>
        <w:t>where fintech/cloud partners affect onboarding and monitoring. Each seam is inherently cross-functional and cannot be solved within a single department</w:t>
      </w:r>
      <w:r w:rsidRPr="00131FE1">
        <w:rPr>
          <w:rFonts w:asciiTheme="majorBidi" w:hAnsiTheme="majorBidi" w:cstheme="majorBidi"/>
          <w:sz w:val="24"/>
          <w:szCs w:val="24"/>
          <w:rtl/>
        </w:rPr>
        <w:t>.</w:t>
      </w:r>
    </w:p>
    <w:p w14:paraId="6B0D4666" w14:textId="2A2DCC9B" w:rsidR="00D96E63" w:rsidRPr="00131FE1" w:rsidRDefault="005D30BB" w:rsidP="00486CCD">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Linking back to the macro-operational pressures outlined earlier, Islamic Financial Services Board (2024) implies that Islamic banks convert policy into resilience only when information is co-visible across commercial and control teams and when Shariah review is integrated as a design constraint, not a late-stage gate. Looking ahead to the case setting, Al Hammadi (2025) suggests that large, data-rich institutions are ideal to observe how Account–Sales–Risk–Shariah collaboration preserves margins without eroding resilience</w:t>
      </w:r>
      <w:r w:rsidR="00B03C22">
        <w:rPr>
          <w:rFonts w:asciiTheme="majorBidi" w:hAnsiTheme="majorBidi" w:cstheme="majorBidi"/>
          <w:sz w:val="24"/>
          <w:szCs w:val="24"/>
        </w:rPr>
        <w:t>-</w:t>
      </w:r>
      <w:r w:rsidRPr="00131FE1">
        <w:rPr>
          <w:rFonts w:asciiTheme="majorBidi" w:hAnsiTheme="majorBidi" w:cstheme="majorBidi"/>
          <w:sz w:val="24"/>
          <w:szCs w:val="24"/>
        </w:rPr>
        <w:t>a bridge to why Al Rajhi Bank offers a strategic context for testing these mechanisms.</w:t>
      </w:r>
    </w:p>
    <w:p w14:paraId="4A8C433C" w14:textId="726C6259" w:rsidR="00486CCD" w:rsidRPr="00486CCD" w:rsidRDefault="00486CCD" w:rsidP="00486CCD">
      <w:pPr>
        <w:bidi w:val="0"/>
        <w:spacing w:after="120" w:line="276" w:lineRule="auto"/>
        <w:ind w:firstLine="284"/>
        <w:jc w:val="both"/>
        <w:rPr>
          <w:rFonts w:asciiTheme="majorBidi" w:hAnsiTheme="majorBidi" w:cstheme="majorBidi"/>
          <w:sz w:val="24"/>
          <w:szCs w:val="24"/>
        </w:rPr>
      </w:pPr>
      <w:r w:rsidRPr="00486CCD">
        <w:rPr>
          <w:rFonts w:asciiTheme="majorBidi" w:hAnsiTheme="majorBidi" w:cstheme="majorBidi"/>
          <w:sz w:val="24"/>
          <w:szCs w:val="24"/>
        </w:rPr>
        <w:t>Al Rajhi Bank (2023) positions itself as a systemically influential Islamic bank whose scale, diversified retail–corporate franchise, and deep digital footprint make front-to-back execution visible at operational granularity; that visibility matters because the collaboration between account managers and sales teams is most observable when product breadth, channel density, and client volumes are high. Saudi Central Bank (2023) characterizes the domestic system as resilient yet exposed to global macro and operational channels, which elevates the value of institutions where governance, risk, and commercial data are sufficiently rich to trace how functional relationships translate into risk outcomes</w:t>
      </w:r>
      <w:r w:rsidR="00B03C22">
        <w:rPr>
          <w:rFonts w:asciiTheme="majorBidi" w:hAnsiTheme="majorBidi" w:cstheme="majorBidi"/>
          <w:sz w:val="24"/>
          <w:szCs w:val="24"/>
        </w:rPr>
        <w:t>-</w:t>
      </w:r>
      <w:r w:rsidRPr="00486CCD">
        <w:rPr>
          <w:rFonts w:asciiTheme="majorBidi" w:hAnsiTheme="majorBidi" w:cstheme="majorBidi"/>
          <w:sz w:val="24"/>
          <w:szCs w:val="24"/>
        </w:rPr>
        <w:t>precisely the kind of transparency Al Rajhi Bank (2023) affords.</w:t>
      </w:r>
    </w:p>
    <w:p w14:paraId="01FC28A5" w14:textId="7B3835B9" w:rsidR="00486CCD" w:rsidRPr="00486CCD" w:rsidRDefault="00486CCD" w:rsidP="00486CCD">
      <w:pPr>
        <w:bidi w:val="0"/>
        <w:spacing w:after="120" w:line="276" w:lineRule="auto"/>
        <w:ind w:firstLine="284"/>
        <w:jc w:val="both"/>
        <w:rPr>
          <w:rFonts w:asciiTheme="majorBidi" w:hAnsiTheme="majorBidi" w:cstheme="majorBidi"/>
          <w:sz w:val="24"/>
          <w:szCs w:val="24"/>
        </w:rPr>
      </w:pPr>
      <w:r w:rsidRPr="00486CCD">
        <w:rPr>
          <w:rFonts w:asciiTheme="majorBidi" w:hAnsiTheme="majorBidi" w:cstheme="majorBidi"/>
          <w:sz w:val="24"/>
          <w:szCs w:val="24"/>
        </w:rPr>
        <w:t>Building on the Islamic-finance specificities outlined earlier, Al Rajhi Bank (2023) discloses portfolios spanning murabaha, ijara, and other Shariah-compliant forms alongside expanding digital channels, implying numerous coordination touchpoints</w:t>
      </w:r>
      <w:r w:rsidR="00B03C22">
        <w:rPr>
          <w:rFonts w:asciiTheme="majorBidi" w:hAnsiTheme="majorBidi" w:cstheme="majorBidi"/>
          <w:sz w:val="24"/>
          <w:szCs w:val="24"/>
        </w:rPr>
        <w:t>-</w:t>
      </w:r>
      <w:r w:rsidRPr="00486CCD">
        <w:rPr>
          <w:rFonts w:asciiTheme="majorBidi" w:hAnsiTheme="majorBidi" w:cstheme="majorBidi"/>
          <w:sz w:val="24"/>
          <w:szCs w:val="24"/>
        </w:rPr>
        <w:t>from asset verification and onboarding to pricing, tenor, collateral, and covenant design</w:t>
      </w:r>
      <w:r w:rsidR="00B03C22">
        <w:rPr>
          <w:rFonts w:asciiTheme="majorBidi" w:hAnsiTheme="majorBidi" w:cstheme="majorBidi"/>
          <w:sz w:val="24"/>
          <w:szCs w:val="24"/>
        </w:rPr>
        <w:t>-</w:t>
      </w:r>
      <w:r w:rsidRPr="00486CCD">
        <w:rPr>
          <w:rFonts w:asciiTheme="majorBidi" w:hAnsiTheme="majorBidi" w:cstheme="majorBidi"/>
          <w:sz w:val="24"/>
          <w:szCs w:val="24"/>
        </w:rPr>
        <w:t>where account managers, sales, risk, compliance, and Shariah supervision must align. Saudi Central Bank (2023) underscores that sectoral stability rests on disciplined liquidity, credit, and operational-resilience practices embedded in business lines, so a large, data-rich bank provides a natural laboratory to test whether shared metrics, decision rights, and timely escalations actually materialize in day-to-day origination and monitoring. Al Rajhi Bank (2023), by documenting both performance and governance structures, enables such hypothesis-driven observation rather than anecdotal inference.</w:t>
      </w:r>
    </w:p>
    <w:p w14:paraId="41AFFF3C" w14:textId="77777777" w:rsidR="00486CCD" w:rsidRPr="00486CCD" w:rsidRDefault="00486CCD" w:rsidP="00486CCD">
      <w:pPr>
        <w:bidi w:val="0"/>
        <w:spacing w:after="120" w:line="276" w:lineRule="auto"/>
        <w:ind w:firstLine="284"/>
        <w:jc w:val="both"/>
        <w:rPr>
          <w:rFonts w:asciiTheme="majorBidi" w:hAnsiTheme="majorBidi" w:cstheme="majorBidi"/>
          <w:sz w:val="24"/>
          <w:szCs w:val="24"/>
        </w:rPr>
      </w:pPr>
      <w:r w:rsidRPr="00486CCD">
        <w:rPr>
          <w:rFonts w:asciiTheme="majorBidi" w:hAnsiTheme="majorBidi" w:cstheme="majorBidi"/>
          <w:sz w:val="24"/>
          <w:szCs w:val="24"/>
        </w:rPr>
        <w:t>Critically, Al Rajhi Bank (2023) also offers policy relevance: insights about account–sales–risk coordination at scale can inform supervisory expectations around cross-functional ownership and third-party oversight, while Saudi Central Bank (2023) provides the macro-prudential frame against which those micro behaviors should be judged. In short, Al Rajhi Bank (2023) supplies the institutional depth, and Saudi Central Bank (2023) supplies the system context, together allowing this study to link collaboration quality to risk-management effectiveness in a way that is analytically tractable and practically consequential.</w:t>
      </w:r>
    </w:p>
    <w:p w14:paraId="541CD367" w14:textId="4C450CF7" w:rsidR="004735CF" w:rsidRPr="00131FE1" w:rsidRDefault="004735CF" w:rsidP="00131FE1">
      <w:pPr>
        <w:pStyle w:val="2"/>
      </w:pPr>
      <w:bookmarkStart w:id="7" w:name="_Toc214621098"/>
      <w:r w:rsidRPr="00131FE1">
        <w:t>Research Problem</w:t>
      </w:r>
      <w:bookmarkEnd w:id="7"/>
    </w:p>
    <w:p w14:paraId="70E704B6" w14:textId="4B41DB1B" w:rsidR="004735CF" w:rsidRPr="00131FE1" w:rsidRDefault="004735CF" w:rsidP="004735CF">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International Monetary Fund (2023) shows that higher-for-longer rates, sticky core inflation, and episodic market stress are amplifying interest-rate, liquidity, and market risks, making execution errors at origination more costly than before. Financial Stability Board (2023) adds that digitalization and third-party dependencies (fintech, cloud, data vendors) convert local operational issues into cross-organizational disruptions, so resilience now depends on how commercial and control functions collaborate, not on compliance alone. Bank for International Settlements (2023) further argues that Basel III/LCR turns prudential aims into daily commercial constraints on pricing, tenor, and product mix</w:t>
      </w:r>
      <w:r w:rsidR="00B03C22">
        <w:rPr>
          <w:rFonts w:asciiTheme="majorBidi" w:hAnsiTheme="majorBidi" w:cstheme="majorBidi"/>
          <w:sz w:val="24"/>
          <w:szCs w:val="24"/>
        </w:rPr>
        <w:t>-</w:t>
      </w:r>
      <w:r w:rsidRPr="00131FE1">
        <w:rPr>
          <w:rFonts w:asciiTheme="majorBidi" w:hAnsiTheme="majorBidi" w:cstheme="majorBidi"/>
          <w:sz w:val="24"/>
          <w:szCs w:val="24"/>
        </w:rPr>
        <w:t>disciplines that live where account managers and sales teams operate. Building on these pressures, Islamic Financial Services Board (2024) notes that Shariah-compliant forms (murabaha/ijara/musharaka) intensify coordination needs across Sales–Accounts–Risk–Compliance–Shariah, because asset evidence, structuring logic, and contract enforceability are inseparable from risk quality. In Saudi Arabia, Saudi Central Bank (2023) frames stability through governance, liquidity surveillance, and operational resilience, while Al Rajhi Bank (2023) provides a data-rich, systemically relevant setting to observe whether functional relationship quality translates into risk-management effectiveness. Therefore, this study asks whether stronger Communication, Information Sharing, Goal/KPI &amp; Incentive Alignment, and Decision Rights &amp; Escalation clarity (RACI) between account managers and sales improve Early Risk Identification, Credit Discipline, Liquidity/Market-Risk fit at origination, and Operational Resilience/Third-Party control (Financial Stability Board, 2023; Bank for International Settlements, 2023; International Monetary Fund, 2023).</w:t>
      </w:r>
    </w:p>
    <w:p w14:paraId="1EDCD6EC" w14:textId="2B952A7A" w:rsidR="004735CF" w:rsidRPr="00131FE1" w:rsidRDefault="004735CF" w:rsidP="00655B17">
      <w:pPr>
        <w:pStyle w:val="3"/>
      </w:pPr>
      <w:bookmarkStart w:id="8" w:name="_Toc214621099"/>
      <w:r w:rsidRPr="00131FE1">
        <w:t>Theoretical Gaps</w:t>
      </w:r>
      <w:bookmarkEnd w:id="8"/>
    </w:p>
    <w:p w14:paraId="192DE41E" w14:textId="097DC26A" w:rsidR="004735CF" w:rsidRPr="00131FE1" w:rsidRDefault="004735CF" w:rsidP="002E6F27">
      <w:pPr>
        <w:pStyle w:val="a5"/>
        <w:numPr>
          <w:ilvl w:val="0"/>
          <w:numId w:val="2"/>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Fragmented treatment of “risk as policy” vs. “risk as execution.”</w:t>
      </w:r>
      <w:r w:rsidRPr="00131FE1">
        <w:rPr>
          <w:rFonts w:asciiTheme="majorBidi" w:hAnsiTheme="majorBidi" w:cstheme="majorBidi"/>
          <w:sz w:val="24"/>
          <w:szCs w:val="24"/>
        </w:rPr>
        <w:br/>
        <w:t>Bank for International Settlements (2023) formalizes liquidity discipline, yet theory under-specifies how front-line collaboration operationalizes LCR-consistent pricing/tenor decisions in day-to-day pipelines (Bank for International Settlements, 2023).</w:t>
      </w:r>
    </w:p>
    <w:p w14:paraId="10951836" w14:textId="3240546B" w:rsidR="004735CF" w:rsidRPr="00131FE1" w:rsidRDefault="004735CF" w:rsidP="002E6F27">
      <w:pPr>
        <w:pStyle w:val="a5"/>
        <w:numPr>
          <w:ilvl w:val="0"/>
          <w:numId w:val="2"/>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Under-integration of sales–risk alignment into banking risk models.</w:t>
      </w:r>
      <w:r w:rsidRPr="00131FE1">
        <w:rPr>
          <w:rFonts w:asciiTheme="majorBidi" w:hAnsiTheme="majorBidi" w:cstheme="majorBidi"/>
          <w:sz w:val="24"/>
          <w:szCs w:val="24"/>
        </w:rPr>
        <w:br/>
        <w:t>Thomas and Morris (2021) show sales–risk alignment predicts portfolio quality, but mainstream banking frameworks still treat alignment as peripheral rather than a core antecedent of risk outcomes (Thomas &amp; Morris, 2021).</w:t>
      </w:r>
    </w:p>
    <w:p w14:paraId="42CE83C4" w14:textId="35D30208" w:rsidR="004735CF" w:rsidRPr="00131FE1" w:rsidRDefault="004735CF" w:rsidP="002E6F27">
      <w:pPr>
        <w:pStyle w:val="a5"/>
        <w:numPr>
          <w:ilvl w:val="0"/>
          <w:numId w:val="2"/>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Limited adaptation of risk-governance theory to Islamic contract structures.</w:t>
      </w:r>
      <w:r w:rsidRPr="00131FE1">
        <w:rPr>
          <w:rFonts w:asciiTheme="majorBidi" w:hAnsiTheme="majorBidi" w:cstheme="majorBidi"/>
          <w:sz w:val="24"/>
          <w:szCs w:val="24"/>
        </w:rPr>
        <w:br/>
        <w:t>Islamic Financial Services Board (2024) highlights distinct risk channels in murabaha/ijara/musharaka, yet cross-functional governance models rarely embed Shariah processes as design constraints from origination (Islamic Financial Services Board, 2024).</w:t>
      </w:r>
    </w:p>
    <w:p w14:paraId="07A1E03B" w14:textId="4708F472" w:rsidR="004735CF" w:rsidRPr="00131FE1" w:rsidRDefault="004735CF" w:rsidP="002E6F27">
      <w:pPr>
        <w:pStyle w:val="a5"/>
        <w:numPr>
          <w:ilvl w:val="0"/>
          <w:numId w:val="2"/>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Insufficient linkage between macro prudential insights and micro collaboration.</w:t>
      </w:r>
      <w:r w:rsidRPr="00131FE1">
        <w:rPr>
          <w:rFonts w:asciiTheme="majorBidi" w:hAnsiTheme="majorBidi" w:cstheme="majorBidi"/>
          <w:sz w:val="24"/>
          <w:szCs w:val="24"/>
        </w:rPr>
        <w:br/>
        <w:t>International Monetary Fund (2023) details heterogeneous shock transmission, but theory often stops at policy level and does not specify the micro mechanisms (communication, RACI, incentives) that absorb shocks at the client/deal level (International Monetary Fund, 2023).</w:t>
      </w:r>
    </w:p>
    <w:p w14:paraId="45175CE5" w14:textId="61391709" w:rsidR="004735CF" w:rsidRPr="00131FE1" w:rsidRDefault="004735CF" w:rsidP="00655B17">
      <w:pPr>
        <w:pStyle w:val="3"/>
      </w:pPr>
      <w:bookmarkStart w:id="9" w:name="_Toc214621100"/>
      <w:r w:rsidRPr="00131FE1">
        <w:t>Empirical Gaps</w:t>
      </w:r>
      <w:bookmarkEnd w:id="9"/>
    </w:p>
    <w:p w14:paraId="2C538F9D" w14:textId="6E957257" w:rsidR="004735CF" w:rsidRPr="00131FE1" w:rsidRDefault="004735CF" w:rsidP="002E6F27">
      <w:pPr>
        <w:pStyle w:val="a5"/>
        <w:numPr>
          <w:ilvl w:val="0"/>
          <w:numId w:val="4"/>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Few bank-level tests connecting AM–Sales collaboration to risk outcomes.</w:t>
      </w:r>
      <w:r w:rsidRPr="00131FE1">
        <w:rPr>
          <w:rFonts w:asciiTheme="majorBidi" w:hAnsiTheme="majorBidi" w:cstheme="majorBidi"/>
          <w:sz w:val="24"/>
          <w:szCs w:val="24"/>
        </w:rPr>
        <w:br/>
        <w:t>Financial Stability Board (2023) prescribes cross-functional tools, yet empirical studies tying those tools to early-warning coverage, override discipline, and covenant outcomes remain scarce (Financial Stability Board, 2023).</w:t>
      </w:r>
    </w:p>
    <w:p w14:paraId="1CB94C62" w14:textId="4C1C23C7" w:rsidR="004735CF" w:rsidRPr="00131FE1" w:rsidRDefault="004735CF" w:rsidP="002E6F27">
      <w:pPr>
        <w:pStyle w:val="a5"/>
        <w:numPr>
          <w:ilvl w:val="0"/>
          <w:numId w:val="4"/>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Limited evidence on liquidity/market-risk fit at the point of sale.</w:t>
      </w:r>
      <w:r w:rsidRPr="00131FE1">
        <w:rPr>
          <w:rFonts w:asciiTheme="majorBidi" w:hAnsiTheme="majorBidi" w:cstheme="majorBidi"/>
          <w:sz w:val="24"/>
          <w:szCs w:val="24"/>
        </w:rPr>
        <w:br/>
        <w:t>Bank for International Settlements (2023) sets LCR, but studies rarely measure whether collaboration improves deal-level liquidity fitness (e.g., tenor/collateral vs. HQLA buffers) (Bank for International Settlements, 2023).</w:t>
      </w:r>
    </w:p>
    <w:p w14:paraId="0BB416FC" w14:textId="4D8395F1" w:rsidR="004735CF" w:rsidRPr="00131FE1" w:rsidRDefault="004735CF" w:rsidP="002E6F27">
      <w:pPr>
        <w:pStyle w:val="a5"/>
        <w:numPr>
          <w:ilvl w:val="0"/>
          <w:numId w:val="4"/>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Sparse Islamic-bank tests that join Shariah governance with front-line coordination.</w:t>
      </w:r>
      <w:r w:rsidRPr="00131FE1">
        <w:rPr>
          <w:rFonts w:asciiTheme="majorBidi" w:hAnsiTheme="majorBidi" w:cstheme="majorBidi"/>
          <w:sz w:val="24"/>
          <w:szCs w:val="24"/>
        </w:rPr>
        <w:br/>
        <w:t>Al Hammadi (2025) indicates fintech raises capability and exposure simultaneously, yet there is little causal evidence that early, joint AM–Sales–Risk–Shariah involvement reduces asset-evidence and structuring defects (Al Hammadi, 2025; Islamic Financial Services Board, 2024).</w:t>
      </w:r>
    </w:p>
    <w:p w14:paraId="16E26AAF" w14:textId="66A11A87" w:rsidR="004735CF" w:rsidRPr="00131FE1" w:rsidRDefault="004735CF" w:rsidP="002E6F27">
      <w:pPr>
        <w:pStyle w:val="a5"/>
        <w:numPr>
          <w:ilvl w:val="0"/>
          <w:numId w:val="4"/>
        </w:numPr>
        <w:bidi w:val="0"/>
        <w:spacing w:after="120" w:line="276" w:lineRule="auto"/>
        <w:ind w:left="709" w:hanging="11"/>
        <w:jc w:val="both"/>
        <w:rPr>
          <w:rFonts w:asciiTheme="majorBidi" w:hAnsiTheme="majorBidi" w:cstheme="majorBidi"/>
          <w:sz w:val="24"/>
          <w:szCs w:val="24"/>
        </w:rPr>
      </w:pPr>
      <w:r w:rsidRPr="00131FE1">
        <w:rPr>
          <w:rFonts w:asciiTheme="majorBidi" w:hAnsiTheme="majorBidi" w:cstheme="majorBidi"/>
          <w:sz w:val="24"/>
          <w:szCs w:val="24"/>
        </w:rPr>
        <w:t>GCC/Saudi case evidence is under-developed despite data richness.</w:t>
      </w:r>
      <w:r w:rsidRPr="00131FE1">
        <w:rPr>
          <w:rFonts w:asciiTheme="majorBidi" w:hAnsiTheme="majorBidi" w:cstheme="majorBidi"/>
          <w:sz w:val="24"/>
          <w:szCs w:val="24"/>
        </w:rPr>
        <w:br/>
        <w:t>Saudi Central Bank (2023) documents sector resilience and Al Rajhi Bank (2023) reports governance/digital breadth, but comparative, quantitative studies linking functional relationship quality to risk-management KPIs inside Saudi banks remain limited (Saudi Central Bank, 2023; Al Rajhi Bank, 2023).</w:t>
      </w:r>
    </w:p>
    <w:p w14:paraId="798CC7AC" w14:textId="77777777" w:rsidR="004735CF" w:rsidRPr="00131FE1" w:rsidRDefault="004735CF" w:rsidP="00655B17">
      <w:pPr>
        <w:pStyle w:val="3"/>
      </w:pPr>
      <w:bookmarkStart w:id="10" w:name="_Toc214621101"/>
      <w:r w:rsidRPr="00131FE1">
        <w:t>Main Research Question</w:t>
      </w:r>
      <w:bookmarkEnd w:id="10"/>
    </w:p>
    <w:p w14:paraId="697D8C71" w14:textId="77777777" w:rsidR="00671215" w:rsidRPr="00131FE1" w:rsidRDefault="004735CF" w:rsidP="00671215">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 xml:space="preserve">Given these gaps, this study asks: </w:t>
      </w:r>
    </w:p>
    <w:p w14:paraId="0FE6484F" w14:textId="72EF82E5" w:rsidR="00D96E63" w:rsidRPr="00131FE1" w:rsidRDefault="004735CF" w:rsidP="002E6F27">
      <w:pPr>
        <w:pStyle w:val="a5"/>
        <w:numPr>
          <w:ilvl w:val="0"/>
          <w:numId w:val="3"/>
        </w:numPr>
        <w:bidi w:val="0"/>
        <w:spacing w:after="120" w:line="276" w:lineRule="auto"/>
        <w:jc w:val="both"/>
        <w:rPr>
          <w:rFonts w:asciiTheme="majorBidi" w:hAnsiTheme="majorBidi" w:cstheme="majorBidi"/>
          <w:sz w:val="24"/>
          <w:szCs w:val="24"/>
        </w:rPr>
      </w:pPr>
      <w:r w:rsidRPr="00131FE1">
        <w:rPr>
          <w:rFonts w:asciiTheme="majorBidi" w:hAnsiTheme="majorBidi" w:cstheme="majorBidi"/>
          <w:sz w:val="24"/>
          <w:szCs w:val="24"/>
        </w:rPr>
        <w:t xml:space="preserve">How does the functional relationship between account managers and sales teams relate to risk-management effectiveness at Al Rajhi Bank in Riyadh? </w:t>
      </w:r>
    </w:p>
    <w:p w14:paraId="0A27B37B" w14:textId="277D941A" w:rsidR="00131FE1" w:rsidRPr="00131FE1" w:rsidRDefault="00131FE1" w:rsidP="00131FE1">
      <w:pPr>
        <w:pStyle w:val="2"/>
      </w:pPr>
      <w:bookmarkStart w:id="11" w:name="_Toc214621102"/>
      <w:r w:rsidRPr="00131FE1">
        <w:t>Research Significance</w:t>
      </w:r>
      <w:bookmarkEnd w:id="11"/>
    </w:p>
    <w:p w14:paraId="301D23B1" w14:textId="77777777" w:rsidR="00131FE1" w:rsidRPr="00131FE1" w:rsidRDefault="00131FE1" w:rsidP="00131FE1">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International Monetary Fund (2023) argues that the current macro-financial regime turns risk from a back-office checklist into an organizational capability that must be executed through front-to-back routines; this study answers that call by treating the functional relationship between account managers and sales as a first-order driver of risk-management effectiveness rather than a contextual detail (International Monetary Fund, 2023). Bank for International Settlements (2023) further shows that Basel III/LCR translates prudential aims into day-to-day commercial constraints, which makes collaboration on pricing, tenor, and product mix an analytical locus rather than an operational footnote (Bank for International Settlements, 2023). In Islamic banking, Islamic Financial Services Board (2024) highlights distinct risk channels in murabaha/ijara/musharaka, implying that coordination with Shariah governance is not optional but constitutive of risk quality (Islamic Financial Services Board, 2024). Within Saudi Arabia, Saudi Central Bank (2023) frames stability around governance, liquidity surveillance, and operational resilience; studying Al Rajhi Bank therefore offers system relevance and data depth to detect whether AM–Sales collaboration improves early identification, credit discipline, liquidity/market-risk fit, and third-party resilience (Saudi Central Bank, 2023; Al Rajhi Bank, 2023).</w:t>
      </w:r>
    </w:p>
    <w:p w14:paraId="68EF0501" w14:textId="17A77041" w:rsidR="00131FE1" w:rsidRPr="00131FE1" w:rsidRDefault="00131FE1" w:rsidP="00655B17">
      <w:pPr>
        <w:pStyle w:val="3"/>
      </w:pPr>
      <w:bookmarkStart w:id="12" w:name="_Toc214621103"/>
      <w:r w:rsidRPr="00131FE1">
        <w:t>Theoretical Significance</w:t>
      </w:r>
      <w:bookmarkEnd w:id="12"/>
    </w:p>
    <w:p w14:paraId="1F993F2F" w14:textId="77777777" w:rsidR="00131FE1" w:rsidRPr="00131FE1" w:rsidRDefault="00131FE1" w:rsidP="00CA573B">
      <w:pPr>
        <w:pStyle w:val="4"/>
      </w:pPr>
      <w:bookmarkStart w:id="13" w:name="_Toc214621104"/>
      <w:r w:rsidRPr="00131FE1">
        <w:rPr>
          <w:rStyle w:val="a7"/>
          <w:b w:val="0"/>
          <w:bCs w:val="0"/>
        </w:rPr>
        <w:t>Development of a front-to-back integration framework.</w:t>
      </w:r>
      <w:bookmarkEnd w:id="13"/>
    </w:p>
    <w:p w14:paraId="67099F29" w14:textId="28DABEF4" w:rsidR="00131FE1" w:rsidRPr="00111F5A" w:rsidRDefault="00131FE1" w:rsidP="00111F5A">
      <w:pPr>
        <w:bidi w:val="0"/>
        <w:spacing w:after="120" w:line="276" w:lineRule="auto"/>
        <w:ind w:firstLine="284"/>
        <w:jc w:val="both"/>
        <w:rPr>
          <w:rFonts w:asciiTheme="majorBidi" w:hAnsiTheme="majorBidi" w:cstheme="majorBidi"/>
          <w:sz w:val="24"/>
          <w:szCs w:val="24"/>
        </w:rPr>
      </w:pPr>
      <w:r w:rsidRPr="00131FE1">
        <w:rPr>
          <w:rFonts w:asciiTheme="majorBidi" w:hAnsiTheme="majorBidi" w:cstheme="majorBidi"/>
          <w:sz w:val="24"/>
          <w:szCs w:val="24"/>
        </w:rPr>
        <w:t>Financial Stability Board (2023) contends that resilience emerges at the seams where functions meet</w:t>
      </w:r>
      <w:r w:rsidR="00B03C22">
        <w:rPr>
          <w:rFonts w:asciiTheme="majorBidi" w:hAnsiTheme="majorBidi" w:cstheme="majorBidi"/>
          <w:sz w:val="24"/>
          <w:szCs w:val="24"/>
        </w:rPr>
        <w:t>-</w:t>
      </w:r>
      <w:r w:rsidRPr="00131FE1">
        <w:rPr>
          <w:rFonts w:asciiTheme="majorBidi" w:hAnsiTheme="majorBidi" w:cstheme="majorBidi"/>
          <w:sz w:val="24"/>
          <w:szCs w:val="24"/>
        </w:rPr>
        <w:t>communication cadence, information co-visibility, shared KPIs, and RACI-based escalation</w:t>
      </w:r>
      <w:r w:rsidR="00B03C22">
        <w:rPr>
          <w:rFonts w:asciiTheme="majorBidi" w:hAnsiTheme="majorBidi" w:cstheme="majorBidi"/>
          <w:sz w:val="24"/>
          <w:szCs w:val="24"/>
        </w:rPr>
        <w:t>-</w:t>
      </w:r>
      <w:r w:rsidRPr="00131FE1">
        <w:rPr>
          <w:rFonts w:asciiTheme="majorBidi" w:hAnsiTheme="majorBidi" w:cstheme="majorBidi"/>
          <w:sz w:val="24"/>
          <w:szCs w:val="24"/>
        </w:rPr>
        <w:t>yet mainstream models still privilege policy over execution (Financial Stability Board, 2023). By specifying the IV as four execution mechanisms (Communication Quality &amp; Cadence; Information Sharing &amp; Data Integration; Goal/KPI &amp; Incentive Alignment; Decision Rights &amp; Escalation Clarity) and the DV as four outcome domains (Early Risk Identification &amp; Onboarding Quality; Credit Discipline &amp; Outcomes; Liquidity &amp; Market-Risk Fit at Origination; Operational Resilience &amp; Third-Party Control), the study theorizes a causal pathway that operationalizes prudential intent at the point of sale (Bank for International Settlements, 2023).</w:t>
      </w:r>
    </w:p>
    <w:p w14:paraId="67F2FEB6" w14:textId="77777777" w:rsidR="00131FE1" w:rsidRPr="00131FE1" w:rsidRDefault="00131FE1" w:rsidP="00CA573B">
      <w:pPr>
        <w:pStyle w:val="4"/>
      </w:pPr>
      <w:bookmarkStart w:id="14" w:name="_Toc214621105"/>
      <w:r w:rsidRPr="00131FE1">
        <w:rPr>
          <w:rStyle w:val="a7"/>
          <w:b w:val="0"/>
          <w:bCs w:val="0"/>
        </w:rPr>
        <w:t>Extension to Islamic-finance governance.</w:t>
      </w:r>
      <w:bookmarkEnd w:id="14"/>
    </w:p>
    <w:p w14:paraId="76EF3299" w14:textId="684631D7" w:rsidR="00131FE1" w:rsidRPr="00111F5A" w:rsidRDefault="00131FE1" w:rsidP="00111F5A">
      <w:pPr>
        <w:bidi w:val="0"/>
        <w:spacing w:after="120" w:line="276" w:lineRule="auto"/>
        <w:ind w:firstLine="284"/>
        <w:jc w:val="both"/>
        <w:rPr>
          <w:rFonts w:asciiTheme="majorBidi" w:hAnsiTheme="majorBidi" w:cstheme="majorBidi"/>
          <w:sz w:val="24"/>
          <w:szCs w:val="24"/>
        </w:rPr>
      </w:pPr>
      <w:r w:rsidRPr="00111F5A">
        <w:rPr>
          <w:rFonts w:asciiTheme="majorBidi" w:hAnsiTheme="majorBidi" w:cstheme="majorBidi"/>
          <w:sz w:val="24"/>
          <w:szCs w:val="24"/>
        </w:rPr>
        <w:t xml:space="preserve">Islamic Financial Services Board (2024) shows that asset-backing and contract specificity make </w:t>
      </w:r>
      <w:r w:rsidRPr="00111F5A">
        <w:rPr>
          <w:rFonts w:asciiTheme="majorBidi" w:hAnsiTheme="majorBidi" w:cstheme="majorBidi"/>
        </w:rPr>
        <w:t>Shariah review</w:t>
      </w:r>
      <w:r w:rsidRPr="00111F5A">
        <w:rPr>
          <w:rFonts w:asciiTheme="majorBidi" w:hAnsiTheme="majorBidi" w:cstheme="majorBidi"/>
          <w:sz w:val="24"/>
          <w:szCs w:val="24"/>
        </w:rPr>
        <w:t xml:space="preserve"> a design constraint, not a late gate; integrating Shariah, risk, and commercial inputs </w:t>
      </w:r>
      <w:r w:rsidRPr="00111F5A">
        <w:rPr>
          <w:rFonts w:asciiTheme="majorBidi" w:hAnsiTheme="majorBidi" w:cstheme="majorBidi"/>
        </w:rPr>
        <w:t>before</w:t>
      </w:r>
      <w:r w:rsidRPr="00111F5A">
        <w:rPr>
          <w:rFonts w:asciiTheme="majorBidi" w:hAnsiTheme="majorBidi" w:cstheme="majorBidi"/>
          <w:sz w:val="24"/>
          <w:szCs w:val="24"/>
        </w:rPr>
        <w:t xml:space="preserve"> pricing aligns form and substance (Islamic Financial Services Board, 2024). Al Hammadi (2025) adds that fintech enablement can raise capability </w:t>
      </w:r>
      <w:r w:rsidRPr="00111F5A">
        <w:rPr>
          <w:rFonts w:asciiTheme="majorBidi" w:hAnsiTheme="majorBidi" w:cstheme="majorBidi"/>
        </w:rPr>
        <w:t>and</w:t>
      </w:r>
      <w:r w:rsidRPr="00111F5A">
        <w:rPr>
          <w:rFonts w:asciiTheme="majorBidi" w:hAnsiTheme="majorBidi" w:cstheme="majorBidi"/>
          <w:sz w:val="24"/>
          <w:szCs w:val="24"/>
        </w:rPr>
        <w:t xml:space="preserve"> exposure simultaneously, reinforcing why conceptual models must embed </w:t>
      </w:r>
      <w:r w:rsidRPr="00111F5A">
        <w:rPr>
          <w:rFonts w:asciiTheme="majorBidi" w:hAnsiTheme="majorBidi" w:cstheme="majorBidi"/>
        </w:rPr>
        <w:t>early, joint involvement</w:t>
      </w:r>
      <w:r w:rsidRPr="00111F5A">
        <w:rPr>
          <w:rFonts w:asciiTheme="majorBidi" w:hAnsiTheme="majorBidi" w:cstheme="majorBidi"/>
          <w:sz w:val="24"/>
          <w:szCs w:val="24"/>
        </w:rPr>
        <w:t xml:space="preserve"> of AM–Sales–Risk–Shariah to avoid asset-evidence and structuring defects (Al Hammadi, 2025). Thus, the study advances theory by fusing cross-functional execution with Islamic-contract mechanics, rather than treating them as parallel tracks (Islamic Financial Services Board, 2024; Al Hammadi, 2025).</w:t>
      </w:r>
    </w:p>
    <w:p w14:paraId="5174FE3C" w14:textId="6A8CB439" w:rsidR="00131FE1" w:rsidRPr="00111F5A" w:rsidRDefault="00131FE1" w:rsidP="00655B17">
      <w:pPr>
        <w:pStyle w:val="3"/>
      </w:pPr>
      <w:bookmarkStart w:id="15" w:name="_Toc214621106"/>
      <w:r w:rsidRPr="00111F5A">
        <w:t>Empirical Significance</w:t>
      </w:r>
      <w:bookmarkEnd w:id="15"/>
    </w:p>
    <w:p w14:paraId="19C049C7" w14:textId="00DB23A6" w:rsidR="00111F5A" w:rsidRDefault="00131FE1" w:rsidP="00CA573B">
      <w:pPr>
        <w:pStyle w:val="4"/>
      </w:pPr>
      <w:bookmarkStart w:id="16" w:name="_Toc214621107"/>
      <w:r w:rsidRPr="00131FE1">
        <w:rPr>
          <w:rStyle w:val="a7"/>
        </w:rPr>
        <w:t>Validation of collaboration–risk links in a systemically relevant bank.</w:t>
      </w:r>
      <w:bookmarkEnd w:id="16"/>
    </w:p>
    <w:p w14:paraId="104A17F2" w14:textId="77808D79" w:rsidR="00131FE1" w:rsidRPr="00111F5A" w:rsidRDefault="00131FE1" w:rsidP="00111F5A">
      <w:pPr>
        <w:bidi w:val="0"/>
        <w:spacing w:after="120" w:line="276" w:lineRule="auto"/>
        <w:ind w:firstLine="284"/>
        <w:jc w:val="both"/>
        <w:rPr>
          <w:rFonts w:asciiTheme="majorBidi" w:hAnsiTheme="majorBidi" w:cstheme="majorBidi"/>
          <w:sz w:val="24"/>
          <w:szCs w:val="24"/>
        </w:rPr>
      </w:pPr>
      <w:r w:rsidRPr="00111F5A">
        <w:rPr>
          <w:rFonts w:asciiTheme="majorBidi" w:hAnsiTheme="majorBidi" w:cstheme="majorBidi"/>
          <w:sz w:val="24"/>
          <w:szCs w:val="24"/>
        </w:rPr>
        <w:t xml:space="preserve">Thomas and Morris (2021) argue that sales–risk alignment predicts portfolio quality; this study tests that proposition inside </w:t>
      </w:r>
      <w:r w:rsidRPr="00111F5A">
        <w:t>Al Rajhi Bank</w:t>
      </w:r>
      <w:r w:rsidRPr="00111F5A">
        <w:rPr>
          <w:rFonts w:asciiTheme="majorBidi" w:hAnsiTheme="majorBidi" w:cstheme="majorBidi"/>
          <w:sz w:val="24"/>
          <w:szCs w:val="24"/>
        </w:rPr>
        <w:t xml:space="preserve">, linking the four </w:t>
      </w:r>
      <w:r w:rsidRPr="00111F5A">
        <w:t>IV</w:t>
      </w:r>
      <w:r w:rsidRPr="00111F5A">
        <w:rPr>
          <w:rFonts w:asciiTheme="majorBidi" w:hAnsiTheme="majorBidi" w:cstheme="majorBidi"/>
          <w:sz w:val="24"/>
          <w:szCs w:val="24"/>
        </w:rPr>
        <w:t xml:space="preserve"> mechanisms to the four </w:t>
      </w:r>
      <w:r w:rsidRPr="00111F5A">
        <w:t>DV</w:t>
      </w:r>
      <w:r w:rsidRPr="00111F5A">
        <w:rPr>
          <w:rFonts w:asciiTheme="majorBidi" w:hAnsiTheme="majorBidi" w:cstheme="majorBidi"/>
          <w:sz w:val="24"/>
          <w:szCs w:val="24"/>
        </w:rPr>
        <w:t xml:space="preserve"> domains with survey-based measures and bank-context indicators (Thomas &amp; Morris, 2021). Saudi Central Bank (2023) positions governance and operational resilience as stability pillars, so evidence from Al Rajhi provides policy-relevant validation of whether shared KPIs, pre-deal consultations, and time-bound escalations translate into </w:t>
      </w:r>
      <w:r w:rsidRPr="00111F5A">
        <w:t>early-warning coverage, override discipline, covenant outcomes,</w:t>
      </w:r>
      <w:r w:rsidRPr="00111F5A">
        <w:rPr>
          <w:rFonts w:asciiTheme="majorBidi" w:hAnsiTheme="majorBidi" w:cstheme="majorBidi"/>
          <w:sz w:val="24"/>
          <w:szCs w:val="24"/>
        </w:rPr>
        <w:t xml:space="preserve"> and </w:t>
      </w:r>
      <w:r w:rsidRPr="00111F5A">
        <w:t>LCR-consistent origination</w:t>
      </w:r>
      <w:r w:rsidRPr="00111F5A">
        <w:rPr>
          <w:rFonts w:asciiTheme="majorBidi" w:hAnsiTheme="majorBidi" w:cstheme="majorBidi"/>
          <w:sz w:val="24"/>
          <w:szCs w:val="24"/>
        </w:rPr>
        <w:t xml:space="preserve"> (Saudi Central Bank, 2023; Bank for International Settlements, 2023).</w:t>
      </w:r>
    </w:p>
    <w:p w14:paraId="41F236FE" w14:textId="77777777" w:rsidR="00111F5A" w:rsidRDefault="00131FE1" w:rsidP="00CA573B">
      <w:pPr>
        <w:pStyle w:val="4"/>
      </w:pPr>
      <w:bookmarkStart w:id="17" w:name="_Toc214621108"/>
      <w:r w:rsidRPr="00131FE1">
        <w:rPr>
          <w:rStyle w:val="a7"/>
        </w:rPr>
        <w:t>Generation of actionable design levers for front lines.</w:t>
      </w:r>
      <w:bookmarkEnd w:id="17"/>
    </w:p>
    <w:p w14:paraId="058551B8" w14:textId="5E356861" w:rsidR="00131FE1" w:rsidRPr="00111F5A" w:rsidRDefault="00131FE1" w:rsidP="00111F5A">
      <w:pPr>
        <w:bidi w:val="0"/>
        <w:spacing w:after="120" w:line="276" w:lineRule="auto"/>
        <w:ind w:firstLine="284"/>
        <w:jc w:val="both"/>
        <w:rPr>
          <w:rFonts w:asciiTheme="majorBidi" w:hAnsiTheme="majorBidi" w:cstheme="majorBidi"/>
          <w:sz w:val="24"/>
          <w:szCs w:val="24"/>
        </w:rPr>
      </w:pPr>
      <w:r w:rsidRPr="00111F5A">
        <w:rPr>
          <w:rFonts w:asciiTheme="majorBidi" w:hAnsiTheme="majorBidi" w:cstheme="majorBidi"/>
          <w:sz w:val="24"/>
          <w:szCs w:val="24"/>
        </w:rPr>
        <w:t xml:space="preserve">Financial Stability Board (2023) prescribes toolkits but leaves open </w:t>
      </w:r>
      <w:r w:rsidRPr="00111F5A">
        <w:t>which levers matter most</w:t>
      </w:r>
      <w:r w:rsidRPr="00111F5A">
        <w:rPr>
          <w:rFonts w:asciiTheme="majorBidi" w:hAnsiTheme="majorBidi" w:cstheme="majorBidi"/>
          <w:sz w:val="24"/>
          <w:szCs w:val="24"/>
        </w:rPr>
        <w:t xml:space="preserve"> in practice; by estimating the relative weights of </w:t>
      </w:r>
      <w:r w:rsidRPr="00111F5A">
        <w:t>communication, data co-visibility, incentive alignment,</w:t>
      </w:r>
      <w:r w:rsidRPr="00111F5A">
        <w:rPr>
          <w:rFonts w:asciiTheme="majorBidi" w:hAnsiTheme="majorBidi" w:cstheme="majorBidi"/>
          <w:sz w:val="24"/>
          <w:szCs w:val="24"/>
        </w:rPr>
        <w:t xml:space="preserve"> and </w:t>
      </w:r>
      <w:r w:rsidRPr="00111F5A">
        <w:t>RACI clarity</w:t>
      </w:r>
      <w:r w:rsidRPr="00111F5A">
        <w:rPr>
          <w:rFonts w:asciiTheme="majorBidi" w:hAnsiTheme="majorBidi" w:cstheme="majorBidi"/>
          <w:sz w:val="24"/>
          <w:szCs w:val="24"/>
        </w:rPr>
        <w:t xml:space="preserve"> on each risk outcome, the study identifies “high-leverage” interventions managers can implement in CRM workflows and performance systems (Financial Stability Board, 2023). In Islamic settings, Islamic Financial Services Board (2024) and Al Hammadi (2025) imply that embedding Shariah checkpoints upstream reduces defect rates and third-party seam risks, so the findings will guide </w:t>
      </w:r>
      <w:r w:rsidRPr="00111F5A">
        <w:t>where</w:t>
      </w:r>
      <w:r w:rsidRPr="00111F5A">
        <w:rPr>
          <w:rFonts w:asciiTheme="majorBidi" w:hAnsiTheme="majorBidi" w:cstheme="majorBidi"/>
          <w:sz w:val="24"/>
          <w:szCs w:val="24"/>
        </w:rPr>
        <w:t xml:space="preserve"> to place coordination touchpoints to preserve margins </w:t>
      </w:r>
      <w:r w:rsidRPr="00111F5A">
        <w:t>without eroding resilience</w:t>
      </w:r>
      <w:r w:rsidRPr="00111F5A">
        <w:rPr>
          <w:rFonts w:asciiTheme="majorBidi" w:hAnsiTheme="majorBidi" w:cstheme="majorBidi"/>
          <w:sz w:val="24"/>
          <w:szCs w:val="24"/>
        </w:rPr>
        <w:t xml:space="preserve"> (Islamic Financial Services Board, 2024; Al Hammadi, 2025).</w:t>
      </w:r>
    </w:p>
    <w:p w14:paraId="786AE464" w14:textId="77777777" w:rsidR="00111F5A" w:rsidRPr="00111F5A" w:rsidRDefault="00131FE1" w:rsidP="002E6F27">
      <w:pPr>
        <w:pStyle w:val="a5"/>
        <w:numPr>
          <w:ilvl w:val="0"/>
          <w:numId w:val="5"/>
        </w:numPr>
        <w:bidi w:val="0"/>
        <w:spacing w:after="120" w:line="276" w:lineRule="auto"/>
        <w:jc w:val="both"/>
        <w:rPr>
          <w:rFonts w:asciiTheme="majorBidi" w:hAnsiTheme="majorBidi" w:cstheme="majorBidi"/>
          <w:sz w:val="24"/>
          <w:szCs w:val="24"/>
        </w:rPr>
      </w:pPr>
      <w:r w:rsidRPr="00111F5A">
        <w:rPr>
          <w:rFonts w:asciiTheme="majorBidi" w:hAnsiTheme="majorBidi" w:cstheme="majorBidi"/>
          <w:sz w:val="24"/>
          <w:szCs w:val="24"/>
        </w:rPr>
        <w:t>Overall contribution.</w:t>
      </w:r>
    </w:p>
    <w:p w14:paraId="669CB929" w14:textId="6BA37275" w:rsidR="00131FE1" w:rsidRPr="00111F5A" w:rsidRDefault="00131FE1" w:rsidP="00111F5A">
      <w:pPr>
        <w:bidi w:val="0"/>
        <w:spacing w:after="120" w:line="276" w:lineRule="auto"/>
        <w:ind w:firstLine="284"/>
        <w:jc w:val="both"/>
        <w:rPr>
          <w:rFonts w:asciiTheme="majorBidi" w:hAnsiTheme="majorBidi" w:cstheme="majorBidi"/>
          <w:sz w:val="24"/>
          <w:szCs w:val="24"/>
        </w:rPr>
      </w:pPr>
      <w:r w:rsidRPr="00111F5A">
        <w:rPr>
          <w:rFonts w:asciiTheme="majorBidi" w:hAnsiTheme="majorBidi" w:cstheme="majorBidi"/>
          <w:sz w:val="24"/>
          <w:szCs w:val="24"/>
        </w:rPr>
        <w:t>International Monetary Fund (2023) motivates the macro need to move beyond compliance, Bank for International Settlements (2023) anchors the liquidity translation to daily decisions, Financial Stability Board (2023) supplies execution mechanisms, and Islamic Financial Services Board (2024) plus Al Hammadi (2025) extend the lens to Islamic-contract realities; within this frame, Al Rajhi Bank (2023) and Saudi Central Bank (2023) provide the context where a front-to-back collaboration model can be empirically tested and practically applied.</w:t>
      </w:r>
    </w:p>
    <w:p w14:paraId="22EF4A59" w14:textId="4F508F4B" w:rsidR="00111F5A" w:rsidRPr="00111F5A" w:rsidRDefault="00111F5A" w:rsidP="00111F5A">
      <w:pPr>
        <w:pStyle w:val="2"/>
      </w:pPr>
      <w:bookmarkStart w:id="18" w:name="_Toc214621109"/>
      <w:r w:rsidRPr="00111F5A">
        <w:t>Research Question</w:t>
      </w:r>
      <w:bookmarkEnd w:id="18"/>
    </w:p>
    <w:p w14:paraId="5103FC37" w14:textId="77777777" w:rsidR="00111F5A" w:rsidRPr="00111F5A" w:rsidRDefault="00111F5A" w:rsidP="00111F5A">
      <w:pPr>
        <w:bidi w:val="0"/>
        <w:spacing w:after="120" w:line="276" w:lineRule="auto"/>
        <w:ind w:firstLine="284"/>
        <w:jc w:val="both"/>
        <w:rPr>
          <w:rFonts w:asciiTheme="majorBidi" w:hAnsiTheme="majorBidi" w:cstheme="majorBidi"/>
          <w:sz w:val="24"/>
          <w:szCs w:val="24"/>
        </w:rPr>
      </w:pPr>
      <w:r w:rsidRPr="00111F5A">
        <w:rPr>
          <w:rFonts w:asciiTheme="majorBidi" w:hAnsiTheme="majorBidi" w:cstheme="majorBidi"/>
          <w:sz w:val="24"/>
          <w:szCs w:val="24"/>
        </w:rPr>
        <w:t>International Monetary Fund (2023) argues that risk has shifted from a back-office checklist to an execution capability under macro uncertainty, while Bank for International Settlements (2023) shows that Basel III/LCR embeds liquidity constraints directly into day-to-day commercial decisions; together with Financial Stability Board (2023) on cross-functional seams and Islamic Financial Services Board (2024) on Shariah-governance specifics, and within the Saudi context framed by Saudi Central Bank (2023), these insights motivate the following question for Al Rajhi Bank.</w:t>
      </w:r>
    </w:p>
    <w:p w14:paraId="20EFB98D" w14:textId="77777777" w:rsidR="00111F5A" w:rsidRPr="00111F5A" w:rsidRDefault="00111F5A" w:rsidP="002E6F27">
      <w:pPr>
        <w:pStyle w:val="a5"/>
        <w:numPr>
          <w:ilvl w:val="0"/>
          <w:numId w:val="5"/>
        </w:numPr>
        <w:bidi w:val="0"/>
        <w:spacing w:after="120" w:line="276" w:lineRule="auto"/>
        <w:jc w:val="both"/>
        <w:rPr>
          <w:rFonts w:asciiTheme="majorBidi" w:hAnsiTheme="majorBidi" w:cstheme="majorBidi"/>
          <w:sz w:val="24"/>
          <w:szCs w:val="24"/>
        </w:rPr>
      </w:pPr>
      <w:r w:rsidRPr="00111F5A">
        <w:rPr>
          <w:rFonts w:asciiTheme="majorBidi" w:hAnsiTheme="majorBidi" w:cstheme="majorBidi"/>
          <w:sz w:val="24"/>
          <w:szCs w:val="24"/>
        </w:rPr>
        <w:t>Main Research Question:</w:t>
      </w:r>
    </w:p>
    <w:p w14:paraId="027027A5" w14:textId="68B5B3E6" w:rsidR="007B4091" w:rsidRPr="007B4091" w:rsidRDefault="007B4091" w:rsidP="002E6F27">
      <w:pPr>
        <w:pStyle w:val="a5"/>
        <w:numPr>
          <w:ilvl w:val="0"/>
          <w:numId w:val="8"/>
        </w:numPr>
        <w:bidi w:val="0"/>
        <w:spacing w:after="120" w:line="276" w:lineRule="auto"/>
        <w:ind w:left="1418"/>
        <w:jc w:val="both"/>
        <w:rPr>
          <w:rFonts w:asciiTheme="majorBidi" w:hAnsiTheme="majorBidi" w:cstheme="majorBidi"/>
          <w:sz w:val="24"/>
          <w:szCs w:val="24"/>
        </w:rPr>
      </w:pPr>
      <w:r w:rsidRPr="007B4091">
        <w:rPr>
          <w:rFonts w:asciiTheme="majorBidi" w:hAnsiTheme="majorBidi" w:cstheme="majorBidi"/>
          <w:sz w:val="24"/>
          <w:szCs w:val="24"/>
        </w:rPr>
        <w:t>How does the functional relationship between account managers and sales teams relate to risk-management effectiveness at Al Rajhi Bank in Riyadh?</w:t>
      </w:r>
    </w:p>
    <w:p w14:paraId="5D602B0C" w14:textId="77777777" w:rsidR="00111F5A" w:rsidRPr="00111F5A" w:rsidRDefault="00111F5A" w:rsidP="002E6F27">
      <w:pPr>
        <w:pStyle w:val="a5"/>
        <w:numPr>
          <w:ilvl w:val="0"/>
          <w:numId w:val="6"/>
        </w:numPr>
        <w:bidi w:val="0"/>
        <w:spacing w:after="120" w:line="276" w:lineRule="auto"/>
        <w:jc w:val="both"/>
        <w:rPr>
          <w:rFonts w:asciiTheme="majorBidi" w:hAnsiTheme="majorBidi" w:cstheme="majorBidi"/>
          <w:sz w:val="24"/>
          <w:szCs w:val="24"/>
        </w:rPr>
      </w:pPr>
      <w:r w:rsidRPr="00111F5A">
        <w:rPr>
          <w:rFonts w:asciiTheme="majorBidi" w:hAnsiTheme="majorBidi" w:cstheme="majorBidi"/>
          <w:sz w:val="24"/>
          <w:szCs w:val="24"/>
        </w:rPr>
        <w:t>Sub-questions:</w:t>
      </w:r>
    </w:p>
    <w:p w14:paraId="0618A14A" w14:textId="0B2082F7" w:rsidR="00111F5A" w:rsidRPr="007B4091" w:rsidRDefault="00111F5A" w:rsidP="002E6F27">
      <w:pPr>
        <w:pStyle w:val="a5"/>
        <w:numPr>
          <w:ilvl w:val="0"/>
          <w:numId w:val="7"/>
        </w:numPr>
        <w:bidi w:val="0"/>
        <w:spacing w:after="120" w:line="276" w:lineRule="auto"/>
        <w:ind w:left="709" w:hanging="11"/>
        <w:jc w:val="both"/>
        <w:rPr>
          <w:rFonts w:asciiTheme="majorBidi" w:hAnsiTheme="majorBidi" w:cstheme="majorBidi"/>
          <w:sz w:val="24"/>
          <w:szCs w:val="24"/>
        </w:rPr>
      </w:pPr>
      <w:r w:rsidRPr="007B4091">
        <w:rPr>
          <w:rFonts w:asciiTheme="majorBidi" w:hAnsiTheme="majorBidi" w:cstheme="majorBidi"/>
          <w:sz w:val="24"/>
          <w:szCs w:val="24"/>
        </w:rPr>
        <w:t>To what extent does Communication Quality &amp; Cadence between account managers and sales improve Early Risk Identification &amp; Onboarding Quality</w:t>
      </w:r>
      <w:r w:rsidR="007B4091">
        <w:rPr>
          <w:rFonts w:asciiTheme="majorBidi" w:hAnsiTheme="majorBidi" w:cstheme="majorBidi"/>
          <w:sz w:val="24"/>
          <w:szCs w:val="24"/>
        </w:rPr>
        <w:t>?</w:t>
      </w:r>
    </w:p>
    <w:p w14:paraId="52384D04" w14:textId="0FB6226A" w:rsidR="00111F5A" w:rsidRPr="007B4091" w:rsidRDefault="00111F5A" w:rsidP="002E6F27">
      <w:pPr>
        <w:pStyle w:val="a5"/>
        <w:numPr>
          <w:ilvl w:val="0"/>
          <w:numId w:val="7"/>
        </w:numPr>
        <w:bidi w:val="0"/>
        <w:spacing w:after="120" w:line="276" w:lineRule="auto"/>
        <w:ind w:left="709" w:hanging="11"/>
        <w:jc w:val="both"/>
        <w:rPr>
          <w:rFonts w:asciiTheme="majorBidi" w:hAnsiTheme="majorBidi" w:cstheme="majorBidi"/>
          <w:sz w:val="24"/>
          <w:szCs w:val="24"/>
        </w:rPr>
      </w:pPr>
      <w:r w:rsidRPr="007B4091">
        <w:rPr>
          <w:rFonts w:asciiTheme="majorBidi" w:hAnsiTheme="majorBidi" w:cstheme="majorBidi"/>
          <w:sz w:val="24"/>
          <w:szCs w:val="24"/>
        </w:rPr>
        <w:t xml:space="preserve">How does Information Sharing &amp; Data Integration relate to Credit Discipline &amp; Outcomes at the point of origination and during monitoring? </w:t>
      </w:r>
    </w:p>
    <w:p w14:paraId="5EA4351D" w14:textId="79A66669" w:rsidR="00111F5A" w:rsidRPr="007B4091" w:rsidRDefault="00111F5A" w:rsidP="002E6F27">
      <w:pPr>
        <w:pStyle w:val="a5"/>
        <w:numPr>
          <w:ilvl w:val="0"/>
          <w:numId w:val="7"/>
        </w:numPr>
        <w:bidi w:val="0"/>
        <w:spacing w:after="120" w:line="276" w:lineRule="auto"/>
        <w:ind w:left="709" w:hanging="11"/>
        <w:jc w:val="both"/>
        <w:rPr>
          <w:rFonts w:asciiTheme="majorBidi" w:hAnsiTheme="majorBidi" w:cstheme="majorBidi"/>
          <w:sz w:val="24"/>
          <w:szCs w:val="24"/>
        </w:rPr>
      </w:pPr>
      <w:r w:rsidRPr="007B4091">
        <w:rPr>
          <w:rFonts w:asciiTheme="majorBidi" w:hAnsiTheme="majorBidi" w:cstheme="majorBidi"/>
          <w:sz w:val="24"/>
          <w:szCs w:val="24"/>
        </w:rPr>
        <w:t xml:space="preserve">To what degree does Goal/KPI &amp; Incentive Alignment enhance Liquidity &amp; Market-Risk Fit at Origination under Basel III LCR constraints? </w:t>
      </w:r>
    </w:p>
    <w:p w14:paraId="0360C204" w14:textId="56CDCCAE" w:rsidR="00111F5A" w:rsidRPr="007B4091" w:rsidRDefault="00111F5A" w:rsidP="002E6F27">
      <w:pPr>
        <w:pStyle w:val="a5"/>
        <w:numPr>
          <w:ilvl w:val="0"/>
          <w:numId w:val="7"/>
        </w:numPr>
        <w:bidi w:val="0"/>
        <w:spacing w:after="120" w:line="276" w:lineRule="auto"/>
        <w:ind w:left="709" w:hanging="11"/>
        <w:jc w:val="both"/>
        <w:rPr>
          <w:rFonts w:asciiTheme="majorBidi" w:hAnsiTheme="majorBidi" w:cstheme="majorBidi"/>
          <w:sz w:val="24"/>
          <w:szCs w:val="24"/>
          <w:rtl/>
        </w:rPr>
      </w:pPr>
      <w:r w:rsidRPr="007B4091">
        <w:rPr>
          <w:rFonts w:asciiTheme="majorBidi" w:hAnsiTheme="majorBidi" w:cstheme="majorBidi"/>
          <w:sz w:val="24"/>
          <w:szCs w:val="24"/>
        </w:rPr>
        <w:t xml:space="preserve">How does Decision Rights &amp; Escalation Clarity (RACI) affect Operational Resilience &amp; Third-Party Risk Control, particularly where fintech/cloud vendors are involved? </w:t>
      </w:r>
    </w:p>
    <w:p w14:paraId="6427D476" w14:textId="37C7F12E" w:rsidR="00CB4CC6" w:rsidRPr="00CB4CC6" w:rsidRDefault="00CB4CC6" w:rsidP="00CB4CC6">
      <w:pPr>
        <w:pStyle w:val="2"/>
      </w:pPr>
      <w:bookmarkStart w:id="19" w:name="_Toc214621110"/>
      <w:r w:rsidRPr="00CB4CC6">
        <w:t>Research Objectives</w:t>
      </w:r>
      <w:bookmarkEnd w:id="19"/>
    </w:p>
    <w:p w14:paraId="670E922D" w14:textId="77777777" w:rsidR="00CB4CC6" w:rsidRPr="00CB4CC6" w:rsidRDefault="00CB4CC6" w:rsidP="00CB4CC6">
      <w:pPr>
        <w:bidi w:val="0"/>
        <w:spacing w:after="120" w:line="276" w:lineRule="auto"/>
        <w:ind w:firstLine="284"/>
        <w:jc w:val="both"/>
        <w:rPr>
          <w:rFonts w:asciiTheme="majorBidi" w:hAnsiTheme="majorBidi" w:cstheme="majorBidi"/>
          <w:sz w:val="24"/>
          <w:szCs w:val="24"/>
        </w:rPr>
      </w:pPr>
      <w:r w:rsidRPr="00CB4CC6">
        <w:rPr>
          <w:rFonts w:asciiTheme="majorBidi" w:hAnsiTheme="majorBidi" w:cstheme="majorBidi"/>
          <w:sz w:val="24"/>
          <w:szCs w:val="24"/>
        </w:rPr>
        <w:t>Aligned with macro–prudential and execution-focused perspectives in banking (International Monetary Fund, 2023; Bank for International Settlements, 2023; Financial Stability Board, 2023), and with Islamic-finance governance specifics (Islamic Financial Services Board, 2024), the study sets the following objectives for Al Rajhi Bank:</w:t>
      </w:r>
    </w:p>
    <w:p w14:paraId="1D5541F1" w14:textId="77777777" w:rsidR="00CB4CC6" w:rsidRPr="00CB4CC6" w:rsidRDefault="00CB4CC6" w:rsidP="002E6F27">
      <w:pPr>
        <w:pStyle w:val="a5"/>
        <w:numPr>
          <w:ilvl w:val="0"/>
          <w:numId w:val="9"/>
        </w:numPr>
        <w:bidi w:val="0"/>
        <w:spacing w:after="120" w:line="276" w:lineRule="auto"/>
        <w:ind w:left="709" w:hanging="11"/>
        <w:jc w:val="both"/>
        <w:rPr>
          <w:rFonts w:asciiTheme="majorBidi" w:hAnsiTheme="majorBidi" w:cstheme="majorBidi"/>
          <w:sz w:val="24"/>
          <w:szCs w:val="24"/>
        </w:rPr>
      </w:pPr>
      <w:r w:rsidRPr="00CB4CC6">
        <w:rPr>
          <w:rFonts w:asciiTheme="majorBidi" w:hAnsiTheme="majorBidi" w:cstheme="majorBidi"/>
          <w:sz w:val="24"/>
          <w:szCs w:val="24"/>
        </w:rPr>
        <w:t>To examine the influence of the functional relationship between account managers and sales teams on overall risk-management effectiveness.</w:t>
      </w:r>
    </w:p>
    <w:p w14:paraId="6BCC0B16" w14:textId="54904981" w:rsidR="00CB4CC6" w:rsidRPr="00CB4CC6" w:rsidRDefault="00CB4CC6" w:rsidP="002E6F27">
      <w:pPr>
        <w:pStyle w:val="a5"/>
        <w:numPr>
          <w:ilvl w:val="0"/>
          <w:numId w:val="9"/>
        </w:numPr>
        <w:bidi w:val="0"/>
        <w:spacing w:after="120" w:line="276" w:lineRule="auto"/>
        <w:ind w:left="709" w:hanging="11"/>
        <w:jc w:val="both"/>
        <w:rPr>
          <w:rFonts w:asciiTheme="majorBidi" w:hAnsiTheme="majorBidi" w:cstheme="majorBidi"/>
          <w:sz w:val="24"/>
          <w:szCs w:val="24"/>
        </w:rPr>
      </w:pPr>
      <w:r w:rsidRPr="00CB4CC6">
        <w:rPr>
          <w:rFonts w:asciiTheme="majorBidi" w:hAnsiTheme="majorBidi" w:cstheme="majorBidi"/>
          <w:sz w:val="24"/>
          <w:szCs w:val="24"/>
        </w:rPr>
        <w:t>To identify which elements of the functional relationship</w:t>
      </w:r>
      <w:r w:rsidR="00B03C22">
        <w:rPr>
          <w:rFonts w:asciiTheme="majorBidi" w:hAnsiTheme="majorBidi" w:cstheme="majorBidi"/>
          <w:sz w:val="24"/>
          <w:szCs w:val="24"/>
        </w:rPr>
        <w:t>-</w:t>
      </w:r>
      <w:r w:rsidRPr="00CB4CC6">
        <w:rPr>
          <w:rFonts w:asciiTheme="majorBidi" w:hAnsiTheme="majorBidi" w:cstheme="majorBidi"/>
          <w:sz w:val="24"/>
          <w:szCs w:val="24"/>
        </w:rPr>
        <w:t>Communication Quality &amp; Cadence, Information Sharing &amp; Data Integration, Goal/KPI &amp; Incentive Alignment, and Decision Rights &amp; Escalation Clarity (RACI)</w:t>
      </w:r>
      <w:r w:rsidR="00B03C22">
        <w:rPr>
          <w:rFonts w:asciiTheme="majorBidi" w:hAnsiTheme="majorBidi" w:cstheme="majorBidi"/>
          <w:sz w:val="24"/>
          <w:szCs w:val="24"/>
        </w:rPr>
        <w:t>-</w:t>
      </w:r>
      <w:r w:rsidRPr="00CB4CC6">
        <w:rPr>
          <w:rFonts w:asciiTheme="majorBidi" w:hAnsiTheme="majorBidi" w:cstheme="majorBidi"/>
          <w:sz w:val="24"/>
          <w:szCs w:val="24"/>
        </w:rPr>
        <w:t>contribute most to specific risk outcomes.</w:t>
      </w:r>
    </w:p>
    <w:p w14:paraId="0664D269" w14:textId="1F92C9CA" w:rsidR="00CB4CC6" w:rsidRPr="00CB4CC6" w:rsidRDefault="00CB4CC6" w:rsidP="002E6F27">
      <w:pPr>
        <w:pStyle w:val="a5"/>
        <w:numPr>
          <w:ilvl w:val="0"/>
          <w:numId w:val="9"/>
        </w:numPr>
        <w:bidi w:val="0"/>
        <w:spacing w:after="120" w:line="276" w:lineRule="auto"/>
        <w:ind w:left="709" w:hanging="11"/>
        <w:jc w:val="both"/>
        <w:rPr>
          <w:rFonts w:asciiTheme="majorBidi" w:hAnsiTheme="majorBidi" w:cstheme="majorBidi"/>
          <w:sz w:val="24"/>
          <w:szCs w:val="24"/>
        </w:rPr>
      </w:pPr>
      <w:r w:rsidRPr="00CB4CC6">
        <w:rPr>
          <w:rFonts w:asciiTheme="majorBidi" w:hAnsiTheme="majorBidi" w:cstheme="majorBidi"/>
          <w:sz w:val="24"/>
          <w:szCs w:val="24"/>
        </w:rPr>
        <w:t>To assess the impact of those elements on the dimensions of risk-management effectiveness</w:t>
      </w:r>
      <w:r w:rsidR="00B03C22">
        <w:rPr>
          <w:rFonts w:asciiTheme="majorBidi" w:hAnsiTheme="majorBidi" w:cstheme="majorBidi"/>
          <w:sz w:val="24"/>
          <w:szCs w:val="24"/>
        </w:rPr>
        <w:t>-</w:t>
      </w:r>
      <w:r w:rsidRPr="00CB4CC6">
        <w:rPr>
          <w:rFonts w:asciiTheme="majorBidi" w:hAnsiTheme="majorBidi" w:cstheme="majorBidi"/>
          <w:sz w:val="24"/>
          <w:szCs w:val="24"/>
        </w:rPr>
        <w:t>Early Risk Identification &amp; Onboarding Quality, Credit Discipline &amp; Outcomes, Liquidity &amp; Market-Risk Fit at Origination, and Operational Resilience &amp; Third-Party Risk Control.</w:t>
      </w:r>
    </w:p>
    <w:p w14:paraId="09AF0871" w14:textId="77777777" w:rsidR="00CB4CC6" w:rsidRPr="00CB4CC6" w:rsidRDefault="00CB4CC6" w:rsidP="002E6F27">
      <w:pPr>
        <w:pStyle w:val="a5"/>
        <w:numPr>
          <w:ilvl w:val="0"/>
          <w:numId w:val="9"/>
        </w:numPr>
        <w:bidi w:val="0"/>
        <w:spacing w:after="120" w:line="276" w:lineRule="auto"/>
        <w:ind w:left="709" w:hanging="11"/>
        <w:jc w:val="both"/>
        <w:rPr>
          <w:rFonts w:asciiTheme="majorBidi" w:hAnsiTheme="majorBidi" w:cstheme="majorBidi"/>
          <w:sz w:val="24"/>
          <w:szCs w:val="24"/>
        </w:rPr>
      </w:pPr>
      <w:r w:rsidRPr="00CB4CC6">
        <w:rPr>
          <w:rFonts w:asciiTheme="majorBidi" w:hAnsiTheme="majorBidi" w:cstheme="majorBidi"/>
          <w:sz w:val="24"/>
          <w:szCs w:val="24"/>
        </w:rPr>
        <w:t>To evaluate the current implementation level and maturity of cross-functional collaboration practices at Al Rajhi Bank, with attention to Basel III/LCR liquidity constraints and Shariah-governance touchpoints.</w:t>
      </w:r>
    </w:p>
    <w:p w14:paraId="31FFBA1E" w14:textId="2111F502" w:rsidR="00111F5A" w:rsidRPr="00CB4CC6" w:rsidRDefault="00CB4CC6" w:rsidP="002E6F27">
      <w:pPr>
        <w:pStyle w:val="a5"/>
        <w:numPr>
          <w:ilvl w:val="0"/>
          <w:numId w:val="9"/>
        </w:numPr>
        <w:bidi w:val="0"/>
        <w:spacing w:after="120" w:line="276" w:lineRule="auto"/>
        <w:ind w:left="709" w:hanging="11"/>
        <w:jc w:val="both"/>
        <w:rPr>
          <w:rFonts w:asciiTheme="majorBidi" w:hAnsiTheme="majorBidi" w:cstheme="majorBidi"/>
          <w:sz w:val="24"/>
          <w:szCs w:val="24"/>
          <w:rtl/>
        </w:rPr>
      </w:pPr>
      <w:r w:rsidRPr="00CB4CC6">
        <w:rPr>
          <w:rFonts w:asciiTheme="majorBidi" w:hAnsiTheme="majorBidi" w:cstheme="majorBidi"/>
          <w:sz w:val="24"/>
          <w:szCs w:val="24"/>
        </w:rPr>
        <w:t xml:space="preserve">These objectives translate prudential intent into measurable front-to-back mechanisms at the point of origination and monitoring </w:t>
      </w:r>
    </w:p>
    <w:p w14:paraId="29D7E19B" w14:textId="77777777" w:rsidR="001B4504" w:rsidRPr="001B4504" w:rsidRDefault="001B4504" w:rsidP="001B4504">
      <w:pPr>
        <w:pStyle w:val="2"/>
        <w:rPr>
          <w:highlight w:val="white"/>
        </w:rPr>
      </w:pPr>
      <w:bookmarkStart w:id="20" w:name="_Toc164261006"/>
      <w:bookmarkStart w:id="21" w:name="_Toc174813387"/>
      <w:bookmarkStart w:id="22" w:name="_Toc214621111"/>
      <w:r w:rsidRPr="001B4504">
        <w:rPr>
          <w:highlight w:val="white"/>
        </w:rPr>
        <w:t>Research hypotheses:</w:t>
      </w:r>
      <w:bookmarkEnd w:id="20"/>
      <w:bookmarkEnd w:id="21"/>
      <w:bookmarkEnd w:id="22"/>
    </w:p>
    <w:p w14:paraId="42EE9436" w14:textId="77777777" w:rsidR="001B4504" w:rsidRPr="001B4504" w:rsidRDefault="001B4504" w:rsidP="002E6F27">
      <w:pPr>
        <w:pStyle w:val="a5"/>
        <w:numPr>
          <w:ilvl w:val="0"/>
          <w:numId w:val="10"/>
        </w:numPr>
        <w:bidi w:val="0"/>
        <w:spacing w:after="120" w:line="276" w:lineRule="auto"/>
        <w:ind w:left="567" w:hanging="11"/>
        <w:jc w:val="both"/>
        <w:rPr>
          <w:rFonts w:asciiTheme="majorBidi" w:hAnsiTheme="majorBidi" w:cstheme="majorBidi"/>
          <w:sz w:val="24"/>
          <w:szCs w:val="24"/>
        </w:rPr>
      </w:pPr>
      <w:r w:rsidRPr="001B4504">
        <w:rPr>
          <w:rFonts w:asciiTheme="majorBidi" w:hAnsiTheme="majorBidi" w:cstheme="majorBidi"/>
          <w:sz w:val="24"/>
          <w:szCs w:val="24"/>
        </w:rPr>
        <w:t>There is a statistically significant positive relationship between the functional relationship between account managers and sales teams and risk-management effectiveness.</w:t>
      </w:r>
    </w:p>
    <w:p w14:paraId="373B6C98" w14:textId="12C33CBC" w:rsidR="001B4504" w:rsidRPr="001B4504" w:rsidRDefault="001B4504" w:rsidP="002E6F27">
      <w:pPr>
        <w:pStyle w:val="a5"/>
        <w:numPr>
          <w:ilvl w:val="0"/>
          <w:numId w:val="10"/>
        </w:numPr>
        <w:bidi w:val="0"/>
        <w:spacing w:after="120" w:line="276" w:lineRule="auto"/>
        <w:ind w:left="567" w:hanging="11"/>
        <w:jc w:val="both"/>
        <w:rPr>
          <w:rFonts w:asciiTheme="majorBidi" w:hAnsiTheme="majorBidi" w:cstheme="majorBidi"/>
          <w:sz w:val="24"/>
          <w:szCs w:val="24"/>
        </w:rPr>
      </w:pPr>
      <w:r w:rsidRPr="001B4504">
        <w:rPr>
          <w:rFonts w:asciiTheme="majorBidi" w:hAnsiTheme="majorBidi" w:cstheme="majorBidi"/>
          <w:sz w:val="24"/>
          <w:szCs w:val="24"/>
        </w:rPr>
        <w:t>There is a significant positive correlation between the dimensions of the functional relationship</w:t>
      </w:r>
      <w:r w:rsidR="00B03C22">
        <w:rPr>
          <w:rFonts w:asciiTheme="majorBidi" w:hAnsiTheme="majorBidi" w:cstheme="majorBidi"/>
          <w:sz w:val="24"/>
          <w:szCs w:val="24"/>
        </w:rPr>
        <w:t>-</w:t>
      </w:r>
      <w:r w:rsidRPr="001B4504">
        <w:rPr>
          <w:rFonts w:asciiTheme="majorBidi" w:hAnsiTheme="majorBidi" w:cstheme="majorBidi"/>
          <w:sz w:val="24"/>
          <w:szCs w:val="24"/>
        </w:rPr>
        <w:t>Communication Quality &amp; Cadence, Information Sharing &amp; Data Integration, Goal/KPI &amp; Incentive Alignment, and Decision Rights &amp; Escalation Clarity (RACI)</w:t>
      </w:r>
      <w:r w:rsidR="00B03C22">
        <w:rPr>
          <w:rFonts w:asciiTheme="majorBidi" w:hAnsiTheme="majorBidi" w:cstheme="majorBidi"/>
          <w:sz w:val="24"/>
          <w:szCs w:val="24"/>
        </w:rPr>
        <w:t>-</w:t>
      </w:r>
      <w:r w:rsidRPr="001B4504">
        <w:rPr>
          <w:rFonts w:asciiTheme="majorBidi" w:hAnsiTheme="majorBidi" w:cstheme="majorBidi"/>
          <w:sz w:val="24"/>
          <w:szCs w:val="24"/>
        </w:rPr>
        <w:t>and overall risk-management effectiveness.</w:t>
      </w:r>
    </w:p>
    <w:p w14:paraId="174C9982" w14:textId="2F851C24" w:rsidR="00D96E63" w:rsidRDefault="001B4504" w:rsidP="002E6F27">
      <w:pPr>
        <w:pStyle w:val="a5"/>
        <w:numPr>
          <w:ilvl w:val="0"/>
          <w:numId w:val="10"/>
        </w:numPr>
        <w:bidi w:val="0"/>
        <w:spacing w:after="120" w:line="276" w:lineRule="auto"/>
        <w:ind w:left="567" w:hanging="11"/>
        <w:jc w:val="both"/>
        <w:rPr>
          <w:rFonts w:asciiTheme="majorBidi" w:hAnsiTheme="majorBidi" w:cstheme="majorBidi"/>
          <w:sz w:val="24"/>
          <w:szCs w:val="24"/>
        </w:rPr>
      </w:pPr>
      <w:r w:rsidRPr="001B4504">
        <w:rPr>
          <w:rFonts w:asciiTheme="majorBidi" w:hAnsiTheme="majorBidi" w:cstheme="majorBidi"/>
          <w:sz w:val="24"/>
          <w:szCs w:val="24"/>
        </w:rPr>
        <w:t>There is a statistically significant positive relationship between the functional relationship between account managers and sales teams and the dimensions of risk-management effectiveness</w:t>
      </w:r>
      <w:r w:rsidR="00B03C22">
        <w:rPr>
          <w:rFonts w:asciiTheme="majorBidi" w:hAnsiTheme="majorBidi" w:cstheme="majorBidi"/>
          <w:sz w:val="24"/>
          <w:szCs w:val="24"/>
        </w:rPr>
        <w:t>-</w:t>
      </w:r>
      <w:r w:rsidRPr="001B4504">
        <w:rPr>
          <w:rFonts w:asciiTheme="majorBidi" w:hAnsiTheme="majorBidi" w:cstheme="majorBidi"/>
          <w:sz w:val="24"/>
          <w:szCs w:val="24"/>
        </w:rPr>
        <w:t>Early Risk Identification &amp; Onboarding Quality, Credit Discipline &amp; Outcomes, Liquidity &amp; Market-Risk Fit at Origination, and Operational Resilience &amp; Third-Party Risk Control.</w:t>
      </w:r>
    </w:p>
    <w:p w14:paraId="259CA81E" w14:textId="19E61803" w:rsidR="001B4504" w:rsidRPr="001B4504" w:rsidRDefault="001B4504" w:rsidP="001B4504">
      <w:pPr>
        <w:pStyle w:val="2"/>
        <w:rPr>
          <w:highlight w:val="white"/>
        </w:rPr>
      </w:pPr>
      <w:bookmarkStart w:id="23" w:name="_Toc164261007"/>
      <w:bookmarkStart w:id="24" w:name="_Toc174813388"/>
      <w:bookmarkStart w:id="25" w:name="_Toc214621112"/>
      <w:r w:rsidRPr="001B4504">
        <w:rPr>
          <w:highlight w:val="white"/>
        </w:rPr>
        <w:t>Research model:</w:t>
      </w:r>
      <w:bookmarkEnd w:id="23"/>
      <w:bookmarkEnd w:id="24"/>
      <w:bookmarkEnd w:id="25"/>
      <w:r w:rsidRPr="001B4504">
        <w:rPr>
          <w:highlight w:val="white"/>
        </w:rPr>
        <w:t xml:space="preserve"> </w:t>
      </w:r>
    </w:p>
    <w:p w14:paraId="40129088" w14:textId="2F5C0023" w:rsidR="00D96E63" w:rsidRPr="00111F5A" w:rsidRDefault="00E531FD" w:rsidP="00111F5A">
      <w:pPr>
        <w:bidi w:val="0"/>
        <w:spacing w:after="120" w:line="276" w:lineRule="auto"/>
        <w:ind w:firstLine="284"/>
        <w:jc w:val="both"/>
        <w:rPr>
          <w:rFonts w:asciiTheme="majorBidi" w:hAnsiTheme="majorBidi" w:cstheme="majorBidi"/>
          <w:sz w:val="24"/>
          <w:szCs w:val="24"/>
        </w:rPr>
      </w:pPr>
      <w:r>
        <w:rPr>
          <w:noProof/>
        </w:rPr>
        <mc:AlternateContent>
          <mc:Choice Requires="wps">
            <w:drawing>
              <wp:anchor distT="0" distB="0" distL="114300" distR="114300" simplePos="0" relativeHeight="251673600" behindDoc="0" locked="0" layoutInCell="1" allowOverlap="1" wp14:anchorId="7AB1D5F6" wp14:editId="5D067F67">
                <wp:simplePos x="0" y="0"/>
                <wp:positionH relativeFrom="margin">
                  <wp:align>left</wp:align>
                </wp:positionH>
                <wp:positionV relativeFrom="paragraph">
                  <wp:posOffset>9525</wp:posOffset>
                </wp:positionV>
                <wp:extent cx="6148317" cy="245660"/>
                <wp:effectExtent l="0" t="0" r="5080" b="2540"/>
                <wp:wrapNone/>
                <wp:docPr id="1" name="Text Box 1"/>
                <wp:cNvGraphicFramePr/>
                <a:graphic xmlns:a="http://schemas.openxmlformats.org/drawingml/2006/main">
                  <a:graphicData uri="http://schemas.microsoft.com/office/word/2010/wordprocessingShape">
                    <wps:wsp>
                      <wps:cNvSpPr txBox="1"/>
                      <wps:spPr>
                        <a:xfrm>
                          <a:off x="0" y="0"/>
                          <a:ext cx="6148317" cy="245660"/>
                        </a:xfrm>
                        <a:prstGeom prst="rect">
                          <a:avLst/>
                        </a:prstGeom>
                        <a:solidFill>
                          <a:prstClr val="white"/>
                        </a:solidFill>
                        <a:ln>
                          <a:noFill/>
                        </a:ln>
                      </wps:spPr>
                      <wps:txbx>
                        <w:txbxContent>
                          <w:p w14:paraId="13CF18D6" w14:textId="31F570B0" w:rsidR="00E531FD" w:rsidRPr="00E531FD" w:rsidRDefault="00E531FD" w:rsidP="00166BB3">
                            <w:pPr>
                              <w:pStyle w:val="ad"/>
                            </w:pPr>
                            <w:bookmarkStart w:id="26" w:name="_Toc214619904"/>
                            <w:bookmarkStart w:id="27" w:name="_Toc214622036"/>
                            <w:r w:rsidRPr="00E531FD">
                              <w:t xml:space="preserve">Figure </w:t>
                            </w:r>
                            <w:r w:rsidRPr="00E531FD">
                              <w:fldChar w:fldCharType="begin"/>
                            </w:r>
                            <w:r w:rsidRPr="00E531FD">
                              <w:instrText xml:space="preserve"> SEQ Figure \* ARABIC </w:instrText>
                            </w:r>
                            <w:r w:rsidRPr="00E531FD">
                              <w:fldChar w:fldCharType="separate"/>
                            </w:r>
                            <w:r w:rsidR="00CD4CCF">
                              <w:t>1</w:t>
                            </w:r>
                            <w:r w:rsidRPr="00E531FD">
                              <w:fldChar w:fldCharType="end"/>
                            </w:r>
                            <w:r w:rsidRPr="00E531FD">
                              <w:t>: Suggested project model</w:t>
                            </w:r>
                            <w:bookmarkEnd w:id="26"/>
                            <w:bookmarkEnd w:id="27"/>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B1D5F6" id="_x0000_t202" coordsize="21600,21600" o:spt="202" path="m,l,21600r21600,l21600,xe">
                <v:stroke joinstyle="miter"/>
                <v:path gradientshapeok="t" o:connecttype="rect"/>
              </v:shapetype>
              <v:shape id="Text Box 1" o:spid="_x0000_s1026" type="#_x0000_t202" style="position:absolute;left:0;text-align:left;margin-left:0;margin-top:.75pt;width:484.1pt;height:19.3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qcGwIAADsEAAAOAAAAZHJzL2Uyb0RvYy54bWysU8Fu2zAMvQ/YPwi6L06yLi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" stroked="f">
                <v:textbox inset="0,0,0,0">
                  <w:txbxContent>
                    <w:p w14:paraId="13CF18D6" w14:textId="31F570B0" w:rsidR="00E531FD" w:rsidRPr="00E531FD" w:rsidRDefault="00E531FD" w:rsidP="00166BB3">
                      <w:pPr>
                        <w:pStyle w:val="Caption"/>
                      </w:pPr>
                      <w:bookmarkStart w:id="28" w:name="_Toc214619904"/>
                      <w:bookmarkStart w:id="29" w:name="_Toc214622036"/>
                      <w:r w:rsidRPr="00E531FD">
                        <w:t xml:space="preserve">Figure </w:t>
                      </w:r>
                      <w:r w:rsidRPr="00E531FD">
                        <w:fldChar w:fldCharType="begin"/>
                      </w:r>
                      <w:r w:rsidRPr="00E531FD">
                        <w:instrText xml:space="preserve"> SEQ Figure \* ARABIC </w:instrText>
                      </w:r>
                      <w:r w:rsidRPr="00E531FD">
                        <w:fldChar w:fldCharType="separate"/>
                      </w:r>
                      <w:r w:rsidR="00CD4CCF">
                        <w:t>1</w:t>
                      </w:r>
                      <w:r w:rsidRPr="00E531FD">
                        <w:fldChar w:fldCharType="end"/>
                      </w:r>
                      <w:r w:rsidRPr="00E531FD">
                        <w:t>: Suggested project model</w:t>
                      </w:r>
                      <w:bookmarkEnd w:id="28"/>
                      <w:bookmarkEnd w:id="29"/>
                    </w:p>
                  </w:txbxContent>
                </v:textbox>
                <w10:wrap anchorx="margin"/>
              </v:shape>
            </w:pict>
          </mc:Fallback>
        </mc:AlternateContent>
      </w:r>
    </w:p>
    <w:p w14:paraId="56ED8BA5" w14:textId="4215CC56" w:rsidR="00D96E63" w:rsidRPr="00111F5A" w:rsidRDefault="000E2F16" w:rsidP="00111F5A">
      <w:pPr>
        <w:bidi w:val="0"/>
        <w:spacing w:after="120" w:line="276" w:lineRule="auto"/>
        <w:ind w:firstLine="284"/>
        <w:jc w:val="both"/>
        <w:rPr>
          <w:rFonts w:asciiTheme="majorBidi" w:hAnsiTheme="majorBidi" w:cstheme="majorBidi"/>
          <w:sz w:val="24"/>
          <w:szCs w:val="24"/>
        </w:rPr>
      </w:pPr>
      <w:r>
        <w:rPr>
          <w:rFonts w:asciiTheme="majorBidi" w:hAnsiTheme="majorBidi" w:cstheme="majorBidi"/>
          <w:noProof/>
          <w:sz w:val="24"/>
          <w:szCs w:val="24"/>
        </w:rPr>
        <mc:AlternateContent>
          <mc:Choice Requires="wpg">
            <w:drawing>
              <wp:anchor distT="0" distB="0" distL="114300" distR="114300" simplePos="0" relativeHeight="251671552" behindDoc="0" locked="0" layoutInCell="1" allowOverlap="1" wp14:anchorId="594CD51C" wp14:editId="62DC5C92">
                <wp:simplePos x="0" y="0"/>
                <wp:positionH relativeFrom="column">
                  <wp:posOffset>3241</wp:posOffset>
                </wp:positionH>
                <wp:positionV relativeFrom="paragraph">
                  <wp:posOffset>25248</wp:posOffset>
                </wp:positionV>
                <wp:extent cx="6230203" cy="2265530"/>
                <wp:effectExtent l="0" t="0" r="0" b="1905"/>
                <wp:wrapNone/>
                <wp:docPr id="9" name="Group 9"/>
                <wp:cNvGraphicFramePr/>
                <a:graphic xmlns:a="http://schemas.openxmlformats.org/drawingml/2006/main">
                  <a:graphicData uri="http://schemas.microsoft.com/office/word/2010/wordprocessingGroup">
                    <wpg:wgp>
                      <wpg:cNvGrpSpPr/>
                      <wpg:grpSpPr>
                        <a:xfrm>
                          <a:off x="0" y="0"/>
                          <a:ext cx="6230203" cy="2265530"/>
                          <a:chOff x="0" y="0"/>
                          <a:chExt cx="6230203" cy="2265530"/>
                        </a:xfrm>
                      </wpg:grpSpPr>
                      <wps:wsp>
                        <wps:cNvPr id="1687766722" name="Text Box 5"/>
                        <wps:cNvSpPr txBox="1"/>
                        <wps:spPr>
                          <a:xfrm rot="493">
                            <a:off x="2415654" y="989463"/>
                            <a:ext cx="853005" cy="348163"/>
                          </a:xfrm>
                          <a:prstGeom prst="rect">
                            <a:avLst/>
                          </a:prstGeom>
                          <a:noFill/>
                          <a:ln>
                            <a:noFill/>
                          </a:ln>
                        </wps:spPr>
                        <wps:txbx>
                          <w:txbxContent>
                            <w:p w14:paraId="5DEED401" w14:textId="7961A207" w:rsidR="002131C2" w:rsidRPr="000E2F16" w:rsidRDefault="002131C2" w:rsidP="002131C2">
                              <w:pPr>
                                <w:bidi w:val="0"/>
                                <w:spacing w:line="240" w:lineRule="auto"/>
                                <w:textDirection w:val="btLr"/>
                                <w:rPr>
                                  <w:rFonts w:asciiTheme="majorBidi" w:hAnsiTheme="majorBidi" w:cstheme="majorBidi"/>
                                  <w:sz w:val="20"/>
                                  <w:szCs w:val="20"/>
                                </w:rPr>
                              </w:pPr>
                              <w:r w:rsidRPr="000E2F16">
                                <w:rPr>
                                  <w:rFonts w:asciiTheme="majorBidi" w:hAnsiTheme="majorBidi" w:cstheme="majorBidi"/>
                                  <w:color w:val="000000"/>
                                  <w:sz w:val="20"/>
                                  <w:szCs w:val="20"/>
                                </w:rPr>
                                <w:t>H</w:t>
                              </w:r>
                              <w:r w:rsidR="000E2F16" w:rsidRPr="000E2F16">
                                <w:rPr>
                                  <w:rFonts w:asciiTheme="majorBidi" w:hAnsiTheme="majorBidi" w:cstheme="majorBidi"/>
                                  <w:color w:val="000000"/>
                                  <w:sz w:val="20"/>
                                  <w:szCs w:val="20"/>
                                </w:rPr>
                                <w:t>1</w:t>
                              </w:r>
                              <w:r w:rsidRPr="000E2F16">
                                <w:rPr>
                                  <w:rFonts w:asciiTheme="majorBidi" w:hAnsiTheme="majorBidi" w:cstheme="majorBidi"/>
                                  <w:color w:val="000000"/>
                                  <w:sz w:val="20"/>
                                  <w:szCs w:val="20"/>
                                </w:rPr>
                                <w:t>,</w:t>
                              </w:r>
                              <w:r w:rsidR="000E2F16" w:rsidRPr="000E2F16">
                                <w:rPr>
                                  <w:rFonts w:asciiTheme="majorBidi" w:hAnsiTheme="majorBidi" w:cstheme="majorBidi"/>
                                  <w:color w:val="000000"/>
                                  <w:sz w:val="20"/>
                                  <w:szCs w:val="20"/>
                                </w:rPr>
                                <w:t xml:space="preserve"> </w:t>
                              </w:r>
                              <w:r w:rsidRPr="000E2F16">
                                <w:rPr>
                                  <w:rFonts w:asciiTheme="majorBidi" w:hAnsiTheme="majorBidi" w:cstheme="majorBidi"/>
                                  <w:color w:val="000000"/>
                                  <w:sz w:val="20"/>
                                  <w:szCs w:val="20"/>
                                </w:rPr>
                                <w:t>H</w:t>
                              </w:r>
                              <w:r w:rsidR="000E2F16" w:rsidRPr="000E2F16">
                                <w:rPr>
                                  <w:rFonts w:asciiTheme="majorBidi" w:hAnsiTheme="majorBidi" w:cstheme="majorBidi"/>
                                  <w:color w:val="000000"/>
                                  <w:sz w:val="20"/>
                                  <w:szCs w:val="20"/>
                                </w:rPr>
                                <w:t>2</w:t>
                              </w:r>
                              <w:r w:rsidRPr="000E2F16">
                                <w:rPr>
                                  <w:rFonts w:asciiTheme="majorBidi" w:hAnsiTheme="majorBidi" w:cstheme="majorBidi"/>
                                  <w:color w:val="000000"/>
                                  <w:sz w:val="20"/>
                                  <w:szCs w:val="20"/>
                                </w:rPr>
                                <w:t>,</w:t>
                              </w:r>
                              <w:r w:rsidR="000E2F16" w:rsidRPr="000E2F16">
                                <w:rPr>
                                  <w:rFonts w:asciiTheme="majorBidi" w:hAnsiTheme="majorBidi" w:cstheme="majorBidi"/>
                                  <w:color w:val="000000"/>
                                  <w:sz w:val="20"/>
                                  <w:szCs w:val="20"/>
                                </w:rPr>
                                <w:t xml:space="preserve"> </w:t>
                              </w:r>
                              <w:r w:rsidRPr="000E2F16">
                                <w:rPr>
                                  <w:rFonts w:asciiTheme="majorBidi" w:hAnsiTheme="majorBidi" w:cstheme="majorBidi"/>
                                  <w:color w:val="000000"/>
                                  <w:sz w:val="20"/>
                                  <w:szCs w:val="20"/>
                                </w:rPr>
                                <w:t>H</w:t>
                              </w:r>
                              <w:r w:rsidR="000E2F16">
                                <w:rPr>
                                  <w:rFonts w:asciiTheme="majorBidi" w:hAnsiTheme="majorBidi" w:cstheme="majorBidi"/>
                                  <w:color w:val="000000"/>
                                  <w:sz w:val="20"/>
                                  <w:szCs w:val="20"/>
                                </w:rPr>
                                <w:t>3</w:t>
                              </w:r>
                            </w:p>
                          </w:txbxContent>
                        </wps:txbx>
                        <wps:bodyPr spcFirstLastPara="1" wrap="square" lIns="91425" tIns="91425" rIns="91425" bIns="91425" anchor="t" anchorCtr="0">
                          <a:noAutofit/>
                        </wps:bodyPr>
                      </wps:wsp>
                      <wpg:grpSp>
                        <wpg:cNvPr id="4" name="Group 4"/>
                        <wpg:cNvGrpSpPr/>
                        <wpg:grpSpPr>
                          <a:xfrm>
                            <a:off x="0" y="252484"/>
                            <a:ext cx="6230203" cy="2013046"/>
                            <a:chOff x="-23" y="880280"/>
                            <a:chExt cx="6230324" cy="2013423"/>
                          </a:xfrm>
                        </wpg:grpSpPr>
                        <wpg:grpSp>
                          <wpg:cNvPr id="1944041986" name="Group 8"/>
                          <wpg:cNvGrpSpPr/>
                          <wpg:grpSpPr>
                            <a:xfrm>
                              <a:off x="-23" y="880280"/>
                              <a:ext cx="6230324" cy="2013423"/>
                              <a:chOff x="-37199" y="-81954"/>
                              <a:chExt cx="6230325" cy="2013596"/>
                            </a:xfrm>
                          </wpg:grpSpPr>
                          <wps:wsp>
                            <wps:cNvPr id="69899198" name="Rectangle 2"/>
                            <wps:cNvSpPr/>
                            <wps:spPr>
                              <a:xfrm>
                                <a:off x="-37199" y="-81954"/>
                                <a:ext cx="2425554" cy="462328"/>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256C0346" w14:textId="77777777" w:rsidR="001B4504" w:rsidRPr="001B4504" w:rsidRDefault="001B4504" w:rsidP="001B4504">
                                  <w:pPr>
                                    <w:bidi w:val="0"/>
                                    <w:jc w:val="center"/>
                                    <w:rPr>
                                      <w:rFonts w:ascii="Times New Roman" w:eastAsia="Times New Roman" w:hAnsi="Times New Roman" w:cs="Times New Roman"/>
                                      <w:b/>
                                      <w:bCs/>
                                      <w:color w:val="000000" w:themeColor="text1"/>
                                    </w:rPr>
                                  </w:pPr>
                                  <w:bookmarkStart w:id="28" w:name="_Hlk214498674"/>
                                  <w:r w:rsidRPr="001B4504">
                                    <w:rPr>
                                      <w:rFonts w:ascii="Times New Roman" w:eastAsia="Times New Roman" w:hAnsi="Times New Roman" w:cs="Times New Roman"/>
                                      <w:b/>
                                      <w:bCs/>
                                      <w:color w:val="000000" w:themeColor="text1"/>
                                    </w:rPr>
                                    <w:t>Functional relationship between Account Managers and Sales Teams</w:t>
                                  </w:r>
                                </w:p>
                                <w:bookmarkEnd w:id="28"/>
                                <w:p w14:paraId="1CF041CB" w14:textId="4FEBD58B" w:rsidR="001B4504" w:rsidRPr="00693175" w:rsidRDefault="001B4504" w:rsidP="001B4504">
                                  <w:pPr>
                                    <w:bidi w:val="0"/>
                                    <w:jc w:val="center"/>
                                    <w:rPr>
                                      <w:rFonts w:asciiTheme="majorBidi" w:hAnsiTheme="majorBidi" w:cstheme="majorBid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82924129" name="Group 14"/>
                            <wpg:cNvGrpSpPr/>
                            <wpg:grpSpPr>
                              <a:xfrm>
                                <a:off x="-37199" y="27237"/>
                                <a:ext cx="6230325" cy="1904405"/>
                                <a:chOff x="-37203" y="-20389"/>
                                <a:chExt cx="6230979" cy="1904580"/>
                              </a:xfrm>
                            </wpg:grpSpPr>
                            <wps:wsp>
                              <wps:cNvPr id="1898127321" name="Rectangle 4"/>
                              <wps:cNvSpPr/>
                              <wps:spPr>
                                <a:xfrm>
                                  <a:off x="-37203" y="365760"/>
                                  <a:ext cx="2418984" cy="1258698"/>
                                </a:xfrm>
                                <a:prstGeom prst="rect">
                                  <a:avLst/>
                                </a:prstGeom>
                                <a:solidFill>
                                  <a:schemeClr val="bg1"/>
                                </a:solidFill>
                                <a:ln w="6350" cap="flat" cmpd="sng">
                                  <a:solidFill>
                                    <a:schemeClr val="dk1"/>
                                  </a:solidFill>
                                  <a:prstDash val="solid"/>
                                  <a:round/>
                                  <a:headEnd type="none" w="sm" len="sm"/>
                                  <a:tailEnd type="none" w="sm" len="sm"/>
                                </a:ln>
                                <a:effectLst/>
                              </wps:spPr>
                              <wps:txbx>
                                <w:txbxContent>
                                  <w:p w14:paraId="4CFE04F1" w14:textId="77777777" w:rsidR="001B4504" w:rsidRPr="002131C2" w:rsidRDefault="001B4504" w:rsidP="002E6F27">
                                    <w:pPr>
                                      <w:pStyle w:val="a5"/>
                                      <w:numPr>
                                        <w:ilvl w:val="0"/>
                                        <w:numId w:val="12"/>
                                      </w:numPr>
                                      <w:bidi w:val="0"/>
                                      <w:spacing w:line="275" w:lineRule="auto"/>
                                      <w:ind w:left="284" w:hanging="11"/>
                                      <w:textDirection w:val="btLr"/>
                                      <w:rPr>
                                        <w:rFonts w:ascii="Times New Roman" w:eastAsia="Times New Roman" w:hAnsi="Times New Roman" w:cs="Times New Roman"/>
                                        <w:color w:val="0D0D0D"/>
                                      </w:rPr>
                                    </w:pPr>
                                    <w:bookmarkStart w:id="29" w:name="_Hlk214498681"/>
                                    <w:bookmarkStart w:id="30" w:name="_Hlk214498682"/>
                                    <w:r w:rsidRPr="002131C2">
                                      <w:rPr>
                                        <w:rFonts w:ascii="Times New Roman" w:eastAsia="Times New Roman" w:hAnsi="Times New Roman" w:cs="Times New Roman"/>
                                        <w:color w:val="0D0D0D"/>
                                      </w:rPr>
                                      <w:t>Communication Quality &amp; Cadence</w:t>
                                    </w:r>
                                  </w:p>
                                  <w:p w14:paraId="4810822B" w14:textId="77777777" w:rsidR="001B4504" w:rsidRPr="002131C2" w:rsidRDefault="001B4504" w:rsidP="002E6F27">
                                    <w:pPr>
                                      <w:pStyle w:val="a5"/>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Information Sharing &amp; Data Integration</w:t>
                                    </w:r>
                                  </w:p>
                                  <w:p w14:paraId="3C5E85AF" w14:textId="77777777" w:rsidR="001B4504" w:rsidRPr="002131C2" w:rsidRDefault="001B4504" w:rsidP="002E6F27">
                                    <w:pPr>
                                      <w:pStyle w:val="a5"/>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Goal/KPI &amp; Incentive Alignment</w:t>
                                    </w:r>
                                  </w:p>
                                  <w:p w14:paraId="499F5768" w14:textId="113B7127" w:rsidR="001B4504" w:rsidRPr="002131C2" w:rsidRDefault="001B4504" w:rsidP="002E6F27">
                                    <w:pPr>
                                      <w:pStyle w:val="a5"/>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Decision Rights &amp; Escalation Clarity (RACI)</w:t>
                                    </w:r>
                                    <w:r w:rsidRPr="002131C2">
                                      <w:rPr>
                                        <w:rFonts w:ascii="Times New Roman" w:eastAsia="Times New Roman" w:hAnsi="Times New Roman" w:cs="Times New Roman"/>
                                        <w:color w:val="0D0D0D"/>
                                      </w:rPr>
                                      <w:br/>
                                    </w:r>
                                    <w:bookmarkEnd w:id="29"/>
                                    <w:bookmarkEnd w:id="30"/>
                                  </w:p>
                                </w:txbxContent>
                              </wps:txbx>
                              <wps:bodyPr spcFirstLastPara="1" wrap="square" lIns="91425" tIns="45700" rIns="91425" bIns="45700" anchor="ctr" anchorCtr="0">
                                <a:noAutofit/>
                              </wps:bodyPr>
                            </wps:wsp>
                            <wps:wsp>
                              <wps:cNvPr id="224884" name="Rectangle 8"/>
                              <wps:cNvSpPr/>
                              <wps:spPr>
                                <a:xfrm>
                                  <a:off x="3262154" y="-20389"/>
                                  <a:ext cx="2811374" cy="32760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2C77E798" w14:textId="77777777" w:rsidR="002131C2" w:rsidRPr="002131C2" w:rsidRDefault="002131C2" w:rsidP="002131C2">
                                    <w:pPr>
                                      <w:bidi w:val="0"/>
                                      <w:jc w:val="center"/>
                                      <w:rPr>
                                        <w:rFonts w:ascii="Times New Roman" w:eastAsia="Times New Roman" w:hAnsi="Times New Roman" w:cs="Times New Roman"/>
                                        <w:b/>
                                        <w:bCs/>
                                        <w:color w:val="000000" w:themeColor="text1"/>
                                      </w:rPr>
                                    </w:pPr>
                                    <w:bookmarkStart w:id="31" w:name="_Hlk214498694"/>
                                    <w:r w:rsidRPr="002131C2">
                                      <w:rPr>
                                        <w:rFonts w:ascii="Times New Roman" w:eastAsia="Times New Roman" w:hAnsi="Times New Roman" w:cs="Times New Roman"/>
                                        <w:b/>
                                        <w:bCs/>
                                        <w:color w:val="000000" w:themeColor="text1"/>
                                      </w:rPr>
                                      <w:t>Risk management effectiveness</w:t>
                                    </w:r>
                                  </w:p>
                                  <w:bookmarkEnd w:id="31"/>
                                  <w:p w14:paraId="0909B343" w14:textId="77777777" w:rsidR="001B4504" w:rsidRPr="00693175" w:rsidRDefault="001B4504" w:rsidP="001B4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2427301" name="Straight Arrow Connector 10"/>
                              <wps:cNvCnPr/>
                              <wps:spPr>
                                <a:xfrm>
                                  <a:off x="2381805" y="917798"/>
                                  <a:ext cx="865124"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25854398" name="Rectangle 13"/>
                              <wps:cNvSpPr/>
                              <wps:spPr>
                                <a:xfrm>
                                  <a:off x="4820427" y="1636349"/>
                                  <a:ext cx="1373349" cy="247842"/>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52745556" w14:textId="77777777" w:rsidR="001B4504" w:rsidRPr="00084DC1" w:rsidRDefault="001B4504" w:rsidP="00E531FD">
                                    <w:pPr>
                                      <w:bidi w:val="0"/>
                                      <w:spacing w:after="0" w:line="240" w:lineRule="auto"/>
                                      <w:textDirection w:val="btLr"/>
                                      <w:rPr>
                                        <w:bCs/>
                                      </w:rPr>
                                    </w:pPr>
                                    <w:r w:rsidRPr="00084DC1">
                                      <w:rPr>
                                        <w:rFonts w:ascii="Times New Roman" w:eastAsia="Times New Roman" w:hAnsi="Times New Roman" w:cs="Times New Roman"/>
                                        <w:bCs/>
                                        <w:color w:val="000000"/>
                                      </w:rPr>
                                      <w:t>Source: Researcher</w:t>
                                    </w:r>
                                  </w:p>
                                  <w:p w14:paraId="53FA9CBB" w14:textId="77777777" w:rsidR="001B4504" w:rsidRPr="00693175" w:rsidRDefault="001B4504" w:rsidP="001B4504">
                                    <w:pPr>
                                      <w:bidi w:val="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 name="Rectangle 4"/>
                          <wps:cNvSpPr/>
                          <wps:spPr>
                            <a:xfrm>
                              <a:off x="3288571" y="1378423"/>
                              <a:ext cx="2794560" cy="1257935"/>
                            </a:xfrm>
                            <a:prstGeom prst="rect">
                              <a:avLst/>
                            </a:prstGeom>
                            <a:solidFill>
                              <a:schemeClr val="bg1"/>
                            </a:solidFill>
                            <a:ln w="6350" cap="flat" cmpd="sng">
                              <a:solidFill>
                                <a:schemeClr val="dk1"/>
                              </a:solidFill>
                              <a:prstDash val="solid"/>
                              <a:round/>
                              <a:headEnd type="none" w="sm" len="sm"/>
                              <a:tailEnd type="none" w="sm" len="sm"/>
                            </a:ln>
                            <a:effectLst/>
                          </wps:spPr>
                          <wps:txbx>
                            <w:txbxContent>
                              <w:p w14:paraId="33408CF5" w14:textId="77777777" w:rsidR="002131C2" w:rsidRPr="002131C2" w:rsidRDefault="002131C2" w:rsidP="002E6F27">
                                <w:pPr>
                                  <w:pStyle w:val="a5"/>
                                  <w:numPr>
                                    <w:ilvl w:val="0"/>
                                    <w:numId w:val="11"/>
                                  </w:numPr>
                                  <w:bidi w:val="0"/>
                                  <w:spacing w:line="275" w:lineRule="auto"/>
                                  <w:ind w:left="284" w:hanging="11"/>
                                  <w:textDirection w:val="btLr"/>
                                  <w:rPr>
                                    <w:rFonts w:ascii="Times New Roman" w:eastAsia="Times New Roman" w:hAnsi="Times New Roman" w:cs="Times New Roman"/>
                                    <w:color w:val="0D0D0D"/>
                                  </w:rPr>
                                </w:pPr>
                                <w:bookmarkStart w:id="32" w:name="_Hlk214498707"/>
                                <w:bookmarkStart w:id="33" w:name="_Hlk214498708"/>
                                <w:r w:rsidRPr="002131C2">
                                  <w:rPr>
                                    <w:rFonts w:ascii="Times New Roman" w:eastAsia="Times New Roman" w:hAnsi="Times New Roman" w:cs="Times New Roman"/>
                                    <w:color w:val="0D0D0D"/>
                                  </w:rPr>
                                  <w:t>Early Risk Identification &amp; Onboarding Quality</w:t>
                                </w:r>
                              </w:p>
                              <w:p w14:paraId="4E6C68DF" w14:textId="77777777" w:rsidR="002131C2" w:rsidRPr="002131C2" w:rsidRDefault="002131C2" w:rsidP="002E6F27">
                                <w:pPr>
                                  <w:pStyle w:val="a5"/>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Credit Discipline &amp; Outcomes</w:t>
                                </w:r>
                              </w:p>
                              <w:p w14:paraId="300012FF" w14:textId="77777777" w:rsidR="002131C2" w:rsidRPr="002131C2" w:rsidRDefault="002131C2" w:rsidP="002E6F27">
                                <w:pPr>
                                  <w:pStyle w:val="a5"/>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Liquidity &amp; Market-Risk Fit at Origination</w:t>
                                </w:r>
                              </w:p>
                              <w:p w14:paraId="7CAF0B58" w14:textId="01418E8A" w:rsidR="002131C2" w:rsidRPr="002131C2" w:rsidRDefault="002131C2" w:rsidP="002E6F27">
                                <w:pPr>
                                  <w:pStyle w:val="a5"/>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Operational Resilience &amp; Third-Party Risk Control</w:t>
                                </w:r>
                                <w:r w:rsidRPr="002131C2">
                                  <w:rPr>
                                    <w:rFonts w:ascii="Times New Roman" w:eastAsia="Times New Roman" w:hAnsi="Times New Roman" w:cs="Times New Roman"/>
                                    <w:color w:val="0D0D0D"/>
                                  </w:rPr>
                                  <w:br/>
                                </w:r>
                                <w:bookmarkEnd w:id="32"/>
                                <w:bookmarkEnd w:id="33"/>
                              </w:p>
                            </w:txbxContent>
                          </wps:txbx>
                          <wps:bodyPr spcFirstLastPara="1" wrap="square" lIns="91425" tIns="45700" rIns="91425" bIns="45700" anchor="ctr" anchorCtr="0">
                            <a:noAutofit/>
                          </wps:bodyPr>
                        </wps:wsp>
                      </wpg:grpSp>
                      <wps:wsp>
                        <wps:cNvPr id="5" name="Rectangle 8"/>
                        <wps:cNvSpPr/>
                        <wps:spPr>
                          <a:xfrm>
                            <a:off x="47768" y="13648"/>
                            <a:ext cx="2463421" cy="27295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31C2AEE" w14:textId="77777777" w:rsidR="002131C2" w:rsidRPr="002131C2" w:rsidRDefault="002131C2" w:rsidP="002131C2">
                              <w:pPr>
                                <w:jc w:val="center"/>
                                <w:rPr>
                                  <w:rFonts w:ascii="Times New Roman" w:eastAsia="Times New Roman" w:hAnsi="Times New Roman" w:cs="Times New Roman"/>
                                  <w:color w:val="000000" w:themeColor="text1"/>
                                </w:rPr>
                              </w:pPr>
                              <w:bookmarkStart w:id="34" w:name="_Hlk214498668"/>
                              <w:r w:rsidRPr="002131C2">
                                <w:rPr>
                                  <w:rFonts w:ascii="Times New Roman" w:eastAsia="Times New Roman" w:hAnsi="Times New Roman" w:cs="Times New Roman"/>
                                  <w:color w:val="000000" w:themeColor="text1"/>
                                </w:rPr>
                                <w:t>Independent variable (IV)</w:t>
                              </w:r>
                            </w:p>
                            <w:bookmarkEnd w:id="34"/>
                            <w:p w14:paraId="7505FA18" w14:textId="77777777" w:rsidR="002131C2" w:rsidRPr="00693175" w:rsidRDefault="002131C2" w:rsidP="002131C2">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8"/>
                        <wps:cNvSpPr/>
                        <wps:spPr>
                          <a:xfrm>
                            <a:off x="3432412" y="0"/>
                            <a:ext cx="2463421" cy="27295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01A24B9D" w14:textId="77777777" w:rsidR="00E531FD" w:rsidRPr="00E531FD" w:rsidRDefault="00E531FD" w:rsidP="00E531FD">
                              <w:pPr>
                                <w:bidi w:val="0"/>
                                <w:jc w:val="center"/>
                                <w:rPr>
                                  <w:rFonts w:ascii="Times New Roman" w:eastAsia="Times New Roman" w:hAnsi="Times New Roman" w:cs="Times New Roman"/>
                                  <w:color w:val="000000" w:themeColor="text1"/>
                                </w:rPr>
                              </w:pPr>
                              <w:bookmarkStart w:id="35" w:name="_Hlk214498688"/>
                              <w:r w:rsidRPr="00E531FD">
                                <w:rPr>
                                  <w:rFonts w:ascii="Times New Roman" w:eastAsia="Times New Roman" w:hAnsi="Times New Roman" w:cs="Times New Roman"/>
                                  <w:color w:val="000000" w:themeColor="text1"/>
                                </w:rPr>
                                <w:t>Dependent variable (DV)</w:t>
                              </w:r>
                            </w:p>
                            <w:bookmarkEnd w:id="35"/>
                            <w:p w14:paraId="1E6EEEA5" w14:textId="77777777" w:rsidR="00E531FD" w:rsidRPr="00693175" w:rsidRDefault="00E531FD" w:rsidP="00E531FD">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4CD51C" id="Group 9" o:spid="_x0000_s1027" style="position:absolute;left:0;text-align:left;margin-left:.25pt;margin-top:2pt;width:490.55pt;height:178.4pt;z-index:251671552" coordsize="62302,22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">
                <v:shape id="Text Box 5" o:spid="_x0000_s1028" type="#_x0000_t202" style="position:absolute;left:24156;top:9894;width:8530;height:3482;rotation:53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" filled="f" stroked="f">
                  <v:textbox inset="2.53958mm,2.53958mm,2.53958mm,2.53958mm">
                    <w:txbxContent>
                      <w:p w14:paraId="5DEED401" w14:textId="7961A207" w:rsidR="002131C2" w:rsidRPr="000E2F16" w:rsidRDefault="002131C2" w:rsidP="002131C2">
                        <w:pPr>
                          <w:bidi w:val="0"/>
                          <w:spacing w:line="240" w:lineRule="auto"/>
                          <w:textDirection w:val="btLr"/>
                          <w:rPr>
                            <w:rFonts w:asciiTheme="majorBidi" w:hAnsiTheme="majorBidi" w:cstheme="majorBidi"/>
                            <w:sz w:val="20"/>
                            <w:szCs w:val="20"/>
                          </w:rPr>
                        </w:pPr>
                        <w:r w:rsidRPr="000E2F16">
                          <w:rPr>
                            <w:rFonts w:asciiTheme="majorBidi" w:hAnsiTheme="majorBidi" w:cstheme="majorBidi"/>
                            <w:color w:val="000000"/>
                            <w:sz w:val="20"/>
                            <w:szCs w:val="20"/>
                          </w:rPr>
                          <w:t>H</w:t>
                        </w:r>
                        <w:r w:rsidR="000E2F16" w:rsidRPr="000E2F16">
                          <w:rPr>
                            <w:rFonts w:asciiTheme="majorBidi" w:hAnsiTheme="majorBidi" w:cstheme="majorBidi"/>
                            <w:color w:val="000000"/>
                            <w:sz w:val="20"/>
                            <w:szCs w:val="20"/>
                          </w:rPr>
                          <w:t>1</w:t>
                        </w:r>
                        <w:r w:rsidRPr="000E2F16">
                          <w:rPr>
                            <w:rFonts w:asciiTheme="majorBidi" w:hAnsiTheme="majorBidi" w:cstheme="majorBidi"/>
                            <w:color w:val="000000"/>
                            <w:sz w:val="20"/>
                            <w:szCs w:val="20"/>
                          </w:rPr>
                          <w:t>,</w:t>
                        </w:r>
                        <w:r w:rsidR="000E2F16" w:rsidRPr="000E2F16">
                          <w:rPr>
                            <w:rFonts w:asciiTheme="majorBidi" w:hAnsiTheme="majorBidi" w:cstheme="majorBidi"/>
                            <w:color w:val="000000"/>
                            <w:sz w:val="20"/>
                            <w:szCs w:val="20"/>
                          </w:rPr>
                          <w:t xml:space="preserve"> </w:t>
                        </w:r>
                        <w:r w:rsidRPr="000E2F16">
                          <w:rPr>
                            <w:rFonts w:asciiTheme="majorBidi" w:hAnsiTheme="majorBidi" w:cstheme="majorBidi"/>
                            <w:color w:val="000000"/>
                            <w:sz w:val="20"/>
                            <w:szCs w:val="20"/>
                          </w:rPr>
                          <w:t>H</w:t>
                        </w:r>
                        <w:r w:rsidR="000E2F16" w:rsidRPr="000E2F16">
                          <w:rPr>
                            <w:rFonts w:asciiTheme="majorBidi" w:hAnsiTheme="majorBidi" w:cstheme="majorBidi"/>
                            <w:color w:val="000000"/>
                            <w:sz w:val="20"/>
                            <w:szCs w:val="20"/>
                          </w:rPr>
                          <w:t>2</w:t>
                        </w:r>
                        <w:r w:rsidRPr="000E2F16">
                          <w:rPr>
                            <w:rFonts w:asciiTheme="majorBidi" w:hAnsiTheme="majorBidi" w:cstheme="majorBidi"/>
                            <w:color w:val="000000"/>
                            <w:sz w:val="20"/>
                            <w:szCs w:val="20"/>
                          </w:rPr>
                          <w:t>,</w:t>
                        </w:r>
                        <w:r w:rsidR="000E2F16" w:rsidRPr="000E2F16">
                          <w:rPr>
                            <w:rFonts w:asciiTheme="majorBidi" w:hAnsiTheme="majorBidi" w:cstheme="majorBidi"/>
                            <w:color w:val="000000"/>
                            <w:sz w:val="20"/>
                            <w:szCs w:val="20"/>
                          </w:rPr>
                          <w:t xml:space="preserve"> </w:t>
                        </w:r>
                        <w:r w:rsidRPr="000E2F16">
                          <w:rPr>
                            <w:rFonts w:asciiTheme="majorBidi" w:hAnsiTheme="majorBidi" w:cstheme="majorBidi"/>
                            <w:color w:val="000000"/>
                            <w:sz w:val="20"/>
                            <w:szCs w:val="20"/>
                          </w:rPr>
                          <w:t>H</w:t>
                        </w:r>
                        <w:r w:rsidR="000E2F16">
                          <w:rPr>
                            <w:rFonts w:asciiTheme="majorBidi" w:hAnsiTheme="majorBidi" w:cstheme="majorBidi"/>
                            <w:color w:val="000000"/>
                            <w:sz w:val="20"/>
                            <w:szCs w:val="20"/>
                          </w:rPr>
                          <w:t>3</w:t>
                        </w:r>
                      </w:p>
                    </w:txbxContent>
                  </v:textbox>
                </v:shape>
                <v:group id="Group 4" o:spid="_x0000_s1029" style="position:absolute;top:2524;width:62302;height:20131" coordorigin=",8802" coordsize="62303,2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8" o:spid="_x0000_s1030" style="position:absolute;top:8802;width:62303;height:20135" coordorigin="-371,-819" coordsize="62303,2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">
                    <v:rect id="Rectangle 2" o:spid="_x0000_s1031" style="position:absolute;left:-371;top:-819;width:24254;height: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" filled="f" stroked="f" strokeweight=".5pt">
                      <v:textbox>
                        <w:txbxContent>
                          <w:p w14:paraId="256C0346" w14:textId="77777777" w:rsidR="001B4504" w:rsidRPr="001B4504" w:rsidRDefault="001B4504" w:rsidP="001B4504">
                            <w:pPr>
                              <w:bidi w:val="0"/>
                              <w:jc w:val="center"/>
                              <w:rPr>
                                <w:rFonts w:ascii="Times New Roman" w:eastAsia="Times New Roman" w:hAnsi="Times New Roman" w:cs="Times New Roman"/>
                                <w:b/>
                                <w:bCs/>
                                <w:color w:val="000000" w:themeColor="text1"/>
                              </w:rPr>
                            </w:pPr>
                            <w:bookmarkStart w:id="38" w:name="_Hlk214498674"/>
                            <w:r w:rsidRPr="001B4504">
                              <w:rPr>
                                <w:rFonts w:ascii="Times New Roman" w:eastAsia="Times New Roman" w:hAnsi="Times New Roman" w:cs="Times New Roman"/>
                                <w:b/>
                                <w:bCs/>
                                <w:color w:val="000000" w:themeColor="text1"/>
                              </w:rPr>
                              <w:t>Functional relationship between Account Managers and Sales Teams</w:t>
                            </w:r>
                          </w:p>
                          <w:bookmarkEnd w:id="38"/>
                          <w:p w14:paraId="1CF041CB" w14:textId="4FEBD58B" w:rsidR="001B4504" w:rsidRPr="00693175" w:rsidRDefault="001B4504" w:rsidP="001B4504">
                            <w:pPr>
                              <w:bidi w:val="0"/>
                              <w:jc w:val="center"/>
                              <w:rPr>
                                <w:rFonts w:asciiTheme="majorBidi" w:hAnsiTheme="majorBidi" w:cstheme="majorBidi"/>
                                <w:color w:val="000000" w:themeColor="text1"/>
                              </w:rPr>
                            </w:pPr>
                          </w:p>
                        </w:txbxContent>
                      </v:textbox>
                    </v:rect>
                    <v:group id="Group 14" o:spid="_x0000_s1032" style="position:absolute;left:-371;top:272;width:62302;height:19044" coordorigin="-372,-203" coordsize="62309,1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">
                      <v:rect id="Rectangle 4" o:spid="_x0000_s1033" style="position:absolute;left:-372;top:3657;width:24189;height:12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" fillcolor="white [3212]" strokecolor="black [3200]" strokeweight=".5pt">
                        <v:stroke startarrowwidth="narrow" startarrowlength="short" endarrowwidth="narrow" endarrowlength="short" joinstyle="round"/>
                        <v:textbox inset="2.53958mm,1.2694mm,2.53958mm,1.2694mm">
                          <w:txbxContent>
                            <w:p w14:paraId="4CFE04F1" w14:textId="77777777" w:rsidR="001B4504" w:rsidRPr="002131C2" w:rsidRDefault="001B4504" w:rsidP="002E6F27">
                              <w:pPr>
                                <w:pStyle w:val="ListParagraph"/>
                                <w:numPr>
                                  <w:ilvl w:val="0"/>
                                  <w:numId w:val="12"/>
                                </w:numPr>
                                <w:bidi w:val="0"/>
                                <w:spacing w:line="275" w:lineRule="auto"/>
                                <w:ind w:left="284" w:hanging="11"/>
                                <w:textDirection w:val="btLr"/>
                                <w:rPr>
                                  <w:rFonts w:ascii="Times New Roman" w:eastAsia="Times New Roman" w:hAnsi="Times New Roman" w:cs="Times New Roman"/>
                                  <w:color w:val="0D0D0D"/>
                                </w:rPr>
                              </w:pPr>
                              <w:bookmarkStart w:id="39" w:name="_Hlk214498681"/>
                              <w:bookmarkStart w:id="40" w:name="_Hlk214498682"/>
                              <w:r w:rsidRPr="002131C2">
                                <w:rPr>
                                  <w:rFonts w:ascii="Times New Roman" w:eastAsia="Times New Roman" w:hAnsi="Times New Roman" w:cs="Times New Roman"/>
                                  <w:color w:val="0D0D0D"/>
                                </w:rPr>
                                <w:t>Communication Quality &amp; Cadence</w:t>
                              </w:r>
                            </w:p>
                            <w:p w14:paraId="4810822B" w14:textId="77777777" w:rsidR="001B4504" w:rsidRPr="002131C2" w:rsidRDefault="001B4504" w:rsidP="002E6F27">
                              <w:pPr>
                                <w:pStyle w:val="ListParagraph"/>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Information Sharing &amp; Data Integration</w:t>
                              </w:r>
                            </w:p>
                            <w:p w14:paraId="3C5E85AF" w14:textId="77777777" w:rsidR="001B4504" w:rsidRPr="002131C2" w:rsidRDefault="001B4504" w:rsidP="002E6F27">
                              <w:pPr>
                                <w:pStyle w:val="ListParagraph"/>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Goal/KPI &amp; Incentive Alignment</w:t>
                              </w:r>
                            </w:p>
                            <w:p w14:paraId="499F5768" w14:textId="113B7127" w:rsidR="001B4504" w:rsidRPr="002131C2" w:rsidRDefault="001B4504" w:rsidP="002E6F27">
                              <w:pPr>
                                <w:pStyle w:val="ListParagraph"/>
                                <w:numPr>
                                  <w:ilvl w:val="0"/>
                                  <w:numId w:val="12"/>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Decision Rights &amp; Escalation Clarity (RACI)</w:t>
                              </w:r>
                              <w:r w:rsidRPr="002131C2">
                                <w:rPr>
                                  <w:rFonts w:ascii="Times New Roman" w:eastAsia="Times New Roman" w:hAnsi="Times New Roman" w:cs="Times New Roman"/>
                                  <w:color w:val="0D0D0D"/>
                                </w:rPr>
                                <w:br/>
                              </w:r>
                              <w:bookmarkEnd w:id="39"/>
                              <w:bookmarkEnd w:id="40"/>
                            </w:p>
                          </w:txbxContent>
                        </v:textbox>
                      </v:rect>
                      <v:rect id="Rectangle 8" o:spid="_x0000_s1034" style="position:absolute;left:32621;top:-203;width:28114;height:3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" filled="f" stroked="f" strokeweight=".5pt">
                        <v:textbox>
                          <w:txbxContent>
                            <w:p w14:paraId="2C77E798" w14:textId="77777777" w:rsidR="002131C2" w:rsidRPr="002131C2" w:rsidRDefault="002131C2" w:rsidP="002131C2">
                              <w:pPr>
                                <w:bidi w:val="0"/>
                                <w:jc w:val="center"/>
                                <w:rPr>
                                  <w:rFonts w:ascii="Times New Roman" w:eastAsia="Times New Roman" w:hAnsi="Times New Roman" w:cs="Times New Roman"/>
                                  <w:b/>
                                  <w:bCs/>
                                  <w:color w:val="000000" w:themeColor="text1"/>
                                </w:rPr>
                              </w:pPr>
                              <w:bookmarkStart w:id="41" w:name="_Hlk214498694"/>
                              <w:r w:rsidRPr="002131C2">
                                <w:rPr>
                                  <w:rFonts w:ascii="Times New Roman" w:eastAsia="Times New Roman" w:hAnsi="Times New Roman" w:cs="Times New Roman"/>
                                  <w:b/>
                                  <w:bCs/>
                                  <w:color w:val="000000" w:themeColor="text1"/>
                                </w:rPr>
                                <w:t>Risk management effectiveness</w:t>
                              </w:r>
                            </w:p>
                            <w:bookmarkEnd w:id="41"/>
                            <w:p w14:paraId="0909B343" w14:textId="77777777" w:rsidR="001B4504" w:rsidRPr="00693175" w:rsidRDefault="001B4504" w:rsidP="001B4504">
                              <w:pPr>
                                <w:jc w:val="center"/>
                              </w:pPr>
                            </w:p>
                          </w:txbxContent>
                        </v:textbox>
                      </v:rect>
                      <v:shapetype id="_x0000_t32" coordsize="21600,21600" o:spt="32" o:oned="t" path="m,l21600,21600e" filled="f">
                        <v:path arrowok="t" fillok="f" o:connecttype="none"/>
                        <o:lock v:ext="edit" shapetype="t"/>
                      </v:shapetype>
                      <v:shape id="Straight Arrow Connector 10" o:spid="_x0000_s1035" type="#_x0000_t32" style="position:absolute;left:23818;top:9177;width:86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" strokecolor="black [3200]" strokeweight="1pt">
                        <v:stroke endarrow="block" joinstyle="miter"/>
                      </v:shape>
                      <v:rect id="Rectangle 13" o:spid="_x0000_s1036" style="position:absolute;left:48204;top:16363;width:13733;height:2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" filled="f" stroked="f" strokeweight=".5pt">
                        <v:textbox>
                          <w:txbxContent>
                            <w:p w14:paraId="52745556" w14:textId="77777777" w:rsidR="001B4504" w:rsidRPr="00084DC1" w:rsidRDefault="001B4504" w:rsidP="00E531FD">
                              <w:pPr>
                                <w:bidi w:val="0"/>
                                <w:spacing w:after="0" w:line="240" w:lineRule="auto"/>
                                <w:textDirection w:val="btLr"/>
                                <w:rPr>
                                  <w:bCs/>
                                </w:rPr>
                              </w:pPr>
                              <w:r w:rsidRPr="00084DC1">
                                <w:rPr>
                                  <w:rFonts w:ascii="Times New Roman" w:eastAsia="Times New Roman" w:hAnsi="Times New Roman" w:cs="Times New Roman"/>
                                  <w:bCs/>
                                  <w:color w:val="000000"/>
                                </w:rPr>
                                <w:t>Source: Researcher</w:t>
                              </w:r>
                            </w:p>
                            <w:p w14:paraId="53FA9CBB" w14:textId="77777777" w:rsidR="001B4504" w:rsidRPr="00693175" w:rsidRDefault="001B4504" w:rsidP="001B4504">
                              <w:pPr>
                                <w:bidi w:val="0"/>
                                <w:jc w:val="center"/>
                              </w:pPr>
                            </w:p>
                          </w:txbxContent>
                        </v:textbox>
                      </v:rect>
                    </v:group>
                  </v:group>
                  <v:rect id="Rectangle 4" o:spid="_x0000_s1037" style="position:absolute;left:32885;top:13784;width:27946;height:125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" fillcolor="white [3212]" strokecolor="black [3200]" strokeweight=".5pt">
                    <v:stroke startarrowwidth="narrow" startarrowlength="short" endarrowwidth="narrow" endarrowlength="short" joinstyle="round"/>
                    <v:textbox inset="2.53958mm,1.2694mm,2.53958mm,1.2694mm">
                      <w:txbxContent>
                        <w:p w14:paraId="33408CF5" w14:textId="77777777" w:rsidR="002131C2" w:rsidRPr="002131C2" w:rsidRDefault="002131C2" w:rsidP="002E6F27">
                          <w:pPr>
                            <w:pStyle w:val="ListParagraph"/>
                            <w:numPr>
                              <w:ilvl w:val="0"/>
                              <w:numId w:val="11"/>
                            </w:numPr>
                            <w:bidi w:val="0"/>
                            <w:spacing w:line="275" w:lineRule="auto"/>
                            <w:ind w:left="284" w:hanging="11"/>
                            <w:textDirection w:val="btLr"/>
                            <w:rPr>
                              <w:rFonts w:ascii="Times New Roman" w:eastAsia="Times New Roman" w:hAnsi="Times New Roman" w:cs="Times New Roman"/>
                              <w:color w:val="0D0D0D"/>
                            </w:rPr>
                          </w:pPr>
                          <w:bookmarkStart w:id="42" w:name="_Hlk214498707"/>
                          <w:bookmarkStart w:id="43" w:name="_Hlk214498708"/>
                          <w:r w:rsidRPr="002131C2">
                            <w:rPr>
                              <w:rFonts w:ascii="Times New Roman" w:eastAsia="Times New Roman" w:hAnsi="Times New Roman" w:cs="Times New Roman"/>
                              <w:color w:val="0D0D0D"/>
                            </w:rPr>
                            <w:t>Early Risk Identification &amp; Onboarding Quality</w:t>
                          </w:r>
                        </w:p>
                        <w:p w14:paraId="4E6C68DF" w14:textId="77777777" w:rsidR="002131C2" w:rsidRPr="002131C2" w:rsidRDefault="002131C2" w:rsidP="002E6F27">
                          <w:pPr>
                            <w:pStyle w:val="ListParagraph"/>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Credit Discipline &amp; Outcomes</w:t>
                          </w:r>
                        </w:p>
                        <w:p w14:paraId="300012FF" w14:textId="77777777" w:rsidR="002131C2" w:rsidRPr="002131C2" w:rsidRDefault="002131C2" w:rsidP="002E6F27">
                          <w:pPr>
                            <w:pStyle w:val="ListParagraph"/>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Liquidity &amp; Market-Risk Fit at Origination</w:t>
                          </w:r>
                        </w:p>
                        <w:p w14:paraId="7CAF0B58" w14:textId="01418E8A" w:rsidR="002131C2" w:rsidRPr="002131C2" w:rsidRDefault="002131C2" w:rsidP="002E6F27">
                          <w:pPr>
                            <w:pStyle w:val="ListParagraph"/>
                            <w:numPr>
                              <w:ilvl w:val="0"/>
                              <w:numId w:val="11"/>
                            </w:numPr>
                            <w:bidi w:val="0"/>
                            <w:spacing w:line="275" w:lineRule="auto"/>
                            <w:ind w:left="284" w:hanging="11"/>
                            <w:textDirection w:val="btLr"/>
                            <w:rPr>
                              <w:rFonts w:ascii="Times New Roman" w:eastAsia="Times New Roman" w:hAnsi="Times New Roman" w:cs="Times New Roman"/>
                              <w:color w:val="0D0D0D"/>
                            </w:rPr>
                          </w:pPr>
                          <w:r w:rsidRPr="002131C2">
                            <w:rPr>
                              <w:rFonts w:ascii="Times New Roman" w:eastAsia="Times New Roman" w:hAnsi="Times New Roman" w:cs="Times New Roman"/>
                              <w:color w:val="0D0D0D"/>
                            </w:rPr>
                            <w:t>Operational Resilience &amp; Third-Party Risk Control</w:t>
                          </w:r>
                          <w:r w:rsidRPr="002131C2">
                            <w:rPr>
                              <w:rFonts w:ascii="Times New Roman" w:eastAsia="Times New Roman" w:hAnsi="Times New Roman" w:cs="Times New Roman"/>
                              <w:color w:val="0D0D0D"/>
                            </w:rPr>
                            <w:br/>
                          </w:r>
                          <w:bookmarkEnd w:id="42"/>
                          <w:bookmarkEnd w:id="43"/>
                        </w:p>
                      </w:txbxContent>
                    </v:textbox>
                  </v:rect>
                </v:group>
                <v:rect id="Rectangle 8" o:spid="_x0000_s1038" style="position:absolute;left:477;top:136;width:24634;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" filled="f" stroked="f" strokeweight=".5pt">
                  <v:textbox>
                    <w:txbxContent>
                      <w:p w14:paraId="631C2AEE" w14:textId="77777777" w:rsidR="002131C2" w:rsidRPr="002131C2" w:rsidRDefault="002131C2" w:rsidP="002131C2">
                        <w:pPr>
                          <w:jc w:val="center"/>
                          <w:rPr>
                            <w:rFonts w:ascii="Times New Roman" w:eastAsia="Times New Roman" w:hAnsi="Times New Roman" w:cs="Times New Roman"/>
                            <w:color w:val="000000" w:themeColor="text1"/>
                          </w:rPr>
                        </w:pPr>
                        <w:bookmarkStart w:id="44" w:name="_Hlk214498668"/>
                        <w:r w:rsidRPr="002131C2">
                          <w:rPr>
                            <w:rFonts w:ascii="Times New Roman" w:eastAsia="Times New Roman" w:hAnsi="Times New Roman" w:cs="Times New Roman"/>
                            <w:color w:val="000000" w:themeColor="text1"/>
                          </w:rPr>
                          <w:t>Independent variable (IV)</w:t>
                        </w:r>
                      </w:p>
                      <w:bookmarkEnd w:id="44"/>
                      <w:p w14:paraId="7505FA18" w14:textId="77777777" w:rsidR="002131C2" w:rsidRPr="00693175" w:rsidRDefault="002131C2" w:rsidP="002131C2">
                        <w:pPr>
                          <w:jc w:val="center"/>
                          <w:rPr>
                            <w:lang w:bidi="ar-EG"/>
                          </w:rPr>
                        </w:pPr>
                      </w:p>
                    </w:txbxContent>
                  </v:textbox>
                </v:rect>
                <v:rect id="Rectangle 8" o:spid="_x0000_s1039" style="position:absolute;left:34324;width:24634;height:2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" filled="f" stroked="f" strokeweight=".5pt">
                  <v:textbox>
                    <w:txbxContent>
                      <w:p w14:paraId="01A24B9D" w14:textId="77777777" w:rsidR="00E531FD" w:rsidRPr="00E531FD" w:rsidRDefault="00E531FD" w:rsidP="00E531FD">
                        <w:pPr>
                          <w:bidi w:val="0"/>
                          <w:jc w:val="center"/>
                          <w:rPr>
                            <w:rFonts w:ascii="Times New Roman" w:eastAsia="Times New Roman" w:hAnsi="Times New Roman" w:cs="Times New Roman"/>
                            <w:color w:val="000000" w:themeColor="text1"/>
                          </w:rPr>
                        </w:pPr>
                        <w:bookmarkStart w:id="45" w:name="_Hlk214498688"/>
                        <w:r w:rsidRPr="00E531FD">
                          <w:rPr>
                            <w:rFonts w:ascii="Times New Roman" w:eastAsia="Times New Roman" w:hAnsi="Times New Roman" w:cs="Times New Roman"/>
                            <w:color w:val="000000" w:themeColor="text1"/>
                          </w:rPr>
                          <w:t>Dependent variable (DV)</w:t>
                        </w:r>
                      </w:p>
                      <w:bookmarkEnd w:id="45"/>
                      <w:p w14:paraId="1E6EEEA5" w14:textId="77777777" w:rsidR="00E531FD" w:rsidRPr="00693175" w:rsidRDefault="00E531FD" w:rsidP="00E531FD">
                        <w:pPr>
                          <w:jc w:val="center"/>
                          <w:rPr>
                            <w:lang w:bidi="ar-EG"/>
                          </w:rPr>
                        </w:pPr>
                      </w:p>
                    </w:txbxContent>
                  </v:textbox>
                </v:rect>
              </v:group>
            </w:pict>
          </mc:Fallback>
        </mc:AlternateContent>
      </w:r>
    </w:p>
    <w:p w14:paraId="62E0BC03" w14:textId="05D88224"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3E217F5E" w14:textId="2FD7A93B"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3870FAFA" w14:textId="21260C11"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349BF32B" w14:textId="25C1DE1A"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0CB6C38F" w14:textId="7C9E67AA"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6EF332DA" w14:textId="523CD439" w:rsidR="00D96E63" w:rsidRPr="00111F5A" w:rsidRDefault="00D96E63" w:rsidP="00111F5A">
      <w:pPr>
        <w:bidi w:val="0"/>
        <w:spacing w:after="120" w:line="276" w:lineRule="auto"/>
        <w:ind w:firstLine="284"/>
        <w:jc w:val="both"/>
        <w:rPr>
          <w:rFonts w:asciiTheme="majorBidi" w:hAnsiTheme="majorBidi" w:cstheme="majorBidi"/>
          <w:sz w:val="24"/>
          <w:szCs w:val="24"/>
        </w:rPr>
      </w:pPr>
    </w:p>
    <w:p w14:paraId="37145145" w14:textId="280B9E87" w:rsidR="00D96E63" w:rsidRPr="00D96E63" w:rsidRDefault="00D96E63" w:rsidP="008E7B9C">
      <w:pPr>
        <w:bidi w:val="0"/>
        <w:spacing w:line="240" w:lineRule="auto"/>
        <w:jc w:val="both"/>
        <w:rPr>
          <w:rFonts w:asciiTheme="majorBidi" w:hAnsiTheme="majorBidi" w:cstheme="majorBidi"/>
          <w:sz w:val="28"/>
          <w:szCs w:val="28"/>
          <w:rtl/>
        </w:rPr>
      </w:pPr>
    </w:p>
    <w:p w14:paraId="140C11F4" w14:textId="088080AB" w:rsidR="00A74F76" w:rsidRPr="00D96E63" w:rsidRDefault="00A74F76" w:rsidP="008E7B9C">
      <w:pPr>
        <w:bidi w:val="0"/>
        <w:spacing w:line="240" w:lineRule="auto"/>
        <w:jc w:val="both"/>
        <w:rPr>
          <w:rFonts w:asciiTheme="majorBidi" w:hAnsiTheme="majorBidi" w:cstheme="majorBidi"/>
          <w:sz w:val="28"/>
          <w:szCs w:val="28"/>
          <w:rtl/>
        </w:rPr>
      </w:pPr>
    </w:p>
    <w:p w14:paraId="1F2D2D11" w14:textId="0094E256" w:rsidR="00454CB6" w:rsidRDefault="00454CB6" w:rsidP="00454CB6">
      <w:pPr>
        <w:pStyle w:val="2"/>
      </w:pPr>
      <w:bookmarkStart w:id="36" w:name="_Toc214621113"/>
      <w:r>
        <w:t>Scope of the Study</w:t>
      </w:r>
      <w:bookmarkEnd w:id="36"/>
    </w:p>
    <w:p w14:paraId="2326ABE9" w14:textId="6ABBA088" w:rsidR="00454CB6" w:rsidRDefault="00454CB6" w:rsidP="00655B17">
      <w:pPr>
        <w:pStyle w:val="3"/>
      </w:pPr>
      <w:bookmarkStart w:id="37" w:name="_Toc214621114"/>
      <w:r>
        <w:t>Introduction About Al Rajhi Bank</w:t>
      </w:r>
      <w:bookmarkEnd w:id="37"/>
    </w:p>
    <w:p w14:paraId="1D9DCF1B"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Al Rajhi Bank is a leading Islamic bank headquartered in Riyadh, with a diversified retail–corporate franchise and advanced digital channels. Its scale and operational breadth make front-to-back execution observable at a practical level.</w:t>
      </w:r>
    </w:p>
    <w:p w14:paraId="4A1F00E5" w14:textId="3B0A7074" w:rsidR="00454CB6" w:rsidRDefault="00454CB6" w:rsidP="00655B17">
      <w:pPr>
        <w:pStyle w:val="3"/>
      </w:pPr>
      <w:bookmarkStart w:id="38" w:name="_Toc214621115"/>
      <w:r>
        <w:t>Vision</w:t>
      </w:r>
      <w:bookmarkEnd w:id="38"/>
    </w:p>
    <w:p w14:paraId="227232FA"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This study aligns with a sector vision that couples growth with stability by embedding risk considerations into everyday commercial decisions across business lines.</w:t>
      </w:r>
    </w:p>
    <w:p w14:paraId="121A55DF" w14:textId="1A88D86D" w:rsidR="00454CB6" w:rsidRDefault="00454CB6" w:rsidP="00655B17">
      <w:pPr>
        <w:pStyle w:val="3"/>
      </w:pPr>
      <w:bookmarkStart w:id="39" w:name="_Toc214621116"/>
      <w:r>
        <w:t>Mission</w:t>
      </w:r>
      <w:bookmarkEnd w:id="39"/>
    </w:p>
    <w:p w14:paraId="175D1691"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thesis examines how front-line collaboration between account managers and sales translates prudential aims into deal-level choices on pricing, tenor, collateral, and onboarding quality.</w:t>
      </w:r>
    </w:p>
    <w:p w14:paraId="6937883F" w14:textId="0EE38F9D" w:rsidR="00454CB6" w:rsidRDefault="00454CB6" w:rsidP="00655B17">
      <w:pPr>
        <w:pStyle w:val="3"/>
      </w:pPr>
      <w:bookmarkStart w:id="40" w:name="_Toc214621117"/>
      <w:r>
        <w:t>Business Lines and Service Context</w:t>
      </w:r>
      <w:bookmarkEnd w:id="40"/>
    </w:p>
    <w:p w14:paraId="1272D559"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bank offers broad Shariah-compliant product sets across retail and corporate banking alongside expanding digital delivery, creating numerous coordination touchpoints among commercial, risk, compliance, and Shariah functions.</w:t>
      </w:r>
    </w:p>
    <w:p w14:paraId="5A6F5F7E" w14:textId="4B092E7C" w:rsidR="00454CB6" w:rsidRDefault="00454CB6" w:rsidP="00655B17">
      <w:pPr>
        <w:pStyle w:val="3"/>
      </w:pPr>
      <w:bookmarkStart w:id="41" w:name="_Toc214621118"/>
      <w:r>
        <w:t>Importance of Studying Al Rajhi Bank</w:t>
      </w:r>
      <w:bookmarkEnd w:id="41"/>
    </w:p>
    <w:p w14:paraId="7DAF4C65" w14:textId="77777777" w:rsidR="00454CB6" w:rsidRPr="00454CB6" w:rsidRDefault="00454CB6" w:rsidP="002E6F27">
      <w:pPr>
        <w:pStyle w:val="a5"/>
        <w:numPr>
          <w:ilvl w:val="0"/>
          <w:numId w:val="13"/>
        </w:numPr>
        <w:bidi w:val="0"/>
        <w:spacing w:after="120" w:line="276" w:lineRule="auto"/>
        <w:jc w:val="both"/>
        <w:rPr>
          <w:rFonts w:asciiTheme="majorBidi" w:hAnsiTheme="majorBidi" w:cstheme="majorBidi"/>
          <w:sz w:val="24"/>
          <w:szCs w:val="24"/>
        </w:rPr>
      </w:pPr>
      <w:r w:rsidRPr="00454CB6">
        <w:rPr>
          <w:rFonts w:asciiTheme="majorBidi" w:hAnsiTheme="majorBidi" w:cstheme="majorBidi"/>
          <w:sz w:val="24"/>
          <w:szCs w:val="24"/>
        </w:rPr>
        <w:t>Systemic relevance and data richness: The bank’s size and reporting depth enable rigorous observation of how collaboration mechanisms affect risk outcomes.</w:t>
      </w:r>
    </w:p>
    <w:p w14:paraId="4912C6E9" w14:textId="77777777" w:rsidR="00454CB6" w:rsidRPr="00454CB6" w:rsidRDefault="00454CB6" w:rsidP="002E6F27">
      <w:pPr>
        <w:pStyle w:val="a5"/>
        <w:numPr>
          <w:ilvl w:val="0"/>
          <w:numId w:val="13"/>
        </w:numPr>
        <w:bidi w:val="0"/>
        <w:spacing w:after="120" w:line="276" w:lineRule="auto"/>
        <w:jc w:val="both"/>
        <w:rPr>
          <w:rFonts w:asciiTheme="majorBidi" w:hAnsiTheme="majorBidi" w:cstheme="majorBidi"/>
          <w:sz w:val="24"/>
          <w:szCs w:val="24"/>
        </w:rPr>
      </w:pPr>
      <w:r w:rsidRPr="00454CB6">
        <w:rPr>
          <w:rFonts w:asciiTheme="majorBidi" w:hAnsiTheme="majorBidi" w:cstheme="majorBidi"/>
          <w:sz w:val="24"/>
          <w:szCs w:val="24"/>
        </w:rPr>
        <w:t>Islamic-finance specificity: Contract form and asset evidence are integral to risk quality, which elevates the value of early cross-functional coordination.</w:t>
      </w:r>
    </w:p>
    <w:p w14:paraId="7065BB2C" w14:textId="77777777" w:rsidR="00454CB6" w:rsidRPr="00454CB6" w:rsidRDefault="00454CB6" w:rsidP="002E6F27">
      <w:pPr>
        <w:pStyle w:val="a5"/>
        <w:numPr>
          <w:ilvl w:val="0"/>
          <w:numId w:val="13"/>
        </w:numPr>
        <w:bidi w:val="0"/>
        <w:spacing w:after="120" w:line="276" w:lineRule="auto"/>
        <w:jc w:val="both"/>
        <w:rPr>
          <w:rFonts w:asciiTheme="majorBidi" w:hAnsiTheme="majorBidi" w:cstheme="majorBidi"/>
          <w:sz w:val="24"/>
          <w:szCs w:val="24"/>
        </w:rPr>
      </w:pPr>
      <w:r w:rsidRPr="00454CB6">
        <w:rPr>
          <w:rFonts w:asciiTheme="majorBidi" w:hAnsiTheme="majorBidi" w:cstheme="majorBidi"/>
          <w:sz w:val="24"/>
          <w:szCs w:val="24"/>
        </w:rPr>
        <w:t>Execution under prudential constraints: Liquidity and funding considerations must be internalized in day-to-day origination decisions.</w:t>
      </w:r>
    </w:p>
    <w:p w14:paraId="09CA81B8" w14:textId="77777777" w:rsidR="00454CB6" w:rsidRPr="00454CB6" w:rsidRDefault="00454CB6" w:rsidP="002E6F27">
      <w:pPr>
        <w:pStyle w:val="a5"/>
        <w:numPr>
          <w:ilvl w:val="0"/>
          <w:numId w:val="13"/>
        </w:numPr>
        <w:bidi w:val="0"/>
        <w:spacing w:after="120" w:line="276" w:lineRule="auto"/>
        <w:jc w:val="both"/>
        <w:rPr>
          <w:rFonts w:asciiTheme="majorBidi" w:hAnsiTheme="majorBidi" w:cstheme="majorBidi"/>
          <w:sz w:val="24"/>
          <w:szCs w:val="24"/>
        </w:rPr>
      </w:pPr>
      <w:r w:rsidRPr="00454CB6">
        <w:rPr>
          <w:rFonts w:asciiTheme="majorBidi" w:hAnsiTheme="majorBidi" w:cstheme="majorBidi"/>
          <w:sz w:val="24"/>
          <w:szCs w:val="24"/>
        </w:rPr>
        <w:t>Digital interdependencies: Fintech and cloud enablement increase the premium on communication cadence, data co-visibility, and clear escalation paths.</w:t>
      </w:r>
    </w:p>
    <w:p w14:paraId="38DF37B3" w14:textId="3A492A95" w:rsidR="00454CB6" w:rsidRDefault="00454CB6" w:rsidP="00655B17">
      <w:pPr>
        <w:pStyle w:val="3"/>
      </w:pPr>
      <w:bookmarkStart w:id="42" w:name="_Toc214621119"/>
      <w:r>
        <w:t>Spatial Scope</w:t>
      </w:r>
      <w:bookmarkEnd w:id="42"/>
    </w:p>
    <w:p w14:paraId="6668AF48"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empirical focus is on Al Rajhi Bank units in Riyadh, emphasizing account-management and sales teams in their interactions with risk, compliance, and Shariah for origination and monitoring.</w:t>
      </w:r>
    </w:p>
    <w:p w14:paraId="59195484" w14:textId="23F3604F" w:rsidR="00454CB6" w:rsidRDefault="00454CB6" w:rsidP="00655B17">
      <w:pPr>
        <w:pStyle w:val="3"/>
      </w:pPr>
      <w:bookmarkStart w:id="43" w:name="_Toc214621120"/>
      <w:r>
        <w:t>Temporal Scope</w:t>
      </w:r>
      <w:bookmarkEnd w:id="43"/>
    </w:p>
    <w:p w14:paraId="3BCC335B"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study covers the period 2024–2025 to capture current monetary conditions and ongoing digital enablement that shape risk and execution incentives.</w:t>
      </w:r>
    </w:p>
    <w:p w14:paraId="23DAF703" w14:textId="4AC289CB" w:rsidR="00454CB6" w:rsidRDefault="00454CB6" w:rsidP="00655B17">
      <w:pPr>
        <w:pStyle w:val="3"/>
      </w:pPr>
      <w:bookmarkStart w:id="44" w:name="_Toc214621121"/>
      <w:r>
        <w:t>Thematic Scope</w:t>
      </w:r>
      <w:bookmarkEnd w:id="44"/>
    </w:p>
    <w:p w14:paraId="2242F679" w14:textId="0330FCD4"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independent construct is the functional relationship between account managers and sales teams</w:t>
      </w:r>
      <w:r w:rsidR="00B03C22">
        <w:rPr>
          <w:rFonts w:asciiTheme="majorBidi" w:hAnsiTheme="majorBidi" w:cstheme="majorBidi"/>
          <w:sz w:val="24"/>
          <w:szCs w:val="24"/>
        </w:rPr>
        <w:t>-</w:t>
      </w:r>
      <w:r w:rsidRPr="00454CB6">
        <w:rPr>
          <w:rFonts w:asciiTheme="majorBidi" w:hAnsiTheme="majorBidi" w:cstheme="majorBidi"/>
          <w:sz w:val="24"/>
          <w:szCs w:val="24"/>
        </w:rPr>
        <w:t>operationalized via Communication Quality &amp; Cadence; Information Sharing &amp; Data Integration; Goal/KPI &amp; Incentive Alignment; Decision Rights &amp; Escalation Clarity (RACI).</w:t>
      </w:r>
      <w:r w:rsidRPr="00454CB6">
        <w:rPr>
          <w:rFonts w:asciiTheme="majorBidi" w:hAnsiTheme="majorBidi" w:cstheme="majorBidi"/>
          <w:sz w:val="24"/>
          <w:szCs w:val="24"/>
        </w:rPr>
        <w:br/>
        <w:t>The dependent construct is risk-management effectiveness</w:t>
      </w:r>
      <w:r w:rsidR="00B03C22">
        <w:rPr>
          <w:rFonts w:asciiTheme="majorBidi" w:hAnsiTheme="majorBidi" w:cstheme="majorBidi"/>
          <w:sz w:val="24"/>
          <w:szCs w:val="24"/>
        </w:rPr>
        <w:t>-</w:t>
      </w:r>
      <w:r w:rsidRPr="00454CB6">
        <w:rPr>
          <w:rFonts w:asciiTheme="majorBidi" w:hAnsiTheme="majorBidi" w:cstheme="majorBidi"/>
          <w:sz w:val="24"/>
          <w:szCs w:val="24"/>
        </w:rPr>
        <w:t>captured by Early Risk Identification &amp; Onboarding Quality; Credit Discipline &amp; Outcomes; Liquidity &amp; Market-Risk Fit at Origination; Operational Resilience &amp; Third-Party Risk Control.</w:t>
      </w:r>
    </w:p>
    <w:p w14:paraId="7DF64543" w14:textId="242D1B72" w:rsidR="00454CB6" w:rsidRDefault="00454CB6" w:rsidP="00655B17">
      <w:pPr>
        <w:pStyle w:val="3"/>
      </w:pPr>
      <w:bookmarkStart w:id="45" w:name="_Toc214621122"/>
      <w:r>
        <w:t>Organizational Scope (Inclusions/Exclusions)</w:t>
      </w:r>
      <w:bookmarkEnd w:id="45"/>
    </w:p>
    <w:p w14:paraId="6BCC1C37"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Included respondents are account managers and sales staff directly involved in origination and client monitoring. Interfaces with risk, compliance, and Shariah are analyzed as collaboration counterparts rather than primary survey populations. Treasury and market-risk specialists may inform interpretation of liquidity fit.</w:t>
      </w:r>
    </w:p>
    <w:p w14:paraId="10635402" w14:textId="7182B110" w:rsidR="00454CB6" w:rsidRDefault="00454CB6" w:rsidP="00655B17">
      <w:pPr>
        <w:pStyle w:val="3"/>
      </w:pPr>
      <w:bookmarkStart w:id="46" w:name="_Toc214621123"/>
      <w:r>
        <w:t>Methodological Boundaries</w:t>
      </w:r>
      <w:bookmarkEnd w:id="46"/>
    </w:p>
    <w:p w14:paraId="4D9A851A"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The design is cross-sectional with correlational testing (e.g., regression/SEM) to estimate associations rather than causality. Results are interpreted within the organization’s governance and product-structure context.</w:t>
      </w:r>
    </w:p>
    <w:p w14:paraId="3BF10F03" w14:textId="3DCFAC0C" w:rsidR="00454CB6" w:rsidRDefault="00454CB6" w:rsidP="00655B17">
      <w:pPr>
        <w:pStyle w:val="3"/>
      </w:pPr>
      <w:bookmarkStart w:id="47" w:name="_Toc214621124"/>
      <w:r>
        <w:t>Conclusion</w:t>
      </w:r>
      <w:bookmarkEnd w:id="47"/>
    </w:p>
    <w:p w14:paraId="29D9B464" w14:textId="77777777" w:rsidR="00454CB6" w:rsidRPr="00454CB6" w:rsidRDefault="00454CB6" w:rsidP="00454CB6">
      <w:pPr>
        <w:bidi w:val="0"/>
        <w:spacing w:after="120" w:line="276" w:lineRule="auto"/>
        <w:ind w:firstLine="284"/>
        <w:jc w:val="both"/>
        <w:rPr>
          <w:rFonts w:asciiTheme="majorBidi" w:hAnsiTheme="majorBidi" w:cstheme="majorBidi"/>
          <w:sz w:val="24"/>
          <w:szCs w:val="24"/>
        </w:rPr>
      </w:pPr>
      <w:r w:rsidRPr="00454CB6">
        <w:rPr>
          <w:rFonts w:asciiTheme="majorBidi" w:hAnsiTheme="majorBidi" w:cstheme="majorBidi"/>
          <w:sz w:val="24"/>
          <w:szCs w:val="24"/>
        </w:rPr>
        <w:t>Positioning Al Rajhi Bank as the case site enables a focused examination of front-line collaboration under prudential and Shariah constraints, linking organizational mechanisms to measurable risk outcomes in a systemically relevant Islamic-bank setting.</w:t>
      </w:r>
    </w:p>
    <w:p w14:paraId="26E8CB1D" w14:textId="77777777" w:rsidR="009D0223" w:rsidRPr="009D0223" w:rsidRDefault="009D0223" w:rsidP="009D0223">
      <w:pPr>
        <w:pStyle w:val="2"/>
      </w:pPr>
      <w:bookmarkStart w:id="48" w:name="_Toc164261023"/>
      <w:bookmarkStart w:id="49" w:name="_Toc174813403"/>
      <w:bookmarkStart w:id="50" w:name="_Toc214621125"/>
      <w:r w:rsidRPr="009D0223">
        <w:t>The The Project structure:</w:t>
      </w:r>
      <w:bookmarkEnd w:id="48"/>
      <w:bookmarkEnd w:id="49"/>
      <w:bookmarkEnd w:id="50"/>
    </w:p>
    <w:p w14:paraId="4BC4E4A3" w14:textId="77777777" w:rsidR="009D0223" w:rsidRPr="007F1664" w:rsidRDefault="009D0223" w:rsidP="009D0223">
      <w:pPr>
        <w:pStyle w:val="a6"/>
        <w:spacing w:before="0" w:beforeAutospacing="0" w:after="0" w:afterAutospacing="0" w:line="360" w:lineRule="auto"/>
        <w:rPr>
          <w:rFonts w:asciiTheme="majorBidi" w:hAnsiTheme="majorBidi" w:cstheme="majorBidi"/>
        </w:rPr>
      </w:pPr>
      <w:r w:rsidRPr="007F1664">
        <w:rPr>
          <w:rFonts w:asciiTheme="majorBidi" w:hAnsiTheme="majorBidi" w:cstheme="majorBidi"/>
          <w:noProof/>
        </w:rPr>
        <w:drawing>
          <wp:inline distT="0" distB="0" distL="0" distR="0" wp14:anchorId="2E6BF97F" wp14:editId="69E72180">
            <wp:extent cx="5486400" cy="3200400"/>
            <wp:effectExtent l="0" t="0" r="19050" b="0"/>
            <wp:docPr id="21016118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841788" w14:textId="77777777" w:rsidR="009D0223" w:rsidRPr="007F1664" w:rsidRDefault="009D0223" w:rsidP="009D0223">
      <w:pPr>
        <w:pStyle w:val="a6"/>
        <w:spacing w:before="0" w:beforeAutospacing="0" w:after="0" w:afterAutospacing="0" w:line="360" w:lineRule="auto"/>
        <w:rPr>
          <w:rFonts w:asciiTheme="majorBidi" w:hAnsiTheme="majorBidi" w:cstheme="majorBidi"/>
        </w:rPr>
      </w:pPr>
    </w:p>
    <w:p w14:paraId="75879FD5" w14:textId="77777777" w:rsidR="009D0223" w:rsidRPr="007F1664" w:rsidRDefault="009D0223" w:rsidP="009D0223">
      <w:pPr>
        <w:pStyle w:val="a6"/>
        <w:spacing w:before="0" w:beforeAutospacing="0" w:after="0" w:afterAutospacing="0" w:line="360" w:lineRule="auto"/>
        <w:rPr>
          <w:rFonts w:asciiTheme="majorBidi" w:hAnsiTheme="majorBidi" w:cstheme="majorBidi"/>
        </w:rPr>
      </w:pPr>
    </w:p>
    <w:p w14:paraId="6F0BB001" w14:textId="77777777" w:rsidR="009D0223" w:rsidRPr="007F1664" w:rsidRDefault="009D0223" w:rsidP="009D0223">
      <w:pPr>
        <w:pStyle w:val="a6"/>
        <w:shd w:val="clear" w:color="auto" w:fill="FFFFFF"/>
        <w:spacing w:before="240" w:beforeAutospacing="0" w:after="240" w:afterAutospacing="0" w:line="360" w:lineRule="auto"/>
        <w:jc w:val="both"/>
        <w:rPr>
          <w:rFonts w:asciiTheme="majorBidi" w:hAnsiTheme="majorBidi" w:cstheme="majorBidi"/>
        </w:rPr>
      </w:pPr>
    </w:p>
    <w:p w14:paraId="10F72C52" w14:textId="7B293C0C" w:rsidR="000C29EE" w:rsidRPr="00D96E63" w:rsidRDefault="000C29EE" w:rsidP="008E7B9C">
      <w:pPr>
        <w:bidi w:val="0"/>
        <w:spacing w:line="240" w:lineRule="auto"/>
        <w:jc w:val="both"/>
        <w:rPr>
          <w:rFonts w:asciiTheme="majorBidi" w:hAnsiTheme="majorBidi" w:cstheme="majorBidi"/>
          <w:sz w:val="28"/>
          <w:szCs w:val="28"/>
        </w:rPr>
      </w:pPr>
    </w:p>
    <w:p w14:paraId="4C4BE019" w14:textId="1EE96D6B" w:rsidR="000C29EE" w:rsidRPr="00D96E63" w:rsidRDefault="000C29EE" w:rsidP="00E531FD">
      <w:pPr>
        <w:tabs>
          <w:tab w:val="right" w:pos="2977"/>
        </w:tabs>
        <w:bidi w:val="0"/>
        <w:spacing w:line="240" w:lineRule="auto"/>
        <w:jc w:val="both"/>
        <w:rPr>
          <w:rFonts w:asciiTheme="majorBidi" w:hAnsiTheme="majorBidi" w:cstheme="majorBidi"/>
          <w:sz w:val="28"/>
          <w:szCs w:val="28"/>
        </w:rPr>
      </w:pPr>
    </w:p>
    <w:p w14:paraId="7C175498" w14:textId="60AF4C4F" w:rsidR="000C29EE" w:rsidRPr="00D96E63" w:rsidRDefault="000C29EE" w:rsidP="008E7B9C">
      <w:pPr>
        <w:bidi w:val="0"/>
        <w:spacing w:line="240" w:lineRule="auto"/>
        <w:jc w:val="both"/>
        <w:rPr>
          <w:rFonts w:asciiTheme="majorBidi" w:hAnsiTheme="majorBidi" w:cstheme="majorBidi"/>
          <w:sz w:val="28"/>
          <w:szCs w:val="28"/>
        </w:rPr>
      </w:pPr>
    </w:p>
    <w:p w14:paraId="400F61AB" w14:textId="3A13E37A" w:rsidR="000C29EE" w:rsidRPr="00D96E63" w:rsidRDefault="000C29EE" w:rsidP="008E7B9C">
      <w:pPr>
        <w:bidi w:val="0"/>
        <w:spacing w:line="240" w:lineRule="auto"/>
        <w:jc w:val="both"/>
        <w:rPr>
          <w:rFonts w:asciiTheme="majorBidi" w:hAnsiTheme="majorBidi" w:cstheme="majorBidi"/>
          <w:sz w:val="28"/>
          <w:szCs w:val="28"/>
        </w:rPr>
      </w:pPr>
    </w:p>
    <w:p w14:paraId="280A8F6C" w14:textId="6214870A" w:rsidR="000C29EE" w:rsidRPr="00D96E63" w:rsidRDefault="000C29EE" w:rsidP="008E7B9C">
      <w:pPr>
        <w:bidi w:val="0"/>
        <w:spacing w:line="240" w:lineRule="auto"/>
        <w:jc w:val="both"/>
        <w:rPr>
          <w:rFonts w:asciiTheme="majorBidi" w:hAnsiTheme="majorBidi" w:cstheme="majorBidi"/>
          <w:sz w:val="28"/>
          <w:szCs w:val="28"/>
        </w:rPr>
      </w:pPr>
    </w:p>
    <w:p w14:paraId="488D7A33" w14:textId="6F9C94D7" w:rsidR="000C29EE" w:rsidRPr="00D96E63" w:rsidRDefault="000C29EE" w:rsidP="008E7B9C">
      <w:pPr>
        <w:bidi w:val="0"/>
        <w:spacing w:line="240" w:lineRule="auto"/>
        <w:jc w:val="both"/>
        <w:rPr>
          <w:rFonts w:asciiTheme="majorBidi" w:hAnsiTheme="majorBidi" w:cstheme="majorBidi"/>
          <w:sz w:val="28"/>
          <w:szCs w:val="28"/>
        </w:rPr>
      </w:pPr>
    </w:p>
    <w:p w14:paraId="6506DD6F" w14:textId="2198A911" w:rsidR="000C29EE" w:rsidRDefault="000C29EE" w:rsidP="008E7B9C">
      <w:pPr>
        <w:bidi w:val="0"/>
        <w:spacing w:line="240" w:lineRule="auto"/>
        <w:jc w:val="both"/>
        <w:rPr>
          <w:rFonts w:asciiTheme="majorBidi" w:hAnsiTheme="majorBidi" w:cstheme="majorBidi"/>
          <w:sz w:val="28"/>
          <w:szCs w:val="28"/>
        </w:rPr>
      </w:pPr>
    </w:p>
    <w:p w14:paraId="789AAE77" w14:textId="6123FB65" w:rsidR="00B03044" w:rsidRDefault="00B03044" w:rsidP="00B03044">
      <w:pPr>
        <w:bidi w:val="0"/>
        <w:spacing w:line="240" w:lineRule="auto"/>
        <w:jc w:val="both"/>
        <w:rPr>
          <w:rFonts w:asciiTheme="majorBidi" w:hAnsiTheme="majorBidi" w:cstheme="majorBidi"/>
          <w:sz w:val="28"/>
          <w:szCs w:val="28"/>
        </w:rPr>
      </w:pPr>
    </w:p>
    <w:p w14:paraId="3C704EBF" w14:textId="3B89D54C" w:rsidR="00B03044" w:rsidRDefault="00B03044" w:rsidP="00B03044">
      <w:pPr>
        <w:bidi w:val="0"/>
        <w:spacing w:line="240" w:lineRule="auto"/>
        <w:jc w:val="both"/>
        <w:rPr>
          <w:rFonts w:asciiTheme="majorBidi" w:hAnsiTheme="majorBidi" w:cstheme="majorBidi"/>
          <w:sz w:val="28"/>
          <w:szCs w:val="28"/>
        </w:rPr>
      </w:pPr>
    </w:p>
    <w:p w14:paraId="31C88B45" w14:textId="7593948E" w:rsidR="00B03044" w:rsidRDefault="00B03044" w:rsidP="00B03044">
      <w:pPr>
        <w:bidi w:val="0"/>
        <w:spacing w:line="240" w:lineRule="auto"/>
        <w:jc w:val="both"/>
        <w:rPr>
          <w:rFonts w:asciiTheme="majorBidi" w:hAnsiTheme="majorBidi" w:cstheme="majorBidi"/>
          <w:sz w:val="28"/>
          <w:szCs w:val="28"/>
        </w:rPr>
      </w:pPr>
    </w:p>
    <w:p w14:paraId="39B6F828" w14:textId="3B5AF803" w:rsidR="00B03044" w:rsidRDefault="00B03044" w:rsidP="00B03044">
      <w:pPr>
        <w:bidi w:val="0"/>
        <w:spacing w:line="240" w:lineRule="auto"/>
        <w:jc w:val="both"/>
        <w:rPr>
          <w:rFonts w:asciiTheme="majorBidi" w:hAnsiTheme="majorBidi" w:cstheme="majorBidi"/>
          <w:sz w:val="28"/>
          <w:szCs w:val="28"/>
        </w:rPr>
      </w:pPr>
    </w:p>
    <w:p w14:paraId="2BE970FE" w14:textId="4806383F" w:rsidR="00B03044" w:rsidRDefault="00B03044" w:rsidP="00B03044">
      <w:pPr>
        <w:bidi w:val="0"/>
        <w:spacing w:line="240" w:lineRule="auto"/>
        <w:jc w:val="both"/>
        <w:rPr>
          <w:rFonts w:asciiTheme="majorBidi" w:hAnsiTheme="majorBidi" w:cstheme="majorBidi"/>
          <w:sz w:val="28"/>
          <w:szCs w:val="28"/>
        </w:rPr>
      </w:pPr>
    </w:p>
    <w:p w14:paraId="31A8AF9D" w14:textId="77777777" w:rsidR="00C3486F" w:rsidRDefault="00C3486F" w:rsidP="00C3486F">
      <w:pPr>
        <w:bidi w:val="0"/>
        <w:spacing w:line="240" w:lineRule="auto"/>
        <w:jc w:val="both"/>
        <w:rPr>
          <w:rFonts w:asciiTheme="majorBidi" w:hAnsiTheme="majorBidi" w:cstheme="majorBidi"/>
          <w:sz w:val="28"/>
          <w:szCs w:val="28"/>
        </w:rPr>
      </w:pPr>
    </w:p>
    <w:p w14:paraId="6D731A23" w14:textId="73BE94E4" w:rsidR="00B03044" w:rsidRDefault="00B03044" w:rsidP="00B03044">
      <w:pPr>
        <w:bidi w:val="0"/>
        <w:spacing w:line="240" w:lineRule="auto"/>
        <w:jc w:val="both"/>
        <w:rPr>
          <w:rFonts w:asciiTheme="majorBidi" w:hAnsiTheme="majorBidi" w:cstheme="majorBidi"/>
          <w:sz w:val="28"/>
          <w:szCs w:val="28"/>
        </w:rPr>
      </w:pPr>
    </w:p>
    <w:p w14:paraId="4F02637C" w14:textId="12E1B879" w:rsidR="00B03044" w:rsidRDefault="00B03044" w:rsidP="00B03044">
      <w:pPr>
        <w:bidi w:val="0"/>
        <w:spacing w:line="240" w:lineRule="auto"/>
        <w:jc w:val="both"/>
        <w:rPr>
          <w:rFonts w:asciiTheme="majorBidi" w:hAnsiTheme="majorBidi" w:cstheme="majorBidi"/>
          <w:sz w:val="28"/>
          <w:szCs w:val="28"/>
        </w:rPr>
      </w:pPr>
    </w:p>
    <w:p w14:paraId="786EA6E9" w14:textId="77777777" w:rsidR="00C3486F" w:rsidRDefault="00C3486F" w:rsidP="00C3486F">
      <w:pPr>
        <w:bidi w:val="0"/>
        <w:spacing w:line="240" w:lineRule="auto"/>
        <w:jc w:val="both"/>
        <w:rPr>
          <w:rFonts w:asciiTheme="majorBidi" w:hAnsiTheme="majorBidi" w:cstheme="majorBidi"/>
          <w:sz w:val="28"/>
          <w:szCs w:val="28"/>
        </w:rPr>
      </w:pPr>
    </w:p>
    <w:p w14:paraId="47BF5454" w14:textId="1212F243" w:rsidR="00B03044" w:rsidRDefault="00B03044" w:rsidP="00B03044">
      <w:pPr>
        <w:bidi w:val="0"/>
        <w:spacing w:line="240" w:lineRule="auto"/>
        <w:jc w:val="both"/>
        <w:rPr>
          <w:rFonts w:asciiTheme="majorBidi" w:hAnsiTheme="majorBidi" w:cstheme="majorBidi"/>
          <w:sz w:val="28"/>
          <w:szCs w:val="28"/>
        </w:rPr>
      </w:pPr>
    </w:p>
    <w:p w14:paraId="7BE49C59" w14:textId="0C4F0263" w:rsidR="00B03044" w:rsidRDefault="00B03044" w:rsidP="00B03044">
      <w:pPr>
        <w:bidi w:val="0"/>
        <w:spacing w:line="240" w:lineRule="auto"/>
        <w:jc w:val="both"/>
        <w:rPr>
          <w:rFonts w:asciiTheme="majorBidi" w:hAnsiTheme="majorBidi" w:cstheme="majorBidi"/>
          <w:sz w:val="28"/>
          <w:szCs w:val="28"/>
        </w:rPr>
      </w:pPr>
    </w:p>
    <w:p w14:paraId="4E1B53C6" w14:textId="0969BB89" w:rsidR="00B03044" w:rsidRDefault="00B03044" w:rsidP="00B03044">
      <w:pPr>
        <w:bidi w:val="0"/>
        <w:spacing w:line="240" w:lineRule="auto"/>
        <w:jc w:val="both"/>
        <w:rPr>
          <w:rFonts w:asciiTheme="majorBidi" w:hAnsiTheme="majorBidi" w:cstheme="majorBidi"/>
          <w:sz w:val="28"/>
          <w:szCs w:val="28"/>
        </w:rPr>
      </w:pPr>
    </w:p>
    <w:p w14:paraId="384C19C3" w14:textId="5A852102" w:rsidR="00B03044" w:rsidRDefault="00B03044" w:rsidP="00B03044">
      <w:pPr>
        <w:bidi w:val="0"/>
        <w:spacing w:line="240" w:lineRule="auto"/>
        <w:jc w:val="both"/>
        <w:rPr>
          <w:rFonts w:asciiTheme="majorBidi" w:hAnsiTheme="majorBidi" w:cstheme="majorBidi"/>
          <w:sz w:val="28"/>
          <w:szCs w:val="28"/>
        </w:rPr>
      </w:pPr>
    </w:p>
    <w:p w14:paraId="341028A4" w14:textId="77777777" w:rsidR="00B03044" w:rsidRPr="00B03044" w:rsidRDefault="00B03044" w:rsidP="004A51C2">
      <w:pPr>
        <w:pStyle w:val="1"/>
      </w:pPr>
      <w:bookmarkStart w:id="51" w:name="_Toc174813404"/>
      <w:bookmarkStart w:id="52" w:name="_Toc214621126"/>
      <w:r w:rsidRPr="00B03044">
        <w:t>Chapter 2: literature review</w:t>
      </w:r>
      <w:bookmarkEnd w:id="51"/>
      <w:bookmarkEnd w:id="52"/>
    </w:p>
    <w:p w14:paraId="58A90FF4" w14:textId="68D5D5E9" w:rsidR="00B03044" w:rsidRDefault="00B03044" w:rsidP="00B03044">
      <w:pPr>
        <w:bidi w:val="0"/>
        <w:spacing w:line="240" w:lineRule="auto"/>
        <w:jc w:val="both"/>
        <w:rPr>
          <w:rFonts w:asciiTheme="majorBidi" w:hAnsiTheme="majorBidi" w:cstheme="majorBidi"/>
          <w:sz w:val="28"/>
          <w:szCs w:val="28"/>
        </w:rPr>
      </w:pPr>
    </w:p>
    <w:p w14:paraId="6E7C366A" w14:textId="2E407A7E" w:rsidR="00B03044" w:rsidRDefault="00B03044" w:rsidP="00B03044">
      <w:pPr>
        <w:bidi w:val="0"/>
        <w:spacing w:line="240" w:lineRule="auto"/>
        <w:jc w:val="both"/>
        <w:rPr>
          <w:rFonts w:asciiTheme="majorBidi" w:hAnsiTheme="majorBidi" w:cstheme="majorBidi"/>
          <w:sz w:val="28"/>
          <w:szCs w:val="28"/>
        </w:rPr>
      </w:pPr>
    </w:p>
    <w:p w14:paraId="7AA80285" w14:textId="1A75A4DA" w:rsidR="00B03044" w:rsidRDefault="00B03044" w:rsidP="00B03044">
      <w:pPr>
        <w:bidi w:val="0"/>
        <w:spacing w:line="240" w:lineRule="auto"/>
        <w:jc w:val="both"/>
        <w:rPr>
          <w:rFonts w:asciiTheme="majorBidi" w:hAnsiTheme="majorBidi" w:cstheme="majorBidi"/>
          <w:sz w:val="28"/>
          <w:szCs w:val="28"/>
        </w:rPr>
      </w:pPr>
    </w:p>
    <w:p w14:paraId="2E41EE7A" w14:textId="32668966" w:rsidR="00B03044" w:rsidRDefault="00B03044" w:rsidP="00B03044">
      <w:pPr>
        <w:bidi w:val="0"/>
        <w:spacing w:line="240" w:lineRule="auto"/>
        <w:jc w:val="both"/>
        <w:rPr>
          <w:rFonts w:asciiTheme="majorBidi" w:hAnsiTheme="majorBidi" w:cstheme="majorBidi"/>
          <w:sz w:val="28"/>
          <w:szCs w:val="28"/>
        </w:rPr>
      </w:pPr>
    </w:p>
    <w:p w14:paraId="22B1E80C" w14:textId="76698B5E" w:rsidR="00B03044" w:rsidRDefault="00B03044" w:rsidP="00B03044">
      <w:pPr>
        <w:bidi w:val="0"/>
        <w:spacing w:line="240" w:lineRule="auto"/>
        <w:jc w:val="both"/>
        <w:rPr>
          <w:rFonts w:asciiTheme="majorBidi" w:hAnsiTheme="majorBidi" w:cstheme="majorBidi"/>
          <w:sz w:val="28"/>
          <w:szCs w:val="28"/>
        </w:rPr>
      </w:pPr>
    </w:p>
    <w:p w14:paraId="4A1489F6" w14:textId="10FD831A" w:rsidR="00B03044" w:rsidRDefault="00B03044" w:rsidP="00B03044">
      <w:pPr>
        <w:bidi w:val="0"/>
        <w:spacing w:line="240" w:lineRule="auto"/>
        <w:jc w:val="both"/>
        <w:rPr>
          <w:rFonts w:asciiTheme="majorBidi" w:hAnsiTheme="majorBidi" w:cstheme="majorBidi"/>
          <w:sz w:val="28"/>
          <w:szCs w:val="28"/>
        </w:rPr>
      </w:pPr>
    </w:p>
    <w:p w14:paraId="689B4307" w14:textId="2767416E" w:rsidR="00B03044" w:rsidRDefault="00B03044" w:rsidP="00B03044">
      <w:pPr>
        <w:bidi w:val="0"/>
        <w:spacing w:line="240" w:lineRule="auto"/>
        <w:jc w:val="both"/>
        <w:rPr>
          <w:rFonts w:asciiTheme="majorBidi" w:hAnsiTheme="majorBidi" w:cstheme="majorBidi"/>
          <w:sz w:val="28"/>
          <w:szCs w:val="28"/>
        </w:rPr>
      </w:pPr>
    </w:p>
    <w:p w14:paraId="3F45E34A" w14:textId="772D6EE9" w:rsidR="00B03044" w:rsidRDefault="00B03044" w:rsidP="00B03044">
      <w:pPr>
        <w:bidi w:val="0"/>
        <w:spacing w:line="240" w:lineRule="auto"/>
        <w:jc w:val="both"/>
        <w:rPr>
          <w:rFonts w:asciiTheme="majorBidi" w:hAnsiTheme="majorBidi" w:cstheme="majorBidi"/>
          <w:sz w:val="28"/>
          <w:szCs w:val="28"/>
        </w:rPr>
      </w:pPr>
    </w:p>
    <w:p w14:paraId="2504E977" w14:textId="487D47C8" w:rsidR="00B03044" w:rsidRDefault="00B03044" w:rsidP="00B03044">
      <w:pPr>
        <w:bidi w:val="0"/>
        <w:spacing w:line="240" w:lineRule="auto"/>
        <w:jc w:val="both"/>
        <w:rPr>
          <w:rFonts w:asciiTheme="majorBidi" w:hAnsiTheme="majorBidi" w:cstheme="majorBidi"/>
          <w:sz w:val="28"/>
          <w:szCs w:val="28"/>
        </w:rPr>
      </w:pPr>
    </w:p>
    <w:p w14:paraId="09379D6D" w14:textId="359F02F0" w:rsidR="00B03044" w:rsidRDefault="00B03044" w:rsidP="00B03044">
      <w:pPr>
        <w:bidi w:val="0"/>
        <w:spacing w:line="240" w:lineRule="auto"/>
        <w:jc w:val="both"/>
        <w:rPr>
          <w:rFonts w:asciiTheme="majorBidi" w:hAnsiTheme="majorBidi" w:cstheme="majorBidi"/>
          <w:sz w:val="28"/>
          <w:szCs w:val="28"/>
        </w:rPr>
      </w:pPr>
    </w:p>
    <w:p w14:paraId="30408EB3" w14:textId="37AF36E1" w:rsidR="00B03044" w:rsidRDefault="00B03044" w:rsidP="00B03044">
      <w:pPr>
        <w:bidi w:val="0"/>
        <w:spacing w:line="240" w:lineRule="auto"/>
        <w:jc w:val="both"/>
        <w:rPr>
          <w:rFonts w:asciiTheme="majorBidi" w:hAnsiTheme="majorBidi" w:cstheme="majorBidi"/>
          <w:sz w:val="28"/>
          <w:szCs w:val="28"/>
        </w:rPr>
      </w:pPr>
    </w:p>
    <w:p w14:paraId="57D92503" w14:textId="406DC4AC" w:rsidR="00B03044" w:rsidRDefault="00B03044" w:rsidP="00B03044">
      <w:pPr>
        <w:bidi w:val="0"/>
        <w:spacing w:line="240" w:lineRule="auto"/>
        <w:jc w:val="both"/>
        <w:rPr>
          <w:rFonts w:asciiTheme="majorBidi" w:hAnsiTheme="majorBidi" w:cstheme="majorBidi"/>
          <w:sz w:val="28"/>
          <w:szCs w:val="28"/>
        </w:rPr>
      </w:pPr>
    </w:p>
    <w:p w14:paraId="4E1ED97E" w14:textId="108A9CE7" w:rsidR="00B03044" w:rsidRDefault="00B03044" w:rsidP="00B03044">
      <w:pPr>
        <w:bidi w:val="0"/>
        <w:spacing w:line="240" w:lineRule="auto"/>
        <w:jc w:val="both"/>
        <w:rPr>
          <w:rFonts w:asciiTheme="majorBidi" w:hAnsiTheme="majorBidi" w:cstheme="majorBidi"/>
          <w:sz w:val="28"/>
          <w:szCs w:val="28"/>
        </w:rPr>
      </w:pPr>
    </w:p>
    <w:p w14:paraId="30B21380" w14:textId="3AA2D736" w:rsidR="00B03044" w:rsidRDefault="00B03044" w:rsidP="00B03044">
      <w:pPr>
        <w:bidi w:val="0"/>
        <w:spacing w:line="240" w:lineRule="auto"/>
        <w:jc w:val="both"/>
        <w:rPr>
          <w:rFonts w:asciiTheme="majorBidi" w:hAnsiTheme="majorBidi" w:cstheme="majorBidi"/>
          <w:sz w:val="28"/>
          <w:szCs w:val="28"/>
        </w:rPr>
      </w:pPr>
    </w:p>
    <w:p w14:paraId="142717EC" w14:textId="3ACD8264" w:rsidR="00B03044" w:rsidRDefault="00B03044" w:rsidP="00B03044">
      <w:pPr>
        <w:bidi w:val="0"/>
        <w:spacing w:line="240" w:lineRule="auto"/>
        <w:jc w:val="both"/>
        <w:rPr>
          <w:rFonts w:asciiTheme="majorBidi" w:hAnsiTheme="majorBidi" w:cstheme="majorBidi"/>
          <w:sz w:val="28"/>
          <w:szCs w:val="28"/>
        </w:rPr>
      </w:pPr>
    </w:p>
    <w:p w14:paraId="2727A159" w14:textId="77777777" w:rsidR="00B03044" w:rsidRPr="00B03044" w:rsidRDefault="00B03044" w:rsidP="00B03044">
      <w:pPr>
        <w:pStyle w:val="2"/>
      </w:pPr>
      <w:bookmarkStart w:id="53" w:name="_Toc174813405"/>
      <w:bookmarkStart w:id="54" w:name="_Toc214621127"/>
      <w:r w:rsidRPr="00B03044">
        <w:t>Introduction:</w:t>
      </w:r>
      <w:bookmarkEnd w:id="53"/>
      <w:bookmarkEnd w:id="54"/>
    </w:p>
    <w:p w14:paraId="0BF6DCDC" w14:textId="461FEA59" w:rsidR="00E3502C" w:rsidRPr="00E3502C" w:rsidRDefault="00E3502C" w:rsidP="00E3502C">
      <w:pPr>
        <w:bidi w:val="0"/>
        <w:spacing w:after="120" w:line="276" w:lineRule="auto"/>
        <w:ind w:firstLine="284"/>
        <w:jc w:val="both"/>
        <w:rPr>
          <w:rFonts w:asciiTheme="majorBidi" w:hAnsiTheme="majorBidi" w:cstheme="majorBidi"/>
          <w:sz w:val="24"/>
          <w:szCs w:val="24"/>
        </w:rPr>
      </w:pPr>
      <w:r w:rsidRPr="00E3502C">
        <w:rPr>
          <w:rFonts w:asciiTheme="majorBidi" w:hAnsiTheme="majorBidi" w:cstheme="majorBidi"/>
          <w:sz w:val="28"/>
          <w:szCs w:val="28"/>
        </w:rPr>
        <w:t xml:space="preserve">International Monetary Fund (2023) argues that banking risk has migrated from back-office compliance to a frontline execution capability in a higher-for-longer, </w:t>
      </w:r>
      <w:r w:rsidRPr="00E3502C">
        <w:rPr>
          <w:rFonts w:asciiTheme="majorBidi" w:hAnsiTheme="majorBidi" w:cstheme="majorBidi"/>
          <w:sz w:val="24"/>
          <w:szCs w:val="24"/>
        </w:rPr>
        <w:t>volatility-prone environment, which means origination choices on client selection, pricing, tenor, collateral, and covenants now carry outsized consequences. Bank for International Settlements (2013) translates this shift into day-to-day constraints through the Liquidity Coverage Ratio and liquidity-risk monitoring tools, making it operationally necessary for commercial teams to internalize prudential limits rather than treat them as after-the-fact checks. Financial Stability Board (2023) extends the argument to the seams between functions, contending that resilience depends on how well account managers and sales coordinate on communication cadence, information/data sharing, KPI &amp; incentive alignment, and decision rights &amp; escalation (RACI)</w:t>
      </w:r>
      <w:r w:rsidR="00B03C22">
        <w:rPr>
          <w:rFonts w:asciiTheme="majorBidi" w:hAnsiTheme="majorBidi" w:cstheme="majorBidi"/>
          <w:sz w:val="24"/>
          <w:szCs w:val="24"/>
        </w:rPr>
        <w:t>-</w:t>
      </w:r>
      <w:r w:rsidRPr="00E3502C">
        <w:rPr>
          <w:rFonts w:asciiTheme="majorBidi" w:hAnsiTheme="majorBidi" w:cstheme="majorBidi"/>
          <w:sz w:val="24"/>
          <w:szCs w:val="24"/>
        </w:rPr>
        <w:t>mechanisms that can plausibly explain variation in risk outcomes beyond what formal policy alone predicts</w:t>
      </w:r>
      <w:r w:rsidRPr="00E3502C">
        <w:rPr>
          <w:rFonts w:asciiTheme="majorBidi" w:hAnsiTheme="majorBidi" w:cstheme="majorBidi"/>
          <w:sz w:val="24"/>
          <w:szCs w:val="24"/>
          <w:rtl/>
        </w:rPr>
        <w:t>.</w:t>
      </w:r>
    </w:p>
    <w:p w14:paraId="18839EE5" w14:textId="77777777" w:rsidR="00E3502C" w:rsidRPr="00E3502C" w:rsidRDefault="00E3502C" w:rsidP="00E3502C">
      <w:pPr>
        <w:bidi w:val="0"/>
        <w:spacing w:after="120" w:line="276" w:lineRule="auto"/>
        <w:ind w:firstLine="284"/>
        <w:jc w:val="both"/>
        <w:rPr>
          <w:rFonts w:asciiTheme="majorBidi" w:hAnsiTheme="majorBidi" w:cstheme="majorBidi"/>
          <w:sz w:val="24"/>
          <w:szCs w:val="24"/>
        </w:rPr>
      </w:pPr>
      <w:r w:rsidRPr="00E3502C">
        <w:rPr>
          <w:rFonts w:asciiTheme="majorBidi" w:hAnsiTheme="majorBidi" w:cstheme="majorBidi"/>
          <w:sz w:val="24"/>
          <w:szCs w:val="24"/>
        </w:rPr>
        <w:t>Saudi Central Bank (2023) provides a system context in which governance, liquidity discipline, and operational resilience are explicitly prioritized, while Islamic Financial Services Board (2024) shows that the contractual specificities of murabaha, ijara, and musharaka make Shariah governance a design constraint rather than a late gate. Al Rajhi Bank (2023) offers the necessary scale, product breadth, and digital depth to observe these mechanisms in practice, enabling an inquiry that moves from abstract prescriptions to observable front-to-back routines. Accordingly, the purpose of this chapter is to synthesize and critically compare prior work on the functional relationship between account managers and sales teams, isolating where evidence is strong, where it is thin or contradictory, and how Islamic-bank features alter coordination demands</w:t>
      </w:r>
      <w:r w:rsidRPr="00E3502C">
        <w:rPr>
          <w:rFonts w:asciiTheme="majorBidi" w:hAnsiTheme="majorBidi" w:cstheme="majorBidi"/>
          <w:sz w:val="24"/>
          <w:szCs w:val="24"/>
          <w:rtl/>
        </w:rPr>
        <w:t>.</w:t>
      </w:r>
    </w:p>
    <w:p w14:paraId="103B7112" w14:textId="0306AEE4" w:rsidR="00B03044" w:rsidRPr="00E3502C" w:rsidRDefault="00E3502C" w:rsidP="00E3502C">
      <w:pPr>
        <w:bidi w:val="0"/>
        <w:spacing w:after="120" w:line="276" w:lineRule="auto"/>
        <w:ind w:firstLine="284"/>
        <w:jc w:val="both"/>
        <w:rPr>
          <w:rFonts w:asciiTheme="majorBidi" w:hAnsiTheme="majorBidi" w:cstheme="majorBidi"/>
          <w:sz w:val="24"/>
          <w:szCs w:val="24"/>
        </w:rPr>
      </w:pPr>
      <w:r w:rsidRPr="00E3502C">
        <w:rPr>
          <w:rFonts w:asciiTheme="majorBidi" w:hAnsiTheme="majorBidi" w:cstheme="majorBidi"/>
          <w:sz w:val="24"/>
          <w:szCs w:val="24"/>
        </w:rPr>
        <w:t>Linking back to Chapter 1, this review operationalizes the research problem</w:t>
      </w:r>
      <w:r w:rsidR="00B03C22">
        <w:rPr>
          <w:rFonts w:asciiTheme="majorBidi" w:hAnsiTheme="majorBidi" w:cstheme="majorBidi"/>
          <w:sz w:val="24"/>
          <w:szCs w:val="24"/>
        </w:rPr>
        <w:t>-</w:t>
      </w:r>
      <w:r w:rsidRPr="00E3502C">
        <w:rPr>
          <w:rFonts w:asciiTheme="majorBidi" w:hAnsiTheme="majorBidi" w:cstheme="majorBidi"/>
          <w:sz w:val="24"/>
          <w:szCs w:val="24"/>
        </w:rPr>
        <w:t>risk as coordinated execution</w:t>
      </w:r>
      <w:r w:rsidR="00B03C22">
        <w:rPr>
          <w:rFonts w:asciiTheme="majorBidi" w:hAnsiTheme="majorBidi" w:cstheme="majorBidi"/>
          <w:sz w:val="24"/>
          <w:szCs w:val="24"/>
        </w:rPr>
        <w:t>-</w:t>
      </w:r>
      <w:r w:rsidRPr="00E3502C">
        <w:rPr>
          <w:rFonts w:asciiTheme="majorBidi" w:hAnsiTheme="majorBidi" w:cstheme="majorBidi"/>
          <w:sz w:val="24"/>
          <w:szCs w:val="24"/>
        </w:rPr>
        <w:t>by specifying the scope (organizational, process, and governance studies with deal-level implications) and by structuring the chapter to serve the objectives and hypotheses. The chapter proceeds from construct definitions and theoretical anchors (International Monetary Fund, 2023; Bank for International Settlements, 2013) to mechanism-specific subsections for the independent variable (Financial Stability Board, 2023), then to outcome-specific subsections for the dependent variable with Islamic-finance adaptations (Islamic Financial Services Board, 2024), and finally to an integrative synthesis that previews the conceptual model tested in later chapters. Concretely, the model posits four paths</w:t>
      </w:r>
      <w:r w:rsidR="00B03C22">
        <w:rPr>
          <w:rFonts w:asciiTheme="majorBidi" w:hAnsiTheme="majorBidi" w:cstheme="majorBidi"/>
          <w:sz w:val="24"/>
          <w:szCs w:val="24"/>
        </w:rPr>
        <w:t>-</w:t>
      </w:r>
      <w:r w:rsidRPr="00E3502C">
        <w:rPr>
          <w:rFonts w:asciiTheme="majorBidi" w:hAnsiTheme="majorBidi" w:cstheme="majorBidi"/>
          <w:sz w:val="24"/>
          <w:szCs w:val="24"/>
        </w:rPr>
        <w:t>Communication → Early Risk Identification &amp; Onboarding, Information/Data → Credit Discipline &amp; Outcomes, KPI/Incentive Alignment → Liquidity &amp; Market-Risk Fit at Origination, and RACI/Escalation → Operational Resilience &amp; Third-Party Control</w:t>
      </w:r>
      <w:r w:rsidR="00B03C22">
        <w:rPr>
          <w:rFonts w:asciiTheme="majorBidi" w:hAnsiTheme="majorBidi" w:cstheme="majorBidi"/>
          <w:sz w:val="24"/>
          <w:szCs w:val="24"/>
        </w:rPr>
        <w:t>-</w:t>
      </w:r>
      <w:r w:rsidRPr="00E3502C">
        <w:rPr>
          <w:rFonts w:asciiTheme="majorBidi" w:hAnsiTheme="majorBidi" w:cstheme="majorBidi"/>
          <w:sz w:val="24"/>
          <w:szCs w:val="24"/>
        </w:rPr>
        <w:t>which the empirical design will examine in the Al Rajhi Bank context (Saudi Central Bank, 2023; Al Rajhi Bank, 2023).</w:t>
      </w:r>
    </w:p>
    <w:p w14:paraId="27F50CCC" w14:textId="335C926D" w:rsidR="00B03044" w:rsidRPr="00E3502C" w:rsidRDefault="00E3502C" w:rsidP="00E3502C">
      <w:pPr>
        <w:pStyle w:val="2"/>
      </w:pPr>
      <w:bookmarkStart w:id="55" w:name="_Toc214621128"/>
      <w:r w:rsidRPr="00E3502C">
        <w:t>Functional Relationship between Account Managers and Sales Teams (IV)</w:t>
      </w:r>
      <w:bookmarkEnd w:id="55"/>
    </w:p>
    <w:p w14:paraId="255E5204" w14:textId="0FB9922C" w:rsidR="00B03044" w:rsidRPr="000442C2" w:rsidRDefault="000442C2" w:rsidP="000442C2">
      <w:pPr>
        <w:bidi w:val="0"/>
        <w:spacing w:after="120" w:line="276" w:lineRule="auto"/>
        <w:ind w:firstLine="284"/>
        <w:jc w:val="both"/>
        <w:rPr>
          <w:rFonts w:asciiTheme="majorBidi" w:hAnsiTheme="majorBidi" w:cstheme="majorBidi"/>
          <w:sz w:val="24"/>
          <w:szCs w:val="24"/>
        </w:rPr>
      </w:pPr>
      <w:r w:rsidRPr="000442C2">
        <w:rPr>
          <w:rFonts w:asciiTheme="majorBidi" w:hAnsiTheme="majorBidi" w:cstheme="majorBidi"/>
          <w:sz w:val="24"/>
          <w:szCs w:val="24"/>
        </w:rPr>
        <w:t>International Monetary Fund (2023) argues that banking risk is a frontline execution problem, not a back-office checklist, making the “functional relationship” between account managers and sales an operational construct, not informal goodwill. Bank for International Settlements (2013) embeds liquidity discipline into daily pricing and tenor, situating prudential compliance where AM–Sales interactions actually occur. Financial Stability Board (2023) adds that resilience is decided at the seams</w:t>
      </w:r>
      <w:r w:rsidR="00B03C22">
        <w:rPr>
          <w:rFonts w:asciiTheme="majorBidi" w:hAnsiTheme="majorBidi" w:cstheme="majorBidi"/>
          <w:sz w:val="24"/>
          <w:szCs w:val="24"/>
        </w:rPr>
        <w:t>-</w:t>
      </w:r>
      <w:r w:rsidRPr="000442C2">
        <w:rPr>
          <w:rFonts w:asciiTheme="majorBidi" w:hAnsiTheme="majorBidi" w:cstheme="majorBidi"/>
          <w:sz w:val="24"/>
          <w:szCs w:val="24"/>
        </w:rPr>
        <w:t>communication cadence, shared data, incentive alignment, and RACI-driven escalation. In Islamic banks, contractual specificities (murabaha/ijara/musharaka) require earlier cross-functional integration so Shariah governance becomes a design input, not a late gate (Islamic Financial Services Board, 2024). The subsections unpack definitions, theory, mechanisms, and measurement.</w:t>
      </w:r>
    </w:p>
    <w:p w14:paraId="38E011BC" w14:textId="775C3064" w:rsidR="000442C2" w:rsidRPr="00655B17" w:rsidRDefault="000442C2" w:rsidP="00655B17">
      <w:pPr>
        <w:pStyle w:val="3"/>
      </w:pPr>
      <w:bookmarkStart w:id="56" w:name="_Toc214621129"/>
      <w:r w:rsidRPr="00655B17">
        <w:t>Conceptualization and Definitions</w:t>
      </w:r>
      <w:bookmarkEnd w:id="56"/>
    </w:p>
    <w:p w14:paraId="1E8BB21B" w14:textId="5803A642" w:rsidR="00A94C60" w:rsidRPr="00B32051" w:rsidRDefault="00A94C60" w:rsidP="00A94C60">
      <w:pPr>
        <w:bidi w:val="0"/>
        <w:spacing w:after="120" w:line="276" w:lineRule="auto"/>
        <w:ind w:firstLine="284"/>
        <w:jc w:val="both"/>
        <w:rPr>
          <w:rFonts w:asciiTheme="majorBidi" w:hAnsiTheme="majorBidi" w:cstheme="majorBidi"/>
          <w:sz w:val="24"/>
          <w:szCs w:val="24"/>
        </w:rPr>
      </w:pPr>
      <w:r w:rsidRPr="00B32051">
        <w:rPr>
          <w:rFonts w:asciiTheme="majorBidi" w:hAnsiTheme="majorBidi" w:cstheme="majorBidi"/>
          <w:sz w:val="24"/>
          <w:szCs w:val="24"/>
        </w:rPr>
        <w:t>International Monetary Fund (2023) reframes bank risk as a frontline execution challenge, implying that what happens between account managers and sales at origination is not “soft coordination” but a capability that shapes pricing, tenor, collateral, and onboarding quality. Bank for International Settlements (2013) makes this operational by embedding LCR and liquidity monitoring into day-to-day decisions, so prudential aims must be internalized where AM–Sales actually interact rather than treated as late checks. Financial Stability Board (2023) adds that resilience is decided at the seams</w:t>
      </w:r>
      <w:r w:rsidR="00B03C22">
        <w:rPr>
          <w:rFonts w:asciiTheme="majorBidi" w:hAnsiTheme="majorBidi" w:cstheme="majorBidi"/>
          <w:sz w:val="24"/>
          <w:szCs w:val="24"/>
        </w:rPr>
        <w:t>-</w:t>
      </w:r>
      <w:r w:rsidRPr="00B32051">
        <w:rPr>
          <w:rFonts w:asciiTheme="majorBidi" w:hAnsiTheme="majorBidi" w:cstheme="majorBidi"/>
          <w:sz w:val="24"/>
          <w:szCs w:val="24"/>
        </w:rPr>
        <w:t>through cadence, shared indicators, incentive design, and time-bound escalation</w:t>
      </w:r>
      <w:r w:rsidR="00B03C22">
        <w:rPr>
          <w:rFonts w:asciiTheme="majorBidi" w:hAnsiTheme="majorBidi" w:cstheme="majorBidi"/>
          <w:sz w:val="24"/>
          <w:szCs w:val="24"/>
        </w:rPr>
        <w:t>-</w:t>
      </w:r>
      <w:r w:rsidRPr="00B32051">
        <w:rPr>
          <w:rFonts w:asciiTheme="majorBidi" w:hAnsiTheme="majorBidi" w:cstheme="majorBidi"/>
          <w:sz w:val="24"/>
          <w:szCs w:val="24"/>
        </w:rPr>
        <w:t>turning the AM–Sales link into a governed mechanism, not ad-hoc goodwill.</w:t>
      </w:r>
    </w:p>
    <w:p w14:paraId="703C7FFC" w14:textId="7B282B52" w:rsidR="00A94C60" w:rsidRPr="00B32051" w:rsidRDefault="00A94C60" w:rsidP="00A94C60">
      <w:pPr>
        <w:bidi w:val="0"/>
        <w:spacing w:after="120" w:line="276" w:lineRule="auto"/>
        <w:ind w:firstLine="284"/>
        <w:jc w:val="both"/>
        <w:rPr>
          <w:rFonts w:asciiTheme="majorBidi" w:hAnsiTheme="majorBidi" w:cstheme="majorBidi"/>
          <w:sz w:val="24"/>
          <w:szCs w:val="24"/>
        </w:rPr>
      </w:pPr>
      <w:r w:rsidRPr="00B32051">
        <w:rPr>
          <w:rFonts w:asciiTheme="majorBidi" w:hAnsiTheme="majorBidi" w:cstheme="majorBidi"/>
          <w:sz w:val="24"/>
          <w:szCs w:val="24"/>
        </w:rPr>
        <w:t>Building on that foundation, KPMG (2025) translates the Three Lines model into concrete tools</w:t>
      </w:r>
      <w:r w:rsidR="00B03C22">
        <w:rPr>
          <w:rFonts w:asciiTheme="majorBidi" w:hAnsiTheme="majorBidi" w:cstheme="majorBidi"/>
          <w:sz w:val="24"/>
          <w:szCs w:val="24"/>
        </w:rPr>
        <w:t>-</w:t>
      </w:r>
      <w:r w:rsidRPr="00B32051">
        <w:rPr>
          <w:rFonts w:asciiTheme="majorBidi" w:hAnsiTheme="majorBidi" w:cstheme="majorBidi"/>
          <w:sz w:val="24"/>
          <w:szCs w:val="24"/>
        </w:rPr>
        <w:t>RACI, approval thresholds, and SLAs</w:t>
      </w:r>
      <w:r w:rsidR="00B03C22">
        <w:rPr>
          <w:rFonts w:asciiTheme="majorBidi" w:hAnsiTheme="majorBidi" w:cstheme="majorBidi"/>
          <w:sz w:val="24"/>
          <w:szCs w:val="24"/>
        </w:rPr>
        <w:t>-</w:t>
      </w:r>
      <w:r w:rsidRPr="00B32051">
        <w:rPr>
          <w:rFonts w:asciiTheme="majorBidi" w:hAnsiTheme="majorBidi" w:cstheme="majorBidi"/>
          <w:sz w:val="24"/>
          <w:szCs w:val="24"/>
        </w:rPr>
        <w:t>so decision ownership and escalation speed become measurable properties of the AM–Sales interface. Habel, Alavi, and Heinitz (2023) show that analytics change behavior only when information is embedded in daily routines and co-visible in CRM/risk systems, while Lang, Peltonen, and Sarlin (2018) demonstrate that early-warning performance depends on cadence and feedback loops that surface weak signals before booking. In Islamic settings, Islamic Financial Services Board (2024) treats murabaha/ijara/musharaka as contract-form constraints that require early Shariah inputs, binding AM–Sales coordination to risk quality by design. Guided by these strands, the subsections that follow define the construct, lay out the theoretical bases, and examine the four mechanisms</w:t>
      </w:r>
      <w:r w:rsidR="00B03C22">
        <w:rPr>
          <w:rFonts w:asciiTheme="majorBidi" w:hAnsiTheme="majorBidi" w:cstheme="majorBidi"/>
          <w:sz w:val="24"/>
          <w:szCs w:val="24"/>
        </w:rPr>
        <w:t>-</w:t>
      </w:r>
      <w:r w:rsidRPr="00B32051">
        <w:rPr>
          <w:rFonts w:asciiTheme="majorBidi" w:hAnsiTheme="majorBidi" w:cstheme="majorBidi"/>
          <w:sz w:val="24"/>
          <w:szCs w:val="24"/>
        </w:rPr>
        <w:t>communication cadence, information/data sharing, KPI &amp; incentive alignment, and RACI-based decision rights</w:t>
      </w:r>
      <w:r w:rsidR="00B03C22">
        <w:rPr>
          <w:rFonts w:asciiTheme="majorBidi" w:hAnsiTheme="majorBidi" w:cstheme="majorBidi"/>
          <w:sz w:val="24"/>
          <w:szCs w:val="24"/>
        </w:rPr>
        <w:t>-</w:t>
      </w:r>
      <w:r w:rsidRPr="00B32051">
        <w:rPr>
          <w:rFonts w:asciiTheme="majorBidi" w:hAnsiTheme="majorBidi" w:cstheme="majorBidi"/>
          <w:sz w:val="24"/>
          <w:szCs w:val="24"/>
        </w:rPr>
        <w:t>as measurable dimensions of the study’s independent variable.</w:t>
      </w:r>
    </w:p>
    <w:p w14:paraId="2B17D366" w14:textId="77777777" w:rsidR="00CA573B" w:rsidRPr="00CA573B" w:rsidRDefault="00CA573B" w:rsidP="002E6F27">
      <w:pPr>
        <w:pStyle w:val="a5"/>
        <w:numPr>
          <w:ilvl w:val="0"/>
          <w:numId w:val="14"/>
        </w:numPr>
        <w:bidi w:val="0"/>
        <w:spacing w:after="120" w:line="276" w:lineRule="auto"/>
        <w:jc w:val="both"/>
        <w:rPr>
          <w:rFonts w:asciiTheme="majorBidi" w:hAnsiTheme="majorBidi" w:cstheme="majorBidi"/>
          <w:sz w:val="24"/>
          <w:szCs w:val="24"/>
        </w:rPr>
      </w:pPr>
      <w:r w:rsidRPr="00CA573B">
        <w:rPr>
          <w:rFonts w:asciiTheme="majorBidi" w:hAnsiTheme="majorBidi" w:cstheme="majorBidi"/>
          <w:sz w:val="24"/>
          <w:szCs w:val="24"/>
        </w:rPr>
        <w:t>From Informal Coordination to a Structured Functional Relationship</w:t>
      </w:r>
    </w:p>
    <w:p w14:paraId="1A8F13A0" w14:textId="7DF0A6E1" w:rsidR="00CA573B" w:rsidRPr="00CA573B"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CA573B">
        <w:rPr>
          <w:rFonts w:asciiTheme="majorBidi" w:hAnsiTheme="majorBidi" w:cstheme="majorBidi"/>
          <w:sz w:val="24"/>
          <w:szCs w:val="24"/>
        </w:rPr>
        <w:t xml:space="preserve">Definition and contrast </w:t>
      </w:r>
    </w:p>
    <w:p w14:paraId="4C15C446" w14:textId="0B239549" w:rsidR="00CA573B" w:rsidRPr="00CA573B" w:rsidRDefault="00CA573B" w:rsidP="00CA573B">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Financial Stability Board (2023) characterizes effective cross-functional work as a designed and auditable governance mechanism</w:t>
      </w:r>
      <w:r w:rsidR="00B03C22">
        <w:rPr>
          <w:rFonts w:asciiTheme="majorBidi" w:hAnsiTheme="majorBidi" w:cstheme="majorBidi"/>
          <w:sz w:val="24"/>
          <w:szCs w:val="24"/>
        </w:rPr>
        <w:t>-</w:t>
      </w:r>
      <w:r w:rsidRPr="00CA573B">
        <w:rPr>
          <w:rFonts w:asciiTheme="majorBidi" w:hAnsiTheme="majorBidi" w:cstheme="majorBidi"/>
          <w:sz w:val="24"/>
          <w:szCs w:val="24"/>
        </w:rPr>
        <w:t>with set meeting rhythms, shared indicators, and time-bound handoffs</w:t>
      </w:r>
      <w:r w:rsidR="00B03C22">
        <w:rPr>
          <w:rFonts w:asciiTheme="majorBidi" w:hAnsiTheme="majorBidi" w:cstheme="majorBidi"/>
          <w:sz w:val="24"/>
          <w:szCs w:val="24"/>
        </w:rPr>
        <w:t>-</w:t>
      </w:r>
      <w:r w:rsidRPr="00CA573B">
        <w:rPr>
          <w:rFonts w:asciiTheme="majorBidi" w:hAnsiTheme="majorBidi" w:cstheme="majorBidi"/>
          <w:sz w:val="24"/>
          <w:szCs w:val="24"/>
        </w:rPr>
        <w:t>rather than ad-hoc “goodwill.” Building on this, International Monetary Fund (2023) argues that risk today is execution under uncertainty, so person-dependent, episodic coordination is structurally fragile when volatility rises. In this thesis, a functional relationship between account managers and sales is defined as a structured front-to-back execution system comprising four mechanisms: communication quality and cadence, information sharing and data integration, goal/KPI and incentive alignment, and decision rights and escalation clarity (RACI). By contrast, informal coordination lacks standard cadence, co-visible data, aligned incentives, and explicit escalation, making outcomes inconsistent and hard to audit.</w:t>
      </w:r>
    </w:p>
    <w:p w14:paraId="6D3E9FDC" w14:textId="77777777" w:rsidR="00CA573B"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CA573B">
        <w:rPr>
          <w:rFonts w:asciiTheme="majorBidi" w:hAnsiTheme="majorBidi" w:cstheme="majorBidi"/>
          <w:sz w:val="24"/>
          <w:szCs w:val="24"/>
        </w:rPr>
        <w:t xml:space="preserve">Why structure matters. </w:t>
      </w:r>
    </w:p>
    <w:p w14:paraId="7A17918F" w14:textId="42BC42F9" w:rsidR="00CA573B" w:rsidRPr="00CA573B" w:rsidRDefault="00CA573B" w:rsidP="00CA573B">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Bank for International Settlements (2013) embeds prudential liquidity discipline through the LCR into day-to-day pricing and tenor, implying that AM–Sales must internalize constraints at origination, not at a late gate. KPMG (2025) translates the Three Lines model into operational tools</w:t>
      </w:r>
      <w:r w:rsidR="00B03C22">
        <w:rPr>
          <w:rFonts w:asciiTheme="majorBidi" w:hAnsiTheme="majorBidi" w:cstheme="majorBidi"/>
          <w:sz w:val="24"/>
          <w:szCs w:val="24"/>
        </w:rPr>
        <w:t>-</w:t>
      </w:r>
      <w:r w:rsidRPr="00CA573B">
        <w:rPr>
          <w:rFonts w:asciiTheme="majorBidi" w:hAnsiTheme="majorBidi" w:cstheme="majorBidi"/>
          <w:sz w:val="24"/>
          <w:szCs w:val="24"/>
        </w:rPr>
        <w:t>RACI, approval thresholds, and service-level agreements</w:t>
      </w:r>
      <w:r w:rsidR="00B03C22">
        <w:rPr>
          <w:rFonts w:asciiTheme="majorBidi" w:hAnsiTheme="majorBidi" w:cstheme="majorBidi"/>
          <w:sz w:val="24"/>
          <w:szCs w:val="24"/>
        </w:rPr>
        <w:t>-</w:t>
      </w:r>
      <w:r w:rsidRPr="00CA573B">
        <w:rPr>
          <w:rFonts w:asciiTheme="majorBidi" w:hAnsiTheme="majorBidi" w:cstheme="majorBidi"/>
          <w:sz w:val="24"/>
          <w:szCs w:val="24"/>
        </w:rPr>
        <w:t>so ownership and escalation speed become measurable properties of the AM–Sales interface. Habel, Alavi, and Heinitz (2023) show that analytics reshape behavior only when insights are embedded in daily routines and seen in the same systems, while Lang, Peltonen, and Sarlin (2018) demonstrate that early-warning performance improves when feedback loops surface weak signals before booking</w:t>
      </w:r>
      <w:r w:rsidR="00B03C22">
        <w:rPr>
          <w:rFonts w:asciiTheme="majorBidi" w:hAnsiTheme="majorBidi" w:cstheme="majorBidi"/>
          <w:sz w:val="24"/>
          <w:szCs w:val="24"/>
        </w:rPr>
        <w:t>-</w:t>
      </w:r>
      <w:r w:rsidRPr="00CA573B">
        <w:rPr>
          <w:rFonts w:asciiTheme="majorBidi" w:hAnsiTheme="majorBidi" w:cstheme="majorBidi"/>
          <w:sz w:val="24"/>
          <w:szCs w:val="24"/>
        </w:rPr>
        <w:t>a design that hinges on cadence and co-visibility. In Islamic contexts, Islamic Financial Services Board (2024) treats murabaha, ijara, and musharaka as contract-form constraints requiring early Shariah inputs, tying AM–Sales coordination to risk quality by design.</w:t>
      </w:r>
    </w:p>
    <w:p w14:paraId="07449E86" w14:textId="77777777" w:rsidR="00CA573B"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CA573B">
        <w:rPr>
          <w:rFonts w:asciiTheme="majorBidi" w:hAnsiTheme="majorBidi" w:cstheme="majorBidi"/>
          <w:sz w:val="24"/>
          <w:szCs w:val="24"/>
        </w:rPr>
        <w:t xml:space="preserve">Implication for this study. </w:t>
      </w:r>
    </w:p>
    <w:p w14:paraId="75381CDF" w14:textId="492B5E10" w:rsidR="00CA573B" w:rsidRPr="00CA573B" w:rsidRDefault="00CA573B" w:rsidP="00CA573B">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International Monetary Fund (2023) motivates viewing the AM–Sales link as an execution capability; Bank for International Settlements (2013) and KPMG (2025) specify the operating mechanics that make it observable and measurable; Habel, Alavi, and Heinitz (2023) and Lang, Peltonen, and Sarlin (2018) identify the information-processing levers that translate structure into outcomes; and Islamic Financial Services Board (2024) adds the Shariah design constraint. Accordingly, the thesis operationalizes the functional relationship as a multi-dimensional construct</w:t>
      </w:r>
      <w:r w:rsidR="00B03C22">
        <w:rPr>
          <w:rFonts w:asciiTheme="majorBidi" w:hAnsiTheme="majorBidi" w:cstheme="majorBidi"/>
          <w:sz w:val="24"/>
          <w:szCs w:val="24"/>
        </w:rPr>
        <w:t>-</w:t>
      </w:r>
      <w:r w:rsidRPr="00CA573B">
        <w:rPr>
          <w:rFonts w:asciiTheme="majorBidi" w:hAnsiTheme="majorBidi" w:cstheme="majorBidi"/>
          <w:sz w:val="24"/>
          <w:szCs w:val="24"/>
        </w:rPr>
        <w:t>distinct from informal coordination</w:t>
      </w:r>
      <w:r w:rsidR="00B03C22">
        <w:rPr>
          <w:rFonts w:asciiTheme="majorBidi" w:hAnsiTheme="majorBidi" w:cstheme="majorBidi"/>
          <w:sz w:val="24"/>
          <w:szCs w:val="24"/>
        </w:rPr>
        <w:t>-</w:t>
      </w:r>
      <w:r w:rsidRPr="00CA573B">
        <w:rPr>
          <w:rFonts w:asciiTheme="majorBidi" w:hAnsiTheme="majorBidi" w:cstheme="majorBidi"/>
          <w:sz w:val="24"/>
          <w:szCs w:val="24"/>
        </w:rPr>
        <w:t>and tests its links to risk-management effectiveness at Al Rajhi Bank.</w:t>
      </w:r>
    </w:p>
    <w:p w14:paraId="54802259" w14:textId="77777777" w:rsidR="00CA573B" w:rsidRDefault="00CA573B" w:rsidP="00CA573B">
      <w:pPr>
        <w:pStyle w:val="4"/>
      </w:pPr>
      <w:bookmarkStart w:id="57" w:name="_Toc214621130"/>
      <w:r>
        <w:t>Front-to-Back Execution: Defining Role Boundaries between AM and Sales</w:t>
      </w:r>
      <w:bookmarkEnd w:id="57"/>
    </w:p>
    <w:p w14:paraId="18F50301" w14:textId="77777777" w:rsidR="00507AF7" w:rsidRPr="00507AF7" w:rsidRDefault="00507AF7" w:rsidP="002E6F27">
      <w:pPr>
        <w:pStyle w:val="a5"/>
        <w:numPr>
          <w:ilvl w:val="0"/>
          <w:numId w:val="15"/>
        </w:numPr>
        <w:bidi w:val="0"/>
        <w:spacing w:after="120" w:line="276" w:lineRule="auto"/>
        <w:jc w:val="both"/>
        <w:rPr>
          <w:rFonts w:asciiTheme="majorBidi" w:hAnsiTheme="majorBidi" w:cstheme="majorBidi"/>
        </w:rPr>
      </w:pPr>
      <w:r w:rsidRPr="00507AF7">
        <w:rPr>
          <w:rFonts w:asciiTheme="majorBidi" w:hAnsiTheme="majorBidi" w:cstheme="majorBidi"/>
        </w:rPr>
        <w:t xml:space="preserve">Concept and rationale. </w:t>
      </w:r>
    </w:p>
    <w:p w14:paraId="52B2A61E" w14:textId="681BD6B7" w:rsidR="00CA573B" w:rsidRPr="00CA573B" w:rsidRDefault="00CA573B" w:rsidP="00CA573B">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rPr>
        <w:t xml:space="preserve">International Monetary Fund (2023) portrays risk as a </w:t>
      </w:r>
      <w:r w:rsidRPr="00CA573B">
        <w:rPr>
          <w:rStyle w:val="ab"/>
          <w:rFonts w:asciiTheme="majorBidi" w:hAnsiTheme="majorBidi" w:cstheme="majorBidi"/>
        </w:rPr>
        <w:t xml:space="preserve">frontline </w:t>
      </w:r>
      <w:r w:rsidRPr="00CA573B">
        <w:rPr>
          <w:rFonts w:asciiTheme="majorBidi" w:hAnsiTheme="majorBidi" w:cstheme="majorBidi"/>
          <w:sz w:val="24"/>
          <w:szCs w:val="24"/>
        </w:rPr>
        <w:t>execution problem, which recasts front-to-back execution as a designed chain of decisions from prospecting to booking and early monitoring. In this chain, Sales originates demand and frames commercial intent, while the Account Manager (AM) owns end-to-end viability</w:t>
      </w:r>
      <w:r w:rsidR="00B03C22">
        <w:rPr>
          <w:rFonts w:asciiTheme="majorBidi" w:hAnsiTheme="majorBidi" w:cstheme="majorBidi"/>
          <w:sz w:val="24"/>
          <w:szCs w:val="24"/>
        </w:rPr>
        <w:t>-</w:t>
      </w:r>
      <w:r w:rsidRPr="00CA573B">
        <w:rPr>
          <w:rFonts w:asciiTheme="majorBidi" w:hAnsiTheme="majorBidi" w:cstheme="majorBidi"/>
          <w:sz w:val="24"/>
          <w:szCs w:val="24"/>
        </w:rPr>
        <w:t>screening fit, shaping pricing/tenor/collateral, and ensuring onboarding quality</w:t>
      </w:r>
      <w:r w:rsidR="00B03C22">
        <w:rPr>
          <w:rFonts w:asciiTheme="majorBidi" w:hAnsiTheme="majorBidi" w:cstheme="majorBidi"/>
          <w:sz w:val="24"/>
          <w:szCs w:val="24"/>
        </w:rPr>
        <w:t>-</w:t>
      </w:r>
      <w:r w:rsidRPr="00CA573B">
        <w:rPr>
          <w:rFonts w:asciiTheme="majorBidi" w:hAnsiTheme="majorBidi" w:cstheme="majorBidi"/>
          <w:sz w:val="24"/>
          <w:szCs w:val="24"/>
        </w:rPr>
        <w:t>so decisions embed prudential logic at the point of origination.</w:t>
      </w:r>
    </w:p>
    <w:p w14:paraId="13DA2948" w14:textId="77777777" w:rsidR="00507AF7" w:rsidRPr="00507AF7"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507AF7">
        <w:rPr>
          <w:rFonts w:asciiTheme="majorBidi" w:hAnsiTheme="majorBidi" w:cstheme="majorBidi"/>
          <w:sz w:val="24"/>
          <w:szCs w:val="24"/>
        </w:rPr>
        <w:t xml:space="preserve">Operational implications. </w:t>
      </w:r>
    </w:p>
    <w:p w14:paraId="2A9BBB6B" w14:textId="0A810CF1" w:rsidR="00CA573B" w:rsidRPr="00CA573B" w:rsidRDefault="00CA573B" w:rsidP="00507AF7">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Bank for International Settlements (2013) makes the logic concrete by imposing Liquidity Coverage Ratio constraints that must be internalized before approval, not repaired at a late gate; hence AMs translate funding and liquidity realities into structure, while Sales manages client advocacy and pipeline velocity. Financial Stability Board (2023) extends this to the seams: cadence, shared indicators, and time-bound handoffs prevent policy–execution gaps, implying that AM–Sales boundaries are governed by routines rather than personalities.</w:t>
      </w:r>
    </w:p>
    <w:p w14:paraId="4F4F7614" w14:textId="77777777" w:rsidR="00507AF7" w:rsidRPr="00507AF7"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507AF7">
        <w:rPr>
          <w:rFonts w:asciiTheme="majorBidi" w:hAnsiTheme="majorBidi" w:cstheme="majorBidi"/>
          <w:sz w:val="24"/>
          <w:szCs w:val="24"/>
        </w:rPr>
        <w:t xml:space="preserve">Governance anchors. </w:t>
      </w:r>
    </w:p>
    <w:p w14:paraId="3371CEA4" w14:textId="3531B73D" w:rsidR="00CA573B" w:rsidRPr="00CA573B" w:rsidRDefault="00CA573B" w:rsidP="00507AF7">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KPMG (2025) converts the Three Lines model into RACI, approval thresholds, and service-level agreements, turning “who decides, when, and on what evidence” into measurable properties. Under this view, Sales proposes and signals urgency, AM decides or triggers escalation within thresholds, and both share accountability for data quality at handoff.</w:t>
      </w:r>
    </w:p>
    <w:p w14:paraId="33A260B1" w14:textId="77777777" w:rsidR="00507AF7" w:rsidRPr="00507AF7" w:rsidRDefault="00CA573B" w:rsidP="002E6F27">
      <w:pPr>
        <w:pStyle w:val="a5"/>
        <w:numPr>
          <w:ilvl w:val="0"/>
          <w:numId w:val="15"/>
        </w:numPr>
        <w:bidi w:val="0"/>
        <w:spacing w:after="120" w:line="276" w:lineRule="auto"/>
        <w:jc w:val="both"/>
        <w:rPr>
          <w:rFonts w:asciiTheme="majorBidi" w:hAnsiTheme="majorBidi" w:cstheme="majorBidi"/>
          <w:sz w:val="24"/>
          <w:szCs w:val="24"/>
        </w:rPr>
      </w:pPr>
      <w:r w:rsidRPr="00507AF7">
        <w:rPr>
          <w:rFonts w:asciiTheme="majorBidi" w:hAnsiTheme="majorBidi" w:cstheme="majorBidi"/>
          <w:sz w:val="24"/>
          <w:szCs w:val="24"/>
        </w:rPr>
        <w:t>Information processing.</w:t>
      </w:r>
    </w:p>
    <w:p w14:paraId="30112A18" w14:textId="47534AB7" w:rsidR="00CA573B" w:rsidRPr="00CA573B" w:rsidRDefault="00CA573B" w:rsidP="00507AF7">
      <w:pPr>
        <w:bidi w:val="0"/>
        <w:spacing w:after="120" w:line="276" w:lineRule="auto"/>
        <w:ind w:firstLine="284"/>
        <w:jc w:val="both"/>
        <w:rPr>
          <w:rFonts w:asciiTheme="majorBidi" w:hAnsiTheme="majorBidi" w:cstheme="majorBidi"/>
          <w:sz w:val="24"/>
          <w:szCs w:val="24"/>
        </w:rPr>
      </w:pPr>
      <w:r w:rsidRPr="00CA573B">
        <w:rPr>
          <w:rFonts w:asciiTheme="majorBidi" w:hAnsiTheme="majorBidi" w:cstheme="majorBidi"/>
          <w:sz w:val="24"/>
          <w:szCs w:val="24"/>
        </w:rPr>
        <w:t>Habel, Alavi, and Heinitz (2023) show that analytics change behavior only when insights are embedded in daily tools, reinforcing co-visibility as a boundary condition; Lang, Peltonen, and Sarlin (2018) demonstrate that early-warning performance depends on feedback loops that surface weak signals before booking, a cadence the AM must steward. In Islamic settings, Islamic Financial Services Board (2024) adds a design constraint</w:t>
      </w:r>
      <w:r w:rsidR="00B03C22">
        <w:rPr>
          <w:rFonts w:asciiTheme="majorBidi" w:hAnsiTheme="majorBidi" w:cstheme="majorBidi"/>
          <w:sz w:val="24"/>
          <w:szCs w:val="24"/>
        </w:rPr>
        <w:t>-</w:t>
      </w:r>
      <w:r w:rsidRPr="00CA573B">
        <w:rPr>
          <w:rFonts w:asciiTheme="majorBidi" w:hAnsiTheme="majorBidi" w:cstheme="majorBidi"/>
          <w:sz w:val="24"/>
          <w:szCs w:val="24"/>
        </w:rPr>
        <w:t>murabaha/ijara/musharaka</w:t>
      </w:r>
      <w:r w:rsidR="00B03C22">
        <w:rPr>
          <w:rFonts w:asciiTheme="majorBidi" w:hAnsiTheme="majorBidi" w:cstheme="majorBidi"/>
          <w:sz w:val="24"/>
          <w:szCs w:val="24"/>
        </w:rPr>
        <w:t>-</w:t>
      </w:r>
      <w:r w:rsidRPr="00CA573B">
        <w:rPr>
          <w:rFonts w:asciiTheme="majorBidi" w:hAnsiTheme="majorBidi" w:cstheme="majorBidi"/>
          <w:sz w:val="24"/>
          <w:szCs w:val="24"/>
        </w:rPr>
        <w:t>that requires early Shariah inputs, further clarifying that AM curates form–substance fit while Sales aligns client structure to those requirements.</w:t>
      </w:r>
    </w:p>
    <w:p w14:paraId="74BEAA39" w14:textId="14F37320" w:rsidR="00B03044" w:rsidRPr="00CA573B" w:rsidRDefault="00507AF7" w:rsidP="00507AF7">
      <w:pPr>
        <w:pStyle w:val="3"/>
        <w:rPr>
          <w:sz w:val="24"/>
          <w:szCs w:val="24"/>
          <w:lang w:bidi="ar-SA"/>
        </w:rPr>
      </w:pPr>
      <w:bookmarkStart w:id="58" w:name="_Toc214621131"/>
      <w:r>
        <w:rPr>
          <w:rStyle w:val="a7"/>
          <w:b/>
          <w:bCs/>
        </w:rPr>
        <w:t>Theoretical Foundations</w:t>
      </w:r>
      <w:bookmarkEnd w:id="58"/>
    </w:p>
    <w:p w14:paraId="0BAAECA9" w14:textId="277AED84"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International Monetary Fund (2023) reframes bank risk as execution under uncertainty, which shifts theory-building from generic “collaboration” to testable mechanisms at the AM–Sales seam. Bank for International Settlements (2013) embeds this shift in practice by pushing LCR and liquidity monitoring into pricing and tenor, so prudential aims must be internalized at origination. Financial Stability Board (2023) advances a seams-first view of resilience, emphasizing cadence, shared indicators, and time-bound handoffs. Islamic Financial Services Board (2024) adds a contract-form constraint in Islamic finance that requires early Shariah inputs. Together, these strands motivate four lenses</w:t>
      </w:r>
      <w:r w:rsidR="00B03C22">
        <w:rPr>
          <w:rFonts w:asciiTheme="majorBidi" w:hAnsiTheme="majorBidi" w:cstheme="majorBidi"/>
          <w:sz w:val="24"/>
          <w:szCs w:val="24"/>
        </w:rPr>
        <w:t>-</w:t>
      </w:r>
      <w:r w:rsidRPr="000A2104">
        <w:rPr>
          <w:rFonts w:asciiTheme="majorBidi" w:hAnsiTheme="majorBidi" w:cstheme="majorBidi"/>
          <w:sz w:val="24"/>
          <w:szCs w:val="24"/>
        </w:rPr>
        <w:t>organizational integration, information processing, Three Lines, and governance–escalation</w:t>
      </w:r>
      <w:r w:rsidR="00B03C22">
        <w:rPr>
          <w:rFonts w:asciiTheme="majorBidi" w:hAnsiTheme="majorBidi" w:cstheme="majorBidi"/>
          <w:sz w:val="24"/>
          <w:szCs w:val="24"/>
        </w:rPr>
        <w:t>-</w:t>
      </w:r>
      <w:r w:rsidRPr="000A2104">
        <w:rPr>
          <w:rFonts w:asciiTheme="majorBidi" w:hAnsiTheme="majorBidi" w:cstheme="majorBidi"/>
          <w:sz w:val="24"/>
          <w:szCs w:val="24"/>
        </w:rPr>
        <w:t>to ground the independent variable in measurable routines.</w:t>
      </w:r>
    </w:p>
    <w:p w14:paraId="68105440" w14:textId="43E291AD" w:rsidR="00B03044" w:rsidRPr="000A2104" w:rsidRDefault="000A2104" w:rsidP="0063104A">
      <w:pPr>
        <w:pStyle w:val="4"/>
      </w:pPr>
      <w:bookmarkStart w:id="59" w:name="_Toc214621132"/>
      <w:r w:rsidRPr="000A2104">
        <w:t>Organizational Integration</w:t>
      </w:r>
      <w:bookmarkEnd w:id="59"/>
    </w:p>
    <w:p w14:paraId="18415C25" w14:textId="2E457BFB"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Financial Stability Board (2023) treats organizational integration as a designed seam where meeting rhythms, shared indicators, and time-boxed escalations convert policy into repeatable behavior, implying that the AM–Sales link is a governance mechanism rather than ad-hoc cooperation. McKinsey &amp; Company (2020) argues that volume-biased incentives and siloed workflows routinely neutralize formal risk policies unless cross-functional routines are explicitly engineered, which positions integration in the operating system</w:t>
      </w:r>
      <w:r w:rsidR="00B03C22">
        <w:rPr>
          <w:rFonts w:asciiTheme="majorBidi" w:hAnsiTheme="majorBidi" w:cstheme="majorBidi"/>
          <w:sz w:val="24"/>
          <w:szCs w:val="24"/>
        </w:rPr>
        <w:t>-</w:t>
      </w:r>
      <w:r w:rsidRPr="000A2104">
        <w:rPr>
          <w:rFonts w:asciiTheme="majorBidi" w:hAnsiTheme="majorBidi" w:cstheme="majorBidi"/>
          <w:sz w:val="24"/>
          <w:szCs w:val="24"/>
        </w:rPr>
        <w:t>artifacts, cadences, and decisions</w:t>
      </w:r>
      <w:r w:rsidR="00B03C22">
        <w:rPr>
          <w:rFonts w:asciiTheme="majorBidi" w:hAnsiTheme="majorBidi" w:cstheme="majorBidi"/>
          <w:sz w:val="24"/>
          <w:szCs w:val="24"/>
        </w:rPr>
        <w:t>-</w:t>
      </w:r>
      <w:r w:rsidRPr="000A2104">
        <w:rPr>
          <w:rFonts w:asciiTheme="majorBidi" w:hAnsiTheme="majorBidi" w:cstheme="majorBidi"/>
          <w:sz w:val="24"/>
          <w:szCs w:val="24"/>
        </w:rPr>
        <w:t>rather than in culture slogans</w:t>
      </w:r>
      <w:r w:rsidRPr="000A2104">
        <w:rPr>
          <w:rFonts w:asciiTheme="majorBidi" w:hAnsiTheme="majorBidi" w:cstheme="majorBidi"/>
          <w:sz w:val="24"/>
          <w:szCs w:val="24"/>
          <w:rtl/>
        </w:rPr>
        <w:t>.</w:t>
      </w:r>
    </w:p>
    <w:p w14:paraId="1E78C2E6" w14:textId="77777777"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KPMG (2025) operationalizes integration through the Three Lines logic with RACI, approval thresholds, and service-level agreements, showing that decision ownership and escalation speed become measurable properties of the seam. International Monetary Fund (2023) adds that in volatile regimes, small misalignments at handoff amplify into pricing, tenor, collateral, and onboarding errors, raising the execution cost of weak integration. Bank for International Settlements (2013) makes the stakes concrete by embedding liquidity constraints that must be absorbed before approval, not repaired at a late gate</w:t>
      </w:r>
      <w:r w:rsidRPr="000A2104">
        <w:rPr>
          <w:rFonts w:asciiTheme="majorBidi" w:hAnsiTheme="majorBidi" w:cstheme="majorBidi"/>
          <w:sz w:val="24"/>
          <w:szCs w:val="24"/>
          <w:rtl/>
        </w:rPr>
        <w:t>.</w:t>
      </w:r>
    </w:p>
    <w:p w14:paraId="3A093488" w14:textId="117D2B70" w:rsidR="00B03044" w:rsidRPr="00CA573B"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Islamic Financial Services Board (2024) extends the integration lens to Islamic contracts</w:t>
      </w:r>
      <w:r w:rsidR="00B03C22">
        <w:rPr>
          <w:rFonts w:asciiTheme="majorBidi" w:hAnsiTheme="majorBidi" w:cstheme="majorBidi"/>
          <w:sz w:val="24"/>
          <w:szCs w:val="24"/>
        </w:rPr>
        <w:t>-</w:t>
      </w:r>
      <w:r w:rsidRPr="000A2104">
        <w:rPr>
          <w:rFonts w:asciiTheme="majorBidi" w:hAnsiTheme="majorBidi" w:cstheme="majorBidi"/>
          <w:sz w:val="24"/>
          <w:szCs w:val="24"/>
        </w:rPr>
        <w:t>murabaha, ijara, and musharaka</w:t>
      </w:r>
      <w:r w:rsidR="00B03C22">
        <w:rPr>
          <w:rFonts w:asciiTheme="majorBidi" w:hAnsiTheme="majorBidi" w:cstheme="majorBidi"/>
          <w:sz w:val="24"/>
          <w:szCs w:val="24"/>
        </w:rPr>
        <w:t>-</w:t>
      </w:r>
      <w:r w:rsidRPr="000A2104">
        <w:rPr>
          <w:rFonts w:asciiTheme="majorBidi" w:hAnsiTheme="majorBidi" w:cstheme="majorBidi"/>
          <w:sz w:val="24"/>
          <w:szCs w:val="24"/>
        </w:rPr>
        <w:t>arguing that form requirements (asset evidence, possession, profit recognition) are design inputs that necessitate earlier coupling among AM, Sales, Risk, and Shariah. For this study, organizational integration justifies measuring the functional relationship as structured front-to-back routines</w:t>
      </w:r>
      <w:r w:rsidR="00B03C22">
        <w:rPr>
          <w:rFonts w:asciiTheme="majorBidi" w:hAnsiTheme="majorBidi" w:cstheme="majorBidi"/>
          <w:sz w:val="24"/>
          <w:szCs w:val="24"/>
        </w:rPr>
        <w:t>-</w:t>
      </w:r>
      <w:r w:rsidRPr="000A2104">
        <w:rPr>
          <w:rFonts w:asciiTheme="majorBidi" w:hAnsiTheme="majorBidi" w:cstheme="majorBidi"/>
          <w:sz w:val="24"/>
          <w:szCs w:val="24"/>
        </w:rPr>
        <w:t>communication cadence, data co-visibility, incentive alignment, and RACI-based escalation</w:t>
      </w:r>
      <w:r w:rsidR="00B03C22">
        <w:rPr>
          <w:rFonts w:asciiTheme="majorBidi" w:hAnsiTheme="majorBidi" w:cstheme="majorBidi"/>
          <w:sz w:val="24"/>
          <w:szCs w:val="24"/>
        </w:rPr>
        <w:t>-</w:t>
      </w:r>
      <w:r w:rsidRPr="000A2104">
        <w:rPr>
          <w:rFonts w:asciiTheme="majorBidi" w:hAnsiTheme="majorBidi" w:cstheme="majorBidi"/>
          <w:sz w:val="24"/>
          <w:szCs w:val="24"/>
        </w:rPr>
        <w:t>and testing how these routines predict risk-management effectiveness at origination and early monitoring.</w:t>
      </w:r>
    </w:p>
    <w:p w14:paraId="7F676230" w14:textId="77777777" w:rsidR="000A2104" w:rsidRPr="000A2104" w:rsidRDefault="000A2104" w:rsidP="0063104A">
      <w:pPr>
        <w:pStyle w:val="4"/>
      </w:pPr>
      <w:bookmarkStart w:id="60" w:name="_Toc214621133"/>
      <w:r w:rsidRPr="000A2104">
        <w:t>Information-Processing</w:t>
      </w:r>
      <w:bookmarkEnd w:id="60"/>
    </w:p>
    <w:p w14:paraId="3C2EC6B2" w14:textId="77777777"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International Monetary Fund (2023) frames bank risk as execution under uncertainty, arguing that front-line teams must economize attention by channeling information through predictable routines and shared displays; otherwise, noise and latency overwhelm origination decisions. Building on this macro view, Bank for International Settlements (2013) shows how the Liquidity Coverage Ratio relocates prudential constraints to the point of pricing and tenor, making information timing and visibility at the AM–Sales seam a first-order design choice rather than a clerical afterthought</w:t>
      </w:r>
      <w:r w:rsidRPr="000A2104">
        <w:rPr>
          <w:rFonts w:asciiTheme="majorBidi" w:hAnsiTheme="majorBidi" w:cstheme="majorBidi"/>
          <w:sz w:val="24"/>
          <w:szCs w:val="24"/>
          <w:rtl/>
        </w:rPr>
        <w:t>.</w:t>
      </w:r>
    </w:p>
    <w:p w14:paraId="69896CDC" w14:textId="164A9041"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Habel, Alavi, and Heinitz (2023) demonstrate that predictive sales analytics do not change behavior unless insights are embedded in daily workflows</w:t>
      </w:r>
      <w:r w:rsidR="00B03C22">
        <w:rPr>
          <w:rFonts w:asciiTheme="majorBidi" w:hAnsiTheme="majorBidi" w:cstheme="majorBidi"/>
          <w:sz w:val="24"/>
          <w:szCs w:val="24"/>
        </w:rPr>
        <w:t>-</w:t>
      </w:r>
      <w:r w:rsidRPr="000A2104">
        <w:rPr>
          <w:rFonts w:asciiTheme="majorBidi" w:hAnsiTheme="majorBidi" w:cstheme="majorBidi"/>
          <w:sz w:val="24"/>
          <w:szCs w:val="24"/>
        </w:rPr>
        <w:t>surfaced inside CRM as next-best actions and tied to incentives</w:t>
      </w:r>
      <w:r w:rsidR="00B03C22">
        <w:rPr>
          <w:rFonts w:asciiTheme="majorBidi" w:hAnsiTheme="majorBidi" w:cstheme="majorBidi"/>
          <w:sz w:val="24"/>
          <w:szCs w:val="24"/>
        </w:rPr>
        <w:t>-</w:t>
      </w:r>
      <w:r w:rsidRPr="000A2104">
        <w:rPr>
          <w:rFonts w:asciiTheme="majorBidi" w:hAnsiTheme="majorBidi" w:cstheme="majorBidi"/>
          <w:sz w:val="24"/>
          <w:szCs w:val="24"/>
        </w:rPr>
        <w:t>so co-visibility and workflow integration become necessary conditions for improved screening. Lang, Peltonen, and Sarlin (2018) add that early-warning systems outperform when weak signals are escalated before booking via regular review cadences, clear thresholds, and feedback loops, linking communication rhythm to measurable reductions in false negatives at origination</w:t>
      </w:r>
      <w:r w:rsidRPr="000A2104">
        <w:rPr>
          <w:rFonts w:asciiTheme="majorBidi" w:hAnsiTheme="majorBidi" w:cstheme="majorBidi"/>
          <w:sz w:val="24"/>
          <w:szCs w:val="24"/>
          <w:rtl/>
        </w:rPr>
        <w:t>.</w:t>
      </w:r>
    </w:p>
    <w:p w14:paraId="582217BA" w14:textId="77777777" w:rsidR="000A2104" w:rsidRPr="000A2104"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Oet, Bianco, Gramlich, and Ong (2013) further show that system-level early-warning architectures succeed only when signal aggregation reduces dimensionality and presents actionable cues to decision owners, implying that AM–Sales interfaces must standardize signal selection (what is reviewed), attention scheduling (when it is reviewed), and triggering rules (how escalation occurs). McKinsey &amp; Company (2020) cautions that even robust analytics are neutralized by siloed routines and volume-biased incentives unless cross-functional review rituals and shared metrics are explicitly engineered</w:t>
      </w:r>
      <w:r w:rsidRPr="000A2104">
        <w:rPr>
          <w:rFonts w:asciiTheme="majorBidi" w:hAnsiTheme="majorBidi" w:cstheme="majorBidi"/>
          <w:sz w:val="24"/>
          <w:szCs w:val="24"/>
          <w:rtl/>
        </w:rPr>
        <w:t>.</w:t>
      </w:r>
    </w:p>
    <w:p w14:paraId="0BD67917" w14:textId="010B02C9" w:rsidR="00B03044" w:rsidRPr="00B32051" w:rsidRDefault="000A2104" w:rsidP="000A2104">
      <w:pPr>
        <w:bidi w:val="0"/>
        <w:spacing w:after="120" w:line="276" w:lineRule="auto"/>
        <w:ind w:firstLine="284"/>
        <w:jc w:val="both"/>
        <w:rPr>
          <w:rFonts w:asciiTheme="majorBidi" w:hAnsiTheme="majorBidi" w:cstheme="majorBidi"/>
          <w:sz w:val="24"/>
          <w:szCs w:val="24"/>
        </w:rPr>
      </w:pPr>
      <w:r w:rsidRPr="000A2104">
        <w:rPr>
          <w:rFonts w:asciiTheme="majorBidi" w:hAnsiTheme="majorBidi" w:cstheme="majorBidi"/>
          <w:sz w:val="24"/>
          <w:szCs w:val="24"/>
        </w:rPr>
        <w:t>Taken together, these strands justify modeling the functional relationship as an information processor: Communication Quality &amp; Cadence reduces noise and delays; Information Sharing &amp; Data Integration raises shared signal quality and traceability; and both mechanisms are expected</w:t>
      </w:r>
      <w:r w:rsidR="00B03C22">
        <w:rPr>
          <w:rFonts w:asciiTheme="majorBidi" w:hAnsiTheme="majorBidi" w:cstheme="majorBidi"/>
          <w:sz w:val="24"/>
          <w:szCs w:val="24"/>
        </w:rPr>
        <w:t>-</w:t>
      </w:r>
      <w:r w:rsidRPr="000A2104">
        <w:rPr>
          <w:rFonts w:asciiTheme="majorBidi" w:hAnsiTheme="majorBidi" w:cstheme="majorBidi"/>
          <w:sz w:val="24"/>
          <w:szCs w:val="24"/>
        </w:rPr>
        <w:t>within this study</w:t>
      </w:r>
      <w:r w:rsidR="00B03C22">
        <w:rPr>
          <w:rFonts w:asciiTheme="majorBidi" w:hAnsiTheme="majorBidi" w:cstheme="majorBidi"/>
          <w:sz w:val="24"/>
          <w:szCs w:val="24"/>
        </w:rPr>
        <w:t>-</w:t>
      </w:r>
      <w:r w:rsidRPr="000A2104">
        <w:rPr>
          <w:rFonts w:asciiTheme="majorBidi" w:hAnsiTheme="majorBidi" w:cstheme="majorBidi"/>
          <w:sz w:val="24"/>
          <w:szCs w:val="24"/>
        </w:rPr>
        <w:t>to predict Early Risk Identification &amp; Onboarding Quality and Credit Discipline &amp; Outcomes. In liquidity-sensitive contexts, the same processing discipline should also improve Liquidity &amp; Market-Risk Fit at Origination, given the LCR-driven need to internalize funding realities at the moment of deal design (Bank for International Settlements, 2013).</w:t>
      </w:r>
    </w:p>
    <w:p w14:paraId="4075C137" w14:textId="3BDFD2EC" w:rsidR="00B03044" w:rsidRPr="00B32051" w:rsidRDefault="0063104A" w:rsidP="0063104A">
      <w:pPr>
        <w:pStyle w:val="4"/>
      </w:pPr>
      <w:bookmarkStart w:id="61" w:name="_Toc214621134"/>
      <w:r w:rsidRPr="0063104A">
        <w:t>Three Lines Model</w:t>
      </w:r>
      <w:bookmarkEnd w:id="61"/>
    </w:p>
    <w:p w14:paraId="1F9E915E" w14:textId="464626CF"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Definition and placement. KPMG (2025) treats the Three Lines model as a work-design architecture in which the first line owns and manages risk in delivery, the second line sets policy and challenges decisions, and the third line provides independent assurance</w:t>
      </w:r>
      <w:r w:rsidR="00B03C22">
        <w:rPr>
          <w:rFonts w:asciiTheme="majorBidi" w:hAnsiTheme="majorBidi" w:cstheme="majorBidi"/>
          <w:sz w:val="24"/>
          <w:szCs w:val="24"/>
        </w:rPr>
        <w:t>-</w:t>
      </w:r>
      <w:r w:rsidRPr="0063104A">
        <w:rPr>
          <w:rFonts w:asciiTheme="majorBidi" w:hAnsiTheme="majorBidi" w:cstheme="majorBidi"/>
          <w:sz w:val="24"/>
          <w:szCs w:val="24"/>
        </w:rPr>
        <w:t>an architecture that becomes operational only when translated into RACI charts, approval thresholds, and service-level agreements. In this framing, the AM–Sales interface sits squarely in the first line, where ownership for screening, pricing, tenor, collateral, and onboarding must be explicit rather than assumed (KPMG, 2025)</w:t>
      </w:r>
      <w:r w:rsidRPr="0063104A">
        <w:rPr>
          <w:rFonts w:asciiTheme="majorBidi" w:hAnsiTheme="majorBidi" w:cstheme="majorBidi"/>
          <w:sz w:val="24"/>
          <w:szCs w:val="24"/>
          <w:rtl/>
        </w:rPr>
        <w:t>.</w:t>
      </w:r>
    </w:p>
    <w:p w14:paraId="213B8670" w14:textId="77777777"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Frontline internalization of prudential aims. Bank for International Settlements (2013) makes the model tangible by embedding LCR constraints into pricing and tenor, which means first-line roles must internalize liquidity discipline at origination instead of treating it as a late gate. By extension, second-line risk functions calibrate limits, challenge borderline deals, and define escalation thresholds, while third-line audit tests whether the routines actually produce the intended control effect in practice (Bank for International Settlements, 2013)</w:t>
      </w:r>
      <w:r w:rsidRPr="0063104A">
        <w:rPr>
          <w:rFonts w:asciiTheme="majorBidi" w:hAnsiTheme="majorBidi" w:cstheme="majorBidi"/>
          <w:sz w:val="24"/>
          <w:szCs w:val="24"/>
          <w:rtl/>
        </w:rPr>
        <w:t>.</w:t>
      </w:r>
    </w:p>
    <w:p w14:paraId="03A12E83" w14:textId="1D56E7CC"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Seam performance and decision latency. Financial Stability Board (2023) argues that resilience is decided at the seams</w:t>
      </w:r>
      <w:r w:rsidR="00B03C22">
        <w:rPr>
          <w:rFonts w:asciiTheme="majorBidi" w:hAnsiTheme="majorBidi" w:cstheme="majorBidi"/>
          <w:sz w:val="24"/>
          <w:szCs w:val="24"/>
        </w:rPr>
        <w:t>-</w:t>
      </w:r>
      <w:r w:rsidRPr="0063104A">
        <w:rPr>
          <w:rFonts w:asciiTheme="majorBidi" w:hAnsiTheme="majorBidi" w:cstheme="majorBidi"/>
          <w:sz w:val="24"/>
          <w:szCs w:val="24"/>
        </w:rPr>
        <w:t>the handoffs between first and second lines</w:t>
      </w:r>
      <w:r w:rsidR="00B03C22">
        <w:rPr>
          <w:rFonts w:asciiTheme="majorBidi" w:hAnsiTheme="majorBidi" w:cstheme="majorBidi"/>
          <w:sz w:val="24"/>
          <w:szCs w:val="24"/>
        </w:rPr>
        <w:t>-</w:t>
      </w:r>
      <w:r w:rsidRPr="0063104A">
        <w:rPr>
          <w:rFonts w:asciiTheme="majorBidi" w:hAnsiTheme="majorBidi" w:cstheme="majorBidi"/>
          <w:sz w:val="24"/>
          <w:szCs w:val="24"/>
        </w:rPr>
        <w:t>so cadence, shared indicators, and time-bound escalation are not niceties but governance mechanisms that compress decision latency and reduce rework. Building on this view, KPMG (2025) shows that explicit ownership (“who decides”), evidence standards (“on what basis”), and SLAs (“by when”) convert the model from an org chart into a measurable flow of decisions and escalations at the AM–Sales boundary</w:t>
      </w:r>
      <w:r w:rsidRPr="0063104A">
        <w:rPr>
          <w:rFonts w:asciiTheme="majorBidi" w:hAnsiTheme="majorBidi" w:cstheme="majorBidi"/>
          <w:sz w:val="24"/>
          <w:szCs w:val="24"/>
          <w:rtl/>
        </w:rPr>
        <w:t>.</w:t>
      </w:r>
    </w:p>
    <w:p w14:paraId="5982176D" w14:textId="77777777"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Islamic-bank adaptation. Islamic Financial Services Board (2024) extends the model by treating murabaha, ijara, and musharaka as contract-form constraints that require early Shariah inputs; practically, this locates parts of Shariah review upstream in the first line, while the Shariah governance function provides second-line challenge and ongoing oversight. In this configuration, AM–Sales must coordinate with risk and Shariah before booking, aligning commercial structure with form–substance requirements to avoid late rework and control failures (Islamic Financial Services Board, 2024)</w:t>
      </w:r>
      <w:r w:rsidRPr="0063104A">
        <w:rPr>
          <w:rFonts w:asciiTheme="majorBidi" w:hAnsiTheme="majorBidi" w:cstheme="majorBidi"/>
          <w:sz w:val="24"/>
          <w:szCs w:val="24"/>
          <w:rtl/>
        </w:rPr>
        <w:t>.</w:t>
      </w:r>
    </w:p>
    <w:p w14:paraId="1B48AF75" w14:textId="6EC9A782" w:rsidR="00B03044" w:rsidRPr="00B32051"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Implication for this study. KPMG (2025) motivates measuring Decision Rights &amp; Escalation Clarity (RACI) as a core dimension of the independent variable, while Bank for International Settlements (2013) links strong first-line ownership to better Liquidity &amp; Market-Risk Fit at Origination. Financial Stability Board (2023) justifies testing whether time-bound escalation improves Operational Resilience &amp; Third-Party Control, and Islamic Financial Services Board (2024) explains why early Shariah involvement should enhance Early Risk Identification &amp; Onboarding. Building on these foundations, the next subsection specifies the governance and escalation logic that operationalizes these roles into concrete thresholds, paths, and timers.</w:t>
      </w:r>
    </w:p>
    <w:p w14:paraId="2ACF176B" w14:textId="77777777" w:rsidR="0063104A" w:rsidRPr="0063104A" w:rsidRDefault="0063104A" w:rsidP="0063104A">
      <w:pPr>
        <w:pStyle w:val="4"/>
      </w:pPr>
      <w:bookmarkStart w:id="62" w:name="_Toc214621135"/>
      <w:r w:rsidRPr="0063104A">
        <w:t>Governance &amp; Escalation Logic</w:t>
      </w:r>
      <w:bookmarkEnd w:id="62"/>
    </w:p>
    <w:p w14:paraId="65C23B76" w14:textId="602A8DAF"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Concept and purpose. Financial Stability Board (2023) frames governance as a seams-first architecture in which who decides, on what evidence, and by when is specified in advance; the aim is to prevent policy–execution gaps by enforcing time-bound escalations when risk signals breach thresholds. KPMG (2025) translates this into operating tools</w:t>
      </w:r>
      <w:r w:rsidR="00B03C22">
        <w:rPr>
          <w:rFonts w:asciiTheme="majorBidi" w:hAnsiTheme="majorBidi" w:cstheme="majorBidi"/>
          <w:sz w:val="24"/>
          <w:szCs w:val="24"/>
        </w:rPr>
        <w:t>-</w:t>
      </w:r>
      <w:r w:rsidRPr="0063104A">
        <w:rPr>
          <w:rFonts w:asciiTheme="majorBidi" w:hAnsiTheme="majorBidi" w:cstheme="majorBidi"/>
          <w:sz w:val="24"/>
          <w:szCs w:val="24"/>
        </w:rPr>
        <w:t>RACI charts, approval thresholds, and SLAs</w:t>
      </w:r>
      <w:r w:rsidR="00B03C22">
        <w:rPr>
          <w:rFonts w:asciiTheme="majorBidi" w:hAnsiTheme="majorBidi" w:cstheme="majorBidi"/>
          <w:sz w:val="24"/>
          <w:szCs w:val="24"/>
        </w:rPr>
        <w:t>-</w:t>
      </w:r>
      <w:r w:rsidRPr="0063104A">
        <w:rPr>
          <w:rFonts w:asciiTheme="majorBidi" w:hAnsiTheme="majorBidi" w:cstheme="majorBidi"/>
          <w:sz w:val="24"/>
          <w:szCs w:val="24"/>
        </w:rPr>
        <w:t>so decision ownership and escalation speed become measurable attributes of the AM–Sales interface rather than informal expectations</w:t>
      </w:r>
      <w:r w:rsidRPr="0063104A">
        <w:rPr>
          <w:rFonts w:asciiTheme="majorBidi" w:hAnsiTheme="majorBidi" w:cstheme="majorBidi"/>
          <w:sz w:val="24"/>
          <w:szCs w:val="24"/>
          <w:rtl/>
        </w:rPr>
        <w:t>.</w:t>
      </w:r>
    </w:p>
    <w:p w14:paraId="677004AB" w14:textId="77777777"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Latency, thresholds, and prudential fit. Bank for International Settlements (2013) embeds prudential discipline through the LCR, which forces liquidity and tenor constraints to be internalized before approval; when a deal breaches pre-set liquidity or credit parameters, escalation must trigger upstream to second-line risk with documented turn-around times. International Monetary Fund (2023) adds that in volatile regimes, slow or ambiguous escalation amplifies loss given error, so governance should compress decision latency and require evidence-based overrides instead of discretionary exceptions</w:t>
      </w:r>
      <w:r w:rsidRPr="0063104A">
        <w:rPr>
          <w:rFonts w:asciiTheme="majorBidi" w:hAnsiTheme="majorBidi" w:cstheme="majorBidi"/>
          <w:sz w:val="24"/>
          <w:szCs w:val="24"/>
          <w:rtl/>
        </w:rPr>
        <w:t>.</w:t>
      </w:r>
    </w:p>
    <w:p w14:paraId="4F6FF60D" w14:textId="63B66F46" w:rsidR="0063104A" w:rsidRPr="0063104A"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Islamic-bank adaptation. Islamic Financial Services Board (2024) treats murabaha, ijara, and musharaka as contract-form constraints that demand early Shariah inputs; practically, this means routing uncertainties about asset evidence, ownership transfer, or profit recognition through pre-deal Shariah consultation on a defined clock. State Bank of Pakistan (2024) reinforces this logic by prescribing RACI-style role clarity for Shariah review, including who verifies evidence, who may grant conditional approvals, and when matters are escalated to the Shariah board</w:t>
      </w:r>
      <w:r w:rsidR="00B03C22">
        <w:rPr>
          <w:rFonts w:asciiTheme="majorBidi" w:hAnsiTheme="majorBidi" w:cstheme="majorBidi"/>
          <w:sz w:val="24"/>
          <w:szCs w:val="24"/>
        </w:rPr>
        <w:t>-</w:t>
      </w:r>
      <w:r w:rsidRPr="0063104A">
        <w:rPr>
          <w:rFonts w:asciiTheme="majorBidi" w:hAnsiTheme="majorBidi" w:cstheme="majorBidi"/>
          <w:sz w:val="24"/>
          <w:szCs w:val="24"/>
        </w:rPr>
        <w:t>thereby tying AM–Sales coordination to risk quality by design. World Bank (van Greuning &amp; Iqbal, 2008) cautions that weak form–substance alignment frequently materializes as credit and operational losses, not merely compliance findings, which justifies locating Shariah escalation before booking</w:t>
      </w:r>
      <w:r w:rsidRPr="0063104A">
        <w:rPr>
          <w:rFonts w:asciiTheme="majorBidi" w:hAnsiTheme="majorBidi" w:cstheme="majorBidi"/>
          <w:sz w:val="24"/>
          <w:szCs w:val="24"/>
          <w:rtl/>
        </w:rPr>
        <w:t>.</w:t>
      </w:r>
    </w:p>
    <w:p w14:paraId="1CDD3AB0" w14:textId="153F3A13" w:rsidR="00B03044" w:rsidRPr="00B32051" w:rsidRDefault="0063104A" w:rsidP="0063104A">
      <w:pPr>
        <w:bidi w:val="0"/>
        <w:spacing w:after="120" w:line="276" w:lineRule="auto"/>
        <w:ind w:firstLine="284"/>
        <w:jc w:val="both"/>
        <w:rPr>
          <w:rFonts w:asciiTheme="majorBidi" w:hAnsiTheme="majorBidi" w:cstheme="majorBidi"/>
          <w:sz w:val="24"/>
          <w:szCs w:val="24"/>
        </w:rPr>
      </w:pPr>
      <w:r w:rsidRPr="0063104A">
        <w:rPr>
          <w:rFonts w:asciiTheme="majorBidi" w:hAnsiTheme="majorBidi" w:cstheme="majorBidi"/>
          <w:sz w:val="24"/>
          <w:szCs w:val="24"/>
        </w:rPr>
        <w:t>Implications for this study. KPMG (2025) motivates the IV dimension Decision Rights &amp; Escalation Clarity (RACI), while Financial Stability Board (2023) suggests testing its link to Operational Resilience &amp; Third-Party Control through time-bound handoffs and evidence standards. Bank for International Settlements (2013) supports an expected association with Liquidity &amp; Market-Risk Fit at Origination, since clearer thresholds and override rules reduce tenor–funding mismatches. Islamic Financial Services Board (2024) and State Bank of Pakistan (2024) further imply improvements in Early Risk Identification &amp; Onboarding when Shariah pathways are defined ex-ante. Building on these governance mechanics, the next subsection examines Communication Quality and Cadence, showing how routines and feedback loops create the signal flow that escalation pathways are designed to act upon.</w:t>
      </w:r>
    </w:p>
    <w:p w14:paraId="0D3150CE" w14:textId="412DE67C" w:rsidR="00B03044" w:rsidRPr="00B32051" w:rsidRDefault="002F27AA" w:rsidP="002F27AA">
      <w:pPr>
        <w:pStyle w:val="3"/>
      </w:pPr>
      <w:bookmarkStart w:id="63" w:name="_Toc214621136"/>
      <w:r w:rsidRPr="002F27AA">
        <w:t>Communication Quality and Cadence</w:t>
      </w:r>
      <w:bookmarkEnd w:id="63"/>
    </w:p>
    <w:p w14:paraId="682988A9" w14:textId="3607BB17" w:rsidR="00B03044" w:rsidRDefault="002F27AA" w:rsidP="00C563DA">
      <w:pPr>
        <w:bidi w:val="0"/>
        <w:spacing w:after="120" w:line="276" w:lineRule="auto"/>
        <w:ind w:firstLine="284"/>
        <w:jc w:val="both"/>
        <w:rPr>
          <w:rFonts w:asciiTheme="majorBidi" w:hAnsiTheme="majorBidi" w:cstheme="majorBidi"/>
          <w:sz w:val="24"/>
          <w:szCs w:val="24"/>
        </w:rPr>
      </w:pPr>
      <w:r w:rsidRPr="002F27AA">
        <w:rPr>
          <w:rFonts w:asciiTheme="majorBidi" w:hAnsiTheme="majorBidi" w:cstheme="majorBidi"/>
          <w:sz w:val="24"/>
          <w:szCs w:val="24"/>
        </w:rPr>
        <w:t>International Monetary Fund (2023) argues that in volatility-prone conditions, risk quality hinges on how information flows at the frontline, not only on written policy, making communication cadence a first-order control rather than a soft skill. Financial Stability Board (2023) adds that resilience is decided at seams; irregular meetings, unclear agendas, and undocumented handoffs widen interpretation gaps and delay escalation. Habel, Alavi, and Heinitz (2023) show that analytics influence behavior only when insights are surfaced inside routines, so cadence must bind messages to actions. Lang, Peltonen, and Sarlin (2018) further demonstrate that feedback loops pre-booking reduce false negatives, linking clarity, rhythm, and rapid response</w:t>
      </w:r>
      <w:r w:rsidR="00B03C22">
        <w:rPr>
          <w:rFonts w:asciiTheme="majorBidi" w:hAnsiTheme="majorBidi" w:cstheme="majorBidi"/>
          <w:sz w:val="24"/>
          <w:szCs w:val="24"/>
        </w:rPr>
        <w:t>-</w:t>
      </w:r>
      <w:r w:rsidRPr="002F27AA">
        <w:rPr>
          <w:rFonts w:asciiTheme="majorBidi" w:hAnsiTheme="majorBidi" w:cstheme="majorBidi"/>
          <w:sz w:val="24"/>
          <w:szCs w:val="24"/>
        </w:rPr>
        <w:t>thereby preparing the ground to specify failure modes and design corrective loops.</w:t>
      </w:r>
    </w:p>
    <w:p w14:paraId="50B47305" w14:textId="77777777" w:rsidR="00C563DA" w:rsidRPr="00C563DA" w:rsidRDefault="00C563DA" w:rsidP="002E6F27">
      <w:pPr>
        <w:pStyle w:val="a5"/>
        <w:numPr>
          <w:ilvl w:val="0"/>
          <w:numId w:val="16"/>
        </w:numPr>
        <w:bidi w:val="0"/>
        <w:spacing w:after="120" w:line="276" w:lineRule="auto"/>
        <w:rPr>
          <w:rFonts w:asciiTheme="majorBidi" w:hAnsiTheme="majorBidi" w:cstheme="majorBidi"/>
          <w:sz w:val="24"/>
          <w:szCs w:val="24"/>
        </w:rPr>
      </w:pPr>
      <w:r w:rsidRPr="00C563DA">
        <w:rPr>
          <w:rFonts w:asciiTheme="majorBidi" w:hAnsiTheme="majorBidi" w:cstheme="majorBidi"/>
          <w:sz w:val="24"/>
          <w:szCs w:val="24"/>
        </w:rPr>
        <w:t>Role of Communication Cadence and Quality in Narrowing Understanding Gaps</w:t>
      </w:r>
    </w:p>
    <w:p w14:paraId="35AD5C9C" w14:textId="464AE290"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International Monetary Fund (2023) argues that under uncertainty, when and how teams talk becomes a control in its own right: predictable cadences concentrate attention, reduce noise, and prevent selective exposure to “good news,” thereby shrinking interpretation gaps at origination. Financial Stability Board (2023) extends this seam-first view, suggesting that fixed rhythms</w:t>
      </w:r>
      <w:r w:rsidR="00B03C22">
        <w:rPr>
          <w:rFonts w:asciiTheme="majorBidi" w:hAnsiTheme="majorBidi" w:cstheme="majorBidi"/>
          <w:sz w:val="24"/>
          <w:szCs w:val="24"/>
        </w:rPr>
        <w:t>-</w:t>
      </w:r>
      <w:r w:rsidRPr="00C563DA">
        <w:rPr>
          <w:rFonts w:asciiTheme="majorBidi" w:hAnsiTheme="majorBidi" w:cstheme="majorBidi"/>
          <w:sz w:val="24"/>
          <w:szCs w:val="24"/>
        </w:rPr>
        <w:t>weekly pipeline reviews, pre-deal huddles, and time-boxed escalations</w:t>
      </w:r>
      <w:r w:rsidR="00B03C22">
        <w:rPr>
          <w:rFonts w:asciiTheme="majorBidi" w:hAnsiTheme="majorBidi" w:cstheme="majorBidi"/>
          <w:sz w:val="24"/>
          <w:szCs w:val="24"/>
        </w:rPr>
        <w:t>-</w:t>
      </w:r>
      <w:r w:rsidRPr="00C563DA">
        <w:rPr>
          <w:rFonts w:asciiTheme="majorBidi" w:hAnsiTheme="majorBidi" w:cstheme="majorBidi"/>
          <w:sz w:val="24"/>
          <w:szCs w:val="24"/>
        </w:rPr>
        <w:t>only work if paired with clarity artifacts (agendas, decision logs, and shared dashboards) so that AM and Sales consume the same signals in the same window</w:t>
      </w:r>
      <w:r w:rsidRPr="00C563DA">
        <w:rPr>
          <w:rFonts w:asciiTheme="majorBidi" w:hAnsiTheme="majorBidi" w:cs="Times New Roman"/>
          <w:sz w:val="24"/>
          <w:szCs w:val="24"/>
          <w:rtl/>
        </w:rPr>
        <w:t>.</w:t>
      </w:r>
    </w:p>
    <w:p w14:paraId="56C6A5B0" w14:textId="77777777"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Habel, Alavi, and Heinitz (2023) show that analytics affect behavior only when insights are embedded inside routines; a CRM alert discussed in a recurring stand-up drives screening quality, while the same alert in a standalone dashboard often goes unseen. Lang, Peltonen, and Sarlin (2018) add that feedback loops matter as much as frequency: cadenced reviews that capture outcomes (e.g., post-approval slippages, early delinquencies) refine upstream judgment, turning cadence into a learning mechanism rather than a calendar ritual. McKinsey &amp; Company (2020) cautions that high-frequency communication without message quality (clear owners, evidence standards, and next actions) amplifies confusion, so cadence must be tied to decision rights and thresholds to avoid “meeting inflation</w:t>
      </w:r>
      <w:r w:rsidRPr="00C563DA">
        <w:rPr>
          <w:rFonts w:asciiTheme="majorBidi" w:hAnsiTheme="majorBidi" w:cs="Times New Roman"/>
          <w:sz w:val="24"/>
          <w:szCs w:val="24"/>
          <w:rtl/>
        </w:rPr>
        <w:t>.”</w:t>
      </w:r>
    </w:p>
    <w:p w14:paraId="33EC2A77" w14:textId="2CCE50F2" w:rsidR="002F27AA" w:rsidRDefault="00C563DA" w:rsidP="00C563DA">
      <w:pPr>
        <w:bidi w:val="0"/>
        <w:spacing w:after="120" w:line="276" w:lineRule="auto"/>
        <w:ind w:firstLine="284"/>
        <w:jc w:val="both"/>
        <w:rPr>
          <w:rFonts w:asciiTheme="majorBidi" w:hAnsiTheme="majorBidi" w:cstheme="majorBidi"/>
          <w:sz w:val="24"/>
          <w:szCs w:val="24"/>
        </w:rPr>
      </w:pPr>
      <w:r w:rsidRPr="00C563DA">
        <w:rPr>
          <w:rFonts w:asciiTheme="majorBidi" w:hAnsiTheme="majorBidi" w:cstheme="majorBidi"/>
          <w:sz w:val="24"/>
          <w:szCs w:val="24"/>
        </w:rPr>
        <w:t>KPMG (2025) ties these elements to role clarity: cadence aligned with RACI compresses decision latency and reduces rework, particularly when liquidity constraints must be internalized before approval. Building on this mechanism, the next subsection examines handoff failure modes, showing where cadence and clarity typically break</w:t>
      </w:r>
      <w:r w:rsidR="00B03C22">
        <w:rPr>
          <w:rFonts w:asciiTheme="majorBidi" w:hAnsiTheme="majorBidi" w:cstheme="majorBidi"/>
          <w:sz w:val="24"/>
          <w:szCs w:val="24"/>
        </w:rPr>
        <w:t>-</w:t>
      </w:r>
      <w:r w:rsidRPr="00C563DA">
        <w:rPr>
          <w:rFonts w:asciiTheme="majorBidi" w:hAnsiTheme="majorBidi" w:cstheme="majorBidi"/>
          <w:sz w:val="24"/>
          <w:szCs w:val="24"/>
        </w:rPr>
        <w:t>and how to design loops that catch those breaks early.</w:t>
      </w:r>
    </w:p>
    <w:p w14:paraId="7F3F3CB8" w14:textId="77777777" w:rsidR="00C563DA" w:rsidRPr="00C563DA" w:rsidRDefault="00C563DA" w:rsidP="002E6F27">
      <w:pPr>
        <w:pStyle w:val="a5"/>
        <w:numPr>
          <w:ilvl w:val="0"/>
          <w:numId w:val="16"/>
        </w:numPr>
        <w:bidi w:val="0"/>
        <w:spacing w:after="120" w:line="276" w:lineRule="auto"/>
        <w:rPr>
          <w:rFonts w:asciiTheme="majorBidi" w:hAnsiTheme="majorBidi" w:cstheme="majorBidi"/>
          <w:sz w:val="24"/>
          <w:szCs w:val="24"/>
        </w:rPr>
      </w:pPr>
      <w:r w:rsidRPr="00C563DA">
        <w:rPr>
          <w:rFonts w:asciiTheme="majorBidi" w:hAnsiTheme="majorBidi" w:cstheme="majorBidi"/>
          <w:sz w:val="24"/>
          <w:szCs w:val="24"/>
        </w:rPr>
        <w:t>Handoff Failure Modes at the AM–Sales Seam</w:t>
      </w:r>
    </w:p>
    <w:p w14:paraId="3809583A" w14:textId="6E184841"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International Monetary Fund (2023) notes that under uncertainty, small timing errors at handoff amplify into pricing, tenor, and onboarding mistakes; in practice, cadence drift (missed pre-deal huddles, irregular pipeline reviews) creates stale assumptions that survive to approval. Financial Stability Board (2023) adds that asymmetric visibility</w:t>
      </w:r>
      <w:r w:rsidR="00B03C22">
        <w:rPr>
          <w:rFonts w:asciiTheme="majorBidi" w:hAnsiTheme="majorBidi" w:cstheme="majorBidi"/>
          <w:sz w:val="24"/>
          <w:szCs w:val="24"/>
        </w:rPr>
        <w:t>-</w:t>
      </w:r>
      <w:r w:rsidRPr="00C563DA">
        <w:rPr>
          <w:rFonts w:asciiTheme="majorBidi" w:hAnsiTheme="majorBidi" w:cstheme="majorBidi"/>
          <w:sz w:val="24"/>
          <w:szCs w:val="24"/>
        </w:rPr>
        <w:t>when Sales sees pipeline signals that the Account Manager (AM) does not</w:t>
      </w:r>
      <w:r w:rsidRPr="00C563DA">
        <w:rPr>
          <w:rFonts w:asciiTheme="majorBidi" w:hAnsiTheme="majorBidi" w:cs="Times New Roman"/>
          <w:sz w:val="24"/>
          <w:szCs w:val="24"/>
          <w:rtl/>
        </w:rPr>
        <w:t xml:space="preserve"> (</w:t>
      </w:r>
      <w:r w:rsidRPr="00C563DA">
        <w:rPr>
          <w:rFonts w:asciiTheme="majorBidi" w:hAnsiTheme="majorBidi" w:cstheme="majorBidi"/>
          <w:sz w:val="24"/>
          <w:szCs w:val="24"/>
        </w:rPr>
        <w:t>or</w:t>
      </w:r>
      <w:r w:rsidRPr="00C563DA">
        <w:rPr>
          <w:rFonts w:asciiTheme="majorBidi" w:hAnsiTheme="majorBidi" w:cs="Times New Roman"/>
          <w:sz w:val="24"/>
          <w:szCs w:val="24"/>
          <w:rtl/>
        </w:rPr>
        <w:t xml:space="preserve"> العكس)</w:t>
      </w:r>
      <w:r w:rsidR="00B03C22">
        <w:rPr>
          <w:rFonts w:asciiTheme="majorBidi" w:hAnsiTheme="majorBidi" w:cs="Times New Roman"/>
          <w:sz w:val="24"/>
          <w:szCs w:val="24"/>
        </w:rPr>
        <w:t>-</w:t>
      </w:r>
      <w:r w:rsidRPr="00C563DA">
        <w:rPr>
          <w:rFonts w:asciiTheme="majorBidi" w:hAnsiTheme="majorBidi" w:cstheme="majorBidi"/>
          <w:sz w:val="24"/>
          <w:szCs w:val="24"/>
        </w:rPr>
        <w:t>produces conflicting interpretations; without shared dashboards and time-boxed agendas, teams debate narratives rather than evidence. McKinsey &amp; Company (2020) observes that tooling silos and volume-biased incentives worsen the gap: analysts push dashboards, but frontline choices remain path-dependent when insights are not embedded in the routine that triggers action</w:t>
      </w:r>
      <w:r w:rsidRPr="00C563DA">
        <w:rPr>
          <w:rFonts w:asciiTheme="majorBidi" w:hAnsiTheme="majorBidi" w:cs="Times New Roman"/>
          <w:sz w:val="24"/>
          <w:szCs w:val="24"/>
          <w:rtl/>
        </w:rPr>
        <w:t>.</w:t>
      </w:r>
    </w:p>
    <w:p w14:paraId="598A8CCC" w14:textId="1DCDC24A"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KPMG (2025) identifies ownership ambiguity as a core failure mode: if RACI is vague, no one “owns” the credit memo quality, KYC depth, or escalation trigger, so issues stall between first and second lines. Bank for International Settlements (2013) ties ambiguity to liquidity misfit: when tenor/pricing decisions ignore LCR constraints at origination, the liquidity breach appears after booking, forcing rework or capital buffers ex post. Lang, Peltonen, and Sarlin (2018) show that weak feedback loops sustain high false-negative rates</w:t>
      </w:r>
      <w:r w:rsidR="00B03C22">
        <w:rPr>
          <w:rFonts w:asciiTheme="majorBidi" w:hAnsiTheme="majorBidi" w:cstheme="majorBidi"/>
          <w:sz w:val="24"/>
          <w:szCs w:val="24"/>
        </w:rPr>
        <w:t>-</w:t>
      </w:r>
      <w:r w:rsidRPr="00C563DA">
        <w:rPr>
          <w:rFonts w:asciiTheme="majorBidi" w:hAnsiTheme="majorBidi" w:cstheme="majorBidi"/>
          <w:sz w:val="24"/>
          <w:szCs w:val="24"/>
        </w:rPr>
        <w:t>signals of deterioration exist but are neither reviewed on schedule nor escalated</w:t>
      </w:r>
      <w:r w:rsidR="00B03C22">
        <w:rPr>
          <w:rFonts w:asciiTheme="majorBidi" w:hAnsiTheme="majorBidi" w:cstheme="majorBidi"/>
          <w:sz w:val="24"/>
          <w:szCs w:val="24"/>
        </w:rPr>
        <w:t>-</w:t>
      </w:r>
      <w:r w:rsidRPr="00C563DA">
        <w:rPr>
          <w:rFonts w:asciiTheme="majorBidi" w:hAnsiTheme="majorBidi" w:cstheme="majorBidi"/>
          <w:sz w:val="24"/>
          <w:szCs w:val="24"/>
        </w:rPr>
        <w:t>while Oet, Bianco, Gramlich, and Ong (2013) warn that signal overload without aggregation buries early warnings, letting borderline deals pass as noise</w:t>
      </w:r>
      <w:r w:rsidRPr="00C563DA">
        <w:rPr>
          <w:rFonts w:asciiTheme="majorBidi" w:hAnsiTheme="majorBidi" w:cs="Times New Roman"/>
          <w:sz w:val="24"/>
          <w:szCs w:val="24"/>
          <w:rtl/>
        </w:rPr>
        <w:t>.</w:t>
      </w:r>
    </w:p>
    <w:p w14:paraId="78985177" w14:textId="6D7D26B7" w:rsidR="002F27AA" w:rsidRDefault="00C563DA" w:rsidP="00C563DA">
      <w:pPr>
        <w:bidi w:val="0"/>
        <w:spacing w:after="120" w:line="276" w:lineRule="auto"/>
        <w:ind w:firstLine="284"/>
        <w:jc w:val="both"/>
        <w:rPr>
          <w:rFonts w:asciiTheme="majorBidi" w:hAnsiTheme="majorBidi" w:cstheme="majorBidi"/>
          <w:sz w:val="24"/>
          <w:szCs w:val="24"/>
        </w:rPr>
      </w:pPr>
      <w:r w:rsidRPr="00C563DA">
        <w:rPr>
          <w:rFonts w:asciiTheme="majorBidi" w:hAnsiTheme="majorBidi" w:cstheme="majorBidi"/>
          <w:sz w:val="24"/>
          <w:szCs w:val="24"/>
        </w:rPr>
        <w:t>Habel, Alavi, and Heinitz (2023) document a behavioral variant: insight–action gaps occur when predictive flags live outside the CRM workflow; without co-visibility and next-best-action prompts, alerts are observed yet not converted into screening changes. In Islamic settings, Islamic Financial Services Board (2024) highlights form–substance mismatches</w:t>
      </w:r>
      <w:r w:rsidR="00B03C22">
        <w:rPr>
          <w:rFonts w:asciiTheme="majorBidi" w:hAnsiTheme="majorBidi" w:cstheme="majorBidi"/>
          <w:sz w:val="24"/>
          <w:szCs w:val="24"/>
        </w:rPr>
        <w:t>-</w:t>
      </w:r>
      <w:r w:rsidRPr="00C563DA">
        <w:rPr>
          <w:rFonts w:asciiTheme="majorBidi" w:hAnsiTheme="majorBidi" w:cstheme="majorBidi"/>
          <w:sz w:val="24"/>
          <w:szCs w:val="24"/>
        </w:rPr>
        <w:t>missing asset evidence, unclear ownership transfer, or profit recognition errors</w:t>
      </w:r>
      <w:r w:rsidR="00B03C22">
        <w:rPr>
          <w:rFonts w:asciiTheme="majorBidi" w:hAnsiTheme="majorBidi" w:cstheme="majorBidi"/>
          <w:sz w:val="24"/>
          <w:szCs w:val="24"/>
        </w:rPr>
        <w:t>-</w:t>
      </w:r>
      <w:r w:rsidRPr="00C563DA">
        <w:rPr>
          <w:rFonts w:asciiTheme="majorBidi" w:hAnsiTheme="majorBidi" w:cstheme="majorBidi"/>
          <w:sz w:val="24"/>
          <w:szCs w:val="24"/>
        </w:rPr>
        <w:t>when Shariah inputs are late-gated rather than integrated upstream with AM–Sales, producing documentation defects that materialize as credit and operational losses (van Greuning &amp; Iqbal, 2008). Collectively, these modes</w:t>
      </w:r>
      <w:r w:rsidR="00B03C22">
        <w:rPr>
          <w:rFonts w:asciiTheme="majorBidi" w:hAnsiTheme="majorBidi" w:cstheme="majorBidi"/>
          <w:sz w:val="24"/>
          <w:szCs w:val="24"/>
        </w:rPr>
        <w:t>-</w:t>
      </w:r>
      <w:r w:rsidRPr="00C563DA">
        <w:rPr>
          <w:rFonts w:asciiTheme="majorBidi" w:hAnsiTheme="majorBidi" w:cstheme="majorBidi"/>
          <w:sz w:val="24"/>
          <w:szCs w:val="24"/>
        </w:rPr>
        <w:t>cadence drift, asymmetric visibility, ownership ambiguity, threshold vagueness, tool silos, weak feedback, and late Shariah gating</w:t>
      </w:r>
      <w:r w:rsidR="00B03C22">
        <w:rPr>
          <w:rFonts w:asciiTheme="majorBidi" w:hAnsiTheme="majorBidi" w:cstheme="majorBidi"/>
          <w:sz w:val="24"/>
          <w:szCs w:val="24"/>
        </w:rPr>
        <w:t>-</w:t>
      </w:r>
      <w:r w:rsidRPr="00C563DA">
        <w:rPr>
          <w:rFonts w:asciiTheme="majorBidi" w:hAnsiTheme="majorBidi" w:cstheme="majorBidi"/>
          <w:sz w:val="24"/>
          <w:szCs w:val="24"/>
        </w:rPr>
        <w:t>map directly to poorer Early Risk Identification &amp; Onboarding, weaker Credit Discipline &amp; Outcomes, and inferior Liquidity &amp; Market-Risk Fit, setting the stage for the next subsection on feedback loops and clarity as design remedies.</w:t>
      </w:r>
    </w:p>
    <w:p w14:paraId="2E4158A6" w14:textId="77777777" w:rsidR="00C563DA" w:rsidRPr="00C563DA" w:rsidRDefault="00C563DA" w:rsidP="002E6F27">
      <w:pPr>
        <w:pStyle w:val="a5"/>
        <w:numPr>
          <w:ilvl w:val="0"/>
          <w:numId w:val="16"/>
        </w:numPr>
        <w:bidi w:val="0"/>
        <w:spacing w:after="120" w:line="276" w:lineRule="auto"/>
        <w:rPr>
          <w:rFonts w:asciiTheme="majorBidi" w:hAnsiTheme="majorBidi" w:cstheme="majorBidi"/>
          <w:sz w:val="24"/>
          <w:szCs w:val="24"/>
        </w:rPr>
      </w:pPr>
      <w:r w:rsidRPr="00C563DA">
        <w:rPr>
          <w:rFonts w:asciiTheme="majorBidi" w:hAnsiTheme="majorBidi" w:cstheme="majorBidi"/>
          <w:sz w:val="24"/>
          <w:szCs w:val="24"/>
        </w:rPr>
        <w:t>Role of Clarity and Feedback Loops in the Functional Relationship</w:t>
      </w:r>
    </w:p>
    <w:p w14:paraId="1BF2AD80" w14:textId="2B1F5C38"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Clarity as a control. Financial Stability Board (2023) treats clarity</w:t>
      </w:r>
      <w:r w:rsidR="00B03C22">
        <w:rPr>
          <w:rFonts w:asciiTheme="majorBidi" w:hAnsiTheme="majorBidi" w:cstheme="majorBidi"/>
          <w:sz w:val="24"/>
          <w:szCs w:val="24"/>
        </w:rPr>
        <w:t>-</w:t>
      </w:r>
      <w:r w:rsidRPr="00C563DA">
        <w:rPr>
          <w:rFonts w:asciiTheme="majorBidi" w:hAnsiTheme="majorBidi" w:cstheme="majorBidi"/>
          <w:sz w:val="24"/>
          <w:szCs w:val="24"/>
        </w:rPr>
        <w:t>who decides, on what evidence, and by when</w:t>
      </w:r>
      <w:r w:rsidR="00B03C22">
        <w:rPr>
          <w:rFonts w:asciiTheme="majorBidi" w:hAnsiTheme="majorBidi" w:cstheme="majorBidi"/>
          <w:sz w:val="24"/>
          <w:szCs w:val="24"/>
        </w:rPr>
        <w:t>-</w:t>
      </w:r>
      <w:r w:rsidRPr="00C563DA">
        <w:rPr>
          <w:rFonts w:asciiTheme="majorBidi" w:hAnsiTheme="majorBidi" w:cstheme="majorBidi"/>
          <w:sz w:val="24"/>
          <w:szCs w:val="24"/>
        </w:rPr>
        <w:t>as a governance control rather than a communication nicety, arguing that explicit agendas, decision logs, and pre-agreed thresholds compress ambiguity at the AM–Sales seam. KPMG (2025) translates this into RACI charts, approval thresholds, and SLAs, turning role clarity into measurable properties (ownership, turnaround times, evidence standards) that reduce rework and disagreements at credit committees</w:t>
      </w:r>
      <w:r w:rsidRPr="00C563DA">
        <w:rPr>
          <w:rFonts w:asciiTheme="majorBidi" w:hAnsiTheme="majorBidi" w:cs="Times New Roman"/>
          <w:sz w:val="24"/>
          <w:szCs w:val="24"/>
          <w:rtl/>
        </w:rPr>
        <w:t>.</w:t>
      </w:r>
    </w:p>
    <w:p w14:paraId="47F6CF22" w14:textId="3C8E0126"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Feedback loops as an execution mechanism. Lang, Peltonen, and Sarlin (2018) show that early-warning systems outperform when weak signals are reviewed on a fixed cadence, captured in a learning loop, and escalated before booking</w:t>
      </w:r>
      <w:r w:rsidR="00B03C22">
        <w:rPr>
          <w:rFonts w:asciiTheme="majorBidi" w:hAnsiTheme="majorBidi" w:cstheme="majorBidi"/>
          <w:sz w:val="24"/>
          <w:szCs w:val="24"/>
        </w:rPr>
        <w:t>-</w:t>
      </w:r>
      <w:r w:rsidRPr="00C563DA">
        <w:rPr>
          <w:rFonts w:asciiTheme="majorBidi" w:hAnsiTheme="majorBidi" w:cstheme="majorBidi"/>
          <w:sz w:val="24"/>
          <w:szCs w:val="24"/>
        </w:rPr>
        <w:t>a design that links clarity (who reviews) with timing (when) and actionability (what triggers change). Oet, Bianco, Gramlich, and Ong (2013) add that signal aggregation and structured feedback reduce false negatives by converting scattered alerts into prioritized cues directed at named decision owners, reinforcing why clarity and loops must be co-designed</w:t>
      </w:r>
      <w:r w:rsidRPr="00C563DA">
        <w:rPr>
          <w:rFonts w:asciiTheme="majorBidi" w:hAnsiTheme="majorBidi" w:cs="Times New Roman"/>
          <w:sz w:val="24"/>
          <w:szCs w:val="24"/>
          <w:rtl/>
        </w:rPr>
        <w:t>.</w:t>
      </w:r>
    </w:p>
    <w:p w14:paraId="627517B4" w14:textId="77777777"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Embedding clarity inside daily tools. Habel, Alavi, and Heinitz (2023) find that analytics change frontline behavior only when insights are embedded in routine workflows (e.g., CRM next-best actions), making co-visibility and explicit next steps part of the loop. McKinsey &amp; Company (2020) cautions that frequent meetings without clear owners and follow-ups create “meeting inflation”; loops must end with assigned actions, deadlines, and traceable outcomes to avoid insight–action gaps</w:t>
      </w:r>
      <w:r w:rsidRPr="00C563DA">
        <w:rPr>
          <w:rFonts w:asciiTheme="majorBidi" w:hAnsiTheme="majorBidi" w:cs="Times New Roman"/>
          <w:sz w:val="24"/>
          <w:szCs w:val="24"/>
          <w:rtl/>
        </w:rPr>
        <w:t>.</w:t>
      </w:r>
    </w:p>
    <w:p w14:paraId="411B31C0" w14:textId="77777777"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Prudential fit and timeliness. Bank for International Settlements (2013) embeds LCR into pricing and tenor, implying that feedback on liquidity fit must return to AM–Sales before approval, not as a late check. International Monetary Fund (2023) agrees that in volatile regimes, latency is costly; fast, evidence-based feedback loops reduce loss-given-error by correcting assumptions at origination rather than after exposure is taken</w:t>
      </w:r>
      <w:r w:rsidRPr="00C563DA">
        <w:rPr>
          <w:rFonts w:asciiTheme="majorBidi" w:hAnsiTheme="majorBidi" w:cs="Times New Roman"/>
          <w:sz w:val="24"/>
          <w:szCs w:val="24"/>
          <w:rtl/>
        </w:rPr>
        <w:t>.</w:t>
      </w:r>
    </w:p>
    <w:p w14:paraId="4B507907" w14:textId="503BF095" w:rsidR="00C563DA" w:rsidRPr="00C563DA" w:rsidRDefault="00C563DA" w:rsidP="00C563DA">
      <w:pPr>
        <w:bidi w:val="0"/>
        <w:spacing w:after="120" w:line="276" w:lineRule="auto"/>
        <w:ind w:firstLine="284"/>
        <w:rPr>
          <w:rFonts w:asciiTheme="majorBidi" w:hAnsiTheme="majorBidi" w:cstheme="majorBidi"/>
          <w:sz w:val="24"/>
          <w:szCs w:val="24"/>
        </w:rPr>
      </w:pPr>
      <w:r w:rsidRPr="00C563DA">
        <w:rPr>
          <w:rFonts w:asciiTheme="majorBidi" w:hAnsiTheme="majorBidi" w:cstheme="majorBidi"/>
          <w:sz w:val="24"/>
          <w:szCs w:val="24"/>
        </w:rPr>
        <w:t>Islamic-bank adaptation. Islamic Financial Services Board (2024) treats murabaha, ijara, and musharaka as contract-form constraints; effective loops therefore include pre-deal Shariah consultations, standardized evidence checklists, and time-boxed escalation when asset proof, ownership transfer, or profit recognition is uncertain. State Bank of Pakistan (2024) reinforces this with RACI-style Shariah pathways, while World Bank (van Greuning &amp; Iqbal, 2008) links weak form–substance alignment to downstream credit and operational losses</w:t>
      </w:r>
      <w:r w:rsidR="00B03C22">
        <w:rPr>
          <w:rFonts w:asciiTheme="majorBidi" w:hAnsiTheme="majorBidi" w:cstheme="majorBidi"/>
          <w:sz w:val="24"/>
          <w:szCs w:val="24"/>
        </w:rPr>
        <w:t>-</w:t>
      </w:r>
      <w:r w:rsidRPr="00C563DA">
        <w:rPr>
          <w:rFonts w:asciiTheme="majorBidi" w:hAnsiTheme="majorBidi" w:cstheme="majorBidi"/>
          <w:sz w:val="24"/>
          <w:szCs w:val="24"/>
        </w:rPr>
        <w:t>evidence that clarity plus loops are not merely compliance rituals but risk levers</w:t>
      </w:r>
      <w:r w:rsidRPr="00C563DA">
        <w:rPr>
          <w:rFonts w:asciiTheme="majorBidi" w:hAnsiTheme="majorBidi" w:cs="Times New Roman"/>
          <w:sz w:val="24"/>
          <w:szCs w:val="24"/>
          <w:rtl/>
        </w:rPr>
        <w:t>.</w:t>
      </w:r>
    </w:p>
    <w:p w14:paraId="1C7E60A0" w14:textId="693FD90F" w:rsidR="002F27AA" w:rsidRDefault="00C563DA" w:rsidP="00C563DA">
      <w:pPr>
        <w:bidi w:val="0"/>
        <w:spacing w:after="120" w:line="276" w:lineRule="auto"/>
        <w:ind w:firstLine="284"/>
        <w:jc w:val="both"/>
        <w:rPr>
          <w:rFonts w:asciiTheme="majorBidi" w:hAnsiTheme="majorBidi" w:cstheme="majorBidi"/>
          <w:sz w:val="24"/>
          <w:szCs w:val="24"/>
        </w:rPr>
      </w:pPr>
      <w:r w:rsidRPr="00C563DA">
        <w:rPr>
          <w:rFonts w:asciiTheme="majorBidi" w:hAnsiTheme="majorBidi" w:cstheme="majorBidi"/>
          <w:sz w:val="24"/>
          <w:szCs w:val="24"/>
        </w:rPr>
        <w:t>Implication and bridge. Taken together, Financial Stability Board (2023), KPMG (2025), and Lang, Peltonen, and Sarlin (2018) justify modeling Communication Quality &amp; Cadence as inseparable from clarity and feedback loops: clarity defines who/what/when, while loops ensure learn-and-act. This logic sets up the next subsection on Information Sharing and Data Integration, where co-visibility, data lineage, and early-warning integration provide the informational substrate that makes clarity and feedback loops actually work at the AM–Sales interface.</w:t>
      </w:r>
    </w:p>
    <w:p w14:paraId="353B3EBF" w14:textId="0B01549A" w:rsidR="002F27AA" w:rsidRDefault="009D22A6" w:rsidP="009D22A6">
      <w:pPr>
        <w:pStyle w:val="3"/>
      </w:pPr>
      <w:bookmarkStart w:id="64" w:name="_Toc214621137"/>
      <w:r w:rsidRPr="009D22A6">
        <w:t>Information Sharing and Data Integration</w:t>
      </w:r>
      <w:bookmarkEnd w:id="64"/>
    </w:p>
    <w:p w14:paraId="596CC3F2" w14:textId="77777777" w:rsidR="009D22A6" w:rsidRPr="009D22A6" w:rsidRDefault="009D22A6" w:rsidP="009D22A6">
      <w:pPr>
        <w:bidi w:val="0"/>
        <w:spacing w:after="120" w:line="276" w:lineRule="auto"/>
        <w:ind w:firstLine="284"/>
        <w:jc w:val="both"/>
        <w:rPr>
          <w:rFonts w:asciiTheme="majorBidi" w:hAnsiTheme="majorBidi" w:cstheme="majorBidi"/>
          <w:sz w:val="24"/>
          <w:szCs w:val="24"/>
        </w:rPr>
      </w:pPr>
      <w:r w:rsidRPr="009D22A6">
        <w:rPr>
          <w:rFonts w:asciiTheme="majorBidi" w:hAnsiTheme="majorBidi" w:cstheme="majorBidi"/>
          <w:sz w:val="24"/>
          <w:szCs w:val="24"/>
        </w:rPr>
        <w:t>International Monetary Fund (2023) argues that under volatility, risk quality depends on what information is seen, by whom, and when, making co-visibility a frontline control rather than a convenience. Bank for International Settlements (2013) reinforces this by pushing liquidity discipline (LCR) into pricing and tenor, so AM–Sales must internalize funding signals inside daily tools. Habel, Alavi, and Heinitz (2023) show that analytics change behavior only when insights are embedded in CRM workflows, not parked in stand-alone dashboards. Lang, Peltonen, and Sarlin (2018) demonstrate that early-warning loops outperform when weak signals surface pre-booking. Oet, Bianco, Gramlich, and Ong (2013) add that signal aggregation and lineage reduce false negatives. Building on these strands, the next pages specify co-visibility, data lineage, and early-warning integration as the information substrate for AM–Sales execution.</w:t>
      </w:r>
    </w:p>
    <w:p w14:paraId="60071423" w14:textId="77777777" w:rsidR="009D22A6" w:rsidRPr="009D22A6" w:rsidRDefault="009D22A6" w:rsidP="002E6F27">
      <w:pPr>
        <w:pStyle w:val="a5"/>
        <w:numPr>
          <w:ilvl w:val="0"/>
          <w:numId w:val="17"/>
        </w:numPr>
        <w:bidi w:val="0"/>
        <w:spacing w:after="120" w:line="276" w:lineRule="auto"/>
        <w:rPr>
          <w:rFonts w:asciiTheme="majorBidi" w:hAnsiTheme="majorBidi" w:cstheme="majorBidi"/>
          <w:sz w:val="24"/>
          <w:szCs w:val="24"/>
        </w:rPr>
      </w:pPr>
      <w:r w:rsidRPr="009D22A6">
        <w:rPr>
          <w:rFonts w:asciiTheme="majorBidi" w:hAnsiTheme="majorBidi" w:cstheme="majorBidi"/>
          <w:sz w:val="24"/>
          <w:szCs w:val="24"/>
        </w:rPr>
        <w:t>Co-visibility in CRM and Risk Systems</w:t>
      </w:r>
    </w:p>
    <w:p w14:paraId="0A9C7F53" w14:textId="516DF6CA" w:rsidR="009D22A6" w:rsidRPr="009D22A6" w:rsidRDefault="009D22A6" w:rsidP="009D22A6">
      <w:pPr>
        <w:bidi w:val="0"/>
        <w:spacing w:after="120" w:line="276" w:lineRule="auto"/>
        <w:ind w:firstLine="284"/>
        <w:rPr>
          <w:rFonts w:asciiTheme="majorBidi" w:hAnsiTheme="majorBidi" w:cstheme="majorBidi"/>
          <w:sz w:val="24"/>
          <w:szCs w:val="24"/>
        </w:rPr>
      </w:pPr>
      <w:r w:rsidRPr="009D22A6">
        <w:rPr>
          <w:rFonts w:asciiTheme="majorBidi" w:hAnsiTheme="majorBidi" w:cstheme="majorBidi"/>
          <w:sz w:val="24"/>
          <w:szCs w:val="24"/>
        </w:rPr>
        <w:t>International Monetary Fund (2023) argues that, under uncertainty, who sees what and when is a frontline control: co-visibility forces account managers and sales to interrogate the same signals in the same time window, shrinking interpretation gaps at origination. Building on this, Bank for International Settlements (2013) embeds liquidity discipline via the LCR into pricing and tenor, which means funding and market-risk constraints must appear inside the tools where AM–Sales actually work</w:t>
      </w:r>
      <w:r w:rsidR="00B03C22">
        <w:rPr>
          <w:rFonts w:asciiTheme="majorBidi" w:hAnsiTheme="majorBidi" w:cstheme="majorBidi"/>
          <w:sz w:val="24"/>
          <w:szCs w:val="24"/>
        </w:rPr>
        <w:t>-</w:t>
      </w:r>
      <w:r w:rsidRPr="009D22A6">
        <w:rPr>
          <w:rFonts w:asciiTheme="majorBidi" w:hAnsiTheme="majorBidi" w:cstheme="majorBidi"/>
          <w:sz w:val="24"/>
          <w:szCs w:val="24"/>
        </w:rPr>
        <w:t>CRM and deal screens</w:t>
      </w:r>
      <w:r w:rsidR="00B03C22">
        <w:rPr>
          <w:rFonts w:asciiTheme="majorBidi" w:hAnsiTheme="majorBidi" w:cstheme="majorBidi"/>
          <w:sz w:val="24"/>
          <w:szCs w:val="24"/>
        </w:rPr>
        <w:t>-</w:t>
      </w:r>
      <w:r w:rsidRPr="009D22A6">
        <w:rPr>
          <w:rFonts w:asciiTheme="majorBidi" w:hAnsiTheme="majorBidi" w:cstheme="majorBidi"/>
          <w:sz w:val="24"/>
          <w:szCs w:val="24"/>
        </w:rPr>
        <w:t>rather than as late checks; when the same limits and alerts are co-visible, prudential aims are internalized before approval instead of corrected afterward</w:t>
      </w:r>
      <w:r w:rsidRPr="009D22A6">
        <w:rPr>
          <w:rFonts w:asciiTheme="majorBidi" w:hAnsiTheme="majorBidi" w:cs="Times New Roman"/>
          <w:sz w:val="24"/>
          <w:szCs w:val="24"/>
          <w:rtl/>
        </w:rPr>
        <w:t>.</w:t>
      </w:r>
    </w:p>
    <w:p w14:paraId="30CD4940" w14:textId="77777777" w:rsidR="009D22A6" w:rsidRPr="009D22A6" w:rsidRDefault="009D22A6" w:rsidP="009D22A6">
      <w:pPr>
        <w:bidi w:val="0"/>
        <w:spacing w:after="120" w:line="276" w:lineRule="auto"/>
        <w:ind w:firstLine="284"/>
        <w:rPr>
          <w:rFonts w:asciiTheme="majorBidi" w:hAnsiTheme="majorBidi" w:cstheme="majorBidi"/>
          <w:sz w:val="24"/>
          <w:szCs w:val="24"/>
        </w:rPr>
      </w:pPr>
      <w:r w:rsidRPr="009D22A6">
        <w:rPr>
          <w:rFonts w:asciiTheme="majorBidi" w:hAnsiTheme="majorBidi" w:cstheme="majorBidi"/>
          <w:sz w:val="24"/>
          <w:szCs w:val="24"/>
        </w:rPr>
        <w:t>Habel, Alavi, and Heinitz (2023) show that predictive analytics change behavior only when insights are embedded in daily workflows; surfacing risk flags as next-best actions within CRM yields screening effects that “external dashboards” rarely achieve. McKinsey &amp; Company (2020) cautions that siloed tooling and volume-biased KPIs neutralize policies unless teams share a single version of truth (pipelines, EWS flags, exception queues) with named owners and timestamps, converting visibility into action. Financial Stability Board (2023) adds a seam-first lens: co-visible dashboards paired with time-boxed agendas and decision logs compress decision latency, making it auditable who reviewed which signals and what was escalated</w:t>
      </w:r>
      <w:r w:rsidRPr="009D22A6">
        <w:rPr>
          <w:rFonts w:asciiTheme="majorBidi" w:hAnsiTheme="majorBidi" w:cs="Times New Roman"/>
          <w:sz w:val="24"/>
          <w:szCs w:val="24"/>
          <w:rtl/>
        </w:rPr>
        <w:t>.</w:t>
      </w:r>
    </w:p>
    <w:p w14:paraId="6BF2FF67" w14:textId="4E7FFBA2" w:rsidR="002F27AA" w:rsidRPr="009D22A6" w:rsidRDefault="009D22A6" w:rsidP="009D22A6">
      <w:pPr>
        <w:bidi w:val="0"/>
        <w:spacing w:after="120" w:line="276" w:lineRule="auto"/>
        <w:ind w:firstLine="284"/>
        <w:jc w:val="both"/>
        <w:rPr>
          <w:rFonts w:asciiTheme="majorBidi" w:hAnsiTheme="majorBidi" w:cstheme="majorBidi"/>
          <w:sz w:val="24"/>
          <w:szCs w:val="24"/>
        </w:rPr>
      </w:pPr>
      <w:r w:rsidRPr="009D22A6">
        <w:rPr>
          <w:rFonts w:asciiTheme="majorBidi" w:hAnsiTheme="majorBidi" w:cstheme="majorBidi"/>
          <w:sz w:val="24"/>
          <w:szCs w:val="24"/>
        </w:rPr>
        <w:t>Lang, Peltonen, and Sarlin (2018) connect co-visibility to early-warning performance, showing that weak signals reduce false negatives only when reviewed on a fixed cadence by joint decision-makers; shared views enable simultaneous recognition and faster escalation. In Islamic settings, Islamic Financial Services Board (2024) emphasizes that murabaha/ijara/musharaka require early confirmation of asset evidence and contract form; co-visible checklists and status fields align Sales advocacy with AM governance at the point of design, reducing late Shariah rework. Building on this informational substrate, the next subsection turns to data lineage, showing how traceability underpins trust in shared dashboards and sustains the co-visibility effects described above.</w:t>
      </w:r>
    </w:p>
    <w:p w14:paraId="701CC69E" w14:textId="77777777" w:rsidR="009D22A6" w:rsidRPr="009D22A6" w:rsidRDefault="009D22A6" w:rsidP="002E6F27">
      <w:pPr>
        <w:pStyle w:val="a5"/>
        <w:numPr>
          <w:ilvl w:val="0"/>
          <w:numId w:val="17"/>
        </w:numPr>
        <w:bidi w:val="0"/>
        <w:spacing w:after="120" w:line="276" w:lineRule="auto"/>
        <w:rPr>
          <w:rFonts w:asciiTheme="majorBidi" w:hAnsiTheme="majorBidi" w:cstheme="majorBidi"/>
          <w:sz w:val="24"/>
          <w:szCs w:val="24"/>
        </w:rPr>
      </w:pPr>
      <w:r w:rsidRPr="009D22A6">
        <w:rPr>
          <w:rFonts w:asciiTheme="majorBidi" w:hAnsiTheme="majorBidi" w:cstheme="majorBidi"/>
          <w:sz w:val="24"/>
          <w:szCs w:val="24"/>
        </w:rPr>
        <w:t>Data Lineage</w:t>
      </w:r>
    </w:p>
    <w:p w14:paraId="1AFC7EFB" w14:textId="77777777" w:rsidR="009D22A6" w:rsidRPr="009D22A6" w:rsidRDefault="009D22A6" w:rsidP="009D22A6">
      <w:pPr>
        <w:bidi w:val="0"/>
        <w:spacing w:after="120" w:line="276" w:lineRule="auto"/>
        <w:ind w:firstLine="284"/>
        <w:rPr>
          <w:rFonts w:asciiTheme="majorBidi" w:hAnsiTheme="majorBidi" w:cstheme="majorBidi"/>
          <w:sz w:val="24"/>
          <w:szCs w:val="24"/>
        </w:rPr>
      </w:pPr>
      <w:r w:rsidRPr="009D22A6">
        <w:rPr>
          <w:rFonts w:asciiTheme="majorBidi" w:hAnsiTheme="majorBidi" w:cstheme="majorBidi"/>
          <w:sz w:val="24"/>
          <w:szCs w:val="24"/>
        </w:rPr>
        <w:t>Bank for International Settlements (2013) elevates risk-data aggregation and reporting from an IT concern to a prudential requirement, arguing that teams must trace each metric “from source to screen” so decision owners can verify provenance, transformation rules, and timeliness before acting at origination. Financial Stability Board (2023) extends the seam-first view to third-party and cloud dependencies, noting that effective lineage maps systems, vendors, and handoffs to prevent opaque pipelines from corrupting screening and approval evidence. KPMG (2025) turns lineage into accountability by assigning RACI ownership for data elements (who captures, who validates, who approves), making auditability a property of the AM–Sales interface rather than a back-office afterthought</w:t>
      </w:r>
      <w:r w:rsidRPr="009D22A6">
        <w:rPr>
          <w:rFonts w:asciiTheme="majorBidi" w:hAnsiTheme="majorBidi" w:cs="Times New Roman"/>
          <w:sz w:val="24"/>
          <w:szCs w:val="24"/>
          <w:rtl/>
        </w:rPr>
        <w:t>.</w:t>
      </w:r>
    </w:p>
    <w:p w14:paraId="63A02618" w14:textId="77777777" w:rsidR="009D22A6" w:rsidRPr="009D22A6" w:rsidRDefault="009D22A6" w:rsidP="009D22A6">
      <w:pPr>
        <w:bidi w:val="0"/>
        <w:spacing w:after="120" w:line="276" w:lineRule="auto"/>
        <w:ind w:firstLine="284"/>
        <w:rPr>
          <w:rFonts w:asciiTheme="majorBidi" w:hAnsiTheme="majorBidi" w:cstheme="majorBidi"/>
          <w:sz w:val="24"/>
          <w:szCs w:val="24"/>
        </w:rPr>
      </w:pPr>
      <w:r w:rsidRPr="009D22A6">
        <w:rPr>
          <w:rFonts w:asciiTheme="majorBidi" w:hAnsiTheme="majorBidi" w:cstheme="majorBidi"/>
          <w:sz w:val="24"/>
          <w:szCs w:val="24"/>
        </w:rPr>
        <w:t>Oet, Bianco, Gramlich, and Ong (2013) show that signal aggregation only improves early warning when inputs are traceable and comparable, implying that lineage reduces false signals by filtering out mis-mapped fields and stale refresh cycles. Habel, Alavi, and Heinitz (2023) add that embedded analytics shift behavior only when users trust the field definitions they see in CRM; lineage therefore becomes a behavioral lever, not just a documentation asset. McKinsey &amp; Company (2020) cautions that fragmented pipelines and volume-biased KPIs create “multiple versions of truth,” so codified lineage and single-source dashboards are preconditions for translating alerts into pricing, tenor, and onboarding decisions</w:t>
      </w:r>
      <w:r w:rsidRPr="009D22A6">
        <w:rPr>
          <w:rFonts w:asciiTheme="majorBidi" w:hAnsiTheme="majorBidi" w:cs="Times New Roman"/>
          <w:sz w:val="24"/>
          <w:szCs w:val="24"/>
          <w:rtl/>
        </w:rPr>
        <w:t>.</w:t>
      </w:r>
    </w:p>
    <w:p w14:paraId="146AE1D2" w14:textId="11E2486E" w:rsidR="002F27AA" w:rsidRDefault="009D22A6" w:rsidP="009D22A6">
      <w:pPr>
        <w:bidi w:val="0"/>
        <w:spacing w:after="120" w:line="276" w:lineRule="auto"/>
        <w:ind w:firstLine="284"/>
        <w:jc w:val="both"/>
        <w:rPr>
          <w:rFonts w:asciiTheme="majorBidi" w:hAnsiTheme="majorBidi" w:cstheme="majorBidi"/>
          <w:sz w:val="24"/>
          <w:szCs w:val="24"/>
        </w:rPr>
      </w:pPr>
      <w:r w:rsidRPr="009D22A6">
        <w:rPr>
          <w:rFonts w:asciiTheme="majorBidi" w:hAnsiTheme="majorBidi" w:cstheme="majorBidi"/>
          <w:sz w:val="24"/>
          <w:szCs w:val="24"/>
        </w:rPr>
        <w:t>Islamic Financial Services Board (2024) highlights a contract-form twist: in murabaha, ijara, and musharaka, lineage must link asset evidence, ownership transfer, and profit recognition to the data that feed approval screens; otherwise, form–substance gaps surface as late rework or losses. Building on these foundations, the next subsection moves from traceability to actionability, detailing how lineage enables early-warning integration that surfaces weak client signals before booking and routes them through time-bound escalation to improve risk outcomes.</w:t>
      </w:r>
    </w:p>
    <w:p w14:paraId="0A6C0403" w14:textId="77777777" w:rsidR="00B810F8" w:rsidRPr="00B810F8" w:rsidRDefault="00B810F8" w:rsidP="002E6F27">
      <w:pPr>
        <w:pStyle w:val="a5"/>
        <w:numPr>
          <w:ilvl w:val="0"/>
          <w:numId w:val="17"/>
        </w:numPr>
        <w:bidi w:val="0"/>
        <w:spacing w:after="120" w:line="276" w:lineRule="auto"/>
        <w:rPr>
          <w:rFonts w:asciiTheme="majorBidi" w:hAnsiTheme="majorBidi" w:cstheme="majorBidi"/>
          <w:sz w:val="24"/>
          <w:szCs w:val="24"/>
        </w:rPr>
      </w:pPr>
      <w:r w:rsidRPr="00B810F8">
        <w:rPr>
          <w:rFonts w:asciiTheme="majorBidi" w:hAnsiTheme="majorBidi" w:cstheme="majorBidi"/>
          <w:sz w:val="24"/>
          <w:szCs w:val="24"/>
        </w:rPr>
        <w:t>Early-Warning Integration</w:t>
      </w:r>
    </w:p>
    <w:p w14:paraId="6CE29937" w14:textId="0AC3490F"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From traceability to actionability. Building directly on data lineage, International Monetary Fund (2023) argues that volatile regimes penalize latency and selective exposure, so early-warning (EW) must be integrated where AM–Sales work, not appended later. Lang, Peltonen, and Sarlin (2018) show that EW systems outperform when weak signals surface before booking through scheduled reviews, explicit thresholds, and named owners</w:t>
      </w:r>
      <w:r w:rsidR="00B03C22">
        <w:rPr>
          <w:rFonts w:asciiTheme="majorBidi" w:hAnsiTheme="majorBidi" w:cstheme="majorBidi"/>
          <w:sz w:val="24"/>
          <w:szCs w:val="24"/>
        </w:rPr>
        <w:t>-</w:t>
      </w:r>
      <w:r w:rsidRPr="00B810F8">
        <w:rPr>
          <w:rFonts w:asciiTheme="majorBidi" w:hAnsiTheme="majorBidi" w:cstheme="majorBidi"/>
          <w:sz w:val="24"/>
          <w:szCs w:val="24"/>
        </w:rPr>
        <w:t>turning raw indicators into time-bound actions. Oet, Bianco, Gramlich, and Ong (2013) add that signal aggregation matters only if inputs are comparable and prioritized, which makes lineage the prerequisite and integration the payoff.</w:t>
      </w:r>
    </w:p>
    <w:p w14:paraId="4C1CC0AD" w14:textId="1AB435F5"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Design levers and routines. Bank for International Settlements (2013) brings a prudential lens: LCR and liquidity monitoring require EW cues to feed pricing, tenor, and structure at origination, not as late checks. Financial Stability Board (2023) translates this into seam design</w:t>
      </w:r>
      <w:r w:rsidR="00B03C22">
        <w:rPr>
          <w:rFonts w:asciiTheme="majorBidi" w:hAnsiTheme="majorBidi" w:cstheme="majorBidi"/>
          <w:sz w:val="24"/>
          <w:szCs w:val="24"/>
        </w:rPr>
        <w:t>-</w:t>
      </w:r>
      <w:r w:rsidRPr="00B810F8">
        <w:rPr>
          <w:rFonts w:asciiTheme="majorBidi" w:hAnsiTheme="majorBidi" w:cstheme="majorBidi"/>
          <w:sz w:val="24"/>
          <w:szCs w:val="24"/>
        </w:rPr>
        <w:t>cadenced joint reviews, shared dashboards, decision logs, and escalation clocks</w:t>
      </w:r>
      <w:r w:rsidR="00B03C22">
        <w:rPr>
          <w:rFonts w:asciiTheme="majorBidi" w:hAnsiTheme="majorBidi" w:cstheme="majorBidi"/>
          <w:sz w:val="24"/>
          <w:szCs w:val="24"/>
        </w:rPr>
        <w:t>-</w:t>
      </w:r>
      <w:r w:rsidRPr="00B810F8">
        <w:rPr>
          <w:rFonts w:asciiTheme="majorBidi" w:hAnsiTheme="majorBidi" w:cstheme="majorBidi"/>
          <w:sz w:val="24"/>
          <w:szCs w:val="24"/>
        </w:rPr>
        <w:t>so that deteriorating obligor, sector, or funding signals produce evidence-based overrides rather than discretionary exceptions. Habel, Alavi, and Heinitz (2023) emphasize embedding: EW flags must appear as next-best actions inside CRM/risk screens tied to ownership and incentives; otherwise, alerts remain observational and behavior does not change. McKinsey &amp; Company (2020) cautions that high alert volumes without taxonomy and triage create “alarm fatigue,” so tiers (informational, advisory, mandatory) and SLA-backed escalation paths are essential to preserve attention.</w:t>
      </w:r>
    </w:p>
    <w:p w14:paraId="061883B2" w14:textId="2501E767"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Islamic-bank specificity and study link. Islamic Financial Services Board (2024) shows that in murabaha, ijara, and musharaka, EW must include form–substance checks (asset evidence, possession/transfer, profit recognition) alongside credit and liquidity cues, which requires early Shariah consultation on a defined timer. In this thesis, early-warning integration is thus operationalized as: (1) scheduled joint reviews (cadence), (2) co-visible client and funding signals in CRM/risk systems, (3) lineage-backed definitions and thresholds, and (4) RACI-anchored escalation SLAs. Consistent with International Monetary Fund (2023), Lang, Peltonen, and Sarlin (2018), and Bank for International Settlements (2013), we expect this integration to improve Early Risk Identification &amp; Onboarding and Credit Discipline &amp; Outcomes, and</w:t>
      </w:r>
      <w:r w:rsidR="00B03C22">
        <w:rPr>
          <w:rFonts w:asciiTheme="majorBidi" w:hAnsiTheme="majorBidi" w:cstheme="majorBidi"/>
          <w:sz w:val="24"/>
          <w:szCs w:val="24"/>
        </w:rPr>
        <w:t>-</w:t>
      </w:r>
      <w:r w:rsidRPr="00B810F8">
        <w:rPr>
          <w:rFonts w:asciiTheme="majorBidi" w:hAnsiTheme="majorBidi" w:cstheme="majorBidi"/>
          <w:sz w:val="24"/>
          <w:szCs w:val="24"/>
        </w:rPr>
        <w:t>via funding cues</w:t>
      </w:r>
      <w:r w:rsidR="00B03C22">
        <w:rPr>
          <w:rFonts w:asciiTheme="majorBidi" w:hAnsiTheme="majorBidi" w:cstheme="majorBidi"/>
          <w:sz w:val="24"/>
          <w:szCs w:val="24"/>
        </w:rPr>
        <w:t>-</w:t>
      </w:r>
      <w:r w:rsidRPr="00B810F8">
        <w:rPr>
          <w:rFonts w:asciiTheme="majorBidi" w:hAnsiTheme="majorBidi" w:cstheme="majorBidi"/>
          <w:sz w:val="24"/>
          <w:szCs w:val="24"/>
        </w:rPr>
        <w:t>to enhance Liquidity &amp; Market-Risk Fit at Origination, while governance features (Financial Stability Board, 2023) support Operational Resilience &amp; Third-Party Control.</w:t>
      </w:r>
    </w:p>
    <w:p w14:paraId="5A7C77E5" w14:textId="0DD02FD5" w:rsidR="002F27AA" w:rsidRDefault="00B810F8" w:rsidP="00B810F8">
      <w:pPr>
        <w:pStyle w:val="3"/>
      </w:pPr>
      <w:bookmarkStart w:id="65" w:name="_Toc214621138"/>
      <w:r w:rsidRPr="00B810F8">
        <w:t>Goal / KPI and Incentive Alignment</w:t>
      </w:r>
      <w:bookmarkEnd w:id="65"/>
    </w:p>
    <w:p w14:paraId="50BBE778" w14:textId="28BA38FB" w:rsidR="002F27AA" w:rsidRDefault="00B810F8" w:rsidP="002F27AA">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Building on the information-flow mechanisms above, McKinsey &amp; Company (2020) argues that incentives decide behavior even when policies and analytics are sound, so AM–Sales alignment must translate prudential aims into risk-adjusted targets rather than volume alone. International Monetary Fund (2023) adds that in volatile regimes, volume-biased KPIs amplify selection and pricing errors, undermining early-warning gains. Financial Stability Board (2023) recommends shared indicators and evidence-based overrides to prevent policy–execution gaps, while Bank for International Settlements (2013) implies that LCR-consistent pricing and tenor require KPIs that internalize funding realities. Habel, Alavi, and Heinitz (2023) show analytics shift choices only when tied to accountable metrics, setting the stage to specify RAROC goals, override governance, and delinquency-based feedback in what follows.</w:t>
      </w:r>
    </w:p>
    <w:p w14:paraId="020A5115" w14:textId="0E369240" w:rsidR="002F27AA" w:rsidRPr="00B810F8" w:rsidRDefault="00B810F8" w:rsidP="002E6F27">
      <w:pPr>
        <w:pStyle w:val="a5"/>
        <w:numPr>
          <w:ilvl w:val="0"/>
          <w:numId w:val="18"/>
        </w:numPr>
        <w:bidi w:val="0"/>
        <w:spacing w:after="120" w:line="276" w:lineRule="auto"/>
        <w:jc w:val="both"/>
        <w:rPr>
          <w:rFonts w:asciiTheme="majorBidi" w:hAnsiTheme="majorBidi" w:cstheme="majorBidi"/>
          <w:sz w:val="24"/>
          <w:szCs w:val="24"/>
        </w:rPr>
      </w:pPr>
      <w:r w:rsidRPr="00B810F8">
        <w:rPr>
          <w:rFonts w:asciiTheme="majorBidi" w:hAnsiTheme="majorBidi" w:cstheme="majorBidi"/>
          <w:sz w:val="24"/>
          <w:szCs w:val="24"/>
        </w:rPr>
        <w:t>Goal/KPI Alignment across AM–Sales (RAROC, Overrides, Delinquency Metrics)</w:t>
      </w:r>
    </w:p>
    <w:p w14:paraId="08EB9BD1" w14:textId="77777777"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McKinsey &amp; Company (2020) argues that incentives and targets are the behavioral compiler of any operating model; if AM–Sales pursue volume while risk aims for prudence, the seam fails even when communication and data are strong. To reconcile intent with execution, RAROC-linked goals align commercial effort with risk-adjusted value: account managers and sales are jointly measured on risk-adjusted margin after funding and expected loss, not raw origination. Bank for International Settlements (2013) reinforces this logic by embedding LCR and funding costs in pricing/tenor, so a RAROC goal that internalizes liquidity translates prudential aims into frontline math rather than after-the-fact vetoes.</w:t>
      </w:r>
    </w:p>
    <w:p w14:paraId="51C561D0" w14:textId="77777777"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Financial Stability Board (2023) cautions that alignment also depends on override governance: when deals require exceptions (pricing, collateral, tenor), evidence-based overrides with time-bound escalation deter “exception drift.” In practice, this means AM–Sales share a cap or cost on overrides, so the short-term pipeline gain is weighed against the capital and liquidity impact the exception imposes (FSB, 2023). International Monetary Fund (2023) adds that in volatile regimes, weak override discipline amplifies selection and pricing errors, eroding early-warning benefits; linking override frequency and outcome quality to KPIs curbs this bias.</w:t>
      </w:r>
    </w:p>
    <w:p w14:paraId="1C464DF1" w14:textId="6A5E5FDE" w:rsidR="00B810F8" w:rsidRPr="00B810F8" w:rsidRDefault="00B810F8" w:rsidP="00B810F8">
      <w:pPr>
        <w:bidi w:val="0"/>
        <w:spacing w:after="120" w:line="276" w:lineRule="auto"/>
        <w:ind w:firstLine="284"/>
        <w:jc w:val="both"/>
        <w:rPr>
          <w:rFonts w:asciiTheme="majorBidi" w:hAnsiTheme="majorBidi" w:cstheme="majorBidi"/>
          <w:sz w:val="24"/>
          <w:szCs w:val="24"/>
        </w:rPr>
      </w:pPr>
      <w:r w:rsidRPr="00B810F8">
        <w:rPr>
          <w:rFonts w:asciiTheme="majorBidi" w:hAnsiTheme="majorBidi" w:cstheme="majorBidi"/>
          <w:sz w:val="24"/>
          <w:szCs w:val="24"/>
        </w:rPr>
        <w:t>Habel, Alavi, and Heinitz (2023) show that analytics influence behavior only when tied to accountable metrics inside the workflow. Accordingly, delinquency-based feedback</w:t>
      </w:r>
      <w:r w:rsidR="00B03C22">
        <w:rPr>
          <w:rFonts w:asciiTheme="majorBidi" w:hAnsiTheme="majorBidi" w:cstheme="majorBidi"/>
          <w:sz w:val="24"/>
          <w:szCs w:val="24"/>
        </w:rPr>
        <w:t>-</w:t>
      </w:r>
      <w:r w:rsidRPr="00B810F8">
        <w:rPr>
          <w:rFonts w:asciiTheme="majorBidi" w:hAnsiTheme="majorBidi" w:cstheme="majorBidi"/>
          <w:sz w:val="24"/>
          <w:szCs w:val="24"/>
        </w:rPr>
        <w:t>roll rates, early arrears, covenant breaches</w:t>
      </w:r>
      <w:r w:rsidR="00B03C22">
        <w:rPr>
          <w:rFonts w:asciiTheme="majorBidi" w:hAnsiTheme="majorBidi" w:cstheme="majorBidi"/>
          <w:sz w:val="24"/>
          <w:szCs w:val="24"/>
        </w:rPr>
        <w:t>-</w:t>
      </w:r>
      <w:r w:rsidRPr="00B810F8">
        <w:rPr>
          <w:rFonts w:asciiTheme="majorBidi" w:hAnsiTheme="majorBidi" w:cstheme="majorBidi"/>
          <w:sz w:val="24"/>
          <w:szCs w:val="24"/>
        </w:rPr>
        <w:t>should feed back into AM–Sales scorecards, closing the loop between origination choices and downstream performance. When recent delinquencies rise in a given segment, RAROC hurdles and approval standards ratchet up automatically for that segment, making the KPI system an adaptive control rather than a static scoreboard (Habel, Alavi, &amp; Heinitz, 2023). By binding RAROC, override discipline, and delinquency feedback into shared targets, alignment converts prior mechanisms</w:t>
      </w:r>
      <w:r w:rsidR="00B03C22">
        <w:rPr>
          <w:rFonts w:asciiTheme="majorBidi" w:hAnsiTheme="majorBidi" w:cstheme="majorBidi"/>
          <w:sz w:val="24"/>
          <w:szCs w:val="24"/>
        </w:rPr>
        <w:t>-</w:t>
      </w:r>
      <w:r w:rsidRPr="00B810F8">
        <w:rPr>
          <w:rFonts w:asciiTheme="majorBidi" w:hAnsiTheme="majorBidi" w:cstheme="majorBidi"/>
          <w:sz w:val="24"/>
          <w:szCs w:val="24"/>
        </w:rPr>
        <w:t>cadence and co-visibility</w:t>
      </w:r>
      <w:r w:rsidR="00B03C22">
        <w:rPr>
          <w:rFonts w:asciiTheme="majorBidi" w:hAnsiTheme="majorBidi" w:cstheme="majorBidi"/>
          <w:sz w:val="24"/>
          <w:szCs w:val="24"/>
        </w:rPr>
        <w:t>-</w:t>
      </w:r>
      <w:r w:rsidRPr="00B810F8">
        <w:rPr>
          <w:rFonts w:asciiTheme="majorBidi" w:hAnsiTheme="majorBidi" w:cstheme="majorBidi"/>
          <w:sz w:val="24"/>
          <w:szCs w:val="24"/>
        </w:rPr>
        <w:t>into consistent screening and pricing behavior, setting up the next subsection on the tension between volume-based and risk-adjusted incentives.</w:t>
      </w:r>
    </w:p>
    <w:p w14:paraId="4FE8E4FD" w14:textId="77777777" w:rsidR="009D6E70" w:rsidRPr="00BA3C3F" w:rsidRDefault="009D6E70" w:rsidP="002E6F27">
      <w:pPr>
        <w:pStyle w:val="a5"/>
        <w:numPr>
          <w:ilvl w:val="0"/>
          <w:numId w:val="18"/>
        </w:numPr>
        <w:bidi w:val="0"/>
        <w:spacing w:after="120" w:line="276" w:lineRule="auto"/>
        <w:jc w:val="both"/>
        <w:rPr>
          <w:rFonts w:asciiTheme="majorBidi" w:hAnsiTheme="majorBidi" w:cstheme="majorBidi"/>
          <w:sz w:val="24"/>
          <w:szCs w:val="24"/>
        </w:rPr>
      </w:pPr>
      <w:r w:rsidRPr="00BA3C3F">
        <w:rPr>
          <w:rFonts w:asciiTheme="majorBidi" w:hAnsiTheme="majorBidi" w:cstheme="majorBidi"/>
          <w:sz w:val="24"/>
          <w:szCs w:val="24"/>
        </w:rPr>
        <w:t>Volume-Based vs. Risk-Adjusted Incentives</w:t>
      </w:r>
    </w:p>
    <w:p w14:paraId="4159041E" w14:textId="158E2A69" w:rsidR="009D6E70" w:rsidRPr="009D6E70" w:rsidRDefault="009D6E70" w:rsidP="009D6E70">
      <w:pPr>
        <w:bidi w:val="0"/>
        <w:spacing w:after="120" w:line="276" w:lineRule="auto"/>
        <w:ind w:firstLine="284"/>
        <w:jc w:val="both"/>
        <w:rPr>
          <w:rFonts w:asciiTheme="majorBidi" w:hAnsiTheme="majorBidi" w:cstheme="majorBidi"/>
          <w:sz w:val="24"/>
          <w:szCs w:val="24"/>
        </w:rPr>
      </w:pPr>
      <w:r w:rsidRPr="009D6E70">
        <w:rPr>
          <w:rFonts w:asciiTheme="majorBidi" w:hAnsiTheme="majorBidi" w:cstheme="majorBidi"/>
          <w:sz w:val="24"/>
          <w:szCs w:val="24"/>
        </w:rPr>
        <w:t>McKinsey &amp; Company (2020) observes that volume-based quotas push frontline behavior toward speed and breadth</w:t>
      </w:r>
      <w:r w:rsidR="00B03C22">
        <w:rPr>
          <w:rFonts w:asciiTheme="majorBidi" w:hAnsiTheme="majorBidi" w:cstheme="majorBidi"/>
          <w:sz w:val="24"/>
          <w:szCs w:val="24"/>
        </w:rPr>
        <w:t>-</w:t>
      </w:r>
      <w:r w:rsidRPr="009D6E70">
        <w:rPr>
          <w:rFonts w:asciiTheme="majorBidi" w:hAnsiTheme="majorBidi" w:cstheme="majorBidi"/>
          <w:sz w:val="24"/>
          <w:szCs w:val="24"/>
        </w:rPr>
        <w:t>maximizing pipeline velocity and booked balances</w:t>
      </w:r>
      <w:r w:rsidR="00B03C22">
        <w:rPr>
          <w:rFonts w:asciiTheme="majorBidi" w:hAnsiTheme="majorBidi" w:cstheme="majorBidi"/>
          <w:sz w:val="24"/>
          <w:szCs w:val="24"/>
        </w:rPr>
        <w:t>-</w:t>
      </w:r>
      <w:r w:rsidRPr="009D6E70">
        <w:rPr>
          <w:rFonts w:asciiTheme="majorBidi" w:hAnsiTheme="majorBidi" w:cstheme="majorBidi"/>
          <w:sz w:val="24"/>
          <w:szCs w:val="24"/>
        </w:rPr>
        <w:t>even when marginal deals degrade portfolio quality; the result is classic Goodhart effects: teams optimize the metric, not the mission. International Monetary Fund (2023) adds that in volatile regimes these incentives magnify selection and pricing errors, because short-term revenue credit (commissions on disbursements or booked fees) dominates risk signals whose costs arrive later. Financial Stability Board (2023) therefore argues for risk-adjusted incentive systems that pay for value after expected loss, funding cost, and capital consumption, so that commercial effort internalizes prudential aims rather than clashes with them</w:t>
      </w:r>
      <w:r w:rsidRPr="009D6E70">
        <w:rPr>
          <w:rFonts w:asciiTheme="majorBidi" w:hAnsiTheme="majorBidi" w:cstheme="majorBidi"/>
          <w:sz w:val="24"/>
          <w:szCs w:val="24"/>
          <w:rtl/>
        </w:rPr>
        <w:t>.</w:t>
      </w:r>
    </w:p>
    <w:p w14:paraId="0EFFD0B6" w14:textId="65126CBE" w:rsidR="009D6E70" w:rsidRPr="009D6E70" w:rsidRDefault="009D6E70" w:rsidP="009D6E70">
      <w:pPr>
        <w:bidi w:val="0"/>
        <w:spacing w:after="120" w:line="276" w:lineRule="auto"/>
        <w:ind w:firstLine="284"/>
        <w:jc w:val="both"/>
        <w:rPr>
          <w:rFonts w:asciiTheme="majorBidi" w:hAnsiTheme="majorBidi" w:cstheme="majorBidi"/>
          <w:sz w:val="24"/>
          <w:szCs w:val="24"/>
        </w:rPr>
      </w:pPr>
      <w:r w:rsidRPr="009D6E70">
        <w:rPr>
          <w:rFonts w:asciiTheme="majorBidi" w:hAnsiTheme="majorBidi" w:cstheme="majorBidi"/>
          <w:sz w:val="24"/>
          <w:szCs w:val="24"/>
        </w:rPr>
        <w:t>Bank for International Settlements (2013) makes the adjustment concrete: incorporating LCR/Funding costs into deal economics implies that sales credit should be RAROC-linked or at least liquidity-shadow-priced at origination; paying the same commission for a liquidity-intensive tenor as for a funding-friendly structure creates a built-in mispricing bias. Habel, Alavi, and Heinitz (2023) find that analytics only shift choices when coupled to accountable metrics</w:t>
      </w:r>
      <w:r w:rsidR="00B03C22">
        <w:rPr>
          <w:rFonts w:asciiTheme="majorBidi" w:hAnsiTheme="majorBidi" w:cstheme="majorBidi"/>
          <w:sz w:val="24"/>
          <w:szCs w:val="24"/>
        </w:rPr>
        <w:t>-</w:t>
      </w:r>
      <w:r w:rsidRPr="009D6E70">
        <w:rPr>
          <w:rFonts w:asciiTheme="majorBidi" w:hAnsiTheme="majorBidi" w:cstheme="majorBidi"/>
          <w:sz w:val="24"/>
          <w:szCs w:val="24"/>
        </w:rPr>
        <w:t>for example, tying next-best-action prompts in CRM to delinquency-adjusted commissions, override chargebacks, or post-booking clawbacks; otherwise insight–action gaps persist even with excellent data</w:t>
      </w:r>
      <w:r w:rsidRPr="009D6E70">
        <w:rPr>
          <w:rFonts w:asciiTheme="majorBidi" w:hAnsiTheme="majorBidi" w:cstheme="majorBidi"/>
          <w:sz w:val="24"/>
          <w:szCs w:val="24"/>
          <w:rtl/>
        </w:rPr>
        <w:t>.</w:t>
      </w:r>
    </w:p>
    <w:p w14:paraId="4E6DA8CD" w14:textId="08970620" w:rsidR="002F27AA" w:rsidRPr="00B810F8" w:rsidRDefault="009D6E70" w:rsidP="009D6E70">
      <w:pPr>
        <w:bidi w:val="0"/>
        <w:spacing w:after="120" w:line="276" w:lineRule="auto"/>
        <w:ind w:firstLine="284"/>
        <w:jc w:val="both"/>
        <w:rPr>
          <w:rFonts w:asciiTheme="majorBidi" w:hAnsiTheme="majorBidi" w:cstheme="majorBidi"/>
          <w:sz w:val="24"/>
          <w:szCs w:val="24"/>
        </w:rPr>
      </w:pPr>
      <w:r w:rsidRPr="009D6E70">
        <w:rPr>
          <w:rFonts w:asciiTheme="majorBidi" w:hAnsiTheme="majorBidi" w:cstheme="majorBidi"/>
          <w:sz w:val="24"/>
          <w:szCs w:val="24"/>
        </w:rPr>
        <w:t>FSB (2023) further recommends shared targets across AM–Sales</w:t>
      </w:r>
      <w:r w:rsidR="00B03C22">
        <w:rPr>
          <w:rFonts w:asciiTheme="majorBidi" w:hAnsiTheme="majorBidi" w:cstheme="majorBidi"/>
          <w:sz w:val="24"/>
          <w:szCs w:val="24"/>
        </w:rPr>
        <w:t>-</w:t>
      </w:r>
      <w:r w:rsidRPr="009D6E70">
        <w:rPr>
          <w:rFonts w:asciiTheme="majorBidi" w:hAnsiTheme="majorBidi" w:cstheme="majorBidi"/>
          <w:sz w:val="24"/>
          <w:szCs w:val="24"/>
        </w:rPr>
        <w:t>RAROC hurdles, caps on exception frequency, and time-bound escalation for overrides</w:t>
      </w:r>
      <w:r w:rsidR="00B03C22">
        <w:rPr>
          <w:rFonts w:asciiTheme="majorBidi" w:hAnsiTheme="majorBidi" w:cstheme="majorBidi"/>
          <w:sz w:val="24"/>
          <w:szCs w:val="24"/>
        </w:rPr>
        <w:t>-</w:t>
      </w:r>
      <w:r w:rsidRPr="009D6E70">
        <w:rPr>
          <w:rFonts w:asciiTheme="majorBidi" w:hAnsiTheme="majorBidi" w:cstheme="majorBidi"/>
          <w:sz w:val="24"/>
          <w:szCs w:val="24"/>
        </w:rPr>
        <w:t>so neither side arbitrages the other’s KPI. IMF (2023) concurs that without such coupling, volume incentives create adverse selection (easy approvals where risk is opaque) and moral hazard (pushing tenor/collateral leniency to hit quotas). BIS (2013) implies that aligning variable pay with liquidity-consistent pricing/tenor reduces ex-post remediation and capital drag. Taken together, these findings explain why misalignment erodes the functional relationship</w:t>
      </w:r>
      <w:r w:rsidR="00B03C22">
        <w:rPr>
          <w:rFonts w:asciiTheme="majorBidi" w:hAnsiTheme="majorBidi" w:cstheme="majorBidi"/>
          <w:sz w:val="24"/>
          <w:szCs w:val="24"/>
        </w:rPr>
        <w:t>-</w:t>
      </w:r>
      <w:r w:rsidRPr="009D6E70">
        <w:rPr>
          <w:rFonts w:asciiTheme="majorBidi" w:hAnsiTheme="majorBidi" w:cstheme="majorBidi"/>
          <w:sz w:val="24"/>
          <w:szCs w:val="24"/>
        </w:rPr>
        <w:t>even when cadence and co-visibility are strong</w:t>
      </w:r>
      <w:r w:rsidR="00B03C22">
        <w:rPr>
          <w:rFonts w:asciiTheme="majorBidi" w:hAnsiTheme="majorBidi" w:cstheme="majorBidi"/>
          <w:sz w:val="24"/>
          <w:szCs w:val="24"/>
        </w:rPr>
        <w:t>-</w:t>
      </w:r>
      <w:r w:rsidRPr="009D6E70">
        <w:rPr>
          <w:rFonts w:asciiTheme="majorBidi" w:hAnsiTheme="majorBidi" w:cstheme="majorBidi"/>
          <w:sz w:val="24"/>
          <w:szCs w:val="24"/>
        </w:rPr>
        <w:t>and lead directly to the next subsection on the consequences of misaligned KPIs for collaboration quality and risk outcomes.</w:t>
      </w:r>
    </w:p>
    <w:p w14:paraId="34ECE7F8" w14:textId="77777777" w:rsidR="00BA3C3F" w:rsidRPr="00BA3C3F" w:rsidRDefault="00BA3C3F" w:rsidP="002E6F27">
      <w:pPr>
        <w:pStyle w:val="a5"/>
        <w:numPr>
          <w:ilvl w:val="0"/>
          <w:numId w:val="18"/>
        </w:numPr>
        <w:bidi w:val="0"/>
        <w:spacing w:after="120" w:line="276" w:lineRule="auto"/>
        <w:jc w:val="both"/>
        <w:rPr>
          <w:rFonts w:asciiTheme="majorBidi" w:hAnsiTheme="majorBidi" w:cstheme="majorBidi"/>
          <w:sz w:val="24"/>
          <w:szCs w:val="24"/>
        </w:rPr>
      </w:pPr>
      <w:r w:rsidRPr="00BA3C3F">
        <w:rPr>
          <w:rFonts w:asciiTheme="majorBidi" w:hAnsiTheme="majorBidi" w:cstheme="majorBidi"/>
          <w:sz w:val="24"/>
          <w:szCs w:val="24"/>
        </w:rPr>
        <w:t>Consequences of Misalignment for Functional Relationship Quality</w:t>
      </w:r>
    </w:p>
    <w:p w14:paraId="7F8BD754" w14:textId="4BEB312A"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McKinsey &amp; Company (2020) argues that when AM–Sales incentives diverge</w:t>
      </w:r>
      <w:r w:rsidR="00B03C22">
        <w:rPr>
          <w:rFonts w:asciiTheme="majorBidi" w:hAnsiTheme="majorBidi" w:cstheme="majorBidi"/>
          <w:sz w:val="24"/>
          <w:szCs w:val="24"/>
        </w:rPr>
        <w:t>-</w:t>
      </w:r>
      <w:r w:rsidRPr="00BA3C3F">
        <w:rPr>
          <w:rFonts w:asciiTheme="majorBidi" w:hAnsiTheme="majorBidi" w:cstheme="majorBidi"/>
          <w:sz w:val="24"/>
          <w:szCs w:val="24"/>
        </w:rPr>
        <w:t>volume quotas versus risk-adjusted value</w:t>
      </w:r>
      <w:r w:rsidR="00B03C22">
        <w:rPr>
          <w:rFonts w:asciiTheme="majorBidi" w:hAnsiTheme="majorBidi" w:cstheme="majorBidi"/>
          <w:sz w:val="24"/>
          <w:szCs w:val="24"/>
        </w:rPr>
        <w:t>-</w:t>
      </w:r>
      <w:r w:rsidRPr="00BA3C3F">
        <w:rPr>
          <w:rFonts w:asciiTheme="majorBidi" w:hAnsiTheme="majorBidi" w:cstheme="majorBidi"/>
          <w:sz w:val="24"/>
          <w:szCs w:val="24"/>
        </w:rPr>
        <w:t>the interface devolves into goal conflict: Sales optimizes pipeline velocity while Account Managers police downside, producing adversarial reviews and rework. International Monetary Fund (2023) adds that in volatile regimes such conflict amplifies selection and pricing errors, because short-term commission credit dominates risk signals whose costs arrive later, eroding trust and making information sharing perfunctory rather than candid.</w:t>
      </w:r>
    </w:p>
    <w:p w14:paraId="32D0B83D" w14:textId="152E8835"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Financial Stability Board (2023) shows that misalignment surfaces as override inflation and exception drift: deals are pushed through with discretionary leniency, then disputed at committees, lengthening cycle time and degrading screening quality. Bank for International Settlements (2013) connects this drift to liquidity misfit</w:t>
      </w:r>
      <w:r w:rsidR="00B03C22">
        <w:rPr>
          <w:rFonts w:asciiTheme="majorBidi" w:hAnsiTheme="majorBidi" w:cstheme="majorBidi"/>
          <w:sz w:val="24"/>
          <w:szCs w:val="24"/>
        </w:rPr>
        <w:t>-</w:t>
      </w:r>
      <w:r w:rsidRPr="00BA3C3F">
        <w:rPr>
          <w:rFonts w:asciiTheme="majorBidi" w:hAnsiTheme="majorBidi" w:cstheme="majorBidi"/>
          <w:sz w:val="24"/>
          <w:szCs w:val="24"/>
        </w:rPr>
        <w:t>when tenor and pricing ignore LCR/funding realities at origination, breaches appear post-booking, forcing costly remediation and capital drag. Habel, Alavi, and Heinitz (2023) observe that even strong analytics fail to bite if KPIs reward volume; insights are acknowledged but not converted into action, widening the insight–action gap.</w:t>
      </w:r>
    </w:p>
    <w:p w14:paraId="0C38C66B" w14:textId="1A8E43F5"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Lang, Peltonen, and Sarlin (2018) add that misaligned scorecards blunt feedback loops: rising early arrears or covenant breaches do not tighten upstream standards because the loop is decoupled from what teams are paid to achieve. KPMG (2025) notes that KPI conflict also undermines RACI discipline</w:t>
      </w:r>
      <w:r w:rsidR="00B03C22">
        <w:rPr>
          <w:rFonts w:asciiTheme="majorBidi" w:hAnsiTheme="majorBidi" w:cstheme="majorBidi"/>
          <w:sz w:val="24"/>
          <w:szCs w:val="24"/>
        </w:rPr>
        <w:t>-</w:t>
      </w:r>
      <w:r w:rsidRPr="00BA3C3F">
        <w:rPr>
          <w:rFonts w:asciiTheme="majorBidi" w:hAnsiTheme="majorBidi" w:cstheme="majorBidi"/>
          <w:sz w:val="24"/>
          <w:szCs w:val="24"/>
        </w:rPr>
        <w:t>ownership blurs, escalations stall, and disputes migrate off-process into shadow negotiations</w:t>
      </w:r>
      <w:r w:rsidR="00B03C22">
        <w:rPr>
          <w:rFonts w:asciiTheme="majorBidi" w:hAnsiTheme="majorBidi" w:cstheme="majorBidi"/>
          <w:sz w:val="24"/>
          <w:szCs w:val="24"/>
        </w:rPr>
        <w:t>-</w:t>
      </w:r>
      <w:r w:rsidRPr="00BA3C3F">
        <w:rPr>
          <w:rFonts w:asciiTheme="majorBidi" w:hAnsiTheme="majorBidi" w:cstheme="majorBidi"/>
          <w:sz w:val="24"/>
          <w:szCs w:val="24"/>
        </w:rPr>
        <w:t>raising operational friction at handoffs. In Islamic settings, Islamic Financial Services Board (2024) warns that volume-led pressure encourages late Shariah gating, creating form–substance mismatches (asset evidence, transfer, profit recognition) that materialize as credit and operational losses (van Greuning &amp; Iqbal, 2008).</w:t>
      </w:r>
    </w:p>
    <w:p w14:paraId="7920AA92" w14:textId="30A128CF"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Taken together, McKinsey &amp; Company (2020), FSB (2023), and BIS (2013) imply that misalignment degrades every prior mechanism</w:t>
      </w:r>
      <w:r w:rsidR="00B03C22">
        <w:rPr>
          <w:rFonts w:asciiTheme="majorBidi" w:hAnsiTheme="majorBidi" w:cstheme="majorBidi"/>
          <w:sz w:val="24"/>
          <w:szCs w:val="24"/>
        </w:rPr>
        <w:t>-</w:t>
      </w:r>
      <w:r w:rsidRPr="00BA3C3F">
        <w:rPr>
          <w:rFonts w:asciiTheme="majorBidi" w:hAnsiTheme="majorBidi" w:cstheme="majorBidi"/>
          <w:sz w:val="24"/>
          <w:szCs w:val="24"/>
        </w:rPr>
        <w:t>cadence, co-visibility, and lineage</w:t>
      </w:r>
      <w:r w:rsidR="00B03C22">
        <w:rPr>
          <w:rFonts w:asciiTheme="majorBidi" w:hAnsiTheme="majorBidi" w:cstheme="majorBidi"/>
          <w:sz w:val="24"/>
          <w:szCs w:val="24"/>
        </w:rPr>
        <w:t>-</w:t>
      </w:r>
      <w:r w:rsidRPr="00BA3C3F">
        <w:rPr>
          <w:rFonts w:asciiTheme="majorBidi" w:hAnsiTheme="majorBidi" w:cstheme="majorBidi"/>
          <w:sz w:val="24"/>
          <w:szCs w:val="24"/>
        </w:rPr>
        <w:t>by incentivizing workarounds and after-the-fact fixes. Building on this diagnosis, the next subsection specifies Decision Rights &amp; Escalation Clarity (RACI) as the governance lever that restores ownership, imposes evidence-based overrides, and compresses decision latency to realign AM–Sales behavior with prudential aims.</w:t>
      </w:r>
    </w:p>
    <w:p w14:paraId="54F5C6FF" w14:textId="16D6C7CC" w:rsidR="002F27AA" w:rsidRDefault="00BA3C3F" w:rsidP="00BA3C3F">
      <w:pPr>
        <w:pStyle w:val="3"/>
      </w:pPr>
      <w:bookmarkStart w:id="66" w:name="_Toc214621139"/>
      <w:r w:rsidRPr="00BA3C3F">
        <w:t>Decision Rights and Escalation Clarity (RACI Framework)</w:t>
      </w:r>
      <w:bookmarkEnd w:id="66"/>
    </w:p>
    <w:p w14:paraId="1150F6F5" w14:textId="77777777" w:rsidR="00BA3C3F" w:rsidRPr="00BA3C3F" w:rsidRDefault="00BA3C3F" w:rsidP="002E6F27">
      <w:pPr>
        <w:pStyle w:val="a5"/>
        <w:numPr>
          <w:ilvl w:val="0"/>
          <w:numId w:val="19"/>
        </w:numPr>
        <w:bidi w:val="0"/>
        <w:spacing w:after="120" w:line="276" w:lineRule="auto"/>
        <w:jc w:val="both"/>
        <w:rPr>
          <w:rFonts w:asciiTheme="majorBidi" w:hAnsiTheme="majorBidi" w:cstheme="majorBidi"/>
          <w:sz w:val="24"/>
          <w:szCs w:val="24"/>
        </w:rPr>
      </w:pPr>
      <w:r w:rsidRPr="00BA3C3F">
        <w:rPr>
          <w:rFonts w:asciiTheme="majorBidi" w:hAnsiTheme="majorBidi" w:cstheme="majorBidi"/>
          <w:sz w:val="24"/>
          <w:szCs w:val="24"/>
        </w:rPr>
        <w:t>Approval Ownership</w:t>
      </w:r>
    </w:p>
    <w:p w14:paraId="6A1ED6A4" w14:textId="7EF4D31E"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 xml:space="preserve">KPMG (2025) treats approval ownership as the anchor of the RACI logic: a named first-line owner must decide at origination on what evidence and within what time box, or trigger escalation with a documented rationale. In this framing, the Account Manager owns the credit memo quality, liquidity-consistent structure (pricing, tenor, collateral), and onboarding completeness, while Sales owns commercial intent and client commitments; splitting these without a </w:t>
      </w:r>
      <w:r w:rsidR="007A00D5" w:rsidRPr="00BA3C3F">
        <w:rPr>
          <w:rFonts w:asciiTheme="majorBidi" w:hAnsiTheme="majorBidi" w:cstheme="majorBidi"/>
          <w:sz w:val="24"/>
          <w:szCs w:val="24"/>
        </w:rPr>
        <w:t>single accountable owner yield</w:t>
      </w:r>
      <w:r w:rsidRPr="00BA3C3F">
        <w:rPr>
          <w:rFonts w:asciiTheme="majorBidi" w:hAnsiTheme="majorBidi" w:cstheme="majorBidi"/>
          <w:sz w:val="24"/>
          <w:szCs w:val="24"/>
        </w:rPr>
        <w:t xml:space="preserve"> orphaned decisions and rework (KPMG, 2025). Financial Stability Board (2023) reinforces that ownership is a governance control, not a courtesy</w:t>
      </w:r>
      <w:r w:rsidR="00B03C22">
        <w:rPr>
          <w:rFonts w:asciiTheme="majorBidi" w:hAnsiTheme="majorBidi" w:cstheme="majorBidi"/>
          <w:sz w:val="24"/>
          <w:szCs w:val="24"/>
        </w:rPr>
        <w:t>-</w:t>
      </w:r>
      <w:r w:rsidRPr="00BA3C3F">
        <w:rPr>
          <w:rFonts w:asciiTheme="majorBidi" w:hAnsiTheme="majorBidi" w:cstheme="majorBidi"/>
          <w:sz w:val="24"/>
          <w:szCs w:val="24"/>
        </w:rPr>
        <w:t>decision logs, shared agendas, and auditable sign-offs are required so that seams do not collapse under pressure.</w:t>
      </w:r>
    </w:p>
    <w:p w14:paraId="3C1D2FEA" w14:textId="77777777"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Bank for International Settlements (2013) makes ownership economically testable: because LCR and funding costs must be internalized before approval, the first-line owner is responsible for rejecting or restructuring deals that breach liquidity or market-risk fit, rather than relying on late vetoes. When ownership is ambiguous, these breaches surface post-booking, producing capital drag and remediation (Bank for International Settlements, 2013). International Monetary Fund (2023) adds that under volatility, slow or unclear ownership amplifies loss-given-error; named owners with timers cut decision latency and reduce exception drift.</w:t>
      </w:r>
    </w:p>
    <w:p w14:paraId="46C3F1C9" w14:textId="6C2A3F9E"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Habel, Alavi, and Heinitz (2023) show that ownership sticks when insights are embedded in the owner’s workflow (CRM next-best actions tied to that person’s scorecard), converting visibility into action. Lang, Peltonen, and Sarlin (2018) further argue that owners must close feedback loops</w:t>
      </w:r>
      <w:r w:rsidR="00B03C22">
        <w:rPr>
          <w:rFonts w:asciiTheme="majorBidi" w:hAnsiTheme="majorBidi" w:cstheme="majorBidi"/>
          <w:sz w:val="24"/>
          <w:szCs w:val="24"/>
        </w:rPr>
        <w:t>-</w:t>
      </w:r>
      <w:r w:rsidRPr="00BA3C3F">
        <w:rPr>
          <w:rFonts w:asciiTheme="majorBidi" w:hAnsiTheme="majorBidi" w:cstheme="majorBidi"/>
          <w:sz w:val="24"/>
          <w:szCs w:val="24"/>
        </w:rPr>
        <w:t>linking early arrears and covenant breaches back to origination choices</w:t>
      </w:r>
      <w:r w:rsidR="00B03C22">
        <w:rPr>
          <w:rFonts w:asciiTheme="majorBidi" w:hAnsiTheme="majorBidi" w:cstheme="majorBidi"/>
          <w:sz w:val="24"/>
          <w:szCs w:val="24"/>
        </w:rPr>
        <w:t>-</w:t>
      </w:r>
      <w:r w:rsidRPr="00BA3C3F">
        <w:rPr>
          <w:rFonts w:asciiTheme="majorBidi" w:hAnsiTheme="majorBidi" w:cstheme="majorBidi"/>
          <w:sz w:val="24"/>
          <w:szCs w:val="24"/>
        </w:rPr>
        <w:t>so that approval quality improves over time. In Islamic settings, Islamic Financial Services Board (2024) requires first-line ownership for form–substance fit (asset evidence, transfer, profit recognition) with pre-deal Shariah consultation routed by the owner, not passed downstream.</w:t>
      </w:r>
    </w:p>
    <w:p w14:paraId="661F7453" w14:textId="05D0ACC5" w:rsidR="00BA3C3F" w:rsidRPr="00BA3C3F" w:rsidRDefault="00BA3C3F" w:rsidP="00BA3C3F">
      <w:pPr>
        <w:bidi w:val="0"/>
        <w:spacing w:after="120" w:line="276" w:lineRule="auto"/>
        <w:ind w:firstLine="284"/>
        <w:jc w:val="both"/>
        <w:rPr>
          <w:rFonts w:asciiTheme="majorBidi" w:hAnsiTheme="majorBidi" w:cstheme="majorBidi"/>
          <w:sz w:val="24"/>
          <w:szCs w:val="24"/>
        </w:rPr>
      </w:pPr>
      <w:r w:rsidRPr="00BA3C3F">
        <w:rPr>
          <w:rFonts w:asciiTheme="majorBidi" w:hAnsiTheme="majorBidi" w:cstheme="majorBidi"/>
          <w:sz w:val="24"/>
          <w:szCs w:val="24"/>
        </w:rPr>
        <w:t>Taken together, KPMG (2025), FSB (2023), and BIS (2013) imply that explicit approval ownership at the AM–Sales seam is the practical antidote to KPI conflict and tool silos</w:t>
      </w:r>
      <w:r w:rsidR="00B03C22">
        <w:rPr>
          <w:rFonts w:asciiTheme="majorBidi" w:hAnsiTheme="majorBidi" w:cstheme="majorBidi"/>
          <w:sz w:val="24"/>
          <w:szCs w:val="24"/>
        </w:rPr>
        <w:t>-</w:t>
      </w:r>
      <w:r w:rsidRPr="00BA3C3F">
        <w:rPr>
          <w:rFonts w:asciiTheme="majorBidi" w:hAnsiTheme="majorBidi" w:cstheme="majorBidi"/>
          <w:sz w:val="24"/>
          <w:szCs w:val="24"/>
        </w:rPr>
        <w:t>setting the stage for thresholds (who can approve what, up to which limits) in the next subsection, where ownership is bounded by quantified risk and liquidity gates.</w:t>
      </w:r>
    </w:p>
    <w:p w14:paraId="00D6A562" w14:textId="77777777" w:rsidR="007A00D5" w:rsidRPr="007A00D5" w:rsidRDefault="007A00D5" w:rsidP="002E6F27">
      <w:pPr>
        <w:pStyle w:val="a5"/>
        <w:numPr>
          <w:ilvl w:val="0"/>
          <w:numId w:val="19"/>
        </w:numPr>
        <w:bidi w:val="0"/>
        <w:spacing w:after="120" w:line="276" w:lineRule="auto"/>
        <w:jc w:val="both"/>
        <w:rPr>
          <w:rFonts w:asciiTheme="majorBidi" w:hAnsiTheme="majorBidi" w:cstheme="majorBidi"/>
          <w:sz w:val="24"/>
          <w:szCs w:val="24"/>
        </w:rPr>
      </w:pPr>
      <w:r w:rsidRPr="007A00D5">
        <w:rPr>
          <w:rFonts w:asciiTheme="majorBidi" w:hAnsiTheme="majorBidi" w:cstheme="majorBidi"/>
          <w:sz w:val="24"/>
          <w:szCs w:val="24"/>
        </w:rPr>
        <w:t>Thresholds</w:t>
      </w:r>
    </w:p>
    <w:p w14:paraId="45934EE8" w14:textId="32ED4A50"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KPMG (2025) treats thresholds as the quantitative guardrails that bound approval ownership</w:t>
      </w:r>
      <w:r w:rsidR="00B03C22">
        <w:rPr>
          <w:rFonts w:asciiTheme="majorBidi" w:hAnsiTheme="majorBidi" w:cstheme="majorBidi"/>
          <w:sz w:val="24"/>
          <w:szCs w:val="24"/>
        </w:rPr>
        <w:t>-</w:t>
      </w:r>
      <w:r w:rsidRPr="007A00D5">
        <w:rPr>
          <w:rFonts w:asciiTheme="majorBidi" w:hAnsiTheme="majorBidi" w:cstheme="majorBidi"/>
          <w:sz w:val="24"/>
          <w:szCs w:val="24"/>
        </w:rPr>
        <w:t>explicit limits on exposure, tenor, pricing floors, collateral haircuts, and override caps that determine what the first line may decide before escalation is mandatory. Bank for International Settlements (2013) ties these guards to prudential math: LCR/funding costs and market-risk fit should parameterize tenor and pricing thresholds so liquidity-intensive structures cannot be approved at the AM–Sales seam without an evidence-based override. Financial Stability Board (2023) extends the logic to third-party/operational risk by recommending pre-set triggers (e.g., vendor criticality, concentration, data-sharing scope) that force time-bound escalation, reducing discretion when exposures compound silently.</w:t>
      </w:r>
    </w:p>
    <w:p w14:paraId="3F46FDDD" w14:textId="7348A6CD"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International Monetary Fund (2023) argues that in volatile regimes, vague limits behave like soft advice</w:t>
      </w:r>
      <w:r w:rsidR="00B03C22">
        <w:rPr>
          <w:rFonts w:asciiTheme="majorBidi" w:hAnsiTheme="majorBidi" w:cstheme="majorBidi"/>
          <w:sz w:val="24"/>
          <w:szCs w:val="24"/>
        </w:rPr>
        <w:t>-</w:t>
      </w:r>
      <w:r w:rsidRPr="007A00D5">
        <w:rPr>
          <w:rFonts w:asciiTheme="majorBidi" w:hAnsiTheme="majorBidi" w:cstheme="majorBidi"/>
          <w:sz w:val="24"/>
          <w:szCs w:val="24"/>
        </w:rPr>
        <w:t>latency and ambiguity invite exception drift</w:t>
      </w:r>
      <w:r w:rsidR="00B03C22">
        <w:rPr>
          <w:rFonts w:asciiTheme="majorBidi" w:hAnsiTheme="majorBidi" w:cstheme="majorBidi"/>
          <w:sz w:val="24"/>
          <w:szCs w:val="24"/>
        </w:rPr>
        <w:t>-</w:t>
      </w:r>
      <w:r w:rsidRPr="007A00D5">
        <w:rPr>
          <w:rFonts w:asciiTheme="majorBidi" w:hAnsiTheme="majorBidi" w:cstheme="majorBidi"/>
          <w:sz w:val="24"/>
          <w:szCs w:val="24"/>
        </w:rPr>
        <w:t>so thresholds must be machine-readable in CRM/risk systems and co-visible to AM–Sales to prevent “shadow approvals.” Islamic Financial Services Board (2024) adds contract-form specificity: murabaha/ijara/musharaka require form thresholds (asset evidence completeness, ownership transfer conditions, profit recognition rules) that block booking until satisfied, placing Shariah criteria alongside credit and liquidity gates. Lang, Peltonen, and Sarlin (2018) show that when thresholds are linked to feedback loops (e.g., delinquency spikes auto-tighten segment limits), false negatives fall and upstream selection improves.</w:t>
      </w:r>
    </w:p>
    <w:p w14:paraId="2185D596" w14:textId="75A966C5"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McKinsey &amp; Company (2020) cautions that thresholds without incentive coupling are gamed; tying overrides to KPI costs (caps, chargebacks) aligns behavior with the gates. Practically, this study models thresholds as the measurable edge of Decision Rights &amp; Escalation Clarity (RACI) at the AM–Sales interface</w:t>
      </w:r>
      <w:r w:rsidR="00B03C22">
        <w:rPr>
          <w:rFonts w:asciiTheme="majorBidi" w:hAnsiTheme="majorBidi" w:cstheme="majorBidi"/>
          <w:sz w:val="24"/>
          <w:szCs w:val="24"/>
        </w:rPr>
        <w:t>-</w:t>
      </w:r>
      <w:r w:rsidRPr="007A00D5">
        <w:rPr>
          <w:rFonts w:asciiTheme="majorBidi" w:hAnsiTheme="majorBidi" w:cstheme="majorBidi"/>
          <w:sz w:val="24"/>
          <w:szCs w:val="24"/>
        </w:rPr>
        <w:t>bridging from ownership (who decides) to SLAs and dispute-resolution speed (by when decisions and escalations must occur), which the next subsection specifies.</w:t>
      </w:r>
    </w:p>
    <w:p w14:paraId="7B004F94" w14:textId="77777777" w:rsidR="007A00D5" w:rsidRPr="007A00D5" w:rsidRDefault="007A00D5" w:rsidP="002E6F27">
      <w:pPr>
        <w:pStyle w:val="a5"/>
        <w:numPr>
          <w:ilvl w:val="0"/>
          <w:numId w:val="19"/>
        </w:numPr>
        <w:bidi w:val="0"/>
        <w:spacing w:after="120" w:line="276" w:lineRule="auto"/>
        <w:jc w:val="both"/>
        <w:rPr>
          <w:rFonts w:asciiTheme="majorBidi" w:hAnsiTheme="majorBidi" w:cstheme="majorBidi"/>
          <w:sz w:val="24"/>
          <w:szCs w:val="24"/>
        </w:rPr>
      </w:pPr>
      <w:r w:rsidRPr="007A00D5">
        <w:rPr>
          <w:rFonts w:asciiTheme="majorBidi" w:hAnsiTheme="majorBidi" w:cstheme="majorBidi"/>
          <w:sz w:val="24"/>
          <w:szCs w:val="24"/>
        </w:rPr>
        <w:t>SLAs and Dispute-Resolution Speed</w:t>
      </w:r>
    </w:p>
    <w:p w14:paraId="55F9ED1B" w14:textId="77777777"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 xml:space="preserve">Why timers matter. KPMG (2025) treats service-level agreements (SLAs) as the temporal spine of RACI: they specify </w:t>
      </w:r>
      <w:r w:rsidRPr="007A00D5">
        <w:rPr>
          <w:rFonts w:asciiTheme="majorBidi" w:hAnsiTheme="majorBidi" w:cstheme="majorBidi"/>
          <w:i/>
          <w:iCs/>
          <w:sz w:val="24"/>
          <w:szCs w:val="24"/>
        </w:rPr>
        <w:t>who must respond, by when, and with what evidence</w:t>
      </w:r>
      <w:r w:rsidRPr="007A00D5">
        <w:rPr>
          <w:rFonts w:asciiTheme="majorBidi" w:hAnsiTheme="majorBidi" w:cstheme="majorBidi"/>
          <w:sz w:val="24"/>
          <w:szCs w:val="24"/>
        </w:rPr>
        <w:t>, converting ownership and thresholds into measurable decision latency. International Monetary Fund (2023) adds that in volatile regimes, slow or looping decisions increase loss-given-error; thus, time-boxing pre-deal consultations and escalations is not bureaucracy but a risk control that prevents stale assumptions from reaching approval.</w:t>
      </w:r>
    </w:p>
    <w:p w14:paraId="700A06E3" w14:textId="77777777"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From thresholds to clocks. Bank for International Settlements (2013) embeds LCR/funding constraints in pricing and tenor, implying that when a proposal breaches liquidity or market-risk limits, escalation to second line must run on a clock, not discretion. Financial Stability Board (2023) extends this seam-first logic: SLAs tied to pre-defined evidence packs (credit memo fields, asset-evidence checklists, data-lineage tags) reduce relitigation and compress committee cycle time, turning exceptions into evidence-based overrides rather than negotiations.</w:t>
      </w:r>
    </w:p>
    <w:p w14:paraId="4BB729C0" w14:textId="0D7BD4D0"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Designing fast, fair resolution. Lang, Peltonen, and Sarlin (2018) show that feedback loops outperform when reviews and escalations follow fixed cadences with named owners; routing outcomes back into checklists lowers false negatives at origination. Habel, Alavi, and Heinitz (2023) add that timers only bite if actions are embedded in frontline tools</w:t>
      </w:r>
      <w:r w:rsidR="00B03C22">
        <w:rPr>
          <w:rFonts w:asciiTheme="majorBidi" w:hAnsiTheme="majorBidi" w:cstheme="majorBidi"/>
          <w:sz w:val="24"/>
          <w:szCs w:val="24"/>
        </w:rPr>
        <w:t>-</w:t>
      </w:r>
      <w:r w:rsidRPr="007A00D5">
        <w:rPr>
          <w:rFonts w:asciiTheme="majorBidi" w:hAnsiTheme="majorBidi" w:cstheme="majorBidi"/>
          <w:sz w:val="24"/>
          <w:szCs w:val="24"/>
        </w:rPr>
        <w:t>e.g., CRM tasks with deadlines and accountability</w:t>
      </w:r>
      <w:r w:rsidR="00B03C22">
        <w:rPr>
          <w:rFonts w:asciiTheme="majorBidi" w:hAnsiTheme="majorBidi" w:cstheme="majorBidi"/>
          <w:sz w:val="24"/>
          <w:szCs w:val="24"/>
        </w:rPr>
        <w:t>-</w:t>
      </w:r>
      <w:r w:rsidRPr="007A00D5">
        <w:rPr>
          <w:rFonts w:asciiTheme="majorBidi" w:hAnsiTheme="majorBidi" w:cstheme="majorBidi"/>
          <w:sz w:val="24"/>
          <w:szCs w:val="24"/>
        </w:rPr>
        <w:t>otherwise alerts become observational. McKinsey &amp; Company (2020) cautions that high meeting frequency without SLA discipline creates “meeting inflation”; pairing timers with clear acceptance criteria (what constitutes a complete file) and auto-escalation rules (who decides next if the clock expires) preserves speed and quality.</w:t>
      </w:r>
    </w:p>
    <w:p w14:paraId="4CC98B2F" w14:textId="2BE3FC26"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Islamic-bank adaptation. Islamic Financial Services Board (2024) requires pre-deal Shariah consultations on a defined timer for murabaha/ijara/musharaka; State Bank of Pakistan (2024) operationalizes this with RACI-style Shariah pathways (who verifies asset evidence, who approves profit recognition, when to escalate to the Shariah board). World Bank (van Greuning &amp; Iqbal, 2008) underscores the economic stakes: slow or late Shariah resolution often surfaces as credit/operational losses, not just compliance findings</w:t>
      </w:r>
      <w:r w:rsidR="00B03C22">
        <w:rPr>
          <w:rFonts w:asciiTheme="majorBidi" w:hAnsiTheme="majorBidi" w:cstheme="majorBidi"/>
          <w:sz w:val="24"/>
          <w:szCs w:val="24"/>
        </w:rPr>
        <w:t>-</w:t>
      </w:r>
      <w:r w:rsidRPr="007A00D5">
        <w:rPr>
          <w:rFonts w:asciiTheme="majorBidi" w:hAnsiTheme="majorBidi" w:cstheme="majorBidi"/>
          <w:sz w:val="24"/>
          <w:szCs w:val="24"/>
        </w:rPr>
        <w:t>justifying SLA clocks upstream.</w:t>
      </w:r>
    </w:p>
    <w:p w14:paraId="6AED5B25" w14:textId="06750E8C"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Bridge to the next lever. With ownership, thresholds, and SLAs in place, KPMG (2025) predicts lower decision latency and fewer off-process disputes; the remaining task is to ensure that AM and Sales experience less friction at the seam. Accordingly, the next subsection analyzes how decision-rights clarity</w:t>
      </w:r>
      <w:r w:rsidR="00B03C22">
        <w:rPr>
          <w:rFonts w:asciiTheme="majorBidi" w:hAnsiTheme="majorBidi" w:cstheme="majorBidi"/>
          <w:sz w:val="24"/>
          <w:szCs w:val="24"/>
        </w:rPr>
        <w:t>-</w:t>
      </w:r>
      <w:r w:rsidRPr="007A00D5">
        <w:rPr>
          <w:rFonts w:asciiTheme="majorBidi" w:hAnsiTheme="majorBidi" w:cstheme="majorBidi"/>
          <w:sz w:val="24"/>
          <w:szCs w:val="24"/>
        </w:rPr>
        <w:t>who is accountable, who is consulted, and who must merely be informed</w:t>
      </w:r>
      <w:r w:rsidR="00B03C22">
        <w:rPr>
          <w:rFonts w:asciiTheme="majorBidi" w:hAnsiTheme="majorBidi" w:cstheme="majorBidi"/>
          <w:sz w:val="24"/>
          <w:szCs w:val="24"/>
        </w:rPr>
        <w:t>-</w:t>
      </w:r>
      <w:r w:rsidRPr="007A00D5">
        <w:rPr>
          <w:rFonts w:asciiTheme="majorBidi" w:hAnsiTheme="majorBidi" w:cstheme="majorBidi"/>
          <w:sz w:val="24"/>
          <w:szCs w:val="24"/>
        </w:rPr>
        <w:t>reduces handoff friction and stabilizes collaboration quality even under KPI tension.</w:t>
      </w:r>
    </w:p>
    <w:p w14:paraId="68291953" w14:textId="77777777" w:rsidR="007A00D5" w:rsidRPr="007A00D5" w:rsidRDefault="007A00D5" w:rsidP="002E6F27">
      <w:pPr>
        <w:pStyle w:val="a5"/>
        <w:numPr>
          <w:ilvl w:val="0"/>
          <w:numId w:val="19"/>
        </w:numPr>
        <w:bidi w:val="0"/>
        <w:spacing w:after="120" w:line="276" w:lineRule="auto"/>
        <w:jc w:val="both"/>
        <w:rPr>
          <w:rFonts w:asciiTheme="majorBidi" w:hAnsiTheme="majorBidi" w:cstheme="majorBidi"/>
          <w:sz w:val="24"/>
          <w:szCs w:val="24"/>
        </w:rPr>
      </w:pPr>
      <w:r w:rsidRPr="007A00D5">
        <w:rPr>
          <w:rFonts w:asciiTheme="majorBidi" w:hAnsiTheme="majorBidi" w:cstheme="majorBidi"/>
          <w:sz w:val="24"/>
          <w:szCs w:val="24"/>
        </w:rPr>
        <w:t>Decision-Rights Clarity and Friction Reduction at the AM–Sales Seam</w:t>
      </w:r>
    </w:p>
    <w:p w14:paraId="0BBD65D0" w14:textId="39420C9E"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KPMG (2025) shows that clear decision rights</w:t>
      </w:r>
      <w:r w:rsidR="00B03C22">
        <w:rPr>
          <w:rFonts w:asciiTheme="majorBidi" w:hAnsiTheme="majorBidi" w:cstheme="majorBidi"/>
          <w:sz w:val="24"/>
          <w:szCs w:val="24"/>
        </w:rPr>
        <w:t>-</w:t>
      </w:r>
      <w:r w:rsidRPr="007A00D5">
        <w:rPr>
          <w:rFonts w:asciiTheme="majorBidi" w:hAnsiTheme="majorBidi" w:cstheme="majorBidi"/>
          <w:sz w:val="24"/>
          <w:szCs w:val="24"/>
        </w:rPr>
        <w:t>codified through RACI, approval mandates, and named owners</w:t>
      </w:r>
      <w:r w:rsidR="00B03C22">
        <w:rPr>
          <w:rFonts w:asciiTheme="majorBidi" w:hAnsiTheme="majorBidi" w:cstheme="majorBidi"/>
          <w:sz w:val="24"/>
          <w:szCs w:val="24"/>
        </w:rPr>
        <w:t>-</w:t>
      </w:r>
      <w:r w:rsidRPr="007A00D5">
        <w:rPr>
          <w:rFonts w:asciiTheme="majorBidi" w:hAnsiTheme="majorBidi" w:cstheme="majorBidi"/>
          <w:sz w:val="24"/>
          <w:szCs w:val="24"/>
        </w:rPr>
        <w:t>convert the AM–Sales interface from ad-hoc bargaining to a repeatable flow of decisions. When it is explicit who decides, who must be consulted, and who is merely informed, the seam stops hosting jurisdictional arguments and starts producing time-bound outcomes. Financial Stability Board (2023) reaches the same conclusion from a seams-first lens: clarity, paired with decision logs and pre-agreed evidence packets, eliminates relitigation and lowers the interpersonal friction that typically appears as email loops and meeting reruns.</w:t>
      </w:r>
    </w:p>
    <w:p w14:paraId="7BF79C2C" w14:textId="5FD1996E"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Bank for International Settlements (2013) links decision clarity to prudential fit: if the first-line owner is accountable for internalizing LCR and funding costs in pricing/tenor, there is no room for shadow approvals that later collide with liquidity constraints. International Monetary Fund (2023) adds that in volatile regimes ambiguity raises loss-given-error by slowing or splitting ownership; clarity compresses latency and reduces exception drift. Lang, Peltonen, and Sarlin (2018) show that named owners also strengthen feedback loops</w:t>
      </w:r>
      <w:r w:rsidR="00B03C22">
        <w:rPr>
          <w:rFonts w:asciiTheme="majorBidi" w:hAnsiTheme="majorBidi" w:cstheme="majorBidi"/>
          <w:sz w:val="24"/>
          <w:szCs w:val="24"/>
        </w:rPr>
        <w:t>-</w:t>
      </w:r>
      <w:r w:rsidRPr="007A00D5">
        <w:rPr>
          <w:rFonts w:asciiTheme="majorBidi" w:hAnsiTheme="majorBidi" w:cstheme="majorBidi"/>
          <w:sz w:val="24"/>
          <w:szCs w:val="24"/>
        </w:rPr>
        <w:t>post-booking signals return to the same accountable role</w:t>
      </w:r>
      <w:r w:rsidR="00B03C22">
        <w:rPr>
          <w:rFonts w:asciiTheme="majorBidi" w:hAnsiTheme="majorBidi" w:cstheme="majorBidi"/>
          <w:sz w:val="24"/>
          <w:szCs w:val="24"/>
        </w:rPr>
        <w:t>-</w:t>
      </w:r>
      <w:r w:rsidRPr="007A00D5">
        <w:rPr>
          <w:rFonts w:asciiTheme="majorBidi" w:hAnsiTheme="majorBidi" w:cstheme="majorBidi"/>
          <w:sz w:val="24"/>
          <w:szCs w:val="24"/>
        </w:rPr>
        <w:t>turning frictional blame games into learning cycles. Habel, Alavi, and Heinitz (2023) emphasize that clarity must live inside the workflow: CRM tasks, next-best actions, and dashboards should tag the decision owner, or else visibility fails to translate into action. McKinsey &amp; Company (2020) cautions that, without such embedding, KPI tensions resurface as off-process negotiations; clarity works when coupled to SLAs and override rules that bind incentives to evidence.</w:t>
      </w:r>
    </w:p>
    <w:p w14:paraId="652F4C5A" w14:textId="3AEABE92" w:rsidR="007A00D5" w:rsidRPr="007A00D5" w:rsidRDefault="007A00D5" w:rsidP="007A00D5">
      <w:pPr>
        <w:bidi w:val="0"/>
        <w:spacing w:after="120" w:line="276" w:lineRule="auto"/>
        <w:ind w:firstLine="284"/>
        <w:jc w:val="both"/>
        <w:rPr>
          <w:rFonts w:asciiTheme="majorBidi" w:hAnsiTheme="majorBidi" w:cstheme="majorBidi"/>
          <w:sz w:val="24"/>
          <w:szCs w:val="24"/>
        </w:rPr>
      </w:pPr>
      <w:r w:rsidRPr="007A00D5">
        <w:rPr>
          <w:rFonts w:asciiTheme="majorBidi" w:hAnsiTheme="majorBidi" w:cstheme="majorBidi"/>
          <w:sz w:val="24"/>
          <w:szCs w:val="24"/>
        </w:rPr>
        <w:t>Islamic Financial Services Board (2024) extends the argument to Shariah pathways: when responsibility for asset evidence, ownership transfer, and profit recognition is explicitly assigned</w:t>
      </w:r>
      <w:r w:rsidR="00B03C22">
        <w:rPr>
          <w:rFonts w:asciiTheme="majorBidi" w:hAnsiTheme="majorBidi" w:cstheme="majorBidi"/>
          <w:sz w:val="24"/>
          <w:szCs w:val="24"/>
        </w:rPr>
        <w:t>-</w:t>
      </w:r>
      <w:r w:rsidRPr="007A00D5">
        <w:rPr>
          <w:rFonts w:asciiTheme="majorBidi" w:hAnsiTheme="majorBidi" w:cstheme="majorBidi"/>
          <w:sz w:val="24"/>
          <w:szCs w:val="24"/>
        </w:rPr>
        <w:t>and when escalation to the Shariah function runs on a clock</w:t>
      </w:r>
      <w:r w:rsidR="00B03C22">
        <w:rPr>
          <w:rFonts w:asciiTheme="majorBidi" w:hAnsiTheme="majorBidi" w:cstheme="majorBidi"/>
          <w:sz w:val="24"/>
          <w:szCs w:val="24"/>
        </w:rPr>
        <w:t>-</w:t>
      </w:r>
      <w:r w:rsidRPr="007A00D5">
        <w:rPr>
          <w:rFonts w:asciiTheme="majorBidi" w:hAnsiTheme="majorBidi" w:cstheme="majorBidi"/>
          <w:sz w:val="24"/>
          <w:szCs w:val="24"/>
        </w:rPr>
        <w:t>AM–Sales friction over contract form disappears upstream rather than exploding at committees. In sum, KPMG (2025), FSB (2023), and BIS (2013) imply that decision-rights clarity is the practical antidote to handoff friction, transforming prior mechanisms</w:t>
      </w:r>
      <w:r w:rsidR="00B03C22">
        <w:rPr>
          <w:rFonts w:asciiTheme="majorBidi" w:hAnsiTheme="majorBidi" w:cstheme="majorBidi"/>
          <w:sz w:val="24"/>
          <w:szCs w:val="24"/>
        </w:rPr>
        <w:t>-</w:t>
      </w:r>
      <w:r w:rsidRPr="007A00D5">
        <w:rPr>
          <w:rFonts w:asciiTheme="majorBidi" w:hAnsiTheme="majorBidi" w:cstheme="majorBidi"/>
          <w:sz w:val="24"/>
          <w:szCs w:val="24"/>
        </w:rPr>
        <w:t>cadence, co-visibility, and KPI alignment</w:t>
      </w:r>
      <w:r w:rsidR="00B03C22">
        <w:rPr>
          <w:rFonts w:asciiTheme="majorBidi" w:hAnsiTheme="majorBidi" w:cstheme="majorBidi"/>
          <w:sz w:val="24"/>
          <w:szCs w:val="24"/>
        </w:rPr>
        <w:t>-</w:t>
      </w:r>
      <w:r w:rsidRPr="007A00D5">
        <w:rPr>
          <w:rFonts w:asciiTheme="majorBidi" w:hAnsiTheme="majorBidi" w:cstheme="majorBidi"/>
          <w:sz w:val="24"/>
          <w:szCs w:val="24"/>
        </w:rPr>
        <w:t>into consistent behavior. Building on this seam discipline, the next subsection examines cross-functional governance in Islamic banks, where the same clarity must integrate Shariah review as a design input rather than a late gate.</w:t>
      </w:r>
    </w:p>
    <w:p w14:paraId="264883A5" w14:textId="18A259EC" w:rsidR="00BA3C3F" w:rsidRPr="007A00D5" w:rsidRDefault="007A00D5" w:rsidP="007A00D5">
      <w:pPr>
        <w:pStyle w:val="3"/>
      </w:pPr>
      <w:bookmarkStart w:id="67" w:name="_Toc214621140"/>
      <w:r w:rsidRPr="007A00D5">
        <w:t>Cross-Functional Governance in Islamic Banks</w:t>
      </w:r>
      <w:bookmarkEnd w:id="67"/>
    </w:p>
    <w:p w14:paraId="6E09C3BB" w14:textId="77777777" w:rsidR="00216A00" w:rsidRPr="00216A00" w:rsidRDefault="00216A00" w:rsidP="002E6F27">
      <w:pPr>
        <w:pStyle w:val="a5"/>
        <w:numPr>
          <w:ilvl w:val="0"/>
          <w:numId w:val="20"/>
        </w:numPr>
        <w:bidi w:val="0"/>
        <w:spacing w:after="120" w:line="276" w:lineRule="auto"/>
        <w:jc w:val="both"/>
        <w:rPr>
          <w:rFonts w:asciiTheme="majorBidi" w:hAnsiTheme="majorBidi" w:cstheme="majorBidi"/>
          <w:sz w:val="24"/>
          <w:szCs w:val="24"/>
        </w:rPr>
      </w:pPr>
      <w:r w:rsidRPr="00216A00">
        <w:rPr>
          <w:rFonts w:asciiTheme="majorBidi" w:hAnsiTheme="majorBidi" w:cstheme="majorBidi"/>
          <w:sz w:val="24"/>
          <w:szCs w:val="24"/>
        </w:rPr>
        <w:t>Relationship with the Shariah Board</w:t>
      </w:r>
    </w:p>
    <w:p w14:paraId="07A6BBF2" w14:textId="77777777"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Islamic Financial Services Board (2024) positions the Shariah governance function as a design partner and challenger rather than a late “stamp,” emphasizing ex-ante engagement at product structuring and case-by-case origination. In this architecture, the Shariah Board provides principled rulings and oversight, while an internal Shariah compliance unit translates rulings into operating rules, checklists, and evidence standards that first-line teams must satisfy before approval. State Bank of Pakistan (2024) advances this into an operating model by prescribing RACI-style pathways: Sales is consulted on client intent and delivery logistics; the Account Manager is accountable for form–substance fit (asset evidence, ownership transfer, profit calculation); the Shariah function is the approver for contract-form ambiguities and the informed party for routine, pre-specified cases</w:t>
      </w:r>
      <w:r w:rsidRPr="00216A00">
        <w:rPr>
          <w:rFonts w:asciiTheme="majorBidi" w:hAnsiTheme="majorBidi" w:cstheme="majorBidi"/>
          <w:sz w:val="24"/>
          <w:szCs w:val="24"/>
          <w:rtl/>
        </w:rPr>
        <w:t>.</w:t>
      </w:r>
    </w:p>
    <w:p w14:paraId="5D830C45" w14:textId="2284F2AE" w:rsidR="00BA3C3F"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Van Greuning and Iqbal (2008) underline the economic stakes: weak alignment between Shariah form and operational substance often materializes as credit and operational losses, not merely compliance findings, when documentation, possession, or delivery are unclear. Al Hammadi (2025) adds a contemporary lens by showing how fintech enablement and third-party rails expand both capability and exposure; unless Shariah requirements are embedded in workflows and vendor contracts, AM–Sales may inadvertently book structures with form defects that surface downstream. Building on these views, the relationship with the Shariah Board in this study is operationalized through early consultation cadences, evidence packs, and time-boxed escalations owned by the AM; this converts Shariah review into a front-to-back control that stabilizes the AM–Sales seam and prepares the ground for the next subsection on contract-form constraints (murabaha/ijara/musharaka) as early-stage coordination drivers.</w:t>
      </w:r>
    </w:p>
    <w:p w14:paraId="34B2FEEE" w14:textId="77777777" w:rsidR="00216A00" w:rsidRPr="00216A00" w:rsidRDefault="00216A00" w:rsidP="002E6F27">
      <w:pPr>
        <w:pStyle w:val="a5"/>
        <w:numPr>
          <w:ilvl w:val="0"/>
          <w:numId w:val="20"/>
        </w:numPr>
        <w:bidi w:val="0"/>
        <w:spacing w:after="120" w:line="276" w:lineRule="auto"/>
        <w:ind w:left="567" w:hanging="11"/>
        <w:jc w:val="both"/>
        <w:rPr>
          <w:rFonts w:asciiTheme="majorBidi" w:hAnsiTheme="majorBidi" w:cstheme="majorBidi"/>
          <w:sz w:val="24"/>
          <w:szCs w:val="24"/>
        </w:rPr>
      </w:pPr>
      <w:r w:rsidRPr="00216A00">
        <w:rPr>
          <w:rFonts w:asciiTheme="majorBidi" w:hAnsiTheme="majorBidi" w:cstheme="majorBidi"/>
          <w:sz w:val="24"/>
          <w:szCs w:val="24"/>
        </w:rPr>
        <w:t>Contract-Form Constraints (Murabaha, Ijara, Musharaka) as Early-Stage Coordination Drivers</w:t>
      </w:r>
    </w:p>
    <w:p w14:paraId="51EAC581" w14:textId="2B759D3C"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Islamic Financial Services Board (2024) explains that murabaha, ijara, and musharaka embed form conditions</w:t>
      </w:r>
      <w:r w:rsidR="00B03C22">
        <w:rPr>
          <w:rFonts w:asciiTheme="majorBidi" w:hAnsiTheme="majorBidi" w:cstheme="majorBidi"/>
          <w:sz w:val="24"/>
          <w:szCs w:val="24"/>
        </w:rPr>
        <w:t>-</w:t>
      </w:r>
      <w:r w:rsidRPr="00216A00">
        <w:rPr>
          <w:rFonts w:asciiTheme="majorBidi" w:hAnsiTheme="majorBidi" w:cstheme="majorBidi"/>
          <w:sz w:val="24"/>
          <w:szCs w:val="24"/>
        </w:rPr>
        <w:t>proof of asset existence, lawful ownership/possession, and profit recognition rules</w:t>
      </w:r>
      <w:r w:rsidR="00B03C22">
        <w:rPr>
          <w:rFonts w:asciiTheme="majorBidi" w:hAnsiTheme="majorBidi" w:cstheme="majorBidi"/>
          <w:sz w:val="24"/>
          <w:szCs w:val="24"/>
        </w:rPr>
        <w:t>-</w:t>
      </w:r>
      <w:r w:rsidRPr="00216A00">
        <w:rPr>
          <w:rFonts w:asciiTheme="majorBidi" w:hAnsiTheme="majorBidi" w:cstheme="majorBidi"/>
          <w:sz w:val="24"/>
          <w:szCs w:val="24"/>
        </w:rPr>
        <w:t>that must be satisfied before pricing and approval, turning contract choice into an early design constraint rather than a late compliance check. By requiring documented evidence (e.g., purchase invoices, delivery/possession records, usufruct specifications), Islamic Financial Services Board (2024) effectively pushes Account Managers and Sales to co-design the structure at origination so that commercial intent fits Shariah form without backtracking</w:t>
      </w:r>
      <w:r w:rsidRPr="00216A00">
        <w:rPr>
          <w:rFonts w:asciiTheme="majorBidi" w:hAnsiTheme="majorBidi" w:cstheme="majorBidi"/>
          <w:sz w:val="24"/>
          <w:szCs w:val="24"/>
          <w:rtl/>
        </w:rPr>
        <w:t>.</w:t>
      </w:r>
    </w:p>
    <w:p w14:paraId="36A7C5EC" w14:textId="7944EAA2"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Van Greuning and Iqbal (2008) show that when these form conditions are treated superficially, gaps appear as credit and operational losses</w:t>
      </w:r>
      <w:r w:rsidR="00B03C22">
        <w:rPr>
          <w:rFonts w:asciiTheme="majorBidi" w:hAnsiTheme="majorBidi" w:cstheme="majorBidi"/>
          <w:sz w:val="24"/>
          <w:szCs w:val="24"/>
        </w:rPr>
        <w:t>-</w:t>
      </w:r>
      <w:r w:rsidRPr="00216A00">
        <w:rPr>
          <w:rFonts w:asciiTheme="majorBidi" w:hAnsiTheme="majorBidi" w:cstheme="majorBidi"/>
          <w:sz w:val="24"/>
          <w:szCs w:val="24"/>
        </w:rPr>
        <w:t>for instance, receivables booked without clean title transfer in murabaha, or ijara schedules misaligned with usufruct delivery</w:t>
      </w:r>
      <w:r w:rsidR="00B03C22">
        <w:rPr>
          <w:rFonts w:asciiTheme="majorBidi" w:hAnsiTheme="majorBidi" w:cstheme="majorBidi"/>
          <w:sz w:val="24"/>
          <w:szCs w:val="24"/>
        </w:rPr>
        <w:t>-</w:t>
      </w:r>
      <w:r w:rsidRPr="00216A00">
        <w:rPr>
          <w:rFonts w:asciiTheme="majorBidi" w:hAnsiTheme="majorBidi" w:cstheme="majorBidi"/>
          <w:sz w:val="24"/>
          <w:szCs w:val="24"/>
        </w:rPr>
        <w:t>demonstrating that “form–substance” is a risk parameter, not merely a legal ritual. Al Hammadi (2025) adds that fintech rails and third-party platforms amplify both capability and exposure: faster onboarding and digital documentation increase reach, yet they heighten documentation and sequencing risk unless Shariah and risk checkpoints are embedded upstream in the workflow. State Bank of Pakistan (2024) operationalizes this upstream stance with RACI-style Shariah pathways, assigning who verifies asset evidence, who clears profit computation, and when unresolved questions must escalate on a timer to the Shariah function</w:t>
      </w:r>
      <w:r w:rsidRPr="00216A00">
        <w:rPr>
          <w:rFonts w:asciiTheme="majorBidi" w:hAnsiTheme="majorBidi" w:cstheme="majorBidi"/>
          <w:sz w:val="24"/>
          <w:szCs w:val="24"/>
          <w:rtl/>
        </w:rPr>
        <w:t>.</w:t>
      </w:r>
    </w:p>
    <w:p w14:paraId="067BEF6D" w14:textId="51EC9119" w:rsidR="00BA3C3F"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Taken together, Islamic Financial Services Board (2024), Van Greuning and Iqbal (2008), and Al Hammadi (2025) imply that contract-form constraints are coordination levers: they force early AM–Sales alignment on evidence, timelines, and counterparties, which reduces rework and exception drift. This upstream discipline naturally leads to the next subsection</w:t>
      </w:r>
      <w:r w:rsidR="00B03C22">
        <w:rPr>
          <w:rFonts w:asciiTheme="majorBidi" w:hAnsiTheme="majorBidi" w:cstheme="majorBidi"/>
          <w:sz w:val="24"/>
          <w:szCs w:val="24"/>
        </w:rPr>
        <w:t>-</w:t>
      </w:r>
      <w:r w:rsidRPr="00216A00">
        <w:rPr>
          <w:rFonts w:asciiTheme="majorBidi" w:hAnsiTheme="majorBidi" w:cstheme="majorBidi"/>
          <w:sz w:val="24"/>
          <w:szCs w:val="24"/>
        </w:rPr>
        <w:t>the effect of Shariah governance on AM–Sales relationship quality</w:t>
      </w:r>
      <w:r w:rsidR="00B03C22">
        <w:rPr>
          <w:rFonts w:asciiTheme="majorBidi" w:hAnsiTheme="majorBidi" w:cstheme="majorBidi"/>
          <w:sz w:val="24"/>
          <w:szCs w:val="24"/>
        </w:rPr>
        <w:t>-</w:t>
      </w:r>
      <w:r w:rsidRPr="00216A00">
        <w:rPr>
          <w:rFonts w:asciiTheme="majorBidi" w:hAnsiTheme="majorBidi" w:cstheme="majorBidi"/>
          <w:sz w:val="24"/>
          <w:szCs w:val="24"/>
        </w:rPr>
        <w:t>where the same constraints translate into clearer roles, faster escalations, and more reliable origination outcomes.</w:t>
      </w:r>
    </w:p>
    <w:p w14:paraId="7FC3D975" w14:textId="77777777" w:rsidR="00216A00" w:rsidRPr="00216A00" w:rsidRDefault="00216A00" w:rsidP="002E6F27">
      <w:pPr>
        <w:pStyle w:val="a5"/>
        <w:numPr>
          <w:ilvl w:val="0"/>
          <w:numId w:val="20"/>
        </w:numPr>
        <w:bidi w:val="0"/>
        <w:spacing w:after="120" w:line="276" w:lineRule="auto"/>
        <w:ind w:left="567" w:hanging="11"/>
        <w:jc w:val="both"/>
        <w:rPr>
          <w:rFonts w:asciiTheme="majorBidi" w:hAnsiTheme="majorBidi" w:cstheme="majorBidi"/>
          <w:sz w:val="24"/>
          <w:szCs w:val="24"/>
        </w:rPr>
      </w:pPr>
      <w:r w:rsidRPr="00216A00">
        <w:rPr>
          <w:rFonts w:asciiTheme="majorBidi" w:hAnsiTheme="majorBidi" w:cstheme="majorBidi"/>
          <w:sz w:val="24"/>
          <w:szCs w:val="24"/>
        </w:rPr>
        <w:t>Effect of Shariah Governance on AM–Sales Relationship Quality</w:t>
      </w:r>
    </w:p>
    <w:p w14:paraId="177A626E" w14:textId="60ABCD73"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Islamic Financial Services Board (2024) argues that Shariah governance improves relationship quality by converting potential late-stage disputes into ex-ante design routines</w:t>
      </w:r>
      <w:r w:rsidR="00B03C22">
        <w:rPr>
          <w:rFonts w:asciiTheme="majorBidi" w:hAnsiTheme="majorBidi" w:cstheme="majorBidi"/>
          <w:sz w:val="24"/>
          <w:szCs w:val="24"/>
        </w:rPr>
        <w:t>-</w:t>
      </w:r>
      <w:r w:rsidRPr="00216A00">
        <w:rPr>
          <w:rFonts w:asciiTheme="majorBidi" w:hAnsiTheme="majorBidi" w:cstheme="majorBidi"/>
          <w:sz w:val="24"/>
          <w:szCs w:val="24"/>
        </w:rPr>
        <w:t>early consultations, evidence checklists, and time-boxed rulings</w:t>
      </w:r>
      <w:r w:rsidR="00B03C22">
        <w:rPr>
          <w:rFonts w:asciiTheme="majorBidi" w:hAnsiTheme="majorBidi" w:cstheme="majorBidi"/>
          <w:sz w:val="24"/>
          <w:szCs w:val="24"/>
        </w:rPr>
        <w:t>-</w:t>
      </w:r>
      <w:r w:rsidRPr="00216A00">
        <w:rPr>
          <w:rFonts w:asciiTheme="majorBidi" w:hAnsiTheme="majorBidi" w:cstheme="majorBidi"/>
          <w:sz w:val="24"/>
          <w:szCs w:val="24"/>
        </w:rPr>
        <w:t>so Account Managers and Sales negotiate structures within clear form constraints rather than through ad-hoc compromises. By specifying who provides asset evidence, who validates ownership/possession, and when unresolved questions must escalate, Islamic Financial Services Board (2024) replaces personality-driven bargaining with predictable handoffs, which raises trust and lowers interpersonal friction at origination</w:t>
      </w:r>
      <w:r w:rsidRPr="00216A00">
        <w:rPr>
          <w:rFonts w:asciiTheme="majorBidi" w:hAnsiTheme="majorBidi" w:cstheme="majorBidi"/>
          <w:sz w:val="24"/>
          <w:szCs w:val="24"/>
          <w:rtl/>
        </w:rPr>
        <w:t>.</w:t>
      </w:r>
    </w:p>
    <w:p w14:paraId="4D1ED26D" w14:textId="01A830A3"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State Bank of Pakistan (2024) extends this operationally, showing that RACI-style Shariah pathways</w:t>
      </w:r>
      <w:r w:rsidR="00B03C22">
        <w:rPr>
          <w:rFonts w:asciiTheme="majorBidi" w:hAnsiTheme="majorBidi" w:cstheme="majorBidi"/>
          <w:sz w:val="24"/>
          <w:szCs w:val="24"/>
        </w:rPr>
        <w:t>-</w:t>
      </w:r>
      <w:r w:rsidRPr="00216A00">
        <w:rPr>
          <w:rFonts w:asciiTheme="majorBidi" w:hAnsiTheme="majorBidi" w:cstheme="majorBidi"/>
          <w:sz w:val="24"/>
          <w:szCs w:val="24"/>
        </w:rPr>
        <w:t>with named owners, approvers, and clocks</w:t>
      </w:r>
      <w:r w:rsidR="00B03C22">
        <w:rPr>
          <w:rFonts w:asciiTheme="majorBidi" w:hAnsiTheme="majorBidi" w:cstheme="majorBidi"/>
          <w:sz w:val="24"/>
          <w:szCs w:val="24"/>
        </w:rPr>
        <w:t>-</w:t>
      </w:r>
      <w:r w:rsidRPr="00216A00">
        <w:rPr>
          <w:rFonts w:asciiTheme="majorBidi" w:hAnsiTheme="majorBidi" w:cstheme="majorBidi"/>
          <w:sz w:val="24"/>
          <w:szCs w:val="24"/>
        </w:rPr>
        <w:t>compress decision latency and reduce rework, which are classic markers of high-quality cross-functional ties. Van Greuning and Iqbal (2008) add the economic mechanism: when form–substance alignment is weak, problems appear as credit and operational losses (e.g., murabaha without clean title transfer or ijara with ambiguous usufruct), so upstream Shariah gates directly improve mutual accountability between AM and Sales by tying origination quality to measurable loss outcomes</w:t>
      </w:r>
      <w:r w:rsidRPr="00216A00">
        <w:rPr>
          <w:rFonts w:asciiTheme="majorBidi" w:hAnsiTheme="majorBidi" w:cstheme="majorBidi"/>
          <w:sz w:val="24"/>
          <w:szCs w:val="24"/>
          <w:rtl/>
        </w:rPr>
        <w:t>.</w:t>
      </w:r>
    </w:p>
    <w:p w14:paraId="327B8FD7" w14:textId="3FD3E226" w:rsidR="00216A00" w:rsidRPr="00216A00"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Al Hammadi (2025) brings a digital lens, noting that fintech rails and third-party platforms amplify both capability and exposure; unless Shariah requirements are embedded in workflows and vendor contracts, AM–Sales coordination deteriorates into after-the-fact fixes. By contrast, when Shariah criteria are co-visible in CRM/risk systems and bound to escalation timers, Al Hammadi (2025) observes fewer documentation defects and faster case closure</w:t>
      </w:r>
      <w:r w:rsidR="00B03C22">
        <w:rPr>
          <w:rFonts w:asciiTheme="majorBidi" w:hAnsiTheme="majorBidi" w:cstheme="majorBidi"/>
          <w:sz w:val="24"/>
          <w:szCs w:val="24"/>
        </w:rPr>
        <w:t>-</w:t>
      </w:r>
      <w:r w:rsidRPr="00216A00">
        <w:rPr>
          <w:rFonts w:asciiTheme="majorBidi" w:hAnsiTheme="majorBidi" w:cstheme="majorBidi"/>
          <w:sz w:val="24"/>
          <w:szCs w:val="24"/>
        </w:rPr>
        <w:t>behaviors consistent with stronger, more cooperative AM–Sales relationships</w:t>
      </w:r>
      <w:r w:rsidRPr="00216A00">
        <w:rPr>
          <w:rFonts w:asciiTheme="majorBidi" w:hAnsiTheme="majorBidi" w:cstheme="majorBidi"/>
          <w:sz w:val="24"/>
          <w:szCs w:val="24"/>
          <w:rtl/>
        </w:rPr>
        <w:t>.</w:t>
      </w:r>
    </w:p>
    <w:p w14:paraId="2D76E245" w14:textId="494A08B1" w:rsidR="00BA3C3F" w:rsidRDefault="00216A00" w:rsidP="00216A00">
      <w:pPr>
        <w:bidi w:val="0"/>
        <w:spacing w:after="120" w:line="276" w:lineRule="auto"/>
        <w:ind w:firstLine="284"/>
        <w:jc w:val="both"/>
        <w:rPr>
          <w:rFonts w:asciiTheme="majorBidi" w:hAnsiTheme="majorBidi" w:cstheme="majorBidi"/>
          <w:sz w:val="24"/>
          <w:szCs w:val="24"/>
        </w:rPr>
      </w:pPr>
      <w:r w:rsidRPr="00216A00">
        <w:rPr>
          <w:rFonts w:asciiTheme="majorBidi" w:hAnsiTheme="majorBidi" w:cstheme="majorBidi"/>
          <w:sz w:val="24"/>
          <w:szCs w:val="24"/>
        </w:rPr>
        <w:t>Financial Stability Board (2023) converges from a seams-first perspective: governance that clarifies who decides, on what evidence, and by when reduces relitigation and email loops, which are practical symptoms of poor relationship quality. Building on that, KPMG (2025) shows that integrating Shariah checkpoints into RACI, thresholds, and SLAs turns Shariah from a late “stamp” into a shared operating discipline, aligning incentives and reducing override drift. In turn, Bank for International Settlements (2013) and International Monetary Fund (2023) imply that such clarity improves liquidity/market-risk fit and speed under volatility, reinforcing the partnership logic between AM and Sales. Having established the governance pathway that stabilizes collaboration, the next subsection examines Digital and Third-Party Interdependencies, where cloud/fintech vendors and operational-resilience requirements stress-test this relationship and make upstream Shariah integration even more consequential.</w:t>
      </w:r>
    </w:p>
    <w:p w14:paraId="79A28FCD" w14:textId="6824ADAE" w:rsidR="00BA3C3F" w:rsidRDefault="00B202EF" w:rsidP="00B202EF">
      <w:pPr>
        <w:pStyle w:val="3"/>
      </w:pPr>
      <w:bookmarkStart w:id="68" w:name="_Toc214621141"/>
      <w:r>
        <w:rPr>
          <w:rStyle w:val="a7"/>
          <w:b/>
          <w:bCs/>
        </w:rPr>
        <w:t>Digital and Third-Party Interdependencies</w:t>
      </w:r>
      <w:bookmarkEnd w:id="68"/>
    </w:p>
    <w:p w14:paraId="2F9468BC" w14:textId="77777777" w:rsidR="00B202EF" w:rsidRPr="00B202EF" w:rsidRDefault="00B202EF" w:rsidP="002E6F27">
      <w:pPr>
        <w:pStyle w:val="a5"/>
        <w:numPr>
          <w:ilvl w:val="0"/>
          <w:numId w:val="21"/>
        </w:numPr>
        <w:bidi w:val="0"/>
        <w:spacing w:after="120" w:line="276" w:lineRule="auto"/>
        <w:jc w:val="both"/>
        <w:rPr>
          <w:rFonts w:asciiTheme="majorBidi" w:hAnsiTheme="majorBidi" w:cstheme="majorBidi"/>
          <w:sz w:val="24"/>
          <w:szCs w:val="24"/>
        </w:rPr>
      </w:pPr>
      <w:r w:rsidRPr="00B202EF">
        <w:rPr>
          <w:rFonts w:asciiTheme="majorBidi" w:hAnsiTheme="majorBidi" w:cstheme="majorBidi"/>
          <w:sz w:val="24"/>
          <w:szCs w:val="24"/>
        </w:rPr>
        <w:t>Role of Fintech and Cloud Vendors</w:t>
      </w:r>
    </w:p>
    <w:p w14:paraId="6B82D254" w14:textId="77777777" w:rsidR="00B202EF" w:rsidRPr="00B202E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Financial Stability Board (2023) treats third-party technology as a governance surface rather than a procurement choice, arguing that fintech and cloud providers reshape who controls data, who detects incidents, and who can restore service, which directly affects AM–Sales execution at origination and onboarding. Building on that seam-first view, International Monetary Fund (2023) warns that tighter global financial conditions amplify operational and liquidity transmission through vendor outages and API dependencies, so frontline decisions that rely on external KYC, scoring, or pricing feeds must embed time-bound fallbacks and evidence standards to avoid latent risk migrating into approvals</w:t>
      </w:r>
      <w:r w:rsidRPr="00B202EF">
        <w:rPr>
          <w:rFonts w:asciiTheme="majorBidi" w:hAnsiTheme="majorBidi" w:cstheme="majorBidi"/>
          <w:sz w:val="24"/>
          <w:szCs w:val="24"/>
          <w:rtl/>
        </w:rPr>
        <w:t>.</w:t>
      </w:r>
    </w:p>
    <w:p w14:paraId="14CBDF26" w14:textId="468BD5EB" w:rsidR="00B202EF" w:rsidRPr="00B202E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Board of Governors of the Federal Reserve, FDIC, and OCC (2024) sharpen the operational mechanics by insisting that banks retain accountability for third-party performance, specifying roles, monitoring rights, data-access, and escalation clocks in contracts; this turns SLAs, audit rights, and exit strategies into risk controls that AMs must internalize when structuring deals on vendor rails. Organization for Economic Cooperation and Development (2022) adds that cloud platforms concentrate data processing and analytics; without co-visibility in CRM/risk systems and traceable lineage, AM–Sales can neither verify model inputs nor defend overrides, weakening screening quality. In Islamic contexts, Islamic Financial Services Board (2024) shows that fintech enablement intersects Shariah form</w:t>
      </w:r>
      <w:r w:rsidR="00B03C22">
        <w:rPr>
          <w:rFonts w:asciiTheme="majorBidi" w:hAnsiTheme="majorBidi" w:cstheme="majorBidi"/>
          <w:sz w:val="24"/>
          <w:szCs w:val="24"/>
        </w:rPr>
        <w:t>-</w:t>
      </w:r>
      <w:r w:rsidRPr="00B202EF">
        <w:rPr>
          <w:rFonts w:asciiTheme="majorBidi" w:hAnsiTheme="majorBidi" w:cstheme="majorBidi"/>
          <w:sz w:val="24"/>
          <w:szCs w:val="24"/>
        </w:rPr>
        <w:t>asset evidence, ownership transfer, and profit recognition</w:t>
      </w:r>
      <w:r w:rsidR="00B03C22">
        <w:rPr>
          <w:rFonts w:asciiTheme="majorBidi" w:hAnsiTheme="majorBidi" w:cstheme="majorBidi"/>
          <w:sz w:val="24"/>
          <w:szCs w:val="24"/>
        </w:rPr>
        <w:t>-</w:t>
      </w:r>
      <w:r w:rsidRPr="00B202EF">
        <w:rPr>
          <w:rFonts w:asciiTheme="majorBidi" w:hAnsiTheme="majorBidi" w:cstheme="majorBidi"/>
          <w:sz w:val="24"/>
          <w:szCs w:val="24"/>
        </w:rPr>
        <w:t>so vendor workflows and APIs must carry Shariah-relevant fields upstream, or else contract defects surface post-booking</w:t>
      </w:r>
      <w:r w:rsidRPr="00B202EF">
        <w:rPr>
          <w:rFonts w:asciiTheme="majorBidi" w:hAnsiTheme="majorBidi" w:cstheme="majorBidi"/>
          <w:sz w:val="24"/>
          <w:szCs w:val="24"/>
          <w:rtl/>
        </w:rPr>
        <w:t>.</w:t>
      </w:r>
    </w:p>
    <w:p w14:paraId="2DD2AEE8" w14:textId="2BCE3441" w:rsidR="00BA3C3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Taken together, Financial Stability Board (2023), IMF (2023), and U.S. supervisors (2024) imply that fintech/cloud choices are design constraints on the AM–Sales seam: they determine what signals are seen, how quickly exceptions escalate, and whether documentation satisfies prudential and Shariah requirements. This vendor logic naturally leads to the next subsection on cloud and digital transformation effects on coordination, where shared tooling, API latency, and multi-tenant architectures either reinforce or erode the cadence, co-visibility, and RACI discipline established earlier</w:t>
      </w:r>
      <w:r w:rsidR="00B03C22">
        <w:rPr>
          <w:rFonts w:asciiTheme="majorBidi" w:hAnsiTheme="majorBidi" w:cstheme="majorBidi"/>
          <w:sz w:val="24"/>
          <w:szCs w:val="24"/>
        </w:rPr>
        <w:t>-</w:t>
      </w:r>
      <w:r w:rsidRPr="00B202EF">
        <w:rPr>
          <w:rFonts w:asciiTheme="majorBidi" w:hAnsiTheme="majorBidi" w:cstheme="majorBidi"/>
          <w:sz w:val="24"/>
          <w:szCs w:val="24"/>
        </w:rPr>
        <w:t>and sets up the discussion of operational-resilience interdependencies that bind technology choices to risk outcomes.</w:t>
      </w:r>
    </w:p>
    <w:p w14:paraId="63CA0447" w14:textId="77777777" w:rsidR="00B202EF" w:rsidRPr="00B202EF" w:rsidRDefault="00B202EF" w:rsidP="002E6F27">
      <w:pPr>
        <w:pStyle w:val="a5"/>
        <w:numPr>
          <w:ilvl w:val="0"/>
          <w:numId w:val="21"/>
        </w:numPr>
        <w:bidi w:val="0"/>
        <w:spacing w:after="120" w:line="276" w:lineRule="auto"/>
        <w:jc w:val="both"/>
        <w:rPr>
          <w:rFonts w:asciiTheme="majorBidi" w:hAnsiTheme="majorBidi" w:cstheme="majorBidi"/>
          <w:sz w:val="24"/>
          <w:szCs w:val="24"/>
        </w:rPr>
      </w:pPr>
      <w:r w:rsidRPr="00B202EF">
        <w:rPr>
          <w:rFonts w:asciiTheme="majorBidi" w:hAnsiTheme="majorBidi" w:cstheme="majorBidi"/>
          <w:sz w:val="24"/>
          <w:szCs w:val="24"/>
        </w:rPr>
        <w:t>Impact of Cloud Systems and Digital Transformation on AM–Sales Coordination</w:t>
      </w:r>
    </w:p>
    <w:p w14:paraId="581301E4" w14:textId="77777777" w:rsidR="00B202EF" w:rsidRPr="00B202E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Building on the vendor surface just outlined, Organization for Economic Cooperation and Development (2022) argues that cloud adoption centralizes data processing and analytics, which can either tighten or fracture coordination: when CRM and risk tools sit on a shared cloud stack with standardized APIs, AM and Sales gain co-visibility and consistent definitions; when migrations are partial, teams inherit multiple versions of truth and latency pockets that widen interpretation gaps. International Monetary Fund (2023) adds that in higher-for-longer rate regimes, such information latency directly monetizes into mispricing at origination, so digital transformation is a risk lever rather than a back-office upgrade</w:t>
      </w:r>
      <w:r w:rsidRPr="00B202EF">
        <w:rPr>
          <w:rFonts w:asciiTheme="majorBidi" w:hAnsiTheme="majorBidi" w:cstheme="majorBidi"/>
          <w:sz w:val="24"/>
          <w:szCs w:val="24"/>
          <w:rtl/>
        </w:rPr>
        <w:t>.</w:t>
      </w:r>
    </w:p>
    <w:p w14:paraId="6C3C6975" w14:textId="357E9710" w:rsidR="00B202EF" w:rsidRPr="00B202E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Extending this execution lens, Habel, Alavi, and Heinitz (2023) show that analytics shift frontline behavior only when embedded in daily workflows; cloud-native CRM that surfaces next-best-actions inside the AM–Sales cadence converts insight to action, while standalone dashboards on separate stacks rarely do. Lang, Peltonen, and Sarlin (2018) demonstrate that early-warning performance improves when weak signals are routed through fixed review rhythms and shared displays</w:t>
      </w:r>
      <w:r w:rsidR="00B03C22">
        <w:rPr>
          <w:rFonts w:asciiTheme="majorBidi" w:hAnsiTheme="majorBidi" w:cstheme="majorBidi"/>
          <w:sz w:val="24"/>
          <w:szCs w:val="24"/>
        </w:rPr>
        <w:t>-</w:t>
      </w:r>
      <w:r w:rsidRPr="00B202EF">
        <w:rPr>
          <w:rFonts w:asciiTheme="majorBidi" w:hAnsiTheme="majorBidi" w:cstheme="majorBidi"/>
          <w:sz w:val="24"/>
          <w:szCs w:val="24"/>
        </w:rPr>
        <w:t>an effect amplified on cloud platforms that standardize access, timing, and alerting across roles. In practice, cloud integration becomes the plumbing that makes cadence, feedback loops, and escalation clocks actually work</w:t>
      </w:r>
      <w:r w:rsidRPr="00B202EF">
        <w:rPr>
          <w:rFonts w:asciiTheme="majorBidi" w:hAnsiTheme="majorBidi" w:cstheme="majorBidi"/>
          <w:sz w:val="24"/>
          <w:szCs w:val="24"/>
          <w:rtl/>
        </w:rPr>
        <w:t>.</w:t>
      </w:r>
    </w:p>
    <w:p w14:paraId="64A6A157" w14:textId="77777777" w:rsidR="00B202EF" w:rsidRPr="00B202E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From a governance angle, Financial Stability Board (2023) cautions that cloud concentration introduces third-party and data-path dependencies; unless roles, monitoring rights, and time-bound escalations are encoded in service design, AM–Sales coordination collapses into ticket chasing. Bank for International Settlements (2013) links the same mechanics to liquidity fit: if cloud pipelines delay LCR-relevant data (funding costs, tenor ladders), origination decisions internalize the wrong constraints. The U.S. supervisors’ joint statement (2024) similarly insists that banks retain accountability for vendor performance, which means AMs must internalize SLA clocks, audit trails, and exit paths when structuring deals on cloud-enabled rails</w:t>
      </w:r>
      <w:r w:rsidRPr="00B202EF">
        <w:rPr>
          <w:rFonts w:asciiTheme="majorBidi" w:hAnsiTheme="majorBidi" w:cstheme="majorBidi"/>
          <w:sz w:val="24"/>
          <w:szCs w:val="24"/>
          <w:rtl/>
        </w:rPr>
        <w:t>.</w:t>
      </w:r>
    </w:p>
    <w:p w14:paraId="62D804C3" w14:textId="0158D933" w:rsidR="00BA3C3F" w:rsidRDefault="00B202EF" w:rsidP="00B202EF">
      <w:pPr>
        <w:bidi w:val="0"/>
        <w:spacing w:after="120" w:line="276" w:lineRule="auto"/>
        <w:ind w:firstLine="284"/>
        <w:jc w:val="both"/>
        <w:rPr>
          <w:rFonts w:asciiTheme="majorBidi" w:hAnsiTheme="majorBidi" w:cstheme="majorBidi"/>
          <w:sz w:val="24"/>
          <w:szCs w:val="24"/>
        </w:rPr>
      </w:pPr>
      <w:r w:rsidRPr="00B202EF">
        <w:rPr>
          <w:rFonts w:asciiTheme="majorBidi" w:hAnsiTheme="majorBidi" w:cstheme="majorBidi"/>
          <w:sz w:val="24"/>
          <w:szCs w:val="24"/>
        </w:rPr>
        <w:t>In Islamic contexts, Islamic Financial Services Board (2024) notes that digital channels intersect Shariah form: cloud workflows must carry fields for asset evidence, possession/transfer, and profit recognition, or AM–Sales will discover form–substance defects downstream. Taken together, OECD (2022), IMF (2023), and FSB (2023) imply that cloud and digital transformation are coordination architectures: they determine what signals are seen, how fast they circulate, and whether governance is executable. This dependence sets up the next subsection on operational-resilience interdependencies, where the same cloud choices dictate failure modes (outages, degraded APIs) and the seam discipline</w:t>
      </w:r>
      <w:r w:rsidR="00B03C22">
        <w:rPr>
          <w:rFonts w:asciiTheme="majorBidi" w:hAnsiTheme="majorBidi" w:cstheme="majorBidi"/>
          <w:sz w:val="24"/>
          <w:szCs w:val="24"/>
        </w:rPr>
        <w:t>-</w:t>
      </w:r>
      <w:r w:rsidRPr="00B202EF">
        <w:rPr>
          <w:rFonts w:asciiTheme="majorBidi" w:hAnsiTheme="majorBidi" w:cstheme="majorBidi"/>
          <w:sz w:val="24"/>
          <w:szCs w:val="24"/>
        </w:rPr>
        <w:t>cadence, RACI, and SLAs</w:t>
      </w:r>
      <w:r w:rsidR="00B03C22">
        <w:rPr>
          <w:rFonts w:asciiTheme="majorBidi" w:hAnsiTheme="majorBidi" w:cstheme="majorBidi"/>
          <w:sz w:val="24"/>
          <w:szCs w:val="24"/>
        </w:rPr>
        <w:t>-</w:t>
      </w:r>
      <w:r w:rsidRPr="00B202EF">
        <w:rPr>
          <w:rFonts w:asciiTheme="majorBidi" w:hAnsiTheme="majorBidi" w:cstheme="majorBidi"/>
          <w:sz w:val="24"/>
          <w:szCs w:val="24"/>
        </w:rPr>
        <w:t>becomes the bank’s first line of defense.</w:t>
      </w:r>
    </w:p>
    <w:p w14:paraId="63DBCE80" w14:textId="77777777" w:rsidR="000835F2" w:rsidRPr="000835F2" w:rsidRDefault="000835F2" w:rsidP="002E6F27">
      <w:pPr>
        <w:pStyle w:val="a5"/>
        <w:numPr>
          <w:ilvl w:val="0"/>
          <w:numId w:val="21"/>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Operational Resilience Interdependencies</w:t>
      </w:r>
    </w:p>
    <w:p w14:paraId="1E9FA6A2" w14:textId="77777777" w:rsidR="000835F2" w:rsidRPr="000835F2" w:rsidRDefault="000835F2" w:rsidP="002E6F27">
      <w:pPr>
        <w:pStyle w:val="a5"/>
        <w:numPr>
          <w:ilvl w:val="0"/>
          <w:numId w:val="15"/>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 xml:space="preserve">From cloud coordination to resilience. </w:t>
      </w:r>
    </w:p>
    <w:p w14:paraId="028DF5A5" w14:textId="015934FE" w:rsidR="000835F2" w:rsidRPr="000835F2"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Having shown that cloud and digital stacks rewire what AM–Sales see and when, the remaining question is how those same stacks fail</w:t>
      </w:r>
      <w:r w:rsidR="00B03C22">
        <w:rPr>
          <w:rFonts w:asciiTheme="majorBidi" w:hAnsiTheme="majorBidi" w:cstheme="majorBidi"/>
          <w:sz w:val="24"/>
          <w:szCs w:val="24"/>
        </w:rPr>
        <w:t>-</w:t>
      </w:r>
      <w:r w:rsidRPr="000835F2">
        <w:rPr>
          <w:rFonts w:asciiTheme="majorBidi" w:hAnsiTheme="majorBidi" w:cstheme="majorBidi"/>
          <w:sz w:val="24"/>
          <w:szCs w:val="24"/>
        </w:rPr>
        <w:t>and how the seam absorbs shocks. Financial Stability Board (2023) frames resilience as a seams-first discipline: third-party outages, API degradation, and data-path breaks only become losses when handoffs lack timers, fallbacks, and decision ownership. International Monetary Fund (2023) adds the macro lens: in higher-for-longer regimes, operational delays monetize into mispricing and liquidity misfit, so execution speed and recovery paths are risk levers, not IT hygiene</w:t>
      </w:r>
      <w:r w:rsidRPr="000835F2">
        <w:rPr>
          <w:rFonts w:asciiTheme="majorBidi" w:hAnsiTheme="majorBidi" w:cstheme="majorBidi"/>
          <w:sz w:val="24"/>
          <w:szCs w:val="24"/>
          <w:rtl/>
        </w:rPr>
        <w:t>.</w:t>
      </w:r>
    </w:p>
    <w:p w14:paraId="719C66E8" w14:textId="77777777" w:rsidR="000835F2" w:rsidRPr="000835F2" w:rsidRDefault="000835F2" w:rsidP="002E6F27">
      <w:pPr>
        <w:pStyle w:val="a5"/>
        <w:numPr>
          <w:ilvl w:val="0"/>
          <w:numId w:val="25"/>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 xml:space="preserve">Failure modes that hit origination. </w:t>
      </w:r>
    </w:p>
    <w:p w14:paraId="1B15790F" w14:textId="2F086F23" w:rsidR="000835F2" w:rsidRPr="000835F2"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McKinsey &amp; Company (2020) notes that vendor-centric workflows create single points of attention: if external KYC, scoring, or pricing feeds fail, AM–Sales default to volume pressure and informal heuristics unless pre-agreed fallbacks exist. Oet, Bianco, Gramlich, and Ong (2013) show that fragmented signal pipelines raise false negatives when aggregation or lineage breaks; an EWS flag that does not render in CRM on time might as well not exist. Bank for International Settlements (2013) ties this directly to prudential fit: when LCR-relevant data (funding costs, tenor ladders) are stale, deals embed the wrong liquidity assumptions at origination</w:t>
      </w:r>
      <w:r w:rsidRPr="000835F2">
        <w:rPr>
          <w:rFonts w:asciiTheme="majorBidi" w:hAnsiTheme="majorBidi" w:cstheme="majorBidi"/>
          <w:sz w:val="24"/>
          <w:szCs w:val="24"/>
          <w:rtl/>
        </w:rPr>
        <w:t>.</w:t>
      </w:r>
    </w:p>
    <w:p w14:paraId="3CD41519" w14:textId="77777777" w:rsidR="000835F2" w:rsidRPr="000835F2" w:rsidRDefault="000835F2" w:rsidP="002E6F27">
      <w:pPr>
        <w:pStyle w:val="a5"/>
        <w:numPr>
          <w:ilvl w:val="0"/>
          <w:numId w:val="24"/>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 xml:space="preserve">Controls that travel with the seam. </w:t>
      </w:r>
    </w:p>
    <w:p w14:paraId="21D1FE2F" w14:textId="34B27234" w:rsidR="000835F2" w:rsidRPr="000835F2"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FSB (2023) and KPMG (2025) converge on three portable controls: (1) RACI-anchored ownership for “degradation mode” (who approves under reduced data), (2) SLA clocks and evidence packs for time-bound escalation to second line, and (3) playbooked fallbacks (manual price curves, conservative caps, or pause rules) that are pre-authorized for short windows. Habel, Alavi, and Heinitz (2023) emphasize embedding: these controls must live in CRM tasks and next-best-actions, or frontline behavior reverts to workarounds. Lang, Peltonen, and Sarlin (2018) add that resilience is a learning loop: post-incident outcomes should tighten upstream thresholds where false negatives or delays occurred</w:t>
      </w:r>
      <w:r w:rsidRPr="000835F2">
        <w:rPr>
          <w:rFonts w:asciiTheme="majorBidi" w:hAnsiTheme="majorBidi" w:cstheme="majorBidi"/>
          <w:sz w:val="24"/>
          <w:szCs w:val="24"/>
          <w:rtl/>
        </w:rPr>
        <w:t>.</w:t>
      </w:r>
    </w:p>
    <w:p w14:paraId="2E15C518" w14:textId="77777777" w:rsidR="000835F2" w:rsidRPr="000835F2" w:rsidRDefault="000835F2" w:rsidP="002E6F27">
      <w:pPr>
        <w:pStyle w:val="a5"/>
        <w:numPr>
          <w:ilvl w:val="0"/>
          <w:numId w:val="23"/>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 xml:space="preserve">Third-party accountability and concentration. </w:t>
      </w:r>
    </w:p>
    <w:p w14:paraId="1011115E" w14:textId="3CD79877" w:rsidR="000835F2" w:rsidRPr="000835F2"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The U.S. supervisors’ joint statement (2024) insists banks retain accountability for third-party delivery, requiring rights to monitor, audit, and exit</w:t>
      </w:r>
      <w:r w:rsidR="00B03C22">
        <w:rPr>
          <w:rFonts w:asciiTheme="majorBidi" w:hAnsiTheme="majorBidi" w:cstheme="majorBidi"/>
          <w:sz w:val="24"/>
          <w:szCs w:val="24"/>
        </w:rPr>
        <w:t>-</w:t>
      </w:r>
      <w:r w:rsidRPr="000835F2">
        <w:rPr>
          <w:rFonts w:asciiTheme="majorBidi" w:hAnsiTheme="majorBidi" w:cstheme="majorBidi"/>
          <w:sz w:val="24"/>
          <w:szCs w:val="24"/>
        </w:rPr>
        <w:t>translated for AM–Sales as pre-deal checks that confirm vendor SLAs, data access, and failover adequacy when a structure depends on external rails. OECD (2022) warns that cloud concentration creates correlated outages; therefore, pipeline and approval policies should include rate-limit rules or auto-throttles during platform incidents to prevent queueing risk from mutating into poor selection</w:t>
      </w:r>
      <w:r w:rsidRPr="000835F2">
        <w:rPr>
          <w:rFonts w:asciiTheme="majorBidi" w:hAnsiTheme="majorBidi" w:cstheme="majorBidi"/>
          <w:sz w:val="24"/>
          <w:szCs w:val="24"/>
          <w:rtl/>
        </w:rPr>
        <w:t>.</w:t>
      </w:r>
    </w:p>
    <w:p w14:paraId="79D3F0C7" w14:textId="5BC46E2D" w:rsidR="000835F2" w:rsidRPr="000835F2"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Islamic-bank specifics. Islamic Financial Services Board (2024) highlights that murabaha/ijara/musharaka add form-critical artifacts (asset evidence, possession/transfer, profit recognition). Resilience, here, means preserving form under stress: if an API fails, can AM–Sales capture and verify evidence manually within SLA? Van Greuning and Iqbal (2008) remind that weak form–substance controls often surface as credit/operational losses, not only compliance findings</w:t>
      </w:r>
      <w:r w:rsidR="00B03C22">
        <w:rPr>
          <w:rFonts w:asciiTheme="majorBidi" w:hAnsiTheme="majorBidi" w:cstheme="majorBidi"/>
          <w:sz w:val="24"/>
          <w:szCs w:val="24"/>
        </w:rPr>
        <w:t>-</w:t>
      </w:r>
      <w:r w:rsidRPr="000835F2">
        <w:rPr>
          <w:rFonts w:asciiTheme="majorBidi" w:hAnsiTheme="majorBidi" w:cstheme="majorBidi"/>
          <w:sz w:val="24"/>
          <w:szCs w:val="24"/>
        </w:rPr>
        <w:t>hence Shariah pathways and backups must be time-boxed and owned</w:t>
      </w:r>
      <w:r w:rsidRPr="000835F2">
        <w:rPr>
          <w:rFonts w:asciiTheme="majorBidi" w:hAnsiTheme="majorBidi" w:cstheme="majorBidi"/>
          <w:sz w:val="24"/>
          <w:szCs w:val="24"/>
          <w:rtl/>
        </w:rPr>
        <w:t>.</w:t>
      </w:r>
    </w:p>
    <w:p w14:paraId="1F58086C" w14:textId="77777777" w:rsidR="000835F2" w:rsidRPr="000835F2" w:rsidRDefault="000835F2" w:rsidP="002E6F27">
      <w:pPr>
        <w:pStyle w:val="a5"/>
        <w:numPr>
          <w:ilvl w:val="0"/>
          <w:numId w:val="22"/>
        </w:numPr>
        <w:bidi w:val="0"/>
        <w:spacing w:after="120" w:line="276" w:lineRule="auto"/>
        <w:jc w:val="both"/>
        <w:rPr>
          <w:rFonts w:asciiTheme="majorBidi" w:hAnsiTheme="majorBidi" w:cstheme="majorBidi"/>
          <w:sz w:val="24"/>
          <w:szCs w:val="24"/>
        </w:rPr>
      </w:pPr>
      <w:r w:rsidRPr="000835F2">
        <w:rPr>
          <w:rFonts w:asciiTheme="majorBidi" w:hAnsiTheme="majorBidi" w:cstheme="majorBidi"/>
          <w:sz w:val="24"/>
          <w:szCs w:val="24"/>
        </w:rPr>
        <w:t xml:space="preserve">Implications for this study. </w:t>
      </w:r>
    </w:p>
    <w:p w14:paraId="4B8AC8CC" w14:textId="69512FFE" w:rsidR="00BA3C3F" w:rsidRDefault="000835F2" w:rsidP="000835F2">
      <w:pPr>
        <w:bidi w:val="0"/>
        <w:spacing w:after="120" w:line="276" w:lineRule="auto"/>
        <w:ind w:firstLine="284"/>
        <w:jc w:val="both"/>
        <w:rPr>
          <w:rFonts w:asciiTheme="majorBidi" w:hAnsiTheme="majorBidi" w:cstheme="majorBidi"/>
          <w:sz w:val="24"/>
          <w:szCs w:val="24"/>
        </w:rPr>
      </w:pPr>
      <w:r w:rsidRPr="000835F2">
        <w:rPr>
          <w:rFonts w:asciiTheme="majorBidi" w:hAnsiTheme="majorBidi" w:cstheme="majorBidi"/>
          <w:sz w:val="24"/>
          <w:szCs w:val="24"/>
        </w:rPr>
        <w:t>IMF (2023) and BIS (2013) justify modeling operational resilience at the seam as part of the IV’s Decision Rights &amp; Escalation Clarity (RACI) and Information Sharing &amp; Data Integration: degradation-mode ownership, lineage-aware fallbacks, and SLA clocks should predict Operational Resilience &amp; Third-Party Risk Control and improve Liquidity &amp; Market-Risk Fit at Origination. FSB (2023) and KPMG (2025) support measuring dispute-resolution speed and override governance during incidents as observable markers of relationship quality. Building on these resilience mechanics, the next subsection (2.2.9 Measurement Approaches in Prior Studies) distills how prior literature operationalized these constructs</w:t>
      </w:r>
      <w:r w:rsidR="00B03C22">
        <w:rPr>
          <w:rFonts w:asciiTheme="majorBidi" w:hAnsiTheme="majorBidi" w:cstheme="majorBidi"/>
          <w:sz w:val="24"/>
          <w:szCs w:val="24"/>
        </w:rPr>
        <w:t>-</w:t>
      </w:r>
      <w:r w:rsidRPr="000835F2">
        <w:rPr>
          <w:rFonts w:asciiTheme="majorBidi" w:hAnsiTheme="majorBidi" w:cstheme="majorBidi"/>
          <w:sz w:val="24"/>
          <w:szCs w:val="24"/>
        </w:rPr>
        <w:t>items, scales, and validity checks</w:t>
      </w:r>
      <w:r w:rsidR="00B03C22">
        <w:rPr>
          <w:rFonts w:asciiTheme="majorBidi" w:hAnsiTheme="majorBidi" w:cstheme="majorBidi"/>
          <w:sz w:val="24"/>
          <w:szCs w:val="24"/>
        </w:rPr>
        <w:t>-</w:t>
      </w:r>
      <w:r w:rsidRPr="000835F2">
        <w:rPr>
          <w:rFonts w:asciiTheme="majorBidi" w:hAnsiTheme="majorBidi" w:cstheme="majorBidi"/>
          <w:sz w:val="24"/>
          <w:szCs w:val="24"/>
        </w:rPr>
        <w:t>to inform the instrument we will deploy at Al Rajhi Bank.</w:t>
      </w:r>
    </w:p>
    <w:p w14:paraId="67393CD0" w14:textId="69219592" w:rsidR="00BA3C3F" w:rsidRDefault="009A40CE" w:rsidP="009A40CE">
      <w:pPr>
        <w:pStyle w:val="3"/>
      </w:pPr>
      <w:bookmarkStart w:id="69" w:name="_Toc214621142"/>
      <w:r w:rsidRPr="009A40CE">
        <w:t>Measurement Approaches in Prior Studies</w:t>
      </w:r>
      <w:bookmarkEnd w:id="69"/>
    </w:p>
    <w:p w14:paraId="7B10EBD0" w14:textId="77777777" w:rsidR="009A40CE" w:rsidRPr="009A40CE" w:rsidRDefault="009A40CE" w:rsidP="002E6F27">
      <w:pPr>
        <w:pStyle w:val="a5"/>
        <w:numPr>
          <w:ilvl w:val="0"/>
          <w:numId w:val="26"/>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Common Measures Used for the “Functional Relationship” Construct</w:t>
      </w:r>
    </w:p>
    <w:p w14:paraId="785FD567" w14:textId="788713A2" w:rsidR="009A40CE" w:rsidRPr="009A40CE" w:rsidRDefault="009A40CE" w:rsidP="009A40CE">
      <w:pPr>
        <w:bidi w:val="0"/>
        <w:spacing w:after="120" w:line="276" w:lineRule="auto"/>
        <w:ind w:firstLine="284"/>
        <w:jc w:val="both"/>
        <w:rPr>
          <w:rFonts w:asciiTheme="majorBidi" w:hAnsiTheme="majorBidi" w:cstheme="majorBidi"/>
          <w:sz w:val="24"/>
          <w:szCs w:val="24"/>
        </w:rPr>
      </w:pPr>
      <w:r w:rsidRPr="009A40CE">
        <w:rPr>
          <w:rFonts w:asciiTheme="majorBidi" w:hAnsiTheme="majorBidi" w:cstheme="majorBidi"/>
          <w:sz w:val="24"/>
          <w:szCs w:val="24"/>
        </w:rPr>
        <w:t>Across adjacent literatures</w:t>
      </w:r>
      <w:r w:rsidR="00B03C22">
        <w:rPr>
          <w:rFonts w:asciiTheme="majorBidi" w:hAnsiTheme="majorBidi" w:cstheme="majorBidi"/>
          <w:sz w:val="24"/>
          <w:szCs w:val="24"/>
        </w:rPr>
        <w:t>-</w:t>
      </w:r>
      <w:r w:rsidRPr="009A40CE">
        <w:rPr>
          <w:rFonts w:asciiTheme="majorBidi" w:hAnsiTheme="majorBidi" w:cstheme="majorBidi"/>
          <w:sz w:val="24"/>
          <w:szCs w:val="24"/>
        </w:rPr>
        <w:t>sales–operations integration, inter-unit coordination, and governance at the first line</w:t>
      </w:r>
      <w:r w:rsidR="00B03C22">
        <w:rPr>
          <w:rFonts w:asciiTheme="majorBidi" w:hAnsiTheme="majorBidi" w:cstheme="majorBidi"/>
          <w:sz w:val="24"/>
          <w:szCs w:val="24"/>
        </w:rPr>
        <w:t>-</w:t>
      </w:r>
      <w:r w:rsidRPr="009A40CE">
        <w:rPr>
          <w:rFonts w:asciiTheme="majorBidi" w:hAnsiTheme="majorBidi" w:cstheme="majorBidi"/>
          <w:sz w:val="24"/>
          <w:szCs w:val="24"/>
        </w:rPr>
        <w:t>researchers typically model the AM–Sales link as a multi-dimensional reflective construct captured with Likert-type items around four recurrent themes</w:t>
      </w:r>
      <w:r w:rsidRPr="009A40CE">
        <w:rPr>
          <w:rFonts w:asciiTheme="majorBidi" w:hAnsiTheme="majorBidi" w:cstheme="majorBidi"/>
          <w:sz w:val="24"/>
          <w:szCs w:val="24"/>
          <w:rtl/>
        </w:rPr>
        <w:t>:</w:t>
      </w:r>
    </w:p>
    <w:p w14:paraId="598C6B70" w14:textId="7BDAE6FD" w:rsidR="009A40CE" w:rsidRPr="009A40CE" w:rsidRDefault="009A40CE" w:rsidP="002E6F27">
      <w:pPr>
        <w:pStyle w:val="a5"/>
        <w:numPr>
          <w:ilvl w:val="0"/>
          <w:numId w:val="27"/>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Communication quality &amp; cadence. Studies operationalize clarity, timeliness, and predictability of exchanges (e.g., “updates arrive on a fixed rhythm,” “messages are unambiguous and decision-ready”), with internal consistency checks at α/CR ≥ .70 (Habel, Alavi, &amp; Heinitz, 2023; International Monetary Fund, 2023). Items often anchor to routine artifacts</w:t>
      </w:r>
      <w:r w:rsidR="00B03C22">
        <w:rPr>
          <w:rFonts w:asciiTheme="majorBidi" w:hAnsiTheme="majorBidi" w:cstheme="majorBidi"/>
          <w:sz w:val="24"/>
          <w:szCs w:val="24"/>
        </w:rPr>
        <w:t>-</w:t>
      </w:r>
      <w:r w:rsidRPr="009A40CE">
        <w:rPr>
          <w:rFonts w:asciiTheme="majorBidi" w:hAnsiTheme="majorBidi" w:cstheme="majorBidi"/>
          <w:sz w:val="24"/>
          <w:szCs w:val="24"/>
        </w:rPr>
        <w:t>agenda discipline, decision logs, pre-deal huddles</w:t>
      </w:r>
      <w:r w:rsidR="00B03C22">
        <w:rPr>
          <w:rFonts w:asciiTheme="majorBidi" w:hAnsiTheme="majorBidi" w:cstheme="majorBidi"/>
          <w:sz w:val="24"/>
          <w:szCs w:val="24"/>
        </w:rPr>
        <w:t>-</w:t>
      </w:r>
      <w:r w:rsidRPr="009A40CE">
        <w:rPr>
          <w:rFonts w:asciiTheme="majorBidi" w:hAnsiTheme="majorBidi" w:cstheme="majorBidi"/>
          <w:sz w:val="24"/>
          <w:szCs w:val="24"/>
        </w:rPr>
        <w:t>so the scale reflects designed cadence rather than informal chatter (Financial Stability Board, 2023)</w:t>
      </w:r>
      <w:r w:rsidRPr="009A40CE">
        <w:rPr>
          <w:rFonts w:asciiTheme="majorBidi" w:hAnsiTheme="majorBidi" w:cstheme="majorBidi"/>
          <w:sz w:val="24"/>
          <w:szCs w:val="24"/>
          <w:rtl/>
        </w:rPr>
        <w:t>.</w:t>
      </w:r>
    </w:p>
    <w:p w14:paraId="2D186839" w14:textId="77777777" w:rsidR="009A40CE" w:rsidRPr="009A40CE" w:rsidRDefault="009A40CE" w:rsidP="002E6F27">
      <w:pPr>
        <w:pStyle w:val="a5"/>
        <w:numPr>
          <w:ilvl w:val="0"/>
          <w:numId w:val="27"/>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Information sharing &amp; data integration. Scales emphasize co-visibility (“AM and Sales see the same dashboard at the same time”), data lineage (“sources/definitions are trusted”), and early-warning surfacing (“weak signals appear pre-booking with named owners”), aligning content with CRM-embedded analytics (Habel, Alavi, &amp; Heinitz, 2023; Lang, Peltonen, &amp; Sarlin, 2018; Oet, Bianco, Gramlich, &amp; Ong, 2013)</w:t>
      </w:r>
      <w:r w:rsidRPr="009A40CE">
        <w:rPr>
          <w:rFonts w:asciiTheme="majorBidi" w:hAnsiTheme="majorBidi" w:cstheme="majorBidi"/>
          <w:sz w:val="24"/>
          <w:szCs w:val="24"/>
          <w:rtl/>
        </w:rPr>
        <w:t>.</w:t>
      </w:r>
    </w:p>
    <w:p w14:paraId="1EE83FA0" w14:textId="77777777" w:rsidR="009A40CE" w:rsidRPr="009A40CE" w:rsidRDefault="009A40CE" w:rsidP="002E6F27">
      <w:pPr>
        <w:pStyle w:val="a5"/>
        <w:numPr>
          <w:ilvl w:val="0"/>
          <w:numId w:val="27"/>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Goal/KPI &amp; incentive alignment. Measures capture RAROC-linked targets, override discipline, and delinquency feedback to scorecards (e.g., “sales credit reflects expected loss/funding costs,” “exceptions carry evidence-based costs”), distinguishing risk-adjusted goals from volume quotas (McKinsey &amp; Company, 2020; Bank for International Settlements, 2013; Financial Stability Board, 2023)</w:t>
      </w:r>
      <w:r w:rsidRPr="009A40CE">
        <w:rPr>
          <w:rFonts w:asciiTheme="majorBidi" w:hAnsiTheme="majorBidi" w:cstheme="majorBidi"/>
          <w:sz w:val="24"/>
          <w:szCs w:val="24"/>
          <w:rtl/>
        </w:rPr>
        <w:t>.</w:t>
      </w:r>
    </w:p>
    <w:p w14:paraId="16CBCECC" w14:textId="295103F5" w:rsidR="00BA3C3F" w:rsidRPr="009A40CE" w:rsidRDefault="009A40CE" w:rsidP="002E6F27">
      <w:pPr>
        <w:pStyle w:val="a5"/>
        <w:numPr>
          <w:ilvl w:val="0"/>
          <w:numId w:val="27"/>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Decision rights &amp; escalation clarity (RACI). Items test ownership (“who decides is explicit”), thresholds (“pre-set limits trigger escalation”), SLA clocks, and auditability (“outcomes and evidence are logged”), reflecting a Three Lines translation into day-to-day tools (KPMG, 2025; Financial Stability Board, 2023). In Islamic settings, scales add Shariah pathways and contract-form checkpoints as part of first-line routines (Islamic Financial Services Board, 2024).</w:t>
      </w:r>
    </w:p>
    <w:p w14:paraId="7DF45130" w14:textId="7C7DAA5F" w:rsidR="009A40CE" w:rsidRPr="009A40CE" w:rsidRDefault="009A40CE" w:rsidP="002E6F27">
      <w:pPr>
        <w:pStyle w:val="a5"/>
        <w:numPr>
          <w:ilvl w:val="0"/>
          <w:numId w:val="26"/>
        </w:numPr>
        <w:bidi w:val="0"/>
        <w:spacing w:after="120" w:line="276" w:lineRule="auto"/>
        <w:jc w:val="both"/>
        <w:rPr>
          <w:rFonts w:asciiTheme="majorBidi" w:hAnsiTheme="majorBidi" w:cstheme="majorBidi"/>
          <w:sz w:val="24"/>
          <w:szCs w:val="24"/>
        </w:rPr>
      </w:pPr>
      <w:r w:rsidRPr="009A40CE">
        <w:rPr>
          <w:rFonts w:asciiTheme="majorBidi" w:hAnsiTheme="majorBidi" w:cstheme="majorBidi"/>
          <w:sz w:val="24"/>
          <w:szCs w:val="24"/>
        </w:rPr>
        <w:t xml:space="preserve">Construct validity &amp; reliability </w:t>
      </w:r>
      <w:r w:rsidR="00B03C22">
        <w:rPr>
          <w:rFonts w:asciiTheme="majorBidi" w:hAnsiTheme="majorBidi" w:cstheme="majorBidi"/>
          <w:sz w:val="24"/>
          <w:szCs w:val="24"/>
        </w:rPr>
        <w:t>-</w:t>
      </w:r>
      <w:r w:rsidRPr="009A40CE">
        <w:rPr>
          <w:rFonts w:asciiTheme="majorBidi" w:hAnsiTheme="majorBidi" w:cstheme="majorBidi"/>
          <w:sz w:val="24"/>
          <w:szCs w:val="24"/>
        </w:rPr>
        <w:t xml:space="preserve"> what to prove and how to prove it</w:t>
      </w:r>
    </w:p>
    <w:p w14:paraId="6DE4C357" w14:textId="77777777" w:rsidR="0095495B" w:rsidRPr="0095495B" w:rsidRDefault="009A40CE" w:rsidP="002E6F27">
      <w:pPr>
        <w:pStyle w:val="a5"/>
        <w:numPr>
          <w:ilvl w:val="0"/>
          <w:numId w:val="28"/>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 xml:space="preserve">Content and construct boundaries. </w:t>
      </w:r>
    </w:p>
    <w:p w14:paraId="20DB9A12" w14:textId="38312619" w:rsidR="009A40CE" w:rsidRPr="009A40CE" w:rsidRDefault="009A40CE" w:rsidP="0095495B">
      <w:pPr>
        <w:bidi w:val="0"/>
        <w:spacing w:after="120" w:line="276" w:lineRule="auto"/>
        <w:ind w:firstLine="284"/>
        <w:jc w:val="both"/>
        <w:rPr>
          <w:rFonts w:asciiTheme="majorBidi" w:hAnsiTheme="majorBidi" w:cstheme="majorBidi"/>
          <w:sz w:val="24"/>
          <w:szCs w:val="24"/>
        </w:rPr>
      </w:pPr>
      <w:r w:rsidRPr="009A40CE">
        <w:rPr>
          <w:rFonts w:asciiTheme="majorBidi" w:hAnsiTheme="majorBidi" w:cstheme="majorBidi"/>
          <w:sz w:val="24"/>
          <w:szCs w:val="24"/>
        </w:rPr>
        <w:t>Financial Stability Board (2023) defines resilience at the seams</w:t>
      </w:r>
      <w:r w:rsidR="00B03C22">
        <w:rPr>
          <w:rFonts w:asciiTheme="majorBidi" w:hAnsiTheme="majorBidi" w:cstheme="majorBidi"/>
          <w:sz w:val="24"/>
          <w:szCs w:val="24"/>
        </w:rPr>
        <w:t>-</w:t>
      </w:r>
      <w:r w:rsidRPr="009A40CE">
        <w:rPr>
          <w:rFonts w:asciiTheme="majorBidi" w:hAnsiTheme="majorBidi" w:cstheme="majorBidi"/>
          <w:sz w:val="24"/>
          <w:szCs w:val="24"/>
        </w:rPr>
        <w:t>cadence, shared indicators, and time-bound escalations</w:t>
      </w:r>
      <w:r w:rsidR="00B03C22">
        <w:rPr>
          <w:rFonts w:asciiTheme="majorBidi" w:hAnsiTheme="majorBidi" w:cstheme="majorBidi"/>
          <w:sz w:val="24"/>
          <w:szCs w:val="24"/>
        </w:rPr>
        <w:t>-</w:t>
      </w:r>
      <w:r w:rsidRPr="009A40CE">
        <w:rPr>
          <w:rFonts w:asciiTheme="majorBidi" w:hAnsiTheme="majorBidi" w:cstheme="majorBidi"/>
          <w:sz w:val="24"/>
          <w:szCs w:val="24"/>
        </w:rPr>
        <w:t>so items must span these mechanisms to ensure content validity (coverage of communication, data integration, KPI alignment, and RACI). KPMG (2025) treats role clarity as work design (RACI, thresholds, SLAs), which helps demarcate our construct from adjacent ones (e.g., culture or generic teamwork), supporting discriminant validity a priori. International Monetary Fund (2023) frames bank risk as execution under uncertainty, justifying a multidimensional reflective structure; each subscale should intercorrelate moderately yet remain distinct, paving the way for CFA tests of the four-factor model</w:t>
      </w:r>
      <w:r w:rsidRPr="009A40CE">
        <w:rPr>
          <w:rFonts w:asciiTheme="majorBidi" w:hAnsiTheme="majorBidi" w:cstheme="majorBidi"/>
          <w:sz w:val="24"/>
          <w:szCs w:val="24"/>
          <w:rtl/>
        </w:rPr>
        <w:t>.</w:t>
      </w:r>
    </w:p>
    <w:p w14:paraId="77FEB43A" w14:textId="77777777" w:rsidR="0095495B" w:rsidRPr="0095495B" w:rsidRDefault="009A40CE" w:rsidP="002E6F27">
      <w:pPr>
        <w:pStyle w:val="a5"/>
        <w:numPr>
          <w:ilvl w:val="0"/>
          <w:numId w:val="28"/>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 xml:space="preserve">Convergent/discriminant tests and model fit. </w:t>
      </w:r>
    </w:p>
    <w:p w14:paraId="23B2734A" w14:textId="24FCA4FB" w:rsidR="009A40CE" w:rsidRPr="009A40CE" w:rsidRDefault="009A40CE" w:rsidP="0095495B">
      <w:pPr>
        <w:bidi w:val="0"/>
        <w:spacing w:after="120" w:line="276" w:lineRule="auto"/>
        <w:ind w:firstLine="284"/>
        <w:jc w:val="both"/>
        <w:rPr>
          <w:rFonts w:asciiTheme="majorBidi" w:hAnsiTheme="majorBidi" w:cstheme="majorBidi"/>
          <w:sz w:val="24"/>
          <w:szCs w:val="24"/>
        </w:rPr>
      </w:pPr>
      <w:r w:rsidRPr="009A40CE">
        <w:rPr>
          <w:rFonts w:asciiTheme="majorBidi" w:hAnsiTheme="majorBidi" w:cstheme="majorBidi"/>
          <w:sz w:val="24"/>
          <w:szCs w:val="24"/>
        </w:rPr>
        <w:t>Habel, Alavi, and Heinitz (2023) show behavior shifts only when insights are embedded in routines, implying that items keyed to embeddedness should load strongly on their factors</w:t>
      </w:r>
      <w:r w:rsidR="00B03C22">
        <w:rPr>
          <w:rFonts w:asciiTheme="majorBidi" w:hAnsiTheme="majorBidi" w:cstheme="majorBidi"/>
          <w:sz w:val="24"/>
          <w:szCs w:val="24"/>
        </w:rPr>
        <w:t>-</w:t>
      </w:r>
      <w:r w:rsidRPr="009A40CE">
        <w:rPr>
          <w:rFonts w:asciiTheme="majorBidi" w:hAnsiTheme="majorBidi" w:cstheme="majorBidi"/>
          <w:sz w:val="24"/>
          <w:szCs w:val="24"/>
        </w:rPr>
        <w:t>convergent validity via loadings ≥ .60 and AVE ≥ .50, and composite reliability ≥ .70. Lang, Peltonen, and Sarlin (2018) separate cadence/feedback from signal quality, motivating discriminant validity checks (e.g., HTMT &lt; .85) between “Communication Quality &amp; Cadence” and “Information Sharing &amp; Data Integration.” Oet, Bianco, Gramlich, and Ong (2013) highlight aggregation/lineage as a distinct information property, further supporting factor separability. Model adequacy should meet CFA criteria (e.g., CFI/TLI ≥ .90, RMSEA ≤ .08, SRMR ≤ .08), consistent with the multifactor logic argued by these studies</w:t>
      </w:r>
      <w:r w:rsidRPr="009A40CE">
        <w:rPr>
          <w:rFonts w:asciiTheme="majorBidi" w:hAnsiTheme="majorBidi" w:cstheme="majorBidi"/>
          <w:sz w:val="24"/>
          <w:szCs w:val="24"/>
          <w:rtl/>
        </w:rPr>
        <w:t>.</w:t>
      </w:r>
    </w:p>
    <w:p w14:paraId="34861990" w14:textId="77777777" w:rsidR="0095495B" w:rsidRPr="0095495B" w:rsidRDefault="009A40CE" w:rsidP="002E6F27">
      <w:pPr>
        <w:pStyle w:val="a5"/>
        <w:numPr>
          <w:ilvl w:val="0"/>
          <w:numId w:val="28"/>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 xml:space="preserve">Reliability and bias controls. </w:t>
      </w:r>
    </w:p>
    <w:p w14:paraId="0FFDB40E" w14:textId="0154FD4D" w:rsidR="009A40CE" w:rsidRPr="009A40CE" w:rsidRDefault="009A40CE" w:rsidP="0095495B">
      <w:pPr>
        <w:bidi w:val="0"/>
        <w:spacing w:after="120" w:line="276" w:lineRule="auto"/>
        <w:ind w:firstLine="284"/>
        <w:jc w:val="both"/>
        <w:rPr>
          <w:rFonts w:asciiTheme="majorBidi" w:hAnsiTheme="majorBidi" w:cstheme="majorBidi"/>
          <w:sz w:val="24"/>
          <w:szCs w:val="24"/>
        </w:rPr>
      </w:pPr>
      <w:r w:rsidRPr="009A40CE">
        <w:rPr>
          <w:rFonts w:asciiTheme="majorBidi" w:hAnsiTheme="majorBidi" w:cstheme="majorBidi"/>
          <w:sz w:val="24"/>
          <w:szCs w:val="24"/>
        </w:rPr>
        <w:t>McKinsey &amp; Company (2020) warns that volume-biased KPIs distort self-reports, so we couple procedural remedies (anonymity, reverse-coded items, mixed anchors) with statistical checks (Cronbach’s α and CR ≥ .70; item–total correlations ≥ .30). KPMG (2025) and FSB (2023) emphasize auditability, which we leverage to reduce common-method bias by pairing perceptions with trace data (meeting logs, SLA timers, override counts). A marker-variable or unmeasured latent method factor can be added if Harman’s single-factor &gt; 40% variance. Where feasible, test–retest over short windows aligns with Lang, Peltonen, and Sarlin’s (2018) cadence logic, probing temporal stability without confounding by policy shifts</w:t>
      </w:r>
      <w:r w:rsidRPr="009A40CE">
        <w:rPr>
          <w:rFonts w:asciiTheme="majorBidi" w:hAnsiTheme="majorBidi" w:cstheme="majorBidi"/>
          <w:sz w:val="24"/>
          <w:szCs w:val="24"/>
          <w:rtl/>
        </w:rPr>
        <w:t>.</w:t>
      </w:r>
    </w:p>
    <w:p w14:paraId="75098A79" w14:textId="77777777" w:rsidR="0095495B" w:rsidRPr="0095495B" w:rsidRDefault="009A40CE" w:rsidP="002E6F27">
      <w:pPr>
        <w:pStyle w:val="a5"/>
        <w:numPr>
          <w:ilvl w:val="0"/>
          <w:numId w:val="28"/>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 xml:space="preserve">Criterion and external validity. </w:t>
      </w:r>
    </w:p>
    <w:p w14:paraId="12F12C38" w14:textId="64AEC029" w:rsidR="009A40CE" w:rsidRPr="0095495B" w:rsidRDefault="009A40CE"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Bank for International Settlements (2013) makes LCR/funding constraints observable; therefore, higher scores on “Decision Rights &amp; Escalation Clarity (RACI)” should predict better Liquidity &amp; Market-Risk Fit at Origination</w:t>
      </w:r>
      <w:r w:rsidR="00B03C22">
        <w:rPr>
          <w:rFonts w:asciiTheme="majorBidi" w:hAnsiTheme="majorBidi" w:cstheme="majorBidi"/>
          <w:sz w:val="24"/>
          <w:szCs w:val="24"/>
        </w:rPr>
        <w:t>-</w:t>
      </w:r>
      <w:r w:rsidRPr="0095495B">
        <w:rPr>
          <w:rFonts w:asciiTheme="majorBidi" w:hAnsiTheme="majorBidi" w:cstheme="majorBidi"/>
          <w:sz w:val="24"/>
          <w:szCs w:val="24"/>
        </w:rPr>
        <w:t>a predictive validity test using objective deal metrics. Habel, Alavi, and Heinitz (2023) and Lang, Peltonen, and Sarlin (2018) imply that strong “Co-visibility/Early-Warning” scores should correlate with fewer early delinquencies and lower false-negative rates, providing concurrent validity. In Islamic settings, Islamic Financial Services Board (2024) argues that form–substance checkpoints (asset evidence, possession/transfer, profit recognition) are integral; thus, subscales including Shariah pathways should show known-groups validity across murabaha/ijara/musharaka segments and support measurement invariance (configural/metric/scalar) across product types</w:t>
      </w:r>
      <w:r w:rsidRPr="0095495B">
        <w:rPr>
          <w:rFonts w:asciiTheme="majorBidi" w:hAnsiTheme="majorBidi" w:cstheme="majorBidi"/>
          <w:sz w:val="24"/>
          <w:szCs w:val="24"/>
          <w:rtl/>
        </w:rPr>
        <w:t>.</w:t>
      </w:r>
    </w:p>
    <w:p w14:paraId="7659C25E" w14:textId="77777777" w:rsidR="0095495B" w:rsidRPr="0095495B" w:rsidRDefault="009A40CE" w:rsidP="002E6F27">
      <w:pPr>
        <w:pStyle w:val="a5"/>
        <w:numPr>
          <w:ilvl w:val="0"/>
          <w:numId w:val="28"/>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 xml:space="preserve">Linking back to the model. </w:t>
      </w:r>
    </w:p>
    <w:p w14:paraId="75289BAE" w14:textId="17DF941F" w:rsidR="00BA3C3F" w:rsidRDefault="009A40CE" w:rsidP="0095495B">
      <w:pPr>
        <w:bidi w:val="0"/>
        <w:spacing w:after="120" w:line="276" w:lineRule="auto"/>
        <w:ind w:firstLine="284"/>
        <w:jc w:val="both"/>
        <w:rPr>
          <w:rFonts w:asciiTheme="majorBidi" w:hAnsiTheme="majorBidi" w:cstheme="majorBidi"/>
          <w:sz w:val="24"/>
          <w:szCs w:val="24"/>
        </w:rPr>
      </w:pPr>
      <w:r w:rsidRPr="009A40CE">
        <w:rPr>
          <w:rFonts w:asciiTheme="majorBidi" w:hAnsiTheme="majorBidi" w:cstheme="majorBidi"/>
          <w:sz w:val="24"/>
          <w:szCs w:val="24"/>
        </w:rPr>
        <w:t>IMF (2023) justifies multidimensionality; FSB (2023) and KPMG (2025) supply observable behaviors for items; Oet et al. (2013), Habel et al. (2023), and Lang et al. (2018) guide factor separation and outcome linkage; BIS (2013) and Islamic Financial Services Board (2024) provide objective external anchors for criterion tests. Together, these choices make validity and reliability part of the design, not a post-hoc check</w:t>
      </w:r>
      <w:r w:rsidR="00B03C22">
        <w:rPr>
          <w:rFonts w:asciiTheme="majorBidi" w:hAnsiTheme="majorBidi" w:cstheme="majorBidi"/>
          <w:sz w:val="24"/>
          <w:szCs w:val="24"/>
        </w:rPr>
        <w:t>-</w:t>
      </w:r>
      <w:r w:rsidRPr="009A40CE">
        <w:rPr>
          <w:rFonts w:asciiTheme="majorBidi" w:hAnsiTheme="majorBidi" w:cstheme="majorBidi"/>
          <w:sz w:val="24"/>
          <w:szCs w:val="24"/>
        </w:rPr>
        <w:t>setting up the final subsection on lessons for instrument design that operationalize these standards in Al Rajhi Bank’s context.</w:t>
      </w:r>
    </w:p>
    <w:p w14:paraId="3BDFA6C6" w14:textId="77777777" w:rsidR="0095495B" w:rsidRPr="0095495B" w:rsidRDefault="0095495B" w:rsidP="002E6F27">
      <w:pPr>
        <w:pStyle w:val="a5"/>
        <w:numPr>
          <w:ilvl w:val="0"/>
          <w:numId w:val="26"/>
        </w:numPr>
        <w:bidi w:val="0"/>
        <w:spacing w:after="120" w:line="276" w:lineRule="auto"/>
        <w:jc w:val="both"/>
        <w:rPr>
          <w:rFonts w:asciiTheme="majorBidi" w:hAnsiTheme="majorBidi" w:cstheme="majorBidi"/>
          <w:sz w:val="24"/>
          <w:szCs w:val="24"/>
        </w:rPr>
      </w:pPr>
      <w:r w:rsidRPr="0095495B">
        <w:rPr>
          <w:rFonts w:asciiTheme="majorBidi" w:hAnsiTheme="majorBidi" w:cstheme="majorBidi"/>
          <w:sz w:val="24"/>
          <w:szCs w:val="24"/>
        </w:rPr>
        <w:t>Lessons for Designing the Measurement Instrument for This Study</w:t>
      </w:r>
    </w:p>
    <w:p w14:paraId="0E0DDC77" w14:textId="75AF0C2C"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1) Anchor items in observable routines, not attitudes</w:t>
      </w:r>
      <w:r>
        <w:rPr>
          <w:rFonts w:asciiTheme="majorBidi" w:hAnsiTheme="majorBidi" w:cstheme="majorBidi"/>
          <w:sz w:val="24"/>
          <w:szCs w:val="24"/>
        </w:rPr>
        <w:t>:</w:t>
      </w:r>
      <w:r w:rsidRPr="0095495B">
        <w:rPr>
          <w:rFonts w:asciiTheme="majorBidi" w:hAnsiTheme="majorBidi" w:cstheme="majorBidi"/>
          <w:sz w:val="24"/>
          <w:szCs w:val="24"/>
        </w:rPr>
        <w:t xml:space="preserve"> Financial Stability Board (2023) emphasizes seams</w:t>
      </w:r>
      <w:r w:rsidR="00B03C22">
        <w:rPr>
          <w:rFonts w:asciiTheme="majorBidi" w:hAnsiTheme="majorBidi" w:cstheme="majorBidi"/>
          <w:sz w:val="24"/>
          <w:szCs w:val="24"/>
        </w:rPr>
        <w:t>-</w:t>
      </w:r>
      <w:r w:rsidRPr="0095495B">
        <w:rPr>
          <w:rFonts w:asciiTheme="majorBidi" w:hAnsiTheme="majorBidi" w:cstheme="majorBidi"/>
          <w:sz w:val="24"/>
          <w:szCs w:val="24"/>
        </w:rPr>
        <w:t>cadence, shared indicators, and time-bound handoffs</w:t>
      </w:r>
      <w:r w:rsidR="00B03C22">
        <w:rPr>
          <w:rFonts w:asciiTheme="majorBidi" w:hAnsiTheme="majorBidi" w:cstheme="majorBidi"/>
          <w:sz w:val="24"/>
          <w:szCs w:val="24"/>
        </w:rPr>
        <w:t>-</w:t>
      </w:r>
      <w:r w:rsidRPr="0095495B">
        <w:rPr>
          <w:rFonts w:asciiTheme="majorBidi" w:hAnsiTheme="majorBidi" w:cstheme="majorBidi"/>
          <w:sz w:val="24"/>
          <w:szCs w:val="24"/>
        </w:rPr>
        <w:t>so items should reference concrete artifacts (agenda discipline, decision logs, joint dashboards, escalation timers) rather than generic “collaboration” feelings. KPMG (2025) similarly treats role clarity as work design (RACI, thresholds, SLAs), which means questions must ask whether these tools exist and are used, not whether relations feel “good.”</w:t>
      </w:r>
    </w:p>
    <w:p w14:paraId="44CF6F3D" w14:textId="44416375"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2) Embed information-processing logic in the wording</w:t>
      </w:r>
      <w:r>
        <w:rPr>
          <w:rFonts w:asciiTheme="majorBidi" w:hAnsiTheme="majorBidi" w:cstheme="majorBidi"/>
          <w:sz w:val="24"/>
          <w:szCs w:val="24"/>
        </w:rPr>
        <w:t>:</w:t>
      </w:r>
      <w:r w:rsidRPr="0095495B">
        <w:rPr>
          <w:rFonts w:asciiTheme="majorBidi" w:hAnsiTheme="majorBidi" w:cstheme="majorBidi"/>
          <w:sz w:val="24"/>
          <w:szCs w:val="24"/>
        </w:rPr>
        <w:t xml:space="preserve"> International Monetary Fund (2023) frames risk as execution under uncertainty, so items must test timing and visibility (who sees what, when) instead of mere availability. Habel, Alavi, and Heinitz (2023) suggest referencing CRM-embedded prompts (“next-best action appears in my workflow”) to ensure we measure embeddedness rather than dashboard awareness.</w:t>
      </w:r>
    </w:p>
    <w:p w14:paraId="64EB3EDD" w14:textId="07658E15"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3) Separate</w:t>
      </w:r>
      <w:r w:rsidR="00B03C22">
        <w:rPr>
          <w:rFonts w:asciiTheme="majorBidi" w:hAnsiTheme="majorBidi" w:cstheme="majorBidi"/>
          <w:sz w:val="24"/>
          <w:szCs w:val="24"/>
        </w:rPr>
        <w:t>-</w:t>
      </w:r>
      <w:r w:rsidRPr="0095495B">
        <w:rPr>
          <w:rFonts w:asciiTheme="majorBidi" w:hAnsiTheme="majorBidi" w:cstheme="majorBidi"/>
          <w:sz w:val="24"/>
          <w:szCs w:val="24"/>
        </w:rPr>
        <w:t>but connect</w:t>
      </w:r>
      <w:r w:rsidR="00B03C22">
        <w:rPr>
          <w:rFonts w:asciiTheme="majorBidi" w:hAnsiTheme="majorBidi" w:cstheme="majorBidi"/>
          <w:sz w:val="24"/>
          <w:szCs w:val="24"/>
        </w:rPr>
        <w:t>-</w:t>
      </w:r>
      <w:r w:rsidRPr="0095495B">
        <w:rPr>
          <w:rFonts w:asciiTheme="majorBidi" w:hAnsiTheme="majorBidi" w:cstheme="majorBidi"/>
          <w:sz w:val="24"/>
          <w:szCs w:val="24"/>
        </w:rPr>
        <w:t>signal quality and cadence</w:t>
      </w:r>
      <w:r>
        <w:rPr>
          <w:rFonts w:asciiTheme="majorBidi" w:hAnsiTheme="majorBidi" w:cstheme="majorBidi"/>
          <w:sz w:val="24"/>
          <w:szCs w:val="24"/>
        </w:rPr>
        <w:t>:</w:t>
      </w:r>
      <w:r w:rsidRPr="0095495B">
        <w:rPr>
          <w:rFonts w:asciiTheme="majorBidi" w:hAnsiTheme="majorBidi" w:cstheme="majorBidi"/>
          <w:sz w:val="24"/>
          <w:szCs w:val="24"/>
        </w:rPr>
        <w:t xml:space="preserve"> Lang, Peltonen, and Sarlin (2018) show early-warning gains come from feedback loops; therefore, create distinct subscales for (a) Communication Quality &amp; Cadence (fixed reviews, clarity of minutes, action follow-ups) and (b) Information Sharing &amp; Data Integration (co-visibility, lineage trust, pre-booking flags). Oet, Bianco, Gramlich, and Ong (2013) justify explicit lineage items (source, refresh time, transformation) to keep signal quality conceptually distinct.</w:t>
      </w:r>
    </w:p>
    <w:p w14:paraId="2FD79DF8" w14:textId="048CD122"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4) Tie incentives to governance in the scale content</w:t>
      </w:r>
      <w:r>
        <w:rPr>
          <w:rFonts w:asciiTheme="majorBidi" w:hAnsiTheme="majorBidi" w:cstheme="majorBidi"/>
          <w:sz w:val="24"/>
          <w:szCs w:val="24"/>
        </w:rPr>
        <w:t>:</w:t>
      </w:r>
      <w:r w:rsidRPr="0095495B">
        <w:rPr>
          <w:rFonts w:asciiTheme="majorBidi" w:hAnsiTheme="majorBidi" w:cstheme="majorBidi"/>
          <w:sz w:val="24"/>
          <w:szCs w:val="24"/>
        </w:rPr>
        <w:t xml:space="preserve"> McKinsey &amp; Company (2020) warns that volume KPIs neutralize analytics; include items on RAROC-linked targets, override costs/caps, and delinquency feedback to scorecards so the Goal/KPI Alignment subscale reflects behavior-shaping mechanisms. Financial Stability Board (2023) recommends evidence-based overrides</w:t>
      </w:r>
      <w:r w:rsidR="00B03C22">
        <w:rPr>
          <w:rFonts w:asciiTheme="majorBidi" w:hAnsiTheme="majorBidi" w:cstheme="majorBidi"/>
          <w:sz w:val="24"/>
          <w:szCs w:val="24"/>
        </w:rPr>
        <w:t>-</w:t>
      </w:r>
      <w:r w:rsidRPr="0095495B">
        <w:rPr>
          <w:rFonts w:asciiTheme="majorBidi" w:hAnsiTheme="majorBidi" w:cstheme="majorBidi"/>
          <w:sz w:val="24"/>
          <w:szCs w:val="24"/>
        </w:rPr>
        <w:t>make that an item family.</w:t>
      </w:r>
    </w:p>
    <w:p w14:paraId="7DD40C54" w14:textId="365C7448"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5) Make decision rights measurable</w:t>
      </w:r>
      <w:r>
        <w:rPr>
          <w:rFonts w:asciiTheme="majorBidi" w:hAnsiTheme="majorBidi" w:cstheme="majorBidi"/>
          <w:sz w:val="24"/>
          <w:szCs w:val="24"/>
        </w:rPr>
        <w:t>:</w:t>
      </w:r>
      <w:r w:rsidRPr="0095495B">
        <w:rPr>
          <w:rFonts w:asciiTheme="majorBidi" w:hAnsiTheme="majorBidi" w:cstheme="majorBidi"/>
          <w:sz w:val="24"/>
          <w:szCs w:val="24"/>
        </w:rPr>
        <w:t xml:space="preserve"> KPMG (2025) recommends RACI and SLAs; write items that ask who decides, within what thresholds, and on what evidence pack, plus whether auto-escalation clocks exist. Bank for International Settlements (2013) motivates items tying first-line decisions to LCR/funding constraints (e.g., “tenor/pricing reflect funding costs before approval”).</w:t>
      </w:r>
    </w:p>
    <w:p w14:paraId="4AE9FF88" w14:textId="6F9865EE"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6) Localize for Islamic finance without collapsing constructs</w:t>
      </w:r>
      <w:r>
        <w:rPr>
          <w:rFonts w:asciiTheme="majorBidi" w:hAnsiTheme="majorBidi" w:cstheme="majorBidi"/>
          <w:sz w:val="24"/>
          <w:szCs w:val="24"/>
        </w:rPr>
        <w:t>:</w:t>
      </w:r>
      <w:r w:rsidRPr="0095495B">
        <w:rPr>
          <w:rFonts w:asciiTheme="majorBidi" w:hAnsiTheme="majorBidi" w:cstheme="majorBidi"/>
          <w:sz w:val="24"/>
          <w:szCs w:val="24"/>
        </w:rPr>
        <w:t xml:space="preserve"> Islamic Financial Services Board (2024) requires form–substance checkpoints; keep the four IV dimensions, but add indicator rows inside each: co-visibility of Shariah fields (asset evidence, possession/transfer, profit recognition), Shariah RACI ownership, and time-boxed Shariah consultation. Van Greuning and Iqbal (2008) justify linking these to loss outcomes; keep them as </w:t>
      </w:r>
      <w:r w:rsidRPr="0095495B">
        <w:rPr>
          <w:rFonts w:asciiTheme="majorBidi" w:hAnsiTheme="majorBidi" w:cstheme="majorBidi"/>
          <w:i/>
          <w:iCs/>
          <w:sz w:val="24"/>
          <w:szCs w:val="24"/>
        </w:rPr>
        <w:t>items</w:t>
      </w:r>
      <w:r w:rsidRPr="0095495B">
        <w:rPr>
          <w:rFonts w:asciiTheme="majorBidi" w:hAnsiTheme="majorBidi" w:cstheme="majorBidi"/>
          <w:sz w:val="24"/>
          <w:szCs w:val="24"/>
        </w:rPr>
        <w:t xml:space="preserve"> under existing subscales rather than new factors to preserve comparability.</w:t>
      </w:r>
    </w:p>
    <w:p w14:paraId="0DFCD88E" w14:textId="7F4DE99D"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7) Design for validity from the start</w:t>
      </w:r>
      <w:r>
        <w:rPr>
          <w:rFonts w:asciiTheme="majorBidi" w:hAnsiTheme="majorBidi" w:cstheme="majorBidi"/>
          <w:sz w:val="24"/>
          <w:szCs w:val="24"/>
        </w:rPr>
        <w:t xml:space="preserve">: </w:t>
      </w:r>
      <w:r w:rsidRPr="0095495B">
        <w:rPr>
          <w:rFonts w:asciiTheme="majorBidi" w:hAnsiTheme="majorBidi" w:cstheme="majorBidi"/>
          <w:sz w:val="24"/>
          <w:szCs w:val="24"/>
        </w:rPr>
        <w:t>IMF (2023) supports a four-factor reflective model; plan a CFA with loadings ≥ .60 and AVE ≥ .50 for convergent validity. Following Lang, Peltonen, and Sarlin (2018), target HTMT &lt; .85 between “cadence” and “information” subscales for discriminant validity. KPMG (2025) and FSB (2023) enable criterion checks using trace data (escalation timestamps, override counts, LCR fit), while BIS (2013) provides objective anchors for predictive validity.</w:t>
      </w:r>
    </w:p>
    <w:p w14:paraId="380C7263" w14:textId="56E218F0"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8) Control method bias and ensure reliability</w:t>
      </w:r>
      <w:r>
        <w:rPr>
          <w:rFonts w:asciiTheme="majorBidi" w:hAnsiTheme="majorBidi" w:cstheme="majorBidi"/>
          <w:sz w:val="24"/>
          <w:szCs w:val="24"/>
        </w:rPr>
        <w:t>:</w:t>
      </w:r>
      <w:r w:rsidRPr="0095495B">
        <w:rPr>
          <w:rFonts w:asciiTheme="majorBidi" w:hAnsiTheme="majorBidi" w:cstheme="majorBidi"/>
          <w:sz w:val="24"/>
          <w:szCs w:val="24"/>
        </w:rPr>
        <w:t xml:space="preserve"> McKinsey &amp; Company (2020) motivates procedural remedies (anonymity, mixed anchors, some reverse-coded items). Aim for α/CR ≥ .70 and item–total ≥ .30. Where feasible, add a short test–retest to probe stability of routines (Lang, Peltonen, &amp; Sarlin, 2018). Pair survey items with system logs (FSB, 2023) to reduce common-method inflation.</w:t>
      </w:r>
    </w:p>
    <w:p w14:paraId="508D1FA6" w14:textId="5BC760F0"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9) Write items at the decision moment</w:t>
      </w:r>
      <w:r>
        <w:rPr>
          <w:rFonts w:asciiTheme="majorBidi" w:hAnsiTheme="majorBidi" w:cstheme="majorBidi"/>
          <w:sz w:val="24"/>
          <w:szCs w:val="24"/>
        </w:rPr>
        <w:t xml:space="preserve">: </w:t>
      </w:r>
      <w:r w:rsidRPr="0095495B">
        <w:rPr>
          <w:rFonts w:asciiTheme="majorBidi" w:hAnsiTheme="majorBidi" w:cstheme="majorBidi"/>
          <w:sz w:val="24"/>
          <w:szCs w:val="24"/>
        </w:rPr>
        <w:t xml:space="preserve"> BIS (2013) and IMF (2023) agree that origination is where prudential aims must be internalized; phrase items around pre-deal and at-approval moments (“before booking,” “at credit memo sign-off”), not generalities, to increase diagnostic power.</w:t>
      </w:r>
    </w:p>
    <w:p w14:paraId="5103FB6B" w14:textId="52B02E26"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10) Keep the instrument auditable and brief</w:t>
      </w:r>
      <w:r>
        <w:rPr>
          <w:rFonts w:asciiTheme="majorBidi" w:hAnsiTheme="majorBidi" w:cstheme="majorBidi"/>
          <w:sz w:val="24"/>
          <w:szCs w:val="24"/>
        </w:rPr>
        <w:t xml:space="preserve">: </w:t>
      </w:r>
      <w:r w:rsidRPr="0095495B">
        <w:rPr>
          <w:rFonts w:asciiTheme="majorBidi" w:hAnsiTheme="majorBidi" w:cstheme="majorBidi"/>
          <w:sz w:val="24"/>
          <w:szCs w:val="24"/>
        </w:rPr>
        <w:t xml:space="preserve"> FSB (2023) favors auditability; map each item to its evidence source (minutes, dashboard ID, SLA log). To preserve response quality, cap each subscale to 4–6 items, totaling ~20–24 items for the IV; reserve outcome items for the DV and gather objective metrics (early arrears, override rate, liquidity-fit flags) for validation.</w:t>
      </w:r>
    </w:p>
    <w:p w14:paraId="20D12917" w14:textId="77777777" w:rsidR="0095495B" w:rsidRPr="0095495B" w:rsidRDefault="0095495B" w:rsidP="0095495B">
      <w:pPr>
        <w:bidi w:val="0"/>
        <w:spacing w:after="120" w:line="276" w:lineRule="auto"/>
        <w:ind w:firstLine="284"/>
        <w:jc w:val="both"/>
        <w:rPr>
          <w:rFonts w:asciiTheme="majorBidi" w:hAnsiTheme="majorBidi" w:cstheme="majorBidi"/>
          <w:sz w:val="24"/>
          <w:szCs w:val="24"/>
        </w:rPr>
      </w:pPr>
      <w:r w:rsidRPr="0095495B">
        <w:rPr>
          <w:rFonts w:asciiTheme="majorBidi" w:hAnsiTheme="majorBidi" w:cstheme="majorBidi"/>
          <w:sz w:val="24"/>
          <w:szCs w:val="24"/>
        </w:rPr>
        <w:t>Bridge to implementation. These lessons translate directly into a draft questionnaire blueprint: four IV subscales (cadence, information integration, KPI alignment, RACI) with Islamic-specific indicators embedded; paired trace data for validity; and CFA-ready structure. In the next step, we can convert each lesson into item stems tailored to Al Rajhi Bank’s workflows while preserving comparability with prior studies.</w:t>
      </w:r>
    </w:p>
    <w:p w14:paraId="5E18B4CB" w14:textId="42A1E148" w:rsidR="00BA3C3F" w:rsidRPr="0095495B" w:rsidRDefault="00C20062" w:rsidP="00C20062">
      <w:pPr>
        <w:pStyle w:val="2"/>
      </w:pPr>
      <w:bookmarkStart w:id="70" w:name="_Toc214621143"/>
      <w:r w:rsidRPr="00C20062">
        <w:t>Risk Management Effectiveness (DV)</w:t>
      </w:r>
      <w:bookmarkEnd w:id="70"/>
    </w:p>
    <w:p w14:paraId="533E313C" w14:textId="121D5679"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 xml:space="preserve">From compliance to capability. International Monetary Fund (2023) reframes bank risk as </w:t>
      </w:r>
      <w:r w:rsidRPr="00417808">
        <w:rPr>
          <w:rFonts w:asciiTheme="majorBidi" w:hAnsiTheme="majorBidi" w:cstheme="majorBidi"/>
          <w:i/>
          <w:iCs/>
          <w:sz w:val="24"/>
          <w:szCs w:val="24"/>
        </w:rPr>
        <w:t>execution under uncertainty</w:t>
      </w:r>
      <w:r w:rsidRPr="00417808">
        <w:rPr>
          <w:rFonts w:asciiTheme="majorBidi" w:hAnsiTheme="majorBidi" w:cstheme="majorBidi"/>
          <w:sz w:val="24"/>
          <w:szCs w:val="24"/>
        </w:rPr>
        <w:t>, implying that “risk management effectiveness” is not a checklist but an organizational capability that converts policy into timely, evidence-based decisions at the seam of origination and early monitoring. Financial Stability Board (2023) pushes this seam-first logic further: effectiveness is observed where cadence, shared indicators, and time-bound escalation prevent policy–execution gaps, so quality resides in routines</w:t>
      </w:r>
      <w:r w:rsidR="00B03C22">
        <w:rPr>
          <w:rFonts w:asciiTheme="majorBidi" w:hAnsiTheme="majorBidi" w:cstheme="majorBidi"/>
          <w:sz w:val="24"/>
          <w:szCs w:val="24"/>
        </w:rPr>
        <w:t>-</w:t>
      </w:r>
      <w:r w:rsidRPr="00417808">
        <w:rPr>
          <w:rFonts w:asciiTheme="majorBidi" w:hAnsiTheme="majorBidi" w:cstheme="majorBidi"/>
          <w:sz w:val="24"/>
          <w:szCs w:val="24"/>
        </w:rPr>
        <w:t xml:space="preserve">what AM and Sales </w:t>
      </w:r>
      <w:r w:rsidRPr="00417808">
        <w:rPr>
          <w:rFonts w:asciiTheme="majorBidi" w:hAnsiTheme="majorBidi" w:cstheme="majorBidi"/>
          <w:i/>
          <w:iCs/>
          <w:sz w:val="24"/>
          <w:szCs w:val="24"/>
        </w:rPr>
        <w:t>actually</w:t>
      </w:r>
      <w:r w:rsidRPr="00417808">
        <w:rPr>
          <w:rFonts w:asciiTheme="majorBidi" w:hAnsiTheme="majorBidi" w:cstheme="majorBidi"/>
          <w:sz w:val="24"/>
          <w:szCs w:val="24"/>
        </w:rPr>
        <w:t xml:space="preserve"> do</w:t>
      </w:r>
      <w:r w:rsidR="00B03C22">
        <w:rPr>
          <w:rFonts w:asciiTheme="majorBidi" w:hAnsiTheme="majorBidi" w:cstheme="majorBidi"/>
          <w:sz w:val="24"/>
          <w:szCs w:val="24"/>
        </w:rPr>
        <w:t>-</w:t>
      </w:r>
      <w:r w:rsidRPr="00417808">
        <w:rPr>
          <w:rFonts w:asciiTheme="majorBidi" w:hAnsiTheme="majorBidi" w:cstheme="majorBidi"/>
          <w:sz w:val="24"/>
          <w:szCs w:val="24"/>
        </w:rPr>
        <w:t>rather than in formal manuals. In Islamic contexts, Islamic Financial Services Board (2024) adds that effectiveness also requires form–substance alignment (asset evidence, possession/transfer, profit recognition), moving Shariah from a late approval to an upstream design input.</w:t>
      </w:r>
    </w:p>
    <w:p w14:paraId="13F3B785" w14:textId="04529E7C"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A deal-life-cycle lens. Bank for International Settlements (2013) makes capability testable by embedding liquidity discipline (LCR/HQLA) into pricing and tenor at origination; if frontline teams internalize funding costs before booking, effectiveness rises, whereas late-gate fixes signal weakness. Building on this, KPMG (2025) translates capability into work design</w:t>
      </w:r>
      <w:r w:rsidR="00B03C22">
        <w:rPr>
          <w:rFonts w:asciiTheme="majorBidi" w:hAnsiTheme="majorBidi" w:cstheme="majorBidi"/>
          <w:sz w:val="24"/>
          <w:szCs w:val="24"/>
        </w:rPr>
        <w:t>-</w:t>
      </w:r>
      <w:r w:rsidRPr="00417808">
        <w:rPr>
          <w:rFonts w:asciiTheme="majorBidi" w:hAnsiTheme="majorBidi" w:cstheme="majorBidi"/>
          <w:sz w:val="24"/>
          <w:szCs w:val="24"/>
        </w:rPr>
        <w:t>RACI, thresholds, and SLAs</w:t>
      </w:r>
      <w:r w:rsidR="00B03C22">
        <w:rPr>
          <w:rFonts w:asciiTheme="majorBidi" w:hAnsiTheme="majorBidi" w:cstheme="majorBidi"/>
          <w:sz w:val="24"/>
          <w:szCs w:val="24"/>
        </w:rPr>
        <w:t>-</w:t>
      </w:r>
      <w:r w:rsidRPr="00417808">
        <w:rPr>
          <w:rFonts w:asciiTheme="majorBidi" w:hAnsiTheme="majorBidi" w:cstheme="majorBidi"/>
          <w:sz w:val="24"/>
          <w:szCs w:val="24"/>
        </w:rPr>
        <w:t>so “who decides, on what evidence, and by when” becomes measurable. This study therefore scopes effectiveness across the deal life cycle: (1) pre-deal screening and KYC/EDD depth, (2) at-approval discipline in pricing/tenor/collateral with documented overrides, (3) post-booking early-warning and covenant follow-through, and (4) operational resilience when third-party rails or cloud paths fail.</w:t>
      </w:r>
    </w:p>
    <w:p w14:paraId="07D4324D" w14:textId="77777777"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Integrating the four risk anchors. To maintain conceptual clarity, effectiveness is organized around credit, liquidity/market, and operational anchors with Islamic-form requirements woven through each (Islamic Financial Services Board, 2024). International Monetary Fund (2023) justifies the multi-anchor scope under volatility, while Bank for International Settlements (2013) supplies objective anchors for liquidity fit, and Financial Stability Board (2023) supplies seam metrics (escalation clocks, decision logs). This sets a direct bridge to Sections 2.3.3–2.3.6, where each anchor is operationalized into frontline routines and measurable outcomes that the empirical model will link to the AM–Sales functional relationship.</w:t>
      </w:r>
    </w:p>
    <w:p w14:paraId="25398161" w14:textId="23CD6DB5" w:rsidR="00BA3C3F" w:rsidRPr="00417808" w:rsidRDefault="00417808" w:rsidP="00417808">
      <w:pPr>
        <w:pStyle w:val="3"/>
      </w:pPr>
      <w:bookmarkStart w:id="71" w:name="_Toc214621144"/>
      <w:r w:rsidRPr="00417808">
        <w:t>Conceptualization and Scope</w:t>
      </w:r>
      <w:bookmarkEnd w:id="71"/>
    </w:p>
    <w:p w14:paraId="43394AB7" w14:textId="77777777" w:rsidR="00417808" w:rsidRPr="00417808" w:rsidRDefault="00417808" w:rsidP="002E6F27">
      <w:pPr>
        <w:pStyle w:val="a5"/>
        <w:numPr>
          <w:ilvl w:val="0"/>
          <w:numId w:val="29"/>
        </w:numPr>
        <w:bidi w:val="0"/>
        <w:spacing w:after="120" w:line="276" w:lineRule="auto"/>
        <w:jc w:val="both"/>
        <w:rPr>
          <w:rFonts w:asciiTheme="majorBidi" w:hAnsiTheme="majorBidi" w:cstheme="majorBidi"/>
          <w:sz w:val="24"/>
          <w:szCs w:val="24"/>
        </w:rPr>
      </w:pPr>
      <w:r w:rsidRPr="00417808">
        <w:rPr>
          <w:rFonts w:asciiTheme="majorBidi" w:hAnsiTheme="majorBidi" w:cstheme="majorBidi"/>
          <w:sz w:val="24"/>
          <w:szCs w:val="24"/>
        </w:rPr>
        <w:t>From “Compliance” to an Organizational Capability</w:t>
      </w:r>
    </w:p>
    <w:p w14:paraId="07F42A32" w14:textId="62725CAA"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International Monetary Fund (2023) argues that in volatility-prone environments, risk is fundamentally execution under uncertainty, which means effectiveness cannot be reduced to policy checklists or post-hoc controls; it must be built into how frontline teams decide, escalate, and learn at the point of origination. Financial Stability Board (2023) reinforces this seams-first view, showing that resilience emerges when cadence, shared indicators, and time-bound escalations are designed into daily routines</w:t>
      </w:r>
      <w:r w:rsidR="00B03C22">
        <w:rPr>
          <w:rFonts w:asciiTheme="majorBidi" w:hAnsiTheme="majorBidi" w:cstheme="majorBidi"/>
          <w:sz w:val="24"/>
          <w:szCs w:val="24"/>
        </w:rPr>
        <w:t>-</w:t>
      </w:r>
      <w:r w:rsidRPr="00417808">
        <w:rPr>
          <w:rFonts w:asciiTheme="majorBidi" w:hAnsiTheme="majorBidi" w:cstheme="majorBidi"/>
          <w:sz w:val="24"/>
          <w:szCs w:val="24"/>
        </w:rPr>
        <w:t>turning risk from a supervisory obligation into a repeatable operating capability. Bank for International Settlements (2013) makes the shift measurable by embedding LCR/HQLA constraints directly in pricing and tenor, so prudential aims are internalized before approval rather than policed after booking.</w:t>
      </w:r>
    </w:p>
    <w:p w14:paraId="3D03803A" w14:textId="75FD7993" w:rsid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KPMG (2025) translates the capability lens into work design</w:t>
      </w:r>
      <w:r w:rsidR="00B03C22">
        <w:rPr>
          <w:rFonts w:asciiTheme="majorBidi" w:hAnsiTheme="majorBidi" w:cstheme="majorBidi"/>
          <w:sz w:val="24"/>
          <w:szCs w:val="24"/>
        </w:rPr>
        <w:t>-</w:t>
      </w:r>
      <w:r w:rsidRPr="00417808">
        <w:rPr>
          <w:rFonts w:asciiTheme="majorBidi" w:hAnsiTheme="majorBidi" w:cstheme="majorBidi"/>
          <w:sz w:val="24"/>
          <w:szCs w:val="24"/>
        </w:rPr>
        <w:t>RACI ownership, thresholds, and SLAs</w:t>
      </w:r>
      <w:r w:rsidR="00B03C22">
        <w:rPr>
          <w:rFonts w:asciiTheme="majorBidi" w:hAnsiTheme="majorBidi" w:cstheme="majorBidi"/>
          <w:sz w:val="24"/>
          <w:szCs w:val="24"/>
        </w:rPr>
        <w:t>-</w:t>
      </w:r>
      <w:r w:rsidRPr="00417808">
        <w:rPr>
          <w:rFonts w:asciiTheme="majorBidi" w:hAnsiTheme="majorBidi" w:cstheme="majorBidi"/>
          <w:sz w:val="24"/>
          <w:szCs w:val="24"/>
        </w:rPr>
        <w:t>arguing that “who decides, on what evidence, and by when” converts policies into flow, auditability, and faster recovery when conditions change. Islamic Financial Services Board (2024) adds the Islamic-finance dimension: effectiveness requires form–substance alignment (asset evidence, possession/transfer, profit recognition) as upstream design inputs, not late stamps, thereby tying Shariah governance to the same operating disciplines of cadence, co-visibility, and escalation. Taken together, these strands justify modeling risk management as an organizational capability distributed across the AM–Sales seam; this directly motivates the next element</w:t>
      </w:r>
      <w:r w:rsidR="00B03C22">
        <w:rPr>
          <w:rFonts w:asciiTheme="majorBidi" w:hAnsiTheme="majorBidi" w:cstheme="majorBidi"/>
          <w:sz w:val="24"/>
          <w:szCs w:val="24"/>
        </w:rPr>
        <w:t>-</w:t>
      </w:r>
      <w:r w:rsidRPr="00417808">
        <w:rPr>
          <w:rFonts w:asciiTheme="majorBidi" w:hAnsiTheme="majorBidi" w:cstheme="majorBidi"/>
          <w:sz w:val="24"/>
          <w:szCs w:val="24"/>
        </w:rPr>
        <w:t>a deal-life-cycle perspective</w:t>
      </w:r>
      <w:r w:rsidR="00B03C22">
        <w:rPr>
          <w:rFonts w:asciiTheme="majorBidi" w:hAnsiTheme="majorBidi" w:cstheme="majorBidi"/>
          <w:sz w:val="24"/>
          <w:szCs w:val="24"/>
        </w:rPr>
        <w:t>-</w:t>
      </w:r>
      <w:r w:rsidRPr="00417808">
        <w:rPr>
          <w:rFonts w:asciiTheme="majorBidi" w:hAnsiTheme="majorBidi" w:cstheme="majorBidi"/>
          <w:sz w:val="24"/>
          <w:szCs w:val="24"/>
        </w:rPr>
        <w:t>that traces how capability should appear from pre-deal screening and approval through post-booking early warning and operational resilience.</w:t>
      </w:r>
    </w:p>
    <w:p w14:paraId="7AE4D0A6" w14:textId="221313E9" w:rsidR="00417808" w:rsidRPr="00417808" w:rsidRDefault="00417808" w:rsidP="00417808">
      <w:pPr>
        <w:pStyle w:val="3"/>
      </w:pPr>
      <w:bookmarkStart w:id="72" w:name="_Toc214621145"/>
      <w:r w:rsidRPr="00417808">
        <w:t>Framework Anchors</w:t>
      </w:r>
      <w:bookmarkEnd w:id="72"/>
    </w:p>
    <w:p w14:paraId="4B474B1B" w14:textId="77777777" w:rsidR="00417808" w:rsidRPr="00417808" w:rsidRDefault="00417808" w:rsidP="002E6F27">
      <w:pPr>
        <w:pStyle w:val="a5"/>
        <w:numPr>
          <w:ilvl w:val="0"/>
          <w:numId w:val="30"/>
        </w:numPr>
        <w:bidi w:val="0"/>
        <w:spacing w:after="120" w:line="276" w:lineRule="auto"/>
        <w:jc w:val="both"/>
        <w:rPr>
          <w:rFonts w:asciiTheme="majorBidi" w:hAnsiTheme="majorBidi" w:cstheme="majorBidi"/>
          <w:sz w:val="24"/>
          <w:szCs w:val="24"/>
        </w:rPr>
      </w:pPr>
      <w:r w:rsidRPr="00417808">
        <w:rPr>
          <w:rFonts w:asciiTheme="majorBidi" w:hAnsiTheme="majorBidi" w:cstheme="majorBidi"/>
          <w:sz w:val="24"/>
          <w:szCs w:val="24"/>
        </w:rPr>
        <w:t>A Deal-Life-Cycle Lens: From Origination to Post-Booking Follow-Through</w:t>
      </w:r>
    </w:p>
    <w:p w14:paraId="0919178A" w14:textId="50706BF9"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International Monetary Fund (2023) frames effectiveness as execution under uncertainty, which makes the deal life cycle the natural unit of analysis: capability must be visible at each stage</w:t>
      </w:r>
      <w:r w:rsidR="00B03C22">
        <w:rPr>
          <w:rFonts w:asciiTheme="majorBidi" w:hAnsiTheme="majorBidi" w:cstheme="majorBidi"/>
          <w:sz w:val="24"/>
          <w:szCs w:val="24"/>
        </w:rPr>
        <w:t>-</w:t>
      </w:r>
      <w:r w:rsidRPr="00417808">
        <w:rPr>
          <w:rFonts w:asciiTheme="majorBidi" w:hAnsiTheme="majorBidi" w:cstheme="majorBidi"/>
          <w:sz w:val="24"/>
          <w:szCs w:val="24"/>
        </w:rPr>
        <w:t>pre-deal screening, at-approval structuring, post-booking monitoring, and incident response</w:t>
      </w:r>
      <w:r w:rsidR="00B03C22">
        <w:rPr>
          <w:rFonts w:asciiTheme="majorBidi" w:hAnsiTheme="majorBidi" w:cstheme="majorBidi"/>
          <w:sz w:val="24"/>
          <w:szCs w:val="24"/>
        </w:rPr>
        <w:t>-</w:t>
      </w:r>
      <w:r w:rsidRPr="00417808">
        <w:rPr>
          <w:rFonts w:asciiTheme="majorBidi" w:hAnsiTheme="majorBidi" w:cstheme="majorBidi"/>
          <w:sz w:val="24"/>
          <w:szCs w:val="24"/>
        </w:rPr>
        <w:t>rather than as a single compliance event. Financial Stability Board (2023) extends this seams-first logic, arguing that cadence, shared indicators, and time-bound escalation must be designed into each handoff, or policy–execution gaps reappear as pricing errors and late overrides. Building on this, KPMG (2025) recasts routine controls (RACI, thresholds, SLAs) as work design for every stage, so “who decides, on what evidence, and by when” is measurable from first contact to early-warning review</w:t>
      </w:r>
      <w:r w:rsidRPr="00417808">
        <w:rPr>
          <w:rFonts w:asciiTheme="majorBidi" w:hAnsiTheme="majorBidi" w:cstheme="majorBidi"/>
          <w:sz w:val="24"/>
          <w:szCs w:val="24"/>
          <w:rtl/>
        </w:rPr>
        <w:t>.</w:t>
      </w:r>
    </w:p>
    <w:p w14:paraId="22A8BC9C" w14:textId="6BB94FCE"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Bank for International Settlements (2013) makes the life-cycle testable at approval by embedding LCR/HQLA and funding costs into pricing and tenor; when these constraints are internalized before booking, origination quality improves, whereas after-the-fact vetoes signal weak capability. Habel, Alavi, and Heinitz (2023) add that analytics change behavior only when embedded in workflow, so pre-deal KYC/EDD and risk flags must surface as next-best-actions inside CRM, not as detached dashboards. Lang, Peltonen, and Sarlin (2018) show that post-booking early-warning works when weak signals are reviewed on a fixed rhythm with named owners, feeding learning loops that tighten upstream selection</w:t>
      </w:r>
      <w:r w:rsidR="00B03C22">
        <w:rPr>
          <w:rFonts w:asciiTheme="majorBidi" w:hAnsiTheme="majorBidi" w:cstheme="majorBidi"/>
          <w:sz w:val="24"/>
          <w:szCs w:val="24"/>
        </w:rPr>
        <w:t>-</w:t>
      </w:r>
      <w:r w:rsidRPr="00417808">
        <w:rPr>
          <w:rFonts w:asciiTheme="majorBidi" w:hAnsiTheme="majorBidi" w:cstheme="majorBidi"/>
          <w:sz w:val="24"/>
          <w:szCs w:val="24"/>
        </w:rPr>
        <w:t>thereby linking monitoring outcomes back to origination standards rather than treating them as separate worlds</w:t>
      </w:r>
      <w:r w:rsidRPr="00417808">
        <w:rPr>
          <w:rFonts w:asciiTheme="majorBidi" w:hAnsiTheme="majorBidi" w:cstheme="majorBidi"/>
          <w:sz w:val="24"/>
          <w:szCs w:val="24"/>
          <w:rtl/>
        </w:rPr>
        <w:t>.</w:t>
      </w:r>
    </w:p>
    <w:p w14:paraId="141BC4DF" w14:textId="7B575F90" w:rsidR="00BA3C3F"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Islamic Financial Services Board (2024) integrates Shariah form–substance across the same stages: at pre-deal, evidence of asset existence/possession is assembled; at approval, profit recognition and ownership transfer are validated; at post-booking, documentation integrity remains auditable under change. Van Greuning and Iqbal (2008) warn that weak form–substance alignment migrates into credit and operational losses, justifying early Shariah consultation on a clock. Finally, IMF (2023) and FSB (2023) converge on operational resilience as the life-cycle’s shock absorber: vendor or cloud incidents must trigger RACI-owned fallbacks, SLA clocks, and evidence-based overrides, so AM–Sales continue making sound decisions under degraded conditions. In short, BIS (2013), FSB (2023), and KPMG (2025) collectively position effectiveness as a front-to-back operating capability</w:t>
      </w:r>
      <w:r w:rsidR="00B03C22">
        <w:rPr>
          <w:rFonts w:asciiTheme="majorBidi" w:hAnsiTheme="majorBidi" w:cstheme="majorBidi"/>
          <w:sz w:val="24"/>
          <w:szCs w:val="24"/>
        </w:rPr>
        <w:t>-</w:t>
      </w:r>
      <w:r w:rsidRPr="00417808">
        <w:rPr>
          <w:rFonts w:asciiTheme="majorBidi" w:hAnsiTheme="majorBidi" w:cstheme="majorBidi"/>
          <w:sz w:val="24"/>
          <w:szCs w:val="24"/>
        </w:rPr>
        <w:t>observable, auditable, and improvable</w:t>
      </w:r>
      <w:r w:rsidR="00B03C22">
        <w:rPr>
          <w:rFonts w:asciiTheme="majorBidi" w:hAnsiTheme="majorBidi" w:cstheme="majorBidi"/>
          <w:sz w:val="24"/>
          <w:szCs w:val="24"/>
        </w:rPr>
        <w:t>-</w:t>
      </w:r>
      <w:r w:rsidRPr="00417808">
        <w:rPr>
          <w:rFonts w:asciiTheme="majorBidi" w:hAnsiTheme="majorBidi" w:cstheme="majorBidi"/>
          <w:sz w:val="24"/>
          <w:szCs w:val="24"/>
        </w:rPr>
        <w:t>rather than a static compliance state.</w:t>
      </w:r>
    </w:p>
    <w:p w14:paraId="498D84D6" w14:textId="5350AA18" w:rsidR="00417808" w:rsidRPr="00417808" w:rsidRDefault="00417808" w:rsidP="002E6F27">
      <w:pPr>
        <w:pStyle w:val="a5"/>
        <w:numPr>
          <w:ilvl w:val="0"/>
          <w:numId w:val="30"/>
        </w:numPr>
        <w:bidi w:val="0"/>
        <w:spacing w:after="120" w:line="276" w:lineRule="auto"/>
        <w:jc w:val="both"/>
        <w:rPr>
          <w:rFonts w:asciiTheme="majorBidi" w:hAnsiTheme="majorBidi" w:cstheme="majorBidi"/>
          <w:sz w:val="24"/>
          <w:szCs w:val="24"/>
        </w:rPr>
      </w:pPr>
      <w:r w:rsidRPr="00417808">
        <w:rPr>
          <w:rFonts w:asciiTheme="majorBidi" w:hAnsiTheme="majorBidi" w:cstheme="majorBidi"/>
          <w:sz w:val="24"/>
          <w:szCs w:val="24"/>
        </w:rPr>
        <w:t>2.3.2</w:t>
      </w:r>
      <w:r w:rsidRPr="00417808">
        <w:rPr>
          <w:rFonts w:asciiTheme="majorBidi" w:hAnsiTheme="majorBidi" w:cstheme="majorBidi"/>
          <w:sz w:val="24"/>
          <w:szCs w:val="24"/>
          <w:rtl/>
        </w:rPr>
        <w:t xml:space="preserve"> </w:t>
      </w:r>
      <w:r w:rsidRPr="00417808">
        <w:rPr>
          <w:rFonts w:asciiTheme="majorBidi" w:hAnsiTheme="majorBidi" w:cstheme="majorBidi"/>
          <w:sz w:val="24"/>
          <w:szCs w:val="24"/>
        </w:rPr>
        <w:t xml:space="preserve">Framework Anchors </w:t>
      </w:r>
      <w:r w:rsidR="00B03C22">
        <w:rPr>
          <w:rFonts w:asciiTheme="majorBidi" w:hAnsiTheme="majorBidi" w:cstheme="majorBidi"/>
          <w:sz w:val="24"/>
          <w:szCs w:val="24"/>
        </w:rPr>
        <w:t>-</w:t>
      </w:r>
      <w:r w:rsidRPr="00417808">
        <w:rPr>
          <w:rFonts w:asciiTheme="majorBidi" w:hAnsiTheme="majorBidi" w:cstheme="majorBidi"/>
          <w:sz w:val="24"/>
          <w:szCs w:val="24"/>
        </w:rPr>
        <w:t xml:space="preserve"> Liquidity, Market, Credit, and Operational Effectiveness</w:t>
      </w:r>
    </w:p>
    <w:p w14:paraId="552DE068" w14:textId="7242EFE7"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Liquidity effectiveness. Bank for International Settlements (2013) reframes liquidity control as a frontline discipline: when LCR/HQLA constraints and funding-cost ladders are internalized at structuring</w:t>
      </w:r>
      <w:r w:rsidR="00B03C22">
        <w:rPr>
          <w:rFonts w:asciiTheme="majorBidi" w:hAnsiTheme="majorBidi" w:cstheme="majorBidi"/>
          <w:sz w:val="24"/>
          <w:szCs w:val="24"/>
        </w:rPr>
        <w:t>-</w:t>
      </w:r>
      <w:r w:rsidRPr="00417808">
        <w:rPr>
          <w:rFonts w:asciiTheme="majorBidi" w:hAnsiTheme="majorBidi" w:cstheme="majorBidi"/>
          <w:sz w:val="24"/>
          <w:szCs w:val="24"/>
        </w:rPr>
        <w:t>pricing, tenor, and draw schedules</w:t>
      </w:r>
      <w:r w:rsidR="00B03C22">
        <w:rPr>
          <w:rFonts w:asciiTheme="majorBidi" w:hAnsiTheme="majorBidi" w:cstheme="majorBidi"/>
          <w:sz w:val="24"/>
          <w:szCs w:val="24"/>
        </w:rPr>
        <w:t>-</w:t>
      </w:r>
      <w:r w:rsidRPr="00417808">
        <w:rPr>
          <w:rFonts w:asciiTheme="majorBidi" w:hAnsiTheme="majorBidi" w:cstheme="majorBidi"/>
          <w:sz w:val="24"/>
          <w:szCs w:val="24"/>
        </w:rPr>
        <w:t>liquidity fit is engineered before approval, not repaired after. International Monetary Fund (2023) adds that in higher-for-longer regimes, any latency between funding signals and deal design monetizes into mispricing, so effective liquidity management is observed in pre-deal decisions (tenor caps, amortization shapes, and funding add-ons) and time-bound escalations when proposals breach limits. Financial Stability Board (2023) makes the seam explicit: cadence, shared indicators, and escalation clocks ensure that liquidity guardrails are visible to AM–Sales in the same window, turning prudential aims into repeatable routines rather than committee surprises</w:t>
      </w:r>
      <w:r w:rsidRPr="00417808">
        <w:rPr>
          <w:rFonts w:asciiTheme="majorBidi" w:hAnsiTheme="majorBidi" w:cstheme="majorBidi"/>
          <w:sz w:val="24"/>
          <w:szCs w:val="24"/>
          <w:rtl/>
        </w:rPr>
        <w:t>.</w:t>
      </w:r>
    </w:p>
    <w:p w14:paraId="5C06C760" w14:textId="7CD2DB06"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Market-risk effectiveness. BIS (2013) implies that market fit at origination is the twin of liquidity fit: rate, basis, and optionality exposures must be priced and, where possible, hedged or bounded within pre-set thresholds at approval. IMF (2023) argues that under volatility, slow feedback on curve shifts or basis stress creates loss-given-error, so effective practice couples pricing floors and tenor design with override governance that demands evidence for exceptions on a clock. FSB (2023) extends this to third-party data paths</w:t>
      </w:r>
      <w:r w:rsidR="00B03C22">
        <w:rPr>
          <w:rFonts w:asciiTheme="majorBidi" w:hAnsiTheme="majorBidi" w:cstheme="majorBidi"/>
          <w:sz w:val="24"/>
          <w:szCs w:val="24"/>
        </w:rPr>
        <w:t>-</w:t>
      </w:r>
      <w:r w:rsidRPr="00417808">
        <w:rPr>
          <w:rFonts w:asciiTheme="majorBidi" w:hAnsiTheme="majorBidi" w:cstheme="majorBidi"/>
          <w:sz w:val="24"/>
          <w:szCs w:val="24"/>
        </w:rPr>
        <w:t>if market inputs (e.g., funding curves) traverse vendor rails, effectiveness requires co-visibility and lineage so deviations trigger time-boxed escalation rather than informal fixes. In Islamic contexts, Islamic Financial Services Board (2024) reminds that contract form (murabaha/ijara/musharaka) constrains permissible hedging, which pushes effectiveness toward structure choices (e.g., amortizing cash flows, delivery timing) that reduce embedded market risk by design</w:t>
      </w:r>
      <w:r w:rsidRPr="00417808">
        <w:rPr>
          <w:rFonts w:asciiTheme="majorBidi" w:hAnsiTheme="majorBidi" w:cstheme="majorBidi"/>
          <w:sz w:val="24"/>
          <w:szCs w:val="24"/>
          <w:rtl/>
        </w:rPr>
        <w:t>.</w:t>
      </w:r>
    </w:p>
    <w:p w14:paraId="0B1BA6AA" w14:textId="3DE1C4BA"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Credit-risk effectiveness. IMF (2023) defines risk as execution under uncertainty, which makes selection quality, pricing discipline, and collateral rigor the observable core of credit effectiveness at the seam. BIS (2013) supports this by tying credit choices to funding economics</w:t>
      </w:r>
      <w:r w:rsidR="00B03C22">
        <w:rPr>
          <w:rFonts w:asciiTheme="majorBidi" w:hAnsiTheme="majorBidi" w:cstheme="majorBidi"/>
          <w:sz w:val="24"/>
          <w:szCs w:val="24"/>
        </w:rPr>
        <w:t>-</w:t>
      </w:r>
      <w:r w:rsidRPr="00417808">
        <w:rPr>
          <w:rFonts w:asciiTheme="majorBidi" w:hAnsiTheme="majorBidi" w:cstheme="majorBidi"/>
          <w:sz w:val="24"/>
          <w:szCs w:val="24"/>
        </w:rPr>
        <w:t>RAROC must reflect expected loss and liquidity cost</w:t>
      </w:r>
      <w:r w:rsidR="00B03C22">
        <w:rPr>
          <w:rFonts w:asciiTheme="majorBidi" w:hAnsiTheme="majorBidi" w:cstheme="majorBidi"/>
          <w:sz w:val="24"/>
          <w:szCs w:val="24"/>
        </w:rPr>
        <w:t>-</w:t>
      </w:r>
      <w:r w:rsidRPr="00417808">
        <w:rPr>
          <w:rFonts w:asciiTheme="majorBidi" w:hAnsiTheme="majorBidi" w:cstheme="majorBidi"/>
          <w:sz w:val="24"/>
          <w:szCs w:val="24"/>
        </w:rPr>
        <w:t>so “cheap” deals do not externalize risk to capital buffers. McKinsey &amp; Company (2020) cautions that volume-only incentives neutralize analytics, hence effectiveness depends on risk-adjusted KPIs, evidence-based overrides, and delinquency feedback into scorecards so origination learns from outcomes. Lang, Peltonen, and Sarlin (2018) show that early-warning review cadences reduce false negatives; embedding pre-booking signals and covenant previews into joint AM–Sales routines upgrades approval quality before exposure is taken. In Islamic settings, Islamic Financial Services Board (2024) links credit quality to form–substance checks (asset evidence, possession/transfer, profit recognition), making Shariah compliance a credit control as much as a legal requirement</w:t>
      </w:r>
      <w:r w:rsidRPr="00417808">
        <w:rPr>
          <w:rFonts w:asciiTheme="majorBidi" w:hAnsiTheme="majorBidi" w:cstheme="majorBidi"/>
          <w:sz w:val="24"/>
          <w:szCs w:val="24"/>
          <w:rtl/>
        </w:rPr>
        <w:t>.</w:t>
      </w:r>
    </w:p>
    <w:p w14:paraId="3ED573BE" w14:textId="7EFC0230" w:rsidR="00417808"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Operational-risk and resilience effectiveness. FSB (2023) treats third-party and cloud dependencies as governance surfaces: outages and API degradation become losses when handoffs lack RACI ownership, SLA clocks, and predefined fallbacks. IMF (2023) adds that operational delays in tight monetary cycles propagate into mis-pricing and onboarding errors, so effectiveness is visible in degradation-mode playbooks (who decides under reduced data, what conservative defaults apply, when to pause). The U.S. supervisors’ joint statement (2024) converts this into accountability: banks must retain monitoring rights, audit trails, and exit paths in vendor contracts, which AMs must internalize when structures rely on external rails. Van Greuning and Iqbal (2008) show that weak form–substance control often materializes as credit/operational losses, reinforcing that operational effectiveness includes preserving documentation integrity (especially Shariah-relevant artifacts) under stress. KPMG (2025) closes the loop by translating resilience into work design</w:t>
      </w:r>
      <w:r w:rsidR="00B03C22">
        <w:rPr>
          <w:rFonts w:asciiTheme="majorBidi" w:hAnsiTheme="majorBidi" w:cstheme="majorBidi"/>
          <w:sz w:val="24"/>
          <w:szCs w:val="24"/>
        </w:rPr>
        <w:t>-</w:t>
      </w:r>
      <w:r w:rsidRPr="00417808">
        <w:rPr>
          <w:rFonts w:asciiTheme="majorBidi" w:hAnsiTheme="majorBidi" w:cstheme="majorBidi"/>
          <w:sz w:val="24"/>
          <w:szCs w:val="24"/>
        </w:rPr>
        <w:t>RACI, thresholds, SLAs</w:t>
      </w:r>
      <w:r w:rsidR="00B03C22">
        <w:rPr>
          <w:rFonts w:asciiTheme="majorBidi" w:hAnsiTheme="majorBidi" w:cstheme="majorBidi"/>
          <w:sz w:val="24"/>
          <w:szCs w:val="24"/>
        </w:rPr>
        <w:t>-</w:t>
      </w:r>
      <w:r w:rsidRPr="00417808">
        <w:rPr>
          <w:rFonts w:asciiTheme="majorBidi" w:hAnsiTheme="majorBidi" w:cstheme="majorBidi"/>
          <w:sz w:val="24"/>
          <w:szCs w:val="24"/>
        </w:rPr>
        <w:t>so recovery speed (MTTR) and control remediation quality are measurable at the AM–Sales seam</w:t>
      </w:r>
      <w:r w:rsidRPr="00417808">
        <w:rPr>
          <w:rFonts w:asciiTheme="majorBidi" w:hAnsiTheme="majorBidi" w:cstheme="majorBidi"/>
          <w:sz w:val="24"/>
          <w:szCs w:val="24"/>
          <w:rtl/>
        </w:rPr>
        <w:t>.</w:t>
      </w:r>
    </w:p>
    <w:p w14:paraId="5CE8C823" w14:textId="1DC60B67" w:rsidR="00BA3C3F" w:rsidRPr="00417808" w:rsidRDefault="00417808" w:rsidP="00417808">
      <w:pPr>
        <w:bidi w:val="0"/>
        <w:spacing w:after="120" w:line="276" w:lineRule="auto"/>
        <w:ind w:firstLine="284"/>
        <w:jc w:val="both"/>
        <w:rPr>
          <w:rFonts w:asciiTheme="majorBidi" w:hAnsiTheme="majorBidi" w:cstheme="majorBidi"/>
          <w:sz w:val="24"/>
          <w:szCs w:val="24"/>
        </w:rPr>
      </w:pPr>
      <w:r w:rsidRPr="00417808">
        <w:rPr>
          <w:rFonts w:asciiTheme="majorBidi" w:hAnsiTheme="majorBidi" w:cstheme="majorBidi"/>
          <w:sz w:val="24"/>
          <w:szCs w:val="24"/>
        </w:rPr>
        <w:t>Bridge to frontline routines. Taken together, BIS (2013), FSB (2023), IMF (2023), and Islamic Financial Services Board (2024) position the four anchors as operating capabilities observable in daily choices: how tenor/pricing absorb funding signals (liquidity/market), how selection and overrides balance return and loss (credit), and how vendor-dependent workflows sustain decisions under stress (operational). These anchors directly motivate the next subsections (2.3.3–2.3.6), where each domain is translated into frontline routines and outcome markers that will later serve as the dependent-variable dimensions in the empirical model.</w:t>
      </w:r>
    </w:p>
    <w:p w14:paraId="26A939A6" w14:textId="13775FCE" w:rsidR="00BA3C3F" w:rsidRPr="00417808" w:rsidRDefault="00D858E2" w:rsidP="00D858E2">
      <w:pPr>
        <w:pStyle w:val="3"/>
      </w:pPr>
      <w:bookmarkStart w:id="73" w:name="_Toc214621146"/>
      <w:r w:rsidRPr="00D858E2">
        <w:t>Early Risk Identification and Onboarding Quality</w:t>
      </w:r>
      <w:bookmarkEnd w:id="73"/>
    </w:p>
    <w:p w14:paraId="53C3561B" w14:textId="77777777" w:rsidR="00D858E2" w:rsidRPr="00D858E2" w:rsidRDefault="00D858E2" w:rsidP="002E6F27">
      <w:pPr>
        <w:pStyle w:val="a5"/>
        <w:numPr>
          <w:ilvl w:val="0"/>
          <w:numId w:val="31"/>
        </w:numPr>
        <w:bidi w:val="0"/>
        <w:spacing w:after="120" w:line="276" w:lineRule="auto"/>
        <w:rPr>
          <w:rFonts w:asciiTheme="majorBidi" w:hAnsiTheme="majorBidi" w:cstheme="majorBidi"/>
          <w:sz w:val="24"/>
          <w:szCs w:val="24"/>
        </w:rPr>
      </w:pPr>
      <w:r w:rsidRPr="00D858E2">
        <w:rPr>
          <w:rFonts w:asciiTheme="majorBidi" w:hAnsiTheme="majorBidi" w:cstheme="majorBidi"/>
          <w:sz w:val="24"/>
          <w:szCs w:val="24"/>
        </w:rPr>
        <w:t>ChatGPT said:Depth of KYC / EDD</w:t>
      </w:r>
    </w:p>
    <w:p w14:paraId="07CB20F4" w14:textId="32489B9A"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International Monetary Fund (2023) reframes KYC/EDD as a frontline execution capability under uncertainty: depth is not more documents per se, but whether identity, beneficial ownership, income/flows, counterparties, and funding sources are verified early enough to change origination decisions. Financial Stability Board (2023) carries this seams-first logic into practice by tying depth to designed routines</w:t>
      </w:r>
      <w:r w:rsidR="00B03C22">
        <w:rPr>
          <w:rFonts w:asciiTheme="majorBidi" w:hAnsiTheme="majorBidi" w:cstheme="majorBidi"/>
          <w:sz w:val="24"/>
          <w:szCs w:val="24"/>
        </w:rPr>
        <w:t>-</w:t>
      </w:r>
      <w:r w:rsidRPr="00D858E2">
        <w:rPr>
          <w:rFonts w:asciiTheme="majorBidi" w:hAnsiTheme="majorBidi" w:cstheme="majorBidi"/>
          <w:sz w:val="24"/>
          <w:szCs w:val="24"/>
        </w:rPr>
        <w:t>fixed pre-deal reviews, named owners, evidence packs, and escalation clocks</w:t>
      </w:r>
      <w:r w:rsidR="00B03C22">
        <w:rPr>
          <w:rFonts w:asciiTheme="majorBidi" w:hAnsiTheme="majorBidi" w:cstheme="majorBidi"/>
          <w:sz w:val="24"/>
          <w:szCs w:val="24"/>
        </w:rPr>
        <w:t>-</w:t>
      </w:r>
      <w:r w:rsidRPr="00D858E2">
        <w:rPr>
          <w:rFonts w:asciiTheme="majorBidi" w:hAnsiTheme="majorBidi" w:cstheme="majorBidi"/>
          <w:sz w:val="24"/>
          <w:szCs w:val="24"/>
        </w:rPr>
        <w:t>so gaps surface before approval rather than as late-file remediation. Bank for International Settlements (2013) links KYC/EDD depth to liquidity/market fit at origination: when client cash-flow evidence and counterparty exposures are thin, pricing and tenor embed wrong funding assumptions, turning “shallow” due diligence into liquidity risk</w:t>
      </w:r>
      <w:r w:rsidRPr="00D858E2">
        <w:rPr>
          <w:rFonts w:asciiTheme="majorBidi" w:hAnsiTheme="majorBidi" w:cstheme="majorBidi"/>
          <w:sz w:val="24"/>
          <w:szCs w:val="24"/>
          <w:rtl/>
        </w:rPr>
        <w:t>.</w:t>
      </w:r>
    </w:p>
    <w:p w14:paraId="2AF9A428" w14:textId="61A81C96" w:rsidR="00BA3C3F" w:rsidRPr="00417808"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KPMG (2025) translates depth into work design</w:t>
      </w:r>
      <w:r w:rsidR="00B03C22">
        <w:rPr>
          <w:rFonts w:asciiTheme="majorBidi" w:hAnsiTheme="majorBidi" w:cstheme="majorBidi"/>
          <w:sz w:val="24"/>
          <w:szCs w:val="24"/>
        </w:rPr>
        <w:t>-</w:t>
      </w:r>
      <w:r w:rsidRPr="00D858E2">
        <w:rPr>
          <w:rFonts w:asciiTheme="majorBidi" w:hAnsiTheme="majorBidi" w:cstheme="majorBidi"/>
          <w:sz w:val="24"/>
          <w:szCs w:val="24"/>
        </w:rPr>
        <w:t>RACI for who collects and validates which proofs, thresholds for when senior sign-off is required, and SLAs for turnaround</w:t>
      </w:r>
      <w:r w:rsidR="00B03C22">
        <w:rPr>
          <w:rFonts w:asciiTheme="majorBidi" w:hAnsiTheme="majorBidi" w:cstheme="majorBidi"/>
          <w:sz w:val="24"/>
          <w:szCs w:val="24"/>
        </w:rPr>
        <w:t>-</w:t>
      </w:r>
      <w:r w:rsidRPr="00D858E2">
        <w:rPr>
          <w:rFonts w:asciiTheme="majorBidi" w:hAnsiTheme="majorBidi" w:cstheme="majorBidi"/>
          <w:sz w:val="24"/>
          <w:szCs w:val="24"/>
        </w:rPr>
        <w:t>making completeness auditable instead of discretionary. Habel, Alavi, and Heinitz (2023) show that analytics only change behavior when embedded in workflow; thus EDD red flags (e.g., adverse media, network risk, segment outliers) must appear as next-best actions inside CRM, not as detached dashboards. Lang, Peltonen, and Sarlin (2018) add that pre-booking early-warning cadences reduce false negatives when weak signals (unusual payments, covenant strain) are reviewed on schedule with named owners. In Islamic settings, Islamic Financial Services Board (2024) requires KYC/EDD to include form–substance artifacts</w:t>
      </w:r>
      <w:r w:rsidR="00B03C22">
        <w:rPr>
          <w:rFonts w:asciiTheme="majorBidi" w:hAnsiTheme="majorBidi" w:cstheme="majorBidi"/>
          <w:sz w:val="24"/>
          <w:szCs w:val="24"/>
        </w:rPr>
        <w:t>-</w:t>
      </w:r>
      <w:r w:rsidRPr="00D858E2">
        <w:rPr>
          <w:rFonts w:asciiTheme="majorBidi" w:hAnsiTheme="majorBidi" w:cstheme="majorBidi"/>
          <w:sz w:val="24"/>
          <w:szCs w:val="24"/>
        </w:rPr>
        <w:t>asset evidence, possession/transfer, and profit recognition</w:t>
      </w:r>
      <w:r w:rsidR="00B03C22">
        <w:rPr>
          <w:rFonts w:asciiTheme="majorBidi" w:hAnsiTheme="majorBidi" w:cstheme="majorBidi"/>
          <w:sz w:val="24"/>
          <w:szCs w:val="24"/>
        </w:rPr>
        <w:t>-</w:t>
      </w:r>
      <w:r w:rsidRPr="00D858E2">
        <w:rPr>
          <w:rFonts w:asciiTheme="majorBidi" w:hAnsiTheme="majorBidi" w:cstheme="majorBidi"/>
          <w:sz w:val="24"/>
          <w:szCs w:val="24"/>
        </w:rPr>
        <w:t>so origination satisfies Shariah by design rather than post-hoc. Al Hammadi (2025) warns that fintech rails expand reach and documentation risk; without lineage and vendor SLAs, third-party KYC feeds create blind spots the AM–Sales seam cannot see. Collectively, these views position KYC/EDD depth as a measurable driver of early risk identification and onboarding quality, directly linking to the study’s dependent-variable dimension.</w:t>
      </w:r>
    </w:p>
    <w:p w14:paraId="5A8D5355" w14:textId="77777777" w:rsidR="00D858E2" w:rsidRPr="00D858E2" w:rsidRDefault="00D858E2" w:rsidP="002E6F27">
      <w:pPr>
        <w:pStyle w:val="a5"/>
        <w:numPr>
          <w:ilvl w:val="0"/>
          <w:numId w:val="31"/>
        </w:numPr>
        <w:bidi w:val="0"/>
        <w:spacing w:after="120" w:line="276" w:lineRule="auto"/>
        <w:rPr>
          <w:rFonts w:asciiTheme="majorBidi" w:hAnsiTheme="majorBidi" w:cstheme="majorBidi"/>
          <w:sz w:val="24"/>
          <w:szCs w:val="24"/>
        </w:rPr>
      </w:pPr>
      <w:r w:rsidRPr="00D858E2">
        <w:rPr>
          <w:rFonts w:asciiTheme="majorBidi" w:hAnsiTheme="majorBidi" w:cstheme="majorBidi"/>
          <w:sz w:val="24"/>
          <w:szCs w:val="24"/>
        </w:rPr>
        <w:t>Scope of Pre-Booking Early-Warning Signals (EWS)</w:t>
      </w:r>
    </w:p>
    <w:p w14:paraId="7AC2C9A1" w14:textId="636D0A69"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Building directly on KYC/EDD depth, International Monetary Fund (2023) argues that pre-booking EWS must translate uncertainty into actionable, time-bounded cues before exposure is taken</w:t>
      </w:r>
      <w:r w:rsidR="00B03C22">
        <w:rPr>
          <w:rFonts w:asciiTheme="majorBidi" w:hAnsiTheme="majorBidi" w:cstheme="majorBidi"/>
          <w:sz w:val="24"/>
          <w:szCs w:val="24"/>
        </w:rPr>
        <w:t>-</w:t>
      </w:r>
      <w:r w:rsidRPr="00D858E2">
        <w:rPr>
          <w:rFonts w:asciiTheme="majorBidi" w:hAnsiTheme="majorBidi" w:cstheme="majorBidi"/>
          <w:sz w:val="24"/>
          <w:szCs w:val="24"/>
        </w:rPr>
        <w:t>signals about obligor cash-flows, sector stress, counterparty concentration, and funding conditions that can still reshape pricing, tenor, or a go/no-go. Lang, Peltonen, and Sarlin (2018) show that weak signals only improve outcomes when they surface on a fixed review cadence with named owners and thresholds, turning “interesting patterns” into scheduled decisions rather than post-hoc insights. Oet, Bianco, Gramlich, and Ong (2013) add that aggregation and lineage matter: early warnings built from inconsistent or stale inputs inflate false negatives and overwhelm reviewers, so sources, refresh cycles, and transformations must be traceable to earn attention</w:t>
      </w:r>
      <w:r w:rsidRPr="00D858E2">
        <w:rPr>
          <w:rFonts w:asciiTheme="majorBidi" w:hAnsiTheme="majorBidi" w:cstheme="majorBidi"/>
          <w:sz w:val="24"/>
          <w:szCs w:val="24"/>
          <w:rtl/>
        </w:rPr>
        <w:t>.</w:t>
      </w:r>
    </w:p>
    <w:p w14:paraId="24335488" w14:textId="70D90564" w:rsidR="00BA3C3F" w:rsidRPr="00417808"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Bank for International Settlements (2013) gives the prudential mechanism: EWS that include funding-cost and LCR/HQLA cues allow AM–Sales to internalize liquidity constraints at origination, avoiding late liquidity misfit. Financial Stability Board (2023) extends this to seam design</w:t>
      </w:r>
      <w:r w:rsidR="00B03C22">
        <w:rPr>
          <w:rFonts w:asciiTheme="majorBidi" w:hAnsiTheme="majorBidi" w:cstheme="majorBidi"/>
          <w:sz w:val="24"/>
          <w:szCs w:val="24"/>
        </w:rPr>
        <w:t>-</w:t>
      </w:r>
      <w:r w:rsidRPr="00D858E2">
        <w:rPr>
          <w:rFonts w:asciiTheme="majorBidi" w:hAnsiTheme="majorBidi" w:cstheme="majorBidi"/>
          <w:sz w:val="24"/>
          <w:szCs w:val="24"/>
        </w:rPr>
        <w:t>co-visible dashboards, decision logs, and escalation clocks</w:t>
      </w:r>
      <w:r w:rsidR="00B03C22">
        <w:rPr>
          <w:rFonts w:asciiTheme="majorBidi" w:hAnsiTheme="majorBidi" w:cstheme="majorBidi"/>
          <w:sz w:val="24"/>
          <w:szCs w:val="24"/>
        </w:rPr>
        <w:t>-</w:t>
      </w:r>
      <w:r w:rsidRPr="00D858E2">
        <w:rPr>
          <w:rFonts w:asciiTheme="majorBidi" w:hAnsiTheme="majorBidi" w:cstheme="majorBidi"/>
          <w:sz w:val="24"/>
          <w:szCs w:val="24"/>
        </w:rPr>
        <w:t>so alerts trigger evidence-based overrides rather than informal bargaining. Habel, Alavi, and Heinitz (2023) emphasize embedding: EWS must live in CRM/risk workflows as next-best actions tied to accountable metrics, or behavior will not change. In Islamic settings, Islamic Financial Services Board (2024) notes that form–substance indicators</w:t>
      </w:r>
      <w:r w:rsidR="00B03C22">
        <w:rPr>
          <w:rFonts w:asciiTheme="majorBidi" w:hAnsiTheme="majorBidi" w:cstheme="majorBidi"/>
          <w:sz w:val="24"/>
          <w:szCs w:val="24"/>
        </w:rPr>
        <w:t>-</w:t>
      </w:r>
      <w:r w:rsidRPr="00D858E2">
        <w:rPr>
          <w:rFonts w:asciiTheme="majorBidi" w:hAnsiTheme="majorBidi" w:cstheme="majorBidi"/>
          <w:sz w:val="24"/>
          <w:szCs w:val="24"/>
        </w:rPr>
        <w:t>asset evidence, possession/transfer, profit recognition</w:t>
      </w:r>
      <w:r w:rsidR="00B03C22">
        <w:rPr>
          <w:rFonts w:asciiTheme="majorBidi" w:hAnsiTheme="majorBidi" w:cstheme="majorBidi"/>
          <w:sz w:val="24"/>
          <w:szCs w:val="24"/>
        </w:rPr>
        <w:t>-</w:t>
      </w:r>
      <w:r w:rsidRPr="00D858E2">
        <w:rPr>
          <w:rFonts w:asciiTheme="majorBidi" w:hAnsiTheme="majorBidi" w:cstheme="majorBidi"/>
          <w:sz w:val="24"/>
          <w:szCs w:val="24"/>
        </w:rPr>
        <w:t>are part of EWS, not an afterthought, ensuring that murabaha/ijara/musharaka structures are feasible before approval. This EWS design naturally bridges to pre-deal sign-offs, where the same signals are adjudicated under RACI, thresholds, and SLA timers to lock decisions and document accountability.</w:t>
      </w:r>
    </w:p>
    <w:p w14:paraId="2837142C" w14:textId="77777777" w:rsidR="00D858E2" w:rsidRPr="00D858E2" w:rsidRDefault="00D858E2" w:rsidP="002E6F27">
      <w:pPr>
        <w:pStyle w:val="a5"/>
        <w:numPr>
          <w:ilvl w:val="0"/>
          <w:numId w:val="31"/>
        </w:numPr>
        <w:bidi w:val="0"/>
        <w:spacing w:after="120" w:line="276" w:lineRule="auto"/>
        <w:rPr>
          <w:rFonts w:asciiTheme="majorBidi" w:hAnsiTheme="majorBidi" w:cstheme="majorBidi"/>
          <w:sz w:val="24"/>
          <w:szCs w:val="24"/>
        </w:rPr>
      </w:pPr>
      <w:r w:rsidRPr="00D858E2">
        <w:rPr>
          <w:rFonts w:asciiTheme="majorBidi" w:hAnsiTheme="majorBidi" w:cstheme="majorBidi"/>
          <w:sz w:val="24"/>
          <w:szCs w:val="24"/>
        </w:rPr>
        <w:t>Quality of Pre-Deal Sign-Offs</w:t>
      </w:r>
    </w:p>
    <w:p w14:paraId="640DAD21" w14:textId="63645C22"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KPMG (2025) frames pre-deal sign-offs as the conversion point where information and incentives become an auditable decision: quality exists when a named owner approves on defined evidence, within a timer, and against explicit thresholds. Financial Stability Board (2023) adds that strong sign-offs are seam designs</w:t>
      </w:r>
      <w:r w:rsidR="00B03C22">
        <w:rPr>
          <w:rFonts w:asciiTheme="majorBidi" w:hAnsiTheme="majorBidi" w:cstheme="majorBidi"/>
          <w:sz w:val="24"/>
          <w:szCs w:val="24"/>
        </w:rPr>
        <w:t>-</w:t>
      </w:r>
      <w:r w:rsidRPr="00D858E2">
        <w:rPr>
          <w:rFonts w:asciiTheme="majorBidi" w:hAnsiTheme="majorBidi" w:cstheme="majorBidi"/>
          <w:sz w:val="24"/>
          <w:szCs w:val="24"/>
        </w:rPr>
        <w:t>agendas, decision logs, and required evidence packs</w:t>
      </w:r>
      <w:r w:rsidR="00B03C22">
        <w:rPr>
          <w:rFonts w:asciiTheme="majorBidi" w:hAnsiTheme="majorBidi" w:cstheme="majorBidi"/>
          <w:sz w:val="24"/>
          <w:szCs w:val="24"/>
        </w:rPr>
        <w:t>-</w:t>
      </w:r>
      <w:r w:rsidRPr="00D858E2">
        <w:rPr>
          <w:rFonts w:asciiTheme="majorBidi" w:hAnsiTheme="majorBidi" w:cstheme="majorBidi"/>
          <w:sz w:val="24"/>
          <w:szCs w:val="24"/>
        </w:rPr>
        <w:t>so AM and Sales adjudicate the same facts, not negotiate impressions. International Monetary Fund (2023) links quality to macro uncertainty: when volatility is high, latency and ambiguity at sign-off inflate loss-given-error, so timers and complete files are risk controls, not red tape</w:t>
      </w:r>
      <w:r w:rsidRPr="00D858E2">
        <w:rPr>
          <w:rFonts w:asciiTheme="majorBidi" w:hAnsiTheme="majorBidi" w:cstheme="majorBidi"/>
          <w:sz w:val="24"/>
          <w:szCs w:val="24"/>
          <w:rtl/>
        </w:rPr>
        <w:t>.</w:t>
      </w:r>
    </w:p>
    <w:p w14:paraId="7BB7C053" w14:textId="605CEE0C"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Bank for International Settlements (2013) makes the prudential core testable: high-quality sign-offs internalize LCR/HQLA and funding costs before approval, forcing tenor, pricing, and structure to reflect liquidity and market-risk realities at origination. McKinsey &amp; Company (2020) warns that if KPIs reward volume, committees drift toward exception inflation; thus quality requires evidence-based overrides with caps or costs so short-term pipeline credit does not bypass prudential aims. Financial Stability Board (2023) converges by requiring that any override cite the breached threshold, attach supporting analysis, and escalate on a clock</w:t>
      </w:r>
      <w:r w:rsidR="00B03C22">
        <w:rPr>
          <w:rFonts w:asciiTheme="majorBidi" w:hAnsiTheme="majorBidi" w:cstheme="majorBidi"/>
          <w:sz w:val="24"/>
          <w:szCs w:val="24"/>
        </w:rPr>
        <w:t>-</w:t>
      </w:r>
      <w:r w:rsidRPr="00D858E2">
        <w:rPr>
          <w:rFonts w:asciiTheme="majorBidi" w:hAnsiTheme="majorBidi" w:cstheme="majorBidi"/>
          <w:sz w:val="24"/>
          <w:szCs w:val="24"/>
        </w:rPr>
        <w:t>turning discretion into accountable governance</w:t>
      </w:r>
      <w:r w:rsidRPr="00D858E2">
        <w:rPr>
          <w:rFonts w:asciiTheme="majorBidi" w:hAnsiTheme="majorBidi" w:cstheme="majorBidi"/>
          <w:sz w:val="24"/>
          <w:szCs w:val="24"/>
          <w:rtl/>
        </w:rPr>
        <w:t>.</w:t>
      </w:r>
    </w:p>
    <w:p w14:paraId="535A1B39" w14:textId="77777777"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Lang, Peltonen, and Sarlin (2018) show that sign-offs outperform when pre-booking early-warning signals feed the packet on a fixed cadence with named reviewers, reducing false negatives and re-litigation. Habel, Alavi, and Heinitz (2023) add that analytics change behavior only when embedded in workflow; therefore, the sign-off packet should pull co-visible CRM/risk fields (lineage-tagged inputs, next-best actions completed, and covenant previews), or else decisions rest on screenshots and anecdotes. Oet, Bianco, Gramlich, and Ong (2013) reinforce that signal aggregation with traceable lineage curbs noise, so committees focus on prioritized, comparable cues rather than fragmented alerts</w:t>
      </w:r>
      <w:r w:rsidRPr="00D858E2">
        <w:rPr>
          <w:rFonts w:asciiTheme="majorBidi" w:hAnsiTheme="majorBidi" w:cstheme="majorBidi"/>
          <w:sz w:val="24"/>
          <w:szCs w:val="24"/>
          <w:rtl/>
        </w:rPr>
        <w:t>.</w:t>
      </w:r>
    </w:p>
    <w:p w14:paraId="42D34947" w14:textId="77777777" w:rsidR="00D858E2" w:rsidRPr="00D858E2"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Islamic Financial Services Board (2024) extends quality to form–substance alignment: for murabaha, ijara, and musharaka, pre-deal sign-off must verify asset evidence, possession/transfer mechanics, and profit recognition ex-ante; when ambiguity persists, Shariah consultation runs on an SLA owned by the AM. Van Greuning and Iqbal (2008) document that weak form–substance controls surface later as credit and operational losses, so upstream sign-offs are economic levers, not only compliance checks. U.S. supervisors (2024) further insist that where third-party rails (KYC, scoring, cloud) are integral, the packet include vendor SLA status, data-access rights, and failover plans, keeping accountability with the bank at the moment of approval</w:t>
      </w:r>
      <w:r w:rsidRPr="00D858E2">
        <w:rPr>
          <w:rFonts w:asciiTheme="majorBidi" w:hAnsiTheme="majorBidi" w:cstheme="majorBidi"/>
          <w:sz w:val="24"/>
          <w:szCs w:val="24"/>
          <w:rtl/>
        </w:rPr>
        <w:t>.</w:t>
      </w:r>
    </w:p>
    <w:p w14:paraId="4141683B" w14:textId="77777777" w:rsidR="00A03520" w:rsidRDefault="00D858E2" w:rsidP="00D858E2">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 xml:space="preserve">Taken together, KPMG (2025), BIS (2013), and FSB (2023) imply that high-quality pre-deal sign-offs have five traits: </w:t>
      </w:r>
    </w:p>
    <w:p w14:paraId="757DC195" w14:textId="77777777" w:rsidR="00A03520" w:rsidRDefault="00D858E2" w:rsidP="002E6F27">
      <w:pPr>
        <w:pStyle w:val="a5"/>
        <w:numPr>
          <w:ilvl w:val="0"/>
          <w:numId w:val="33"/>
        </w:numPr>
        <w:bidi w:val="0"/>
        <w:spacing w:after="120" w:line="276" w:lineRule="auto"/>
        <w:jc w:val="both"/>
        <w:rPr>
          <w:rFonts w:asciiTheme="majorBidi" w:hAnsiTheme="majorBidi" w:cstheme="majorBidi"/>
          <w:sz w:val="24"/>
          <w:szCs w:val="24"/>
        </w:rPr>
      </w:pPr>
      <w:r w:rsidRPr="00A03520">
        <w:rPr>
          <w:rFonts w:asciiTheme="majorBidi" w:hAnsiTheme="majorBidi" w:cstheme="majorBidi"/>
          <w:sz w:val="24"/>
          <w:szCs w:val="24"/>
        </w:rPr>
        <w:t>named ownership and timers</w:t>
      </w:r>
      <w:r w:rsidR="00A03520">
        <w:rPr>
          <w:rFonts w:asciiTheme="majorBidi" w:hAnsiTheme="majorBidi" w:cstheme="majorBidi"/>
          <w:sz w:val="24"/>
          <w:szCs w:val="24"/>
        </w:rPr>
        <w:t>.</w:t>
      </w:r>
    </w:p>
    <w:p w14:paraId="2996CEC0" w14:textId="46819D56" w:rsidR="00A03520" w:rsidRPr="00A03520" w:rsidRDefault="00D858E2" w:rsidP="002E6F27">
      <w:pPr>
        <w:pStyle w:val="a5"/>
        <w:numPr>
          <w:ilvl w:val="0"/>
          <w:numId w:val="33"/>
        </w:numPr>
        <w:bidi w:val="0"/>
        <w:spacing w:after="120" w:line="276" w:lineRule="auto"/>
        <w:jc w:val="both"/>
        <w:rPr>
          <w:rFonts w:asciiTheme="majorBidi" w:hAnsiTheme="majorBidi" w:cstheme="majorBidi"/>
          <w:sz w:val="24"/>
          <w:szCs w:val="24"/>
        </w:rPr>
      </w:pPr>
      <w:r w:rsidRPr="00A03520">
        <w:rPr>
          <w:rFonts w:asciiTheme="majorBidi" w:hAnsiTheme="majorBidi" w:cstheme="majorBidi"/>
          <w:sz w:val="24"/>
          <w:szCs w:val="24"/>
        </w:rPr>
        <w:t>threshold-based decisions with evidence-backed overrides</w:t>
      </w:r>
      <w:r w:rsidR="00A03520" w:rsidRPr="00A03520">
        <w:rPr>
          <w:rFonts w:asciiTheme="majorBidi" w:hAnsiTheme="majorBidi" w:cstheme="majorBidi"/>
          <w:sz w:val="24"/>
          <w:szCs w:val="24"/>
        </w:rPr>
        <w:t>.</w:t>
      </w:r>
    </w:p>
    <w:p w14:paraId="03653CFF" w14:textId="2F05FDC8" w:rsidR="00A03520" w:rsidRPr="00A03520" w:rsidRDefault="00D858E2" w:rsidP="002E6F27">
      <w:pPr>
        <w:pStyle w:val="a5"/>
        <w:numPr>
          <w:ilvl w:val="0"/>
          <w:numId w:val="33"/>
        </w:numPr>
        <w:bidi w:val="0"/>
        <w:spacing w:after="120" w:line="276" w:lineRule="auto"/>
        <w:jc w:val="both"/>
        <w:rPr>
          <w:rFonts w:asciiTheme="majorBidi" w:hAnsiTheme="majorBidi" w:cstheme="majorBidi"/>
          <w:sz w:val="24"/>
          <w:szCs w:val="24"/>
        </w:rPr>
      </w:pPr>
      <w:r w:rsidRPr="00A03520">
        <w:rPr>
          <w:rFonts w:asciiTheme="majorBidi" w:hAnsiTheme="majorBidi" w:cstheme="majorBidi"/>
          <w:sz w:val="24"/>
          <w:szCs w:val="24"/>
        </w:rPr>
        <w:t>co-visible, lineage-tagged data embedded in the packet</w:t>
      </w:r>
      <w:r w:rsidR="00A03520" w:rsidRPr="00A03520">
        <w:rPr>
          <w:rFonts w:asciiTheme="majorBidi" w:hAnsiTheme="majorBidi" w:cstheme="majorBidi"/>
          <w:sz w:val="24"/>
          <w:szCs w:val="24"/>
        </w:rPr>
        <w:t>.</w:t>
      </w:r>
    </w:p>
    <w:p w14:paraId="72569517" w14:textId="2315F1A0" w:rsidR="00A03520" w:rsidRPr="00A03520" w:rsidRDefault="00D858E2" w:rsidP="002E6F27">
      <w:pPr>
        <w:pStyle w:val="a5"/>
        <w:numPr>
          <w:ilvl w:val="0"/>
          <w:numId w:val="33"/>
        </w:numPr>
        <w:bidi w:val="0"/>
        <w:spacing w:after="120" w:line="276" w:lineRule="auto"/>
        <w:jc w:val="both"/>
        <w:rPr>
          <w:rFonts w:asciiTheme="majorBidi" w:hAnsiTheme="majorBidi" w:cstheme="majorBidi"/>
          <w:sz w:val="24"/>
          <w:szCs w:val="24"/>
        </w:rPr>
      </w:pPr>
      <w:r w:rsidRPr="00A03520">
        <w:rPr>
          <w:rFonts w:asciiTheme="majorBidi" w:hAnsiTheme="majorBidi" w:cstheme="majorBidi"/>
          <w:sz w:val="24"/>
          <w:szCs w:val="24"/>
        </w:rPr>
        <w:t>integration of pre-booking EWS and covenant previews</w:t>
      </w:r>
      <w:r w:rsidR="00A03520" w:rsidRPr="00A03520">
        <w:rPr>
          <w:rFonts w:asciiTheme="majorBidi" w:hAnsiTheme="majorBidi" w:cstheme="majorBidi"/>
          <w:sz w:val="24"/>
          <w:szCs w:val="24"/>
        </w:rPr>
        <w:t>.</w:t>
      </w:r>
    </w:p>
    <w:p w14:paraId="3B322715" w14:textId="3506DFCF" w:rsidR="00A03520" w:rsidRPr="00A03520" w:rsidRDefault="00D858E2" w:rsidP="002E6F27">
      <w:pPr>
        <w:pStyle w:val="a5"/>
        <w:numPr>
          <w:ilvl w:val="0"/>
          <w:numId w:val="33"/>
        </w:numPr>
        <w:bidi w:val="0"/>
        <w:spacing w:after="120" w:line="276" w:lineRule="auto"/>
        <w:jc w:val="both"/>
        <w:rPr>
          <w:rFonts w:asciiTheme="majorBidi" w:hAnsiTheme="majorBidi" w:cstheme="majorBidi"/>
          <w:sz w:val="24"/>
          <w:szCs w:val="24"/>
        </w:rPr>
      </w:pPr>
      <w:r w:rsidRPr="00A03520">
        <w:rPr>
          <w:rFonts w:asciiTheme="majorBidi" w:hAnsiTheme="majorBidi" w:cstheme="majorBidi"/>
          <w:sz w:val="24"/>
          <w:szCs w:val="24"/>
        </w:rPr>
        <w:t xml:space="preserve">Islamic-form verification and vendor accountability where applicable (Islamic Financial Services Board, 2024; U.S. supervisors, 2024). </w:t>
      </w:r>
    </w:p>
    <w:p w14:paraId="76B61783" w14:textId="5115047D" w:rsidR="002F27AA" w:rsidRPr="00417808" w:rsidRDefault="00D858E2" w:rsidP="00A03520">
      <w:pPr>
        <w:bidi w:val="0"/>
        <w:spacing w:after="120" w:line="276" w:lineRule="auto"/>
        <w:ind w:firstLine="284"/>
        <w:jc w:val="both"/>
        <w:rPr>
          <w:rFonts w:asciiTheme="majorBidi" w:hAnsiTheme="majorBidi" w:cstheme="majorBidi"/>
          <w:sz w:val="24"/>
          <w:szCs w:val="24"/>
        </w:rPr>
      </w:pPr>
      <w:r w:rsidRPr="00D858E2">
        <w:rPr>
          <w:rFonts w:asciiTheme="majorBidi" w:hAnsiTheme="majorBidi" w:cstheme="majorBidi"/>
          <w:sz w:val="24"/>
          <w:szCs w:val="24"/>
        </w:rPr>
        <w:t>Designed this way, the sign-off is the hinge that turns earlier routines</w:t>
      </w:r>
      <w:r w:rsidR="00B03C22">
        <w:rPr>
          <w:rFonts w:asciiTheme="majorBidi" w:hAnsiTheme="majorBidi" w:cstheme="majorBidi"/>
          <w:sz w:val="24"/>
          <w:szCs w:val="24"/>
        </w:rPr>
        <w:t>-</w:t>
      </w:r>
      <w:r w:rsidRPr="00D858E2">
        <w:rPr>
          <w:rFonts w:asciiTheme="majorBidi" w:hAnsiTheme="majorBidi" w:cstheme="majorBidi"/>
          <w:sz w:val="24"/>
          <w:szCs w:val="24"/>
        </w:rPr>
        <w:t>KYC/EDD depth and EWS scope</w:t>
      </w:r>
      <w:r w:rsidR="00B03C22">
        <w:rPr>
          <w:rFonts w:asciiTheme="majorBidi" w:hAnsiTheme="majorBidi" w:cstheme="majorBidi"/>
          <w:sz w:val="24"/>
          <w:szCs w:val="24"/>
        </w:rPr>
        <w:t>-</w:t>
      </w:r>
      <w:r w:rsidRPr="00D858E2">
        <w:rPr>
          <w:rFonts w:asciiTheme="majorBidi" w:hAnsiTheme="majorBidi" w:cstheme="majorBidi"/>
          <w:sz w:val="24"/>
          <w:szCs w:val="24"/>
        </w:rPr>
        <w:t>into risk-fit origination, and it sets the stage for Section 2.3.4 on Credit Discipline and Outcomes, where the consequences of sign-off quality become empirically observable.</w:t>
      </w:r>
    </w:p>
    <w:p w14:paraId="173B7366" w14:textId="68383779" w:rsidR="002F27AA" w:rsidRPr="00417808" w:rsidRDefault="00A03520" w:rsidP="00A03520">
      <w:pPr>
        <w:pStyle w:val="3"/>
      </w:pPr>
      <w:bookmarkStart w:id="74" w:name="_Toc214621147"/>
      <w:r w:rsidRPr="00A03520">
        <w:t>Credit Discipline and Outcomes</w:t>
      </w:r>
      <w:bookmarkEnd w:id="74"/>
    </w:p>
    <w:p w14:paraId="053278A8" w14:textId="77777777" w:rsidR="00A03520" w:rsidRPr="00A03520" w:rsidRDefault="00A03520" w:rsidP="002E6F27">
      <w:pPr>
        <w:pStyle w:val="a5"/>
        <w:numPr>
          <w:ilvl w:val="0"/>
          <w:numId w:val="32"/>
        </w:numPr>
        <w:bidi w:val="0"/>
        <w:spacing w:after="120" w:line="276" w:lineRule="auto"/>
        <w:rPr>
          <w:rFonts w:asciiTheme="majorBidi" w:hAnsiTheme="majorBidi" w:cstheme="majorBidi"/>
          <w:sz w:val="24"/>
          <w:szCs w:val="24"/>
        </w:rPr>
      </w:pPr>
      <w:r w:rsidRPr="00A03520">
        <w:rPr>
          <w:rFonts w:asciiTheme="majorBidi" w:hAnsiTheme="majorBidi" w:cstheme="majorBidi"/>
          <w:sz w:val="24"/>
          <w:szCs w:val="24"/>
        </w:rPr>
        <w:t>Pricing, Tenor, and Collateral Discipline</w:t>
      </w:r>
    </w:p>
    <w:p w14:paraId="7C4B7CA0" w14:textId="4FA0283B" w:rsidR="00A03520" w:rsidRPr="00A03520"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Bank for International Settlements (2013) makes discipline at origination measurable by requiring pricing and tenor to internalize expected loss, funding costs, and LCR/HQLA constraints before approval; when deals clear a RAROC hurdle that reflects these inputs, mispricing and liquidity misfit fall at the source. International Monetary Fund (2023) adds that in volatile regimes, latency between funding signals and structuring converts directly into loss-given-error, so disciplined pricing is not a spreadsheet virtue but a timing control</w:t>
      </w:r>
      <w:r w:rsidR="00B03C22">
        <w:rPr>
          <w:rFonts w:asciiTheme="majorBidi" w:hAnsiTheme="majorBidi" w:cstheme="majorBidi"/>
          <w:sz w:val="24"/>
          <w:szCs w:val="24"/>
        </w:rPr>
        <w:t>-</w:t>
      </w:r>
      <w:r w:rsidRPr="00A03520">
        <w:rPr>
          <w:rFonts w:asciiTheme="majorBidi" w:hAnsiTheme="majorBidi" w:cstheme="majorBidi"/>
          <w:sz w:val="24"/>
          <w:szCs w:val="24"/>
        </w:rPr>
        <w:t>the numbers must be current at the decision moment. Financial Stability Board (2023) ties this to seam design: time-boxed sign-offs and evidence-based overrides prevent “exception drift,” keeping tenor within preset ladders and forcing justification when structures deviate</w:t>
      </w:r>
      <w:r w:rsidRPr="00A03520">
        <w:rPr>
          <w:rFonts w:asciiTheme="majorBidi" w:hAnsiTheme="majorBidi" w:cstheme="majorBidi"/>
          <w:sz w:val="24"/>
          <w:szCs w:val="24"/>
          <w:rtl/>
        </w:rPr>
        <w:t>.</w:t>
      </w:r>
    </w:p>
    <w:p w14:paraId="76F8FDC8" w14:textId="60950523" w:rsidR="00A03520" w:rsidRPr="00A03520"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McKinsey &amp; Company (2020) cautions that volume-only incentives routinely neutralize this discipline</w:t>
      </w:r>
      <w:r w:rsidR="00B03C22">
        <w:rPr>
          <w:rFonts w:asciiTheme="majorBidi" w:hAnsiTheme="majorBidi" w:cstheme="majorBidi"/>
          <w:sz w:val="24"/>
          <w:szCs w:val="24"/>
        </w:rPr>
        <w:t>-</w:t>
      </w:r>
      <w:r w:rsidRPr="00A03520">
        <w:rPr>
          <w:rFonts w:asciiTheme="majorBidi" w:hAnsiTheme="majorBidi" w:cstheme="majorBidi"/>
          <w:sz w:val="24"/>
          <w:szCs w:val="24"/>
        </w:rPr>
        <w:t>frontlines chase nominal margin while externalizing liquidity and credit costs</w:t>
      </w:r>
      <w:r w:rsidR="00B03C22">
        <w:rPr>
          <w:rFonts w:asciiTheme="majorBidi" w:hAnsiTheme="majorBidi" w:cstheme="majorBidi"/>
          <w:sz w:val="24"/>
          <w:szCs w:val="24"/>
        </w:rPr>
        <w:t>-</w:t>
      </w:r>
      <w:r w:rsidRPr="00A03520">
        <w:rPr>
          <w:rFonts w:asciiTheme="majorBidi" w:hAnsiTheme="majorBidi" w:cstheme="majorBidi"/>
          <w:sz w:val="24"/>
          <w:szCs w:val="24"/>
        </w:rPr>
        <w:t>hence pricing and tenor rules must be KPI-coupled (RAROC-linked credit, caps on override frequency, delinquency feedback). Habel, Alavi, and Heinitz (2023) show that analytics change behavior only when embedded in workflow; pricing floors, funding add-ons, and tenor caps must appear as blocking conditions or next-best actions inside CRM/risk tools, not as after-the-fact dashboards. Lang, Peltonen, and Sarlin (2018) further demonstrate that cadenced reviews and covenant previews reduce false negatives, aligning deal design with early-warning realities</w:t>
      </w:r>
      <w:r w:rsidRPr="00A03520">
        <w:rPr>
          <w:rFonts w:asciiTheme="majorBidi" w:hAnsiTheme="majorBidi" w:cstheme="majorBidi"/>
          <w:sz w:val="24"/>
          <w:szCs w:val="24"/>
          <w:rtl/>
        </w:rPr>
        <w:t>.</w:t>
      </w:r>
    </w:p>
    <w:p w14:paraId="0A22ABC3" w14:textId="3C58FCFB" w:rsidR="002F27AA" w:rsidRPr="00B32051"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On collateral, BIS (2013) motivates haircut discipline, eligibility, and concentration limits as part of first-line structuring, so collateral doesn’t masquerade as risk-free capacity. Islamic Financial Services Board (2024) adds form–substance requirements</w:t>
      </w:r>
      <w:r w:rsidR="00B03C22">
        <w:rPr>
          <w:rFonts w:asciiTheme="majorBidi" w:hAnsiTheme="majorBidi" w:cstheme="majorBidi"/>
          <w:sz w:val="24"/>
          <w:szCs w:val="24"/>
        </w:rPr>
        <w:t>-</w:t>
      </w:r>
      <w:r w:rsidRPr="00A03520">
        <w:rPr>
          <w:rFonts w:asciiTheme="majorBidi" w:hAnsiTheme="majorBidi" w:cstheme="majorBidi"/>
          <w:sz w:val="24"/>
          <w:szCs w:val="24"/>
        </w:rPr>
        <w:t>clean title, possession/transfer, and profit recognition</w:t>
      </w:r>
      <w:r w:rsidR="00B03C22">
        <w:rPr>
          <w:rFonts w:asciiTheme="majorBidi" w:hAnsiTheme="majorBidi" w:cstheme="majorBidi"/>
          <w:sz w:val="24"/>
          <w:szCs w:val="24"/>
        </w:rPr>
        <w:t>-</w:t>
      </w:r>
      <w:r w:rsidRPr="00A03520">
        <w:rPr>
          <w:rFonts w:asciiTheme="majorBidi" w:hAnsiTheme="majorBidi" w:cstheme="majorBidi"/>
          <w:sz w:val="24"/>
          <w:szCs w:val="24"/>
        </w:rPr>
        <w:t>making collateral and security packages Shariah-sound by design rather than corrected later. Taken together, BIS (2013), IMF (2023), and FSB (2023) imply that disciplined pricing, tenor, and collateral are not isolated checks: they are the economic expression of earlier mechanisms</w:t>
      </w:r>
      <w:r w:rsidR="00B03C22">
        <w:rPr>
          <w:rFonts w:asciiTheme="majorBidi" w:hAnsiTheme="majorBidi" w:cstheme="majorBidi"/>
          <w:sz w:val="24"/>
          <w:szCs w:val="24"/>
        </w:rPr>
        <w:t>-</w:t>
      </w:r>
      <w:r w:rsidRPr="00A03520">
        <w:rPr>
          <w:rFonts w:asciiTheme="majorBidi" w:hAnsiTheme="majorBidi" w:cstheme="majorBidi"/>
          <w:sz w:val="24"/>
          <w:szCs w:val="24"/>
        </w:rPr>
        <w:t>co-visibility, KPI alignment, and RACI</w:t>
      </w:r>
      <w:r w:rsidR="00B03C22">
        <w:rPr>
          <w:rFonts w:asciiTheme="majorBidi" w:hAnsiTheme="majorBidi" w:cstheme="majorBidi"/>
          <w:sz w:val="24"/>
          <w:szCs w:val="24"/>
        </w:rPr>
        <w:t>-</w:t>
      </w:r>
      <w:r w:rsidRPr="00A03520">
        <w:rPr>
          <w:rFonts w:asciiTheme="majorBidi" w:hAnsiTheme="majorBidi" w:cstheme="majorBidi"/>
          <w:sz w:val="24"/>
          <w:szCs w:val="24"/>
        </w:rPr>
        <w:t>converting governance into risk-fit origination that will be reflected in lower overrides, stronger covenant performance, and ultimately a more stable NPL trajectory.</w:t>
      </w:r>
    </w:p>
    <w:p w14:paraId="7659480C" w14:textId="77777777" w:rsidR="00A03520" w:rsidRPr="005F7C6B" w:rsidRDefault="00A03520" w:rsidP="002E6F27">
      <w:pPr>
        <w:pStyle w:val="a5"/>
        <w:numPr>
          <w:ilvl w:val="0"/>
          <w:numId w:val="32"/>
        </w:numPr>
        <w:bidi w:val="0"/>
        <w:spacing w:after="120" w:line="276" w:lineRule="auto"/>
        <w:rPr>
          <w:rFonts w:asciiTheme="majorBidi" w:hAnsiTheme="majorBidi" w:cstheme="majorBidi"/>
          <w:sz w:val="24"/>
          <w:szCs w:val="24"/>
        </w:rPr>
      </w:pPr>
      <w:r w:rsidRPr="005F7C6B">
        <w:rPr>
          <w:rFonts w:asciiTheme="majorBidi" w:hAnsiTheme="majorBidi" w:cstheme="majorBidi"/>
          <w:sz w:val="24"/>
          <w:szCs w:val="24"/>
        </w:rPr>
        <w:t>Override Rates</w:t>
      </w:r>
    </w:p>
    <w:p w14:paraId="5A2DED4B" w14:textId="13F677D6" w:rsidR="00A03520" w:rsidRPr="00A03520"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 xml:space="preserve">Financial Stability Board (2023) treats overrides as a necessary </w:t>
      </w:r>
      <w:r w:rsidRPr="00A03520">
        <w:rPr>
          <w:rFonts w:asciiTheme="majorBidi" w:hAnsiTheme="majorBidi" w:cstheme="majorBidi"/>
          <w:i/>
          <w:iCs/>
          <w:sz w:val="24"/>
          <w:szCs w:val="24"/>
        </w:rPr>
        <w:t>safety valve</w:t>
      </w:r>
      <w:r w:rsidRPr="00A03520">
        <w:rPr>
          <w:rFonts w:asciiTheme="majorBidi" w:hAnsiTheme="majorBidi" w:cstheme="majorBidi"/>
          <w:sz w:val="24"/>
          <w:szCs w:val="24"/>
        </w:rPr>
        <w:t xml:space="preserve"> that should be evidence-based, time-boxed, and scarce; when frequency climbs or documentation thins, it signals a seam failure</w:t>
      </w:r>
      <w:r w:rsidR="00B03C22">
        <w:rPr>
          <w:rFonts w:asciiTheme="majorBidi" w:hAnsiTheme="majorBidi" w:cstheme="majorBidi"/>
          <w:sz w:val="24"/>
          <w:szCs w:val="24"/>
        </w:rPr>
        <w:t>-</w:t>
      </w:r>
      <w:r w:rsidRPr="00A03520">
        <w:rPr>
          <w:rFonts w:asciiTheme="majorBidi" w:hAnsiTheme="majorBidi" w:cstheme="majorBidi"/>
          <w:sz w:val="24"/>
          <w:szCs w:val="24"/>
        </w:rPr>
        <w:t>either thresholds are mis-specified or AM–Sales incentives are pulling against prudential aims. International Monetary Fund (2023) adds that in volatile regimes, lenient overrides monetize into selection and pricing errors, so governance must require that each exception cites the breached metric, supporting analysis, and an escalation clock, converting discretion into accountable decisions. Bank for International Settlements (2013) makes the prudential core explicit: overrides that ignore LCR/HQLA and funding-cost constraints embed liquidity misfit at origination; therefore, exception approval must show how pricing/tenor or collateral re-internalize those costs ex-ante.</w:t>
      </w:r>
    </w:p>
    <w:p w14:paraId="2EF536AE" w14:textId="7B216EA5" w:rsidR="00A03520" w:rsidRPr="00A03520"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 xml:space="preserve">McKinsey &amp; Company (2020) argues that volume-biased KPIs inflate override rates by rewarding speed and booked balances; coupling overrides to RAROC-linked costs/caps and post-booking feedback reduces exception drift, aligning behavior with risk-adjusted value. Lang, Peltonen, and Sarlin (2018) show that when early-warning reviews feed committees on a fixed cadence, the </w:t>
      </w:r>
      <w:r w:rsidRPr="00A03520">
        <w:rPr>
          <w:rFonts w:asciiTheme="majorBidi" w:hAnsiTheme="majorBidi" w:cstheme="majorBidi"/>
          <w:i/>
          <w:iCs/>
          <w:sz w:val="24"/>
          <w:szCs w:val="24"/>
        </w:rPr>
        <w:t>need</w:t>
      </w:r>
      <w:r w:rsidRPr="00A03520">
        <w:rPr>
          <w:rFonts w:asciiTheme="majorBidi" w:hAnsiTheme="majorBidi" w:cstheme="majorBidi"/>
          <w:sz w:val="24"/>
          <w:szCs w:val="24"/>
        </w:rPr>
        <w:t xml:space="preserve"> for last-minute overrides falls because weak signals are addressed upstream. Oet, Bianco, Gramlich, and Ong (2013) caution that poor data lineage creates fake scarcity or noise</w:t>
      </w:r>
      <w:r w:rsidR="00B03C22">
        <w:rPr>
          <w:rFonts w:asciiTheme="majorBidi" w:hAnsiTheme="majorBidi" w:cstheme="majorBidi"/>
          <w:sz w:val="24"/>
          <w:szCs w:val="24"/>
        </w:rPr>
        <w:t>-</w:t>
      </w:r>
      <w:r w:rsidRPr="00A03520">
        <w:rPr>
          <w:rFonts w:asciiTheme="majorBidi" w:hAnsiTheme="majorBidi" w:cstheme="majorBidi"/>
          <w:sz w:val="24"/>
          <w:szCs w:val="24"/>
        </w:rPr>
        <w:t>if inputs are stale or incomparable, both approvals and overrides degrade</w:t>
      </w:r>
      <w:r w:rsidR="00B03C22">
        <w:rPr>
          <w:rFonts w:asciiTheme="majorBidi" w:hAnsiTheme="majorBidi" w:cstheme="majorBidi"/>
          <w:sz w:val="24"/>
          <w:szCs w:val="24"/>
        </w:rPr>
        <w:t>-</w:t>
      </w:r>
      <w:r w:rsidRPr="00A03520">
        <w:rPr>
          <w:rFonts w:asciiTheme="majorBidi" w:hAnsiTheme="majorBidi" w:cstheme="majorBidi"/>
          <w:sz w:val="24"/>
          <w:szCs w:val="24"/>
        </w:rPr>
        <w:t>so lineage tags and shared dashboards are prerequisites for credible exception adjudication.</w:t>
      </w:r>
    </w:p>
    <w:p w14:paraId="103F8249" w14:textId="77777777" w:rsidR="00A03520" w:rsidRPr="00A03520"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In Islamic settings, Islamic Financial Services Board (2024) notes that Shariah-form exceptions (e.g., asset-evidence gaps, possession/transfer timing, profit recognition) are not mere legalities; late fixes become credit/operational losses if form–substance alignment is broken, so Shariah-related overrides must run on RACI-owned timers with explicit evidence packs. The U.S. supervisors’ joint statement (2024) adds third-party accountability: where KYC/scoring/cloud rails are integral, exception files should document vendor SLA status and failover adequacy at the decision moment.</w:t>
      </w:r>
    </w:p>
    <w:p w14:paraId="67CE7C4C" w14:textId="77777777" w:rsidR="005F7C6B" w:rsidRDefault="00A03520" w:rsidP="00A03520">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How to measure in this study. Following FSB (2023) and BIS (2013), the instrument will track</w:t>
      </w:r>
    </w:p>
    <w:p w14:paraId="7CD55F25" w14:textId="3C22DC42" w:rsidR="005F7C6B" w:rsidRPr="005F7C6B" w:rsidRDefault="00A03520" w:rsidP="002E6F27">
      <w:pPr>
        <w:pStyle w:val="a5"/>
        <w:numPr>
          <w:ilvl w:val="0"/>
          <w:numId w:val="34"/>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override frequency per 100 proposals and by severity (pricing</w:t>
      </w:r>
      <w:r w:rsidR="005F7C6B">
        <w:rPr>
          <w:rFonts w:asciiTheme="majorBidi" w:hAnsiTheme="majorBidi" w:cstheme="majorBidi"/>
          <w:sz w:val="24"/>
          <w:szCs w:val="24"/>
        </w:rPr>
        <w:t xml:space="preserve"> </w:t>
      </w:r>
      <w:r w:rsidRPr="005F7C6B">
        <w:rPr>
          <w:rFonts w:asciiTheme="majorBidi" w:hAnsiTheme="majorBidi" w:cstheme="majorBidi"/>
          <w:sz w:val="24"/>
          <w:szCs w:val="24"/>
        </w:rPr>
        <w:t>/</w:t>
      </w:r>
      <w:r w:rsidR="005F7C6B">
        <w:rPr>
          <w:rFonts w:asciiTheme="majorBidi" w:hAnsiTheme="majorBidi" w:cstheme="majorBidi"/>
          <w:sz w:val="24"/>
          <w:szCs w:val="24"/>
        </w:rPr>
        <w:t xml:space="preserve"> </w:t>
      </w:r>
      <w:r w:rsidRPr="005F7C6B">
        <w:rPr>
          <w:rFonts w:asciiTheme="majorBidi" w:hAnsiTheme="majorBidi" w:cstheme="majorBidi"/>
          <w:sz w:val="24"/>
          <w:szCs w:val="24"/>
        </w:rPr>
        <w:t>tenor</w:t>
      </w:r>
      <w:r w:rsidR="005F7C6B">
        <w:rPr>
          <w:rFonts w:asciiTheme="majorBidi" w:hAnsiTheme="majorBidi" w:cstheme="majorBidi"/>
          <w:sz w:val="24"/>
          <w:szCs w:val="24"/>
        </w:rPr>
        <w:t xml:space="preserve"> </w:t>
      </w:r>
      <w:r w:rsidRPr="005F7C6B">
        <w:rPr>
          <w:rFonts w:asciiTheme="majorBidi" w:hAnsiTheme="majorBidi" w:cstheme="majorBidi"/>
          <w:sz w:val="24"/>
          <w:szCs w:val="24"/>
        </w:rPr>
        <w:t>/</w:t>
      </w:r>
      <w:r w:rsidR="005F7C6B">
        <w:rPr>
          <w:rFonts w:asciiTheme="majorBidi" w:hAnsiTheme="majorBidi" w:cstheme="majorBidi"/>
          <w:sz w:val="24"/>
          <w:szCs w:val="24"/>
        </w:rPr>
        <w:t xml:space="preserve"> </w:t>
      </w:r>
      <w:r w:rsidRPr="005F7C6B">
        <w:rPr>
          <w:rFonts w:asciiTheme="majorBidi" w:hAnsiTheme="majorBidi" w:cstheme="majorBidi"/>
          <w:sz w:val="24"/>
          <w:szCs w:val="24"/>
        </w:rPr>
        <w:t>collateral</w:t>
      </w:r>
      <w:r w:rsidR="005F7C6B">
        <w:rPr>
          <w:rFonts w:asciiTheme="majorBidi" w:hAnsiTheme="majorBidi" w:cstheme="majorBidi"/>
          <w:sz w:val="24"/>
          <w:szCs w:val="24"/>
        </w:rPr>
        <w:t xml:space="preserve"> </w:t>
      </w:r>
      <w:r w:rsidRPr="005F7C6B">
        <w:rPr>
          <w:rFonts w:asciiTheme="majorBidi" w:hAnsiTheme="majorBidi" w:cstheme="majorBidi"/>
          <w:sz w:val="24"/>
          <w:szCs w:val="24"/>
        </w:rPr>
        <w:t>/</w:t>
      </w:r>
      <w:r w:rsidR="005F7C6B">
        <w:rPr>
          <w:rFonts w:asciiTheme="majorBidi" w:hAnsiTheme="majorBidi" w:cstheme="majorBidi"/>
          <w:sz w:val="24"/>
          <w:szCs w:val="24"/>
        </w:rPr>
        <w:t xml:space="preserve"> </w:t>
      </w:r>
      <w:r w:rsidRPr="005F7C6B">
        <w:rPr>
          <w:rFonts w:asciiTheme="majorBidi" w:hAnsiTheme="majorBidi" w:cstheme="majorBidi"/>
          <w:sz w:val="24"/>
          <w:szCs w:val="24"/>
        </w:rPr>
        <w:t xml:space="preserve">Shariah), </w:t>
      </w:r>
    </w:p>
    <w:p w14:paraId="701E1764" w14:textId="77777777" w:rsidR="005F7C6B" w:rsidRPr="005F7C6B" w:rsidRDefault="00A03520" w:rsidP="002E6F27">
      <w:pPr>
        <w:pStyle w:val="a5"/>
        <w:numPr>
          <w:ilvl w:val="0"/>
          <w:numId w:val="34"/>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 xml:space="preserve">direction (leniency vs tightening), </w:t>
      </w:r>
    </w:p>
    <w:p w14:paraId="7F9EE4AC" w14:textId="77777777" w:rsidR="005F7C6B" w:rsidRPr="005F7C6B" w:rsidRDefault="00A03520" w:rsidP="002E6F27">
      <w:pPr>
        <w:pStyle w:val="a5"/>
        <w:numPr>
          <w:ilvl w:val="0"/>
          <w:numId w:val="34"/>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 xml:space="preserve">cycle time from request to decision (SLA adherence), </w:t>
      </w:r>
    </w:p>
    <w:p w14:paraId="368DA1A2" w14:textId="77777777" w:rsidR="005F7C6B" w:rsidRPr="005F7C6B" w:rsidRDefault="00A03520" w:rsidP="002E6F27">
      <w:pPr>
        <w:pStyle w:val="a5"/>
        <w:numPr>
          <w:ilvl w:val="0"/>
          <w:numId w:val="34"/>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evidence completeness (presence of lineage-tagged inputs and breached-metric citation)</w:t>
      </w:r>
      <w:r w:rsidR="005F7C6B" w:rsidRPr="005F7C6B">
        <w:rPr>
          <w:rFonts w:asciiTheme="majorBidi" w:hAnsiTheme="majorBidi" w:cstheme="majorBidi"/>
          <w:sz w:val="24"/>
          <w:szCs w:val="24"/>
        </w:rPr>
        <w:t>.</w:t>
      </w:r>
    </w:p>
    <w:p w14:paraId="5788314B" w14:textId="759D81E8" w:rsidR="005F7C6B" w:rsidRPr="005F7C6B" w:rsidRDefault="00A03520" w:rsidP="002E6F27">
      <w:pPr>
        <w:pStyle w:val="a5"/>
        <w:numPr>
          <w:ilvl w:val="0"/>
          <w:numId w:val="34"/>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 xml:space="preserve">post-override outcomes (RAROC slippage, early arrears, covenant breaches). </w:t>
      </w:r>
    </w:p>
    <w:p w14:paraId="6F75F286" w14:textId="0DB7997E" w:rsidR="00A03520" w:rsidRPr="00A03520" w:rsidRDefault="00A03520" w:rsidP="005F7C6B">
      <w:pPr>
        <w:bidi w:val="0"/>
        <w:spacing w:after="120" w:line="276" w:lineRule="auto"/>
        <w:ind w:firstLine="284"/>
        <w:jc w:val="both"/>
        <w:rPr>
          <w:rFonts w:asciiTheme="majorBidi" w:hAnsiTheme="majorBidi" w:cstheme="majorBidi"/>
          <w:sz w:val="24"/>
          <w:szCs w:val="24"/>
        </w:rPr>
      </w:pPr>
      <w:r w:rsidRPr="00A03520">
        <w:rPr>
          <w:rFonts w:asciiTheme="majorBidi" w:hAnsiTheme="majorBidi" w:cstheme="majorBidi"/>
          <w:sz w:val="24"/>
          <w:szCs w:val="24"/>
        </w:rPr>
        <w:t>IMF (2023) motivates segment-level stress splits, while McKinsey &amp; Company (2020) justifies linking override incidence to KPI design (caps/chargebacks). Designed this way, override rates become a diagnostic bridge to the next subsection on Covenant Performance, where exception quality (not just count) is revealed in downstream behavior of the same deals.</w:t>
      </w:r>
    </w:p>
    <w:p w14:paraId="7513CCD5" w14:textId="77777777" w:rsidR="005F7C6B" w:rsidRPr="005F7C6B" w:rsidRDefault="005F7C6B" w:rsidP="002E6F27">
      <w:pPr>
        <w:pStyle w:val="a5"/>
        <w:numPr>
          <w:ilvl w:val="0"/>
          <w:numId w:val="32"/>
        </w:numPr>
        <w:bidi w:val="0"/>
        <w:spacing w:after="120" w:line="276" w:lineRule="auto"/>
        <w:rPr>
          <w:rFonts w:asciiTheme="majorBidi" w:hAnsiTheme="majorBidi" w:cstheme="majorBidi"/>
          <w:sz w:val="24"/>
          <w:szCs w:val="24"/>
        </w:rPr>
      </w:pPr>
      <w:r w:rsidRPr="005F7C6B">
        <w:rPr>
          <w:rFonts w:asciiTheme="majorBidi" w:hAnsiTheme="majorBidi" w:cstheme="majorBidi"/>
          <w:sz w:val="24"/>
          <w:szCs w:val="24"/>
        </w:rPr>
        <w:t>Covenant Performance</w:t>
      </w:r>
    </w:p>
    <w:p w14:paraId="13A6082F" w14:textId="44E590E8"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Bank for International Settlements (2013) treats covenants as the ex-ante translation of prudential aims into borrower behavior, so performance is strong when covenant sets are material, monitorable, and time-bounded</w:t>
      </w:r>
      <w:r w:rsidR="00B03C22">
        <w:rPr>
          <w:rFonts w:asciiTheme="majorBidi" w:hAnsiTheme="majorBidi" w:cstheme="majorBidi"/>
          <w:sz w:val="24"/>
          <w:szCs w:val="24"/>
        </w:rPr>
        <w:t>-</w:t>
      </w:r>
      <w:r w:rsidRPr="005F7C6B">
        <w:rPr>
          <w:rFonts w:asciiTheme="majorBidi" w:hAnsiTheme="majorBidi" w:cstheme="majorBidi"/>
          <w:sz w:val="24"/>
          <w:szCs w:val="24"/>
        </w:rPr>
        <w:t>for example, liquidity buffers, leverage caps, borrowing-base tests, and information undertakings that align tenor and pricing with the bank’s LCR and funding realities at origination. International Monetary Fund (2023) adds that in volatile regimes, covenants are a timing control: they must refresh on a fixed rhythm so deteriorating cash-flows or basis shocks convert into automatic actions</w:t>
      </w:r>
      <w:r w:rsidR="00B03C22">
        <w:rPr>
          <w:rFonts w:asciiTheme="majorBidi" w:hAnsiTheme="majorBidi" w:cstheme="majorBidi"/>
          <w:sz w:val="24"/>
          <w:szCs w:val="24"/>
        </w:rPr>
        <w:t>-</w:t>
      </w:r>
      <w:r w:rsidRPr="005F7C6B">
        <w:rPr>
          <w:rFonts w:asciiTheme="majorBidi" w:hAnsiTheme="majorBidi" w:cstheme="majorBidi"/>
          <w:sz w:val="24"/>
          <w:szCs w:val="24"/>
        </w:rPr>
        <w:t>step-ups, collateral top-ups, or pause rights</w:t>
      </w:r>
      <w:r w:rsidR="00B03C22">
        <w:rPr>
          <w:rFonts w:asciiTheme="majorBidi" w:hAnsiTheme="majorBidi" w:cstheme="majorBidi"/>
          <w:sz w:val="24"/>
          <w:szCs w:val="24"/>
        </w:rPr>
        <w:t>-</w:t>
      </w:r>
      <w:r w:rsidRPr="005F7C6B">
        <w:rPr>
          <w:rFonts w:asciiTheme="majorBidi" w:hAnsiTheme="majorBidi" w:cstheme="majorBidi"/>
          <w:sz w:val="24"/>
          <w:szCs w:val="24"/>
        </w:rPr>
        <w:t>before losses compound.</w:t>
      </w:r>
    </w:p>
    <w:p w14:paraId="6394AFD7" w14:textId="737F39D1"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Financial Stability Board (2023) argues that covenant effectiveness lives at the seam design: named owners, decision logs, and escalation clocks are required so exceptions do not drift into tacit waivers. KPMG (2025) translates this into work design</w:t>
      </w:r>
      <w:r w:rsidR="00B03C22">
        <w:rPr>
          <w:rFonts w:asciiTheme="majorBidi" w:hAnsiTheme="majorBidi" w:cstheme="majorBidi"/>
          <w:sz w:val="24"/>
          <w:szCs w:val="24"/>
        </w:rPr>
        <w:t>-</w:t>
      </w:r>
      <w:r w:rsidRPr="005F7C6B">
        <w:rPr>
          <w:rFonts w:asciiTheme="majorBidi" w:hAnsiTheme="majorBidi" w:cstheme="majorBidi"/>
          <w:sz w:val="24"/>
          <w:szCs w:val="24"/>
        </w:rPr>
        <w:t>who tests which covenant, with what evidence, and by when</w:t>
      </w:r>
      <w:r w:rsidR="00B03C22">
        <w:rPr>
          <w:rFonts w:asciiTheme="majorBidi" w:hAnsiTheme="majorBidi" w:cstheme="majorBidi"/>
          <w:sz w:val="24"/>
          <w:szCs w:val="24"/>
        </w:rPr>
        <w:t>-</w:t>
      </w:r>
      <w:r w:rsidRPr="005F7C6B">
        <w:rPr>
          <w:rFonts w:asciiTheme="majorBidi" w:hAnsiTheme="majorBidi" w:cstheme="majorBidi"/>
          <w:sz w:val="24"/>
          <w:szCs w:val="24"/>
        </w:rPr>
        <w:t>so results trigger pre-agreed pathways rather than ad-hoc renegotiation. Lang, Peltonen, and Sarlin (2018) show that cadenced early-warning reviews lower false negatives when covenant breaches are routed to fixed committees with pre-set actions, while Oet, Bianco, Gramlich, and Ong (2013) caution that weak data lineage yields noisy ratios and inconsistent trend calls; lineage-tagged inputs are therefore part of covenant quality, not back-office detail.</w:t>
      </w:r>
    </w:p>
    <w:p w14:paraId="5A2AB0DB" w14:textId="77777777"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McKinsey &amp; Company (2020) warns that volume-biased KPIs blunt covenant discipline: if relationship teams are paid on outstanding balances, breaches become bargaining chips rather than triggers. The remedy, McKinsey &amp; Company (2020) suggests, is to couple RAROC-linked targets with override costs and breach-to-action SLAs, so acting on a breach is rewarded and delaying it is not. Habel, Alavi, and Heinitz (2023) add that analytics change behavior only when embedded; covenant status and “next-best action” must live inside CRM workflows with accountable owners and deadlines, or monitoring devolves into email threads.</w:t>
      </w:r>
    </w:p>
    <w:p w14:paraId="32CFB506" w14:textId="77777777"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In Islamic settings, Islamic Financial Services Board (2024) notes that covenant design must respect form–substance: for murabaha, ijara, and musharaka, undertakings about asset evidence, possession/transfer, and profit recognition are core covenants whose breach can create credit and operational losses if treated as mere documentation gaps. Van Greuning and Iqbal (2008) underline that weak alignment on these points often surfaces as payment frictions and enforcement challenges, making upstream clarity a financial control rather than a legal nicety.</w:t>
      </w:r>
    </w:p>
    <w:p w14:paraId="62EC408F" w14:textId="77777777" w:rsid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What this implies for measurement. Following BIS (2013) and FSB (2023), this study will observe covenant performance through:</w:t>
      </w:r>
    </w:p>
    <w:p w14:paraId="6D16628B" w14:textId="77777777" w:rsidR="005F7C6B" w:rsidRPr="005F7C6B" w:rsidRDefault="005F7C6B" w:rsidP="002E6F27">
      <w:pPr>
        <w:pStyle w:val="a5"/>
        <w:numPr>
          <w:ilvl w:val="0"/>
          <w:numId w:val="35"/>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breach incidence by type (financial ratio, information, collateral, Shariah-form).</w:t>
      </w:r>
    </w:p>
    <w:p w14:paraId="549EE5A0" w14:textId="229945C5" w:rsidR="005F7C6B" w:rsidRPr="005F7C6B" w:rsidRDefault="005F7C6B" w:rsidP="002E6F27">
      <w:pPr>
        <w:pStyle w:val="a5"/>
        <w:numPr>
          <w:ilvl w:val="0"/>
          <w:numId w:val="35"/>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breach-to-action latency against SLA clocks.</w:t>
      </w:r>
    </w:p>
    <w:p w14:paraId="5BEAB23B" w14:textId="77777777" w:rsidR="005F7C6B" w:rsidRPr="005F7C6B" w:rsidRDefault="005F7C6B" w:rsidP="002E6F27">
      <w:pPr>
        <w:pStyle w:val="a5"/>
        <w:numPr>
          <w:ilvl w:val="0"/>
          <w:numId w:val="35"/>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action quality (step-ups, collateral cures, restructures) relative to policy playbooks.</w:t>
      </w:r>
    </w:p>
    <w:p w14:paraId="0419E564" w14:textId="1266412A" w:rsidR="005F7C6B" w:rsidRPr="005F7C6B" w:rsidRDefault="005F7C6B" w:rsidP="002E6F27">
      <w:pPr>
        <w:pStyle w:val="a5"/>
        <w:numPr>
          <w:ilvl w:val="0"/>
          <w:numId w:val="35"/>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override share in covenant management.</w:t>
      </w:r>
    </w:p>
    <w:p w14:paraId="2718133D" w14:textId="77777777" w:rsidR="005F7C6B" w:rsidRPr="005F7C6B" w:rsidRDefault="005F7C6B" w:rsidP="002E6F27">
      <w:pPr>
        <w:pStyle w:val="a5"/>
        <w:numPr>
          <w:ilvl w:val="0"/>
          <w:numId w:val="35"/>
        </w:numPr>
        <w:bidi w:val="0"/>
        <w:spacing w:after="120" w:line="276" w:lineRule="auto"/>
        <w:jc w:val="both"/>
        <w:rPr>
          <w:rFonts w:asciiTheme="majorBidi" w:hAnsiTheme="majorBidi" w:cstheme="majorBidi"/>
          <w:sz w:val="24"/>
          <w:szCs w:val="24"/>
        </w:rPr>
      </w:pPr>
      <w:r w:rsidRPr="005F7C6B">
        <w:rPr>
          <w:rFonts w:asciiTheme="majorBidi" w:hAnsiTheme="majorBidi" w:cstheme="majorBidi"/>
          <w:sz w:val="24"/>
          <w:szCs w:val="24"/>
        </w:rPr>
        <w:t xml:space="preserve">downstream outcomes (early arrears, roll rates, NPL migration). </w:t>
      </w:r>
    </w:p>
    <w:p w14:paraId="65607D7F" w14:textId="684FE3FD"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IMF (2023) motivates stress-regime splits, while KPMG (2025) justifies attributing outcomes to named owners. By tying covenant behavior to timers, evidence, and incentives, the section links directly to the final piece</w:t>
      </w:r>
      <w:r w:rsidR="00B03C22">
        <w:rPr>
          <w:rFonts w:asciiTheme="majorBidi" w:hAnsiTheme="majorBidi" w:cstheme="majorBidi"/>
          <w:sz w:val="24"/>
          <w:szCs w:val="24"/>
        </w:rPr>
        <w:t>-</w:t>
      </w:r>
      <w:r w:rsidRPr="005F7C6B">
        <w:rPr>
          <w:rFonts w:asciiTheme="majorBidi" w:hAnsiTheme="majorBidi" w:cstheme="majorBidi"/>
          <w:sz w:val="24"/>
          <w:szCs w:val="24"/>
        </w:rPr>
        <w:t>NPL dynamics</w:t>
      </w:r>
      <w:r w:rsidR="00B03C22">
        <w:rPr>
          <w:rFonts w:asciiTheme="majorBidi" w:hAnsiTheme="majorBidi" w:cstheme="majorBidi"/>
          <w:sz w:val="24"/>
          <w:szCs w:val="24"/>
        </w:rPr>
        <w:t>-</w:t>
      </w:r>
      <w:r w:rsidRPr="005F7C6B">
        <w:rPr>
          <w:rFonts w:asciiTheme="majorBidi" w:hAnsiTheme="majorBidi" w:cstheme="majorBidi"/>
          <w:sz w:val="24"/>
          <w:szCs w:val="24"/>
        </w:rPr>
        <w:t>where sustained discipline at pricing, overrides, and covenants should manifest as a flatter loss curve over the portfolio’s life.</w:t>
      </w:r>
    </w:p>
    <w:p w14:paraId="3CD55C75" w14:textId="77777777" w:rsidR="005F7C6B" w:rsidRPr="005F7C6B" w:rsidRDefault="005F7C6B" w:rsidP="002E6F27">
      <w:pPr>
        <w:pStyle w:val="a5"/>
        <w:numPr>
          <w:ilvl w:val="0"/>
          <w:numId w:val="32"/>
        </w:numPr>
        <w:bidi w:val="0"/>
        <w:spacing w:after="120" w:line="276" w:lineRule="auto"/>
        <w:rPr>
          <w:rFonts w:asciiTheme="majorBidi" w:hAnsiTheme="majorBidi" w:cstheme="majorBidi"/>
          <w:sz w:val="24"/>
          <w:szCs w:val="24"/>
        </w:rPr>
      </w:pPr>
      <w:r w:rsidRPr="005F7C6B">
        <w:rPr>
          <w:rFonts w:asciiTheme="majorBidi" w:hAnsiTheme="majorBidi" w:cstheme="majorBidi"/>
          <w:sz w:val="24"/>
          <w:szCs w:val="24"/>
        </w:rPr>
        <w:t>Non-Performing Loan (NPL) Dynamics</w:t>
      </w:r>
    </w:p>
    <w:p w14:paraId="6048D190" w14:textId="1369003F"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International Monetary Fund (2023) frames NPLs as the cumulative expression of upstream execution quality, noting that default is rarely a shock; it is the end-state of small mis-specifications at origination</w:t>
      </w:r>
      <w:r w:rsidR="00B03C22">
        <w:rPr>
          <w:rFonts w:asciiTheme="majorBidi" w:hAnsiTheme="majorBidi" w:cstheme="majorBidi"/>
          <w:sz w:val="24"/>
          <w:szCs w:val="24"/>
        </w:rPr>
        <w:t>-</w:t>
      </w:r>
      <w:r w:rsidRPr="005F7C6B">
        <w:rPr>
          <w:rFonts w:asciiTheme="majorBidi" w:hAnsiTheme="majorBidi" w:cstheme="majorBidi"/>
          <w:sz w:val="24"/>
          <w:szCs w:val="24"/>
        </w:rPr>
        <w:t>pricing delays, weak KYC/EDD, thin covenants</w:t>
      </w:r>
      <w:r w:rsidR="00B03C22">
        <w:rPr>
          <w:rFonts w:asciiTheme="majorBidi" w:hAnsiTheme="majorBidi" w:cstheme="majorBidi"/>
          <w:sz w:val="24"/>
          <w:szCs w:val="24"/>
        </w:rPr>
        <w:t>-</w:t>
      </w:r>
      <w:r w:rsidRPr="005F7C6B">
        <w:rPr>
          <w:rFonts w:asciiTheme="majorBidi" w:hAnsiTheme="majorBidi" w:cstheme="majorBidi"/>
          <w:sz w:val="24"/>
          <w:szCs w:val="24"/>
        </w:rPr>
        <w:t>that compound under volatility. Bank for International Settlements (2013) makes the liquidity channel explicit: when LCR/HQLA and funding costs are not internalized at approval, deals embed fragile cash-flow assumptions; as funding conditions tighten, marginal borrowers migrate faster toward delinquency, steepening vintage curves. Financial Stability Board (2023) adds a seam-first mechanism: high override frequency, slow escalation clocks, and poor decision logs correlate with longer breach-to-action latency, which raises transition rates from early arrears to NPL rather than to cure.</w:t>
      </w:r>
    </w:p>
    <w:p w14:paraId="649C7214" w14:textId="04F05F2D"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Lang, Peltonen, and Sarlin (2018) show that fixed early-warning cadences with named owners flatten roll rates by converting weak signals into scheduled actions; in cohorts where EWS reviews are irregular, the same signals arrive too late, and roll-forward to 90-days-past-due accelerates. Habel, Alavi, and Heinitz (2023) emphasize embeddedness: analytics reduce NPLs only when next-best-actions live in frontline workflows; when alerts remain on dashboards, insight–action gaps persist and defaults rise. McKinsey &amp; Company (2020) warns that volume-biased KPIs dilute remedial action</w:t>
      </w:r>
      <w:r w:rsidR="00B03C22">
        <w:rPr>
          <w:rFonts w:asciiTheme="majorBidi" w:hAnsiTheme="majorBidi" w:cstheme="majorBidi"/>
          <w:sz w:val="24"/>
          <w:szCs w:val="24"/>
        </w:rPr>
        <w:t>-</w:t>
      </w:r>
      <w:r w:rsidRPr="005F7C6B">
        <w:rPr>
          <w:rFonts w:asciiTheme="majorBidi" w:hAnsiTheme="majorBidi" w:cstheme="majorBidi"/>
          <w:sz w:val="24"/>
          <w:szCs w:val="24"/>
        </w:rPr>
        <w:t>teams defer restructures to protect balances</w:t>
      </w:r>
      <w:r w:rsidR="00B03C22">
        <w:rPr>
          <w:rFonts w:asciiTheme="majorBidi" w:hAnsiTheme="majorBidi" w:cstheme="majorBidi"/>
          <w:sz w:val="24"/>
          <w:szCs w:val="24"/>
        </w:rPr>
        <w:t>-</w:t>
      </w:r>
      <w:r w:rsidRPr="005F7C6B">
        <w:rPr>
          <w:rFonts w:asciiTheme="majorBidi" w:hAnsiTheme="majorBidi" w:cstheme="majorBidi"/>
          <w:sz w:val="24"/>
          <w:szCs w:val="24"/>
        </w:rPr>
        <w:t>so portfolios show fatter right tails in loss distributions even when average PDs look stable.</w:t>
      </w:r>
    </w:p>
    <w:p w14:paraId="60D15144" w14:textId="1D63B809" w:rsidR="005F7C6B" w:rsidRP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KPMG (2025) offers the governance remedy: RACI ownership, thresholds, and SLAs shorten the time from breach to decision, raising cure rates and lowering loss-given-error. Oet, Bianco, Gramlich, and Ong (2013) add that lineage-verified aggregation prevents both false negatives and false positives in watch-list construction; when sources and refresh cycles are opaque, remediation chases noise while real risk ages into default. In Islamic contexts, Islamic Financial Services Board (2024) and van Greuning and Iqbal (2008) show how form–substance defects</w:t>
      </w:r>
      <w:r w:rsidR="00B03C22">
        <w:rPr>
          <w:rFonts w:asciiTheme="majorBidi" w:hAnsiTheme="majorBidi" w:cstheme="majorBidi"/>
          <w:sz w:val="24"/>
          <w:szCs w:val="24"/>
        </w:rPr>
        <w:t>-</w:t>
      </w:r>
      <w:r w:rsidRPr="005F7C6B">
        <w:rPr>
          <w:rFonts w:asciiTheme="majorBidi" w:hAnsiTheme="majorBidi" w:cstheme="majorBidi"/>
          <w:sz w:val="24"/>
          <w:szCs w:val="24"/>
        </w:rPr>
        <w:t>unclear asset evidence, possession/transfer gaps, or profit-recognition errors</w:t>
      </w:r>
      <w:r w:rsidR="00B03C22">
        <w:rPr>
          <w:rFonts w:asciiTheme="majorBidi" w:hAnsiTheme="majorBidi" w:cstheme="majorBidi"/>
          <w:sz w:val="24"/>
          <w:szCs w:val="24"/>
        </w:rPr>
        <w:t>-</w:t>
      </w:r>
      <w:r w:rsidRPr="005F7C6B">
        <w:rPr>
          <w:rFonts w:asciiTheme="majorBidi" w:hAnsiTheme="majorBidi" w:cstheme="majorBidi"/>
          <w:sz w:val="24"/>
          <w:szCs w:val="24"/>
        </w:rPr>
        <w:t>translate into operational frictions that hinder enforcement and increase default persistence, making upstream Shariah checkpoints economically material, not merely legal.</w:t>
      </w:r>
    </w:p>
    <w:p w14:paraId="489B213F" w14:textId="77777777" w:rsidR="005F7C6B" w:rsidRDefault="005F7C6B" w:rsidP="005F7C6B">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What this implies for measurement. BIS (2013) and IMF (2023) motivate a vintage/hazard view: track 12–24-month cohort curves from booking, with roll rates (30→60→90 DPD), cure fractions, and time-to-default by</w:t>
      </w:r>
      <w:r>
        <w:rPr>
          <w:rFonts w:asciiTheme="majorBidi" w:hAnsiTheme="majorBidi" w:cstheme="majorBidi"/>
          <w:sz w:val="24"/>
          <w:szCs w:val="24"/>
        </w:rPr>
        <w:t>:</w:t>
      </w:r>
    </w:p>
    <w:p w14:paraId="76FA167C" w14:textId="77777777" w:rsidR="00370164" w:rsidRPr="00370164" w:rsidRDefault="005F7C6B" w:rsidP="002E6F27">
      <w:pPr>
        <w:pStyle w:val="a5"/>
        <w:numPr>
          <w:ilvl w:val="0"/>
          <w:numId w:val="28"/>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override status</w:t>
      </w:r>
      <w:r w:rsidR="00370164" w:rsidRPr="00370164">
        <w:rPr>
          <w:rFonts w:asciiTheme="majorBidi" w:hAnsiTheme="majorBidi" w:cstheme="majorBidi"/>
          <w:sz w:val="24"/>
          <w:szCs w:val="24"/>
        </w:rPr>
        <w:t>.</w:t>
      </w:r>
    </w:p>
    <w:p w14:paraId="0AD33707" w14:textId="6027EE9E" w:rsidR="00370164" w:rsidRPr="00370164" w:rsidRDefault="005F7C6B" w:rsidP="002E6F27">
      <w:pPr>
        <w:pStyle w:val="a5"/>
        <w:numPr>
          <w:ilvl w:val="0"/>
          <w:numId w:val="28"/>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EWS cadence adherence</w:t>
      </w:r>
      <w:r w:rsidR="00370164" w:rsidRPr="00370164">
        <w:rPr>
          <w:rFonts w:asciiTheme="majorBidi" w:hAnsiTheme="majorBidi" w:cstheme="majorBidi"/>
          <w:sz w:val="24"/>
          <w:szCs w:val="24"/>
        </w:rPr>
        <w:t>.</w:t>
      </w:r>
    </w:p>
    <w:p w14:paraId="142DDA81" w14:textId="77777777" w:rsidR="00370164" w:rsidRPr="00370164" w:rsidRDefault="005F7C6B" w:rsidP="002E6F27">
      <w:pPr>
        <w:pStyle w:val="a5"/>
        <w:numPr>
          <w:ilvl w:val="0"/>
          <w:numId w:val="28"/>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SLA compliance at pre-deal sign-off</w:t>
      </w:r>
      <w:r w:rsidR="00370164" w:rsidRPr="00370164">
        <w:rPr>
          <w:rFonts w:asciiTheme="majorBidi" w:hAnsiTheme="majorBidi" w:cstheme="majorBidi"/>
          <w:sz w:val="24"/>
          <w:szCs w:val="24"/>
        </w:rPr>
        <w:t>.</w:t>
      </w:r>
      <w:r w:rsidRPr="00370164">
        <w:rPr>
          <w:rFonts w:asciiTheme="majorBidi" w:hAnsiTheme="majorBidi" w:cstheme="majorBidi"/>
          <w:sz w:val="24"/>
          <w:szCs w:val="24"/>
        </w:rPr>
        <w:t xml:space="preserve"> </w:t>
      </w:r>
    </w:p>
    <w:p w14:paraId="59277C09" w14:textId="212A9408" w:rsidR="005F7C6B" w:rsidRPr="005F7C6B" w:rsidRDefault="005F7C6B" w:rsidP="00370164">
      <w:pPr>
        <w:bidi w:val="0"/>
        <w:spacing w:after="120" w:line="276" w:lineRule="auto"/>
        <w:ind w:firstLine="284"/>
        <w:jc w:val="both"/>
        <w:rPr>
          <w:rFonts w:asciiTheme="majorBidi" w:hAnsiTheme="majorBidi" w:cstheme="majorBidi"/>
          <w:sz w:val="24"/>
          <w:szCs w:val="24"/>
        </w:rPr>
      </w:pPr>
      <w:r w:rsidRPr="005F7C6B">
        <w:rPr>
          <w:rFonts w:asciiTheme="majorBidi" w:hAnsiTheme="majorBidi" w:cstheme="majorBidi"/>
          <w:sz w:val="24"/>
          <w:szCs w:val="24"/>
        </w:rPr>
        <w:t>liquidity-fit flags at origination. FSB (2023) supports adding breach-to-action latency as a leading indicator; cohorts with slower clocks should exhibit higher NPL migration and lower cure. KPMG (2025) suggests attributing outcomes to named owners to test whether RACI clarity shortens remediation. Islamic Financial Services Board (2024) justifies known-groups tests across murabaha/ijara/musharaka vintages</w:t>
      </w:r>
      <w:r w:rsidR="00B03C22">
        <w:rPr>
          <w:rFonts w:asciiTheme="majorBidi" w:hAnsiTheme="majorBidi" w:cstheme="majorBidi"/>
          <w:sz w:val="24"/>
          <w:szCs w:val="24"/>
        </w:rPr>
        <w:t>-</w:t>
      </w:r>
      <w:r w:rsidRPr="005F7C6B">
        <w:rPr>
          <w:rFonts w:asciiTheme="majorBidi" w:hAnsiTheme="majorBidi" w:cstheme="majorBidi"/>
          <w:sz w:val="24"/>
          <w:szCs w:val="24"/>
        </w:rPr>
        <w:t>portfolios with stronger form evidence and timely Shariah escalations should display flatter NPL trajectories and lower LGD. Collectively, these links make NPL dynamics the downstream litmus test of the study’s mechanisms</w:t>
      </w:r>
      <w:r w:rsidR="00B03C22">
        <w:rPr>
          <w:rFonts w:asciiTheme="majorBidi" w:hAnsiTheme="majorBidi" w:cstheme="majorBidi"/>
          <w:sz w:val="24"/>
          <w:szCs w:val="24"/>
        </w:rPr>
        <w:t>-</w:t>
      </w:r>
      <w:r w:rsidRPr="005F7C6B">
        <w:rPr>
          <w:rFonts w:asciiTheme="majorBidi" w:hAnsiTheme="majorBidi" w:cstheme="majorBidi"/>
          <w:sz w:val="24"/>
          <w:szCs w:val="24"/>
        </w:rPr>
        <w:t>cadence, information integration, KPI alignment, and RACI</w:t>
      </w:r>
      <w:r w:rsidR="00B03C22">
        <w:rPr>
          <w:rFonts w:asciiTheme="majorBidi" w:hAnsiTheme="majorBidi" w:cstheme="majorBidi"/>
          <w:sz w:val="24"/>
          <w:szCs w:val="24"/>
        </w:rPr>
        <w:t>-</w:t>
      </w:r>
      <w:r w:rsidRPr="005F7C6B">
        <w:rPr>
          <w:rFonts w:asciiTheme="majorBidi" w:hAnsiTheme="majorBidi" w:cstheme="majorBidi"/>
          <w:sz w:val="24"/>
          <w:szCs w:val="24"/>
        </w:rPr>
        <w:t>closing the causal loop from origination design to loss outcomes.</w:t>
      </w:r>
    </w:p>
    <w:p w14:paraId="0EA59974" w14:textId="01FCA586" w:rsidR="00B03044" w:rsidRPr="005F7C6B" w:rsidRDefault="00B03044" w:rsidP="00A94C60">
      <w:pPr>
        <w:bidi w:val="0"/>
        <w:spacing w:after="120" w:line="276" w:lineRule="auto"/>
        <w:ind w:firstLine="284"/>
        <w:jc w:val="both"/>
        <w:rPr>
          <w:rFonts w:asciiTheme="majorBidi" w:hAnsiTheme="majorBidi" w:cstheme="majorBidi"/>
          <w:sz w:val="24"/>
          <w:szCs w:val="24"/>
        </w:rPr>
      </w:pPr>
    </w:p>
    <w:p w14:paraId="5466C9DD" w14:textId="7C2C4401" w:rsidR="00B03044" w:rsidRPr="00B32051" w:rsidRDefault="00370164" w:rsidP="00370164">
      <w:pPr>
        <w:pStyle w:val="3"/>
        <w:rPr>
          <w:sz w:val="24"/>
          <w:szCs w:val="24"/>
        </w:rPr>
      </w:pPr>
      <w:bookmarkStart w:id="75" w:name="_Toc214621148"/>
      <w:r>
        <w:rPr>
          <w:rStyle w:val="a7"/>
          <w:b/>
          <w:bCs/>
        </w:rPr>
        <w:t>Liquidity and Market-Risk Fit at Origination</w:t>
      </w:r>
      <w:bookmarkEnd w:id="75"/>
    </w:p>
    <w:p w14:paraId="1EE25DED" w14:textId="77777777" w:rsidR="00370164" w:rsidRPr="00370164" w:rsidRDefault="00370164" w:rsidP="002E6F27">
      <w:pPr>
        <w:pStyle w:val="a5"/>
        <w:numPr>
          <w:ilvl w:val="0"/>
          <w:numId w:val="37"/>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LCR and HQLA Constraints at Origination</w:t>
      </w:r>
    </w:p>
    <w:p w14:paraId="6D3A1FAB" w14:textId="6A39C701" w:rsidR="00370164" w:rsidRPr="0037016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Bank for International Settlements (2013) recasts LCR and HQLA from balance-sheet afterthoughts into origination constraints: deal tenor, amortization, and pricing should be designed to preserve the bank’s 30-day liquidity buffer, which means first-line proposals must internalize funding ladders and HQLA availability before approval. International Monetary Fund (2023) strengthens the execution logic: in higher-for-longer regimes, any delay in transmitting funding signals into structuring monetizes into mispricing, so LCR/HQLA are not reporting ratios but timing controls</w:t>
      </w:r>
      <w:r w:rsidR="00B03C22">
        <w:rPr>
          <w:rFonts w:asciiTheme="majorBidi" w:hAnsiTheme="majorBidi" w:cstheme="majorBidi"/>
          <w:sz w:val="24"/>
          <w:szCs w:val="24"/>
        </w:rPr>
        <w:t>-</w:t>
      </w:r>
      <w:r w:rsidRPr="00370164">
        <w:rPr>
          <w:rFonts w:asciiTheme="majorBidi" w:hAnsiTheme="majorBidi" w:cstheme="majorBidi"/>
          <w:sz w:val="24"/>
          <w:szCs w:val="24"/>
        </w:rPr>
        <w:t>the right inputs must be co-visible at the decision moment. Financial Stability Board (2023) adds the seam discipline: time-boxed sign-offs, decision logs, and evidence packs keep AM–Sales aligned on the same liquidity facts, converting prudential aims into routine behavior rather than late-gate vetoes</w:t>
      </w:r>
      <w:r w:rsidRPr="00370164">
        <w:rPr>
          <w:rFonts w:asciiTheme="majorBidi" w:hAnsiTheme="majorBidi" w:cstheme="majorBidi"/>
          <w:sz w:val="24"/>
          <w:szCs w:val="24"/>
          <w:rtl/>
        </w:rPr>
        <w:t>.</w:t>
      </w:r>
    </w:p>
    <w:p w14:paraId="17E203B7" w14:textId="77777777" w:rsidR="0037016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In Islamic settings, Islamic Financial Services Board (2024) notes that contract forms (murabaha/ijara/musharaka) shape cash-flow patterns and asset evidence, so liquidity fitness requires form–substance checks alongside LCR math at origination; weak form (e.g., unclear possession/transfer) becomes operational friction that undermines liquidity plans downstream. Practically, BIS (2013) implies three frontline tests:</w:t>
      </w:r>
    </w:p>
    <w:p w14:paraId="013EAFFA" w14:textId="77777777" w:rsidR="00370164" w:rsidRPr="00370164" w:rsidRDefault="00370164" w:rsidP="002E6F27">
      <w:pPr>
        <w:pStyle w:val="a5"/>
        <w:numPr>
          <w:ilvl w:val="0"/>
          <w:numId w:val="36"/>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tenor ladders that cap short-term refinancing risk.</w:t>
      </w:r>
    </w:p>
    <w:p w14:paraId="375EECE1" w14:textId="6CECAAB7" w:rsidR="00370164" w:rsidRPr="00370164" w:rsidRDefault="00370164" w:rsidP="002E6F27">
      <w:pPr>
        <w:pStyle w:val="a5"/>
        <w:numPr>
          <w:ilvl w:val="0"/>
          <w:numId w:val="36"/>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pricing floors that embed funding and optionality costs.</w:t>
      </w:r>
    </w:p>
    <w:p w14:paraId="592351D2" w14:textId="6A6E1E00" w:rsidR="00370164" w:rsidRPr="00370164" w:rsidRDefault="00370164" w:rsidP="002E6F27">
      <w:pPr>
        <w:pStyle w:val="a5"/>
        <w:numPr>
          <w:ilvl w:val="0"/>
          <w:numId w:val="36"/>
        </w:numPr>
        <w:bidi w:val="0"/>
        <w:spacing w:after="120" w:line="276" w:lineRule="auto"/>
        <w:jc w:val="both"/>
        <w:rPr>
          <w:rFonts w:asciiTheme="majorBidi" w:hAnsiTheme="majorBidi" w:cstheme="majorBidi"/>
          <w:sz w:val="24"/>
          <w:szCs w:val="24"/>
        </w:rPr>
      </w:pPr>
      <w:r w:rsidRPr="00370164">
        <w:rPr>
          <w:rFonts w:asciiTheme="majorBidi" w:hAnsiTheme="majorBidi" w:cstheme="majorBidi"/>
          <w:sz w:val="24"/>
          <w:szCs w:val="24"/>
        </w:rPr>
        <w:t>pre-deal flags when HQLA draw or runoff assumptions are breached</w:t>
      </w:r>
      <w:r w:rsidR="00B03C22">
        <w:rPr>
          <w:rFonts w:asciiTheme="majorBidi" w:hAnsiTheme="majorBidi" w:cstheme="majorBidi"/>
          <w:sz w:val="24"/>
          <w:szCs w:val="24"/>
        </w:rPr>
        <w:t>-</w:t>
      </w:r>
      <w:r w:rsidRPr="00370164">
        <w:rPr>
          <w:rFonts w:asciiTheme="majorBidi" w:hAnsiTheme="majorBidi" w:cstheme="majorBidi"/>
          <w:sz w:val="24"/>
          <w:szCs w:val="24"/>
        </w:rPr>
        <w:t xml:space="preserve">each on a clock per FSB (2023). </w:t>
      </w:r>
    </w:p>
    <w:p w14:paraId="6D5CC9E6" w14:textId="04F57F5A" w:rsidR="00B0304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This sets a direct bridge to the next sub-sections on Funding-Cost integration and Tenor-mismatch controls, where the same LCR/HQLA logic is translated into concrete pricing add-ons and structural guards at the AM–Sales seam.</w:t>
      </w:r>
    </w:p>
    <w:p w14:paraId="1C3F9F4B" w14:textId="77777777" w:rsidR="00370164" w:rsidRPr="00370164" w:rsidRDefault="00370164" w:rsidP="002E6F27">
      <w:pPr>
        <w:pStyle w:val="a5"/>
        <w:numPr>
          <w:ilvl w:val="0"/>
          <w:numId w:val="37"/>
        </w:numPr>
        <w:bidi w:val="0"/>
        <w:spacing w:after="120" w:line="276" w:lineRule="auto"/>
        <w:jc w:val="both"/>
        <w:rPr>
          <w:rFonts w:asciiTheme="majorBidi" w:hAnsiTheme="majorBidi" w:cstheme="majorBidi"/>
          <w:sz w:val="24"/>
          <w:szCs w:val="24"/>
          <w:rtl/>
        </w:rPr>
      </w:pPr>
      <w:r w:rsidRPr="00370164">
        <w:rPr>
          <w:rFonts w:asciiTheme="majorBidi" w:hAnsiTheme="majorBidi" w:cstheme="majorBidi"/>
          <w:sz w:val="24"/>
          <w:szCs w:val="24"/>
        </w:rPr>
        <w:t>Integrating Funding Costs into Pricing</w:t>
      </w:r>
    </w:p>
    <w:p w14:paraId="4FCEBBD0" w14:textId="1E5C2B9D" w:rsidR="00370164" w:rsidRPr="0037016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Bank for International Settlements (2013) treats funding costs as a frontline input</w:t>
      </w:r>
      <w:r w:rsidR="00B03C22">
        <w:rPr>
          <w:rFonts w:asciiTheme="majorBidi" w:hAnsiTheme="majorBidi" w:cstheme="majorBidi"/>
          <w:sz w:val="24"/>
          <w:szCs w:val="24"/>
        </w:rPr>
        <w:t>-</w:t>
      </w:r>
      <w:r w:rsidRPr="00370164">
        <w:rPr>
          <w:rFonts w:asciiTheme="majorBidi" w:hAnsiTheme="majorBidi" w:cstheme="majorBidi"/>
          <w:sz w:val="24"/>
          <w:szCs w:val="24"/>
        </w:rPr>
        <w:t>not a treasury afterthought</w:t>
      </w:r>
      <w:r w:rsidR="00B03C22">
        <w:rPr>
          <w:rFonts w:asciiTheme="majorBidi" w:hAnsiTheme="majorBidi" w:cstheme="majorBidi"/>
          <w:sz w:val="24"/>
          <w:szCs w:val="24"/>
        </w:rPr>
        <w:t>-</w:t>
      </w:r>
      <w:r w:rsidRPr="00370164">
        <w:rPr>
          <w:rFonts w:asciiTheme="majorBidi" w:hAnsiTheme="majorBidi" w:cstheme="majorBidi"/>
          <w:sz w:val="24"/>
          <w:szCs w:val="24"/>
        </w:rPr>
        <w:t>arguing that the price a client sees must already internalize term funding spreads, optionality premia, and HQLA consumption, so RAROC reflects expected loss plus funding economics at the decision moment. International Monetary Fund (2023) strengthens the timing logic by showing that in higher-for-longer regimes, latency between market signals and origination monetizes into mispricing, which means AM–Sales must price with live curves and liquidity ladders rather than monthly transfer-price tables refreshed ex post</w:t>
      </w:r>
      <w:r w:rsidRPr="00370164">
        <w:rPr>
          <w:rFonts w:asciiTheme="majorBidi" w:hAnsiTheme="majorBidi" w:cstheme="majorBidi"/>
          <w:sz w:val="24"/>
          <w:szCs w:val="24"/>
          <w:rtl/>
        </w:rPr>
        <w:t>.</w:t>
      </w:r>
    </w:p>
    <w:p w14:paraId="490803E9" w14:textId="5174EC11" w:rsidR="00370164" w:rsidRPr="0037016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Financial Stability Board (2023) converts this principle into seam discipline: funding inputs should be co-visible in the approval packet, tied to a named owner and a time-boxed SLA, so that any deviation (e.g., sub-floor pricing or tenor beyond the ladder) is an evidence-based override instead of informal bargaining. McKinsey &amp; Company (2020) cautions that volume-biased incentives routinely neutralize such economics; integrating funding costs must therefore be KPI-coupled</w:t>
      </w:r>
      <w:r w:rsidR="00B03C22">
        <w:rPr>
          <w:rFonts w:asciiTheme="majorBidi" w:hAnsiTheme="majorBidi" w:cstheme="majorBidi"/>
          <w:sz w:val="24"/>
          <w:szCs w:val="24"/>
        </w:rPr>
        <w:t>-</w:t>
      </w:r>
      <w:r w:rsidRPr="00370164">
        <w:rPr>
          <w:rFonts w:asciiTheme="majorBidi" w:hAnsiTheme="majorBidi" w:cstheme="majorBidi"/>
          <w:sz w:val="24"/>
          <w:szCs w:val="24"/>
        </w:rPr>
        <w:t>credit attribution and sales pay should reflect RAROC after funding, with chargebacks when exceptions erode the hurdle, or else the bank books revenue that the balance sheet cannot carry</w:t>
      </w:r>
      <w:r w:rsidRPr="00370164">
        <w:rPr>
          <w:rFonts w:asciiTheme="majorBidi" w:hAnsiTheme="majorBidi" w:cstheme="majorBidi"/>
          <w:sz w:val="24"/>
          <w:szCs w:val="24"/>
          <w:rtl/>
        </w:rPr>
        <w:t>.</w:t>
      </w:r>
    </w:p>
    <w:p w14:paraId="7EA3FA7D" w14:textId="171A1F5D" w:rsidR="00370164" w:rsidRDefault="00370164" w:rsidP="00370164">
      <w:pPr>
        <w:bidi w:val="0"/>
        <w:spacing w:after="120" w:line="276" w:lineRule="auto"/>
        <w:ind w:firstLine="284"/>
        <w:jc w:val="both"/>
        <w:rPr>
          <w:rFonts w:asciiTheme="majorBidi" w:hAnsiTheme="majorBidi" w:cstheme="majorBidi"/>
          <w:sz w:val="24"/>
          <w:szCs w:val="24"/>
        </w:rPr>
      </w:pPr>
      <w:r w:rsidRPr="00370164">
        <w:rPr>
          <w:rFonts w:asciiTheme="majorBidi" w:hAnsiTheme="majorBidi" w:cstheme="majorBidi"/>
          <w:sz w:val="24"/>
          <w:szCs w:val="24"/>
        </w:rPr>
        <w:t>Islamic Financial Services Board (2024) adds a form–substance lens: in murabaha, ijara, and musharaka, pricing must reconcile profit recognition rules, asset evidence, and possession/transfer mechanics with the same funding curves; where hedging is constrained by Shariah, the structure choice (e.g., amortization shape, delivery timing) becomes the funding-cost control by design. International Monetary Fund (2023) and Bank for International Settlements (2013) converge in practice on three frontline tests: pricing floors linked to transfer-pricing curves, tenor-linked add-ons for liquidity and optionality, and auto-flags when proposed structures breach LCR/HQLA assumptions</w:t>
      </w:r>
      <w:r w:rsidR="00B03C22">
        <w:rPr>
          <w:rFonts w:asciiTheme="majorBidi" w:hAnsiTheme="majorBidi" w:cstheme="majorBidi"/>
          <w:sz w:val="24"/>
          <w:szCs w:val="24"/>
        </w:rPr>
        <w:t>-</w:t>
      </w:r>
      <w:r w:rsidRPr="00370164">
        <w:rPr>
          <w:rFonts w:asciiTheme="majorBidi" w:hAnsiTheme="majorBidi" w:cstheme="majorBidi"/>
          <w:sz w:val="24"/>
          <w:szCs w:val="24"/>
        </w:rPr>
        <w:t>each routed on a clock with a documented owner per Financial Stability Board (2023). This integration sets up the next subsection on tenor-mismatch controls, where the same funding logic is translated into structural guards that cap refinancing risk at origination.</w:t>
      </w:r>
    </w:p>
    <w:p w14:paraId="0B4141F2" w14:textId="77777777" w:rsidR="00352B5B" w:rsidRPr="00352B5B" w:rsidRDefault="00352B5B" w:rsidP="002E6F27">
      <w:pPr>
        <w:pStyle w:val="a5"/>
        <w:numPr>
          <w:ilvl w:val="0"/>
          <w:numId w:val="37"/>
        </w:numPr>
        <w:bidi w:val="0"/>
        <w:spacing w:after="120" w:line="276" w:lineRule="auto"/>
        <w:jc w:val="both"/>
        <w:rPr>
          <w:rFonts w:asciiTheme="majorBidi" w:hAnsiTheme="majorBidi" w:cstheme="majorBidi"/>
          <w:sz w:val="24"/>
          <w:szCs w:val="24"/>
        </w:rPr>
      </w:pPr>
      <w:r w:rsidRPr="00352B5B">
        <w:rPr>
          <w:rFonts w:asciiTheme="majorBidi" w:hAnsiTheme="majorBidi" w:cstheme="majorBidi"/>
          <w:sz w:val="24"/>
          <w:szCs w:val="24"/>
        </w:rPr>
        <w:t>Tenor-Mismatch Controls</w:t>
      </w:r>
    </w:p>
    <w:p w14:paraId="618BAA58" w14:textId="390FB377" w:rsidR="00352B5B" w:rsidRPr="00352B5B"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Bank for International Settlements (2013) defines tenor mismatch as the structural gap between the deal’s cash-flow horizon and the bank’s funding ladder, and insists that controls must operate at origination: preset tenor ladders, maximum weighted-average life, and amortization requirements that limit refinancing risk before approval. International Monetary Fund (2023) links the same idea to execution speed: under higher-for-longer rates, slow transmission of funding signals into structure design turns gaps into priced-too-thin exposures, so tenor choices must reflect live transfer-pricing curves at the decision moment. Financial Stability Board (2023) translates this into seam discipline</w:t>
      </w:r>
      <w:r w:rsidR="00B03C22">
        <w:rPr>
          <w:rFonts w:asciiTheme="majorBidi" w:hAnsiTheme="majorBidi" w:cstheme="majorBidi"/>
          <w:sz w:val="24"/>
          <w:szCs w:val="24"/>
        </w:rPr>
        <w:t>-</w:t>
      </w:r>
      <w:r w:rsidRPr="00352B5B">
        <w:rPr>
          <w:rFonts w:asciiTheme="majorBidi" w:hAnsiTheme="majorBidi" w:cstheme="majorBidi"/>
          <w:sz w:val="24"/>
          <w:szCs w:val="24"/>
        </w:rPr>
        <w:t>time-boxed sign-offs, decision logs, and evidence packs</w:t>
      </w:r>
      <w:r w:rsidR="00B03C22">
        <w:rPr>
          <w:rFonts w:asciiTheme="majorBidi" w:hAnsiTheme="majorBidi" w:cstheme="majorBidi"/>
          <w:sz w:val="24"/>
          <w:szCs w:val="24"/>
        </w:rPr>
        <w:t>-</w:t>
      </w:r>
      <w:r w:rsidRPr="00352B5B">
        <w:rPr>
          <w:rFonts w:asciiTheme="majorBidi" w:hAnsiTheme="majorBidi" w:cstheme="majorBidi"/>
          <w:sz w:val="24"/>
          <w:szCs w:val="24"/>
        </w:rPr>
        <w:t>so AM and Sales approve on the same liquidity facts, and any deviation travels as an evidence-based override on a clock rather than as informal bargaining</w:t>
      </w:r>
      <w:r w:rsidRPr="00352B5B">
        <w:rPr>
          <w:rFonts w:asciiTheme="majorBidi" w:hAnsiTheme="majorBidi" w:cstheme="majorBidi"/>
          <w:sz w:val="24"/>
          <w:szCs w:val="24"/>
          <w:rtl/>
        </w:rPr>
        <w:t>.</w:t>
      </w:r>
    </w:p>
    <w:p w14:paraId="4612CC1C" w14:textId="77777777" w:rsidR="00352B5B" w:rsidRPr="00352B5B"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KPMG (2025) makes controls auditable by embedding them in RACI and SLAs: the Account Manager owns tenor compliance (caps by segment, amortization shape, balloon limits), Risk approves exception thresholds, and Treasury is consulted for funding availability, with auto-flags when structures breach LCR/HQLA assumptions. McKinsey &amp; Company (2020) warns that volume-only incentives erode these guards; coupling overrides to RAROC after funding and applying chargebacks for tenor breaches aligns frontline behavior with balance-sheet capacity</w:t>
      </w:r>
      <w:r w:rsidRPr="00352B5B">
        <w:rPr>
          <w:rFonts w:asciiTheme="majorBidi" w:hAnsiTheme="majorBidi" w:cstheme="majorBidi"/>
          <w:sz w:val="24"/>
          <w:szCs w:val="24"/>
          <w:rtl/>
        </w:rPr>
        <w:t>.</w:t>
      </w:r>
    </w:p>
    <w:p w14:paraId="7E11D0A9" w14:textId="77777777" w:rsidR="00352B5B"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In Islamic finance, Islamic Financial Services Board (2024) notes that limited hedging pushes tenor control into contract form and cash-flow design: murabaha should favor amortizing schedules, ijara must align lease terms to funding ladders, and musharaka requires profit-distribution mechanics that avoid short-funding long assets. Practically, BIS (2013) and IMF (2023) imply three frontline tests:</w:t>
      </w:r>
    </w:p>
    <w:p w14:paraId="7CFF1E88" w14:textId="2A030324" w:rsidR="00352B5B" w:rsidRPr="00352B5B" w:rsidRDefault="00352B5B" w:rsidP="002E6F27">
      <w:pPr>
        <w:pStyle w:val="a5"/>
        <w:numPr>
          <w:ilvl w:val="0"/>
          <w:numId w:val="38"/>
        </w:numPr>
        <w:bidi w:val="0"/>
        <w:spacing w:after="120" w:line="276" w:lineRule="auto"/>
        <w:jc w:val="both"/>
        <w:rPr>
          <w:rFonts w:asciiTheme="majorBidi" w:hAnsiTheme="majorBidi" w:cstheme="majorBidi"/>
          <w:sz w:val="24"/>
          <w:szCs w:val="24"/>
        </w:rPr>
      </w:pPr>
      <w:r w:rsidRPr="00352B5B">
        <w:rPr>
          <w:rFonts w:asciiTheme="majorBidi" w:hAnsiTheme="majorBidi" w:cstheme="majorBidi"/>
          <w:sz w:val="24"/>
          <w:szCs w:val="24"/>
        </w:rPr>
        <w:t>enforce tenor caps and WAL limits by product/segment.</w:t>
      </w:r>
    </w:p>
    <w:p w14:paraId="6553245F" w14:textId="77777777" w:rsidR="00352B5B" w:rsidRPr="00352B5B" w:rsidRDefault="00352B5B" w:rsidP="002E6F27">
      <w:pPr>
        <w:pStyle w:val="a5"/>
        <w:numPr>
          <w:ilvl w:val="0"/>
          <w:numId w:val="38"/>
        </w:numPr>
        <w:bidi w:val="0"/>
        <w:spacing w:after="120" w:line="276" w:lineRule="auto"/>
        <w:jc w:val="both"/>
        <w:rPr>
          <w:rFonts w:asciiTheme="majorBidi" w:hAnsiTheme="majorBidi" w:cstheme="majorBidi"/>
          <w:sz w:val="24"/>
          <w:szCs w:val="24"/>
        </w:rPr>
      </w:pPr>
      <w:r w:rsidRPr="00352B5B">
        <w:rPr>
          <w:rFonts w:asciiTheme="majorBidi" w:hAnsiTheme="majorBidi" w:cstheme="majorBidi"/>
          <w:sz w:val="24"/>
          <w:szCs w:val="24"/>
        </w:rPr>
        <w:t>price tenor add-ons tied to funding curves and optionality,</w:t>
      </w:r>
    </w:p>
    <w:p w14:paraId="485ACA79" w14:textId="77777777" w:rsidR="00352B5B" w:rsidRPr="00352B5B" w:rsidRDefault="00352B5B" w:rsidP="002E6F27">
      <w:pPr>
        <w:pStyle w:val="a5"/>
        <w:numPr>
          <w:ilvl w:val="0"/>
          <w:numId w:val="38"/>
        </w:numPr>
        <w:bidi w:val="0"/>
        <w:spacing w:after="120" w:line="276" w:lineRule="auto"/>
        <w:jc w:val="both"/>
        <w:rPr>
          <w:rFonts w:asciiTheme="majorBidi" w:hAnsiTheme="majorBidi" w:cstheme="majorBidi"/>
          <w:sz w:val="24"/>
          <w:szCs w:val="24"/>
        </w:rPr>
      </w:pPr>
      <w:r w:rsidRPr="00352B5B">
        <w:rPr>
          <w:rFonts w:asciiTheme="majorBidi" w:hAnsiTheme="majorBidi" w:cstheme="majorBidi"/>
          <w:sz w:val="24"/>
          <w:szCs w:val="24"/>
        </w:rPr>
        <w:t xml:space="preserve">require escalation when proposals increase short-term runoff or draw disproportionately on HQLA. </w:t>
      </w:r>
    </w:p>
    <w:p w14:paraId="2C77378C" w14:textId="727EDB2B" w:rsidR="00370164"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With FSB’s (2023) seam tools and KPMG’s (2025) ownership timers, tenor-mismatch controls become a repeatable origination routine, not a late-gate veto</w:t>
      </w:r>
      <w:r w:rsidR="00B03C22">
        <w:rPr>
          <w:rFonts w:asciiTheme="majorBidi" w:hAnsiTheme="majorBidi" w:cstheme="majorBidi"/>
          <w:sz w:val="24"/>
          <w:szCs w:val="24"/>
        </w:rPr>
        <w:t>-</w:t>
      </w:r>
      <w:r w:rsidRPr="00352B5B">
        <w:rPr>
          <w:rFonts w:asciiTheme="majorBidi" w:hAnsiTheme="majorBidi" w:cstheme="majorBidi"/>
          <w:sz w:val="24"/>
          <w:szCs w:val="24"/>
        </w:rPr>
        <w:t>directly supporting liquidity/market-risk fit in this study’s dependent-variable model.</w:t>
      </w:r>
    </w:p>
    <w:p w14:paraId="6F787638" w14:textId="7B5C295E" w:rsidR="00370164" w:rsidRDefault="00370164" w:rsidP="00370164">
      <w:pPr>
        <w:bidi w:val="0"/>
        <w:spacing w:after="120" w:line="276" w:lineRule="auto"/>
        <w:ind w:firstLine="284"/>
        <w:jc w:val="both"/>
        <w:rPr>
          <w:rFonts w:asciiTheme="majorBidi" w:hAnsiTheme="majorBidi" w:cstheme="majorBidi"/>
          <w:sz w:val="24"/>
          <w:szCs w:val="24"/>
        </w:rPr>
      </w:pPr>
    </w:p>
    <w:p w14:paraId="19ABF210" w14:textId="2982E359" w:rsidR="00370164" w:rsidRDefault="00352B5B" w:rsidP="00352B5B">
      <w:pPr>
        <w:pStyle w:val="3"/>
      </w:pPr>
      <w:bookmarkStart w:id="76" w:name="_Toc214621149"/>
      <w:r w:rsidRPr="00352B5B">
        <w:t>Operational Resilience and Third-Party Risk Control</w:t>
      </w:r>
      <w:bookmarkEnd w:id="76"/>
    </w:p>
    <w:p w14:paraId="12F0789D" w14:textId="77777777" w:rsidR="00352B5B" w:rsidRPr="00352B5B" w:rsidRDefault="00352B5B" w:rsidP="002E6F27">
      <w:pPr>
        <w:pStyle w:val="a5"/>
        <w:numPr>
          <w:ilvl w:val="0"/>
          <w:numId w:val="39"/>
        </w:numPr>
        <w:bidi w:val="0"/>
        <w:spacing w:after="120" w:line="276" w:lineRule="auto"/>
        <w:rPr>
          <w:rFonts w:asciiTheme="majorBidi" w:hAnsiTheme="majorBidi" w:cstheme="majorBidi"/>
          <w:sz w:val="24"/>
          <w:szCs w:val="24"/>
        </w:rPr>
      </w:pPr>
      <w:r w:rsidRPr="00352B5B">
        <w:rPr>
          <w:rFonts w:asciiTheme="majorBidi" w:hAnsiTheme="majorBidi" w:cstheme="majorBidi"/>
          <w:sz w:val="24"/>
          <w:szCs w:val="24"/>
        </w:rPr>
        <w:t>Vendor/Cloud Incidents</w:t>
      </w:r>
    </w:p>
    <w:p w14:paraId="2E4FE9D1" w14:textId="44B062D1" w:rsidR="00352B5B" w:rsidRPr="00352B5B"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Financial Stability Board (2023) reframes third-party technology failures as governance surfaces rather than procurement mishaps: outages and API degradations only become losses when handoffs lack named ownership, escalation clocks, and predefined fallbacks, so AM–Sales continue booking on stale or missing inputs. International Monetary Fund (2023) adds the macro channel: under higher-for-longer rates, operational delays monetize into mispricing and liquidity misfit at origination, turning an incident on a KYC, scoring, or pricing feed into a risk transmission mechanism rather than an IT inconvenience. The U.S. supervisors’ joint statement (2024) converts this into accountability by insisting banks retain responsibility for third-party delivery</w:t>
      </w:r>
      <w:r w:rsidR="00B03C22">
        <w:rPr>
          <w:rFonts w:asciiTheme="majorBidi" w:hAnsiTheme="majorBidi" w:cstheme="majorBidi"/>
          <w:sz w:val="24"/>
          <w:szCs w:val="24"/>
        </w:rPr>
        <w:t>-</w:t>
      </w:r>
      <w:r w:rsidRPr="00352B5B">
        <w:rPr>
          <w:rFonts w:asciiTheme="majorBidi" w:hAnsiTheme="majorBidi" w:cstheme="majorBidi"/>
          <w:sz w:val="24"/>
          <w:szCs w:val="24"/>
        </w:rPr>
        <w:t>contracts must specify monitoring rights, data access, auditability, and exit paths, which first-line teams must internalize when structuring deals on vendor rails. Organization for Economic Cooperation and Development (2022) highlights cloud concentration risk: multi-tenant platforms create correlated failure modes; without co-visibility and lineage, AM–Sales cannot verify which numbers are frozen, delayed, or silently wrong</w:t>
      </w:r>
      <w:r w:rsidRPr="00352B5B">
        <w:rPr>
          <w:rFonts w:asciiTheme="majorBidi" w:hAnsiTheme="majorBidi" w:cstheme="majorBidi"/>
          <w:sz w:val="24"/>
          <w:szCs w:val="24"/>
          <w:rtl/>
        </w:rPr>
        <w:t>.</w:t>
      </w:r>
    </w:p>
    <w:p w14:paraId="567BEDF7" w14:textId="4F714ABA" w:rsidR="00370164" w:rsidRDefault="00352B5B" w:rsidP="00352B5B">
      <w:pPr>
        <w:bidi w:val="0"/>
        <w:spacing w:after="120" w:line="276" w:lineRule="auto"/>
        <w:ind w:firstLine="284"/>
        <w:jc w:val="both"/>
        <w:rPr>
          <w:rFonts w:asciiTheme="majorBidi" w:hAnsiTheme="majorBidi" w:cstheme="majorBidi"/>
          <w:sz w:val="24"/>
          <w:szCs w:val="24"/>
        </w:rPr>
      </w:pPr>
      <w:r w:rsidRPr="00352B5B">
        <w:rPr>
          <w:rFonts w:asciiTheme="majorBidi" w:hAnsiTheme="majorBidi" w:cstheme="majorBidi"/>
          <w:sz w:val="24"/>
          <w:szCs w:val="24"/>
        </w:rPr>
        <w:t>Operationally, KPMG (2025) translates resilience into work design: RACI for “degradation mode” (who decides under reduced data), SLA timers for escalation to the second line, and playbooked fallbacks (conservative price curves, temporary caps, or pause rules) that are pre-authorized for short windows. Lang, Peltonen, and Sarlin (2018) show that fixed feedback cadences turn incident signals into scheduled actions, while Habel, Alavi, and Heinitz (2023) warn that alerts shift behavior only if embedded in CRM</w:t>
      </w:r>
      <w:r w:rsidR="00B03C22">
        <w:rPr>
          <w:rFonts w:asciiTheme="majorBidi" w:hAnsiTheme="majorBidi" w:cstheme="majorBidi"/>
          <w:sz w:val="24"/>
          <w:szCs w:val="24"/>
        </w:rPr>
        <w:t>-</w:t>
      </w:r>
      <w:r w:rsidRPr="00352B5B">
        <w:rPr>
          <w:rFonts w:asciiTheme="majorBidi" w:hAnsiTheme="majorBidi" w:cstheme="majorBidi"/>
          <w:sz w:val="24"/>
          <w:szCs w:val="24"/>
        </w:rPr>
        <w:t>otherwise teams revert to volume pressure and ad-hoc heuristics. Islamic Financial Services Board (2024) adds that incidents must not break form–substance: if APIs fail, the workflow still needs to capture asset evidence, possession/transfer, and profit recognition on a clock, or Shariah defects will surface downstream as credit/operational losses (van Greuning &amp; Iqbal, 2008). Designed this way, vendor/cloud incidents become contained variances rather than pipeline shocks, setting up the next subsections on testing coverage, MTTR, and remediation quality as measurable markers of resilience at the AM–Sales seam.</w:t>
      </w:r>
    </w:p>
    <w:p w14:paraId="7C3190E4" w14:textId="3C914CB9" w:rsidR="009046A2" w:rsidRPr="009046A2" w:rsidRDefault="009046A2" w:rsidP="002E6F27">
      <w:pPr>
        <w:pStyle w:val="a5"/>
        <w:numPr>
          <w:ilvl w:val="0"/>
          <w:numId w:val="39"/>
        </w:numPr>
        <w:bidi w:val="0"/>
        <w:spacing w:after="120" w:line="276" w:lineRule="auto"/>
        <w:rPr>
          <w:rFonts w:asciiTheme="majorBidi" w:hAnsiTheme="majorBidi" w:cstheme="majorBidi"/>
          <w:sz w:val="24"/>
          <w:szCs w:val="24"/>
        </w:rPr>
      </w:pPr>
      <w:r w:rsidRPr="009046A2">
        <w:rPr>
          <w:rFonts w:asciiTheme="majorBidi" w:hAnsiTheme="majorBidi" w:cstheme="majorBidi"/>
          <w:sz w:val="24"/>
          <w:szCs w:val="24"/>
        </w:rPr>
        <w:t xml:space="preserve">Testing Coverage </w:t>
      </w:r>
      <w:r w:rsidR="00B03C22">
        <w:rPr>
          <w:rFonts w:asciiTheme="majorBidi" w:hAnsiTheme="majorBidi" w:cstheme="majorBidi"/>
          <w:sz w:val="24"/>
          <w:szCs w:val="24"/>
        </w:rPr>
        <w:t>-</w:t>
      </w:r>
      <w:r w:rsidRPr="009046A2">
        <w:rPr>
          <w:rFonts w:asciiTheme="majorBidi" w:hAnsiTheme="majorBidi" w:cstheme="majorBidi"/>
          <w:sz w:val="24"/>
          <w:szCs w:val="24"/>
        </w:rPr>
        <w:t xml:space="preserve"> breadth, depth, and what it proves</w:t>
      </w:r>
    </w:p>
    <w:p w14:paraId="14906E98" w14:textId="5A745078"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Financial Stability Board (2023) argues that operational-resilience tests must cover end-to-end service chains, not isolated apps</w:t>
      </w:r>
      <w:r w:rsidR="00B03C22">
        <w:rPr>
          <w:rFonts w:asciiTheme="majorBidi" w:hAnsiTheme="majorBidi" w:cstheme="majorBidi"/>
          <w:sz w:val="24"/>
          <w:szCs w:val="24"/>
        </w:rPr>
        <w:t>-</w:t>
      </w:r>
      <w:r w:rsidRPr="009046A2">
        <w:rPr>
          <w:rFonts w:asciiTheme="majorBidi" w:hAnsiTheme="majorBidi" w:cstheme="majorBidi"/>
          <w:sz w:val="24"/>
          <w:szCs w:val="24"/>
        </w:rPr>
        <w:t>critical client journeys, data paths, vendor/cloud links, and the AM–Sales approval seam</w:t>
      </w:r>
      <w:r w:rsidR="00B03C22">
        <w:rPr>
          <w:rFonts w:asciiTheme="majorBidi" w:hAnsiTheme="majorBidi" w:cstheme="majorBidi"/>
          <w:sz w:val="24"/>
          <w:szCs w:val="24"/>
        </w:rPr>
        <w:t>-</w:t>
      </w:r>
      <w:r w:rsidRPr="009046A2">
        <w:rPr>
          <w:rFonts w:asciiTheme="majorBidi" w:hAnsiTheme="majorBidi" w:cstheme="majorBidi"/>
          <w:sz w:val="24"/>
          <w:szCs w:val="24"/>
        </w:rPr>
        <w:t>so scenarios are “severe but plausible” and instrumented with timers and decision ownership. International Monetary Fund (2023) ties breadth to macro volatility: tests should probe rate-shock windows and funding stress while workflows run in “degradation mode,” proving that pricing/KYC/EWS still reach time-bound approvals. U.S. supervisors (2024) require coverage to extend through third parties</w:t>
      </w:r>
      <w:r w:rsidR="00B03C22">
        <w:rPr>
          <w:rFonts w:asciiTheme="majorBidi" w:hAnsiTheme="majorBidi" w:cstheme="majorBidi"/>
          <w:sz w:val="24"/>
          <w:szCs w:val="24"/>
        </w:rPr>
        <w:t>-</w:t>
      </w:r>
      <w:r w:rsidRPr="009046A2">
        <w:rPr>
          <w:rFonts w:asciiTheme="majorBidi" w:hAnsiTheme="majorBidi" w:cstheme="majorBidi"/>
          <w:sz w:val="24"/>
          <w:szCs w:val="24"/>
        </w:rPr>
        <w:t>with monitoring rights and failover evidence</w:t>
      </w:r>
      <w:r w:rsidR="00B03C22">
        <w:rPr>
          <w:rFonts w:asciiTheme="majorBidi" w:hAnsiTheme="majorBidi" w:cstheme="majorBidi"/>
          <w:sz w:val="24"/>
          <w:szCs w:val="24"/>
        </w:rPr>
        <w:t>-</w:t>
      </w:r>
      <w:r w:rsidRPr="009046A2">
        <w:rPr>
          <w:rFonts w:asciiTheme="majorBidi" w:hAnsiTheme="majorBidi" w:cstheme="majorBidi"/>
          <w:sz w:val="24"/>
          <w:szCs w:val="24"/>
        </w:rPr>
        <w:t>so tabletop exercises pair with live failovers and access/audit drills that banks can independently verify</w:t>
      </w:r>
      <w:r w:rsidRPr="009046A2">
        <w:rPr>
          <w:rFonts w:asciiTheme="majorBidi" w:hAnsiTheme="majorBidi" w:cstheme="majorBidi"/>
          <w:sz w:val="24"/>
          <w:szCs w:val="24"/>
          <w:rtl/>
        </w:rPr>
        <w:t>.</w:t>
      </w:r>
    </w:p>
    <w:p w14:paraId="03EF8920" w14:textId="0FC93BC4"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KPMG (2025) translates depth into work design: each scenario specifies RACI owners, SLA clocks, and pre-authorized fallbacks (e.g., conservative curves, pause rules), so tests measure whether governance executes, not whether documents exist. OECD (2022) adds cloud concentration to the scope</w:t>
      </w:r>
      <w:r w:rsidR="00B03C22">
        <w:rPr>
          <w:rFonts w:asciiTheme="majorBidi" w:hAnsiTheme="majorBidi" w:cstheme="majorBidi"/>
          <w:sz w:val="24"/>
          <w:szCs w:val="24"/>
        </w:rPr>
        <w:t>-</w:t>
      </w:r>
      <w:r w:rsidRPr="009046A2">
        <w:rPr>
          <w:rFonts w:asciiTheme="majorBidi" w:hAnsiTheme="majorBidi" w:cstheme="majorBidi"/>
          <w:sz w:val="24"/>
          <w:szCs w:val="24"/>
        </w:rPr>
        <w:t>multi-tenant outages and API throttling</w:t>
      </w:r>
      <w:r w:rsidR="00B03C22">
        <w:rPr>
          <w:rFonts w:asciiTheme="majorBidi" w:hAnsiTheme="majorBidi" w:cstheme="majorBidi"/>
          <w:sz w:val="24"/>
          <w:szCs w:val="24"/>
        </w:rPr>
        <w:t>-</w:t>
      </w:r>
      <w:r w:rsidRPr="009046A2">
        <w:rPr>
          <w:rFonts w:asciiTheme="majorBidi" w:hAnsiTheme="majorBidi" w:cstheme="majorBidi"/>
          <w:sz w:val="24"/>
          <w:szCs w:val="24"/>
        </w:rPr>
        <w:t>while Oet, Bianco, Gramlich, and Ong (2013) insist on data-lineage checkpoints to ensure early-warning and pricing inputs are traceable under stress. Lang, Peltonen, and Sarlin (2018) show that fixed feedback cadences must persist during incidents; thus coverage includes whether review rhythms and named owners survive failover. Habel, Alavi, and Heinitz (2023) further require embedded prompts (next-best actions in CRM), so tests score behavior change, not dashboard visibility</w:t>
      </w:r>
      <w:r w:rsidRPr="009046A2">
        <w:rPr>
          <w:rFonts w:asciiTheme="majorBidi" w:hAnsiTheme="majorBidi" w:cstheme="majorBidi"/>
          <w:sz w:val="24"/>
          <w:szCs w:val="24"/>
          <w:rtl/>
        </w:rPr>
        <w:t>.</w:t>
      </w:r>
    </w:p>
    <w:p w14:paraId="1D87775E" w14:textId="02BDBEC5" w:rsidR="00370164"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In Islamic settings, Islamic Financial Services Board (2024) expands coverage to form–substance artifacts</w:t>
      </w:r>
      <w:r w:rsidR="00B03C22">
        <w:rPr>
          <w:rFonts w:asciiTheme="majorBidi" w:hAnsiTheme="majorBidi" w:cstheme="majorBidi"/>
          <w:sz w:val="24"/>
          <w:szCs w:val="24"/>
        </w:rPr>
        <w:t>-</w:t>
      </w:r>
      <w:r w:rsidRPr="009046A2">
        <w:rPr>
          <w:rFonts w:asciiTheme="majorBidi" w:hAnsiTheme="majorBidi" w:cstheme="majorBidi"/>
          <w:sz w:val="24"/>
          <w:szCs w:val="24"/>
        </w:rPr>
        <w:t>asset evidence, possession/transfer, profit recognition</w:t>
      </w:r>
      <w:r w:rsidR="00B03C22">
        <w:rPr>
          <w:rFonts w:asciiTheme="majorBidi" w:hAnsiTheme="majorBidi" w:cstheme="majorBidi"/>
          <w:sz w:val="24"/>
          <w:szCs w:val="24"/>
        </w:rPr>
        <w:t>-</w:t>
      </w:r>
      <w:r w:rsidRPr="009046A2">
        <w:rPr>
          <w:rFonts w:asciiTheme="majorBidi" w:hAnsiTheme="majorBidi" w:cstheme="majorBidi"/>
          <w:sz w:val="24"/>
          <w:szCs w:val="24"/>
        </w:rPr>
        <w:t>verifying that Shariah checkpoints are captured on a clock even when APIs degrade. Bank for International Settlements (2013) anchors outcomes: coverage is credible when scenarios validate LCR/HQLA-aware pricing/tenor at approval. Practically, this study will view testing coverage via a scenario library size/mix, dependency map completeness, lineage assertions, pass/fail against SLA timers, and evidence pack quality</w:t>
      </w:r>
      <w:r w:rsidR="00B03C22">
        <w:rPr>
          <w:rFonts w:asciiTheme="majorBidi" w:hAnsiTheme="majorBidi" w:cstheme="majorBidi"/>
          <w:sz w:val="24"/>
          <w:szCs w:val="24"/>
        </w:rPr>
        <w:t>-</w:t>
      </w:r>
      <w:r w:rsidRPr="009046A2">
        <w:rPr>
          <w:rFonts w:asciiTheme="majorBidi" w:hAnsiTheme="majorBidi" w:cstheme="majorBidi"/>
          <w:sz w:val="24"/>
          <w:szCs w:val="24"/>
        </w:rPr>
        <w:t>direct markers that the AM–Sales seam can operate under stress rather than merely document intent.</w:t>
      </w:r>
    </w:p>
    <w:p w14:paraId="5DEB3A8A" w14:textId="77777777" w:rsidR="009046A2" w:rsidRPr="009046A2" w:rsidRDefault="009046A2" w:rsidP="002E6F27">
      <w:pPr>
        <w:pStyle w:val="a5"/>
        <w:numPr>
          <w:ilvl w:val="0"/>
          <w:numId w:val="39"/>
        </w:numPr>
        <w:bidi w:val="0"/>
        <w:spacing w:after="120" w:line="276" w:lineRule="auto"/>
        <w:rPr>
          <w:rFonts w:asciiTheme="majorBidi" w:hAnsiTheme="majorBidi" w:cstheme="majorBidi"/>
          <w:sz w:val="24"/>
          <w:szCs w:val="24"/>
        </w:rPr>
      </w:pPr>
      <w:r w:rsidRPr="009046A2">
        <w:rPr>
          <w:rFonts w:asciiTheme="majorBidi" w:hAnsiTheme="majorBidi" w:cstheme="majorBidi"/>
          <w:sz w:val="24"/>
          <w:szCs w:val="24"/>
        </w:rPr>
        <w:t>Mean Time to Recovery (MTTR)</w:t>
      </w:r>
    </w:p>
    <w:p w14:paraId="2431AAAF" w14:textId="77777777"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 xml:space="preserve">Financial Stability Board (2023) treats MTTR as the </w:t>
      </w:r>
      <w:r w:rsidRPr="009046A2">
        <w:rPr>
          <w:rFonts w:asciiTheme="majorBidi" w:hAnsiTheme="majorBidi" w:cstheme="majorBidi"/>
          <w:i/>
          <w:iCs/>
          <w:sz w:val="24"/>
          <w:szCs w:val="24"/>
        </w:rPr>
        <w:t>seams-first</w:t>
      </w:r>
      <w:r w:rsidRPr="009046A2">
        <w:rPr>
          <w:rFonts w:asciiTheme="majorBidi" w:hAnsiTheme="majorBidi" w:cstheme="majorBidi"/>
          <w:sz w:val="24"/>
          <w:szCs w:val="24"/>
        </w:rPr>
        <w:t xml:space="preserve"> indicator of whether governance is executable: recovery time only improves when incident roles, escalation clocks, and pre-authorized fallbacks are designed into AM–Sales workflows, so degraded KYC, pricing, or EWS feeds are handled within timers rather than through ad-hoc workarounds. International Monetary Fund (2023) adds the macro mechanism: in higher-for-longer regimes, every hour of degraded data monetizes into mispricing or liquidity misfit at origination, making MTTR a risk lever, not an IT vanity metric.</w:t>
      </w:r>
    </w:p>
    <w:p w14:paraId="206DBA4B" w14:textId="3B6EE26E"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KPMG (2025) translates MTTR into work design by specifying RACI ownership for “degradation mode,” SLA thresholds for each dependency, and evidence packs that must be completed before service is declared restored; this ensures that “recovery” means decision-grade service (accurate, timely inputs into approval) rather than mere server uptime. OECD (2022) widens the lens to cloud concentration, noting that multi-tenant throttling and regional outages require tested failovers and rate-limit policies, or else MTTR becomes a queue-driven artifact unrelated to decision recovery. U.S. supervisors (2024) reinforce accountability by requiring contracts to embed monitoring rights, auditability, and exit paths</w:t>
      </w:r>
      <w:r w:rsidR="00B03C22">
        <w:rPr>
          <w:rFonts w:asciiTheme="majorBidi" w:hAnsiTheme="majorBidi" w:cstheme="majorBidi"/>
          <w:sz w:val="24"/>
          <w:szCs w:val="24"/>
        </w:rPr>
        <w:t>-</w:t>
      </w:r>
      <w:r w:rsidRPr="009046A2">
        <w:rPr>
          <w:rFonts w:asciiTheme="majorBidi" w:hAnsiTheme="majorBidi" w:cstheme="majorBidi"/>
          <w:sz w:val="24"/>
          <w:szCs w:val="24"/>
        </w:rPr>
        <w:t>conditions that shorten MTTR because the bank can compel vendor diagnostics and switch to fallbacks on a clock.</w:t>
      </w:r>
    </w:p>
    <w:p w14:paraId="2C9083FF" w14:textId="748BBAF1"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From an information perspective, Oet, Bianco, Gramlich, and Ong (2013) show that recovery is hollow if lineage is broken: a fast restart that serves stale or untraceable inputs raises false negatives and erodes approval quality, so MTTR must include lineage restoration (source, refresh time, transformations) as a completion criterion. Lang, Peltonen, and Sarlin (2018) and Habel, Alavi, and Heinitz (2023) converge that behavior normalizes only when feedback cadences and embedded prompts resume</w:t>
      </w:r>
      <w:r w:rsidR="00B03C22">
        <w:rPr>
          <w:rFonts w:asciiTheme="majorBidi" w:hAnsiTheme="majorBidi" w:cstheme="majorBidi"/>
          <w:sz w:val="24"/>
          <w:szCs w:val="24"/>
        </w:rPr>
        <w:t>-</w:t>
      </w:r>
      <w:r w:rsidRPr="009046A2">
        <w:rPr>
          <w:rFonts w:asciiTheme="majorBidi" w:hAnsiTheme="majorBidi" w:cstheme="majorBidi"/>
          <w:sz w:val="24"/>
          <w:szCs w:val="24"/>
        </w:rPr>
        <w:t>therefore, MTTR should end when cadence resumes in CRM (next-best actions reappear, owners re-engage), not when a dashboard turns green.</w:t>
      </w:r>
    </w:p>
    <w:p w14:paraId="3F24A2AE" w14:textId="77777777"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In Islamic contexts, Islamic Financial Services Board (2024) and van Greuning and Iqbal (2008) imply that MTTR also covers form–substance continuity: during incidents, the bank must still capture asset evidence, possession/transfer, and profit-recognition proofs; recovery is incomplete if these artifacts lag, because enforcement and credit outcomes will suffer later. Bank for International Settlements (2013) links MTTR to prudential fit: delayed restoration of funding curves or HQLA signals distorts pricing/tenor at approval, so recovery definitions must include LCR/HQLA data freshness.</w:t>
      </w:r>
    </w:p>
    <w:p w14:paraId="5934DCFC" w14:textId="77777777" w:rsid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Implications for this study. Guided by FSB (2023) and KPMG (2025), MTTR will be measured as decision-grade recovery time: minutes from incident detection to</w:t>
      </w:r>
      <w:r>
        <w:rPr>
          <w:rFonts w:asciiTheme="majorBidi" w:hAnsiTheme="majorBidi" w:cstheme="majorBidi"/>
          <w:sz w:val="24"/>
          <w:szCs w:val="24"/>
        </w:rPr>
        <w:t>:</w:t>
      </w:r>
    </w:p>
    <w:p w14:paraId="172A8868" w14:textId="77777777" w:rsidR="009046A2" w:rsidRPr="009046A2" w:rsidRDefault="009046A2" w:rsidP="002E6F27">
      <w:pPr>
        <w:pStyle w:val="a5"/>
        <w:numPr>
          <w:ilvl w:val="0"/>
          <w:numId w:val="40"/>
        </w:numPr>
        <w:bidi w:val="0"/>
        <w:spacing w:after="120" w:line="276" w:lineRule="auto"/>
        <w:jc w:val="both"/>
        <w:rPr>
          <w:rFonts w:asciiTheme="majorBidi" w:hAnsiTheme="majorBidi" w:cstheme="majorBidi"/>
          <w:sz w:val="24"/>
          <w:szCs w:val="24"/>
        </w:rPr>
      </w:pPr>
      <w:r w:rsidRPr="009046A2">
        <w:rPr>
          <w:rFonts w:asciiTheme="majorBidi" w:hAnsiTheme="majorBidi" w:cstheme="majorBidi"/>
          <w:sz w:val="24"/>
          <w:szCs w:val="24"/>
        </w:rPr>
        <w:t>lineage-verified data available in CRM/risk tools</w:t>
      </w:r>
    </w:p>
    <w:p w14:paraId="4C622E7F" w14:textId="77777777" w:rsidR="009046A2" w:rsidRPr="009046A2" w:rsidRDefault="009046A2" w:rsidP="002E6F27">
      <w:pPr>
        <w:pStyle w:val="a5"/>
        <w:numPr>
          <w:ilvl w:val="0"/>
          <w:numId w:val="40"/>
        </w:numPr>
        <w:bidi w:val="0"/>
        <w:spacing w:after="120" w:line="276" w:lineRule="auto"/>
        <w:jc w:val="both"/>
        <w:rPr>
          <w:rFonts w:asciiTheme="majorBidi" w:hAnsiTheme="majorBidi" w:cstheme="majorBidi"/>
          <w:sz w:val="24"/>
          <w:szCs w:val="24"/>
        </w:rPr>
      </w:pPr>
      <w:r w:rsidRPr="009046A2">
        <w:rPr>
          <w:rFonts w:asciiTheme="majorBidi" w:hAnsiTheme="majorBidi" w:cstheme="majorBidi"/>
          <w:sz w:val="24"/>
          <w:szCs w:val="24"/>
        </w:rPr>
        <w:t>cadence resumption with named owners.</w:t>
      </w:r>
    </w:p>
    <w:p w14:paraId="03801E1C" w14:textId="77777777" w:rsidR="009046A2" w:rsidRPr="009046A2" w:rsidRDefault="009046A2" w:rsidP="002E6F27">
      <w:pPr>
        <w:pStyle w:val="a5"/>
        <w:numPr>
          <w:ilvl w:val="0"/>
          <w:numId w:val="40"/>
        </w:numPr>
        <w:bidi w:val="0"/>
        <w:spacing w:after="120" w:line="276" w:lineRule="auto"/>
        <w:jc w:val="both"/>
        <w:rPr>
          <w:rFonts w:asciiTheme="majorBidi" w:hAnsiTheme="majorBidi" w:cstheme="majorBidi"/>
          <w:sz w:val="24"/>
          <w:szCs w:val="24"/>
        </w:rPr>
      </w:pPr>
      <w:r w:rsidRPr="009046A2">
        <w:rPr>
          <w:rFonts w:asciiTheme="majorBidi" w:hAnsiTheme="majorBidi" w:cstheme="majorBidi"/>
          <w:sz w:val="24"/>
          <w:szCs w:val="24"/>
        </w:rPr>
        <w:t>re-activation of pre-authorized fallbacks or closure thereof.</w:t>
      </w:r>
    </w:p>
    <w:p w14:paraId="2B632133" w14:textId="4E550843" w:rsidR="009046A2" w:rsidRPr="009046A2" w:rsidRDefault="009046A2" w:rsidP="002E6F27">
      <w:pPr>
        <w:pStyle w:val="a5"/>
        <w:numPr>
          <w:ilvl w:val="0"/>
          <w:numId w:val="40"/>
        </w:numPr>
        <w:bidi w:val="0"/>
        <w:spacing w:after="120" w:line="276" w:lineRule="auto"/>
        <w:jc w:val="both"/>
        <w:rPr>
          <w:rFonts w:asciiTheme="majorBidi" w:hAnsiTheme="majorBidi" w:cstheme="majorBidi"/>
          <w:sz w:val="24"/>
          <w:szCs w:val="24"/>
        </w:rPr>
      </w:pPr>
      <w:r w:rsidRPr="009046A2">
        <w:rPr>
          <w:rFonts w:asciiTheme="majorBidi" w:hAnsiTheme="majorBidi" w:cstheme="majorBidi"/>
          <w:sz w:val="24"/>
          <w:szCs w:val="24"/>
        </w:rPr>
        <w:t xml:space="preserve">availability of LCR/funding inputs for approval (BIS, 2013). </w:t>
      </w:r>
    </w:p>
    <w:p w14:paraId="7B81CD44" w14:textId="650FD4C9"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IMF (2023) motivates reporting MTTR under stress windows; OECD (2022) and U.S. supervisors (2024) justify splits by vendor/cloud domain. This operational definition ties MTTR directly to the dependent variable’s Operational Resilience &amp; Third-Party Risk Control dimension and bridges to the next subsection on control remediation quality, where post-incident fixes determine whether future MTTR actually falls.</w:t>
      </w:r>
    </w:p>
    <w:p w14:paraId="18D6DF94" w14:textId="77777777" w:rsidR="009046A2" w:rsidRPr="009046A2" w:rsidRDefault="009046A2" w:rsidP="002E6F27">
      <w:pPr>
        <w:pStyle w:val="a5"/>
        <w:numPr>
          <w:ilvl w:val="0"/>
          <w:numId w:val="39"/>
        </w:numPr>
        <w:bidi w:val="0"/>
        <w:spacing w:after="120" w:line="276" w:lineRule="auto"/>
        <w:rPr>
          <w:rFonts w:asciiTheme="majorBidi" w:hAnsiTheme="majorBidi" w:cstheme="majorBidi"/>
          <w:sz w:val="24"/>
          <w:szCs w:val="24"/>
        </w:rPr>
      </w:pPr>
      <w:r w:rsidRPr="009046A2">
        <w:rPr>
          <w:rFonts w:asciiTheme="majorBidi" w:hAnsiTheme="majorBidi" w:cstheme="majorBidi"/>
          <w:sz w:val="24"/>
          <w:szCs w:val="24"/>
        </w:rPr>
        <w:t>Control Remediation Quality</w:t>
      </w:r>
    </w:p>
    <w:p w14:paraId="064BFF72" w14:textId="77777777"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 xml:space="preserve">Picking up from MTTR, Financial Stability Board (2023) argues that remediation quality is what prevents the </w:t>
      </w:r>
      <w:r w:rsidRPr="009046A2">
        <w:rPr>
          <w:rFonts w:asciiTheme="majorBidi" w:hAnsiTheme="majorBidi" w:cstheme="majorBidi"/>
          <w:i/>
          <w:iCs/>
          <w:sz w:val="24"/>
          <w:szCs w:val="24"/>
        </w:rPr>
        <w:t>same</w:t>
      </w:r>
      <w:r w:rsidRPr="009046A2">
        <w:rPr>
          <w:rFonts w:asciiTheme="majorBidi" w:hAnsiTheme="majorBidi" w:cstheme="majorBidi"/>
          <w:sz w:val="24"/>
          <w:szCs w:val="24"/>
        </w:rPr>
        <w:t xml:space="preserve"> outage or control break from reappearing: fixes must be root-cause based, owned by named roles, and time-boxed with objective exit criteria, not simply ticket closures. International Monetary Fund (2023) adds that in higher-for-longer regimes, weak remediation monetizes into </w:t>
      </w:r>
      <w:r w:rsidRPr="009046A2">
        <w:rPr>
          <w:rFonts w:asciiTheme="majorBidi" w:hAnsiTheme="majorBidi" w:cstheme="majorBidi"/>
          <w:i/>
          <w:iCs/>
          <w:sz w:val="24"/>
          <w:szCs w:val="24"/>
        </w:rPr>
        <w:t>recurring mispricing and liquidity misfit</w:t>
      </w:r>
      <w:r w:rsidRPr="009046A2">
        <w:rPr>
          <w:rFonts w:asciiTheme="majorBidi" w:hAnsiTheme="majorBidi" w:cstheme="majorBidi"/>
          <w:sz w:val="24"/>
          <w:szCs w:val="24"/>
        </w:rPr>
        <w:t>, so post-incident work is a risk lever, not housekeeping.</w:t>
      </w:r>
    </w:p>
    <w:p w14:paraId="23B66E57" w14:textId="77777777" w:rsidR="009046A2" w:rsidRPr="00D5410C" w:rsidRDefault="009046A2" w:rsidP="002E6F27">
      <w:pPr>
        <w:pStyle w:val="a5"/>
        <w:numPr>
          <w:ilvl w:val="0"/>
          <w:numId w:val="41"/>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KPMG (2025) translates this into work design: remediation charters should specify:</w:t>
      </w:r>
    </w:p>
    <w:p w14:paraId="2692ECDC" w14:textId="6D957435" w:rsidR="009046A2" w:rsidRPr="00D5410C" w:rsidRDefault="009046A2" w:rsidP="002E6F27">
      <w:pPr>
        <w:pStyle w:val="a5"/>
        <w:numPr>
          <w:ilvl w:val="0"/>
          <w:numId w:val="41"/>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RACI ownership for the broken seam (e.g., pricing feed, KYC pipeline).</w:t>
      </w:r>
    </w:p>
    <w:p w14:paraId="37F46A46" w14:textId="77777777" w:rsidR="00D5410C" w:rsidRPr="00D5410C" w:rsidRDefault="009046A2" w:rsidP="002E6F27">
      <w:pPr>
        <w:pStyle w:val="a5"/>
        <w:numPr>
          <w:ilvl w:val="0"/>
          <w:numId w:val="41"/>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thresholds and SLA clocks for interim controls</w:t>
      </w:r>
      <w:r w:rsidR="00D5410C" w:rsidRPr="00D5410C">
        <w:rPr>
          <w:rFonts w:asciiTheme="majorBidi" w:hAnsiTheme="majorBidi" w:cstheme="majorBidi"/>
          <w:sz w:val="24"/>
          <w:szCs w:val="24"/>
        </w:rPr>
        <w:t>.</w:t>
      </w:r>
    </w:p>
    <w:p w14:paraId="09B775B0" w14:textId="77777777" w:rsidR="00D5410C" w:rsidRPr="00D5410C" w:rsidRDefault="009046A2" w:rsidP="002E6F27">
      <w:pPr>
        <w:pStyle w:val="a5"/>
        <w:numPr>
          <w:ilvl w:val="0"/>
          <w:numId w:val="41"/>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the evidence pack required to declare success (test cases, decision logs, before/after metrics).</w:t>
      </w:r>
    </w:p>
    <w:p w14:paraId="2C936140" w14:textId="3744E634" w:rsidR="009046A2" w:rsidRPr="009046A2" w:rsidRDefault="009046A2" w:rsidP="00D5410C">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U.S. supervisors (2024) reinforce accountability where third parties are involved: banks must secure monitoring rights, audit trails, and exit paths so vendor fixes can be verified and, if needed, replaced</w:t>
      </w:r>
      <w:r w:rsidR="00B03C22">
        <w:rPr>
          <w:rFonts w:asciiTheme="majorBidi" w:hAnsiTheme="majorBidi" w:cstheme="majorBidi"/>
          <w:sz w:val="24"/>
          <w:szCs w:val="24"/>
        </w:rPr>
        <w:t>-</w:t>
      </w:r>
      <w:r w:rsidRPr="009046A2">
        <w:rPr>
          <w:rFonts w:asciiTheme="majorBidi" w:hAnsiTheme="majorBidi" w:cstheme="majorBidi"/>
          <w:sz w:val="24"/>
          <w:szCs w:val="24"/>
        </w:rPr>
        <w:t>a precondition for credible closure.</w:t>
      </w:r>
    </w:p>
    <w:p w14:paraId="2D06ADDE" w14:textId="77777777"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From a data perspective, Oet, Bianco, Gramlich, and Ong (2013) warn that remediation fails if lineage is not restored; serving fast but untraceable inputs recreates false negatives in early warning and credit screening. Lang, Peltonen, and Sarlin (2018) show closure is credible only when feedback cadences resume (alerts reviewed on schedule by named owners), while Habel, Alavi, and Heinitz (2023) emphasize embedding: controls must live in CRM/risk workflows as next-best-actions, or behavior reverts to workarounds. OECD (2022) adds a cloud lens: for concentration risks, remediation should include tested failovers and rate-limit policies, not just vendor promises.</w:t>
      </w:r>
    </w:p>
    <w:p w14:paraId="7448DA6A" w14:textId="77777777" w:rsidR="009046A2" w:rsidRPr="009046A2"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 xml:space="preserve">Prudentially, Bank for International Settlements (2013) provides external anchors: closures are stronger when fixes demonstrably re-internalize LCR/HQLA and funding costs into </w:t>
      </w:r>
      <w:r w:rsidRPr="009046A2">
        <w:rPr>
          <w:rFonts w:asciiTheme="majorBidi" w:hAnsiTheme="majorBidi" w:cstheme="majorBidi"/>
          <w:i/>
          <w:iCs/>
          <w:sz w:val="24"/>
          <w:szCs w:val="24"/>
        </w:rPr>
        <w:t>pricing/tenor at approval</w:t>
      </w:r>
      <w:r w:rsidRPr="009046A2">
        <w:rPr>
          <w:rFonts w:asciiTheme="majorBidi" w:hAnsiTheme="majorBidi" w:cstheme="majorBidi"/>
          <w:sz w:val="24"/>
          <w:szCs w:val="24"/>
        </w:rPr>
        <w:t xml:space="preserve"> (e.g., restored transfer-pricing feeds, refreshed liquidity ladders). In Islamic settings, Islamic Financial Services Board (2024) and van Greuning and Iqbal (2008) insist that remediation also protect form–substance: playbooks must ensure the bank can still capture asset evidence, possession/transfer, and profit recognition on a clock during degraded modes; otherwise, control “fixes” migrate into credit/operational losses later.</w:t>
      </w:r>
    </w:p>
    <w:p w14:paraId="2F37AFBF" w14:textId="77777777" w:rsidR="00D5410C" w:rsidRDefault="009046A2" w:rsidP="009046A2">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What this means for measurement. Guided by FSB (2023) and KPMG (2025), this study will treat remediation quality as a scored bundle:</w:t>
      </w:r>
    </w:p>
    <w:p w14:paraId="3039684F" w14:textId="77777777"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presence of a root-cause analysis tied to the broken seam</w:t>
      </w:r>
      <w:r w:rsidR="00D5410C" w:rsidRPr="00D5410C">
        <w:rPr>
          <w:rFonts w:asciiTheme="majorBidi" w:hAnsiTheme="majorBidi" w:cstheme="majorBidi"/>
          <w:sz w:val="24"/>
          <w:szCs w:val="24"/>
        </w:rPr>
        <w:t>.</w:t>
      </w:r>
    </w:p>
    <w:p w14:paraId="5A46AF47" w14:textId="77777777"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RACI-named owners and SLA dates</w:t>
      </w:r>
      <w:r w:rsidR="00D5410C" w:rsidRPr="00D5410C">
        <w:rPr>
          <w:rFonts w:asciiTheme="majorBidi" w:hAnsiTheme="majorBidi" w:cstheme="majorBidi"/>
          <w:sz w:val="24"/>
          <w:szCs w:val="24"/>
        </w:rPr>
        <w:t>.</w:t>
      </w:r>
    </w:p>
    <w:p w14:paraId="51FB6E23" w14:textId="1E4B2D55"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lineage-verified data restoration (Oet et al., 2013)</w:t>
      </w:r>
      <w:r w:rsidR="00D5410C" w:rsidRPr="00D5410C">
        <w:rPr>
          <w:rFonts w:asciiTheme="majorBidi" w:hAnsiTheme="majorBidi" w:cstheme="majorBidi"/>
          <w:sz w:val="24"/>
          <w:szCs w:val="24"/>
        </w:rPr>
        <w:t>.</w:t>
      </w:r>
    </w:p>
    <w:p w14:paraId="4BB92500" w14:textId="77777777"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resumption of cadenced reviews with evidence of actions (Lang et al., 2018)</w:t>
      </w:r>
      <w:r w:rsidR="00D5410C" w:rsidRPr="00D5410C">
        <w:rPr>
          <w:rFonts w:asciiTheme="majorBidi" w:hAnsiTheme="majorBidi" w:cstheme="majorBidi"/>
          <w:sz w:val="24"/>
          <w:szCs w:val="24"/>
        </w:rPr>
        <w:t>.</w:t>
      </w:r>
    </w:p>
    <w:p w14:paraId="29F594C0" w14:textId="77777777"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workflow embedding of the new controls (Habel et al., 2023)</w:t>
      </w:r>
      <w:r w:rsidR="00D5410C" w:rsidRPr="00D5410C">
        <w:rPr>
          <w:rFonts w:asciiTheme="majorBidi" w:hAnsiTheme="majorBidi" w:cstheme="majorBidi"/>
          <w:sz w:val="24"/>
          <w:szCs w:val="24"/>
        </w:rPr>
        <w:t>.</w:t>
      </w:r>
    </w:p>
    <w:p w14:paraId="4A23A438" w14:textId="77777777"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prudential re-fit to LCR/HQLA/funding signals (BIS, 2013)</w:t>
      </w:r>
      <w:r w:rsidR="00D5410C" w:rsidRPr="00D5410C">
        <w:rPr>
          <w:rFonts w:asciiTheme="majorBidi" w:hAnsiTheme="majorBidi" w:cstheme="majorBidi"/>
          <w:sz w:val="24"/>
          <w:szCs w:val="24"/>
        </w:rPr>
        <w:t>.</w:t>
      </w:r>
    </w:p>
    <w:p w14:paraId="2F3705B8" w14:textId="545FE2AB" w:rsidR="00D5410C" w:rsidRPr="00D5410C" w:rsidRDefault="009046A2" w:rsidP="002E6F27">
      <w:pPr>
        <w:pStyle w:val="a5"/>
        <w:numPr>
          <w:ilvl w:val="0"/>
          <w:numId w:val="42"/>
        </w:numPr>
        <w:bidi w:val="0"/>
        <w:spacing w:after="120" w:line="276" w:lineRule="auto"/>
        <w:jc w:val="both"/>
        <w:rPr>
          <w:rFonts w:asciiTheme="majorBidi" w:hAnsiTheme="majorBidi" w:cstheme="majorBidi"/>
          <w:sz w:val="24"/>
          <w:szCs w:val="24"/>
        </w:rPr>
      </w:pPr>
      <w:r w:rsidRPr="00D5410C">
        <w:rPr>
          <w:rFonts w:asciiTheme="majorBidi" w:hAnsiTheme="majorBidi" w:cstheme="majorBidi"/>
          <w:sz w:val="24"/>
          <w:szCs w:val="24"/>
        </w:rPr>
        <w:t xml:space="preserve">Shariah-form continuity proofs (Islamic Financial Services Board, 2024). </w:t>
      </w:r>
    </w:p>
    <w:p w14:paraId="29EFFA43" w14:textId="5DF58688" w:rsidR="009046A2" w:rsidRPr="009046A2" w:rsidRDefault="009046A2" w:rsidP="00D5410C">
      <w:pPr>
        <w:bidi w:val="0"/>
        <w:spacing w:after="120" w:line="276" w:lineRule="auto"/>
        <w:ind w:firstLine="284"/>
        <w:jc w:val="both"/>
        <w:rPr>
          <w:rFonts w:asciiTheme="majorBidi" w:hAnsiTheme="majorBidi" w:cstheme="majorBidi"/>
          <w:sz w:val="24"/>
          <w:szCs w:val="24"/>
        </w:rPr>
      </w:pPr>
      <w:r w:rsidRPr="009046A2">
        <w:rPr>
          <w:rFonts w:asciiTheme="majorBidi" w:hAnsiTheme="majorBidi" w:cstheme="majorBidi"/>
          <w:sz w:val="24"/>
          <w:szCs w:val="24"/>
        </w:rPr>
        <w:t>High scores should coincide with falling override rates, faster breach-to-action times, and flatter NPL vintages, linking remediation to the dependent variable’s Operational Resilience &amp; Third-Party Risk Control dimension and closing the loop with the AM–Sales seam established earlier.</w:t>
      </w:r>
    </w:p>
    <w:p w14:paraId="689143EF" w14:textId="3FF6B2B6" w:rsidR="00370164" w:rsidRPr="009046A2" w:rsidRDefault="00D5410C" w:rsidP="00D5410C">
      <w:pPr>
        <w:pStyle w:val="3"/>
      </w:pPr>
      <w:bookmarkStart w:id="77" w:name="_Toc214621150"/>
      <w:r w:rsidRPr="00D5410C">
        <w:t>Measurement in Prior Studies</w:t>
      </w:r>
      <w:bookmarkEnd w:id="77"/>
    </w:p>
    <w:p w14:paraId="29C82675" w14:textId="5BA846FB" w:rsidR="00D5410C" w:rsidRPr="00D5410C" w:rsidRDefault="00D5410C" w:rsidP="002E6F27">
      <w:pPr>
        <w:pStyle w:val="a5"/>
        <w:numPr>
          <w:ilvl w:val="0"/>
          <w:numId w:val="43"/>
        </w:numPr>
        <w:bidi w:val="0"/>
        <w:spacing w:after="120" w:line="276" w:lineRule="auto"/>
        <w:rPr>
          <w:rFonts w:asciiTheme="majorBidi" w:hAnsiTheme="majorBidi" w:cstheme="majorBidi"/>
          <w:sz w:val="24"/>
          <w:szCs w:val="24"/>
        </w:rPr>
      </w:pPr>
      <w:r w:rsidRPr="00D5410C">
        <w:rPr>
          <w:rFonts w:asciiTheme="majorBidi" w:hAnsiTheme="majorBidi" w:cstheme="majorBidi"/>
          <w:sz w:val="24"/>
          <w:szCs w:val="24"/>
        </w:rPr>
        <w:t xml:space="preserve">Objective vs. Perceptual Measures </w:t>
      </w:r>
      <w:r w:rsidR="00B03C22">
        <w:rPr>
          <w:rFonts w:asciiTheme="majorBidi" w:hAnsiTheme="majorBidi" w:cstheme="majorBidi"/>
          <w:sz w:val="24"/>
          <w:szCs w:val="24"/>
        </w:rPr>
        <w:t>-</w:t>
      </w:r>
      <w:r w:rsidRPr="00D5410C">
        <w:rPr>
          <w:rFonts w:asciiTheme="majorBidi" w:hAnsiTheme="majorBidi" w:cstheme="majorBidi"/>
          <w:sz w:val="24"/>
          <w:szCs w:val="24"/>
        </w:rPr>
        <w:t xml:space="preserve"> why a hybrid is superior</w:t>
      </w:r>
    </w:p>
    <w:p w14:paraId="7E782433" w14:textId="12BD4C98" w:rsidR="00D5410C" w:rsidRPr="00D5410C" w:rsidRDefault="00D5410C" w:rsidP="00D5410C">
      <w:pPr>
        <w:bidi w:val="0"/>
        <w:spacing w:after="120" w:line="276" w:lineRule="auto"/>
        <w:ind w:firstLine="284"/>
        <w:jc w:val="both"/>
        <w:rPr>
          <w:rFonts w:asciiTheme="majorBidi" w:hAnsiTheme="majorBidi" w:cstheme="majorBidi"/>
          <w:sz w:val="24"/>
          <w:szCs w:val="24"/>
        </w:rPr>
      </w:pPr>
      <w:r w:rsidRPr="00D5410C">
        <w:rPr>
          <w:rFonts w:asciiTheme="majorBidi" w:hAnsiTheme="majorBidi" w:cstheme="majorBidi"/>
          <w:sz w:val="24"/>
          <w:szCs w:val="24"/>
        </w:rPr>
        <w:t>What each lens captures. Bank for International Settlements (2013) anchors the objective side in observable prudential outcomes</w:t>
      </w:r>
      <w:r w:rsidR="00B03C22">
        <w:rPr>
          <w:rFonts w:asciiTheme="majorBidi" w:hAnsiTheme="majorBidi" w:cstheme="majorBidi"/>
          <w:sz w:val="24"/>
          <w:szCs w:val="24"/>
        </w:rPr>
        <w:t>-</w:t>
      </w:r>
      <w:r w:rsidRPr="00D5410C">
        <w:rPr>
          <w:rFonts w:asciiTheme="majorBidi" w:hAnsiTheme="majorBidi" w:cstheme="majorBidi"/>
          <w:sz w:val="24"/>
          <w:szCs w:val="24"/>
        </w:rPr>
        <w:t>LCR/HQLA fit at approval, tenor-mismatch breaches, pricing-floor adherence, override frequency/severity, breach-to-action latency, covenant breach rates, vintage roll-rates/NPL migration, MTTR, and SLA compliance</w:t>
      </w:r>
      <w:r w:rsidR="00B03C22">
        <w:rPr>
          <w:rFonts w:asciiTheme="majorBidi" w:hAnsiTheme="majorBidi" w:cstheme="majorBidi"/>
          <w:sz w:val="24"/>
          <w:szCs w:val="24"/>
        </w:rPr>
        <w:t>-</w:t>
      </w:r>
      <w:r w:rsidRPr="00D5410C">
        <w:rPr>
          <w:rFonts w:asciiTheme="majorBidi" w:hAnsiTheme="majorBidi" w:cstheme="majorBidi"/>
          <w:sz w:val="24"/>
          <w:szCs w:val="24"/>
        </w:rPr>
        <w:t>arguing that effectiveness is ultimately evidenced in cash-flow and control timing. International Monetary Fund (2023) complements this by treating risk as execution under uncertainty, which elevates perceptual indicators for routines that are hard to see in ledgers</w:t>
      </w:r>
      <w:r w:rsidR="00B03C22">
        <w:rPr>
          <w:rFonts w:asciiTheme="majorBidi" w:hAnsiTheme="majorBidi" w:cstheme="majorBidi"/>
          <w:sz w:val="24"/>
          <w:szCs w:val="24"/>
        </w:rPr>
        <w:t>-</w:t>
      </w:r>
      <w:r w:rsidRPr="00D5410C">
        <w:rPr>
          <w:rFonts w:asciiTheme="majorBidi" w:hAnsiTheme="majorBidi" w:cstheme="majorBidi"/>
          <w:sz w:val="24"/>
          <w:szCs w:val="24"/>
        </w:rPr>
        <w:t>cadence quality, co-visibility, lineage trust, KPI alignment, and RACI clarity</w:t>
      </w:r>
      <w:r w:rsidR="00B03C22">
        <w:rPr>
          <w:rFonts w:asciiTheme="majorBidi" w:hAnsiTheme="majorBidi" w:cstheme="majorBidi"/>
          <w:sz w:val="24"/>
          <w:szCs w:val="24"/>
        </w:rPr>
        <w:t>-</w:t>
      </w:r>
      <w:r w:rsidRPr="00D5410C">
        <w:rPr>
          <w:rFonts w:asciiTheme="majorBidi" w:hAnsiTheme="majorBidi" w:cstheme="majorBidi"/>
          <w:sz w:val="24"/>
          <w:szCs w:val="24"/>
        </w:rPr>
        <w:t>because these proximal processes shape the very outcomes the objective metrics record</w:t>
      </w:r>
      <w:r w:rsidRPr="00D5410C">
        <w:rPr>
          <w:rFonts w:asciiTheme="majorBidi" w:hAnsiTheme="majorBidi" w:cstheme="majorBidi"/>
          <w:sz w:val="24"/>
          <w:szCs w:val="24"/>
          <w:rtl/>
        </w:rPr>
        <w:t>.</w:t>
      </w:r>
    </w:p>
    <w:p w14:paraId="6211C697" w14:textId="13A0BC9E" w:rsidR="00D5410C" w:rsidRPr="00D5410C" w:rsidRDefault="00D5410C" w:rsidP="00D5410C">
      <w:pPr>
        <w:bidi w:val="0"/>
        <w:spacing w:after="120" w:line="276" w:lineRule="auto"/>
        <w:ind w:firstLine="284"/>
        <w:jc w:val="both"/>
        <w:rPr>
          <w:rFonts w:asciiTheme="majorBidi" w:hAnsiTheme="majorBidi" w:cstheme="majorBidi"/>
          <w:sz w:val="24"/>
          <w:szCs w:val="24"/>
        </w:rPr>
      </w:pPr>
      <w:r w:rsidRPr="00D5410C">
        <w:rPr>
          <w:rFonts w:asciiTheme="majorBidi" w:hAnsiTheme="majorBidi" w:cstheme="majorBidi"/>
          <w:sz w:val="24"/>
          <w:szCs w:val="24"/>
        </w:rPr>
        <w:t>Bias, feasibility, and triangulation. Financial Stability Board (2023) warns that single-source perceptions inflate findings unless paired with trace data (decision logs, escalation clocks, override registers), while KPMG (2025) shows how work-design artifacts</w:t>
      </w:r>
      <w:r w:rsidR="00B03C22">
        <w:rPr>
          <w:rFonts w:asciiTheme="majorBidi" w:hAnsiTheme="majorBidi" w:cstheme="majorBidi"/>
          <w:sz w:val="24"/>
          <w:szCs w:val="24"/>
        </w:rPr>
        <w:t>-</w:t>
      </w:r>
      <w:r w:rsidRPr="00D5410C">
        <w:rPr>
          <w:rFonts w:asciiTheme="majorBidi" w:hAnsiTheme="majorBidi" w:cstheme="majorBidi"/>
          <w:sz w:val="24"/>
          <w:szCs w:val="24"/>
        </w:rPr>
        <w:t>RACI charts, thresholds, and SLAs</w:t>
      </w:r>
      <w:r w:rsidR="00B03C22">
        <w:rPr>
          <w:rFonts w:asciiTheme="majorBidi" w:hAnsiTheme="majorBidi" w:cstheme="majorBidi"/>
          <w:sz w:val="24"/>
          <w:szCs w:val="24"/>
        </w:rPr>
        <w:t>-</w:t>
      </w:r>
      <w:r w:rsidRPr="00D5410C">
        <w:rPr>
          <w:rFonts w:asciiTheme="majorBidi" w:hAnsiTheme="majorBidi" w:cstheme="majorBidi"/>
          <w:sz w:val="24"/>
          <w:szCs w:val="24"/>
        </w:rPr>
        <w:t>can be harvested to validate survey claims, reducing common-method bias. Habel, Alavi, and Heinitz (2023) find that analytics change behavior only when embedded in workflow, so perceptual items should ask about embedded prompts/next-best-actions, then be checked against system timestamps for co-movement. Lang, Peltonen, and Sarlin (2018) add that fixed feedback cadences are the mechanism linking routines to outcomes; accordingly, perceived cadence should correlate with lower false-negative rates and faster breach-to-action in logs</w:t>
      </w:r>
      <w:r w:rsidRPr="00D5410C">
        <w:rPr>
          <w:rFonts w:asciiTheme="majorBidi" w:hAnsiTheme="majorBidi" w:cstheme="majorBidi"/>
          <w:sz w:val="24"/>
          <w:szCs w:val="24"/>
          <w:rtl/>
        </w:rPr>
        <w:t>.</w:t>
      </w:r>
    </w:p>
    <w:p w14:paraId="0D0D0BFB" w14:textId="374E4BE8" w:rsidR="00370164" w:rsidRPr="009046A2" w:rsidRDefault="00D5410C" w:rsidP="00D5410C">
      <w:pPr>
        <w:bidi w:val="0"/>
        <w:spacing w:after="120" w:line="276" w:lineRule="auto"/>
        <w:ind w:firstLine="284"/>
        <w:jc w:val="both"/>
        <w:rPr>
          <w:rFonts w:asciiTheme="majorBidi" w:hAnsiTheme="majorBidi" w:cstheme="majorBidi"/>
          <w:sz w:val="24"/>
          <w:szCs w:val="24"/>
        </w:rPr>
      </w:pPr>
      <w:r w:rsidRPr="00D5410C">
        <w:rPr>
          <w:rFonts w:asciiTheme="majorBidi" w:hAnsiTheme="majorBidi" w:cstheme="majorBidi"/>
          <w:sz w:val="24"/>
          <w:szCs w:val="24"/>
        </w:rPr>
        <w:t>Design choice for this study. BIS (2013) provides external anchors for criterion validity (e.g., liquidity/market fit, tenor controls), while IMF (2023) justifies keeping perceptual subscales to capture how AM–Sales execute under volatility. FSB (2023) and KPMG (2025) therefore support a hybrid design: use perceptual Likert scales for the four IV dimensions (cadence, information integration, KPI alignment, RACI) and objective DV markers (pre-deal completeness, override/latency metrics, covenant performance, liquidity-fit flags, MTTR/SLA). In Islamic contexts, Islamic Financial Services Board (2024) recommends adding form–substance completeness rates (asset evidence, possession/transfer, profit recognition) as objective checks against perceived Shariah workflow quality</w:t>
      </w:r>
      <w:r w:rsidR="00B03C22">
        <w:rPr>
          <w:rFonts w:asciiTheme="majorBidi" w:hAnsiTheme="majorBidi" w:cstheme="majorBidi"/>
          <w:sz w:val="24"/>
          <w:szCs w:val="24"/>
        </w:rPr>
        <w:t>-</w:t>
      </w:r>
      <w:r w:rsidRPr="00D5410C">
        <w:rPr>
          <w:rFonts w:asciiTheme="majorBidi" w:hAnsiTheme="majorBidi" w:cstheme="majorBidi"/>
          <w:sz w:val="24"/>
          <w:szCs w:val="24"/>
        </w:rPr>
        <w:t>ensuring that what teams say they do is reflected in auditable artifacts and downstream loss behavior.</w:t>
      </w:r>
    </w:p>
    <w:p w14:paraId="68AD1931" w14:textId="3C2DF9FC" w:rsidR="00DB758C" w:rsidRPr="00DB758C" w:rsidRDefault="00DB758C" w:rsidP="002E6F27">
      <w:pPr>
        <w:pStyle w:val="a5"/>
        <w:numPr>
          <w:ilvl w:val="0"/>
          <w:numId w:val="43"/>
        </w:numPr>
        <w:bidi w:val="0"/>
        <w:spacing w:after="120" w:line="276" w:lineRule="auto"/>
        <w:rPr>
          <w:rFonts w:asciiTheme="majorBidi" w:hAnsiTheme="majorBidi" w:cstheme="majorBidi"/>
          <w:sz w:val="24"/>
          <w:szCs w:val="24"/>
        </w:rPr>
      </w:pPr>
      <w:r w:rsidRPr="00DB758C">
        <w:rPr>
          <w:rFonts w:asciiTheme="majorBidi" w:hAnsiTheme="majorBidi" w:cstheme="majorBidi"/>
          <w:sz w:val="24"/>
          <w:szCs w:val="24"/>
        </w:rPr>
        <w:t xml:space="preserve">Composite Indices </w:t>
      </w:r>
      <w:r w:rsidR="00B03C22">
        <w:rPr>
          <w:rFonts w:asciiTheme="majorBidi" w:hAnsiTheme="majorBidi" w:cstheme="majorBidi"/>
          <w:sz w:val="24"/>
          <w:szCs w:val="24"/>
        </w:rPr>
        <w:t>-</w:t>
      </w:r>
      <w:r w:rsidRPr="00DB758C">
        <w:rPr>
          <w:rFonts w:asciiTheme="majorBidi" w:hAnsiTheme="majorBidi" w:cstheme="majorBidi"/>
          <w:sz w:val="24"/>
          <w:szCs w:val="24"/>
        </w:rPr>
        <w:t xml:space="preserve"> building credible multi-signal scores</w:t>
      </w:r>
    </w:p>
    <w:p w14:paraId="53AC6C08" w14:textId="55977479"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Why compose? International Monetary Fund (2023) argues that risk effectiveness is multi-mechanism</w:t>
      </w:r>
      <w:r w:rsidR="00B03C22">
        <w:rPr>
          <w:rFonts w:asciiTheme="majorBidi" w:hAnsiTheme="majorBidi" w:cstheme="majorBidi"/>
          <w:sz w:val="24"/>
          <w:szCs w:val="24"/>
        </w:rPr>
        <w:t>-</w:t>
      </w:r>
      <w:r w:rsidRPr="00DB758C">
        <w:rPr>
          <w:rFonts w:asciiTheme="majorBidi" w:hAnsiTheme="majorBidi" w:cstheme="majorBidi"/>
          <w:sz w:val="24"/>
          <w:szCs w:val="24"/>
        </w:rPr>
        <w:t>cadence, information integration, incentives, and RACI jointly shape outcomes</w:t>
      </w:r>
      <w:r w:rsidR="00B03C22">
        <w:rPr>
          <w:rFonts w:asciiTheme="majorBidi" w:hAnsiTheme="majorBidi" w:cstheme="majorBidi"/>
          <w:sz w:val="24"/>
          <w:szCs w:val="24"/>
        </w:rPr>
        <w:t>-</w:t>
      </w:r>
      <w:r w:rsidRPr="00DB758C">
        <w:rPr>
          <w:rFonts w:asciiTheme="majorBidi" w:hAnsiTheme="majorBidi" w:cstheme="majorBidi"/>
          <w:sz w:val="24"/>
          <w:szCs w:val="24"/>
        </w:rPr>
        <w:t xml:space="preserve">so a single indicator under-represents execution quality. Financial Stability Board (2023) reaches the same conclusion from governance: </w:t>
      </w:r>
      <w:r w:rsidRPr="00DB758C">
        <w:rPr>
          <w:rFonts w:asciiTheme="majorBidi" w:hAnsiTheme="majorBidi" w:cstheme="majorBidi"/>
          <w:i/>
          <w:iCs/>
          <w:sz w:val="24"/>
          <w:szCs w:val="24"/>
        </w:rPr>
        <w:t>seams</w:t>
      </w:r>
      <w:r w:rsidRPr="00DB758C">
        <w:rPr>
          <w:rFonts w:asciiTheme="majorBidi" w:hAnsiTheme="majorBidi" w:cstheme="majorBidi"/>
          <w:sz w:val="24"/>
          <w:szCs w:val="24"/>
        </w:rPr>
        <w:t xml:space="preserve"> work when several controls align, which motivates composite indices that pool proximal process signals and distal results into an interpretable score.</w:t>
      </w:r>
    </w:p>
    <w:p w14:paraId="18B93E2F" w14:textId="04434A0E"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Item normalization and weighting. Bank for International Settlements (2013) supports z-score normalization (or min–max on policy targets) so heterogeneous inputs</w:t>
      </w:r>
      <w:r w:rsidR="00B03C22">
        <w:rPr>
          <w:rFonts w:asciiTheme="majorBidi" w:hAnsiTheme="majorBidi" w:cstheme="majorBidi"/>
          <w:sz w:val="24"/>
          <w:szCs w:val="24"/>
        </w:rPr>
        <w:t>-</w:t>
      </w:r>
      <w:r w:rsidRPr="00DB758C">
        <w:rPr>
          <w:rFonts w:asciiTheme="majorBidi" w:hAnsiTheme="majorBidi" w:cstheme="majorBidi"/>
          <w:sz w:val="24"/>
          <w:szCs w:val="24"/>
        </w:rPr>
        <w:t>e.g., pricing-floor adherence, breach-to-action latency, covenant breach rates</w:t>
      </w:r>
      <w:r w:rsidR="00B03C22">
        <w:rPr>
          <w:rFonts w:asciiTheme="majorBidi" w:hAnsiTheme="majorBidi" w:cstheme="majorBidi"/>
          <w:sz w:val="24"/>
          <w:szCs w:val="24"/>
        </w:rPr>
        <w:t>-</w:t>
      </w:r>
      <w:r w:rsidRPr="00DB758C">
        <w:rPr>
          <w:rFonts w:asciiTheme="majorBidi" w:hAnsiTheme="majorBidi" w:cstheme="majorBidi"/>
          <w:sz w:val="24"/>
          <w:szCs w:val="24"/>
        </w:rPr>
        <w:t>are comparable before aggregation. KPMG (2025) recommends starting with equal weights for transparency, then testing factor-score weights from CFA to reflect empirical salience. Lang, Peltonen, and Sarlin (2018) justify separating leading cadence signals (review frequency, ownership clarity) from result signals (false-negative rates, cures), allowing a two-tier index where process and outcome subscores roll up to a headline measure.</w:t>
      </w:r>
    </w:p>
    <w:p w14:paraId="15934B4C" w14:textId="5DAF0294"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Additive vs. geometric aggregation. Oet, Bianco, Gramlich, and Ong (2013) warn that linear sums can mask weak links (a very poor lineage score “averaged away” by strong cadence). To enforce “no single point of failure,” a geometric mean (or capped additive index with penalty terms for very low components) better reflects the series-system nature of controls. Habel, Alavi, and Heinitz (2023) add that embeddedness items (next-best actions in CRM) should carry non-compensatory penalties</w:t>
      </w:r>
      <w:r w:rsidR="00B03C22">
        <w:rPr>
          <w:rFonts w:asciiTheme="majorBidi" w:hAnsiTheme="majorBidi" w:cstheme="majorBidi"/>
          <w:sz w:val="24"/>
          <w:szCs w:val="24"/>
        </w:rPr>
        <w:t>-</w:t>
      </w:r>
      <w:r w:rsidRPr="00DB758C">
        <w:rPr>
          <w:rFonts w:asciiTheme="majorBidi" w:hAnsiTheme="majorBidi" w:cstheme="majorBidi"/>
          <w:sz w:val="24"/>
          <w:szCs w:val="24"/>
        </w:rPr>
        <w:t>if embedding is absent, analytics won’t bite regardless of other strengths.</w:t>
      </w:r>
    </w:p>
    <w:p w14:paraId="4EBC5B41"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Reliability and validity baked in. IMF (2023) motivates a multidimensional reflective structure; thus, each subindex (e.g., Communication/Cadence; Information/Data Integration; KPI Alignment; RACI) should clear α/CR ≥ .70 and AVE ≥ .50, with HTMT &lt; .85 between subindices (Lang, Peltonen, &amp; Sarlin, 2018). FSB (2023) and KPMG (2025) advise pairing perceptual items with trace metrics (SLA clocks, override registers, sign-off evidence packs) to reduce common-method bias; convergent validity is shown when high cadence perceptions co-move with shorter breach-to-action times.</w:t>
      </w:r>
    </w:p>
    <w:p w14:paraId="2B05B2BE" w14:textId="7E7BFC16"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Objective–perceptual fusion. BIS (2013) provides prudential anchors</w:t>
      </w:r>
      <w:r w:rsidR="00B03C22">
        <w:rPr>
          <w:rFonts w:asciiTheme="majorBidi" w:hAnsiTheme="majorBidi" w:cstheme="majorBidi"/>
          <w:sz w:val="24"/>
          <w:szCs w:val="24"/>
        </w:rPr>
        <w:t>-</w:t>
      </w:r>
      <w:r w:rsidRPr="00DB758C">
        <w:rPr>
          <w:rFonts w:asciiTheme="majorBidi" w:hAnsiTheme="majorBidi" w:cstheme="majorBidi"/>
          <w:sz w:val="24"/>
          <w:szCs w:val="24"/>
        </w:rPr>
        <w:t>LCR/HQLA fit, tenor-mismatch flags, pricing-floor adherence</w:t>
      </w:r>
      <w:r w:rsidR="00B03C22">
        <w:rPr>
          <w:rFonts w:asciiTheme="majorBidi" w:hAnsiTheme="majorBidi" w:cstheme="majorBidi"/>
          <w:sz w:val="24"/>
          <w:szCs w:val="24"/>
        </w:rPr>
        <w:t>-</w:t>
      </w:r>
      <w:r w:rsidRPr="00DB758C">
        <w:rPr>
          <w:rFonts w:asciiTheme="majorBidi" w:hAnsiTheme="majorBidi" w:cstheme="majorBidi"/>
          <w:sz w:val="24"/>
          <w:szCs w:val="24"/>
        </w:rPr>
        <w:t>suitable for an objective subindex, while the perceptual subindex captures seam quality (cadence, co-visibility, incentive alignment, decision ownership). A hybrid composite (e.g., 50/50, then sensitivity 40/60 and 60/40) tests robustness; if rankings swing widely with weights, the index lacks stability and needs re-specification (KPMG, 2025).</w:t>
      </w:r>
    </w:p>
    <w:p w14:paraId="14A6EC9B"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 xml:space="preserve">Islamic-finance specificity. Islamic Financial Services Board (2024) supports a Shariah Form–Substance Subindex embedded across factors: completeness of asset evidence, possession/transfer proofs, and profit-recognition logic at </w:t>
      </w:r>
      <w:r w:rsidRPr="00DB758C">
        <w:rPr>
          <w:rFonts w:asciiTheme="majorBidi" w:hAnsiTheme="majorBidi" w:cstheme="majorBidi"/>
          <w:i/>
          <w:iCs/>
          <w:sz w:val="24"/>
          <w:szCs w:val="24"/>
        </w:rPr>
        <w:t>pre-deal</w:t>
      </w:r>
      <w:r w:rsidRPr="00DB758C">
        <w:rPr>
          <w:rFonts w:asciiTheme="majorBidi" w:hAnsiTheme="majorBidi" w:cstheme="majorBidi"/>
          <w:sz w:val="24"/>
          <w:szCs w:val="24"/>
        </w:rPr>
        <w:t xml:space="preserve"> and </w:t>
      </w:r>
      <w:r w:rsidRPr="00DB758C">
        <w:rPr>
          <w:rFonts w:asciiTheme="majorBidi" w:hAnsiTheme="majorBidi" w:cstheme="majorBidi"/>
          <w:i/>
          <w:iCs/>
          <w:sz w:val="24"/>
          <w:szCs w:val="24"/>
        </w:rPr>
        <w:t>post-booking</w:t>
      </w:r>
      <w:r w:rsidRPr="00DB758C">
        <w:rPr>
          <w:rFonts w:asciiTheme="majorBidi" w:hAnsiTheme="majorBidi" w:cstheme="majorBidi"/>
          <w:sz w:val="24"/>
          <w:szCs w:val="24"/>
        </w:rPr>
        <w:t>. Van Greuning and Iqbal (2008) justify linking this subindex to outcomes (arrears, enforcement frictions); known-groups validity should show higher scores in portfolios with cleaner murabaha/ijara/musharaka documentation.</w:t>
      </w:r>
    </w:p>
    <w:p w14:paraId="62CFB805"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Sensitivity, thresholds, and use. FSB (2023) recommends traffic-light bands (e.g., green ≥ 0, amber −0.5 to 0, red &lt; −0.5 after z-scaling) tied to pre-authorized actions (extra approval tier, tighter tenor caps). OECD (2022) suggests scenario splits (cloud incident days vs. normal days) to confirm index responsiveness to stress. U.S. supervisors (2024) argue that third-party accountability should appear as vendor-path components (SLA adherence, failover success), preventing a high composite when vendor risks dominate.</w:t>
      </w:r>
    </w:p>
    <w:p w14:paraId="55D37D1E"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What this means for your study. Guided by IMF (2023), BIS (2013), and FSB (2023), the thesis can report:</w:t>
      </w:r>
    </w:p>
    <w:p w14:paraId="2D73D7EB" w14:textId="77777777" w:rsidR="00DB758C" w:rsidRPr="00DB758C" w:rsidRDefault="00DB758C" w:rsidP="002E6F27">
      <w:pPr>
        <w:pStyle w:val="a5"/>
        <w:numPr>
          <w:ilvl w:val="0"/>
          <w:numId w:val="44"/>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Four IV subindices (Cadence, Information Integration, KPI Alignment, RACI) built from Likert items + matched traces.</w:t>
      </w:r>
    </w:p>
    <w:p w14:paraId="502F1B0D" w14:textId="77777777" w:rsidR="00DB758C" w:rsidRPr="00DB758C" w:rsidRDefault="00DB758C" w:rsidP="002E6F27">
      <w:pPr>
        <w:pStyle w:val="a5"/>
        <w:numPr>
          <w:ilvl w:val="0"/>
          <w:numId w:val="44"/>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Four DV subindices (Early-Risk/Onboarding, Credit Discipline/Outcomes, Liquidity/Market Fit, Operational Resilience/Third-Party Control) built primarily from objective markers.</w:t>
      </w:r>
    </w:p>
    <w:p w14:paraId="3A2DA2E8" w14:textId="77777777" w:rsidR="00DB758C" w:rsidRPr="00DB758C" w:rsidRDefault="00DB758C" w:rsidP="002E6F27">
      <w:pPr>
        <w:pStyle w:val="a5"/>
        <w:numPr>
          <w:ilvl w:val="0"/>
          <w:numId w:val="44"/>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A headline effectiveness index using a geometric mean with non-compensatory floors for embedding, lineage, and Shariah-form checks (Habel, Alavi, &amp; Heinitz, 2023; Oet et al., 2013; Islamic Financial Services Board, 2024).</w:t>
      </w:r>
    </w:p>
    <w:p w14:paraId="03CF6850" w14:textId="35E97C4A"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This design yields an interpretable, auditable score that aligns with prudential constraints, captures seam quality, and remains robust under stress</w:t>
      </w:r>
      <w:r w:rsidR="00B03C22">
        <w:rPr>
          <w:rFonts w:asciiTheme="majorBidi" w:hAnsiTheme="majorBidi" w:cstheme="majorBidi"/>
          <w:sz w:val="24"/>
          <w:szCs w:val="24"/>
        </w:rPr>
        <w:t>-</w:t>
      </w:r>
      <w:r w:rsidRPr="00DB758C">
        <w:rPr>
          <w:rFonts w:asciiTheme="majorBidi" w:hAnsiTheme="majorBidi" w:cstheme="majorBidi"/>
          <w:sz w:val="24"/>
          <w:szCs w:val="24"/>
        </w:rPr>
        <w:t>exactly the measurement stance your model requires.</w:t>
      </w:r>
    </w:p>
    <w:p w14:paraId="730866B9" w14:textId="3A9B0865" w:rsidR="00DB758C" w:rsidRPr="00DB758C" w:rsidRDefault="00DB758C" w:rsidP="002E6F27">
      <w:pPr>
        <w:pStyle w:val="a5"/>
        <w:numPr>
          <w:ilvl w:val="0"/>
          <w:numId w:val="43"/>
        </w:numPr>
        <w:bidi w:val="0"/>
        <w:spacing w:after="120" w:line="276" w:lineRule="auto"/>
        <w:rPr>
          <w:rFonts w:asciiTheme="majorBidi" w:hAnsiTheme="majorBidi" w:cstheme="majorBidi"/>
          <w:sz w:val="24"/>
          <w:szCs w:val="24"/>
        </w:rPr>
      </w:pPr>
      <w:r w:rsidRPr="00DB758C">
        <w:rPr>
          <w:rFonts w:asciiTheme="majorBidi" w:hAnsiTheme="majorBidi" w:cstheme="majorBidi"/>
          <w:sz w:val="24"/>
          <w:szCs w:val="24"/>
        </w:rPr>
        <w:t xml:space="preserve">Audit/Findings Metrics </w:t>
      </w:r>
      <w:r w:rsidR="00B03C22">
        <w:rPr>
          <w:rFonts w:asciiTheme="majorBidi" w:hAnsiTheme="majorBidi" w:cstheme="majorBidi"/>
          <w:sz w:val="24"/>
          <w:szCs w:val="24"/>
        </w:rPr>
        <w:t>-</w:t>
      </w:r>
      <w:r w:rsidRPr="00DB758C">
        <w:rPr>
          <w:rFonts w:asciiTheme="majorBidi" w:hAnsiTheme="majorBidi" w:cstheme="majorBidi"/>
          <w:sz w:val="24"/>
          <w:szCs w:val="24"/>
        </w:rPr>
        <w:t xml:space="preserve"> turning governance evidence into measurable risk effectiveness</w:t>
      </w:r>
    </w:p>
    <w:p w14:paraId="2459BC3F" w14:textId="0C15C9ED"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Financial Stability Board (2023) treats audit/exam findings as the most objective mirror of seam quality: when handoffs lack cadence, shared indicators, or escalation clocks, issues surface as repeat findings, overdue actions, and weak evidence packs. KPMG (2025) translates this into work-design diagnostics</w:t>
      </w:r>
      <w:r w:rsidR="00B03C22">
        <w:rPr>
          <w:rFonts w:asciiTheme="majorBidi" w:hAnsiTheme="majorBidi" w:cstheme="majorBidi"/>
          <w:sz w:val="24"/>
          <w:szCs w:val="24"/>
        </w:rPr>
        <w:t>-</w:t>
      </w:r>
      <w:r w:rsidRPr="00DB758C">
        <w:rPr>
          <w:rFonts w:asciiTheme="majorBidi" w:hAnsiTheme="majorBidi" w:cstheme="majorBidi"/>
          <w:sz w:val="24"/>
          <w:szCs w:val="24"/>
        </w:rPr>
        <w:t>auditors should distinguish control design gaps (no RACI/threshold/SLA) from operating-effectiveness gaps (tools exist but are not used on time), because the remedy and risk reduction differ. International Monetary Fund (2023) adds the macro channel: under higher-for-longer rates, aging issues monetize into mispricing and liquidity misfit, so timeliness of closure is economically material, not procedural.</w:t>
      </w:r>
    </w:p>
    <w:p w14:paraId="21978C3D"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 xml:space="preserve">Bank for International Settlements (2013) provides prudential anchors for </w:t>
      </w:r>
      <w:r w:rsidRPr="00DB758C">
        <w:rPr>
          <w:rFonts w:asciiTheme="majorBidi" w:hAnsiTheme="majorBidi" w:cstheme="majorBidi"/>
          <w:i/>
          <w:iCs/>
          <w:sz w:val="24"/>
          <w:szCs w:val="24"/>
        </w:rPr>
        <w:t>what to measure</w:t>
      </w:r>
      <w:r w:rsidRPr="00DB758C">
        <w:rPr>
          <w:rFonts w:asciiTheme="majorBidi" w:hAnsiTheme="majorBidi" w:cstheme="majorBidi"/>
          <w:sz w:val="24"/>
          <w:szCs w:val="24"/>
        </w:rPr>
        <w:t>: findings tied to LCR/HQLA fit, tenor-mismatch, pricing-floor adherence, and override discipline connect directly to loss pathways. U.S. supervisors (2024) specify third-party accountability; MRAs/MRIAs that cite missing monitoring rights, audit trails, or exit paths indicate first-line exposure when AM–Sales rely on vendor rails. OECD (2022) widens the lens to cloud concentration; audits that test failover proofs and rate-limit policies verify whether resilience is executable, not just documented.</w:t>
      </w:r>
    </w:p>
    <w:p w14:paraId="4DEBC159"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From an information perspective, Oet, Bianco, Gramlich, and Ong (2013) argue that data-lineage defects (unknown source/refresh/transform) inflate false negatives in EWS; audits should therefore score lineage as a control attribute, not a back-office nicety. Lang, Peltonen, and Sarlin (2018) show that feedback cadence is the mechanism linking monitoring to outcomes; auditors can test cadence by sampling breach-to-action latency against SLA clocks. Habel, Alavi, and Heinitz (2023) warn that analytics shift behavior only when embedded; a common finding is “dashboard seen, action not taken,” which should be coded as an embedding failure at the AM–Sales seam.</w:t>
      </w:r>
    </w:p>
    <w:p w14:paraId="68654E38" w14:textId="4F02A6F8"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In Islamic contexts, Islamic Financial Services Board (2024) and van Greuning &amp; Iqbal (2008) highlight form–substance checks</w:t>
      </w:r>
      <w:r w:rsidR="00B03C22">
        <w:rPr>
          <w:rFonts w:asciiTheme="majorBidi" w:hAnsiTheme="majorBidi" w:cstheme="majorBidi"/>
          <w:sz w:val="24"/>
          <w:szCs w:val="24"/>
        </w:rPr>
        <w:t>-</w:t>
      </w:r>
      <w:r w:rsidRPr="00DB758C">
        <w:rPr>
          <w:rFonts w:asciiTheme="majorBidi" w:hAnsiTheme="majorBidi" w:cstheme="majorBidi"/>
          <w:sz w:val="24"/>
          <w:szCs w:val="24"/>
        </w:rPr>
        <w:t>asset evidence, possession/transfer, profit recognition</w:t>
      </w:r>
      <w:r w:rsidR="00B03C22">
        <w:rPr>
          <w:rFonts w:asciiTheme="majorBidi" w:hAnsiTheme="majorBidi" w:cstheme="majorBidi"/>
          <w:sz w:val="24"/>
          <w:szCs w:val="24"/>
        </w:rPr>
        <w:t>-</w:t>
      </w:r>
      <w:r w:rsidRPr="00DB758C">
        <w:rPr>
          <w:rFonts w:asciiTheme="majorBidi" w:hAnsiTheme="majorBidi" w:cstheme="majorBidi"/>
          <w:sz w:val="24"/>
          <w:szCs w:val="24"/>
        </w:rPr>
        <w:t>as auditable controls whose failure later appears as credit/operational losses; exam results that flag Shariah defects belong in the same findings universe as liquidity or credit lapses.</w:t>
      </w:r>
    </w:p>
    <w:p w14:paraId="1176A0D9" w14:textId="77777777"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A practical findings scorecard for this study. Guided by FSB (2023) and KPMG (2025), the thesis can track:</w:t>
      </w:r>
    </w:p>
    <w:p w14:paraId="0F056AE5"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Findings incidence and severity mix (high/medium/low) mapped to the four DV anchors (credit, liquidity/market, operational, early-risk/onboarding).</w:t>
      </w:r>
    </w:p>
    <w:p w14:paraId="5DE2804C"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Repeat-finding rate and re-open rate (signal of superficial fixes).</w:t>
      </w:r>
    </w:p>
    <w:p w14:paraId="5560CAC9"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Time-to-remediate (TTR) and on-time remediation % against SLA clocks, plus aging buckets (&gt;30/60/90 days).</w:t>
      </w:r>
    </w:p>
    <w:p w14:paraId="7D505F6D"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Closure quality score (root cause present, RACI owner named, evidence of control redesign, lineage restored, test cases passed).</w:t>
      </w:r>
    </w:p>
    <w:p w14:paraId="0F69D3B5"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Outcome linkage (post-closure move in overrides, breach-to-action latency, covenant breaches, early arrears/NPL roll-rates).</w:t>
      </w:r>
    </w:p>
    <w:p w14:paraId="69EB8B03"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Third-party strands (share of issues citing vendor/cloud controls; presence of monitoring rights/failover proofs).</w:t>
      </w:r>
    </w:p>
    <w:p w14:paraId="0C40DE24" w14:textId="77777777" w:rsidR="00DB758C" w:rsidRPr="00DB758C" w:rsidRDefault="00DB758C" w:rsidP="002E6F27">
      <w:pPr>
        <w:pStyle w:val="a5"/>
        <w:numPr>
          <w:ilvl w:val="0"/>
          <w:numId w:val="45"/>
        </w:numPr>
        <w:bidi w:val="0"/>
        <w:spacing w:after="120" w:line="276" w:lineRule="auto"/>
        <w:jc w:val="both"/>
        <w:rPr>
          <w:rFonts w:asciiTheme="majorBidi" w:hAnsiTheme="majorBidi" w:cstheme="majorBidi"/>
          <w:sz w:val="24"/>
          <w:szCs w:val="24"/>
        </w:rPr>
      </w:pPr>
      <w:r w:rsidRPr="00DB758C">
        <w:rPr>
          <w:rFonts w:asciiTheme="majorBidi" w:hAnsiTheme="majorBidi" w:cstheme="majorBidi"/>
          <w:sz w:val="24"/>
          <w:szCs w:val="24"/>
        </w:rPr>
        <w:t>Shariah form–substance strand (rate of documentation/evidence defects and cure timeliness).</w:t>
      </w:r>
    </w:p>
    <w:p w14:paraId="2F96BBB5" w14:textId="41110841" w:rsidR="00DB758C" w:rsidRPr="00DB758C" w:rsidRDefault="00DB758C" w:rsidP="00DB758C">
      <w:pPr>
        <w:bidi w:val="0"/>
        <w:spacing w:after="120" w:line="276" w:lineRule="auto"/>
        <w:ind w:firstLine="284"/>
        <w:jc w:val="both"/>
        <w:rPr>
          <w:rFonts w:asciiTheme="majorBidi" w:hAnsiTheme="majorBidi" w:cstheme="majorBidi"/>
          <w:sz w:val="24"/>
          <w:szCs w:val="24"/>
        </w:rPr>
      </w:pPr>
      <w:r w:rsidRPr="00DB758C">
        <w:rPr>
          <w:rFonts w:asciiTheme="majorBidi" w:hAnsiTheme="majorBidi" w:cstheme="majorBidi"/>
          <w:sz w:val="24"/>
          <w:szCs w:val="24"/>
        </w:rPr>
        <w:t>By embedding prudential anchors (BIS, 2013), seam mechanics (FSB, 2023), and work-design verifiers (KPMG, 2025), audit/ findings metrics become decision-grade indicators rather than paperwork counts</w:t>
      </w:r>
      <w:r w:rsidR="00B03C22">
        <w:rPr>
          <w:rFonts w:asciiTheme="majorBidi" w:hAnsiTheme="majorBidi" w:cstheme="majorBidi"/>
          <w:sz w:val="24"/>
          <w:szCs w:val="24"/>
        </w:rPr>
        <w:t>-</w:t>
      </w:r>
      <w:r w:rsidRPr="00DB758C">
        <w:rPr>
          <w:rFonts w:asciiTheme="majorBidi" w:hAnsiTheme="majorBidi" w:cstheme="majorBidi"/>
          <w:sz w:val="24"/>
          <w:szCs w:val="24"/>
        </w:rPr>
        <w:t>closing the loop from AM–Sales routines to measurable improvements in the dependent variable’s Operational Resilience &amp; Third-Party Risk Control and reinforcing earlier links to liquidity/market fit, credit discipline, and early-risk/onboarding.</w:t>
      </w:r>
    </w:p>
    <w:p w14:paraId="0BB50088" w14:textId="786E10C9" w:rsidR="00370164" w:rsidRDefault="000B3FF7" w:rsidP="000B3FF7">
      <w:pPr>
        <w:pStyle w:val="2"/>
      </w:pPr>
      <w:bookmarkStart w:id="78" w:name="_Toc214621151"/>
      <w:r w:rsidRPr="000B3FF7">
        <w:t>Context: GCC/Saudi &amp; Islamic-Banking Evidence</w:t>
      </w:r>
      <w:bookmarkEnd w:id="78"/>
    </w:p>
    <w:p w14:paraId="131EDC0C" w14:textId="137FF61B" w:rsidR="000B3FF7" w:rsidRPr="000B3FF7" w:rsidRDefault="000B3FF7" w:rsidP="000B3FF7">
      <w:pPr>
        <w:bidi w:val="0"/>
        <w:spacing w:after="120" w:line="276" w:lineRule="auto"/>
        <w:ind w:firstLine="284"/>
        <w:jc w:val="both"/>
        <w:rPr>
          <w:rFonts w:asciiTheme="majorBidi" w:hAnsiTheme="majorBidi" w:cstheme="majorBidi"/>
          <w:sz w:val="24"/>
          <w:szCs w:val="24"/>
        </w:rPr>
      </w:pPr>
      <w:r w:rsidRPr="000B3FF7">
        <w:rPr>
          <w:rFonts w:asciiTheme="majorBidi" w:hAnsiTheme="majorBidi" w:cstheme="majorBidi"/>
          <w:sz w:val="24"/>
          <w:szCs w:val="24"/>
        </w:rPr>
        <w:t>The AM–Sales seam does not operate in a vacuum; it is shaped by a GCC market structure where large, deposit-rich banks compete in concentrated arenas and must price, tenor, and escalate under tighter liquidity and funding disciplines (Bank for International Settlements, 2013; International Monetary Fund, 2023). In Saudi Arabia, this macro logic becomes operational: sector concentration and balance-sheet depth amplify the payoff to cadence, co-visibility, and RACI clarity at origination, because small timing errors quickly scale across big books (Saudi Central Bank, 2023; Financial Stability Board, 2023). That same seam is further conditioned by Islamic-finance forms</w:t>
      </w:r>
      <w:r w:rsidR="00B03C22">
        <w:rPr>
          <w:rFonts w:asciiTheme="majorBidi" w:hAnsiTheme="majorBidi" w:cstheme="majorBidi"/>
          <w:sz w:val="24"/>
          <w:szCs w:val="24"/>
        </w:rPr>
        <w:t>-</w:t>
      </w:r>
      <w:r w:rsidRPr="000B3FF7">
        <w:rPr>
          <w:rFonts w:asciiTheme="majorBidi" w:hAnsiTheme="majorBidi" w:cstheme="majorBidi"/>
          <w:sz w:val="24"/>
          <w:szCs w:val="24"/>
        </w:rPr>
        <w:t>murabaha, ijara, musharaka</w:t>
      </w:r>
      <w:r w:rsidR="00B03C22">
        <w:rPr>
          <w:rFonts w:asciiTheme="majorBidi" w:hAnsiTheme="majorBidi" w:cstheme="majorBidi"/>
          <w:sz w:val="24"/>
          <w:szCs w:val="24"/>
        </w:rPr>
        <w:t>-</w:t>
      </w:r>
      <w:r w:rsidRPr="000B3FF7">
        <w:rPr>
          <w:rFonts w:asciiTheme="majorBidi" w:hAnsiTheme="majorBidi" w:cstheme="majorBidi"/>
          <w:sz w:val="24"/>
          <w:szCs w:val="24"/>
        </w:rPr>
        <w:t>where form–substance alignment (asset evidence, possession/transfer, profit recognition) must be validated upstream, so Shariah checkpoints are inseparable from pricing and liquidity fit (Islamic Financial Services Board, 2024)</w:t>
      </w:r>
      <w:r w:rsidRPr="000B3FF7">
        <w:rPr>
          <w:rFonts w:asciiTheme="majorBidi" w:hAnsiTheme="majorBidi" w:cstheme="majorBidi"/>
          <w:sz w:val="24"/>
          <w:szCs w:val="24"/>
          <w:rtl/>
        </w:rPr>
        <w:t>.</w:t>
      </w:r>
    </w:p>
    <w:p w14:paraId="33CBD6CE" w14:textId="57C2D05E" w:rsidR="00370164" w:rsidRDefault="000B3FF7" w:rsidP="000B3FF7">
      <w:pPr>
        <w:bidi w:val="0"/>
        <w:spacing w:after="120" w:line="276" w:lineRule="auto"/>
        <w:ind w:firstLine="284"/>
        <w:jc w:val="both"/>
        <w:rPr>
          <w:rFonts w:asciiTheme="majorBidi" w:hAnsiTheme="majorBidi" w:cstheme="majorBidi"/>
          <w:sz w:val="24"/>
          <w:szCs w:val="24"/>
        </w:rPr>
      </w:pPr>
      <w:r w:rsidRPr="000B3FF7">
        <w:rPr>
          <w:rFonts w:asciiTheme="majorBidi" w:hAnsiTheme="majorBidi" w:cstheme="majorBidi"/>
          <w:sz w:val="24"/>
          <w:szCs w:val="24"/>
        </w:rPr>
        <w:t>Digital rails intensify both risk and remedy: cloud/KYC/CRM vendors accelerate execution yet introduce lineage and resilience exposures that only time-boxed escalations, tested failovers, and evidence-based overrides can neutralize (U.S. Supervisors, 2024; OECD, 2022). This context clarifies why our IV (communication cadence, information integration, KPI alignment, RACI) should map predictably into the DV anchors (early-risk/onboarding, credit discipline, liquidity/market fit, and operational resilience). It also exposes a research gap: abundant sector-level guidance, but scarce bank-level, seam-level evidence linking AM–Sales routines to overrides, breach-to-action latency, covenant behavior, and NPL migration (IMF, 2023; FSB, 2023). Consequently, Al Rajhi Bank</w:t>
      </w:r>
      <w:r w:rsidR="00B03C22">
        <w:rPr>
          <w:rFonts w:asciiTheme="majorBidi" w:hAnsiTheme="majorBidi" w:cstheme="majorBidi"/>
          <w:sz w:val="24"/>
          <w:szCs w:val="24"/>
        </w:rPr>
        <w:t>-</w:t>
      </w:r>
      <w:r w:rsidRPr="000B3FF7">
        <w:rPr>
          <w:rFonts w:asciiTheme="majorBidi" w:hAnsiTheme="majorBidi" w:cstheme="majorBidi"/>
          <w:sz w:val="24"/>
          <w:szCs w:val="24"/>
        </w:rPr>
        <w:t>given its scale, Islamic leadership, and digital investments</w:t>
      </w:r>
      <w:r w:rsidR="00B03C22">
        <w:rPr>
          <w:rFonts w:asciiTheme="majorBidi" w:hAnsiTheme="majorBidi" w:cstheme="majorBidi"/>
          <w:sz w:val="24"/>
          <w:szCs w:val="24"/>
        </w:rPr>
        <w:t>-</w:t>
      </w:r>
      <w:r w:rsidRPr="000B3FF7">
        <w:rPr>
          <w:rFonts w:asciiTheme="majorBidi" w:hAnsiTheme="majorBidi" w:cstheme="majorBidi"/>
          <w:sz w:val="24"/>
          <w:szCs w:val="24"/>
        </w:rPr>
        <w:t>offers a high-information setting to test these mechanisms with a hybrid design (perceptual IV + objective DV), setting up the next subsections on structure, product forms, third-party rails, Shariah touchpoints, and the specific evidence gaps they imply (Al Rajhi Bank, 2023; SAMA, 2023).</w:t>
      </w:r>
    </w:p>
    <w:p w14:paraId="48F4616F" w14:textId="09E45896" w:rsidR="00370164" w:rsidRDefault="000B3FF7" w:rsidP="000B3FF7">
      <w:pPr>
        <w:pStyle w:val="3"/>
      </w:pPr>
      <w:bookmarkStart w:id="79" w:name="_Toc214621152"/>
      <w:r w:rsidRPr="000B3FF7">
        <w:t>Purpose and Link to Model</w:t>
      </w:r>
      <w:bookmarkEnd w:id="79"/>
    </w:p>
    <w:p w14:paraId="6C2FCCD4" w14:textId="77777777" w:rsidR="000B3FF7" w:rsidRPr="000B3FF7" w:rsidRDefault="000B3FF7" w:rsidP="000B3FF7">
      <w:pPr>
        <w:bidi w:val="0"/>
        <w:spacing w:after="120" w:line="276" w:lineRule="auto"/>
        <w:ind w:firstLine="284"/>
        <w:jc w:val="both"/>
        <w:rPr>
          <w:rFonts w:asciiTheme="majorBidi" w:hAnsiTheme="majorBidi" w:cstheme="majorBidi"/>
          <w:sz w:val="24"/>
          <w:szCs w:val="24"/>
        </w:rPr>
      </w:pPr>
      <w:r w:rsidRPr="000B3FF7">
        <w:rPr>
          <w:rFonts w:asciiTheme="majorBidi" w:hAnsiTheme="majorBidi" w:cstheme="majorBidi"/>
          <w:sz w:val="24"/>
          <w:szCs w:val="24"/>
        </w:rPr>
        <w:t>Saudi/GCC banking is a high-concentration, deposit-rich system that scales small frontline frictions into portfolio outcomes; in such settings, the AM–Sales seam becomes the hinge through which liquidity, market, credit, and operational constraints are internalized at origination. International Monetary Fund (2023) shows that “higher-for-longer” cycles convert timing delays into mispricing, while Bank for International Settlements (2013) embeds LCR/HQLA and funding ladders as ex-ante constraints that must be reflected in pricing and tenor before approval. Financial Stability Board (2023) adds that governance works only when cadence, co-visibility, and escalation clocks are designed into handoffs. Islamic Financial Services Board (2024) then tightens the seam further: form–substance checks in murabaha/ijara/musharaka belong upstream, not as post-hoc reviews</w:t>
      </w:r>
      <w:r w:rsidRPr="000B3FF7">
        <w:rPr>
          <w:rFonts w:asciiTheme="majorBidi" w:hAnsiTheme="majorBidi" w:cstheme="majorBidi"/>
          <w:sz w:val="24"/>
          <w:szCs w:val="24"/>
          <w:rtl/>
        </w:rPr>
        <w:t>.</w:t>
      </w:r>
    </w:p>
    <w:p w14:paraId="00D1C3ED" w14:textId="48008E79" w:rsidR="000B3FF7" w:rsidRPr="000B3FF7" w:rsidRDefault="000B3FF7" w:rsidP="000B3FF7">
      <w:pPr>
        <w:bidi w:val="0"/>
        <w:spacing w:after="120" w:line="276" w:lineRule="auto"/>
        <w:ind w:firstLine="284"/>
        <w:jc w:val="both"/>
        <w:rPr>
          <w:rFonts w:asciiTheme="majorBidi" w:hAnsiTheme="majorBidi" w:cstheme="majorBidi"/>
          <w:sz w:val="24"/>
          <w:szCs w:val="24"/>
        </w:rPr>
      </w:pPr>
      <w:r w:rsidRPr="000B3FF7">
        <w:rPr>
          <w:rFonts w:asciiTheme="majorBidi" w:hAnsiTheme="majorBidi" w:cstheme="majorBidi"/>
          <w:sz w:val="24"/>
          <w:szCs w:val="24"/>
        </w:rPr>
        <w:t>Why the GCC/Saudi context matters for the IV→DV pathways. Saudi Central Bank (2023) documents a concentrated sector with sizable Islamic shares and strong liquidity buffers; in this topology, International Monetary Fund (2023) argues that execution under uncertainty magnifies the value of communication cadence and information integration because funding and market signals must reach pricing/tenor on time. Bank for International Settlements (2013) makes the DV link explicit: when LCR/HQLA and funding costs are internalized at approval, Liquidity &amp; Market-Risk Fit improves downstream. Financial Stability Board (2023) connects the same seam to Credit Discipline and Operational Resilience: evidence-based overrides, decision logs, and escalation SLAs reduce breach-to-action latency and exception drift. Islamic Financial Services Board (2024) shows that in Islamic portfolios, upstream verification of asset evidence, possession/transfer, and profit recognition ties directly to Early-Risk/Onboarding quality and enforcement later on. Put together, Saudi concentration and Islamic product dominance make our IV dimensions</w:t>
      </w:r>
      <w:r w:rsidR="00B03C22">
        <w:rPr>
          <w:rFonts w:asciiTheme="majorBidi" w:hAnsiTheme="majorBidi" w:cstheme="majorBidi"/>
          <w:sz w:val="24"/>
          <w:szCs w:val="24"/>
        </w:rPr>
        <w:t>-</w:t>
      </w:r>
      <w:r w:rsidRPr="000B3FF7">
        <w:rPr>
          <w:rFonts w:asciiTheme="majorBidi" w:hAnsiTheme="majorBidi" w:cstheme="majorBidi"/>
          <w:sz w:val="24"/>
          <w:szCs w:val="24"/>
        </w:rPr>
        <w:t>cadence, data integration, KPI alignment, and RACI</w:t>
      </w:r>
      <w:r w:rsidR="00B03C22">
        <w:rPr>
          <w:rFonts w:asciiTheme="majorBidi" w:hAnsiTheme="majorBidi" w:cstheme="majorBidi"/>
          <w:sz w:val="24"/>
          <w:szCs w:val="24"/>
        </w:rPr>
        <w:t>-</w:t>
      </w:r>
      <w:r w:rsidRPr="000B3FF7">
        <w:rPr>
          <w:rFonts w:asciiTheme="majorBidi" w:hAnsiTheme="majorBidi" w:cstheme="majorBidi"/>
          <w:sz w:val="24"/>
          <w:szCs w:val="24"/>
        </w:rPr>
        <w:t>decisive levers for the DV dimensions specified in the model</w:t>
      </w:r>
      <w:r w:rsidRPr="000B3FF7">
        <w:rPr>
          <w:rFonts w:asciiTheme="majorBidi" w:hAnsiTheme="majorBidi" w:cstheme="majorBidi"/>
          <w:sz w:val="24"/>
          <w:szCs w:val="24"/>
          <w:rtl/>
        </w:rPr>
        <w:t>.</w:t>
      </w:r>
    </w:p>
    <w:p w14:paraId="6815CD46" w14:textId="7189B590" w:rsidR="00370164" w:rsidRDefault="000B3FF7" w:rsidP="000B3FF7">
      <w:pPr>
        <w:bidi w:val="0"/>
        <w:spacing w:after="120" w:line="276" w:lineRule="auto"/>
        <w:ind w:firstLine="284"/>
        <w:jc w:val="both"/>
        <w:rPr>
          <w:rFonts w:asciiTheme="majorBidi" w:hAnsiTheme="majorBidi" w:cstheme="majorBidi"/>
          <w:sz w:val="24"/>
          <w:szCs w:val="24"/>
        </w:rPr>
      </w:pPr>
      <w:r w:rsidRPr="000B3FF7">
        <w:rPr>
          <w:rFonts w:asciiTheme="majorBidi" w:hAnsiTheme="majorBidi" w:cstheme="majorBidi"/>
          <w:sz w:val="24"/>
          <w:szCs w:val="24"/>
        </w:rPr>
        <w:t>How regional evidence informs instrument items and expected signs. Al Rajhi Bank (2023) reports scale, product breadth, and digital investment that create observable variation in AM–Sales routines; this supports items on co-visibility (shared CRM/risk fields), pricing floors tied to funding curves, and tenor ladders</w:t>
      </w:r>
      <w:r w:rsidR="00B03C22">
        <w:rPr>
          <w:rFonts w:asciiTheme="majorBidi" w:hAnsiTheme="majorBidi" w:cstheme="majorBidi"/>
          <w:sz w:val="24"/>
          <w:szCs w:val="24"/>
        </w:rPr>
        <w:t>-</w:t>
      </w:r>
      <w:r w:rsidRPr="000B3FF7">
        <w:rPr>
          <w:rFonts w:asciiTheme="majorBidi" w:hAnsiTheme="majorBidi" w:cstheme="majorBidi"/>
          <w:sz w:val="24"/>
          <w:szCs w:val="24"/>
        </w:rPr>
        <w:t>all expected to correlate positively with Liquidity/Market fit (Bank for International Settlements, 2013). McKinsey &amp; Company (2020) cautions that volume-only incentives neutralize analytics, motivating KPI-alignment items (RAROC after funding, caps/chargebacks for overrides) with positive expected effects on Credit Discipline. Financial Stability Board (2023) and KPMG (2025) justify RACI/escation-clarity items (named owners, SLA timers, evidence packs) with negative expected associations to override frequency and breach-to-action latency (thus positive for Operational Resilience). OECD (2022) and U.S. supervisors (2024) highlight vendor/cloud concentration and third-party accountability, guiding resilience items on MTTR, failover proof, and monitoring rights with positive links to the DV’s resilience strand. Finally, Islamic Financial Services Board (2024) motivates Shariah form–substance items (asset-evidence completeness, possession/transfer timing, profit-recognition checks) embedded across IV subscales, with positive expected relations to Early-Risk/Onboarding and lower downstream covenant/NPL stress. In short, sector facts define the pressure points; the cited toolkits translate them into measurable routines; and our model expects those routines to transmit the Saudi/GCC and Islamic constraints into risk-effective outcomes.</w:t>
      </w:r>
    </w:p>
    <w:p w14:paraId="098AEB48" w14:textId="3BC22C97" w:rsidR="002C60F9" w:rsidRDefault="002C60F9" w:rsidP="002C60F9">
      <w:pPr>
        <w:pStyle w:val="3"/>
      </w:pPr>
      <w:bookmarkStart w:id="80" w:name="_Toc214621153"/>
      <w:r>
        <w:t>Sector Structure in Saudi/GCC</w:t>
      </w:r>
      <w:bookmarkEnd w:id="80"/>
    </w:p>
    <w:p w14:paraId="529DF0B6" w14:textId="7331DD14" w:rsidR="002C60F9" w:rsidRPr="002C60F9" w:rsidRDefault="002C60F9" w:rsidP="002E6F27">
      <w:pPr>
        <w:pStyle w:val="a5"/>
        <w:numPr>
          <w:ilvl w:val="0"/>
          <w:numId w:val="46"/>
        </w:numPr>
        <w:bidi w:val="0"/>
        <w:spacing w:after="120" w:line="276" w:lineRule="auto"/>
        <w:jc w:val="both"/>
        <w:rPr>
          <w:rFonts w:asciiTheme="majorBidi" w:hAnsiTheme="majorBidi" w:cstheme="majorBidi"/>
          <w:sz w:val="24"/>
          <w:szCs w:val="24"/>
        </w:rPr>
      </w:pPr>
      <w:r w:rsidRPr="002C60F9">
        <w:rPr>
          <w:rFonts w:asciiTheme="majorBidi" w:hAnsiTheme="majorBidi" w:cstheme="majorBidi"/>
          <w:sz w:val="24"/>
          <w:szCs w:val="24"/>
        </w:rPr>
        <w:t>Market topology</w:t>
      </w:r>
      <w:r w:rsidR="00B03C22">
        <w:rPr>
          <w:rFonts w:asciiTheme="majorBidi" w:hAnsiTheme="majorBidi" w:cstheme="majorBidi"/>
          <w:sz w:val="24"/>
          <w:szCs w:val="24"/>
        </w:rPr>
        <w:t>-</w:t>
      </w:r>
      <w:r w:rsidRPr="002C60F9">
        <w:rPr>
          <w:rFonts w:asciiTheme="majorBidi" w:hAnsiTheme="majorBidi" w:cstheme="majorBidi"/>
          <w:sz w:val="24"/>
          <w:szCs w:val="24"/>
        </w:rPr>
        <w:t xml:space="preserve">concentration and Islamic share. </w:t>
      </w:r>
    </w:p>
    <w:p w14:paraId="3170D6DD" w14:textId="02929A38" w:rsidR="002C60F9" w:rsidRPr="002C60F9" w:rsidRDefault="002C60F9" w:rsidP="002C60F9">
      <w:pPr>
        <w:bidi w:val="0"/>
        <w:spacing w:after="120" w:line="276" w:lineRule="auto"/>
        <w:ind w:firstLine="284"/>
        <w:jc w:val="both"/>
        <w:rPr>
          <w:rFonts w:asciiTheme="majorBidi" w:hAnsiTheme="majorBidi" w:cstheme="majorBidi"/>
          <w:sz w:val="24"/>
          <w:szCs w:val="24"/>
        </w:rPr>
      </w:pPr>
      <w:r w:rsidRPr="002C60F9">
        <w:rPr>
          <w:rFonts w:asciiTheme="majorBidi" w:hAnsiTheme="majorBidi" w:cstheme="majorBidi"/>
          <w:sz w:val="24"/>
          <w:szCs w:val="24"/>
        </w:rPr>
        <w:t xml:space="preserve">International Monetary Fund (2023) characterizes GCC banking systems as </w:t>
      </w:r>
      <w:r w:rsidRPr="002C60F9">
        <w:rPr>
          <w:rFonts w:asciiTheme="majorBidi" w:hAnsiTheme="majorBidi" w:cstheme="majorBidi"/>
          <w:i/>
          <w:iCs/>
          <w:sz w:val="24"/>
          <w:szCs w:val="24"/>
        </w:rPr>
        <w:t>concentrated and bank-centric</w:t>
      </w:r>
      <w:r w:rsidRPr="002C60F9">
        <w:rPr>
          <w:rFonts w:asciiTheme="majorBidi" w:hAnsiTheme="majorBidi" w:cstheme="majorBidi"/>
          <w:sz w:val="24"/>
          <w:szCs w:val="24"/>
        </w:rPr>
        <w:t>, where a handful of large institutions intermediate most funding and transmit macro–financial conditions quickly to balance sheets. Saudi Central Bank (2023) situates Saudi Arabia within this pattern, noting the system’s sizable Islamic-banking share and the dominance of a few universal banks across retail and corporate lines</w:t>
      </w:r>
      <w:r w:rsidR="00B03C22">
        <w:rPr>
          <w:rFonts w:asciiTheme="majorBidi" w:hAnsiTheme="majorBidi" w:cstheme="majorBidi"/>
          <w:sz w:val="24"/>
          <w:szCs w:val="24"/>
        </w:rPr>
        <w:t>-</w:t>
      </w:r>
      <w:r w:rsidRPr="002C60F9">
        <w:rPr>
          <w:rFonts w:asciiTheme="majorBidi" w:hAnsiTheme="majorBidi" w:cstheme="majorBidi"/>
          <w:sz w:val="24"/>
          <w:szCs w:val="24"/>
        </w:rPr>
        <w:t xml:space="preserve">features that magnify the effect of frontline execution on portfolio outcomes. Islamic Financial Services Board (2024) adds that Islamic assets’ weight changes </w:t>
      </w:r>
      <w:r w:rsidRPr="002C60F9">
        <w:rPr>
          <w:rFonts w:asciiTheme="majorBidi" w:hAnsiTheme="majorBidi" w:cstheme="majorBidi"/>
          <w:i/>
          <w:iCs/>
          <w:sz w:val="24"/>
          <w:szCs w:val="24"/>
        </w:rPr>
        <w:t>how</w:t>
      </w:r>
      <w:r w:rsidRPr="002C60F9">
        <w:rPr>
          <w:rFonts w:asciiTheme="majorBidi" w:hAnsiTheme="majorBidi" w:cstheme="majorBidi"/>
          <w:sz w:val="24"/>
          <w:szCs w:val="24"/>
        </w:rPr>
        <w:t xml:space="preserve"> risk materializes: because contract forms embed cash-flow mechanics and documentation requirements, governance quality at origination is unusually consequential. Together, these strands imply that in a concentrated, Islamic-heavy market, AM–Sales routines</w:t>
      </w:r>
      <w:r w:rsidR="00B03C22">
        <w:rPr>
          <w:rFonts w:asciiTheme="majorBidi" w:hAnsiTheme="majorBidi" w:cstheme="majorBidi"/>
          <w:sz w:val="24"/>
          <w:szCs w:val="24"/>
        </w:rPr>
        <w:t>-</w:t>
      </w:r>
      <w:r w:rsidRPr="002C60F9">
        <w:rPr>
          <w:rFonts w:asciiTheme="majorBidi" w:hAnsiTheme="majorBidi" w:cstheme="majorBidi"/>
          <w:sz w:val="24"/>
          <w:szCs w:val="24"/>
        </w:rPr>
        <w:t>communication cadence, data co-visibility, incentive alignment, and RACI clarity</w:t>
      </w:r>
      <w:r w:rsidR="00B03C22">
        <w:rPr>
          <w:rFonts w:asciiTheme="majorBidi" w:hAnsiTheme="majorBidi" w:cstheme="majorBidi"/>
          <w:sz w:val="24"/>
          <w:szCs w:val="24"/>
        </w:rPr>
        <w:t>-</w:t>
      </w:r>
      <w:r w:rsidRPr="002C60F9">
        <w:rPr>
          <w:rFonts w:asciiTheme="majorBidi" w:hAnsiTheme="majorBidi" w:cstheme="majorBidi"/>
          <w:sz w:val="24"/>
          <w:szCs w:val="24"/>
        </w:rPr>
        <w:t>scale quickly into system-relevant outcomes.</w:t>
      </w:r>
    </w:p>
    <w:p w14:paraId="24364DE0" w14:textId="77777777" w:rsidR="002C60F9" w:rsidRPr="002C60F9" w:rsidRDefault="002C60F9" w:rsidP="002E6F27">
      <w:pPr>
        <w:pStyle w:val="a5"/>
        <w:numPr>
          <w:ilvl w:val="0"/>
          <w:numId w:val="46"/>
        </w:numPr>
        <w:bidi w:val="0"/>
        <w:spacing w:after="120" w:line="276" w:lineRule="auto"/>
        <w:jc w:val="both"/>
        <w:rPr>
          <w:rFonts w:asciiTheme="majorBidi" w:hAnsiTheme="majorBidi" w:cstheme="majorBidi"/>
          <w:sz w:val="24"/>
          <w:szCs w:val="24"/>
        </w:rPr>
      </w:pPr>
      <w:r w:rsidRPr="002C60F9">
        <w:rPr>
          <w:rFonts w:asciiTheme="majorBidi" w:hAnsiTheme="majorBidi" w:cstheme="majorBidi"/>
          <w:sz w:val="24"/>
          <w:szCs w:val="24"/>
        </w:rPr>
        <w:t xml:space="preserve">Corporate vs. retail weight and product breadth. </w:t>
      </w:r>
    </w:p>
    <w:p w14:paraId="50EFAE7B" w14:textId="448306CE" w:rsidR="002C60F9" w:rsidRPr="002C60F9" w:rsidRDefault="002C60F9" w:rsidP="002C60F9">
      <w:pPr>
        <w:bidi w:val="0"/>
        <w:spacing w:after="120" w:line="276" w:lineRule="auto"/>
        <w:ind w:firstLine="284"/>
        <w:jc w:val="both"/>
        <w:rPr>
          <w:rFonts w:asciiTheme="majorBidi" w:hAnsiTheme="majorBidi" w:cstheme="majorBidi"/>
          <w:sz w:val="24"/>
          <w:szCs w:val="24"/>
        </w:rPr>
      </w:pPr>
      <w:r w:rsidRPr="002C60F9">
        <w:rPr>
          <w:rFonts w:asciiTheme="majorBidi" w:hAnsiTheme="majorBidi" w:cstheme="majorBidi"/>
          <w:sz w:val="24"/>
          <w:szCs w:val="24"/>
        </w:rPr>
        <w:t>Al Rajhi Bank (2023) illustrates the Saudi mix: large retail franchises coexist with meaningful corporate/SME books and diversified fee income, with product sets spanning murabaha, ijara, and trade/cash solutions. Bank for International Settlements (2013) argues that such breadth raises the premium on tenor and pricing discipline at origination, because short-dated retail liabilities fund assets with heterogeneous duration and optionality. IMF (2023) connects this to execution timing: when rates are volatile, delays in transmitting funding signals into structure and price monetize into mispricing, making frontline cadence</w:t>
      </w:r>
      <w:r w:rsidR="00B03C22">
        <w:rPr>
          <w:rFonts w:asciiTheme="majorBidi" w:hAnsiTheme="majorBidi" w:cstheme="majorBidi"/>
          <w:sz w:val="24"/>
          <w:szCs w:val="24"/>
        </w:rPr>
        <w:t>-</w:t>
      </w:r>
      <w:r w:rsidRPr="002C60F9">
        <w:rPr>
          <w:rFonts w:asciiTheme="majorBidi" w:hAnsiTheme="majorBidi" w:cstheme="majorBidi"/>
          <w:sz w:val="24"/>
          <w:szCs w:val="24"/>
        </w:rPr>
        <w:t>not just policy</w:t>
      </w:r>
      <w:r w:rsidR="00B03C22">
        <w:rPr>
          <w:rFonts w:asciiTheme="majorBidi" w:hAnsiTheme="majorBidi" w:cstheme="majorBidi"/>
          <w:sz w:val="24"/>
          <w:szCs w:val="24"/>
        </w:rPr>
        <w:t>-</w:t>
      </w:r>
      <w:r w:rsidRPr="002C60F9">
        <w:rPr>
          <w:rFonts w:asciiTheme="majorBidi" w:hAnsiTheme="majorBidi" w:cstheme="majorBidi"/>
          <w:sz w:val="24"/>
          <w:szCs w:val="24"/>
        </w:rPr>
        <w:t>determinative. Hence, in a system where retail deposits backstop diversified books, seam quality between AM and Sales becomes a primary control for liquidity/market fit.</w:t>
      </w:r>
    </w:p>
    <w:p w14:paraId="35D9E488" w14:textId="781C2737" w:rsidR="002C60F9" w:rsidRPr="002C60F9" w:rsidRDefault="002C60F9" w:rsidP="002E6F27">
      <w:pPr>
        <w:pStyle w:val="a5"/>
        <w:numPr>
          <w:ilvl w:val="0"/>
          <w:numId w:val="46"/>
        </w:numPr>
        <w:bidi w:val="0"/>
        <w:spacing w:after="120" w:line="276" w:lineRule="auto"/>
        <w:jc w:val="both"/>
        <w:rPr>
          <w:rFonts w:asciiTheme="majorBidi" w:hAnsiTheme="majorBidi" w:cstheme="majorBidi"/>
          <w:sz w:val="24"/>
          <w:szCs w:val="24"/>
        </w:rPr>
      </w:pPr>
      <w:r w:rsidRPr="002C60F9">
        <w:rPr>
          <w:rFonts w:asciiTheme="majorBidi" w:hAnsiTheme="majorBidi" w:cstheme="majorBidi"/>
          <w:sz w:val="24"/>
          <w:szCs w:val="24"/>
        </w:rPr>
        <w:t>Balance-sheet features that shape origination</w:t>
      </w:r>
      <w:r w:rsidR="00B03C22">
        <w:rPr>
          <w:rFonts w:asciiTheme="majorBidi" w:hAnsiTheme="majorBidi" w:cstheme="majorBidi"/>
          <w:sz w:val="24"/>
          <w:szCs w:val="24"/>
        </w:rPr>
        <w:t>-</w:t>
      </w:r>
      <w:r w:rsidRPr="002C60F9">
        <w:rPr>
          <w:rFonts w:asciiTheme="majorBidi" w:hAnsiTheme="majorBidi" w:cstheme="majorBidi"/>
          <w:sz w:val="24"/>
          <w:szCs w:val="24"/>
        </w:rPr>
        <w:t>deposits, capital, and liquidity buffers.</w:t>
      </w:r>
    </w:p>
    <w:p w14:paraId="1605887E" w14:textId="73EBBDB6" w:rsidR="002C60F9" w:rsidRPr="002C60F9" w:rsidRDefault="002C60F9" w:rsidP="002C60F9">
      <w:pPr>
        <w:bidi w:val="0"/>
        <w:spacing w:after="120" w:line="276" w:lineRule="auto"/>
        <w:ind w:firstLine="284"/>
        <w:jc w:val="both"/>
        <w:rPr>
          <w:rFonts w:asciiTheme="majorBidi" w:hAnsiTheme="majorBidi" w:cstheme="majorBidi"/>
          <w:sz w:val="24"/>
          <w:szCs w:val="24"/>
        </w:rPr>
      </w:pPr>
      <w:r w:rsidRPr="002C60F9">
        <w:rPr>
          <w:rFonts w:asciiTheme="majorBidi" w:hAnsiTheme="majorBidi" w:cstheme="majorBidi"/>
          <w:sz w:val="24"/>
          <w:szCs w:val="24"/>
        </w:rPr>
        <w:t xml:space="preserve"> Saudi Central Bank (2023) documents strong capitalization and liquidity metrics, but BIS (2013) cautions that prudential strength is preserved only if LCR/HQLA constraints are internalized </w:t>
      </w:r>
      <w:r w:rsidRPr="002C60F9">
        <w:rPr>
          <w:rFonts w:asciiTheme="majorBidi" w:hAnsiTheme="majorBidi" w:cstheme="majorBidi"/>
          <w:i/>
          <w:iCs/>
          <w:sz w:val="24"/>
          <w:szCs w:val="24"/>
        </w:rPr>
        <w:t>before approval</w:t>
      </w:r>
      <w:r w:rsidRPr="002C60F9">
        <w:rPr>
          <w:rFonts w:asciiTheme="majorBidi" w:hAnsiTheme="majorBidi" w:cstheme="majorBidi"/>
          <w:sz w:val="24"/>
          <w:szCs w:val="24"/>
        </w:rPr>
        <w:t xml:space="preserve">, not repaired post-booking. In practice, this means deal proposals must reflect funding ladders, HQLA availability, and tenor caps at the decision moment. Financial Stability Board (2023) translates that requirement into seam design: time-boxed sign-offs, shared dashboards, and escalation clocks ensure AM–Sales approve against the </w:t>
      </w:r>
      <w:r w:rsidRPr="002C60F9">
        <w:rPr>
          <w:rFonts w:asciiTheme="majorBidi" w:hAnsiTheme="majorBidi" w:cstheme="majorBidi"/>
          <w:i/>
          <w:iCs/>
          <w:sz w:val="24"/>
          <w:szCs w:val="24"/>
        </w:rPr>
        <w:t>same</w:t>
      </w:r>
      <w:r w:rsidRPr="002C60F9">
        <w:rPr>
          <w:rFonts w:asciiTheme="majorBidi" w:hAnsiTheme="majorBidi" w:cstheme="majorBidi"/>
          <w:sz w:val="24"/>
          <w:szCs w:val="24"/>
        </w:rPr>
        <w:t xml:space="preserve"> liquidity facts, converting prudential aims into routine behavior. Islamic Financial Services Board (2024) extends the balance-sheet lens to form–substance: where profit recognition and asset-evidence rules define cash-flow reality, Shariah checkpoints upstream protect both liquidity planning and enforceability, linking documentation quality directly to pricing and tenor choices.</w:t>
      </w:r>
    </w:p>
    <w:p w14:paraId="4988EB40" w14:textId="46839D3D" w:rsidR="002C60F9" w:rsidRPr="002C60F9" w:rsidRDefault="002C60F9" w:rsidP="002E6F27">
      <w:pPr>
        <w:pStyle w:val="a5"/>
        <w:numPr>
          <w:ilvl w:val="0"/>
          <w:numId w:val="46"/>
        </w:numPr>
        <w:bidi w:val="0"/>
        <w:spacing w:after="120" w:line="276" w:lineRule="auto"/>
        <w:jc w:val="both"/>
        <w:rPr>
          <w:rFonts w:asciiTheme="majorBidi" w:hAnsiTheme="majorBidi" w:cstheme="majorBidi"/>
          <w:sz w:val="24"/>
          <w:szCs w:val="24"/>
        </w:rPr>
      </w:pPr>
      <w:r w:rsidRPr="002C60F9">
        <w:rPr>
          <w:rFonts w:asciiTheme="majorBidi" w:hAnsiTheme="majorBidi" w:cstheme="majorBidi"/>
          <w:sz w:val="24"/>
          <w:szCs w:val="24"/>
        </w:rPr>
        <w:t>Digital rails and deposit stability</w:t>
      </w:r>
      <w:r w:rsidR="00B03C22">
        <w:rPr>
          <w:rFonts w:asciiTheme="majorBidi" w:hAnsiTheme="majorBidi" w:cstheme="majorBidi"/>
          <w:sz w:val="24"/>
          <w:szCs w:val="24"/>
        </w:rPr>
        <w:t>-</w:t>
      </w:r>
      <w:r w:rsidRPr="002C60F9">
        <w:rPr>
          <w:rFonts w:asciiTheme="majorBidi" w:hAnsiTheme="majorBidi" w:cstheme="majorBidi"/>
          <w:sz w:val="24"/>
          <w:szCs w:val="24"/>
        </w:rPr>
        <w:t>an interaction that raises the value of co-visibility.</w:t>
      </w:r>
    </w:p>
    <w:p w14:paraId="6D51FB26" w14:textId="2F3CC61C" w:rsidR="002C60F9" w:rsidRPr="002C60F9" w:rsidRDefault="002C60F9" w:rsidP="002C60F9">
      <w:pPr>
        <w:bidi w:val="0"/>
        <w:spacing w:after="120" w:line="276" w:lineRule="auto"/>
        <w:ind w:firstLine="284"/>
        <w:jc w:val="both"/>
        <w:rPr>
          <w:rFonts w:asciiTheme="majorBidi" w:hAnsiTheme="majorBidi" w:cstheme="majorBidi"/>
          <w:sz w:val="24"/>
          <w:szCs w:val="24"/>
        </w:rPr>
      </w:pPr>
      <w:r w:rsidRPr="002C60F9">
        <w:rPr>
          <w:rFonts w:asciiTheme="majorBidi" w:hAnsiTheme="majorBidi" w:cstheme="majorBidi"/>
          <w:sz w:val="24"/>
          <w:szCs w:val="24"/>
        </w:rPr>
        <w:t xml:space="preserve"> OECD (2022) notes rapid cloud/fintech adoption across GCC financial services, which boosts origination speed but introduces data-lineage and third-party dependencies. U.S. supervisors (2024) emphasize that banks remain accountable for vendor performance, so monitoring rights, failovers, and SLA timers must be visible to first-line approvers. In a deposit-rich system, this interaction matters: fast pipelines backed by stable funding can still misallocate liquidity if co-visible funding curves, EWS feeds, and vendor status are not embedded in the approval packet (FSB, 2023). Thus, deposit stability is not a cushion for weak routines; it is a reason to tighten co-visibility so scale does not amplify small errors.</w:t>
      </w:r>
    </w:p>
    <w:p w14:paraId="429A29A7" w14:textId="60ACE04B" w:rsidR="002C60F9" w:rsidRPr="002C60F9" w:rsidRDefault="002C60F9" w:rsidP="002E6F27">
      <w:pPr>
        <w:pStyle w:val="a5"/>
        <w:numPr>
          <w:ilvl w:val="0"/>
          <w:numId w:val="46"/>
        </w:numPr>
        <w:bidi w:val="0"/>
        <w:spacing w:after="120" w:line="276" w:lineRule="auto"/>
        <w:jc w:val="both"/>
        <w:rPr>
          <w:rFonts w:asciiTheme="majorBidi" w:hAnsiTheme="majorBidi" w:cstheme="majorBidi"/>
          <w:sz w:val="24"/>
          <w:szCs w:val="24"/>
        </w:rPr>
      </w:pPr>
      <w:r w:rsidRPr="002C60F9">
        <w:rPr>
          <w:rFonts w:asciiTheme="majorBidi" w:hAnsiTheme="majorBidi" w:cstheme="majorBidi"/>
          <w:sz w:val="24"/>
          <w:szCs w:val="24"/>
        </w:rPr>
        <w:t>Bridge</w:t>
      </w:r>
      <w:r w:rsidR="00B03C22">
        <w:rPr>
          <w:rFonts w:asciiTheme="majorBidi" w:hAnsiTheme="majorBidi" w:cstheme="majorBidi"/>
          <w:sz w:val="24"/>
          <w:szCs w:val="24"/>
        </w:rPr>
        <w:t>-</w:t>
      </w:r>
      <w:r w:rsidRPr="002C60F9">
        <w:rPr>
          <w:rFonts w:asciiTheme="majorBidi" w:hAnsiTheme="majorBidi" w:cstheme="majorBidi"/>
          <w:sz w:val="24"/>
          <w:szCs w:val="24"/>
        </w:rPr>
        <w:t xml:space="preserve">why concentration and the deposit profile amplify cadence and co-visibility for pricing &amp; tenor fit. </w:t>
      </w:r>
    </w:p>
    <w:p w14:paraId="7D1CD58A" w14:textId="20A6D690" w:rsidR="002C60F9" w:rsidRPr="002C60F9" w:rsidRDefault="002C60F9" w:rsidP="002C60F9">
      <w:pPr>
        <w:bidi w:val="0"/>
        <w:spacing w:after="120" w:line="276" w:lineRule="auto"/>
        <w:ind w:firstLine="284"/>
        <w:jc w:val="both"/>
        <w:rPr>
          <w:rFonts w:asciiTheme="majorBidi" w:hAnsiTheme="majorBidi" w:cstheme="majorBidi"/>
          <w:sz w:val="24"/>
          <w:szCs w:val="24"/>
        </w:rPr>
      </w:pPr>
      <w:r w:rsidRPr="002C60F9">
        <w:rPr>
          <w:rFonts w:asciiTheme="majorBidi" w:hAnsiTheme="majorBidi" w:cstheme="majorBidi"/>
          <w:sz w:val="24"/>
          <w:szCs w:val="24"/>
        </w:rPr>
        <w:t xml:space="preserve">IMF (2023) shows that execution under uncertainty penalizes latency and ambiguity; BIS (2013) requires that LCR/HQLA and funding costs be priced into deals ex-ante; and FSB (2023) proves this only happens reliably when handoffs are </w:t>
      </w:r>
      <w:r w:rsidRPr="002C60F9">
        <w:rPr>
          <w:rFonts w:asciiTheme="majorBidi" w:hAnsiTheme="majorBidi" w:cstheme="majorBidi"/>
          <w:i/>
          <w:iCs/>
          <w:sz w:val="24"/>
          <w:szCs w:val="24"/>
        </w:rPr>
        <w:t>designed</w:t>
      </w:r>
      <w:r w:rsidR="00B03C22">
        <w:rPr>
          <w:rFonts w:asciiTheme="majorBidi" w:hAnsiTheme="majorBidi" w:cstheme="majorBidi"/>
          <w:sz w:val="24"/>
          <w:szCs w:val="24"/>
        </w:rPr>
        <w:t>-</w:t>
      </w:r>
      <w:r w:rsidRPr="002C60F9">
        <w:rPr>
          <w:rFonts w:asciiTheme="majorBidi" w:hAnsiTheme="majorBidi" w:cstheme="majorBidi"/>
          <w:sz w:val="24"/>
          <w:szCs w:val="24"/>
        </w:rPr>
        <w:t>named owners, timers, evidence packs. In Saudi/GCC conditions</w:t>
      </w:r>
      <w:r w:rsidR="00B03C22">
        <w:rPr>
          <w:rFonts w:asciiTheme="majorBidi" w:hAnsiTheme="majorBidi" w:cstheme="majorBidi"/>
          <w:sz w:val="24"/>
          <w:szCs w:val="24"/>
        </w:rPr>
        <w:t>-</w:t>
      </w:r>
      <w:r w:rsidRPr="002C60F9">
        <w:rPr>
          <w:rFonts w:asciiTheme="majorBidi" w:hAnsiTheme="majorBidi" w:cstheme="majorBidi"/>
          <w:sz w:val="24"/>
          <w:szCs w:val="24"/>
        </w:rPr>
        <w:t>high concentration, large Islamic share, and deposit-anchored funding</w:t>
      </w:r>
      <w:r w:rsidR="00B03C22">
        <w:rPr>
          <w:rFonts w:asciiTheme="majorBidi" w:hAnsiTheme="majorBidi" w:cstheme="majorBidi"/>
          <w:sz w:val="24"/>
          <w:szCs w:val="24"/>
        </w:rPr>
        <w:t>-</w:t>
      </w:r>
      <w:r w:rsidRPr="002C60F9">
        <w:rPr>
          <w:rFonts w:asciiTheme="majorBidi" w:hAnsiTheme="majorBidi" w:cstheme="majorBidi"/>
          <w:sz w:val="24"/>
          <w:szCs w:val="24"/>
        </w:rPr>
        <w:t>any delay or opacity at the AM–Sales seam scales across big books, shifting the entire vintage curve for liquidity and credit risk. Islamic Financial Services Board (2024) closes the loop: upstream Shariah form–substance verification is not orthogonal to liquidity/market fit; it is the mechanism that prevents structural and documentation frictions from becoming pricing and tenor misfits. Consequently, this sector structure predicts strong positive links from communication cadence and data co-visibility (IV) to liquidity/market-risk fit and credit discipline (DV), and it justifies the study’s insistence on measuring override frequency, breach-to-action latency, and pricing-floor/tenor adherence as objective anchors alongside perceptual assessments of seam quality.</w:t>
      </w:r>
    </w:p>
    <w:p w14:paraId="0DEFD0C9" w14:textId="0A57DDB6" w:rsidR="0035748F" w:rsidRDefault="0035748F" w:rsidP="00166BB3">
      <w:pPr>
        <w:pStyle w:val="ad"/>
      </w:pPr>
      <w:bookmarkStart w:id="81" w:name="_Toc214622007"/>
      <w:r>
        <w:t xml:space="preserve">Table </w:t>
      </w:r>
      <w:r>
        <w:fldChar w:fldCharType="begin"/>
      </w:r>
      <w:r>
        <w:instrText xml:space="preserve"> SEQ Table \* ARABIC </w:instrText>
      </w:r>
      <w:r>
        <w:fldChar w:fldCharType="separate"/>
      </w:r>
      <w:r w:rsidR="00CD4CCF">
        <w:t>1</w:t>
      </w:r>
      <w:r>
        <w:fldChar w:fldCharType="end"/>
      </w:r>
      <w:r>
        <w:t xml:space="preserve">: </w:t>
      </w:r>
      <w:r w:rsidRPr="00C966F5">
        <w:t>Saudi/GCC Banking Structure Snapshot (Islamic Share, HQLA, and Credit Growth Bands)</w:t>
      </w:r>
      <w:bookmarkEnd w:id="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719"/>
        <w:gridCol w:w="1966"/>
        <w:gridCol w:w="1568"/>
        <w:gridCol w:w="2513"/>
      </w:tblGrid>
      <w:tr w:rsidR="0035748F" w:rsidRPr="0035748F" w14:paraId="2B80AC8A" w14:textId="77777777" w:rsidTr="0035748F">
        <w:trPr>
          <w:trHeight w:val="20"/>
        </w:trPr>
        <w:tc>
          <w:tcPr>
            <w:tcW w:w="0" w:type="auto"/>
            <w:shd w:val="clear" w:color="auto" w:fill="F2F2F2" w:themeFill="background1" w:themeFillShade="F2"/>
            <w:vAlign w:val="center"/>
            <w:hideMark/>
          </w:tcPr>
          <w:p w14:paraId="08F48637" w14:textId="77777777" w:rsidR="0035748F" w:rsidRP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Jurisdiction</w:t>
            </w:r>
          </w:p>
        </w:tc>
        <w:tc>
          <w:tcPr>
            <w:tcW w:w="0" w:type="auto"/>
            <w:shd w:val="clear" w:color="auto" w:fill="F2F2F2" w:themeFill="background1" w:themeFillShade="F2"/>
            <w:vAlign w:val="center"/>
            <w:hideMark/>
          </w:tcPr>
          <w:p w14:paraId="6A55C006" w14:textId="76B4972B" w:rsid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Islamic banking share</w:t>
            </w:r>
          </w:p>
          <w:p w14:paraId="27CD9A37" w14:textId="46454430" w:rsidR="0035748F" w:rsidRP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(latest available)</w:t>
            </w:r>
          </w:p>
        </w:tc>
        <w:tc>
          <w:tcPr>
            <w:tcW w:w="0" w:type="auto"/>
            <w:shd w:val="clear" w:color="auto" w:fill="F2F2F2" w:themeFill="background1" w:themeFillShade="F2"/>
            <w:vAlign w:val="center"/>
            <w:hideMark/>
          </w:tcPr>
          <w:p w14:paraId="15A1E63B" w14:textId="77777777" w:rsidR="0035748F" w:rsidRP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HQLA composition (indicative, per Basel III LCR)</w:t>
            </w:r>
          </w:p>
        </w:tc>
        <w:tc>
          <w:tcPr>
            <w:tcW w:w="0" w:type="auto"/>
            <w:shd w:val="clear" w:color="auto" w:fill="F2F2F2" w:themeFill="background1" w:themeFillShade="F2"/>
            <w:vAlign w:val="center"/>
            <w:hideMark/>
          </w:tcPr>
          <w:p w14:paraId="3C849B44" w14:textId="09184988" w:rsid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Credit growth band</w:t>
            </w:r>
          </w:p>
          <w:p w14:paraId="7F0A2C63" w14:textId="148E9206" w:rsidR="0035748F" w:rsidRP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(2023–2024)</w:t>
            </w:r>
          </w:p>
        </w:tc>
        <w:tc>
          <w:tcPr>
            <w:tcW w:w="0" w:type="auto"/>
            <w:shd w:val="clear" w:color="auto" w:fill="F2F2F2" w:themeFill="background1" w:themeFillShade="F2"/>
            <w:vAlign w:val="center"/>
            <w:hideMark/>
          </w:tcPr>
          <w:p w14:paraId="4455D2B1" w14:textId="77777777" w:rsidR="0035748F" w:rsidRPr="0035748F" w:rsidRDefault="0035748F" w:rsidP="0035748F">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35748F">
              <w:rPr>
                <w:rFonts w:asciiTheme="majorBidi" w:eastAsia="Times New Roman" w:hAnsiTheme="majorBidi" w:cstheme="majorBidi"/>
                <w:b/>
                <w:bCs/>
                <w:color w:val="000000"/>
                <w:kern w:val="0"/>
                <w:sz w:val="20"/>
                <w:szCs w:val="20"/>
                <w14:ligatures w14:val="none"/>
              </w:rPr>
              <w:t>Notes (structure &amp; prudential context)</w:t>
            </w:r>
          </w:p>
        </w:tc>
      </w:tr>
      <w:tr w:rsidR="0035748F" w:rsidRPr="0035748F" w14:paraId="2B5DE737" w14:textId="77777777" w:rsidTr="0035748F">
        <w:trPr>
          <w:trHeight w:val="20"/>
        </w:trPr>
        <w:tc>
          <w:tcPr>
            <w:tcW w:w="0" w:type="auto"/>
            <w:vAlign w:val="center"/>
            <w:hideMark/>
          </w:tcPr>
          <w:p w14:paraId="0267F49E"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Saudi Arabia</w:t>
            </w:r>
          </w:p>
        </w:tc>
        <w:tc>
          <w:tcPr>
            <w:tcW w:w="0" w:type="auto"/>
            <w:vAlign w:val="center"/>
            <w:hideMark/>
          </w:tcPr>
          <w:p w14:paraId="691FF3A3"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High (majority share of banking assets)</w:t>
            </w:r>
          </w:p>
        </w:tc>
        <w:tc>
          <w:tcPr>
            <w:tcW w:w="0" w:type="auto"/>
            <w:vAlign w:val="center"/>
            <w:hideMark/>
          </w:tcPr>
          <w:p w14:paraId="09D2B4CC"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Level 1 dominant (cash &amp; central-bank reserves; sovereign/sukuk); Level 2 within caps</w:t>
            </w:r>
          </w:p>
        </w:tc>
        <w:tc>
          <w:tcPr>
            <w:tcW w:w="0" w:type="auto"/>
            <w:vAlign w:val="center"/>
            <w:hideMark/>
          </w:tcPr>
          <w:p w14:paraId="736EB4E5"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Moderate; decelerating vs. 2022</w:t>
            </w:r>
          </w:p>
        </w:tc>
        <w:tc>
          <w:tcPr>
            <w:tcW w:w="0" w:type="auto"/>
            <w:vAlign w:val="center"/>
            <w:hideMark/>
          </w:tcPr>
          <w:p w14:paraId="791EBDA2"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Concentrated, deposit-rich system with strong capital/liquidity buffers; Islamic product depth shapes origination routines</w:t>
            </w:r>
          </w:p>
        </w:tc>
      </w:tr>
      <w:tr w:rsidR="0035748F" w:rsidRPr="0035748F" w14:paraId="272C4A09" w14:textId="77777777" w:rsidTr="0035748F">
        <w:trPr>
          <w:trHeight w:val="20"/>
        </w:trPr>
        <w:tc>
          <w:tcPr>
            <w:tcW w:w="0" w:type="auto"/>
            <w:vAlign w:val="center"/>
            <w:hideMark/>
          </w:tcPr>
          <w:p w14:paraId="4C7BEA18"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United Arab Emirates</w:t>
            </w:r>
          </w:p>
        </w:tc>
        <w:tc>
          <w:tcPr>
            <w:tcW w:w="0" w:type="auto"/>
            <w:vAlign w:val="center"/>
            <w:hideMark/>
          </w:tcPr>
          <w:p w14:paraId="48D06EA3"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Significant Islamic segment alongside conventional</w:t>
            </w:r>
          </w:p>
        </w:tc>
        <w:tc>
          <w:tcPr>
            <w:tcW w:w="0" w:type="auto"/>
            <w:vAlign w:val="center"/>
            <w:hideMark/>
          </w:tcPr>
          <w:p w14:paraId="7F314DD6"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Level 1 dominant; supplemented by Level 2A/2B within regulatory limits</w:t>
            </w:r>
          </w:p>
        </w:tc>
        <w:tc>
          <w:tcPr>
            <w:tcW w:w="0" w:type="auto"/>
            <w:vAlign w:val="center"/>
            <w:hideMark/>
          </w:tcPr>
          <w:p w14:paraId="2183F6CA"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Resilient/steady</w:t>
            </w:r>
          </w:p>
        </w:tc>
        <w:tc>
          <w:tcPr>
            <w:tcW w:w="0" w:type="auto"/>
            <w:vAlign w:val="center"/>
            <w:hideMark/>
          </w:tcPr>
          <w:p w14:paraId="5E9F7A86"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High digital adoption and vendor/cloud reliance; active cross-border rails; robust prudential metrics</w:t>
            </w:r>
          </w:p>
        </w:tc>
      </w:tr>
      <w:tr w:rsidR="0035748F" w:rsidRPr="0035748F" w14:paraId="03F5B8EE" w14:textId="77777777" w:rsidTr="0035748F">
        <w:trPr>
          <w:trHeight w:val="20"/>
        </w:trPr>
        <w:tc>
          <w:tcPr>
            <w:tcW w:w="0" w:type="auto"/>
            <w:vAlign w:val="center"/>
            <w:hideMark/>
          </w:tcPr>
          <w:p w14:paraId="69210F90"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Qatar</w:t>
            </w:r>
          </w:p>
        </w:tc>
        <w:tc>
          <w:tcPr>
            <w:tcW w:w="0" w:type="auto"/>
            <w:vAlign w:val="center"/>
            <w:hideMark/>
          </w:tcPr>
          <w:p w14:paraId="345EEE6A"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High (~70% of financing/assets)</w:t>
            </w:r>
          </w:p>
        </w:tc>
        <w:tc>
          <w:tcPr>
            <w:tcW w:w="0" w:type="auto"/>
            <w:vAlign w:val="center"/>
            <w:hideMark/>
          </w:tcPr>
          <w:p w14:paraId="38ED2FF3"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Level 1 dominant (gov’t bills and sovereign sukuk)</w:t>
            </w:r>
          </w:p>
        </w:tc>
        <w:tc>
          <w:tcPr>
            <w:tcW w:w="0" w:type="auto"/>
            <w:vAlign w:val="center"/>
            <w:hideMark/>
          </w:tcPr>
          <w:p w14:paraId="7E555624"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Moderate</w:t>
            </w:r>
          </w:p>
        </w:tc>
        <w:tc>
          <w:tcPr>
            <w:tcW w:w="0" w:type="auto"/>
            <w:vAlign w:val="center"/>
            <w:hideMark/>
          </w:tcPr>
          <w:p w14:paraId="2AD68D41"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Large Islamic share and deep sovereign/sukuk markets; concentrated system dynamics</w:t>
            </w:r>
          </w:p>
        </w:tc>
      </w:tr>
      <w:tr w:rsidR="0035748F" w:rsidRPr="0035748F" w14:paraId="698FC6DA" w14:textId="77777777" w:rsidTr="0035748F">
        <w:trPr>
          <w:trHeight w:val="20"/>
        </w:trPr>
        <w:tc>
          <w:tcPr>
            <w:tcW w:w="0" w:type="auto"/>
            <w:vAlign w:val="center"/>
            <w:hideMark/>
          </w:tcPr>
          <w:p w14:paraId="04C42C6D"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GCC aggregate (context)</w:t>
            </w:r>
          </w:p>
        </w:tc>
        <w:tc>
          <w:tcPr>
            <w:tcW w:w="0" w:type="auto"/>
            <w:vAlign w:val="center"/>
            <w:hideMark/>
          </w:tcPr>
          <w:p w14:paraId="74E8FA48"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Significant; highest penetration in KSA/Qatar</w:t>
            </w:r>
          </w:p>
        </w:tc>
        <w:tc>
          <w:tcPr>
            <w:tcW w:w="0" w:type="auto"/>
            <w:vAlign w:val="center"/>
            <w:hideMark/>
          </w:tcPr>
          <w:p w14:paraId="28D68E33"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Level 1 is the core HQLA class across GCC; Level 2 used within Basel caps</w:t>
            </w:r>
          </w:p>
        </w:tc>
        <w:tc>
          <w:tcPr>
            <w:tcW w:w="0" w:type="auto"/>
            <w:vAlign w:val="center"/>
            <w:hideMark/>
          </w:tcPr>
          <w:p w14:paraId="4A19FFB0"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Cooling but positive vs. 2022</w:t>
            </w:r>
          </w:p>
        </w:tc>
        <w:tc>
          <w:tcPr>
            <w:tcW w:w="0" w:type="auto"/>
            <w:vAlign w:val="center"/>
            <w:hideMark/>
          </w:tcPr>
          <w:p w14:paraId="6272CF83" w14:textId="77777777" w:rsidR="0035748F" w:rsidRPr="0035748F" w:rsidRDefault="0035748F" w:rsidP="0035748F">
            <w:pPr>
              <w:bidi w:val="0"/>
              <w:spacing w:after="0" w:line="240" w:lineRule="auto"/>
              <w:jc w:val="center"/>
              <w:rPr>
                <w:rFonts w:asciiTheme="majorBidi" w:eastAsia="Times New Roman" w:hAnsiTheme="majorBidi" w:cstheme="majorBidi"/>
                <w:color w:val="000000"/>
                <w:kern w:val="0"/>
                <w:sz w:val="20"/>
                <w:szCs w:val="20"/>
                <w14:ligatures w14:val="none"/>
              </w:rPr>
            </w:pPr>
            <w:r w:rsidRPr="0035748F">
              <w:rPr>
                <w:rFonts w:asciiTheme="majorBidi" w:eastAsia="Times New Roman" w:hAnsiTheme="majorBidi" w:cstheme="majorBidi"/>
                <w:color w:val="000000"/>
                <w:kern w:val="0"/>
                <w:sz w:val="20"/>
                <w:szCs w:val="20"/>
                <w14:ligatures w14:val="none"/>
              </w:rPr>
              <w:t>Concentrated, bank-centric, deposit-anchored systems; prudential anchors bind at origination (pricing/tenor/override discipline)</w:t>
            </w:r>
          </w:p>
        </w:tc>
      </w:tr>
    </w:tbl>
    <w:p w14:paraId="45305BEB" w14:textId="77777777" w:rsidR="00780704" w:rsidRDefault="0035748F" w:rsidP="00780704">
      <w:pPr>
        <w:bidi w:val="0"/>
        <w:spacing w:after="120" w:line="276" w:lineRule="auto"/>
        <w:ind w:firstLine="284"/>
        <w:jc w:val="both"/>
        <w:rPr>
          <w:rFonts w:asciiTheme="majorBidi" w:hAnsiTheme="majorBidi" w:cstheme="majorBidi"/>
          <w:sz w:val="24"/>
          <w:szCs w:val="24"/>
        </w:rPr>
      </w:pPr>
      <w:r>
        <w:rPr>
          <w:rFonts w:asciiTheme="majorBidi" w:hAnsiTheme="majorBidi" w:cstheme="majorBidi"/>
          <w:sz w:val="24"/>
          <w:szCs w:val="24"/>
        </w:rPr>
        <w:t xml:space="preserve">Reference: </w:t>
      </w:r>
      <w:r w:rsidR="00780704" w:rsidRPr="00780704">
        <w:rPr>
          <w:rFonts w:asciiTheme="majorBidi" w:hAnsiTheme="majorBidi" w:cstheme="majorBidi"/>
          <w:sz w:val="24"/>
          <w:szCs w:val="24"/>
        </w:rPr>
        <w:t>BIS 2013, FSB 2023, IMF 2023, IFSB 2024, OECD 2022, SAMA 2023, CBUAE 2023.</w:t>
      </w:r>
    </w:p>
    <w:p w14:paraId="6F71A184" w14:textId="62D8F177" w:rsidR="00370164" w:rsidRPr="002C60F9" w:rsidRDefault="0035748F" w:rsidP="00780704">
      <w:pPr>
        <w:bidi w:val="0"/>
        <w:spacing w:after="120" w:line="276" w:lineRule="auto"/>
        <w:ind w:firstLine="284"/>
        <w:jc w:val="both"/>
        <w:rPr>
          <w:rFonts w:asciiTheme="majorBidi" w:hAnsiTheme="majorBidi" w:cstheme="majorBidi"/>
          <w:sz w:val="24"/>
          <w:szCs w:val="24"/>
        </w:rPr>
      </w:pPr>
      <w:r w:rsidRPr="0035748F">
        <w:rPr>
          <w:rFonts w:asciiTheme="majorBidi" w:hAnsiTheme="majorBidi" w:cstheme="majorBidi"/>
          <w:sz w:val="24"/>
          <w:szCs w:val="24"/>
        </w:rPr>
        <w:t>Across the GCC</w:t>
      </w:r>
      <w:r w:rsidR="00B03C22">
        <w:rPr>
          <w:rFonts w:asciiTheme="majorBidi" w:hAnsiTheme="majorBidi" w:cstheme="majorBidi"/>
          <w:sz w:val="24"/>
          <w:szCs w:val="24"/>
        </w:rPr>
        <w:t>-</w:t>
      </w:r>
      <w:r w:rsidRPr="0035748F">
        <w:rPr>
          <w:rFonts w:asciiTheme="majorBidi" w:hAnsiTheme="majorBidi" w:cstheme="majorBidi"/>
          <w:sz w:val="24"/>
          <w:szCs w:val="24"/>
        </w:rPr>
        <w:t>and especially in Saudi Arabia</w:t>
      </w:r>
      <w:r w:rsidR="00B03C22">
        <w:rPr>
          <w:rFonts w:asciiTheme="majorBidi" w:hAnsiTheme="majorBidi" w:cstheme="majorBidi"/>
          <w:sz w:val="24"/>
          <w:szCs w:val="24"/>
        </w:rPr>
        <w:t>-</w:t>
      </w:r>
      <w:r w:rsidRPr="0035748F">
        <w:rPr>
          <w:rFonts w:asciiTheme="majorBidi" w:hAnsiTheme="majorBidi" w:cstheme="majorBidi"/>
          <w:sz w:val="24"/>
          <w:szCs w:val="24"/>
        </w:rPr>
        <w:t>the combination of sector concentration, deposit-anchored funding, and high Islamic-banking penetration means small execution frictions at the AM–Sales seam scale rapidly into portfolio outcomes. When HQLA/LCR constraints and funding-cost signals are co-visible at approval, origination aligns with liquidity/market-risk fit (BIS, 2013). Conversely, in a higher-for-longer environment, delays in transmitting those signals monetize into mispricing and tenor misfit, even when headline buffers are strong (IMF, 2023). Islamic-finance form–substance requirements (asset evidence, possession/transfer, profit recognition) tighten this link further by moving Shariah checkpoints upstream, making cadence, data integration, KPI alignment, and RACI clarity decisive for downstream credit discipline and operational resilience (IFSB, 2024; SAMA, 2023). Digital rails and third-party dependencies (cloud/KYC/CRM) raise the premium on lineage, failovers, and SLA-timed escalations, so concentration and deposit stability are not cushions for weak routines but reasons to tighten co-visibility and decision ownership (FSB, 2023; OECD, 2022).</w:t>
      </w:r>
    </w:p>
    <w:p w14:paraId="2C4FBA8E" w14:textId="524BB68F" w:rsidR="00780704" w:rsidRDefault="00780704" w:rsidP="00780704">
      <w:pPr>
        <w:pStyle w:val="3"/>
      </w:pPr>
      <w:bookmarkStart w:id="82" w:name="_Toc214621154"/>
      <w:r>
        <w:t>Product Mix and Contract Forms.</w:t>
      </w:r>
      <w:bookmarkEnd w:id="82"/>
    </w:p>
    <w:p w14:paraId="404650D5" w14:textId="77777777" w:rsidR="00C0007F" w:rsidRPr="00C0007F" w:rsidRDefault="00C0007F" w:rsidP="002E6F27">
      <w:pPr>
        <w:pStyle w:val="a5"/>
        <w:numPr>
          <w:ilvl w:val="0"/>
          <w:numId w:val="47"/>
        </w:numPr>
        <w:bidi w:val="0"/>
        <w:spacing w:after="120" w:line="276" w:lineRule="auto"/>
        <w:jc w:val="both"/>
        <w:rPr>
          <w:rFonts w:asciiTheme="majorBidi" w:hAnsiTheme="majorBidi" w:cstheme="majorBidi"/>
          <w:sz w:val="24"/>
          <w:szCs w:val="24"/>
        </w:rPr>
      </w:pPr>
      <w:r w:rsidRPr="00C0007F">
        <w:rPr>
          <w:rFonts w:asciiTheme="majorBidi" w:hAnsiTheme="majorBidi" w:cstheme="majorBidi"/>
          <w:sz w:val="24"/>
          <w:szCs w:val="24"/>
        </w:rPr>
        <w:t>Dominant Islamic products and cash-flow/hedging implications.</w:t>
      </w:r>
    </w:p>
    <w:p w14:paraId="42D9CA02" w14:textId="2F65F500" w:rsidR="00C0007F" w:rsidRDefault="00C0007F" w:rsidP="00C0007F">
      <w:pPr>
        <w:bidi w:val="0"/>
        <w:spacing w:after="120" w:line="276" w:lineRule="auto"/>
        <w:ind w:firstLine="284"/>
        <w:jc w:val="both"/>
        <w:rPr>
          <w:rFonts w:asciiTheme="majorBidi" w:hAnsiTheme="majorBidi" w:cstheme="majorBidi"/>
          <w:sz w:val="24"/>
          <w:szCs w:val="24"/>
        </w:rPr>
      </w:pPr>
      <w:r w:rsidRPr="00C0007F">
        <w:rPr>
          <w:rFonts w:asciiTheme="majorBidi" w:hAnsiTheme="majorBidi" w:cstheme="majorBidi"/>
          <w:sz w:val="24"/>
          <w:szCs w:val="24"/>
        </w:rPr>
        <w:t>Islamic Financial Services Board (2024) shows that Saudi/GCC balance sheets are anchored in murabaha (cost-plus sale), ijara (lease), and musharaka (profit-and-loss sharing), each encoding cash-flow mechanics that shape market, liquidity, and credit exposures from the outset. Van Greuning and Iqbal (2008) explain that murabaha typically produces amortizing, inventory-linked receivables with limited optionality, which reduces some market-risk volatility but raises operational exposure around asset evidence and delivery timing. In contrast, ijara generates lease cash flows sensitive to residual value and maintenance assumptions; if tenor and renewal options are mis-specified, liquidity and market fit drift over time, especially when funding curves shift, as International Monetary Fund (2023) warns in “higher-for-longer” regimes. For musharaka, Van Greuning and Iqbal (2008) emphasize that variable profit allocation creates earnings dispersion and downside sharing, intensifying the need for clear governance and measurement to avoid disputes that later manifest as credit non-performance. Bank for International Settlements (2013) adds that because Shariah constraints limit conventional hedging, structure choice at origination becomes the primary risk tool; therefore, price floors, tenor ladders, and amortization patterns must internalize LCR/HQLA and funding costs ex-ante.</w:t>
      </w:r>
    </w:p>
    <w:p w14:paraId="7574C81B" w14:textId="271C271C" w:rsidR="00C3486F" w:rsidRDefault="00C3486F" w:rsidP="00C3486F">
      <w:pPr>
        <w:bidi w:val="0"/>
        <w:spacing w:after="120" w:line="276" w:lineRule="auto"/>
        <w:ind w:firstLine="284"/>
        <w:jc w:val="both"/>
        <w:rPr>
          <w:rFonts w:asciiTheme="majorBidi" w:hAnsiTheme="majorBidi" w:cstheme="majorBidi"/>
          <w:sz w:val="24"/>
          <w:szCs w:val="24"/>
        </w:rPr>
      </w:pPr>
    </w:p>
    <w:p w14:paraId="7E1526F9" w14:textId="77777777" w:rsidR="00C3486F" w:rsidRPr="00C0007F" w:rsidRDefault="00C3486F" w:rsidP="00C3486F">
      <w:pPr>
        <w:bidi w:val="0"/>
        <w:spacing w:after="120" w:line="276" w:lineRule="auto"/>
        <w:ind w:firstLine="284"/>
        <w:jc w:val="both"/>
        <w:rPr>
          <w:rFonts w:asciiTheme="majorBidi" w:hAnsiTheme="majorBidi" w:cstheme="majorBidi"/>
          <w:sz w:val="24"/>
          <w:szCs w:val="24"/>
        </w:rPr>
      </w:pPr>
    </w:p>
    <w:p w14:paraId="4367EFDB" w14:textId="77777777" w:rsidR="00C0007F" w:rsidRDefault="00C0007F" w:rsidP="002E6F27">
      <w:pPr>
        <w:pStyle w:val="a5"/>
        <w:numPr>
          <w:ilvl w:val="0"/>
          <w:numId w:val="47"/>
        </w:numPr>
        <w:bidi w:val="0"/>
        <w:spacing w:after="120" w:line="276" w:lineRule="auto"/>
        <w:jc w:val="both"/>
        <w:rPr>
          <w:rFonts w:asciiTheme="majorBidi" w:hAnsiTheme="majorBidi" w:cstheme="majorBidi"/>
          <w:sz w:val="24"/>
          <w:szCs w:val="24"/>
        </w:rPr>
      </w:pPr>
      <w:r w:rsidRPr="00C0007F">
        <w:rPr>
          <w:rFonts w:asciiTheme="majorBidi" w:hAnsiTheme="majorBidi" w:cstheme="majorBidi"/>
          <w:sz w:val="24"/>
          <w:szCs w:val="24"/>
        </w:rPr>
        <w:t>Where Shariah touchpoints sit in the deal life-cycle.</w:t>
      </w:r>
    </w:p>
    <w:p w14:paraId="38279694" w14:textId="0115B599" w:rsidR="00C0007F" w:rsidRPr="00C0007F" w:rsidRDefault="00C0007F" w:rsidP="00C0007F">
      <w:pPr>
        <w:bidi w:val="0"/>
        <w:spacing w:after="120" w:line="276" w:lineRule="auto"/>
        <w:ind w:firstLine="284"/>
        <w:jc w:val="both"/>
        <w:rPr>
          <w:rFonts w:asciiTheme="majorBidi" w:hAnsiTheme="majorBidi" w:cstheme="majorBidi"/>
          <w:sz w:val="24"/>
          <w:szCs w:val="24"/>
        </w:rPr>
      </w:pPr>
      <w:r w:rsidRPr="00C0007F">
        <w:rPr>
          <w:rFonts w:asciiTheme="majorBidi" w:hAnsiTheme="majorBidi" w:cstheme="majorBidi"/>
          <w:sz w:val="24"/>
          <w:szCs w:val="24"/>
        </w:rPr>
        <w:t>Islamic Financial Services Board (2024) argues that form–substance compliance is a front-loaded process, not a back-office check, locating three decisive touchpoints: (1) asset evidence (proof of existence, ownership, and suitability), (2) possession/transfer mechanics (actual or constructive qabd aligned with contract form and timing), and (3) profit recognition logic (cost disclosure in murabaha, rental basis in ijara, and profit-sharing ratios in musharaka). KPMG (2025) translates these into work-design artifacts</w:t>
      </w:r>
      <w:r w:rsidR="00B03C22">
        <w:rPr>
          <w:rFonts w:asciiTheme="majorBidi" w:hAnsiTheme="majorBidi" w:cstheme="majorBidi"/>
          <w:sz w:val="24"/>
          <w:szCs w:val="24"/>
        </w:rPr>
        <w:t>-</w:t>
      </w:r>
      <w:r w:rsidRPr="00C0007F">
        <w:rPr>
          <w:rFonts w:asciiTheme="majorBidi" w:hAnsiTheme="majorBidi" w:cstheme="majorBidi"/>
          <w:sz w:val="24"/>
          <w:szCs w:val="24"/>
        </w:rPr>
        <w:t>named owners, timers, and evidence packs</w:t>
      </w:r>
      <w:r w:rsidR="00B03C22">
        <w:rPr>
          <w:rFonts w:asciiTheme="majorBidi" w:hAnsiTheme="majorBidi" w:cstheme="majorBidi"/>
          <w:sz w:val="24"/>
          <w:szCs w:val="24"/>
        </w:rPr>
        <w:t>-</w:t>
      </w:r>
      <w:r w:rsidRPr="00C0007F">
        <w:rPr>
          <w:rFonts w:asciiTheme="majorBidi" w:hAnsiTheme="majorBidi" w:cstheme="majorBidi"/>
          <w:sz w:val="24"/>
          <w:szCs w:val="24"/>
        </w:rPr>
        <w:t>so first-line proposals embed Shariah proofs in the same packet as pricing curves and tenor ladders. Financial Stability Board (2023) links those artifacts to seam discipline: when AM and Sales share co-visible Shariah documents inside CRM/risk tools, downstream overrides and breach-to-action delays fall because exceptions cannot hide in email threads. Al Rajhi Bank (2023) illustrates the operational reality by describing product factories and digital channels where front-to-back evidence capture is essential to scale; in this setting, missing possession or delayed profit-recognition approvals convert quickly into credit and operational frictions as Van Greuning and Iqbal (2008) caution.</w:t>
      </w:r>
    </w:p>
    <w:p w14:paraId="774211B3" w14:textId="77777777" w:rsidR="00C0007F" w:rsidRDefault="00C0007F" w:rsidP="002E6F27">
      <w:pPr>
        <w:pStyle w:val="a5"/>
        <w:numPr>
          <w:ilvl w:val="0"/>
          <w:numId w:val="47"/>
        </w:numPr>
        <w:bidi w:val="0"/>
        <w:spacing w:after="120" w:line="276" w:lineRule="auto"/>
        <w:jc w:val="both"/>
        <w:rPr>
          <w:rFonts w:asciiTheme="majorBidi" w:hAnsiTheme="majorBidi" w:cstheme="majorBidi"/>
          <w:sz w:val="24"/>
          <w:szCs w:val="24"/>
        </w:rPr>
      </w:pPr>
      <w:r w:rsidRPr="00C0007F">
        <w:rPr>
          <w:rFonts w:asciiTheme="majorBidi" w:hAnsiTheme="majorBidi" w:cstheme="majorBidi"/>
          <w:sz w:val="24"/>
          <w:szCs w:val="24"/>
        </w:rPr>
        <w:t>Why form–substance checkpoints must move upstream to shape DV outcomes.</w:t>
      </w:r>
    </w:p>
    <w:p w14:paraId="61C87C29" w14:textId="2B003D3B" w:rsidR="00C0007F" w:rsidRPr="00C0007F" w:rsidRDefault="00C0007F" w:rsidP="00C0007F">
      <w:pPr>
        <w:bidi w:val="0"/>
        <w:spacing w:after="120" w:line="276" w:lineRule="auto"/>
        <w:ind w:firstLine="284"/>
        <w:jc w:val="both"/>
        <w:rPr>
          <w:rFonts w:asciiTheme="majorBidi" w:hAnsiTheme="majorBidi" w:cstheme="majorBidi"/>
          <w:sz w:val="24"/>
          <w:szCs w:val="24"/>
        </w:rPr>
      </w:pPr>
      <w:r w:rsidRPr="00C0007F">
        <w:rPr>
          <w:rFonts w:asciiTheme="majorBidi" w:hAnsiTheme="majorBidi" w:cstheme="majorBidi"/>
          <w:sz w:val="24"/>
          <w:szCs w:val="24"/>
        </w:rPr>
        <w:t>International Monetary Fund (2023) frames risk as execution under uncertainty, implying that timing determines whether controls change outcomes or merely document failure. Bank for International Settlements (2013) reaches the same conclusion from prudential math: unless LCR/HQLA signals and funding ladders are internalized at approval, liquidity/market-risk fit at origination cannot be recovered later without value loss. Islamic Financial Services Board (2024) extends this timing logic to Shariah: if asset evidence, possession/transfer, and profit logic are verified after booking, the portfolio inherits enforceability and recognition defects that raise NPL migration and loss-given-error. Financial Stability Board (2023) therefore recommends time-boxed sign-offs and escalation clocks so Shariah artifacts travel with the same SLA discipline as credit and liquidity inputs</w:t>
      </w:r>
      <w:r w:rsidR="00B03C22">
        <w:rPr>
          <w:rFonts w:asciiTheme="majorBidi" w:hAnsiTheme="majorBidi" w:cstheme="majorBidi"/>
          <w:sz w:val="24"/>
          <w:szCs w:val="24"/>
        </w:rPr>
        <w:t>-</w:t>
      </w:r>
      <w:r w:rsidRPr="00C0007F">
        <w:rPr>
          <w:rFonts w:asciiTheme="majorBidi" w:hAnsiTheme="majorBidi" w:cstheme="majorBidi"/>
          <w:sz w:val="24"/>
          <w:szCs w:val="24"/>
        </w:rPr>
        <w:t>turning compliance into organizational capability rather than a late gate.</w:t>
      </w:r>
    </w:p>
    <w:p w14:paraId="1402340E" w14:textId="77777777" w:rsidR="00C0007F" w:rsidRDefault="00C0007F" w:rsidP="002E6F27">
      <w:pPr>
        <w:pStyle w:val="a5"/>
        <w:numPr>
          <w:ilvl w:val="0"/>
          <w:numId w:val="47"/>
        </w:numPr>
        <w:bidi w:val="0"/>
        <w:spacing w:after="120" w:line="276" w:lineRule="auto"/>
        <w:jc w:val="both"/>
        <w:rPr>
          <w:rFonts w:asciiTheme="majorBidi" w:hAnsiTheme="majorBidi" w:cstheme="majorBidi"/>
          <w:sz w:val="24"/>
          <w:szCs w:val="24"/>
        </w:rPr>
      </w:pPr>
      <w:r w:rsidRPr="00C0007F">
        <w:rPr>
          <w:rFonts w:asciiTheme="majorBidi" w:hAnsiTheme="majorBidi" w:cstheme="majorBidi"/>
          <w:sz w:val="24"/>
          <w:szCs w:val="24"/>
        </w:rPr>
        <w:t>Implications for the IV dimensions (AM–Sales seam) and DV anchors.</w:t>
      </w:r>
    </w:p>
    <w:p w14:paraId="63502D46" w14:textId="16AF1904" w:rsidR="00C0007F" w:rsidRPr="00C0007F" w:rsidRDefault="00C0007F" w:rsidP="00C0007F">
      <w:pPr>
        <w:bidi w:val="0"/>
        <w:spacing w:after="120" w:line="276" w:lineRule="auto"/>
        <w:ind w:firstLine="284"/>
        <w:jc w:val="both"/>
        <w:rPr>
          <w:rFonts w:asciiTheme="majorBidi" w:hAnsiTheme="majorBidi" w:cstheme="majorBidi"/>
          <w:sz w:val="24"/>
          <w:szCs w:val="24"/>
        </w:rPr>
      </w:pPr>
      <w:r w:rsidRPr="00C0007F">
        <w:rPr>
          <w:rFonts w:asciiTheme="majorBidi" w:hAnsiTheme="majorBidi" w:cstheme="majorBidi"/>
          <w:sz w:val="24"/>
          <w:szCs w:val="24"/>
        </w:rPr>
        <w:t>KPMG (2025) argues that communication cadence and RACI clarity are the levers that convert contract-form constraints into predictable routines: who requests asset evidence, who confirms qabd, and who validates profit-calculation rules</w:t>
      </w:r>
      <w:r w:rsidR="00B03C22">
        <w:rPr>
          <w:rFonts w:asciiTheme="majorBidi" w:hAnsiTheme="majorBidi" w:cstheme="majorBidi"/>
          <w:sz w:val="24"/>
          <w:szCs w:val="24"/>
        </w:rPr>
        <w:t>-</w:t>
      </w:r>
      <w:r w:rsidRPr="00C0007F">
        <w:rPr>
          <w:rFonts w:asciiTheme="majorBidi" w:hAnsiTheme="majorBidi" w:cstheme="majorBidi"/>
          <w:sz w:val="24"/>
          <w:szCs w:val="24"/>
        </w:rPr>
        <w:t>each on a clock tied to approval. Habel, Alavi, and Heinitz (2023) add that analytics only change behavior when embedded; thus, co-visibility of Shariah proofs and pricing/tenor inputs inside CRM is a precondition for fewer overrides and faster breach-to-action cycles. Lang, Peltonen, and Sarlin (2018) show that fixed feedback rhythms lower false negatives, suggesting that pre-deal early-warning screens (e.g., adverse vendor/API signals or asset-valuation anomalies) must sit before sign-off to influence Early-Risk Identification &amp; Onboarding Quality. When these routines are present, this section predicts measurable gains in Credit Discipline &amp; Outcomes (cleaner pricing floors, lower override share), Liquidity &amp; Market-Risk Fit (tenor within ladders, HQLA-aware structures), and Operational Resilience &amp; Third-Party Control (tested failovers, auditable lineage)</w:t>
      </w:r>
      <w:r w:rsidR="00B03C22">
        <w:rPr>
          <w:rFonts w:asciiTheme="majorBidi" w:hAnsiTheme="majorBidi" w:cstheme="majorBidi"/>
          <w:sz w:val="24"/>
          <w:szCs w:val="24"/>
        </w:rPr>
        <w:t>-</w:t>
      </w:r>
      <w:r w:rsidRPr="00C0007F">
        <w:rPr>
          <w:rFonts w:asciiTheme="majorBidi" w:hAnsiTheme="majorBidi" w:cstheme="majorBidi"/>
          <w:sz w:val="24"/>
          <w:szCs w:val="24"/>
        </w:rPr>
        <w:t>precisely the DV dimensions defined earlier (BIS, 2013; FSB, 2023).</w:t>
      </w:r>
    </w:p>
    <w:p w14:paraId="6777EB4C" w14:textId="77777777" w:rsidR="00C0007F" w:rsidRDefault="00C0007F" w:rsidP="002E6F27">
      <w:pPr>
        <w:pStyle w:val="a5"/>
        <w:numPr>
          <w:ilvl w:val="0"/>
          <w:numId w:val="47"/>
        </w:numPr>
        <w:bidi w:val="0"/>
        <w:spacing w:after="120" w:line="276" w:lineRule="auto"/>
        <w:jc w:val="both"/>
        <w:rPr>
          <w:rFonts w:asciiTheme="majorBidi" w:hAnsiTheme="majorBidi" w:cstheme="majorBidi"/>
          <w:sz w:val="24"/>
          <w:szCs w:val="24"/>
        </w:rPr>
      </w:pPr>
      <w:r w:rsidRPr="00C0007F">
        <w:rPr>
          <w:rFonts w:asciiTheme="majorBidi" w:hAnsiTheme="majorBidi" w:cstheme="majorBidi"/>
          <w:sz w:val="24"/>
          <w:szCs w:val="24"/>
        </w:rPr>
        <w:t>Bridge to the next subsections (exhibit and measurement).</w:t>
      </w:r>
    </w:p>
    <w:p w14:paraId="15E5C45A" w14:textId="4774D0B8" w:rsidR="00C0007F" w:rsidRPr="00C0007F" w:rsidRDefault="00C0007F" w:rsidP="00C0007F">
      <w:pPr>
        <w:bidi w:val="0"/>
        <w:spacing w:after="120" w:line="276" w:lineRule="auto"/>
        <w:ind w:firstLine="284"/>
        <w:jc w:val="both"/>
        <w:rPr>
          <w:rFonts w:asciiTheme="majorBidi" w:hAnsiTheme="majorBidi" w:cstheme="majorBidi"/>
          <w:sz w:val="24"/>
          <w:szCs w:val="24"/>
        </w:rPr>
      </w:pPr>
      <w:r w:rsidRPr="00C0007F">
        <w:rPr>
          <w:rFonts w:asciiTheme="majorBidi" w:hAnsiTheme="majorBidi" w:cstheme="majorBidi"/>
          <w:sz w:val="24"/>
          <w:szCs w:val="24"/>
        </w:rPr>
        <w:t>Because product forms hard-wire cash-flow and documentation needs, the study will map murabaha/ijara/musharaka to specific AM–Sales–Shariah handoffs and instrument items: cadence (meeting frequency and evidence timeliness), information integration (shared fields for asset/possession/profit proofs), KPI alignment (RAROC after funding with penalties for late form defects), and RACI (named owners and escalation SLAs). Islamic Financial Services Board (2024) provides the form–substance taxonomy for checklist design, while Bank for International Settlements (2013) and International Monetary Fund (2023) supply prudential and timing anchors for expected signs. By placing these checkpoints upstream, the section closes the loop from contract form to origination design to risk-effectiveness outcomes, and it sets up the flow diagram and table that will summarize required handoffs and evidence artifacts at each stage of the deal life-cycle.</w:t>
      </w:r>
    </w:p>
    <w:p w14:paraId="2275912B" w14:textId="5290C139" w:rsidR="0098621C" w:rsidRDefault="0098621C" w:rsidP="00166BB3">
      <w:pPr>
        <w:pStyle w:val="ad"/>
      </w:pPr>
      <w:bookmarkStart w:id="83" w:name="_Toc214619905"/>
      <w:bookmarkStart w:id="84" w:name="_Toc214622037"/>
      <w:r>
        <w:t xml:space="preserve">Figure </w:t>
      </w:r>
      <w:r>
        <w:fldChar w:fldCharType="begin"/>
      </w:r>
      <w:r>
        <w:instrText xml:space="preserve"> SEQ Figure \* ARABIC </w:instrText>
      </w:r>
      <w:r>
        <w:fldChar w:fldCharType="separate"/>
      </w:r>
      <w:r w:rsidR="00CD4CCF">
        <w:t>2</w:t>
      </w:r>
      <w:r>
        <w:fldChar w:fldCharType="end"/>
      </w:r>
      <w:r>
        <w:t xml:space="preserve">: </w:t>
      </w:r>
      <w:r w:rsidRPr="00553CBC">
        <w:t>Islamic Contract Forms and Front-to-Back Handoffs (AM–Sales–Shariah)</w:t>
      </w:r>
      <w:bookmarkEnd w:id="83"/>
      <w:bookmarkEnd w:id="84"/>
    </w:p>
    <w:p w14:paraId="320BB910" w14:textId="4E002C44" w:rsidR="00370164" w:rsidRPr="00C0007F" w:rsidRDefault="00C0007F" w:rsidP="00C0007F">
      <w:pPr>
        <w:bidi w:val="0"/>
        <w:spacing w:after="120" w:line="276" w:lineRule="auto"/>
        <w:jc w:val="both"/>
        <w:rPr>
          <w:rFonts w:asciiTheme="majorBidi" w:hAnsiTheme="majorBidi" w:cstheme="majorBidi"/>
          <w:sz w:val="24"/>
          <w:szCs w:val="24"/>
        </w:rPr>
      </w:pPr>
      <w:r>
        <w:rPr>
          <w:noProof/>
        </w:rPr>
        <w:drawing>
          <wp:inline distT="0" distB="0" distL="0" distR="0" wp14:anchorId="31446198" wp14:editId="771B99D9">
            <wp:extent cx="5755967" cy="17946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14" t="27556" r="2619" b="10136"/>
                    <a:stretch/>
                  </pic:blipFill>
                  <pic:spPr bwMode="auto">
                    <a:xfrm>
                      <a:off x="0" y="0"/>
                      <a:ext cx="5781159" cy="1802536"/>
                    </a:xfrm>
                    <a:prstGeom prst="rect">
                      <a:avLst/>
                    </a:prstGeom>
                    <a:noFill/>
                    <a:ln>
                      <a:noFill/>
                    </a:ln>
                    <a:extLst>
                      <a:ext uri="{53640926-AAD7-44D8-BBD7-CCE9431645EC}">
                        <a14:shadowObscured xmlns:a14="http://schemas.microsoft.com/office/drawing/2010/main"/>
                      </a:ext>
                    </a:extLst>
                  </pic:spPr>
                </pic:pic>
              </a:graphicData>
            </a:graphic>
          </wp:inline>
        </w:drawing>
      </w:r>
    </w:p>
    <w:p w14:paraId="28BCAB6B" w14:textId="1C393BB7" w:rsidR="00370164" w:rsidRPr="00C0007F" w:rsidRDefault="0098621C" w:rsidP="0098621C">
      <w:pPr>
        <w:bidi w:val="0"/>
        <w:spacing w:after="120" w:line="276" w:lineRule="auto"/>
        <w:ind w:firstLine="284"/>
        <w:rPr>
          <w:rFonts w:asciiTheme="majorBidi" w:hAnsiTheme="majorBidi" w:cstheme="majorBidi"/>
          <w:sz w:val="24"/>
          <w:szCs w:val="24"/>
          <w:rtl/>
          <w:lang w:bidi="ar-EG"/>
        </w:rPr>
      </w:pPr>
      <w:r>
        <w:rPr>
          <w:rFonts w:asciiTheme="majorBidi" w:hAnsiTheme="majorBidi" w:cstheme="majorBidi"/>
          <w:sz w:val="24"/>
          <w:szCs w:val="24"/>
        </w:rPr>
        <w:t>Reference: R</w:t>
      </w:r>
      <w:r w:rsidRPr="0098621C">
        <w:rPr>
          <w:rFonts w:asciiTheme="majorBidi" w:hAnsiTheme="majorBidi" w:cstheme="majorBidi"/>
          <w:sz w:val="24"/>
          <w:szCs w:val="24"/>
        </w:rPr>
        <w:t>esearcher</w:t>
      </w:r>
    </w:p>
    <w:p w14:paraId="1457F10F" w14:textId="1FCF71FA" w:rsidR="00370164" w:rsidRPr="00C0007F" w:rsidRDefault="0098621C" w:rsidP="00370164">
      <w:pPr>
        <w:bidi w:val="0"/>
        <w:spacing w:after="120" w:line="276" w:lineRule="auto"/>
        <w:ind w:firstLine="284"/>
        <w:jc w:val="both"/>
        <w:rPr>
          <w:rFonts w:asciiTheme="majorBidi" w:hAnsiTheme="majorBidi" w:cstheme="majorBidi"/>
          <w:sz w:val="24"/>
          <w:szCs w:val="24"/>
        </w:rPr>
      </w:pPr>
      <w:r w:rsidRPr="0098621C">
        <w:rPr>
          <w:rFonts w:asciiTheme="majorBidi" w:hAnsiTheme="majorBidi" w:cstheme="majorBidi"/>
          <w:sz w:val="24"/>
          <w:szCs w:val="24"/>
        </w:rPr>
        <w:t>Islamic Financial Services Board (2024) emphasizes that form–substance checks</w:t>
      </w:r>
      <w:r w:rsidR="00B03C22">
        <w:rPr>
          <w:rFonts w:asciiTheme="majorBidi" w:hAnsiTheme="majorBidi" w:cstheme="majorBidi"/>
          <w:sz w:val="24"/>
          <w:szCs w:val="24"/>
        </w:rPr>
        <w:t>-</w:t>
      </w:r>
      <w:r w:rsidRPr="0098621C">
        <w:rPr>
          <w:rFonts w:asciiTheme="majorBidi" w:hAnsiTheme="majorBidi" w:cstheme="majorBidi"/>
          <w:sz w:val="24"/>
          <w:szCs w:val="24"/>
        </w:rPr>
        <w:t>asset evidence, possession/transfer, and profit-recognition logic</w:t>
      </w:r>
      <w:r w:rsidR="00B03C22">
        <w:rPr>
          <w:rFonts w:asciiTheme="majorBidi" w:hAnsiTheme="majorBidi" w:cstheme="majorBidi"/>
          <w:sz w:val="24"/>
          <w:szCs w:val="24"/>
        </w:rPr>
        <w:t>-</w:t>
      </w:r>
      <w:r w:rsidRPr="0098621C">
        <w:rPr>
          <w:rFonts w:asciiTheme="majorBidi" w:hAnsiTheme="majorBidi" w:cstheme="majorBidi"/>
          <w:sz w:val="24"/>
          <w:szCs w:val="24"/>
        </w:rPr>
        <w:t>belong upstream, not as post-hoc reviews, which is why the figure positions the Shariah gate within the same approval seam as AM and Sales. Bank for International Settlements (2013) argues that prudential constraints (LCR/HQLA and funding ladders) must be internalized at origination, so the AM–Sales handoffs carry pricing floors, tenor ladders, and amortization choices alongside Shariah artifacts. Financial Stability Board (2023) adds that seams only work when handoffs are time-boxed and owned by named roles, hence the need for SLA timers, decision logs, and escalation paths embedded in the process. Taken together, this front-to-back map explains why the study’s independent-variable dimensions</w:t>
      </w:r>
      <w:r w:rsidR="00B03C22">
        <w:rPr>
          <w:rFonts w:asciiTheme="majorBidi" w:hAnsiTheme="majorBidi" w:cstheme="majorBidi"/>
          <w:sz w:val="24"/>
          <w:szCs w:val="24"/>
        </w:rPr>
        <w:t>-</w:t>
      </w:r>
      <w:r w:rsidRPr="0098621C">
        <w:rPr>
          <w:rFonts w:asciiTheme="majorBidi" w:hAnsiTheme="majorBidi" w:cstheme="majorBidi"/>
          <w:sz w:val="24"/>
          <w:szCs w:val="24"/>
        </w:rPr>
        <w:t>communication cadence, co-visibility of information, KPI/incentive alignment, and RACI clarity</w:t>
      </w:r>
      <w:r w:rsidR="00B03C22">
        <w:rPr>
          <w:rFonts w:asciiTheme="majorBidi" w:hAnsiTheme="majorBidi" w:cstheme="majorBidi"/>
          <w:sz w:val="24"/>
          <w:szCs w:val="24"/>
        </w:rPr>
        <w:t>-</w:t>
      </w:r>
      <w:r w:rsidRPr="0098621C">
        <w:rPr>
          <w:rFonts w:asciiTheme="majorBidi" w:hAnsiTheme="majorBidi" w:cstheme="majorBidi"/>
          <w:sz w:val="24"/>
          <w:szCs w:val="24"/>
        </w:rPr>
        <w:t>should transmit directly into the dependent-variable outcomes: early-risk/onboarding quality, credit discipline, liquidity–market fit, and operational resilience within Al Rajhi Bank’s Islamic product mix.</w:t>
      </w:r>
    </w:p>
    <w:p w14:paraId="5B298795" w14:textId="6AECD6ED" w:rsidR="00A073EF" w:rsidRDefault="00A073EF" w:rsidP="00A073EF">
      <w:pPr>
        <w:pStyle w:val="3"/>
      </w:pPr>
      <w:bookmarkStart w:id="85" w:name="_Toc214621155"/>
      <w:r>
        <w:t>Digital Transformation and Third-Party Rails</w:t>
      </w:r>
      <w:bookmarkEnd w:id="85"/>
    </w:p>
    <w:p w14:paraId="63434255" w14:textId="2443A102" w:rsidR="00A073EF" w:rsidRPr="00A073EF" w:rsidRDefault="00A073EF" w:rsidP="00A073EF">
      <w:pPr>
        <w:bidi w:val="0"/>
        <w:spacing w:after="120" w:line="276" w:lineRule="auto"/>
        <w:ind w:firstLine="284"/>
        <w:jc w:val="both"/>
        <w:rPr>
          <w:rFonts w:asciiTheme="majorBidi" w:hAnsiTheme="majorBidi" w:cstheme="majorBidi"/>
          <w:sz w:val="24"/>
          <w:szCs w:val="24"/>
        </w:rPr>
      </w:pPr>
      <w:r w:rsidRPr="00A073EF">
        <w:rPr>
          <w:rFonts w:asciiTheme="majorBidi" w:hAnsiTheme="majorBidi" w:cstheme="majorBidi"/>
          <w:sz w:val="24"/>
          <w:szCs w:val="24"/>
        </w:rPr>
        <w:t>Cloud/KYC/scoring/CRM adoption and dependency patterns. OECD (2022) describes Gulf financial services as fast adopters of cloud platforms, e-KYC utilities, third-party scoring, and CRM orchestration, a stack that compresses cycle time but externalizes key steps in origination. Financial Stability Board (2023) reframes these links as governance seams: once pricing curves, risk scores, and KYC checks arrive via vendors, the bank’s first line must manage API availability, rate-limits, and change windows with the same rigor as internal controls. U.S. supervisors (2024) make accountability explicit by stating banks retain responsibility for third-party delivery</w:t>
      </w:r>
      <w:r w:rsidR="00B03C22">
        <w:rPr>
          <w:rFonts w:asciiTheme="majorBidi" w:hAnsiTheme="majorBidi" w:cstheme="majorBidi"/>
          <w:sz w:val="24"/>
          <w:szCs w:val="24"/>
        </w:rPr>
        <w:t>-</w:t>
      </w:r>
      <w:r w:rsidRPr="00A073EF">
        <w:rPr>
          <w:rFonts w:asciiTheme="majorBidi" w:hAnsiTheme="majorBidi" w:cstheme="majorBidi"/>
          <w:sz w:val="24"/>
          <w:szCs w:val="24"/>
        </w:rPr>
        <w:t>contracts should embed monitoring rights, audit trails, performance SLAs, and exit paths</w:t>
      </w:r>
      <w:r w:rsidR="00B03C22">
        <w:rPr>
          <w:rFonts w:asciiTheme="majorBidi" w:hAnsiTheme="majorBidi" w:cstheme="majorBidi"/>
          <w:sz w:val="24"/>
          <w:szCs w:val="24"/>
        </w:rPr>
        <w:t>-</w:t>
      </w:r>
      <w:r w:rsidRPr="00A073EF">
        <w:rPr>
          <w:rFonts w:asciiTheme="majorBidi" w:hAnsiTheme="majorBidi" w:cstheme="majorBidi"/>
          <w:sz w:val="24"/>
          <w:szCs w:val="24"/>
        </w:rPr>
        <w:t>so AM–Sales cannot treat vendor outages as force majeure. In this environment, International Monetary Fund (2023) warns that “higher-for-longer” rate regimes monetize latency: each hour of stale or missing inputs leaks into mispricing and tenor misfit at approval.</w:t>
      </w:r>
    </w:p>
    <w:p w14:paraId="2654A39A" w14:textId="474A8803" w:rsidR="00A073EF" w:rsidRPr="00A073EF" w:rsidRDefault="00A073EF" w:rsidP="00A073EF">
      <w:pPr>
        <w:bidi w:val="0"/>
        <w:spacing w:after="120" w:line="276" w:lineRule="auto"/>
        <w:ind w:firstLine="284"/>
        <w:jc w:val="both"/>
        <w:rPr>
          <w:rFonts w:asciiTheme="majorBidi" w:hAnsiTheme="majorBidi" w:cstheme="majorBidi"/>
          <w:sz w:val="24"/>
          <w:szCs w:val="24"/>
        </w:rPr>
      </w:pPr>
      <w:r w:rsidRPr="00A073EF">
        <w:rPr>
          <w:rFonts w:asciiTheme="majorBidi" w:hAnsiTheme="majorBidi" w:cstheme="majorBidi"/>
          <w:sz w:val="24"/>
          <w:szCs w:val="24"/>
        </w:rPr>
        <w:t>Operational-resilience themes: failovers, SLA clocks, and lineage. KPMG (2025) turns resilience into work design: name RACI owners for “degradation mode,” set SLA timers for escalation, and pre-authorize fallback curves, temporary caps, or pause rules so booking decisions remain decision-grade during incidents. Oet, Bianco, Gramlich, and Ong (2013) add the data-lineage dimension</w:t>
      </w:r>
      <w:r w:rsidR="00B03C22">
        <w:rPr>
          <w:rFonts w:asciiTheme="majorBidi" w:hAnsiTheme="majorBidi" w:cstheme="majorBidi"/>
          <w:sz w:val="24"/>
          <w:szCs w:val="24"/>
        </w:rPr>
        <w:t>-</w:t>
      </w:r>
      <w:r w:rsidRPr="00A073EF">
        <w:rPr>
          <w:rFonts w:asciiTheme="majorBidi" w:hAnsiTheme="majorBidi" w:cstheme="majorBidi"/>
          <w:sz w:val="24"/>
          <w:szCs w:val="24"/>
        </w:rPr>
        <w:t>source, refresh time, and transformations must be provable</w:t>
      </w:r>
      <w:r w:rsidR="00B03C22">
        <w:rPr>
          <w:rFonts w:asciiTheme="majorBidi" w:hAnsiTheme="majorBidi" w:cstheme="majorBidi"/>
          <w:sz w:val="24"/>
          <w:szCs w:val="24"/>
        </w:rPr>
        <w:t>-</w:t>
      </w:r>
      <w:r w:rsidRPr="00A073EF">
        <w:rPr>
          <w:rFonts w:asciiTheme="majorBidi" w:hAnsiTheme="majorBidi" w:cstheme="majorBidi"/>
          <w:sz w:val="24"/>
          <w:szCs w:val="24"/>
        </w:rPr>
        <w:t>or else fast restarts simply serve untraceable inputs and raise false negatives in early warning. Lang, Peltonen, and Sarlin (2018) show that fixed feedback cadences convert incident signals into scheduled actions, while Habel, Alavi, and Heinitz (2023) find analytics only change behavior when embedded in CRM as next-best actions; otherwise AM–Sales revert to volume pressure and email heuristics. Islamic Financial Services Board (2024) extends resilience to form–substance continuity: even in degradation, workflows must still capture asset evidence, possession/transfer, and profit-recognition on a clock, or Shariah defects reappear later as credit/operational losses.</w:t>
      </w:r>
    </w:p>
    <w:p w14:paraId="181513EE" w14:textId="59A85FFC" w:rsidR="00A073EF" w:rsidRPr="00A073EF" w:rsidRDefault="00A073EF" w:rsidP="00A073EF">
      <w:pPr>
        <w:bidi w:val="0"/>
        <w:spacing w:after="120" w:line="276" w:lineRule="auto"/>
        <w:ind w:firstLine="284"/>
        <w:jc w:val="both"/>
        <w:rPr>
          <w:rFonts w:asciiTheme="majorBidi" w:hAnsiTheme="majorBidi" w:cstheme="majorBidi"/>
          <w:sz w:val="24"/>
          <w:szCs w:val="24"/>
        </w:rPr>
      </w:pPr>
      <w:r w:rsidRPr="00A073EF">
        <w:rPr>
          <w:rFonts w:asciiTheme="majorBidi" w:hAnsiTheme="majorBidi" w:cstheme="majorBidi"/>
          <w:sz w:val="24"/>
          <w:szCs w:val="24"/>
        </w:rPr>
        <w:t>Bridge to measurement (Operational Resilience &amp; Third-Party Risk Control). Bank for International Settlements (2013) anchors what “recovery” must restore</w:t>
      </w:r>
      <w:r w:rsidR="00B03C22">
        <w:rPr>
          <w:rFonts w:asciiTheme="majorBidi" w:hAnsiTheme="majorBidi" w:cstheme="majorBidi"/>
          <w:sz w:val="24"/>
          <w:szCs w:val="24"/>
        </w:rPr>
        <w:t>-</w:t>
      </w:r>
      <w:r w:rsidRPr="00A073EF">
        <w:rPr>
          <w:rFonts w:asciiTheme="majorBidi" w:hAnsiTheme="majorBidi" w:cstheme="majorBidi"/>
          <w:sz w:val="24"/>
          <w:szCs w:val="24"/>
        </w:rPr>
        <w:t>funding curves, HQLA cues, and pricing floors</w:t>
      </w:r>
      <w:r w:rsidR="00B03C22">
        <w:rPr>
          <w:rFonts w:asciiTheme="majorBidi" w:hAnsiTheme="majorBidi" w:cstheme="majorBidi"/>
          <w:sz w:val="24"/>
          <w:szCs w:val="24"/>
        </w:rPr>
        <w:t>-</w:t>
      </w:r>
      <w:r w:rsidRPr="00A073EF">
        <w:rPr>
          <w:rFonts w:asciiTheme="majorBidi" w:hAnsiTheme="majorBidi" w:cstheme="majorBidi"/>
          <w:sz w:val="24"/>
          <w:szCs w:val="24"/>
        </w:rPr>
        <w:t>so this thesis operationalizes resilience using MTTR as decision-grade recovery time (from detection to lineage-verified, CRM-embedded inputs and cadence resumption), tested failover success, SLA conformance for escalations, and closure quality for fixes (root-cause analysis, evidence packs, re-tests) in line with Financial Stability Board (2023) and KPMG (2025). U.S. supervisors (2024) motivate vendor-specific splits (cloud/KYC/scoring/CRM), and OECD (2022) justifies concentration scenarios (multi-tenant throttling, regional cloud outages). In short, the same digital rails that accelerate origination also define where the AM–Sales seam must prove it can think under stress; when cadence, co-visibility, incentives, and RACI are engineered into these dependencies, the model predicts stronger scores on the dependent variable’s Operational Resilience &amp; Third-Party Risk Control dimension</w:t>
      </w:r>
      <w:r w:rsidR="00B03C22">
        <w:rPr>
          <w:rFonts w:asciiTheme="majorBidi" w:hAnsiTheme="majorBidi" w:cstheme="majorBidi"/>
          <w:sz w:val="24"/>
          <w:szCs w:val="24"/>
        </w:rPr>
        <w:t>-</w:t>
      </w:r>
      <w:r w:rsidRPr="00A073EF">
        <w:rPr>
          <w:rFonts w:asciiTheme="majorBidi" w:hAnsiTheme="majorBidi" w:cstheme="majorBidi"/>
          <w:sz w:val="24"/>
          <w:szCs w:val="24"/>
        </w:rPr>
        <w:t>and, via timely liquidity inputs, tighter Liquidity &amp; Market-Risk Fit in the approvals pipeline.</w:t>
      </w:r>
    </w:p>
    <w:p w14:paraId="5CC875AA" w14:textId="65DAD06E" w:rsidR="00370164" w:rsidRDefault="00A073EF" w:rsidP="00A073EF">
      <w:pPr>
        <w:pStyle w:val="3"/>
      </w:pPr>
      <w:bookmarkStart w:id="86" w:name="_Toc214621156"/>
      <w:r w:rsidRPr="00A073EF">
        <w:t>Shariah Governance Touchpoints</w:t>
      </w:r>
      <w:bookmarkEnd w:id="86"/>
    </w:p>
    <w:p w14:paraId="4F05AC7C" w14:textId="324959EA"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Structures and where they meet AM–Sales. Islamic Financial Services Board (2024) describes Shariah governance as a multi-layer system</w:t>
      </w:r>
      <w:r w:rsidR="00B03C22">
        <w:rPr>
          <w:rFonts w:asciiTheme="majorBidi" w:hAnsiTheme="majorBidi" w:cstheme="majorBidi"/>
          <w:sz w:val="24"/>
          <w:szCs w:val="24"/>
        </w:rPr>
        <w:t>-</w:t>
      </w:r>
      <w:r w:rsidRPr="00A31B74">
        <w:rPr>
          <w:rFonts w:asciiTheme="majorBidi" w:hAnsiTheme="majorBidi" w:cstheme="majorBidi"/>
          <w:sz w:val="24"/>
          <w:szCs w:val="24"/>
        </w:rPr>
        <w:t>Shariah board, internal Shariah audit, and day-to-day compliance</w:t>
      </w:r>
      <w:r w:rsidR="00B03C22">
        <w:rPr>
          <w:rFonts w:asciiTheme="majorBidi" w:hAnsiTheme="majorBidi" w:cstheme="majorBidi"/>
          <w:sz w:val="24"/>
          <w:szCs w:val="24"/>
        </w:rPr>
        <w:t>-</w:t>
      </w:r>
      <w:r w:rsidRPr="00A31B74">
        <w:rPr>
          <w:rFonts w:asciiTheme="majorBidi" w:hAnsiTheme="majorBidi" w:cstheme="majorBidi"/>
          <w:sz w:val="24"/>
          <w:szCs w:val="24"/>
        </w:rPr>
        <w:t>that must be wired into front-to-back execution, not parked as an end-stage approval. In practical terms, Shariah board policies define what evidence must exist (asset existence, possession/transfer, profit-calculation logic), while internal Shariah audit tests how reliably those proofs appear inside the deal packet that Account Managers and Sales assemble. KPMG (2025) translates this architecture into operational tools</w:t>
      </w:r>
      <w:r w:rsidR="00B03C22">
        <w:rPr>
          <w:rFonts w:asciiTheme="majorBidi" w:hAnsiTheme="majorBidi" w:cstheme="majorBidi"/>
          <w:sz w:val="24"/>
          <w:szCs w:val="24"/>
        </w:rPr>
        <w:t>-</w:t>
      </w:r>
      <w:r w:rsidRPr="00A31B74">
        <w:rPr>
          <w:rFonts w:asciiTheme="majorBidi" w:hAnsiTheme="majorBidi" w:cstheme="majorBidi"/>
          <w:sz w:val="24"/>
          <w:szCs w:val="24"/>
        </w:rPr>
        <w:t>RACI matrices, approval thresholds, and SLA clocks</w:t>
      </w:r>
      <w:r w:rsidR="00B03C22">
        <w:rPr>
          <w:rFonts w:asciiTheme="majorBidi" w:hAnsiTheme="majorBidi" w:cstheme="majorBidi"/>
          <w:sz w:val="24"/>
          <w:szCs w:val="24"/>
        </w:rPr>
        <w:t>-</w:t>
      </w:r>
      <w:r w:rsidRPr="00A31B74">
        <w:rPr>
          <w:rFonts w:asciiTheme="majorBidi" w:hAnsiTheme="majorBidi" w:cstheme="majorBidi"/>
          <w:sz w:val="24"/>
          <w:szCs w:val="24"/>
        </w:rPr>
        <w:t>so named first-line owners request and time-stamp Shariah artifacts alongside pricing floors and tenor ladders. Financial Stability Board (2023) adds the seam logic: when governance is implemented as time-bound handoffs with shared indicators, AM–Sales can act on the same facts as Risk and Shariah functions, reducing rework and late overrides.</w:t>
      </w:r>
    </w:p>
    <w:p w14:paraId="27B6E7F7" w14:textId="7956F771"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What goes wrong when touchpoints are late. Van Greuning and Iqbal (2008) show that deferring form–substance checks</w:t>
      </w:r>
      <w:r w:rsidR="00B03C22">
        <w:rPr>
          <w:rFonts w:asciiTheme="majorBidi" w:hAnsiTheme="majorBidi" w:cstheme="majorBidi"/>
          <w:sz w:val="24"/>
          <w:szCs w:val="24"/>
        </w:rPr>
        <w:t>-</w:t>
      </w:r>
      <w:r w:rsidRPr="00A31B74">
        <w:rPr>
          <w:rFonts w:asciiTheme="majorBidi" w:hAnsiTheme="majorBidi" w:cstheme="majorBidi"/>
          <w:sz w:val="24"/>
          <w:szCs w:val="24"/>
        </w:rPr>
        <w:t>particularly asset evidence in murabaha, possession/transfer (qabd) in ijara, and profit-recognition rules in musharaka</w:t>
      </w:r>
      <w:r w:rsidR="00B03C22">
        <w:rPr>
          <w:rFonts w:asciiTheme="majorBidi" w:hAnsiTheme="majorBidi" w:cstheme="majorBidi"/>
          <w:sz w:val="24"/>
          <w:szCs w:val="24"/>
        </w:rPr>
        <w:t>-</w:t>
      </w:r>
      <w:r w:rsidRPr="00A31B74">
        <w:rPr>
          <w:rFonts w:asciiTheme="majorBidi" w:hAnsiTheme="majorBidi" w:cstheme="majorBidi"/>
          <w:sz w:val="24"/>
          <w:szCs w:val="24"/>
        </w:rPr>
        <w:t>creates enforceability and recognition defects that later surface as credit exceptions and operational losses. International Monetary Fund (2023) frames the macro channel: in higher-for-longer rate regimes, any latency between funding signals and Shariah validation monetizes into mispricing and tenor misfit at approval. Al Rajhi Bank (2023) illustrates the scaling risk in digital product factories: if Shariah proofs travel by email outside the CRM/risk workflow, breach-to-action latency rises and exception cures drift. To prevent this, KPMG (2025) recommends embedding evidence packs (asset/possession/profit) as mandatory fields with system clocks; FSB (2023) then expects escalation timers and pause rules when proofs are missing. Where third-party rails supply KYC, pricing, or documentation capture, U.S. supervisors (2024) require monitoring rights and exit paths, so Shariah evidence remains auditable even when vendors degrade.</w:t>
      </w:r>
    </w:p>
    <w:p w14:paraId="2EEDBD2F" w14:textId="2AB13EBD"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Bridge</w:t>
      </w:r>
      <w:r w:rsidR="00B03C22">
        <w:rPr>
          <w:rFonts w:asciiTheme="majorBidi" w:hAnsiTheme="majorBidi" w:cstheme="majorBidi"/>
          <w:sz w:val="24"/>
          <w:szCs w:val="24"/>
        </w:rPr>
        <w:t>-</w:t>
      </w:r>
      <w:r w:rsidRPr="00A31B74">
        <w:rPr>
          <w:rFonts w:asciiTheme="majorBidi" w:hAnsiTheme="majorBidi" w:cstheme="majorBidi"/>
          <w:sz w:val="24"/>
          <w:szCs w:val="24"/>
        </w:rPr>
        <w:t>why Shariah belongs inside each IV subscale, not as a separate factor. BIS (2013) argues that prudential constraints (LCR/HQLA, funding costs) must be internalized at origination; in Islamic settings, IFSB (2024) makes the same timing claim for form–substance. Consequently, Shariah touchpoints should be operationalized within the four independent-variable routines:</w:t>
      </w:r>
    </w:p>
    <w:p w14:paraId="717F6E5E" w14:textId="77777777" w:rsidR="00A31B74" w:rsidRPr="00A31B74" w:rsidRDefault="00A31B74" w:rsidP="002E6F27">
      <w:pPr>
        <w:pStyle w:val="a5"/>
        <w:numPr>
          <w:ilvl w:val="0"/>
          <w:numId w:val="48"/>
        </w:numPr>
        <w:bidi w:val="0"/>
        <w:spacing w:after="120" w:line="276" w:lineRule="auto"/>
        <w:jc w:val="both"/>
        <w:rPr>
          <w:rFonts w:asciiTheme="majorBidi" w:hAnsiTheme="majorBidi" w:cstheme="majorBidi"/>
          <w:sz w:val="24"/>
          <w:szCs w:val="24"/>
        </w:rPr>
      </w:pPr>
      <w:r w:rsidRPr="00A31B74">
        <w:rPr>
          <w:rFonts w:asciiTheme="majorBidi" w:hAnsiTheme="majorBidi" w:cstheme="majorBidi"/>
          <w:sz w:val="24"/>
          <w:szCs w:val="24"/>
        </w:rPr>
        <w:t>Communication cadence: Are Shariah checkpoints on the same meeting rhythm as pricing/tenor reviews (KPMG, 2025)?</w:t>
      </w:r>
    </w:p>
    <w:p w14:paraId="40B9F220" w14:textId="77777777" w:rsidR="00A31B74" w:rsidRPr="00A31B74" w:rsidRDefault="00A31B74" w:rsidP="002E6F27">
      <w:pPr>
        <w:pStyle w:val="a5"/>
        <w:numPr>
          <w:ilvl w:val="0"/>
          <w:numId w:val="48"/>
        </w:numPr>
        <w:bidi w:val="0"/>
        <w:spacing w:after="120" w:line="276" w:lineRule="auto"/>
        <w:jc w:val="both"/>
        <w:rPr>
          <w:rFonts w:asciiTheme="majorBidi" w:hAnsiTheme="majorBidi" w:cstheme="majorBidi"/>
          <w:sz w:val="24"/>
          <w:szCs w:val="24"/>
        </w:rPr>
      </w:pPr>
      <w:r w:rsidRPr="00A31B74">
        <w:rPr>
          <w:rFonts w:asciiTheme="majorBidi" w:hAnsiTheme="majorBidi" w:cstheme="majorBidi"/>
          <w:sz w:val="24"/>
          <w:szCs w:val="24"/>
        </w:rPr>
        <w:t>Information co-visibility: Do CRM/risk screens show asset evidence, possession/transfer, and profit logic next to funding curves and EWS (FSB, 2023)?</w:t>
      </w:r>
    </w:p>
    <w:p w14:paraId="388A97B5" w14:textId="77777777" w:rsidR="00A31B74" w:rsidRPr="00A31B74" w:rsidRDefault="00A31B74" w:rsidP="002E6F27">
      <w:pPr>
        <w:pStyle w:val="a5"/>
        <w:numPr>
          <w:ilvl w:val="0"/>
          <w:numId w:val="48"/>
        </w:numPr>
        <w:bidi w:val="0"/>
        <w:spacing w:after="120" w:line="276" w:lineRule="auto"/>
        <w:jc w:val="both"/>
        <w:rPr>
          <w:rFonts w:asciiTheme="majorBidi" w:hAnsiTheme="majorBidi" w:cstheme="majorBidi"/>
          <w:sz w:val="24"/>
          <w:szCs w:val="24"/>
        </w:rPr>
      </w:pPr>
      <w:r w:rsidRPr="00A31B74">
        <w:rPr>
          <w:rFonts w:asciiTheme="majorBidi" w:hAnsiTheme="majorBidi" w:cstheme="majorBidi"/>
          <w:sz w:val="24"/>
          <w:szCs w:val="24"/>
        </w:rPr>
        <w:t>KPI &amp; incentive alignment: Are AM/Sales measured or charged for late Shariah defects (overrides, re-work) so RAROC reflects form–substance timing (IMF, 2023)?</w:t>
      </w:r>
    </w:p>
    <w:p w14:paraId="37EACBAD" w14:textId="77777777" w:rsidR="00A31B74" w:rsidRPr="00A31B74" w:rsidRDefault="00A31B74" w:rsidP="002E6F27">
      <w:pPr>
        <w:pStyle w:val="a5"/>
        <w:numPr>
          <w:ilvl w:val="0"/>
          <w:numId w:val="48"/>
        </w:numPr>
        <w:bidi w:val="0"/>
        <w:spacing w:after="120" w:line="276" w:lineRule="auto"/>
        <w:jc w:val="both"/>
        <w:rPr>
          <w:rFonts w:asciiTheme="majorBidi" w:hAnsiTheme="majorBidi" w:cstheme="majorBidi"/>
          <w:sz w:val="24"/>
          <w:szCs w:val="24"/>
        </w:rPr>
      </w:pPr>
      <w:r w:rsidRPr="00A31B74">
        <w:rPr>
          <w:rFonts w:asciiTheme="majorBidi" w:hAnsiTheme="majorBidi" w:cstheme="majorBidi"/>
          <w:sz w:val="24"/>
          <w:szCs w:val="24"/>
        </w:rPr>
        <w:t>RACI &amp; escalation clarity: Who owns each proof, what thresholds/SLAs apply, and what pause rules trigger when proofs are missing (KPMG, 2025)?</w:t>
      </w:r>
    </w:p>
    <w:p w14:paraId="45948C48" w14:textId="77777777"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By embedding Shariah inside cadence, co-visibility, KPI alignment, and RACI, the study treats compliance as an organizational capability that directly transmits to the dependent-variable anchors: Early-Risk/Onboarding quality (complete packets pre-deal), Credit discipline (fewer overrides, stronger covenants), Liquidity/Market-risk fit (tenor/pricing aligned with funding and form), and Operational resilience (auditable lineage, faster MTTR after outages).</w:t>
      </w:r>
    </w:p>
    <w:p w14:paraId="32257901" w14:textId="7C025069" w:rsidR="00A31B74" w:rsidRPr="00A31B74" w:rsidRDefault="00A31B74" w:rsidP="00A31B74">
      <w:pPr>
        <w:pStyle w:val="3"/>
      </w:pPr>
      <w:bookmarkStart w:id="87" w:name="_Toc214621157"/>
      <w:r w:rsidRPr="00A31B74">
        <w:t>Evidence Gaps in Bank-Level Quantitative Studies</w:t>
      </w:r>
      <w:bookmarkEnd w:id="87"/>
    </w:p>
    <w:p w14:paraId="629FF6C6" w14:textId="68E1FB51"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What we have. International Monetary Fund (2023) maps liquidity and market-risk pressures at the sector level and explains how “higher-for-longer” cycles penalize execution delays. Saudi Central Bank (2023) complements this with a system view of capitalization, liquidity, and credit dynamics in Saudi Arabia. Islamic Financial Services Board (2024) codifies form–substance governance for murabaha, ijara, and musharaka, while Bank for International Settlements (2013) fixes prudential anchors</w:t>
      </w:r>
      <w:r w:rsidR="00B03C22">
        <w:rPr>
          <w:rFonts w:asciiTheme="majorBidi" w:hAnsiTheme="majorBidi" w:cstheme="majorBidi"/>
          <w:sz w:val="24"/>
          <w:szCs w:val="24"/>
        </w:rPr>
        <w:t>-</w:t>
      </w:r>
      <w:r w:rsidRPr="00A31B74">
        <w:rPr>
          <w:rFonts w:asciiTheme="majorBidi" w:hAnsiTheme="majorBidi" w:cstheme="majorBidi"/>
          <w:sz w:val="24"/>
          <w:szCs w:val="24"/>
        </w:rPr>
        <w:t>LCR, HQLA, and funding-ladder logic</w:t>
      </w:r>
      <w:r w:rsidR="00B03C22">
        <w:rPr>
          <w:rFonts w:asciiTheme="majorBidi" w:hAnsiTheme="majorBidi" w:cstheme="majorBidi"/>
          <w:sz w:val="24"/>
          <w:szCs w:val="24"/>
        </w:rPr>
        <w:t>-</w:t>
      </w:r>
      <w:r w:rsidRPr="00A31B74">
        <w:rPr>
          <w:rFonts w:asciiTheme="majorBidi" w:hAnsiTheme="majorBidi" w:cstheme="majorBidi"/>
          <w:sz w:val="24"/>
          <w:szCs w:val="24"/>
        </w:rPr>
        <w:t>that should bind at deal approval. Financial Stability Board (2023) adds a governance toolkit for third-party risk, and OECD (2022) documents digital/ cloud adoption that reshapes data lineage and vendor dependence. KPMG (2025) translates these expectations into work-design artifacts</w:t>
      </w:r>
      <w:r w:rsidR="00B03C22">
        <w:rPr>
          <w:rFonts w:asciiTheme="majorBidi" w:hAnsiTheme="majorBidi" w:cstheme="majorBidi"/>
          <w:sz w:val="24"/>
          <w:szCs w:val="24"/>
        </w:rPr>
        <w:t>-</w:t>
      </w:r>
      <w:r w:rsidRPr="00A31B74">
        <w:rPr>
          <w:rFonts w:asciiTheme="majorBidi" w:hAnsiTheme="majorBidi" w:cstheme="majorBidi"/>
          <w:sz w:val="24"/>
          <w:szCs w:val="24"/>
        </w:rPr>
        <w:t>RACI, thresholds, and SLAs</w:t>
      </w:r>
      <w:r w:rsidR="00B03C22">
        <w:rPr>
          <w:rFonts w:asciiTheme="majorBidi" w:hAnsiTheme="majorBidi" w:cstheme="majorBidi"/>
          <w:sz w:val="24"/>
          <w:szCs w:val="24"/>
        </w:rPr>
        <w:t>-</w:t>
      </w:r>
      <w:r w:rsidRPr="00A31B74">
        <w:rPr>
          <w:rFonts w:asciiTheme="majorBidi" w:hAnsiTheme="majorBidi" w:cstheme="majorBidi"/>
          <w:sz w:val="24"/>
          <w:szCs w:val="24"/>
        </w:rPr>
        <w:t>suggesting what good looks like inside the bank.</w:t>
      </w:r>
    </w:p>
    <w:p w14:paraId="2DCAFAD9" w14:textId="77777777"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 xml:space="preserve">What is thin. Despite rich macro/toolkit guidance, there is little bank-level, seam-level quant evidence that ties </w:t>
      </w:r>
      <w:r w:rsidRPr="00A31B74">
        <w:rPr>
          <w:rFonts w:asciiTheme="majorBidi" w:hAnsiTheme="majorBidi" w:cstheme="majorBidi"/>
          <w:i/>
          <w:iCs/>
          <w:sz w:val="24"/>
          <w:szCs w:val="24"/>
        </w:rPr>
        <w:t>specific AM–Sales routines</w:t>
      </w:r>
      <w:r w:rsidRPr="00A31B74">
        <w:rPr>
          <w:rFonts w:asciiTheme="majorBidi" w:hAnsiTheme="majorBidi" w:cstheme="majorBidi"/>
          <w:sz w:val="24"/>
          <w:szCs w:val="24"/>
        </w:rPr>
        <w:t xml:space="preserve"> to </w:t>
      </w:r>
      <w:r w:rsidRPr="00A31B74">
        <w:rPr>
          <w:rFonts w:asciiTheme="majorBidi" w:hAnsiTheme="majorBidi" w:cstheme="majorBidi"/>
          <w:i/>
          <w:iCs/>
          <w:sz w:val="24"/>
          <w:szCs w:val="24"/>
        </w:rPr>
        <w:t>measurable risk outcomes</w:t>
      </w:r>
      <w:r w:rsidRPr="00A31B74">
        <w:rPr>
          <w:rFonts w:asciiTheme="majorBidi" w:hAnsiTheme="majorBidi" w:cstheme="majorBidi"/>
          <w:sz w:val="24"/>
          <w:szCs w:val="24"/>
        </w:rPr>
        <w:t xml:space="preserve">. Habel, Alavi, and Heinitz (2023) show that analytics shift sales behavior only when embedded in daily workflow, but they do not quantify downstream effects such as override rates or breach-to-action latency in banking pipelines. Lang, Peltonen, and Sarlin (2018) demonstrate that feedback cadence improves early-warning accuracy, yet studies rarely link cadence metrics to covenant performance, tenor-mismatch breaches, or NPL migration in Islamic portfolios. U.S. supervisors (2024) place clear accountability on banks for third-party rails, but published datasets seldom connect vendor incidents, MTTR, and failover success to approval-stage decisions in AM–Sales seams. In short, the literature shows </w:t>
      </w:r>
      <w:r w:rsidRPr="00A31B74">
        <w:rPr>
          <w:rFonts w:asciiTheme="majorBidi" w:hAnsiTheme="majorBidi" w:cstheme="majorBidi"/>
          <w:i/>
          <w:iCs/>
          <w:sz w:val="24"/>
          <w:szCs w:val="24"/>
        </w:rPr>
        <w:t>what should matter</w:t>
      </w:r>
      <w:r w:rsidRPr="00A31B74">
        <w:rPr>
          <w:rFonts w:asciiTheme="majorBidi" w:hAnsiTheme="majorBidi" w:cstheme="majorBidi"/>
          <w:sz w:val="24"/>
          <w:szCs w:val="24"/>
        </w:rPr>
        <w:t xml:space="preserve"> but seldom measures </w:t>
      </w:r>
      <w:r w:rsidRPr="00A31B74">
        <w:rPr>
          <w:rFonts w:asciiTheme="majorBidi" w:hAnsiTheme="majorBidi" w:cstheme="majorBidi"/>
          <w:i/>
          <w:iCs/>
          <w:sz w:val="24"/>
          <w:szCs w:val="24"/>
        </w:rPr>
        <w:t>how much it matters</w:t>
      </w:r>
      <w:r w:rsidRPr="00A31B74">
        <w:rPr>
          <w:rFonts w:asciiTheme="majorBidi" w:hAnsiTheme="majorBidi" w:cstheme="majorBidi"/>
          <w:sz w:val="24"/>
          <w:szCs w:val="24"/>
        </w:rPr>
        <w:t xml:space="preserve"> where handoffs occur.</w:t>
      </w:r>
    </w:p>
    <w:p w14:paraId="5F062668" w14:textId="4545E4D7"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Bridge to this study’s design. Bank for International Settlements (2013) motivates objective DV markers</w:t>
      </w:r>
      <w:r w:rsidR="00B03C22">
        <w:rPr>
          <w:rFonts w:asciiTheme="majorBidi" w:hAnsiTheme="majorBidi" w:cstheme="majorBidi"/>
          <w:sz w:val="24"/>
          <w:szCs w:val="24"/>
        </w:rPr>
        <w:t>-</w:t>
      </w:r>
      <w:r w:rsidRPr="00A31B74">
        <w:rPr>
          <w:rFonts w:asciiTheme="majorBidi" w:hAnsiTheme="majorBidi" w:cstheme="majorBidi"/>
          <w:sz w:val="24"/>
          <w:szCs w:val="24"/>
        </w:rPr>
        <w:t>pricing-floor adherence, tenor within ladders, LCR/HQLA fit, covenant breach rates, NPL roll-rates, and MTTR for resilience</w:t>
      </w:r>
      <w:r w:rsidR="00B03C22">
        <w:rPr>
          <w:rFonts w:asciiTheme="majorBidi" w:hAnsiTheme="majorBidi" w:cstheme="majorBidi"/>
          <w:sz w:val="24"/>
          <w:szCs w:val="24"/>
        </w:rPr>
        <w:t>-</w:t>
      </w:r>
      <w:r w:rsidRPr="00A31B74">
        <w:rPr>
          <w:rFonts w:asciiTheme="majorBidi" w:hAnsiTheme="majorBidi" w:cstheme="majorBidi"/>
          <w:sz w:val="24"/>
          <w:szCs w:val="24"/>
        </w:rPr>
        <w:t>while International Monetary Fund (2023) justifies capturing execution timing as risk materiality. Financial Stability Board (2023) and KPMG (2025) support traceable governance</w:t>
      </w:r>
      <w:r w:rsidR="00B03C22">
        <w:rPr>
          <w:rFonts w:asciiTheme="majorBidi" w:hAnsiTheme="majorBidi" w:cstheme="majorBidi"/>
          <w:sz w:val="24"/>
          <w:szCs w:val="24"/>
        </w:rPr>
        <w:t>-</w:t>
      </w:r>
      <w:r w:rsidRPr="00A31B74">
        <w:rPr>
          <w:rFonts w:asciiTheme="majorBidi" w:hAnsiTheme="majorBidi" w:cstheme="majorBidi"/>
          <w:sz w:val="24"/>
          <w:szCs w:val="24"/>
        </w:rPr>
        <w:t>decision logs, escalation clocks, and evidence packs</w:t>
      </w:r>
      <w:r w:rsidR="00B03C22">
        <w:rPr>
          <w:rFonts w:asciiTheme="majorBidi" w:hAnsiTheme="majorBidi" w:cstheme="majorBidi"/>
          <w:sz w:val="24"/>
          <w:szCs w:val="24"/>
        </w:rPr>
        <w:t>-</w:t>
      </w:r>
      <w:r w:rsidRPr="00A31B74">
        <w:rPr>
          <w:rFonts w:asciiTheme="majorBidi" w:hAnsiTheme="majorBidi" w:cstheme="majorBidi"/>
          <w:sz w:val="24"/>
          <w:szCs w:val="24"/>
        </w:rPr>
        <w:t xml:space="preserve">allowing objective linkage to outcomes. Accordingly, this thesis adopts a hybrid strategy: </w:t>
      </w:r>
      <w:r w:rsidRPr="00A31B74">
        <w:rPr>
          <w:rFonts w:asciiTheme="majorBidi" w:hAnsiTheme="majorBidi" w:cstheme="majorBidi"/>
          <w:i/>
          <w:iCs/>
          <w:sz w:val="24"/>
          <w:szCs w:val="24"/>
        </w:rPr>
        <w:t>perceptual IV</w:t>
      </w:r>
      <w:r w:rsidRPr="00A31B74">
        <w:rPr>
          <w:rFonts w:asciiTheme="majorBidi" w:hAnsiTheme="majorBidi" w:cstheme="majorBidi"/>
          <w:sz w:val="24"/>
          <w:szCs w:val="24"/>
        </w:rPr>
        <w:t xml:space="preserve"> subscales for communication cadence, information co-visibility, KPI/incentive alignment, and RACI clarity, paired with </w:t>
      </w:r>
      <w:r w:rsidRPr="00A31B74">
        <w:rPr>
          <w:rFonts w:asciiTheme="majorBidi" w:hAnsiTheme="majorBidi" w:cstheme="majorBidi"/>
          <w:i/>
          <w:iCs/>
          <w:sz w:val="24"/>
          <w:szCs w:val="24"/>
        </w:rPr>
        <w:t>objective DV</w:t>
      </w:r>
      <w:r w:rsidRPr="00A31B74">
        <w:rPr>
          <w:rFonts w:asciiTheme="majorBidi" w:hAnsiTheme="majorBidi" w:cstheme="majorBidi"/>
          <w:sz w:val="24"/>
          <w:szCs w:val="24"/>
        </w:rPr>
        <w:t xml:space="preserve"> metrics drawn from approval systems, override registers, covenant monitors, liquidity flags, and resilience dashboards.</w:t>
      </w:r>
    </w:p>
    <w:p w14:paraId="09FC39E1" w14:textId="77777777" w:rsidR="00A31B74" w:rsidRPr="00A31B74" w:rsidRDefault="00A31B74" w:rsidP="00A31B74">
      <w:pPr>
        <w:bidi w:val="0"/>
        <w:spacing w:after="120" w:line="276" w:lineRule="auto"/>
        <w:ind w:firstLine="284"/>
        <w:jc w:val="both"/>
        <w:rPr>
          <w:rFonts w:asciiTheme="majorBidi" w:hAnsiTheme="majorBidi" w:cstheme="majorBidi"/>
          <w:sz w:val="24"/>
          <w:szCs w:val="24"/>
        </w:rPr>
      </w:pPr>
      <w:r w:rsidRPr="00A31B74">
        <w:rPr>
          <w:rFonts w:asciiTheme="majorBidi" w:hAnsiTheme="majorBidi" w:cstheme="majorBidi"/>
          <w:sz w:val="24"/>
          <w:szCs w:val="24"/>
        </w:rPr>
        <w:t>Why Al Rajhi Bank is a high-information setting. Al Rajhi Bank (2023) reports scale, digital investment, and broad Islamic product factories that generate observable variation in AM–Sales routines and sufficient depth in outcome data. Saudi Central Bank (2023) situates the bank within a concentrated, deposit-anchored system where small execution frictions scale quickly, and Islamic Financial Services Board (2024) underscores contract-form constraints that elevate the value of upstream coordination. Together, these features make the bank an apt laboratory to quantify how seam quality transmits into risk-management effectiveness across early-risk, credit discipline, liquidity/market fit, and operational resilience.</w:t>
      </w:r>
    </w:p>
    <w:p w14:paraId="3A64E9E6" w14:textId="7AAA8110" w:rsidR="003E7A08" w:rsidRDefault="003E7A08" w:rsidP="00166BB3">
      <w:pPr>
        <w:pStyle w:val="ad"/>
      </w:pPr>
      <w:bookmarkStart w:id="88" w:name="_Toc214622008"/>
      <w:r>
        <w:t xml:space="preserve">Table </w:t>
      </w:r>
      <w:r>
        <w:fldChar w:fldCharType="begin"/>
      </w:r>
      <w:r>
        <w:instrText xml:space="preserve"> SEQ Table \* ARABIC </w:instrText>
      </w:r>
      <w:r>
        <w:fldChar w:fldCharType="separate"/>
      </w:r>
      <w:r w:rsidR="00CD4CCF">
        <w:t>2</w:t>
      </w:r>
      <w:r>
        <w:fldChar w:fldCharType="end"/>
      </w:r>
      <w:r>
        <w:t xml:space="preserve">: </w:t>
      </w:r>
      <w:r w:rsidRPr="00356900">
        <w:t xml:space="preserve">Gap Matrix </w:t>
      </w:r>
      <w:r w:rsidR="00B03C22">
        <w:t>-</w:t>
      </w:r>
      <w:r w:rsidRPr="00356900">
        <w:t xml:space="preserve"> What the Literature Measures vs. What This Study Measures</w:t>
      </w:r>
      <w:bookmarkEnd w:id="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6"/>
        <w:gridCol w:w="2517"/>
        <w:gridCol w:w="2374"/>
        <w:gridCol w:w="2124"/>
      </w:tblGrid>
      <w:tr w:rsidR="003E7A08" w:rsidRPr="003E7A08" w14:paraId="310C2DBA" w14:textId="77777777" w:rsidTr="003E7A08">
        <w:trPr>
          <w:trHeight w:val="20"/>
        </w:trPr>
        <w:tc>
          <w:tcPr>
            <w:tcW w:w="1129" w:type="pct"/>
            <w:vAlign w:val="center"/>
            <w:hideMark/>
          </w:tcPr>
          <w:p w14:paraId="7B0B3EA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Domain (seam or outcome)</w:t>
            </w:r>
          </w:p>
        </w:tc>
        <w:tc>
          <w:tcPr>
            <w:tcW w:w="1389" w:type="pct"/>
            <w:vAlign w:val="center"/>
            <w:hideMark/>
          </w:tcPr>
          <w:p w14:paraId="7970BA61"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Typical in prior literature &amp; toolkits</w:t>
            </w:r>
          </w:p>
        </w:tc>
        <w:tc>
          <w:tcPr>
            <w:tcW w:w="1310" w:type="pct"/>
            <w:vAlign w:val="center"/>
            <w:hideMark/>
          </w:tcPr>
          <w:p w14:paraId="74AB1059"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This study’s measurement (bank-level, seam-level)</w:t>
            </w:r>
          </w:p>
        </w:tc>
        <w:tc>
          <w:tcPr>
            <w:tcW w:w="1172" w:type="pct"/>
            <w:vAlign w:val="center"/>
            <w:hideMark/>
          </w:tcPr>
          <w:p w14:paraId="619F22F0"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What the gap means for your model</w:t>
            </w:r>
          </w:p>
        </w:tc>
      </w:tr>
      <w:tr w:rsidR="003E7A08" w:rsidRPr="003E7A08" w14:paraId="695C571D" w14:textId="77777777" w:rsidTr="003E7A08">
        <w:trPr>
          <w:trHeight w:val="20"/>
        </w:trPr>
        <w:tc>
          <w:tcPr>
            <w:tcW w:w="1129" w:type="pct"/>
            <w:vAlign w:val="center"/>
            <w:hideMark/>
          </w:tcPr>
          <w:p w14:paraId="3B42F88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Communication cadence (AM–Sales)</w:t>
            </w:r>
          </w:p>
        </w:tc>
        <w:tc>
          <w:tcPr>
            <w:tcW w:w="1389" w:type="pct"/>
            <w:vAlign w:val="center"/>
            <w:hideMark/>
          </w:tcPr>
          <w:p w14:paraId="13466470"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Qualitative governance guidance on meetings/committees; descriptive “good practices.”</w:t>
            </w:r>
          </w:p>
        </w:tc>
        <w:tc>
          <w:tcPr>
            <w:tcW w:w="1310" w:type="pct"/>
            <w:vAlign w:val="center"/>
            <w:hideMark/>
          </w:tcPr>
          <w:p w14:paraId="0E87D20A"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Quantified cadence index (planned vs. held reviews; interval variance), breach-to-action latency tied to each review, and on-time sign-off % per deal stage.</w:t>
            </w:r>
          </w:p>
        </w:tc>
        <w:tc>
          <w:tcPr>
            <w:tcW w:w="1172" w:type="pct"/>
            <w:vAlign w:val="center"/>
            <w:hideMark/>
          </w:tcPr>
          <w:p w14:paraId="0B9189B3"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Converts vague “meet regularly” into time-stamped behavior that should predict Early-Risk/Onboarding and fewer late overrides.</w:t>
            </w:r>
          </w:p>
        </w:tc>
      </w:tr>
      <w:tr w:rsidR="003E7A08" w:rsidRPr="003E7A08" w14:paraId="17D919EE" w14:textId="77777777" w:rsidTr="003E7A08">
        <w:trPr>
          <w:trHeight w:val="20"/>
        </w:trPr>
        <w:tc>
          <w:tcPr>
            <w:tcW w:w="1129" w:type="pct"/>
            <w:vAlign w:val="center"/>
            <w:hideMark/>
          </w:tcPr>
          <w:p w14:paraId="1686F17E"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Information co-visibility &amp; lineage</w:t>
            </w:r>
          </w:p>
        </w:tc>
        <w:tc>
          <w:tcPr>
            <w:tcW w:w="1389" w:type="pct"/>
            <w:vAlign w:val="center"/>
            <w:hideMark/>
          </w:tcPr>
          <w:p w14:paraId="51EB2F36"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High-level calls for integrated CRM/risk data; generic “single source of truth.”</w:t>
            </w:r>
          </w:p>
        </w:tc>
        <w:tc>
          <w:tcPr>
            <w:tcW w:w="1310" w:type="pct"/>
            <w:vAlign w:val="center"/>
            <w:hideMark/>
          </w:tcPr>
          <w:p w14:paraId="467F0C8C"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Co-visibility score (shared fields present/used), lineage completeness (source/refresh/ETL evidence), and data-staleness minutes at approval.</w:t>
            </w:r>
          </w:p>
        </w:tc>
        <w:tc>
          <w:tcPr>
            <w:tcW w:w="1172" w:type="pct"/>
            <w:vAlign w:val="center"/>
            <w:hideMark/>
          </w:tcPr>
          <w:p w14:paraId="13114036"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Links shared data to concrete outcomes: pricing-floor adherence, tenor within ladders, and false-negative EWS rates.</w:t>
            </w:r>
          </w:p>
        </w:tc>
      </w:tr>
      <w:tr w:rsidR="003E7A08" w:rsidRPr="003E7A08" w14:paraId="651F0396" w14:textId="77777777" w:rsidTr="003E7A08">
        <w:trPr>
          <w:trHeight w:val="20"/>
        </w:trPr>
        <w:tc>
          <w:tcPr>
            <w:tcW w:w="1129" w:type="pct"/>
            <w:vAlign w:val="center"/>
            <w:hideMark/>
          </w:tcPr>
          <w:p w14:paraId="7EC48FC8"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KPI &amp; incentive alignment</w:t>
            </w:r>
          </w:p>
        </w:tc>
        <w:tc>
          <w:tcPr>
            <w:tcW w:w="1389" w:type="pct"/>
            <w:vAlign w:val="center"/>
            <w:hideMark/>
          </w:tcPr>
          <w:p w14:paraId="55CCE111"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Conceptual alignment (risk culture, tone at the top); limited quant on plan mechanics.</w:t>
            </w:r>
          </w:p>
        </w:tc>
        <w:tc>
          <w:tcPr>
            <w:tcW w:w="1310" w:type="pct"/>
            <w:vAlign w:val="center"/>
            <w:hideMark/>
          </w:tcPr>
          <w:p w14:paraId="2FE33B4B"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Risk-adjusted KPI index (RAROC post-funding in scorecards; override chargebacks; delinquency penalties), and plan-coverage % for AM vs. Sales.</w:t>
            </w:r>
          </w:p>
        </w:tc>
        <w:tc>
          <w:tcPr>
            <w:tcW w:w="1172" w:type="pct"/>
            <w:vAlign w:val="center"/>
            <w:hideMark/>
          </w:tcPr>
          <w:p w14:paraId="3B667839"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Tests whether incentive design lowers override share and improves covenant performance and early cures.</w:t>
            </w:r>
          </w:p>
        </w:tc>
      </w:tr>
      <w:tr w:rsidR="003E7A08" w:rsidRPr="003E7A08" w14:paraId="737D8DDB" w14:textId="77777777" w:rsidTr="003E7A08">
        <w:trPr>
          <w:trHeight w:val="20"/>
        </w:trPr>
        <w:tc>
          <w:tcPr>
            <w:tcW w:w="1129" w:type="pct"/>
            <w:vAlign w:val="center"/>
            <w:hideMark/>
          </w:tcPr>
          <w:p w14:paraId="71D98C5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Decision rights &amp; escalation (RACI)</w:t>
            </w:r>
          </w:p>
        </w:tc>
        <w:tc>
          <w:tcPr>
            <w:tcW w:w="1389" w:type="pct"/>
            <w:vAlign w:val="center"/>
            <w:hideMark/>
          </w:tcPr>
          <w:p w14:paraId="41EB1485"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Policies, org charts, committee charters; narrative accountability.</w:t>
            </w:r>
          </w:p>
        </w:tc>
        <w:tc>
          <w:tcPr>
            <w:tcW w:w="1310" w:type="pct"/>
            <w:vAlign w:val="center"/>
            <w:hideMark/>
          </w:tcPr>
          <w:p w14:paraId="727EFD77"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RACI clarity index (named owner per decision), SLA compliance for escalations, pause-rule activation rate, and dispute time-to-resolution.</w:t>
            </w:r>
          </w:p>
        </w:tc>
        <w:tc>
          <w:tcPr>
            <w:tcW w:w="1172" w:type="pct"/>
            <w:vAlign w:val="center"/>
            <w:hideMark/>
          </w:tcPr>
          <w:p w14:paraId="0CCEC58E"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Quantifies governance execution; predicts lower breach-to-action latency and higher remediation quality.</w:t>
            </w:r>
          </w:p>
        </w:tc>
      </w:tr>
      <w:tr w:rsidR="003E7A08" w:rsidRPr="003E7A08" w14:paraId="0E8145FB" w14:textId="77777777" w:rsidTr="003E7A08">
        <w:trPr>
          <w:trHeight w:val="20"/>
        </w:trPr>
        <w:tc>
          <w:tcPr>
            <w:tcW w:w="1129" w:type="pct"/>
            <w:vAlign w:val="center"/>
            <w:hideMark/>
          </w:tcPr>
          <w:p w14:paraId="32B81062"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Shariah touchpoints (form–substance)</w:t>
            </w:r>
          </w:p>
        </w:tc>
        <w:tc>
          <w:tcPr>
            <w:tcW w:w="1389" w:type="pct"/>
            <w:vAlign w:val="center"/>
            <w:hideMark/>
          </w:tcPr>
          <w:p w14:paraId="5A5942F6"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Frameworks on asset evidence, possession/transfer, profit recognition; few timing metrics.</w:t>
            </w:r>
          </w:p>
        </w:tc>
        <w:tc>
          <w:tcPr>
            <w:tcW w:w="1310" w:type="pct"/>
            <w:vAlign w:val="center"/>
            <w:hideMark/>
          </w:tcPr>
          <w:p w14:paraId="2D6ABC86"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 xml:space="preserve">Evidence-pack completeness % at </w:t>
            </w:r>
            <w:r w:rsidRPr="003E7A08">
              <w:rPr>
                <w:rFonts w:asciiTheme="majorBidi" w:eastAsia="Times New Roman" w:hAnsiTheme="majorBidi" w:cstheme="majorBidi"/>
                <w:i/>
                <w:iCs/>
                <w:color w:val="000000"/>
                <w:kern w:val="0"/>
                <w:sz w:val="20"/>
                <w:szCs w:val="20"/>
                <w14:ligatures w14:val="none"/>
              </w:rPr>
              <w:t>pre-deal</w:t>
            </w:r>
            <w:r w:rsidRPr="003E7A08">
              <w:rPr>
                <w:rFonts w:asciiTheme="majorBidi" w:eastAsia="Times New Roman" w:hAnsiTheme="majorBidi" w:cstheme="majorBidi"/>
                <w:color w:val="000000"/>
                <w:kern w:val="0"/>
                <w:sz w:val="20"/>
                <w:szCs w:val="20"/>
                <w14:ligatures w14:val="none"/>
              </w:rPr>
              <w:t>, Shariah defect rate (pre vs. post-booking), and time-to-Shariah sign-off.</w:t>
            </w:r>
          </w:p>
        </w:tc>
        <w:tc>
          <w:tcPr>
            <w:tcW w:w="1172" w:type="pct"/>
            <w:vAlign w:val="center"/>
            <w:hideMark/>
          </w:tcPr>
          <w:p w14:paraId="72CF1C65"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Brings Shariah upstream; should lift Onboarding Quality and reduce downstream NPL migration and exceptions.</w:t>
            </w:r>
          </w:p>
        </w:tc>
      </w:tr>
      <w:tr w:rsidR="003E7A08" w:rsidRPr="003E7A08" w14:paraId="5E1F1124" w14:textId="77777777" w:rsidTr="003E7A08">
        <w:trPr>
          <w:trHeight w:val="20"/>
        </w:trPr>
        <w:tc>
          <w:tcPr>
            <w:tcW w:w="1129" w:type="pct"/>
            <w:vAlign w:val="center"/>
            <w:hideMark/>
          </w:tcPr>
          <w:p w14:paraId="10666842"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Liquidity/market fit at origination</w:t>
            </w:r>
          </w:p>
        </w:tc>
        <w:tc>
          <w:tcPr>
            <w:tcW w:w="1389" w:type="pct"/>
            <w:vAlign w:val="center"/>
            <w:hideMark/>
          </w:tcPr>
          <w:p w14:paraId="43BA56B0"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Macro ratios (LCR/HQLA) and policy statements; scarce approval-stage linkage.</w:t>
            </w:r>
          </w:p>
        </w:tc>
        <w:tc>
          <w:tcPr>
            <w:tcW w:w="1310" w:type="pct"/>
            <w:vAlign w:val="center"/>
            <w:hideMark/>
          </w:tcPr>
          <w:p w14:paraId="5E9C65F1"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Deal-level liquidity fit (HQLA tag present, tenor within ladder), funding-curve imprint in price, and tenor-mismatch flags at approval.</w:t>
            </w:r>
          </w:p>
        </w:tc>
        <w:tc>
          <w:tcPr>
            <w:tcW w:w="1172" w:type="pct"/>
            <w:vAlign w:val="center"/>
            <w:hideMark/>
          </w:tcPr>
          <w:p w14:paraId="30FFBDB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Makes prudential anchors bind ex-ante; predicts tighter Liquidity &amp; Market-Risk Fit scores.</w:t>
            </w:r>
          </w:p>
        </w:tc>
      </w:tr>
      <w:tr w:rsidR="003E7A08" w:rsidRPr="003E7A08" w14:paraId="5FA9A61B" w14:textId="77777777" w:rsidTr="003E7A08">
        <w:trPr>
          <w:trHeight w:val="20"/>
        </w:trPr>
        <w:tc>
          <w:tcPr>
            <w:tcW w:w="1129" w:type="pct"/>
            <w:vAlign w:val="center"/>
            <w:hideMark/>
          </w:tcPr>
          <w:p w14:paraId="68E17A3A"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Credit discipline &amp; outcomes</w:t>
            </w:r>
          </w:p>
        </w:tc>
        <w:tc>
          <w:tcPr>
            <w:tcW w:w="1389" w:type="pct"/>
            <w:vAlign w:val="center"/>
            <w:hideMark/>
          </w:tcPr>
          <w:p w14:paraId="2D1AEF58"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Portfolio NPLs, provisioning; limited seam attribution.</w:t>
            </w:r>
          </w:p>
        </w:tc>
        <w:tc>
          <w:tcPr>
            <w:tcW w:w="1310" w:type="pct"/>
            <w:vAlign w:val="center"/>
            <w:hideMark/>
          </w:tcPr>
          <w:p w14:paraId="7D5CC880"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Pricing-floor adherence %, override frequency/severity, covenant breach rate, vintage roll-rate to early arrears/NPL.</w:t>
            </w:r>
          </w:p>
        </w:tc>
        <w:tc>
          <w:tcPr>
            <w:tcW w:w="1172" w:type="pct"/>
            <w:vAlign w:val="center"/>
            <w:hideMark/>
          </w:tcPr>
          <w:p w14:paraId="6B84C5EB"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Attributes outcome variation to seam routines; connects IV to DV with objective traces.</w:t>
            </w:r>
          </w:p>
        </w:tc>
      </w:tr>
      <w:tr w:rsidR="003E7A08" w:rsidRPr="003E7A08" w14:paraId="32A13780" w14:textId="77777777" w:rsidTr="003E7A08">
        <w:trPr>
          <w:trHeight w:val="20"/>
        </w:trPr>
        <w:tc>
          <w:tcPr>
            <w:tcW w:w="1129" w:type="pct"/>
            <w:vAlign w:val="center"/>
            <w:hideMark/>
          </w:tcPr>
          <w:p w14:paraId="0A563CA5"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Operational resilience &amp; third-party control</w:t>
            </w:r>
          </w:p>
        </w:tc>
        <w:tc>
          <w:tcPr>
            <w:tcW w:w="1389" w:type="pct"/>
            <w:vAlign w:val="center"/>
            <w:hideMark/>
          </w:tcPr>
          <w:p w14:paraId="29612976"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Vendor risk frameworks; qualitative incident narratives.</w:t>
            </w:r>
          </w:p>
        </w:tc>
        <w:tc>
          <w:tcPr>
            <w:tcW w:w="1310" w:type="pct"/>
            <w:vAlign w:val="center"/>
            <w:hideMark/>
          </w:tcPr>
          <w:p w14:paraId="0F804B18"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MTTR (decision-grade recovery), tested failover success %, SLA conformance for escalations, closure-quality score (root cause, re-test).</w:t>
            </w:r>
          </w:p>
        </w:tc>
        <w:tc>
          <w:tcPr>
            <w:tcW w:w="1172" w:type="pct"/>
            <w:vAlign w:val="center"/>
            <w:hideMark/>
          </w:tcPr>
          <w:p w14:paraId="47CD862D"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Shows whether digital dependencies are governed as part of the seam; predicts DV resilience.</w:t>
            </w:r>
          </w:p>
        </w:tc>
      </w:tr>
      <w:tr w:rsidR="003E7A08" w:rsidRPr="003E7A08" w14:paraId="10D05FAC" w14:textId="77777777" w:rsidTr="003E7A08">
        <w:trPr>
          <w:trHeight w:val="20"/>
        </w:trPr>
        <w:tc>
          <w:tcPr>
            <w:tcW w:w="1129" w:type="pct"/>
            <w:vAlign w:val="center"/>
            <w:hideMark/>
          </w:tcPr>
          <w:p w14:paraId="6DDB0A74"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Early-warning integration (pre-deal)</w:t>
            </w:r>
          </w:p>
        </w:tc>
        <w:tc>
          <w:tcPr>
            <w:tcW w:w="1389" w:type="pct"/>
            <w:vAlign w:val="center"/>
            <w:hideMark/>
          </w:tcPr>
          <w:p w14:paraId="072D05F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EWS models discussed abstractly; seldom tied to approval packet timing.</w:t>
            </w:r>
          </w:p>
        </w:tc>
        <w:tc>
          <w:tcPr>
            <w:tcW w:w="1310" w:type="pct"/>
            <w:vAlign w:val="center"/>
            <w:hideMark/>
          </w:tcPr>
          <w:p w14:paraId="654BB2DE"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Pre-deal EWS hit-rate, false-negative rate, and integration timing (EWS present before sign-off).</w:t>
            </w:r>
          </w:p>
        </w:tc>
        <w:tc>
          <w:tcPr>
            <w:tcW w:w="1172" w:type="pct"/>
            <w:vAlign w:val="center"/>
            <w:hideMark/>
          </w:tcPr>
          <w:p w14:paraId="2419E76F" w14:textId="77777777" w:rsidR="003E7A08" w:rsidRPr="003E7A08" w:rsidRDefault="003E7A08" w:rsidP="003E7A08">
            <w:pPr>
              <w:bidi w:val="0"/>
              <w:spacing w:after="0" w:line="240" w:lineRule="auto"/>
              <w:jc w:val="center"/>
              <w:rPr>
                <w:rFonts w:asciiTheme="majorBidi" w:eastAsia="Times New Roman" w:hAnsiTheme="majorBidi" w:cstheme="majorBidi"/>
                <w:color w:val="000000"/>
                <w:kern w:val="0"/>
                <w:sz w:val="20"/>
                <w:szCs w:val="20"/>
                <w14:ligatures w14:val="none"/>
              </w:rPr>
            </w:pPr>
            <w:r w:rsidRPr="003E7A08">
              <w:rPr>
                <w:rFonts w:asciiTheme="majorBidi" w:eastAsia="Times New Roman" w:hAnsiTheme="majorBidi" w:cstheme="majorBidi"/>
                <w:color w:val="000000"/>
                <w:kern w:val="0"/>
                <w:sz w:val="20"/>
                <w:szCs w:val="20"/>
                <w14:ligatures w14:val="none"/>
              </w:rPr>
              <w:t>Establishes the mechanism from cadence/data to Early-Risk Identification effectiveness.</w:t>
            </w:r>
          </w:p>
        </w:tc>
      </w:tr>
    </w:tbl>
    <w:p w14:paraId="1DABB52C" w14:textId="77DC891D" w:rsidR="00370164" w:rsidRDefault="003E7A08" w:rsidP="00370164">
      <w:pPr>
        <w:bidi w:val="0"/>
        <w:spacing w:after="120" w:line="276" w:lineRule="auto"/>
        <w:ind w:firstLine="284"/>
        <w:jc w:val="both"/>
        <w:rPr>
          <w:rFonts w:asciiTheme="majorBidi" w:hAnsiTheme="majorBidi" w:cstheme="majorBidi"/>
          <w:sz w:val="24"/>
          <w:szCs w:val="24"/>
        </w:rPr>
      </w:pPr>
      <w:r>
        <w:rPr>
          <w:rFonts w:asciiTheme="majorBidi" w:hAnsiTheme="majorBidi" w:cstheme="majorBidi"/>
          <w:sz w:val="24"/>
          <w:szCs w:val="24"/>
        </w:rPr>
        <w:t xml:space="preserve">Reference: </w:t>
      </w:r>
      <w:r w:rsidR="006D521B" w:rsidRPr="006D521B">
        <w:rPr>
          <w:rFonts w:asciiTheme="majorBidi" w:hAnsiTheme="majorBidi" w:cstheme="majorBidi"/>
          <w:sz w:val="24"/>
          <w:szCs w:val="24"/>
        </w:rPr>
        <w:t>BIS 2013, FSB 2023, IMF 2023, IFSB 2024, OECD 2022, SAMA 2023, CBUAE 2023.</w:t>
      </w:r>
    </w:p>
    <w:p w14:paraId="56B13836" w14:textId="2483543D" w:rsidR="003E7A08" w:rsidRDefault="003E7A08" w:rsidP="003E7A08">
      <w:pPr>
        <w:bidi w:val="0"/>
        <w:spacing w:after="120" w:line="276" w:lineRule="auto"/>
        <w:ind w:firstLine="284"/>
        <w:jc w:val="both"/>
        <w:rPr>
          <w:rFonts w:asciiTheme="majorBidi" w:hAnsiTheme="majorBidi" w:cstheme="majorBidi"/>
          <w:sz w:val="24"/>
          <w:szCs w:val="24"/>
        </w:rPr>
      </w:pPr>
      <w:r w:rsidRPr="003E7A08">
        <w:rPr>
          <w:rFonts w:asciiTheme="majorBidi" w:hAnsiTheme="majorBidi" w:cstheme="majorBidi"/>
          <w:sz w:val="24"/>
          <w:szCs w:val="24"/>
        </w:rPr>
        <w:t>The left column summarizes what sector reports and governance toolkits typically provide</w:t>
      </w:r>
      <w:r w:rsidR="00B03C22">
        <w:rPr>
          <w:rFonts w:asciiTheme="majorBidi" w:hAnsiTheme="majorBidi" w:cstheme="majorBidi"/>
          <w:sz w:val="24"/>
          <w:szCs w:val="24"/>
        </w:rPr>
        <w:t>-</w:t>
      </w:r>
      <w:r w:rsidRPr="003E7A08">
        <w:rPr>
          <w:rFonts w:asciiTheme="majorBidi" w:hAnsiTheme="majorBidi" w:cstheme="majorBidi"/>
          <w:sz w:val="24"/>
          <w:szCs w:val="24"/>
        </w:rPr>
        <w:t>useful principles but rarely time-stamped, seam-level measurements. The middle column shows how the thesis will operationalize each concept with traceable, deal-level indicators (logs, clocks, evidence packs). The right column states the expected pathway from the independent variable (AM–Sales functional routines) to each dependent-variable anchor (early-risk/onboarding, credit discipline, liquidity/market fit, and operational resilience). This matrix ensures your measurement system closes the gap between policy intent and observable execution at Al Rajhi Bank.</w:t>
      </w:r>
    </w:p>
    <w:p w14:paraId="13244FBE" w14:textId="77777777" w:rsidR="006D521B" w:rsidRDefault="006D521B" w:rsidP="006D521B">
      <w:pPr>
        <w:pStyle w:val="3"/>
      </w:pPr>
      <w:bookmarkStart w:id="89" w:name="_Toc214621158"/>
      <w:r>
        <w:t>Contextualization to Al Rajhi Bank</w:t>
      </w:r>
      <w:bookmarkEnd w:id="89"/>
    </w:p>
    <w:p w14:paraId="7313F90C" w14:textId="005AFD23" w:rsidR="006D521B" w:rsidRPr="006D521B" w:rsidRDefault="006D521B" w:rsidP="006D521B">
      <w:pPr>
        <w:bidi w:val="0"/>
        <w:spacing w:after="120" w:line="276" w:lineRule="auto"/>
        <w:ind w:firstLine="284"/>
        <w:jc w:val="both"/>
        <w:rPr>
          <w:rFonts w:asciiTheme="majorBidi" w:hAnsiTheme="majorBidi" w:cstheme="majorBidi"/>
          <w:sz w:val="24"/>
          <w:szCs w:val="24"/>
        </w:rPr>
      </w:pPr>
      <w:r w:rsidRPr="006D521B">
        <w:rPr>
          <w:rFonts w:asciiTheme="majorBidi" w:hAnsiTheme="majorBidi" w:cstheme="majorBidi"/>
          <w:sz w:val="24"/>
          <w:szCs w:val="24"/>
        </w:rPr>
        <w:t>Al Rajhi Bank’s scale, Islamic leadership, and digital build-out create a high-information setting in which small execution choices at the AM–Sales seam can be traced into measurable risk outcomes. Al Rajhi Bank (2023) reports a large retail deposit base, broad corporate and SME exposure, and a product factory that spans murabaha, ijara, and partnership-based structures</w:t>
      </w:r>
      <w:r w:rsidR="00B03C22">
        <w:rPr>
          <w:rFonts w:asciiTheme="majorBidi" w:hAnsiTheme="majorBidi" w:cstheme="majorBidi"/>
          <w:sz w:val="24"/>
          <w:szCs w:val="24"/>
        </w:rPr>
        <w:t>-</w:t>
      </w:r>
      <w:r w:rsidRPr="006D521B">
        <w:rPr>
          <w:rFonts w:asciiTheme="majorBidi" w:hAnsiTheme="majorBidi" w:cstheme="majorBidi"/>
          <w:sz w:val="24"/>
          <w:szCs w:val="24"/>
        </w:rPr>
        <w:t>conditions that, as Bank for International Settlements (2013) reminds, require LCR/HQLA and funding-ladder signals to be internalized at origination rather than repaired downstream. In a higher-for-longer rate regime, International Monetary Fund (2023) cautions that delays in transmitting funding curves and liquidity cues monetize into mispricing and tenor misfit, which is exactly where a bank of Al Rajhi’s scale will show portfolio-level consequences if cadence and co-visibility falter.</w:t>
      </w:r>
    </w:p>
    <w:p w14:paraId="60463712" w14:textId="239DDC30" w:rsidR="006D521B" w:rsidRPr="006D521B" w:rsidRDefault="006D521B" w:rsidP="006D521B">
      <w:pPr>
        <w:bidi w:val="0"/>
        <w:spacing w:after="120" w:line="276" w:lineRule="auto"/>
        <w:ind w:firstLine="284"/>
        <w:jc w:val="both"/>
        <w:rPr>
          <w:rFonts w:asciiTheme="majorBidi" w:hAnsiTheme="majorBidi" w:cstheme="majorBidi"/>
          <w:sz w:val="24"/>
          <w:szCs w:val="24"/>
        </w:rPr>
      </w:pPr>
      <w:r w:rsidRPr="006D521B">
        <w:rPr>
          <w:rFonts w:asciiTheme="majorBidi" w:hAnsiTheme="majorBidi" w:cstheme="majorBidi"/>
          <w:sz w:val="24"/>
          <w:szCs w:val="24"/>
        </w:rPr>
        <w:t>On product breadth and Islamic leadership, Islamic Financial Services Board (2024) emphasizes that form–substance checks</w:t>
      </w:r>
      <w:r w:rsidR="00B03C22">
        <w:rPr>
          <w:rFonts w:asciiTheme="majorBidi" w:hAnsiTheme="majorBidi" w:cstheme="majorBidi"/>
          <w:sz w:val="24"/>
          <w:szCs w:val="24"/>
        </w:rPr>
        <w:t>-</w:t>
      </w:r>
      <w:r w:rsidRPr="006D521B">
        <w:rPr>
          <w:rFonts w:asciiTheme="majorBidi" w:hAnsiTheme="majorBidi" w:cstheme="majorBidi"/>
          <w:sz w:val="24"/>
          <w:szCs w:val="24"/>
        </w:rPr>
        <w:t>asset evidence, possession/transfer, and profit-recognition logic</w:t>
      </w:r>
      <w:r w:rsidR="00B03C22">
        <w:rPr>
          <w:rFonts w:asciiTheme="majorBidi" w:hAnsiTheme="majorBidi" w:cstheme="majorBidi"/>
          <w:sz w:val="24"/>
          <w:szCs w:val="24"/>
        </w:rPr>
        <w:t>-</w:t>
      </w:r>
      <w:r w:rsidRPr="006D521B">
        <w:rPr>
          <w:rFonts w:asciiTheme="majorBidi" w:hAnsiTheme="majorBidi" w:cstheme="majorBidi"/>
          <w:sz w:val="24"/>
          <w:szCs w:val="24"/>
        </w:rPr>
        <w:t>must sit upstream in the approval seam. Al Rajhi Bank (2023) describes digital channels and product workflows where such proofs need to travel with pricing floors and tenor ladders; when that happens, Financial Stability Board (2023) expects fewer late overrides and tighter breach-to-action timing because handoffs are time-boxed and evidence-based. In this environment, the study’s independent-variable levers</w:t>
      </w:r>
      <w:r w:rsidR="00B03C22">
        <w:rPr>
          <w:rFonts w:asciiTheme="majorBidi" w:hAnsiTheme="majorBidi" w:cstheme="majorBidi"/>
          <w:sz w:val="24"/>
          <w:szCs w:val="24"/>
        </w:rPr>
        <w:t>-</w:t>
      </w:r>
      <w:r w:rsidRPr="006D521B">
        <w:rPr>
          <w:rFonts w:asciiTheme="majorBidi" w:hAnsiTheme="majorBidi" w:cstheme="majorBidi"/>
          <w:sz w:val="24"/>
          <w:szCs w:val="24"/>
        </w:rPr>
        <w:t>communication cadence, information co-visibility, KPI/incentive alignment, and RACI/escalation clarity</w:t>
      </w:r>
      <w:r w:rsidR="00B03C22">
        <w:rPr>
          <w:rFonts w:asciiTheme="majorBidi" w:hAnsiTheme="majorBidi" w:cstheme="majorBidi"/>
          <w:sz w:val="24"/>
          <w:szCs w:val="24"/>
        </w:rPr>
        <w:t>-</w:t>
      </w:r>
      <w:r w:rsidRPr="006D521B">
        <w:rPr>
          <w:rFonts w:asciiTheme="majorBidi" w:hAnsiTheme="majorBidi" w:cstheme="majorBidi"/>
          <w:sz w:val="24"/>
          <w:szCs w:val="24"/>
        </w:rPr>
        <w:t>are not abstract culture markers; they are the work design that determines whether risk inputs arrive in time to shape approvals, as KPMG (2025) argues.</w:t>
      </w:r>
    </w:p>
    <w:p w14:paraId="00BB952B" w14:textId="0C3AABB3" w:rsidR="006D521B" w:rsidRPr="006D521B" w:rsidRDefault="006D521B" w:rsidP="006D521B">
      <w:pPr>
        <w:bidi w:val="0"/>
        <w:spacing w:after="120" w:line="276" w:lineRule="auto"/>
        <w:ind w:firstLine="284"/>
        <w:jc w:val="both"/>
        <w:rPr>
          <w:rFonts w:asciiTheme="majorBidi" w:hAnsiTheme="majorBidi" w:cstheme="majorBidi"/>
          <w:sz w:val="24"/>
          <w:szCs w:val="24"/>
        </w:rPr>
      </w:pPr>
      <w:r w:rsidRPr="006D521B">
        <w:rPr>
          <w:rFonts w:asciiTheme="majorBidi" w:hAnsiTheme="majorBidi" w:cstheme="majorBidi"/>
          <w:sz w:val="24"/>
          <w:szCs w:val="24"/>
        </w:rPr>
        <w:t>Digital investment intensifies the test. OECD (2022) notes that cloud, e-KYC, scoring, and CRM orchestration compress cycle time but add vendor concentration and lineage risks; U.S. supervisors (2024) make clear the bank remains accountable for third-party delivery, which is why monitoring rights, failover evidence, and SLA clocks must be visible to first-line approvers. For Al Rajhi, that visibility enables the dependent-variable strand of Operational Resilience &amp; Third-Party Risk Control to be measured with MTTR, tested failovers, and closure quality</w:t>
      </w:r>
      <w:r w:rsidR="00B03C22">
        <w:rPr>
          <w:rFonts w:asciiTheme="majorBidi" w:hAnsiTheme="majorBidi" w:cstheme="majorBidi"/>
          <w:sz w:val="24"/>
          <w:szCs w:val="24"/>
        </w:rPr>
        <w:t>-</w:t>
      </w:r>
      <w:r w:rsidRPr="006D521B">
        <w:rPr>
          <w:rFonts w:asciiTheme="majorBidi" w:hAnsiTheme="majorBidi" w:cstheme="majorBidi"/>
          <w:sz w:val="24"/>
          <w:szCs w:val="24"/>
        </w:rPr>
        <w:t>and linked back to AM–Sales routines through decision logs and escalation timers (FSB, 2023).</w:t>
      </w:r>
    </w:p>
    <w:p w14:paraId="37564E1D" w14:textId="5AAB5295" w:rsidR="006D521B" w:rsidRPr="006D521B" w:rsidRDefault="006D521B" w:rsidP="006D521B">
      <w:pPr>
        <w:bidi w:val="0"/>
        <w:spacing w:after="120" w:line="276" w:lineRule="auto"/>
        <w:ind w:firstLine="284"/>
        <w:jc w:val="both"/>
        <w:rPr>
          <w:rFonts w:asciiTheme="majorBidi" w:hAnsiTheme="majorBidi" w:cstheme="majorBidi"/>
          <w:sz w:val="24"/>
          <w:szCs w:val="24"/>
        </w:rPr>
      </w:pPr>
      <w:r w:rsidRPr="006D521B">
        <w:rPr>
          <w:rFonts w:asciiTheme="majorBidi" w:hAnsiTheme="majorBidi" w:cstheme="majorBidi"/>
          <w:sz w:val="24"/>
          <w:szCs w:val="24"/>
        </w:rPr>
        <w:t>These contextual features also explain why the bank is suitable for observing variation in both IV and DV. Scale and product diversity create natural differences across segments and periods in cadence, co-visibility, KPI mechanics (e.g., RAROC post-funding, override chargebacks), and RACI enforcement; those differences, in turn, manifest in objective outcomes</w:t>
      </w:r>
      <w:r w:rsidR="00B03C22">
        <w:rPr>
          <w:rFonts w:asciiTheme="majorBidi" w:hAnsiTheme="majorBidi" w:cstheme="majorBidi"/>
          <w:sz w:val="24"/>
          <w:szCs w:val="24"/>
        </w:rPr>
        <w:t>-</w:t>
      </w:r>
      <w:r w:rsidRPr="006D521B">
        <w:rPr>
          <w:rFonts w:asciiTheme="majorBidi" w:hAnsiTheme="majorBidi" w:cstheme="majorBidi"/>
          <w:sz w:val="24"/>
          <w:szCs w:val="24"/>
        </w:rPr>
        <w:t>pricing-floor adherence, tenor-ladder fit, override frequency, covenant behavior, and resilience MTTR (BIS, 2013; IMF, 2023; FSB, 2023). Finally, this context calibrates expectations for Section 2.5 and the empirical chapter: effects should be stronger in murabaha/ijara sub-portfolios where documentation and tenor choices are tightly coupled to funding cues and Shariah artifacts (IFSB, 2024; Al Rajhi Bank, 2023), while partnership structures may exhibit greater dispersion</w:t>
      </w:r>
      <w:r w:rsidR="00B03C22">
        <w:rPr>
          <w:rFonts w:asciiTheme="majorBidi" w:hAnsiTheme="majorBidi" w:cstheme="majorBidi"/>
          <w:sz w:val="24"/>
          <w:szCs w:val="24"/>
        </w:rPr>
        <w:t>-</w:t>
      </w:r>
      <w:r w:rsidRPr="006D521B">
        <w:rPr>
          <w:rFonts w:asciiTheme="majorBidi" w:hAnsiTheme="majorBidi" w:cstheme="majorBidi"/>
          <w:sz w:val="24"/>
          <w:szCs w:val="24"/>
        </w:rPr>
        <w:t>inviting interaction tests and robustness checks in the measurement strategy.</w:t>
      </w:r>
    </w:p>
    <w:p w14:paraId="2447EE05" w14:textId="307045DE" w:rsidR="00F33BC2" w:rsidRDefault="00F33BC2" w:rsidP="00166BB3">
      <w:pPr>
        <w:pStyle w:val="ad"/>
      </w:pPr>
      <w:bookmarkStart w:id="90" w:name="_Toc214622009"/>
      <w:r>
        <w:t xml:space="preserve">Table </w:t>
      </w:r>
      <w:r>
        <w:fldChar w:fldCharType="begin"/>
      </w:r>
      <w:r>
        <w:instrText xml:space="preserve"> SEQ Table \* ARABIC </w:instrText>
      </w:r>
      <w:r>
        <w:fldChar w:fldCharType="separate"/>
      </w:r>
      <w:r w:rsidR="00CD4CCF">
        <w:t>3</w:t>
      </w:r>
      <w:r>
        <w:fldChar w:fldCharType="end"/>
      </w:r>
      <w:r>
        <w:t>:</w:t>
      </w:r>
      <w:r w:rsidRPr="005C30AE">
        <w:t xml:space="preserve">“Evidence-to-Instrument” </w:t>
      </w:r>
      <w:r w:rsidR="00B03C22">
        <w:t>-</w:t>
      </w:r>
      <w:r w:rsidRPr="005C30AE">
        <w:t xml:space="preserve"> Context Fact </w:t>
      </w:r>
      <w:r w:rsidRPr="005C30AE">
        <w:rPr>
          <w:rFonts w:ascii="Segoe UI Symbol" w:hAnsi="Segoe UI Symbol" w:cs="Segoe UI Symbol"/>
        </w:rPr>
        <w:t>➜</w:t>
      </w:r>
      <w:r w:rsidRPr="005C30AE">
        <w:t xml:space="preserve"> Item Family (IV) </w:t>
      </w:r>
      <w:r w:rsidRPr="005C30AE">
        <w:rPr>
          <w:rFonts w:ascii="Segoe UI Symbol" w:hAnsi="Segoe UI Symbol" w:cs="Segoe UI Symbol"/>
        </w:rPr>
        <w:t>➜</w:t>
      </w:r>
      <w:r w:rsidRPr="005C30AE">
        <w:t xml:space="preserve"> DV Anchor</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1767"/>
        <w:gridCol w:w="2633"/>
        <w:gridCol w:w="1868"/>
      </w:tblGrid>
      <w:tr w:rsidR="00F33BC2" w:rsidRPr="00F33BC2" w14:paraId="047584E9" w14:textId="77777777" w:rsidTr="00F33BC2">
        <w:trPr>
          <w:trHeight w:val="20"/>
        </w:trPr>
        <w:tc>
          <w:tcPr>
            <w:tcW w:w="1541" w:type="pct"/>
            <w:vAlign w:val="center"/>
            <w:hideMark/>
          </w:tcPr>
          <w:p w14:paraId="2AB916B8"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Context fact (Saudi/GCC/Al Rajhi)</w:t>
            </w:r>
          </w:p>
        </w:tc>
        <w:tc>
          <w:tcPr>
            <w:tcW w:w="975" w:type="pct"/>
            <w:vAlign w:val="center"/>
            <w:hideMark/>
          </w:tcPr>
          <w:p w14:paraId="19A9576E"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Instrument item family (IV subscale)</w:t>
            </w:r>
          </w:p>
        </w:tc>
        <w:tc>
          <w:tcPr>
            <w:tcW w:w="1453" w:type="pct"/>
            <w:vAlign w:val="center"/>
            <w:hideMark/>
          </w:tcPr>
          <w:p w14:paraId="108BCE7C"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Example survey/trace item (how you’ll measure it)</w:t>
            </w:r>
          </w:p>
        </w:tc>
        <w:tc>
          <w:tcPr>
            <w:tcW w:w="1031" w:type="pct"/>
            <w:vAlign w:val="center"/>
            <w:hideMark/>
          </w:tcPr>
          <w:p w14:paraId="5E7D3560"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Expected link to DV anchor(s)</w:t>
            </w:r>
          </w:p>
        </w:tc>
      </w:tr>
      <w:tr w:rsidR="00F33BC2" w:rsidRPr="00F33BC2" w14:paraId="562ED271" w14:textId="77777777" w:rsidTr="00F33BC2">
        <w:trPr>
          <w:trHeight w:val="20"/>
        </w:trPr>
        <w:tc>
          <w:tcPr>
            <w:tcW w:w="1541" w:type="pct"/>
            <w:vAlign w:val="center"/>
            <w:hideMark/>
          </w:tcPr>
          <w:p w14:paraId="2B789ABD"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Concentrated, deposit-anchored system; fast scaling of small frictions</w:t>
            </w:r>
          </w:p>
        </w:tc>
        <w:tc>
          <w:tcPr>
            <w:tcW w:w="975" w:type="pct"/>
            <w:vAlign w:val="center"/>
            <w:hideMark/>
          </w:tcPr>
          <w:p w14:paraId="4CD51210"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Communication cadence</w:t>
            </w:r>
          </w:p>
        </w:tc>
        <w:tc>
          <w:tcPr>
            <w:tcW w:w="1453" w:type="pct"/>
            <w:vAlign w:val="center"/>
            <w:hideMark/>
          </w:tcPr>
          <w:p w14:paraId="2522BBA4"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Planned vs. held AM–Sales risk reviews; interval variance; breach-to-action latency (mins)</w:t>
            </w:r>
          </w:p>
        </w:tc>
        <w:tc>
          <w:tcPr>
            <w:tcW w:w="1031" w:type="pct"/>
            <w:vAlign w:val="center"/>
            <w:hideMark/>
          </w:tcPr>
          <w:p w14:paraId="40855586"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Early-Risk/Onboarding ↑, Credit Discipline ↑</w:t>
            </w:r>
          </w:p>
        </w:tc>
      </w:tr>
      <w:tr w:rsidR="00F33BC2" w:rsidRPr="00F33BC2" w14:paraId="6011F07C" w14:textId="77777777" w:rsidTr="00F33BC2">
        <w:trPr>
          <w:trHeight w:val="20"/>
        </w:trPr>
        <w:tc>
          <w:tcPr>
            <w:tcW w:w="1541" w:type="pct"/>
            <w:vAlign w:val="center"/>
            <w:hideMark/>
          </w:tcPr>
          <w:p w14:paraId="5D4C0DF1"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Basel III LCR/HQLA binds at origination (prudential anchors)</w:t>
            </w:r>
          </w:p>
        </w:tc>
        <w:tc>
          <w:tcPr>
            <w:tcW w:w="975" w:type="pct"/>
            <w:vAlign w:val="center"/>
            <w:hideMark/>
          </w:tcPr>
          <w:p w14:paraId="49BFCF09"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Information co-visibility</w:t>
            </w:r>
          </w:p>
        </w:tc>
        <w:tc>
          <w:tcPr>
            <w:tcW w:w="1453" w:type="pct"/>
            <w:vAlign w:val="center"/>
            <w:hideMark/>
          </w:tcPr>
          <w:p w14:paraId="5E76691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Presence of shared HQLA/LCR flags in approval packet; funding-curve freshness (mins)</w:t>
            </w:r>
          </w:p>
        </w:tc>
        <w:tc>
          <w:tcPr>
            <w:tcW w:w="1031" w:type="pct"/>
            <w:vAlign w:val="center"/>
            <w:hideMark/>
          </w:tcPr>
          <w:p w14:paraId="7FAB0CA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Liquidity &amp; Market-Risk Fit ↑</w:t>
            </w:r>
          </w:p>
        </w:tc>
      </w:tr>
      <w:tr w:rsidR="00F33BC2" w:rsidRPr="00F33BC2" w14:paraId="6E3D0DFE" w14:textId="77777777" w:rsidTr="00F33BC2">
        <w:trPr>
          <w:trHeight w:val="20"/>
        </w:trPr>
        <w:tc>
          <w:tcPr>
            <w:tcW w:w="1541" w:type="pct"/>
            <w:vAlign w:val="center"/>
            <w:hideMark/>
          </w:tcPr>
          <w:p w14:paraId="2B43A256"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Higher-for-longer rates monetize delays into mispricing</w:t>
            </w:r>
          </w:p>
        </w:tc>
        <w:tc>
          <w:tcPr>
            <w:tcW w:w="975" w:type="pct"/>
            <w:vAlign w:val="center"/>
            <w:hideMark/>
          </w:tcPr>
          <w:p w14:paraId="5CB77630"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Communication cadence + RACI</w:t>
            </w:r>
          </w:p>
        </w:tc>
        <w:tc>
          <w:tcPr>
            <w:tcW w:w="1453" w:type="pct"/>
            <w:vAlign w:val="center"/>
            <w:hideMark/>
          </w:tcPr>
          <w:p w14:paraId="053DEB14"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SLA timer on approvals; named owner for price/tenor sign-off; pause-rule activation</w:t>
            </w:r>
          </w:p>
        </w:tc>
        <w:tc>
          <w:tcPr>
            <w:tcW w:w="1031" w:type="pct"/>
            <w:vAlign w:val="center"/>
            <w:hideMark/>
          </w:tcPr>
          <w:p w14:paraId="3370175D"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Liquidity &amp; Market-Risk Fit ↑, Credit Discipline ↑</w:t>
            </w:r>
          </w:p>
        </w:tc>
      </w:tr>
      <w:tr w:rsidR="00F33BC2" w:rsidRPr="00F33BC2" w14:paraId="6EF96F62" w14:textId="77777777" w:rsidTr="00F33BC2">
        <w:trPr>
          <w:trHeight w:val="20"/>
        </w:trPr>
        <w:tc>
          <w:tcPr>
            <w:tcW w:w="1541" w:type="pct"/>
            <w:vAlign w:val="center"/>
            <w:hideMark/>
          </w:tcPr>
          <w:p w14:paraId="374EC6D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Islamic contract forms (murabaha/ijara/musharaka) require upstream form-substance checks</w:t>
            </w:r>
          </w:p>
        </w:tc>
        <w:tc>
          <w:tcPr>
            <w:tcW w:w="975" w:type="pct"/>
            <w:vAlign w:val="center"/>
            <w:hideMark/>
          </w:tcPr>
          <w:p w14:paraId="642F8384"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Co-visibility + RACI</w:t>
            </w:r>
          </w:p>
        </w:tc>
        <w:tc>
          <w:tcPr>
            <w:tcW w:w="1453" w:type="pct"/>
            <w:vAlign w:val="center"/>
            <w:hideMark/>
          </w:tcPr>
          <w:p w14:paraId="0DD5557E"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Asset-evidence/possession/profit artifacts embedded in CRM; time-to-Shariah sign-off</w:t>
            </w:r>
          </w:p>
        </w:tc>
        <w:tc>
          <w:tcPr>
            <w:tcW w:w="1031" w:type="pct"/>
            <w:vAlign w:val="center"/>
            <w:hideMark/>
          </w:tcPr>
          <w:p w14:paraId="4C3D83E3"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Early-Risk/Onboarding ↑, Credit Discipline ↑</w:t>
            </w:r>
          </w:p>
        </w:tc>
      </w:tr>
      <w:tr w:rsidR="00F33BC2" w:rsidRPr="00F33BC2" w14:paraId="6F7AEAB3" w14:textId="77777777" w:rsidTr="00F33BC2">
        <w:trPr>
          <w:trHeight w:val="20"/>
        </w:trPr>
        <w:tc>
          <w:tcPr>
            <w:tcW w:w="1541" w:type="pct"/>
            <w:vAlign w:val="center"/>
            <w:hideMark/>
          </w:tcPr>
          <w:p w14:paraId="7232ED39"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Digital rails (cloud, e-KYC, scoring, CRM) add vendor dependence &amp; lineage risk</w:t>
            </w:r>
          </w:p>
        </w:tc>
        <w:tc>
          <w:tcPr>
            <w:tcW w:w="975" w:type="pct"/>
            <w:vAlign w:val="center"/>
            <w:hideMark/>
          </w:tcPr>
          <w:p w14:paraId="26C38FD5"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RACI + Cadence</w:t>
            </w:r>
          </w:p>
        </w:tc>
        <w:tc>
          <w:tcPr>
            <w:tcW w:w="1453" w:type="pct"/>
            <w:vAlign w:val="center"/>
            <w:hideMark/>
          </w:tcPr>
          <w:p w14:paraId="3771960D"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Named “degradation-mode” owner; incident broadcast cadence; failover runbook acknowledgment</w:t>
            </w:r>
          </w:p>
        </w:tc>
        <w:tc>
          <w:tcPr>
            <w:tcW w:w="1031" w:type="pct"/>
            <w:vAlign w:val="center"/>
            <w:hideMark/>
          </w:tcPr>
          <w:p w14:paraId="1B9648FE"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Operational Resilience &amp; 3rd-Party Control ↑</w:t>
            </w:r>
          </w:p>
        </w:tc>
      </w:tr>
      <w:tr w:rsidR="00F33BC2" w:rsidRPr="00F33BC2" w14:paraId="5E318D10" w14:textId="77777777" w:rsidTr="00F33BC2">
        <w:trPr>
          <w:trHeight w:val="20"/>
        </w:trPr>
        <w:tc>
          <w:tcPr>
            <w:tcW w:w="1541" w:type="pct"/>
            <w:vAlign w:val="center"/>
            <w:hideMark/>
          </w:tcPr>
          <w:p w14:paraId="598AB83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Third-party accountability (monitoring rights, audit trails, exit paths)</w:t>
            </w:r>
          </w:p>
        </w:tc>
        <w:tc>
          <w:tcPr>
            <w:tcW w:w="975" w:type="pct"/>
            <w:vAlign w:val="center"/>
            <w:hideMark/>
          </w:tcPr>
          <w:p w14:paraId="39CA9C28"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KPI &amp; incentives</w:t>
            </w:r>
          </w:p>
        </w:tc>
        <w:tc>
          <w:tcPr>
            <w:tcW w:w="1453" w:type="pct"/>
            <w:vAlign w:val="center"/>
            <w:hideMark/>
          </w:tcPr>
          <w:p w14:paraId="2CD57383"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Scorecard credit for tested failovers; penalty for missing vendor evidence packs</w:t>
            </w:r>
          </w:p>
        </w:tc>
        <w:tc>
          <w:tcPr>
            <w:tcW w:w="1031" w:type="pct"/>
            <w:vAlign w:val="center"/>
            <w:hideMark/>
          </w:tcPr>
          <w:p w14:paraId="13BD3F49"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Operational Resilience ↑, Early-Risk/Onboarding ↑</w:t>
            </w:r>
          </w:p>
        </w:tc>
      </w:tr>
      <w:tr w:rsidR="00F33BC2" w:rsidRPr="00F33BC2" w14:paraId="59093E5F" w14:textId="77777777" w:rsidTr="00F33BC2">
        <w:trPr>
          <w:trHeight w:val="20"/>
        </w:trPr>
        <w:tc>
          <w:tcPr>
            <w:tcW w:w="1541" w:type="pct"/>
            <w:vAlign w:val="center"/>
            <w:hideMark/>
          </w:tcPr>
          <w:p w14:paraId="2DFD8BD6"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Large retail base funding mixed-tenor assets</w:t>
            </w:r>
          </w:p>
        </w:tc>
        <w:tc>
          <w:tcPr>
            <w:tcW w:w="975" w:type="pct"/>
            <w:vAlign w:val="center"/>
            <w:hideMark/>
          </w:tcPr>
          <w:p w14:paraId="72EA4F3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Co-visibility</w:t>
            </w:r>
          </w:p>
        </w:tc>
        <w:tc>
          <w:tcPr>
            <w:tcW w:w="1453" w:type="pct"/>
            <w:vAlign w:val="center"/>
            <w:hideMark/>
          </w:tcPr>
          <w:p w14:paraId="21EE7702"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Tenor-ladder display in approval UI; pricing-floor imprint from funding curve</w:t>
            </w:r>
          </w:p>
        </w:tc>
        <w:tc>
          <w:tcPr>
            <w:tcW w:w="1031" w:type="pct"/>
            <w:vAlign w:val="center"/>
            <w:hideMark/>
          </w:tcPr>
          <w:p w14:paraId="545842D8"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Liquidity &amp; Market-Risk Fit ↑</w:t>
            </w:r>
          </w:p>
        </w:tc>
      </w:tr>
      <w:tr w:rsidR="00F33BC2" w:rsidRPr="00F33BC2" w14:paraId="54D67FF3" w14:textId="77777777" w:rsidTr="00F33BC2">
        <w:trPr>
          <w:trHeight w:val="20"/>
        </w:trPr>
        <w:tc>
          <w:tcPr>
            <w:tcW w:w="1541" w:type="pct"/>
            <w:vAlign w:val="center"/>
            <w:hideMark/>
          </w:tcPr>
          <w:p w14:paraId="52AA9D8C"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Evidence of override drift under volume pressure</w:t>
            </w:r>
          </w:p>
        </w:tc>
        <w:tc>
          <w:tcPr>
            <w:tcW w:w="975" w:type="pct"/>
            <w:vAlign w:val="center"/>
            <w:hideMark/>
          </w:tcPr>
          <w:p w14:paraId="766AF84C"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KPI &amp; incentives</w:t>
            </w:r>
          </w:p>
        </w:tc>
        <w:tc>
          <w:tcPr>
            <w:tcW w:w="1453" w:type="pct"/>
            <w:vAlign w:val="center"/>
            <w:hideMark/>
          </w:tcPr>
          <w:p w14:paraId="00C45FCB"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Override chargebacks; delinquency penalties; RAROC post-funding in AM/Sales scorecards</w:t>
            </w:r>
          </w:p>
        </w:tc>
        <w:tc>
          <w:tcPr>
            <w:tcW w:w="1031" w:type="pct"/>
            <w:vAlign w:val="center"/>
            <w:hideMark/>
          </w:tcPr>
          <w:p w14:paraId="089B9CAE"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Credit Discipline ↑</w:t>
            </w:r>
          </w:p>
        </w:tc>
      </w:tr>
      <w:tr w:rsidR="00F33BC2" w:rsidRPr="00F33BC2" w14:paraId="5188EFA0" w14:textId="77777777" w:rsidTr="00F33BC2">
        <w:trPr>
          <w:trHeight w:val="20"/>
        </w:trPr>
        <w:tc>
          <w:tcPr>
            <w:tcW w:w="1541" w:type="pct"/>
            <w:vAlign w:val="center"/>
            <w:hideMark/>
          </w:tcPr>
          <w:p w14:paraId="43F77038"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Need for fast dispute resolution at handoffs</w:t>
            </w:r>
          </w:p>
        </w:tc>
        <w:tc>
          <w:tcPr>
            <w:tcW w:w="975" w:type="pct"/>
            <w:vAlign w:val="center"/>
            <w:hideMark/>
          </w:tcPr>
          <w:p w14:paraId="0698FBE6"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RACI</w:t>
            </w:r>
          </w:p>
        </w:tc>
        <w:tc>
          <w:tcPr>
            <w:tcW w:w="1453" w:type="pct"/>
            <w:vAlign w:val="center"/>
            <w:hideMark/>
          </w:tcPr>
          <w:p w14:paraId="36045B15"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Dispute time-to-resolution (hrs); escalation-SLA conformance %</w:t>
            </w:r>
          </w:p>
        </w:tc>
        <w:tc>
          <w:tcPr>
            <w:tcW w:w="1031" w:type="pct"/>
            <w:vAlign w:val="center"/>
            <w:hideMark/>
          </w:tcPr>
          <w:p w14:paraId="6026F4C4"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Operational Resilience ↑, Credit Discipline ↑</w:t>
            </w:r>
          </w:p>
        </w:tc>
      </w:tr>
      <w:tr w:rsidR="00F33BC2" w:rsidRPr="00F33BC2" w14:paraId="06EF7CFD" w14:textId="77777777" w:rsidTr="00F33BC2">
        <w:trPr>
          <w:trHeight w:val="20"/>
        </w:trPr>
        <w:tc>
          <w:tcPr>
            <w:tcW w:w="1541" w:type="pct"/>
            <w:vAlign w:val="center"/>
            <w:hideMark/>
          </w:tcPr>
          <w:p w14:paraId="0D5DA099"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Early-warning models underperform when late or invisible to frontline</w:t>
            </w:r>
          </w:p>
        </w:tc>
        <w:tc>
          <w:tcPr>
            <w:tcW w:w="975" w:type="pct"/>
            <w:vAlign w:val="center"/>
            <w:hideMark/>
          </w:tcPr>
          <w:p w14:paraId="5BE6CE65"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Cadence + Co-visibility</w:t>
            </w:r>
          </w:p>
        </w:tc>
        <w:tc>
          <w:tcPr>
            <w:tcW w:w="1453" w:type="pct"/>
            <w:vAlign w:val="center"/>
            <w:hideMark/>
          </w:tcPr>
          <w:p w14:paraId="4088D71A"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Pre-deal EWS present? (Y/N); EWS hit-rate; false-negative rate; EWS freshness (mins)</w:t>
            </w:r>
          </w:p>
        </w:tc>
        <w:tc>
          <w:tcPr>
            <w:tcW w:w="1031" w:type="pct"/>
            <w:vAlign w:val="center"/>
            <w:hideMark/>
          </w:tcPr>
          <w:p w14:paraId="5CB0D530" w14:textId="77777777" w:rsidR="00F33BC2" w:rsidRPr="00F33BC2" w:rsidRDefault="00F33BC2" w:rsidP="00F33BC2">
            <w:pPr>
              <w:bidi w:val="0"/>
              <w:spacing w:after="0" w:line="240" w:lineRule="auto"/>
              <w:jc w:val="center"/>
              <w:rPr>
                <w:rFonts w:asciiTheme="majorBidi" w:eastAsia="Times New Roman" w:hAnsiTheme="majorBidi" w:cstheme="majorBidi"/>
                <w:color w:val="000000"/>
                <w:kern w:val="0"/>
                <w:sz w:val="20"/>
                <w:szCs w:val="20"/>
                <w14:ligatures w14:val="none"/>
              </w:rPr>
            </w:pPr>
            <w:r w:rsidRPr="00F33BC2">
              <w:rPr>
                <w:rFonts w:asciiTheme="majorBidi" w:eastAsia="Times New Roman" w:hAnsiTheme="majorBidi" w:cstheme="majorBidi"/>
                <w:color w:val="000000"/>
                <w:kern w:val="0"/>
                <w:sz w:val="20"/>
                <w:szCs w:val="20"/>
                <w14:ligatures w14:val="none"/>
              </w:rPr>
              <w:t>Early-Risk/Onboarding ↑, NPL migration ↓</w:t>
            </w:r>
          </w:p>
        </w:tc>
      </w:tr>
    </w:tbl>
    <w:p w14:paraId="5ED6383D" w14:textId="28080EBF" w:rsidR="00370164" w:rsidRPr="006D521B" w:rsidRDefault="00F33BC2" w:rsidP="00370164">
      <w:pPr>
        <w:bidi w:val="0"/>
        <w:spacing w:after="120" w:line="276" w:lineRule="auto"/>
        <w:ind w:firstLine="284"/>
        <w:jc w:val="both"/>
        <w:rPr>
          <w:rFonts w:asciiTheme="majorBidi" w:hAnsiTheme="majorBidi" w:cstheme="majorBidi"/>
          <w:sz w:val="24"/>
          <w:szCs w:val="24"/>
        </w:rPr>
      </w:pPr>
      <w:r>
        <w:rPr>
          <w:rFonts w:asciiTheme="majorBidi" w:hAnsiTheme="majorBidi" w:cstheme="majorBidi"/>
          <w:sz w:val="24"/>
          <w:szCs w:val="24"/>
        </w:rPr>
        <w:t>Reference: Researcher.</w:t>
      </w:r>
    </w:p>
    <w:p w14:paraId="1EC047B6" w14:textId="2761CAFF" w:rsidR="00370164" w:rsidRPr="006D521B" w:rsidRDefault="00F33BC2" w:rsidP="00370164">
      <w:pPr>
        <w:bidi w:val="0"/>
        <w:spacing w:after="120" w:line="276" w:lineRule="auto"/>
        <w:ind w:firstLine="284"/>
        <w:jc w:val="both"/>
        <w:rPr>
          <w:rFonts w:asciiTheme="majorBidi" w:hAnsiTheme="majorBidi" w:cstheme="majorBidi"/>
          <w:sz w:val="24"/>
          <w:szCs w:val="24"/>
        </w:rPr>
      </w:pPr>
      <w:r w:rsidRPr="00F33BC2">
        <w:rPr>
          <w:rFonts w:asciiTheme="majorBidi" w:hAnsiTheme="majorBidi" w:cstheme="majorBidi"/>
          <w:sz w:val="24"/>
          <w:szCs w:val="24"/>
        </w:rPr>
        <w:t>Each context fact pinpoints a pressure point in Saudi/GCC and Al Rajhi’s operating reality. The middle column specifies the instrument item family you will include under the four IV subscales (communication cadence, information co-visibility, KPI/incentive alignment, and RACI clarity). The third column turns that into auditable items (mix of perceptual survey statements and system traces: timers, logs, evidence-pack fields). The last column states the expected directional link to the DV anchors: Early-Risk/Onboarding Quality, Credit Discipline &amp; Outcomes, Liquidity &amp; Market-Risk Fit at Origination, and Operational Resilience &amp; Third-Party Risk Control. This compact map lets you justify each questionnaire scale and dashboard extraction with a concrete contextual rationale</w:t>
      </w:r>
      <w:r w:rsidR="00B03C22">
        <w:rPr>
          <w:rFonts w:asciiTheme="majorBidi" w:hAnsiTheme="majorBidi" w:cstheme="majorBidi"/>
          <w:sz w:val="24"/>
          <w:szCs w:val="24"/>
        </w:rPr>
        <w:t>-</w:t>
      </w:r>
      <w:r w:rsidRPr="00F33BC2">
        <w:rPr>
          <w:rFonts w:asciiTheme="majorBidi" w:hAnsiTheme="majorBidi" w:cstheme="majorBidi"/>
          <w:sz w:val="24"/>
          <w:szCs w:val="24"/>
        </w:rPr>
        <w:t>and makes hypothesis testing traceable from sector evidence to seam-level behavior.</w:t>
      </w:r>
    </w:p>
    <w:p w14:paraId="7E93B840" w14:textId="4611A279" w:rsidR="00370164" w:rsidRPr="006D521B" w:rsidRDefault="00217E89" w:rsidP="00217E89">
      <w:pPr>
        <w:pStyle w:val="2"/>
      </w:pPr>
      <w:bookmarkStart w:id="91" w:name="_Toc214621159"/>
      <w:r w:rsidRPr="00217E89">
        <w:t>Linking the IV and DV: Mechanisms and Propositions</w:t>
      </w:r>
      <w:bookmarkEnd w:id="91"/>
    </w:p>
    <w:p w14:paraId="071A5519" w14:textId="126391C3" w:rsidR="00370164" w:rsidRPr="006D521B" w:rsidRDefault="002B2AC6" w:rsidP="002B2AC6">
      <w:pPr>
        <w:bidi w:val="0"/>
        <w:spacing w:after="120" w:line="276" w:lineRule="auto"/>
        <w:ind w:firstLine="284"/>
        <w:jc w:val="both"/>
        <w:rPr>
          <w:rFonts w:asciiTheme="majorBidi" w:hAnsiTheme="majorBidi" w:cstheme="majorBidi"/>
          <w:sz w:val="24"/>
          <w:szCs w:val="24"/>
        </w:rPr>
      </w:pPr>
      <w:r w:rsidRPr="002B2AC6">
        <w:rPr>
          <w:rFonts w:asciiTheme="majorBidi" w:hAnsiTheme="majorBidi" w:cstheme="majorBidi"/>
          <w:sz w:val="24"/>
          <w:szCs w:val="24"/>
        </w:rPr>
        <w:t>This section translates the study’s independent-variable routines</w:t>
      </w:r>
      <w:r w:rsidR="00B03C22">
        <w:rPr>
          <w:rFonts w:asciiTheme="majorBidi" w:hAnsiTheme="majorBidi" w:cstheme="majorBidi"/>
          <w:sz w:val="24"/>
          <w:szCs w:val="24"/>
        </w:rPr>
        <w:t>-</w:t>
      </w:r>
      <w:r w:rsidRPr="002B2AC6">
        <w:rPr>
          <w:rFonts w:asciiTheme="majorBidi" w:hAnsiTheme="majorBidi" w:cstheme="majorBidi"/>
          <w:sz w:val="24"/>
          <w:szCs w:val="24"/>
        </w:rPr>
        <w:t>communication cadence, information co-visibility, KPI/incentive alignment, and RACI/escalation clarity</w:t>
      </w:r>
      <w:r w:rsidR="00B03C22">
        <w:rPr>
          <w:rFonts w:asciiTheme="majorBidi" w:hAnsiTheme="majorBidi" w:cstheme="majorBidi"/>
          <w:sz w:val="24"/>
          <w:szCs w:val="24"/>
        </w:rPr>
        <w:t>-</w:t>
      </w:r>
      <w:r w:rsidRPr="002B2AC6">
        <w:rPr>
          <w:rFonts w:asciiTheme="majorBidi" w:hAnsiTheme="majorBidi" w:cstheme="majorBidi"/>
          <w:sz w:val="24"/>
          <w:szCs w:val="24"/>
        </w:rPr>
        <w:t>into causal channels that produce the four risk-effectiveness outcomes: early identification/onboarding quality, credit discipline, liquidity–market fit at origination, and operational resilience. International Monetary Fund (2023) argues that risk materializes through execution under uncertainty, so timing and clarity at handoffs determine whether signals change decisions or merely document delay. Bank for International Settlements (2013) adds that prudential anchors (LCR/HQLA and funding ladders) only bind when priced and tenored ex-ante, while Financial Stability Board (2023) shows that seams deliver reliably only when owners, clocks, and escalation paths are designed</w:t>
      </w:r>
      <w:r w:rsidR="00B03C22">
        <w:rPr>
          <w:rFonts w:asciiTheme="majorBidi" w:hAnsiTheme="majorBidi" w:cstheme="majorBidi"/>
          <w:sz w:val="24"/>
          <w:szCs w:val="24"/>
        </w:rPr>
        <w:t>-</w:t>
      </w:r>
      <w:r w:rsidRPr="002B2AC6">
        <w:rPr>
          <w:rFonts w:asciiTheme="majorBidi" w:hAnsiTheme="majorBidi" w:cstheme="majorBidi"/>
          <w:sz w:val="24"/>
          <w:szCs w:val="24"/>
        </w:rPr>
        <w:t>not assumed. Evidence on embedded analytics (Habel, Alavi, &amp; Heinitz, 2023) and fixed feedback rhythms (Lang, Peltonen, &amp; Sarlin, 2018) suggests that communication pulls signals forward, but co-visibility/lineage makes them decision-grade. In Islamic settings, Islamic Financial Services Board (2024) requires form–substance checks upstream, which KPMG (2025) operationalizes via RACI, thresholds, and SLAs; in digital pipelines, OECD (2022) and U.S. supervisors (2024) highlight third-party rails that test resilience and accountability. Against this backdrop, subsections 2.5.1–2.5.4 state four testable propositions</w:t>
      </w:r>
      <w:r w:rsidR="00B03C22">
        <w:rPr>
          <w:rFonts w:asciiTheme="majorBidi" w:hAnsiTheme="majorBidi" w:cstheme="majorBidi"/>
          <w:sz w:val="24"/>
          <w:szCs w:val="24"/>
        </w:rPr>
        <w:t>-</w:t>
      </w:r>
      <w:r w:rsidRPr="002B2AC6">
        <w:rPr>
          <w:rFonts w:asciiTheme="majorBidi" w:hAnsiTheme="majorBidi" w:cstheme="majorBidi"/>
          <w:sz w:val="24"/>
          <w:szCs w:val="24"/>
        </w:rPr>
        <w:t>one per channel</w:t>
      </w:r>
      <w:r w:rsidR="00B03C22">
        <w:rPr>
          <w:rFonts w:asciiTheme="majorBidi" w:hAnsiTheme="majorBidi" w:cstheme="majorBidi"/>
          <w:sz w:val="24"/>
          <w:szCs w:val="24"/>
        </w:rPr>
        <w:t>-</w:t>
      </w:r>
      <w:r w:rsidRPr="002B2AC6">
        <w:rPr>
          <w:rFonts w:asciiTheme="majorBidi" w:hAnsiTheme="majorBidi" w:cstheme="majorBidi"/>
          <w:sz w:val="24"/>
          <w:szCs w:val="24"/>
        </w:rPr>
        <w:t>to explain how the AM–Sales seam transmits routines into measurable improvements across the dependent-variable dimensions.</w:t>
      </w:r>
    </w:p>
    <w:p w14:paraId="3790EBF1" w14:textId="0A03DF01" w:rsidR="002B2AC6" w:rsidRPr="002B2AC6" w:rsidRDefault="002B2AC6" w:rsidP="002B2AC6">
      <w:pPr>
        <w:pStyle w:val="3"/>
      </w:pPr>
      <w:bookmarkStart w:id="92" w:name="_Toc214621160"/>
      <w:r w:rsidRPr="002B2AC6">
        <w:t>Communication → Early Identification &amp; Onboarding</w:t>
      </w:r>
      <w:bookmarkEnd w:id="92"/>
    </w:p>
    <w:p w14:paraId="4DB840A9" w14:textId="28A3DE89" w:rsidR="002B2AC6" w:rsidRPr="002B2AC6" w:rsidRDefault="002B2AC6" w:rsidP="002B2AC6">
      <w:pPr>
        <w:bidi w:val="0"/>
        <w:spacing w:after="120" w:line="276" w:lineRule="auto"/>
        <w:ind w:firstLine="284"/>
        <w:jc w:val="both"/>
        <w:rPr>
          <w:rFonts w:asciiTheme="majorBidi" w:hAnsiTheme="majorBidi" w:cstheme="majorBidi"/>
          <w:sz w:val="24"/>
          <w:szCs w:val="24"/>
        </w:rPr>
      </w:pPr>
      <w:r w:rsidRPr="002B2AC6">
        <w:rPr>
          <w:rFonts w:asciiTheme="majorBidi" w:hAnsiTheme="majorBidi" w:cstheme="majorBidi"/>
          <w:sz w:val="24"/>
          <w:szCs w:val="24"/>
        </w:rPr>
        <w:t>Communication is the front-end governor of risk: when Account Managers and Sales operate on a fixed rhythm with clear agendas and artefacts, weak files surface before approval rather than after booking. International Monetary Fund (2023) argues that risk is execution under uncertainty; therefore timing</w:t>
      </w:r>
      <w:r w:rsidR="00B03C22">
        <w:rPr>
          <w:rFonts w:asciiTheme="majorBidi" w:hAnsiTheme="majorBidi" w:cstheme="majorBidi"/>
          <w:sz w:val="24"/>
          <w:szCs w:val="24"/>
        </w:rPr>
        <w:t>-</w:t>
      </w:r>
      <w:r w:rsidRPr="002B2AC6">
        <w:rPr>
          <w:rFonts w:asciiTheme="majorBidi" w:hAnsiTheme="majorBidi" w:cstheme="majorBidi"/>
          <w:sz w:val="24"/>
          <w:szCs w:val="24"/>
        </w:rPr>
        <w:t>not just policy</w:t>
      </w:r>
      <w:r w:rsidR="00B03C22">
        <w:rPr>
          <w:rFonts w:asciiTheme="majorBidi" w:hAnsiTheme="majorBidi" w:cstheme="majorBidi"/>
          <w:sz w:val="24"/>
          <w:szCs w:val="24"/>
        </w:rPr>
        <w:t>-</w:t>
      </w:r>
      <w:r w:rsidRPr="002B2AC6">
        <w:rPr>
          <w:rFonts w:asciiTheme="majorBidi" w:hAnsiTheme="majorBidi" w:cstheme="majorBidi"/>
          <w:sz w:val="24"/>
          <w:szCs w:val="24"/>
        </w:rPr>
        <w:t>determines whether signals avert loss or record it late. Building on that, Lang, Peltonen, and Sarlin (2018) show that fixed feedback cadences materially improve early-warning accuracy, implying that meeting frequency, interval variance, and breach-to-action latency are not “soft culture” but quantifiable controls that shape onboarding quality. Habel, Alavi, and Heinitz (2023) add that analytics change frontline behavior only when embedded in routine; a cadence that forces AM and Sales to review EWS hits, document gaps, and schedule cures converts models into earlier escalations and cleaner pre-deal packets</w:t>
      </w:r>
      <w:r w:rsidRPr="002B2AC6">
        <w:rPr>
          <w:rFonts w:asciiTheme="majorBidi" w:hAnsiTheme="majorBidi" w:cstheme="majorBidi"/>
          <w:sz w:val="24"/>
          <w:szCs w:val="24"/>
          <w:rtl/>
        </w:rPr>
        <w:t>.</w:t>
      </w:r>
    </w:p>
    <w:p w14:paraId="30957181" w14:textId="77777777" w:rsidR="002B2AC6" w:rsidRPr="002B2AC6" w:rsidRDefault="002B2AC6" w:rsidP="002B2AC6">
      <w:pPr>
        <w:bidi w:val="0"/>
        <w:spacing w:after="120" w:line="276" w:lineRule="auto"/>
        <w:ind w:firstLine="284"/>
        <w:jc w:val="both"/>
        <w:rPr>
          <w:rFonts w:asciiTheme="majorBidi" w:hAnsiTheme="majorBidi" w:cstheme="majorBidi"/>
          <w:sz w:val="24"/>
          <w:szCs w:val="24"/>
        </w:rPr>
      </w:pPr>
      <w:r w:rsidRPr="002B2AC6">
        <w:rPr>
          <w:rFonts w:asciiTheme="majorBidi" w:hAnsiTheme="majorBidi" w:cstheme="majorBidi"/>
          <w:sz w:val="24"/>
          <w:szCs w:val="24"/>
        </w:rPr>
        <w:t>Governance tools translate cadence into action. Financial Stability Board (2023) recommends time-boxed handoffs with named owners and escalation clocks so unresolved KYC/EDD items, missing documents, or noisy EWS hits cannot “age in inboxes.” KPMG (2025) operationalizes this via agenda templates (EWS/EDD first), minutes with owners and due dates, and pause rules that prevent approvals when evidence is stale or absent. In Islamic contexts, Islamic Financial Services Board (2024) stresses that form–substance proofs (asset evidence, possession/transfer, profit logic) must sit upstream; a standing cadence that couples these artefacts with KYC/EDD and pricing inputs upgrades onboarding quality by design. Al Rajhi Bank (2023) describes digital product factories and channels where such routines scale; here, cadence is the difference between early fixes and post-booking rework</w:t>
      </w:r>
      <w:r w:rsidRPr="002B2AC6">
        <w:rPr>
          <w:rFonts w:asciiTheme="majorBidi" w:hAnsiTheme="majorBidi" w:cstheme="majorBidi"/>
          <w:sz w:val="24"/>
          <w:szCs w:val="24"/>
          <w:rtl/>
        </w:rPr>
        <w:t>.</w:t>
      </w:r>
    </w:p>
    <w:p w14:paraId="207C42F7" w14:textId="77777777" w:rsidR="00E24D7C" w:rsidRDefault="002B2AC6" w:rsidP="002E6F27">
      <w:pPr>
        <w:pStyle w:val="a5"/>
        <w:numPr>
          <w:ilvl w:val="0"/>
          <w:numId w:val="50"/>
        </w:numPr>
        <w:bidi w:val="0"/>
        <w:spacing w:after="120" w:line="276" w:lineRule="auto"/>
        <w:jc w:val="both"/>
        <w:rPr>
          <w:rFonts w:asciiTheme="majorBidi" w:hAnsiTheme="majorBidi" w:cstheme="majorBidi"/>
          <w:sz w:val="24"/>
          <w:szCs w:val="24"/>
        </w:rPr>
      </w:pPr>
      <w:r w:rsidRPr="00E24D7C">
        <w:rPr>
          <w:rFonts w:asciiTheme="majorBidi" w:hAnsiTheme="majorBidi" w:cstheme="majorBidi"/>
          <w:sz w:val="24"/>
          <w:szCs w:val="24"/>
        </w:rPr>
        <w:t>Proposition P1 (expected positive sign)</w:t>
      </w:r>
      <w:r w:rsidRPr="00E24D7C">
        <w:rPr>
          <w:rFonts w:asciiTheme="majorBidi" w:hAnsiTheme="majorBidi" w:cstheme="majorBidi"/>
          <w:sz w:val="24"/>
          <w:szCs w:val="24"/>
          <w:rtl/>
        </w:rPr>
        <w:t>.</w:t>
      </w:r>
    </w:p>
    <w:p w14:paraId="5204F4A5" w14:textId="5AA99782" w:rsidR="00370164" w:rsidRPr="00E24D7C" w:rsidRDefault="002B2AC6" w:rsidP="00E24D7C">
      <w:pPr>
        <w:pStyle w:val="a5"/>
        <w:bidi w:val="0"/>
        <w:spacing w:after="120" w:line="276" w:lineRule="auto"/>
        <w:ind w:left="1004"/>
        <w:jc w:val="both"/>
        <w:rPr>
          <w:rFonts w:asciiTheme="majorBidi" w:hAnsiTheme="majorBidi" w:cstheme="majorBidi"/>
          <w:sz w:val="24"/>
          <w:szCs w:val="24"/>
        </w:rPr>
      </w:pPr>
      <w:r w:rsidRPr="00E24D7C">
        <w:rPr>
          <w:rFonts w:asciiTheme="majorBidi" w:hAnsiTheme="majorBidi" w:cstheme="majorBidi"/>
          <w:sz w:val="24"/>
          <w:szCs w:val="24"/>
        </w:rPr>
        <w:t>Higher communication cadence and quality</w:t>
      </w:r>
      <w:r w:rsidR="00B03C22">
        <w:rPr>
          <w:rFonts w:asciiTheme="majorBidi" w:hAnsiTheme="majorBidi" w:cstheme="majorBidi"/>
          <w:sz w:val="24"/>
          <w:szCs w:val="24"/>
        </w:rPr>
        <w:t>-</w:t>
      </w:r>
      <w:r w:rsidRPr="00E24D7C">
        <w:rPr>
          <w:rFonts w:asciiTheme="majorBidi" w:hAnsiTheme="majorBidi" w:cstheme="majorBidi"/>
          <w:sz w:val="24"/>
          <w:szCs w:val="24"/>
        </w:rPr>
        <w:t>measured by a cadence index (planned vs. held reviews, interval variance), breach-to-action latency (minutes), on-time sign-off %, and pre-deal EWS presence/hit-rate</w:t>
      </w:r>
      <w:r w:rsidR="00B03C22">
        <w:rPr>
          <w:rFonts w:asciiTheme="majorBidi" w:hAnsiTheme="majorBidi" w:cstheme="majorBidi"/>
          <w:sz w:val="24"/>
          <w:szCs w:val="24"/>
        </w:rPr>
        <w:t>-</w:t>
      </w:r>
      <w:r w:rsidRPr="00E24D7C">
        <w:rPr>
          <w:rFonts w:asciiTheme="majorBidi" w:hAnsiTheme="majorBidi" w:cstheme="majorBidi"/>
          <w:sz w:val="24"/>
          <w:szCs w:val="24"/>
        </w:rPr>
        <w:t>is associated with better Early Risk Identification &amp; Onboarding Quality (fewer onboarding defects, faster cures, and more complete pre-deal evidence).</w:t>
      </w:r>
    </w:p>
    <w:p w14:paraId="17A8CBBF" w14:textId="77777777" w:rsidR="00E60CAA" w:rsidRDefault="00E60CAA" w:rsidP="00E60CAA">
      <w:pPr>
        <w:pStyle w:val="3"/>
      </w:pPr>
      <w:bookmarkStart w:id="93" w:name="_Toc214621161"/>
      <w:r>
        <w:t>Information Sharing → Credit Discipline &amp; Outcomes</w:t>
      </w:r>
      <w:bookmarkEnd w:id="93"/>
    </w:p>
    <w:p w14:paraId="419D10F7" w14:textId="61628EB7" w:rsidR="00E60CAA" w:rsidRPr="00E60CAA" w:rsidRDefault="00E60CAA" w:rsidP="00E60CAA">
      <w:pPr>
        <w:bidi w:val="0"/>
        <w:spacing w:after="120" w:line="276" w:lineRule="auto"/>
        <w:ind w:firstLine="284"/>
        <w:jc w:val="both"/>
        <w:rPr>
          <w:rFonts w:asciiTheme="majorBidi" w:hAnsiTheme="majorBidi" w:cstheme="majorBidi"/>
          <w:sz w:val="24"/>
          <w:szCs w:val="24"/>
        </w:rPr>
      </w:pPr>
      <w:r w:rsidRPr="00E60CAA">
        <w:rPr>
          <w:rFonts w:asciiTheme="majorBidi" w:hAnsiTheme="majorBidi" w:cstheme="majorBidi"/>
          <w:sz w:val="24"/>
          <w:szCs w:val="24"/>
        </w:rPr>
        <w:t>Credit discipline improves when approvers see the same facts at the same time. Bank for International Settlements (2013) argues that prudential anchors</w:t>
      </w:r>
      <w:r w:rsidR="00B03C22">
        <w:rPr>
          <w:rFonts w:asciiTheme="majorBidi" w:hAnsiTheme="majorBidi" w:cstheme="majorBidi"/>
          <w:sz w:val="24"/>
          <w:szCs w:val="24"/>
        </w:rPr>
        <w:t>-</w:t>
      </w:r>
      <w:r w:rsidRPr="00E60CAA">
        <w:rPr>
          <w:rFonts w:asciiTheme="majorBidi" w:hAnsiTheme="majorBidi" w:cstheme="majorBidi"/>
          <w:sz w:val="24"/>
          <w:szCs w:val="24"/>
        </w:rPr>
        <w:t>HQLA/LCR signals, funding curves, tenor ladders</w:t>
      </w:r>
      <w:r w:rsidR="00B03C22">
        <w:rPr>
          <w:rFonts w:asciiTheme="majorBidi" w:hAnsiTheme="majorBidi" w:cstheme="majorBidi"/>
          <w:sz w:val="24"/>
          <w:szCs w:val="24"/>
        </w:rPr>
        <w:t>-</w:t>
      </w:r>
      <w:r w:rsidRPr="00E60CAA">
        <w:rPr>
          <w:rFonts w:asciiTheme="majorBidi" w:hAnsiTheme="majorBidi" w:cstheme="majorBidi"/>
          <w:sz w:val="24"/>
          <w:szCs w:val="24"/>
        </w:rPr>
        <w:t>must be visible at approval to bind pricing and tenor choices ex-ante; when these inputs sit outside the approval console, discretion expands and overrides rise. Financial Stability Board (2023) extends the argument from policy to seam design, noting that credit outcomes depend on whether shared indicators, decision logs, and escalation clocks are embedded in the workflow that Account Managers and Sales actually use. International Monetary Fund (2023) adds the macro lever: in higher-for-longer regimes, every hour of data staleness monetizes into mispricing and tenor misfit, so co-visibility and data freshness are not IT niceties but direct credit controls.</w:t>
      </w:r>
    </w:p>
    <w:p w14:paraId="41A09E82" w14:textId="77777777" w:rsidR="00E60CAA" w:rsidRPr="00E60CAA" w:rsidRDefault="00E60CAA" w:rsidP="00E60CAA">
      <w:pPr>
        <w:bidi w:val="0"/>
        <w:spacing w:after="120" w:line="276" w:lineRule="auto"/>
        <w:ind w:firstLine="284"/>
        <w:jc w:val="both"/>
        <w:rPr>
          <w:rFonts w:asciiTheme="majorBidi" w:hAnsiTheme="majorBidi" w:cstheme="majorBidi"/>
          <w:sz w:val="24"/>
          <w:szCs w:val="24"/>
        </w:rPr>
      </w:pPr>
      <w:r w:rsidRPr="00E60CAA">
        <w:rPr>
          <w:rFonts w:asciiTheme="majorBidi" w:hAnsiTheme="majorBidi" w:cstheme="majorBidi"/>
          <w:sz w:val="24"/>
          <w:szCs w:val="24"/>
        </w:rPr>
        <w:t>Embedded analytics convert co-visibility into disciplined action. Habel, Alavi, and Heinitz (2023) show that predictive insights alter sales behavior only when surfaced in the routine (e.g., CRM tiles and next-best actions), implying that pricing floors, covenant templates, and EWS hits must be co-located with the deal to narrow room for ad-hoc concessions. Lang, Peltonen, and Sarlin (2018) demonstrate that fixed feedback rhythms reduce false negatives in early warning; carried into approvals, those rhythms stabilize floor adherence and covenant selection. Islamic Financial Services Board (2024) makes the “same facts” point sharper for Islamic products: unless asset evidence, possession/transfer, and profit logic are co-visible with pricing and tenor inputs, later disputes surface as exceptions and covenant strain. Al Rajhi Bank (2023) describes digital product factories where this co-visibility can scale; KPMG (2025) translates it into lineage fields (source, refresh time, transformations) so approvers trust that funding curves and risk flags are decision-grade.</w:t>
      </w:r>
    </w:p>
    <w:p w14:paraId="49EDC5B5" w14:textId="4852E493" w:rsidR="00E60CAA" w:rsidRPr="00E24D7C" w:rsidRDefault="00E60CAA" w:rsidP="002E6F27">
      <w:pPr>
        <w:pStyle w:val="a5"/>
        <w:numPr>
          <w:ilvl w:val="0"/>
          <w:numId w:val="49"/>
        </w:numPr>
        <w:bidi w:val="0"/>
        <w:spacing w:after="120" w:line="276" w:lineRule="auto"/>
        <w:jc w:val="both"/>
        <w:rPr>
          <w:rFonts w:asciiTheme="majorBidi" w:hAnsiTheme="majorBidi" w:cstheme="majorBidi"/>
          <w:sz w:val="24"/>
          <w:szCs w:val="24"/>
        </w:rPr>
      </w:pPr>
      <w:r w:rsidRPr="00E24D7C">
        <w:rPr>
          <w:rFonts w:asciiTheme="majorBidi" w:hAnsiTheme="majorBidi" w:cstheme="majorBidi"/>
          <w:sz w:val="24"/>
          <w:szCs w:val="24"/>
        </w:rPr>
        <w:t>Proposition P2 (expected positive sign).</w:t>
      </w:r>
      <w:r w:rsidRPr="00E24D7C">
        <w:rPr>
          <w:rFonts w:asciiTheme="majorBidi" w:hAnsiTheme="majorBidi" w:cstheme="majorBidi"/>
          <w:sz w:val="24"/>
          <w:szCs w:val="24"/>
        </w:rPr>
        <w:br/>
        <w:t>Greater information sharing and data integration</w:t>
      </w:r>
      <w:r w:rsidR="00B03C22">
        <w:rPr>
          <w:rFonts w:asciiTheme="majorBidi" w:hAnsiTheme="majorBidi" w:cstheme="majorBidi"/>
          <w:sz w:val="24"/>
          <w:szCs w:val="24"/>
        </w:rPr>
        <w:t>-</w:t>
      </w:r>
      <w:r w:rsidRPr="00E24D7C">
        <w:rPr>
          <w:rFonts w:asciiTheme="majorBidi" w:hAnsiTheme="majorBidi" w:cstheme="majorBidi"/>
          <w:sz w:val="24"/>
          <w:szCs w:val="24"/>
        </w:rPr>
        <w:t>captured through a co-visibility score (shared fields present and used), data freshness in minutes, and lineage completeness</w:t>
      </w:r>
      <w:r w:rsidR="00B03C22">
        <w:rPr>
          <w:rFonts w:asciiTheme="majorBidi" w:hAnsiTheme="majorBidi" w:cstheme="majorBidi"/>
          <w:sz w:val="24"/>
          <w:szCs w:val="24"/>
        </w:rPr>
        <w:t>-</w:t>
      </w:r>
      <w:r w:rsidRPr="00E24D7C">
        <w:rPr>
          <w:rFonts w:asciiTheme="majorBidi" w:hAnsiTheme="majorBidi" w:cstheme="majorBidi"/>
          <w:sz w:val="24"/>
          <w:szCs w:val="24"/>
        </w:rPr>
        <w:t>is associated with stronger Credit Discipline &amp; Outcomes, evidenced by higher pricing-floor adherence, lower override frequency/severity, and fewer covenant breaches.</w:t>
      </w:r>
    </w:p>
    <w:p w14:paraId="1AD7C8F2" w14:textId="61F7DDA8" w:rsidR="00E24D7C" w:rsidRPr="00E24D7C" w:rsidRDefault="00E24D7C" w:rsidP="00E24D7C">
      <w:pPr>
        <w:pStyle w:val="3"/>
      </w:pPr>
      <w:bookmarkStart w:id="94" w:name="_Toc214621162"/>
      <w:r w:rsidRPr="00E24D7C">
        <w:t>KPI/Incentive Alignment → Liquidity &amp; Market-Risk Fit</w:t>
      </w:r>
      <w:bookmarkEnd w:id="94"/>
    </w:p>
    <w:p w14:paraId="6344B9B0" w14:textId="2700BEC1" w:rsidR="00E24D7C" w:rsidRPr="00E24D7C" w:rsidRDefault="00E24D7C" w:rsidP="00E24D7C">
      <w:pPr>
        <w:bidi w:val="0"/>
        <w:spacing w:after="120" w:line="276" w:lineRule="auto"/>
        <w:ind w:firstLine="284"/>
        <w:jc w:val="both"/>
        <w:rPr>
          <w:rFonts w:asciiTheme="majorBidi" w:hAnsiTheme="majorBidi" w:cstheme="majorBidi"/>
          <w:sz w:val="24"/>
          <w:szCs w:val="24"/>
        </w:rPr>
      </w:pPr>
      <w:r w:rsidRPr="00E24D7C">
        <w:rPr>
          <w:rFonts w:asciiTheme="majorBidi" w:hAnsiTheme="majorBidi" w:cstheme="majorBidi"/>
          <w:sz w:val="24"/>
          <w:szCs w:val="24"/>
        </w:rPr>
        <w:t>When scorecards reward risk-adjusted performance rather than sheer volume, funding and prudential signals get priced at origination instead of being repaired downstream. Bank for International Settlements (2013) makes the anchor explicit: LCR/HQLA requirements and funding-ladder constraints only shape behavior if they are internalized in pricing and tenor at approval. International Monetary Fund (2023) adds that in a higher-for-longer regime, any misalignment between incentives and funding realities monetizes into tenor stretch and price erosion</w:t>
      </w:r>
      <w:r w:rsidR="00B03C22">
        <w:rPr>
          <w:rFonts w:asciiTheme="majorBidi" w:hAnsiTheme="majorBidi" w:cstheme="majorBidi"/>
          <w:sz w:val="24"/>
          <w:szCs w:val="24"/>
        </w:rPr>
        <w:t>-</w:t>
      </w:r>
      <w:r w:rsidRPr="00E24D7C">
        <w:rPr>
          <w:rFonts w:asciiTheme="majorBidi" w:hAnsiTheme="majorBidi" w:cstheme="majorBidi"/>
          <w:sz w:val="24"/>
          <w:szCs w:val="24"/>
        </w:rPr>
        <w:t>classic liquidity/market-fit slippage. Financial Stability Board (2023) argues that incentives are part of the governance seam: if AM and Sales are measured on volume alone, the seam will systematically bypass liquidity cues, raise override pressure, and defer risk costs to surveillance. KPMG (2025) translates this into work design</w:t>
      </w:r>
      <w:r w:rsidR="00B03C22">
        <w:rPr>
          <w:rFonts w:asciiTheme="majorBidi" w:hAnsiTheme="majorBidi" w:cstheme="majorBidi"/>
          <w:sz w:val="24"/>
          <w:szCs w:val="24"/>
        </w:rPr>
        <w:t>-</w:t>
      </w:r>
      <w:r w:rsidRPr="00E24D7C">
        <w:rPr>
          <w:rFonts w:asciiTheme="majorBidi" w:hAnsiTheme="majorBidi" w:cstheme="majorBidi"/>
          <w:sz w:val="24"/>
          <w:szCs w:val="24"/>
        </w:rPr>
        <w:t>embed RAROC post-funding, override chargebacks, and delinquency penalties in the same scorecards that drive frontline decisions, with thresholds and SLAs tied to approval</w:t>
      </w:r>
      <w:r w:rsidRPr="00E24D7C">
        <w:rPr>
          <w:rFonts w:asciiTheme="majorBidi" w:hAnsiTheme="majorBidi" w:cstheme="majorBidi"/>
          <w:sz w:val="24"/>
          <w:szCs w:val="24"/>
          <w:rtl/>
        </w:rPr>
        <w:t>.</w:t>
      </w:r>
    </w:p>
    <w:p w14:paraId="5E94839B" w14:textId="0C851B71" w:rsidR="00E24D7C" w:rsidRDefault="00E24D7C" w:rsidP="00E24D7C">
      <w:pPr>
        <w:bidi w:val="0"/>
        <w:spacing w:after="120" w:line="276" w:lineRule="auto"/>
        <w:ind w:firstLine="284"/>
        <w:jc w:val="both"/>
        <w:rPr>
          <w:rFonts w:asciiTheme="majorBidi" w:hAnsiTheme="majorBidi" w:cstheme="majorBidi"/>
          <w:sz w:val="24"/>
          <w:szCs w:val="24"/>
        </w:rPr>
      </w:pPr>
      <w:r w:rsidRPr="00E24D7C">
        <w:rPr>
          <w:rFonts w:asciiTheme="majorBidi" w:hAnsiTheme="majorBidi" w:cstheme="majorBidi"/>
          <w:sz w:val="24"/>
          <w:szCs w:val="24"/>
        </w:rPr>
        <w:t>In Islamic product factories, alignment matters even more. Islamic Financial Services Board (2024) notes that form–substance constraints (asset evidence, possession/transfer, profit logic) narrow feasible tenor/pricing choices; when KPIs reward adherence to tenor ladders and pricing floors</w:t>
      </w:r>
      <w:r w:rsidR="00B03C22">
        <w:rPr>
          <w:rFonts w:asciiTheme="majorBidi" w:hAnsiTheme="majorBidi" w:cstheme="majorBidi"/>
          <w:sz w:val="24"/>
          <w:szCs w:val="24"/>
        </w:rPr>
        <w:t>-</w:t>
      </w:r>
      <w:r w:rsidRPr="00E24D7C">
        <w:rPr>
          <w:rFonts w:asciiTheme="majorBidi" w:hAnsiTheme="majorBidi" w:cstheme="majorBidi"/>
          <w:sz w:val="24"/>
          <w:szCs w:val="24"/>
        </w:rPr>
        <w:t>and penalize late Shariah defects</w:t>
      </w:r>
      <w:r w:rsidR="00B03C22">
        <w:rPr>
          <w:rFonts w:asciiTheme="majorBidi" w:hAnsiTheme="majorBidi" w:cstheme="majorBidi"/>
          <w:sz w:val="24"/>
          <w:szCs w:val="24"/>
        </w:rPr>
        <w:t>-</w:t>
      </w:r>
      <w:r w:rsidRPr="00E24D7C">
        <w:rPr>
          <w:rFonts w:asciiTheme="majorBidi" w:hAnsiTheme="majorBidi" w:cstheme="majorBidi"/>
          <w:sz w:val="24"/>
          <w:szCs w:val="24"/>
        </w:rPr>
        <w:t>the approval seam preserves HQLA composition and liquidity cushions rather than consuming them. Al Rajhi Bank (2023) describes digital workflows where these mechanics can be surfaced in CRM, allowing risk-adjusted targets to bind deal by deal</w:t>
      </w:r>
      <w:r w:rsidRPr="00E24D7C">
        <w:rPr>
          <w:rFonts w:asciiTheme="majorBidi" w:hAnsiTheme="majorBidi" w:cstheme="majorBidi"/>
          <w:sz w:val="24"/>
          <w:szCs w:val="24"/>
          <w:rtl/>
        </w:rPr>
        <w:t>.</w:t>
      </w:r>
    </w:p>
    <w:p w14:paraId="697A70A0" w14:textId="77777777" w:rsidR="00C3486F" w:rsidRPr="00E24D7C" w:rsidRDefault="00C3486F" w:rsidP="00C3486F">
      <w:pPr>
        <w:bidi w:val="0"/>
        <w:spacing w:after="120" w:line="276" w:lineRule="auto"/>
        <w:ind w:firstLine="284"/>
        <w:jc w:val="both"/>
        <w:rPr>
          <w:rFonts w:asciiTheme="majorBidi" w:hAnsiTheme="majorBidi" w:cstheme="majorBidi"/>
          <w:sz w:val="24"/>
          <w:szCs w:val="24"/>
        </w:rPr>
      </w:pPr>
    </w:p>
    <w:p w14:paraId="0FB45A08" w14:textId="77777777" w:rsidR="00E24D7C" w:rsidRDefault="00E24D7C" w:rsidP="002E6F27">
      <w:pPr>
        <w:pStyle w:val="a5"/>
        <w:numPr>
          <w:ilvl w:val="0"/>
          <w:numId w:val="51"/>
        </w:numPr>
        <w:bidi w:val="0"/>
        <w:spacing w:after="120" w:line="276" w:lineRule="auto"/>
        <w:jc w:val="both"/>
        <w:rPr>
          <w:rFonts w:asciiTheme="majorBidi" w:hAnsiTheme="majorBidi" w:cstheme="majorBidi"/>
          <w:sz w:val="24"/>
          <w:szCs w:val="24"/>
        </w:rPr>
      </w:pPr>
      <w:r w:rsidRPr="00E24D7C">
        <w:rPr>
          <w:rFonts w:asciiTheme="majorBidi" w:hAnsiTheme="majorBidi" w:cstheme="majorBidi"/>
          <w:sz w:val="24"/>
          <w:szCs w:val="24"/>
        </w:rPr>
        <w:t>Proposition P3 (expected positive sign)</w:t>
      </w:r>
      <w:r w:rsidRPr="00E24D7C">
        <w:rPr>
          <w:rFonts w:asciiTheme="majorBidi" w:hAnsiTheme="majorBidi" w:cstheme="majorBidi"/>
          <w:sz w:val="24"/>
          <w:szCs w:val="24"/>
          <w:rtl/>
        </w:rPr>
        <w:t>.</w:t>
      </w:r>
    </w:p>
    <w:p w14:paraId="51EE0D72" w14:textId="6C989156" w:rsidR="00370164" w:rsidRPr="00E24D7C" w:rsidRDefault="00E24D7C" w:rsidP="00E24D7C">
      <w:pPr>
        <w:pStyle w:val="a5"/>
        <w:bidi w:val="0"/>
        <w:spacing w:after="120" w:line="276" w:lineRule="auto"/>
        <w:ind w:left="1004"/>
        <w:jc w:val="both"/>
        <w:rPr>
          <w:rFonts w:asciiTheme="majorBidi" w:hAnsiTheme="majorBidi" w:cstheme="majorBidi"/>
          <w:sz w:val="24"/>
          <w:szCs w:val="24"/>
        </w:rPr>
      </w:pPr>
      <w:r w:rsidRPr="00E24D7C">
        <w:rPr>
          <w:rFonts w:asciiTheme="majorBidi" w:hAnsiTheme="majorBidi" w:cstheme="majorBidi"/>
          <w:sz w:val="24"/>
          <w:szCs w:val="24"/>
        </w:rPr>
        <w:t>Stronger KPI/Incentive alignment</w:t>
      </w:r>
      <w:r w:rsidR="00B03C22">
        <w:rPr>
          <w:rFonts w:asciiTheme="majorBidi" w:hAnsiTheme="majorBidi" w:cstheme="majorBidi"/>
          <w:sz w:val="24"/>
          <w:szCs w:val="24"/>
        </w:rPr>
        <w:t>-</w:t>
      </w:r>
      <w:r w:rsidRPr="00E24D7C">
        <w:rPr>
          <w:rFonts w:asciiTheme="majorBidi" w:hAnsiTheme="majorBidi" w:cstheme="majorBidi"/>
          <w:sz w:val="24"/>
          <w:szCs w:val="24"/>
        </w:rPr>
        <w:t>proxied by a risk-adjusted KPI index (RAROC after funding in scorecards, override chargebacks, delinquency penalties, plan-coverage %)</w:t>
      </w:r>
      <w:r w:rsidR="00B03C22">
        <w:rPr>
          <w:rFonts w:asciiTheme="majorBidi" w:hAnsiTheme="majorBidi" w:cstheme="majorBidi"/>
          <w:sz w:val="24"/>
          <w:szCs w:val="24"/>
        </w:rPr>
        <w:t>-</w:t>
      </w:r>
      <w:r w:rsidRPr="00E24D7C">
        <w:rPr>
          <w:rFonts w:asciiTheme="majorBidi" w:hAnsiTheme="majorBidi" w:cstheme="majorBidi"/>
          <w:sz w:val="24"/>
          <w:szCs w:val="24"/>
        </w:rPr>
        <w:t>is associated with tighter Liquidity &amp; Market-Risk Fit at Origination, evidenced by tenor-within-ladder, funding-curve imprint in price, and lower tenor-mismatch flags.</w:t>
      </w:r>
    </w:p>
    <w:p w14:paraId="5AAEA185" w14:textId="193F9B45" w:rsidR="00E24D7C" w:rsidRDefault="00E24D7C" w:rsidP="00E24D7C">
      <w:pPr>
        <w:pStyle w:val="3"/>
      </w:pPr>
      <w:bookmarkStart w:id="95" w:name="_Toc214621163"/>
      <w:r>
        <w:t>RACI/Escalation → Operational Resilience &amp; Third-Party Control</w:t>
      </w:r>
      <w:bookmarkEnd w:id="95"/>
    </w:p>
    <w:p w14:paraId="787761ED" w14:textId="5EDCD704" w:rsidR="00E24D7C" w:rsidRPr="00E24D7C" w:rsidRDefault="00E24D7C" w:rsidP="00E24D7C">
      <w:pPr>
        <w:bidi w:val="0"/>
        <w:spacing w:after="120" w:line="276" w:lineRule="auto"/>
        <w:ind w:firstLine="284"/>
        <w:jc w:val="both"/>
        <w:rPr>
          <w:rFonts w:asciiTheme="majorBidi" w:hAnsiTheme="majorBidi" w:cstheme="majorBidi"/>
          <w:sz w:val="24"/>
          <w:szCs w:val="24"/>
        </w:rPr>
      </w:pPr>
      <w:r w:rsidRPr="00E24D7C">
        <w:rPr>
          <w:rFonts w:asciiTheme="majorBidi" w:hAnsiTheme="majorBidi" w:cstheme="majorBidi"/>
          <w:sz w:val="24"/>
          <w:szCs w:val="24"/>
        </w:rPr>
        <w:t>RACI turns “who should act” into “who did act, by when, with what evidence.” Financial Stability Board (2023) treats incident handling and third-party oversight as seams, not silos</w:t>
      </w:r>
      <w:r w:rsidR="00B03C22">
        <w:rPr>
          <w:rFonts w:asciiTheme="majorBidi" w:hAnsiTheme="majorBidi" w:cstheme="majorBidi"/>
          <w:sz w:val="24"/>
          <w:szCs w:val="24"/>
        </w:rPr>
        <w:t>-</w:t>
      </w:r>
      <w:r w:rsidRPr="00E24D7C">
        <w:rPr>
          <w:rFonts w:asciiTheme="majorBidi" w:hAnsiTheme="majorBidi" w:cstheme="majorBidi"/>
          <w:sz w:val="24"/>
          <w:szCs w:val="24"/>
        </w:rPr>
        <w:t>performance depends on whether named owners, escalation clocks, and decision logs are embedded in the workflow that Account Managers and Sales actually use. KPMG (2025) operationalizes this seam logic into runbooks (degradation modes), SLA timers (detection→notification→workaround→recovery), and pause rules that temporarily halt approvals when inputs fail lineage or freshness checks; by design, these tools convert ambiguity into measurable MTTR and closure-quality outcomes. In Islamic settings, Islamic Financial Services Board (2024) adds a form–substance continuity requirement: even in incidents, evidence of asset, possession/transfer, and profit logic must remain auditable on a clock, or operational defects later surface as credit exceptions</w:t>
      </w:r>
      <w:r w:rsidR="00B03C22">
        <w:rPr>
          <w:rFonts w:asciiTheme="majorBidi" w:hAnsiTheme="majorBidi" w:cstheme="majorBidi"/>
          <w:sz w:val="24"/>
          <w:szCs w:val="24"/>
        </w:rPr>
        <w:t>-</w:t>
      </w:r>
      <w:r w:rsidRPr="00E24D7C">
        <w:rPr>
          <w:rFonts w:asciiTheme="majorBidi" w:hAnsiTheme="majorBidi" w:cstheme="majorBidi"/>
          <w:sz w:val="24"/>
          <w:szCs w:val="24"/>
        </w:rPr>
        <w:t>linking escalation design directly to risk effectiveness.</w:t>
      </w:r>
    </w:p>
    <w:p w14:paraId="16F4AF8B" w14:textId="4CFC768F" w:rsidR="00E24D7C" w:rsidRPr="00E24D7C" w:rsidRDefault="00E24D7C" w:rsidP="00E24D7C">
      <w:pPr>
        <w:bidi w:val="0"/>
        <w:spacing w:after="120" w:line="276" w:lineRule="auto"/>
        <w:ind w:firstLine="284"/>
        <w:jc w:val="both"/>
        <w:rPr>
          <w:rFonts w:asciiTheme="majorBidi" w:hAnsiTheme="majorBidi" w:cstheme="majorBidi"/>
          <w:sz w:val="24"/>
          <w:szCs w:val="24"/>
        </w:rPr>
      </w:pPr>
      <w:r w:rsidRPr="00E24D7C">
        <w:rPr>
          <w:rFonts w:asciiTheme="majorBidi" w:hAnsiTheme="majorBidi" w:cstheme="majorBidi"/>
          <w:sz w:val="24"/>
          <w:szCs w:val="24"/>
        </w:rPr>
        <w:t>Vendor rails raise the stakes. OECD (2022) notes that cloud, e-KYC, scoring, and CRM orchestration compress cycle time but concentrate operational dependencies in a few providers; U.S. supervisors (2024) make accountability explicit</w:t>
      </w:r>
      <w:r w:rsidR="00B03C22">
        <w:rPr>
          <w:rFonts w:asciiTheme="majorBidi" w:hAnsiTheme="majorBidi" w:cstheme="majorBidi"/>
          <w:sz w:val="24"/>
          <w:szCs w:val="24"/>
        </w:rPr>
        <w:t>-</w:t>
      </w:r>
      <w:r w:rsidRPr="00E24D7C">
        <w:rPr>
          <w:rFonts w:asciiTheme="majorBidi" w:hAnsiTheme="majorBidi" w:cstheme="majorBidi"/>
          <w:sz w:val="24"/>
          <w:szCs w:val="24"/>
        </w:rPr>
        <w:t>banks retain responsibility and must hard-wire monitoring rights, testing obligations, and exit paths into contracts and dashboards. International Monetary Fund (2023) warns that in higher-for-longer regimes, every hour of degraded pricing or KYC inputs monetizes into approval errors; thus, RACI ownership and escalation SLAs become economic controls, not mere compliance etiquette. Bank for International Settlements (2013) indirectly fixes what “recovery” must restore</w:t>
      </w:r>
      <w:r w:rsidR="00B03C22">
        <w:rPr>
          <w:rFonts w:asciiTheme="majorBidi" w:hAnsiTheme="majorBidi" w:cstheme="majorBidi"/>
          <w:sz w:val="24"/>
          <w:szCs w:val="24"/>
        </w:rPr>
        <w:t>-</w:t>
      </w:r>
      <w:r w:rsidRPr="00E24D7C">
        <w:rPr>
          <w:rFonts w:asciiTheme="majorBidi" w:hAnsiTheme="majorBidi" w:cstheme="majorBidi"/>
          <w:sz w:val="24"/>
          <w:szCs w:val="24"/>
        </w:rPr>
        <w:t>decision-grade funding curves, HQLA cues, and tenor ladders</w:t>
      </w:r>
      <w:r w:rsidR="00B03C22">
        <w:rPr>
          <w:rFonts w:asciiTheme="majorBidi" w:hAnsiTheme="majorBidi" w:cstheme="majorBidi"/>
          <w:sz w:val="24"/>
          <w:szCs w:val="24"/>
        </w:rPr>
        <w:t>-</w:t>
      </w:r>
      <w:r w:rsidRPr="00E24D7C">
        <w:rPr>
          <w:rFonts w:asciiTheme="majorBidi" w:hAnsiTheme="majorBidi" w:cstheme="majorBidi"/>
          <w:sz w:val="24"/>
          <w:szCs w:val="24"/>
        </w:rPr>
        <w:t>so lineage-verified restoration, not bare system uptime, is the resilience standard. In Al Rajhi Bank’s digital product factories, Al Rajhi Bank (2023) shows that these controls can be surfaced alongside approval consoles, allowing AM–Sales to apply pre-approved fallbacks and document tested failovers within SLA clocks</w:t>
      </w:r>
      <w:r w:rsidR="00B03C22">
        <w:rPr>
          <w:rFonts w:asciiTheme="majorBidi" w:hAnsiTheme="majorBidi" w:cstheme="majorBidi"/>
          <w:sz w:val="24"/>
          <w:szCs w:val="24"/>
        </w:rPr>
        <w:t>-</w:t>
      </w:r>
      <w:r w:rsidRPr="00E24D7C">
        <w:rPr>
          <w:rFonts w:asciiTheme="majorBidi" w:hAnsiTheme="majorBidi" w:cstheme="majorBidi"/>
          <w:sz w:val="24"/>
          <w:szCs w:val="24"/>
        </w:rPr>
        <w:t>tightening third-party control at the exact handoff where risk is booked.</w:t>
      </w:r>
    </w:p>
    <w:p w14:paraId="43FF3772" w14:textId="4D37ED10" w:rsidR="00E24D7C" w:rsidRPr="00E24D7C" w:rsidRDefault="00E24D7C" w:rsidP="002E6F27">
      <w:pPr>
        <w:pStyle w:val="a5"/>
        <w:numPr>
          <w:ilvl w:val="0"/>
          <w:numId w:val="52"/>
        </w:numPr>
        <w:bidi w:val="0"/>
        <w:spacing w:after="120" w:line="276" w:lineRule="auto"/>
        <w:jc w:val="both"/>
        <w:rPr>
          <w:rFonts w:asciiTheme="majorBidi" w:hAnsiTheme="majorBidi" w:cstheme="majorBidi"/>
          <w:sz w:val="24"/>
          <w:szCs w:val="24"/>
        </w:rPr>
      </w:pPr>
      <w:r w:rsidRPr="00E24D7C">
        <w:rPr>
          <w:rFonts w:asciiTheme="majorBidi" w:hAnsiTheme="majorBidi" w:cstheme="majorBidi"/>
          <w:sz w:val="24"/>
          <w:szCs w:val="24"/>
        </w:rPr>
        <w:t>Proposition P4 (expected positive sign).</w:t>
      </w:r>
      <w:r w:rsidRPr="00E24D7C">
        <w:rPr>
          <w:rFonts w:asciiTheme="majorBidi" w:hAnsiTheme="majorBidi" w:cstheme="majorBidi"/>
          <w:sz w:val="24"/>
          <w:szCs w:val="24"/>
        </w:rPr>
        <w:br/>
        <w:t>Greater RACI clarity and escalation discipline</w:t>
      </w:r>
      <w:r w:rsidR="00B03C22">
        <w:rPr>
          <w:rFonts w:asciiTheme="majorBidi" w:hAnsiTheme="majorBidi" w:cstheme="majorBidi"/>
          <w:sz w:val="24"/>
          <w:szCs w:val="24"/>
        </w:rPr>
        <w:t>-</w:t>
      </w:r>
      <w:r w:rsidRPr="00E24D7C">
        <w:rPr>
          <w:rFonts w:asciiTheme="majorBidi" w:hAnsiTheme="majorBidi" w:cstheme="majorBidi"/>
          <w:sz w:val="24"/>
          <w:szCs w:val="24"/>
        </w:rPr>
        <w:t>captured by a RACI clarity index, SLA conformance, dispute time-to-resolution, pause-rule activation, tested-failover %, decision-grade MTTR, and closure-quality scores</w:t>
      </w:r>
      <w:r w:rsidR="00B03C22">
        <w:rPr>
          <w:rFonts w:asciiTheme="majorBidi" w:hAnsiTheme="majorBidi" w:cstheme="majorBidi"/>
          <w:sz w:val="24"/>
          <w:szCs w:val="24"/>
        </w:rPr>
        <w:t>-</w:t>
      </w:r>
      <w:r w:rsidRPr="00E24D7C">
        <w:rPr>
          <w:rFonts w:asciiTheme="majorBidi" w:hAnsiTheme="majorBidi" w:cstheme="majorBidi"/>
          <w:sz w:val="24"/>
          <w:szCs w:val="24"/>
        </w:rPr>
        <w:t>is associated with higher Operational Resilience &amp; Third-Party Risk Control in the approvals pipeline.</w:t>
      </w:r>
    </w:p>
    <w:p w14:paraId="1FA15283" w14:textId="77777777" w:rsidR="00EF362F" w:rsidRDefault="00EF362F" w:rsidP="00EF362F">
      <w:pPr>
        <w:pStyle w:val="4"/>
      </w:pPr>
      <w:bookmarkStart w:id="96" w:name="_Toc214621164"/>
      <w:r>
        <w:t>Integrated narrative connecting the four mechanisms to the four outcomes</w:t>
      </w:r>
      <w:bookmarkEnd w:id="96"/>
    </w:p>
    <w:p w14:paraId="0AE7365F" w14:textId="4C1C7001" w:rsidR="00EF362F" w:rsidRPr="00EF362F" w:rsidRDefault="00EF362F" w:rsidP="00EF362F">
      <w:pPr>
        <w:bidi w:val="0"/>
        <w:spacing w:after="120" w:line="276" w:lineRule="auto"/>
        <w:ind w:firstLine="284"/>
        <w:jc w:val="both"/>
        <w:rPr>
          <w:rFonts w:asciiTheme="majorBidi" w:hAnsiTheme="majorBidi" w:cstheme="majorBidi"/>
          <w:sz w:val="24"/>
          <w:szCs w:val="24"/>
        </w:rPr>
      </w:pPr>
      <w:r w:rsidRPr="00EF362F">
        <w:rPr>
          <w:rFonts w:asciiTheme="majorBidi" w:hAnsiTheme="majorBidi" w:cstheme="majorBidi"/>
          <w:sz w:val="24"/>
          <w:szCs w:val="24"/>
        </w:rPr>
        <w:t xml:space="preserve">Taken together, the four AM–Sales mechanisms operate as a sequenced control loop that moves risk information from signal to decision to resilience. First, communication cadence pulls uncertainty </w:t>
      </w:r>
      <w:r w:rsidRPr="00EF362F">
        <w:rPr>
          <w:rFonts w:asciiTheme="majorBidi" w:hAnsiTheme="majorBidi" w:cstheme="majorBidi"/>
          <w:i/>
          <w:iCs/>
          <w:sz w:val="24"/>
          <w:szCs w:val="24"/>
        </w:rPr>
        <w:t>forward</w:t>
      </w:r>
      <w:r w:rsidRPr="00EF362F">
        <w:rPr>
          <w:rFonts w:asciiTheme="majorBidi" w:hAnsiTheme="majorBidi" w:cstheme="majorBidi"/>
          <w:sz w:val="24"/>
          <w:szCs w:val="24"/>
        </w:rPr>
        <w:t xml:space="preserve"> by forcing early review of KYC/EDD gaps and EWS hits; when meetings are time-boxed and actioned, weak files surface </w:t>
      </w:r>
      <w:r w:rsidRPr="00EF362F">
        <w:rPr>
          <w:rFonts w:asciiTheme="majorBidi" w:hAnsiTheme="majorBidi" w:cstheme="majorBidi"/>
          <w:i/>
          <w:iCs/>
          <w:sz w:val="24"/>
          <w:szCs w:val="24"/>
        </w:rPr>
        <w:t>pre-deal</w:t>
      </w:r>
      <w:r w:rsidRPr="00EF362F">
        <w:rPr>
          <w:rFonts w:asciiTheme="majorBidi" w:hAnsiTheme="majorBidi" w:cstheme="majorBidi"/>
          <w:sz w:val="24"/>
          <w:szCs w:val="24"/>
        </w:rPr>
        <w:t xml:space="preserve"> rather than </w:t>
      </w:r>
      <w:r w:rsidRPr="00EF362F">
        <w:rPr>
          <w:rFonts w:asciiTheme="majorBidi" w:hAnsiTheme="majorBidi" w:cstheme="majorBidi"/>
          <w:i/>
          <w:iCs/>
          <w:sz w:val="24"/>
          <w:szCs w:val="24"/>
        </w:rPr>
        <w:t>post-booking</w:t>
      </w:r>
      <w:r w:rsidRPr="00EF362F">
        <w:rPr>
          <w:rFonts w:asciiTheme="majorBidi" w:hAnsiTheme="majorBidi" w:cstheme="majorBidi"/>
          <w:sz w:val="24"/>
          <w:szCs w:val="24"/>
        </w:rPr>
        <w:t>, lifting Early Risk Identification &amp; Onboarding Quality (International Monetary Fund, 2023; Lang, Peltonen, &amp; Sarlin, 2018). Yet cadence only translates into disciplined approvals when the same actors see the same facts at the same time: information co-visibility</w:t>
      </w:r>
      <w:r w:rsidR="00B03C22">
        <w:rPr>
          <w:rFonts w:asciiTheme="majorBidi" w:hAnsiTheme="majorBidi" w:cstheme="majorBidi"/>
          <w:sz w:val="24"/>
          <w:szCs w:val="24"/>
        </w:rPr>
        <w:t>-</w:t>
      </w:r>
      <w:r w:rsidRPr="00EF362F">
        <w:rPr>
          <w:rFonts w:asciiTheme="majorBidi" w:hAnsiTheme="majorBidi" w:cstheme="majorBidi"/>
          <w:sz w:val="24"/>
          <w:szCs w:val="24"/>
        </w:rPr>
        <w:t>funding curves, HQLA/LCR flags, covenant templates, and Shariah proofs in one console</w:t>
      </w:r>
      <w:r w:rsidR="00B03C22">
        <w:rPr>
          <w:rFonts w:asciiTheme="majorBidi" w:hAnsiTheme="majorBidi" w:cstheme="majorBidi"/>
          <w:sz w:val="24"/>
          <w:szCs w:val="24"/>
        </w:rPr>
        <w:t>-</w:t>
      </w:r>
      <w:r w:rsidRPr="00EF362F">
        <w:rPr>
          <w:rFonts w:asciiTheme="majorBidi" w:hAnsiTheme="majorBidi" w:cstheme="majorBidi"/>
          <w:sz w:val="24"/>
          <w:szCs w:val="24"/>
        </w:rPr>
        <w:t>shrinks discretion, reduces overrides, and stabilizes covenant choice, strengthening Credit Discipline &amp; Outcomes (Bank for International Settlements, 2013; Islamic Financial Services Board, 2024; Habel, Alavi, &amp; Heinitz, 2023).</w:t>
      </w:r>
    </w:p>
    <w:p w14:paraId="631D98A0" w14:textId="302A5189" w:rsidR="00EF362F" w:rsidRPr="00EF362F" w:rsidRDefault="00EF362F" w:rsidP="00EF362F">
      <w:pPr>
        <w:bidi w:val="0"/>
        <w:spacing w:after="120" w:line="276" w:lineRule="auto"/>
        <w:ind w:firstLine="284"/>
        <w:jc w:val="both"/>
        <w:rPr>
          <w:rFonts w:asciiTheme="majorBidi" w:hAnsiTheme="majorBidi" w:cstheme="majorBidi"/>
          <w:sz w:val="24"/>
          <w:szCs w:val="24"/>
        </w:rPr>
      </w:pPr>
      <w:r w:rsidRPr="00EF362F">
        <w:rPr>
          <w:rFonts w:asciiTheme="majorBidi" w:hAnsiTheme="majorBidi" w:cstheme="majorBidi"/>
          <w:sz w:val="24"/>
          <w:szCs w:val="24"/>
        </w:rPr>
        <w:t xml:space="preserve">Next, even perfect visibility will drift if frontline rewards fight prudential logic. KPI/Incentive alignment internalizes LCR/HQLA constraints and funding ladders into price/tenor choices </w:t>
      </w:r>
      <w:r w:rsidRPr="00EF362F">
        <w:rPr>
          <w:rFonts w:asciiTheme="majorBidi" w:hAnsiTheme="majorBidi" w:cstheme="majorBidi"/>
          <w:i/>
          <w:iCs/>
          <w:sz w:val="24"/>
          <w:szCs w:val="24"/>
        </w:rPr>
        <w:t>at origination</w:t>
      </w:r>
      <w:r w:rsidRPr="00EF362F">
        <w:rPr>
          <w:rFonts w:asciiTheme="majorBidi" w:hAnsiTheme="majorBidi" w:cstheme="majorBidi"/>
          <w:sz w:val="24"/>
          <w:szCs w:val="24"/>
        </w:rPr>
        <w:t xml:space="preserve"> via RAROC post-funding, override chargebacks, and delinquency penalties; done well, approvals exhibit clear Liquidity &amp; Market-Risk Fit (Bank for International Settlements, 2013; International Monetary Fund, 2023). Finally, pipelines are stress-tested by vendor/cloud incidents; here RACI &amp; escalation clarity converts ambiguity into timers, pause rules, and tested failovers that restore decision-grade inputs</w:t>
      </w:r>
      <w:r w:rsidR="00B03C22">
        <w:rPr>
          <w:rFonts w:asciiTheme="majorBidi" w:hAnsiTheme="majorBidi" w:cstheme="majorBidi"/>
          <w:sz w:val="24"/>
          <w:szCs w:val="24"/>
        </w:rPr>
        <w:t>-</w:t>
      </w:r>
      <w:r w:rsidRPr="00EF362F">
        <w:rPr>
          <w:rFonts w:asciiTheme="majorBidi" w:hAnsiTheme="majorBidi" w:cstheme="majorBidi"/>
          <w:sz w:val="24"/>
          <w:szCs w:val="24"/>
        </w:rPr>
        <w:t>reducing MTTR and improving Third-Party Risk Control, not just IT uptime (Financial Stability Board, 2023; OECD, 2022; U.S. bank supervisors, 2024).</w:t>
      </w:r>
    </w:p>
    <w:p w14:paraId="01752239" w14:textId="5FA61D81" w:rsidR="00EF362F" w:rsidRPr="00EF362F" w:rsidRDefault="00EF362F" w:rsidP="00EF362F">
      <w:pPr>
        <w:bidi w:val="0"/>
        <w:spacing w:after="120" w:line="276" w:lineRule="auto"/>
        <w:ind w:firstLine="284"/>
        <w:jc w:val="both"/>
        <w:rPr>
          <w:rFonts w:asciiTheme="majorBidi" w:hAnsiTheme="majorBidi" w:cstheme="majorBidi"/>
          <w:sz w:val="24"/>
          <w:szCs w:val="24"/>
        </w:rPr>
      </w:pPr>
      <w:r w:rsidRPr="00EF362F">
        <w:rPr>
          <w:rFonts w:asciiTheme="majorBidi" w:hAnsiTheme="majorBidi" w:cstheme="majorBidi"/>
          <w:sz w:val="24"/>
          <w:szCs w:val="24"/>
        </w:rPr>
        <w:t xml:space="preserve">The mechanisms also reinforce each other. Cadence without co-visibility produces </w:t>
      </w:r>
      <w:r w:rsidRPr="00EF362F">
        <w:rPr>
          <w:rFonts w:asciiTheme="majorBidi" w:hAnsiTheme="majorBidi" w:cstheme="majorBidi"/>
          <w:i/>
          <w:iCs/>
          <w:sz w:val="24"/>
          <w:szCs w:val="24"/>
        </w:rPr>
        <w:t>discussion without decision</w:t>
      </w:r>
      <w:r w:rsidRPr="00EF362F">
        <w:rPr>
          <w:rFonts w:asciiTheme="majorBidi" w:hAnsiTheme="majorBidi" w:cstheme="majorBidi"/>
          <w:sz w:val="24"/>
          <w:szCs w:val="24"/>
        </w:rPr>
        <w:t xml:space="preserve">; co-visibility without incentives invites </w:t>
      </w:r>
      <w:r w:rsidRPr="00EF362F">
        <w:rPr>
          <w:rFonts w:asciiTheme="majorBidi" w:hAnsiTheme="majorBidi" w:cstheme="majorBidi"/>
          <w:i/>
          <w:iCs/>
          <w:sz w:val="24"/>
          <w:szCs w:val="24"/>
        </w:rPr>
        <w:t>visible non-compliance</w:t>
      </w:r>
      <w:r w:rsidRPr="00EF362F">
        <w:rPr>
          <w:rFonts w:asciiTheme="majorBidi" w:hAnsiTheme="majorBidi" w:cstheme="majorBidi"/>
          <w:sz w:val="24"/>
          <w:szCs w:val="24"/>
        </w:rPr>
        <w:t xml:space="preserve">; aligned incentives without RACI leaves </w:t>
      </w:r>
      <w:r w:rsidRPr="00EF362F">
        <w:rPr>
          <w:rFonts w:asciiTheme="majorBidi" w:hAnsiTheme="majorBidi" w:cstheme="majorBidi"/>
          <w:i/>
          <w:iCs/>
          <w:sz w:val="24"/>
          <w:szCs w:val="24"/>
        </w:rPr>
        <w:t>no one on the hook when rails degrade</w:t>
      </w:r>
      <w:r w:rsidRPr="00EF362F">
        <w:rPr>
          <w:rFonts w:asciiTheme="majorBidi" w:hAnsiTheme="majorBidi" w:cstheme="majorBidi"/>
          <w:sz w:val="24"/>
          <w:szCs w:val="24"/>
        </w:rPr>
        <w:t>. In Islamic product factories, upstream form–substance checkpoints</w:t>
      </w:r>
      <w:r w:rsidR="00B03C22">
        <w:rPr>
          <w:rFonts w:asciiTheme="majorBidi" w:hAnsiTheme="majorBidi" w:cstheme="majorBidi"/>
          <w:sz w:val="24"/>
          <w:szCs w:val="24"/>
        </w:rPr>
        <w:t>-</w:t>
      </w:r>
      <w:r w:rsidRPr="00EF362F">
        <w:rPr>
          <w:rFonts w:asciiTheme="majorBidi" w:hAnsiTheme="majorBidi" w:cstheme="majorBidi"/>
          <w:sz w:val="24"/>
          <w:szCs w:val="24"/>
        </w:rPr>
        <w:t>asset evidence, possession/transfer, profit logic</w:t>
      </w:r>
      <w:r w:rsidR="00B03C22">
        <w:rPr>
          <w:rFonts w:asciiTheme="majorBidi" w:hAnsiTheme="majorBidi" w:cstheme="majorBidi"/>
          <w:sz w:val="24"/>
          <w:szCs w:val="24"/>
        </w:rPr>
        <w:t>-</w:t>
      </w:r>
      <w:r w:rsidRPr="00EF362F">
        <w:rPr>
          <w:rFonts w:asciiTheme="majorBidi" w:hAnsiTheme="majorBidi" w:cstheme="majorBidi"/>
          <w:sz w:val="24"/>
          <w:szCs w:val="24"/>
        </w:rPr>
        <w:t>must travel through the same cadence, co-visibility, incentives, and RACI spine to prevent later enforceability and recognition defects, tightening all four DV dimensions simultaneously (Islamic Financial Services Board, 2024; KPMG, 2025). In Al Rajhi’s context of scale, digital channels, and deposit-anchored funding, these complementarities are economically material: small seam frictions scale rapidly into mispricing, tenor misfit, exception drift, and slow recoveries</w:t>
      </w:r>
      <w:r w:rsidR="00B03C22">
        <w:rPr>
          <w:rFonts w:asciiTheme="majorBidi" w:hAnsiTheme="majorBidi" w:cstheme="majorBidi"/>
          <w:sz w:val="24"/>
          <w:szCs w:val="24"/>
        </w:rPr>
        <w:t>-</w:t>
      </w:r>
      <w:r w:rsidRPr="00EF362F">
        <w:rPr>
          <w:rFonts w:asciiTheme="majorBidi" w:hAnsiTheme="majorBidi" w:cstheme="majorBidi"/>
          <w:sz w:val="24"/>
          <w:szCs w:val="24"/>
        </w:rPr>
        <w:t>precisely the outcomes the model is built to measure and, ultimately, to improve (Al Rajhi Bank, 2023; International Monetary Fund, 2023).</w:t>
      </w:r>
    </w:p>
    <w:p w14:paraId="2092A9F2" w14:textId="3EC316F4" w:rsidR="0076134A" w:rsidRPr="0076134A" w:rsidRDefault="0076134A" w:rsidP="0076134A">
      <w:pPr>
        <w:pStyle w:val="2"/>
      </w:pPr>
      <w:bookmarkStart w:id="97" w:name="_Toc214621165"/>
      <w:r w:rsidRPr="0076134A">
        <w:t>Conclusion</w:t>
      </w:r>
      <w:bookmarkEnd w:id="97"/>
    </w:p>
    <w:p w14:paraId="31477C54" w14:textId="20539A18" w:rsidR="0076134A" w:rsidRPr="0076134A" w:rsidRDefault="0076134A" w:rsidP="0076134A">
      <w:pPr>
        <w:bidi w:val="0"/>
        <w:spacing w:after="120" w:line="276" w:lineRule="auto"/>
        <w:ind w:firstLine="284"/>
        <w:jc w:val="both"/>
        <w:rPr>
          <w:rFonts w:asciiTheme="majorBidi" w:hAnsiTheme="majorBidi" w:cstheme="majorBidi"/>
          <w:sz w:val="24"/>
          <w:szCs w:val="24"/>
        </w:rPr>
      </w:pPr>
      <w:r w:rsidRPr="0076134A">
        <w:rPr>
          <w:rFonts w:asciiTheme="majorBidi" w:hAnsiTheme="majorBidi" w:cstheme="majorBidi"/>
          <w:sz w:val="24"/>
          <w:szCs w:val="24"/>
        </w:rPr>
        <w:t>This review shows that the AM–Sales seam transmits risk quality through four operational channels: (1) communication cadence that pulls KYC/EDD and EWS signals upstream (International Monetary Fund, 2023; Lang, Peltonen, &amp; Sarlin, 2018); (2) information co-visibility and lineage that make pricing floors, funding curves, HQLA/LCR flags, and Shariah proofs decision-grade at approval (Bank for International Settlements, 2013; Islamic Financial Services Board, 2024); (3) KPI/incentive alignment that internalizes prudential and funding constraints into price and tenor ex-ante (Bank for International Settlements, 2013; International Monetary Fund, 2023); and (4) RACI/escalation discipline that restores decision-quality inputs under vendor/cloud degradation (Financial Stability Board, 2023; KPMG, 2025). In Al Rajhi’s digital, Islamic product factories (Al Rajhi Bank, 2023), these channels are economically material and measurable. Accordingly, the chapter justifies four propositions: cadence → early identification/onboarding, co-visibility → credit discipline/outcomes, incentive alignment → liquidity/market-risk fit, and RACI/escalation → operational resilience/third-party control</w:t>
      </w:r>
      <w:r w:rsidR="00B03C22">
        <w:rPr>
          <w:rFonts w:asciiTheme="majorBidi" w:hAnsiTheme="majorBidi" w:cstheme="majorBidi"/>
          <w:sz w:val="24"/>
          <w:szCs w:val="24"/>
        </w:rPr>
        <w:t>-</w:t>
      </w:r>
      <w:r w:rsidRPr="0076134A">
        <w:rPr>
          <w:rFonts w:asciiTheme="majorBidi" w:hAnsiTheme="majorBidi" w:cstheme="majorBidi"/>
          <w:sz w:val="24"/>
          <w:szCs w:val="24"/>
        </w:rPr>
        <w:t>each with clear, time-stamped indicators (e.g., breach-to-action minutes, pricing-floor adherence, tenor-ladder fit, decision-grade MTTR)</w:t>
      </w:r>
      <w:r w:rsidRPr="0076134A">
        <w:rPr>
          <w:rFonts w:asciiTheme="majorBidi" w:hAnsiTheme="majorBidi" w:cstheme="majorBidi"/>
          <w:sz w:val="24"/>
          <w:szCs w:val="24"/>
          <w:rtl/>
        </w:rPr>
        <w:t>.</w:t>
      </w:r>
    </w:p>
    <w:p w14:paraId="6F21EEC8" w14:textId="03D24FC5" w:rsidR="00370164" w:rsidRDefault="00370164" w:rsidP="00370164">
      <w:pPr>
        <w:bidi w:val="0"/>
        <w:spacing w:after="120" w:line="276" w:lineRule="auto"/>
        <w:ind w:firstLine="284"/>
        <w:jc w:val="both"/>
        <w:rPr>
          <w:rFonts w:asciiTheme="majorBidi" w:hAnsiTheme="majorBidi" w:cstheme="majorBidi"/>
          <w:sz w:val="24"/>
          <w:szCs w:val="24"/>
        </w:rPr>
      </w:pPr>
    </w:p>
    <w:p w14:paraId="3832B133" w14:textId="0BC4B0FF" w:rsidR="00370164" w:rsidRDefault="00370164" w:rsidP="00370164">
      <w:pPr>
        <w:bidi w:val="0"/>
        <w:spacing w:after="120" w:line="276" w:lineRule="auto"/>
        <w:ind w:firstLine="284"/>
        <w:jc w:val="both"/>
        <w:rPr>
          <w:rFonts w:asciiTheme="majorBidi" w:hAnsiTheme="majorBidi" w:cstheme="majorBidi"/>
          <w:sz w:val="24"/>
          <w:szCs w:val="24"/>
        </w:rPr>
      </w:pPr>
    </w:p>
    <w:p w14:paraId="13C6D459" w14:textId="4DCD062A" w:rsidR="00370164" w:rsidRDefault="00370164" w:rsidP="00370164">
      <w:pPr>
        <w:bidi w:val="0"/>
        <w:spacing w:after="120" w:line="276" w:lineRule="auto"/>
        <w:ind w:firstLine="284"/>
        <w:jc w:val="both"/>
        <w:rPr>
          <w:rFonts w:asciiTheme="majorBidi" w:hAnsiTheme="majorBidi" w:cstheme="majorBidi"/>
          <w:sz w:val="24"/>
          <w:szCs w:val="24"/>
        </w:rPr>
      </w:pPr>
    </w:p>
    <w:p w14:paraId="4D725D10" w14:textId="3769068E" w:rsidR="00370164" w:rsidRDefault="00370164" w:rsidP="00370164">
      <w:pPr>
        <w:bidi w:val="0"/>
        <w:spacing w:after="120" w:line="276" w:lineRule="auto"/>
        <w:ind w:firstLine="284"/>
        <w:jc w:val="both"/>
        <w:rPr>
          <w:rFonts w:asciiTheme="majorBidi" w:hAnsiTheme="majorBidi" w:cstheme="majorBidi"/>
          <w:sz w:val="24"/>
          <w:szCs w:val="24"/>
        </w:rPr>
      </w:pPr>
    </w:p>
    <w:p w14:paraId="532D43F6" w14:textId="0A950E0F" w:rsidR="00370164" w:rsidRDefault="00370164" w:rsidP="00370164">
      <w:pPr>
        <w:bidi w:val="0"/>
        <w:spacing w:after="120" w:line="276" w:lineRule="auto"/>
        <w:ind w:firstLine="284"/>
        <w:jc w:val="both"/>
        <w:rPr>
          <w:rFonts w:asciiTheme="majorBidi" w:hAnsiTheme="majorBidi" w:cstheme="majorBidi"/>
          <w:sz w:val="24"/>
          <w:szCs w:val="24"/>
        </w:rPr>
      </w:pPr>
    </w:p>
    <w:p w14:paraId="13491930" w14:textId="765801B4" w:rsidR="00370164" w:rsidRDefault="00370164" w:rsidP="00370164">
      <w:pPr>
        <w:bidi w:val="0"/>
        <w:spacing w:after="120" w:line="276" w:lineRule="auto"/>
        <w:ind w:firstLine="284"/>
        <w:jc w:val="both"/>
        <w:rPr>
          <w:rFonts w:asciiTheme="majorBidi" w:hAnsiTheme="majorBidi" w:cstheme="majorBidi"/>
          <w:sz w:val="24"/>
          <w:szCs w:val="24"/>
        </w:rPr>
      </w:pPr>
    </w:p>
    <w:p w14:paraId="29464A3B" w14:textId="089A8C62" w:rsidR="00370164" w:rsidRDefault="00370164" w:rsidP="00370164">
      <w:pPr>
        <w:bidi w:val="0"/>
        <w:spacing w:after="120" w:line="276" w:lineRule="auto"/>
        <w:ind w:firstLine="284"/>
        <w:jc w:val="both"/>
        <w:rPr>
          <w:rFonts w:asciiTheme="majorBidi" w:hAnsiTheme="majorBidi" w:cstheme="majorBidi"/>
          <w:sz w:val="24"/>
          <w:szCs w:val="24"/>
        </w:rPr>
      </w:pPr>
    </w:p>
    <w:p w14:paraId="2C084200" w14:textId="53D8CEE5" w:rsidR="00370164" w:rsidRDefault="00370164" w:rsidP="00370164">
      <w:pPr>
        <w:bidi w:val="0"/>
        <w:spacing w:after="120" w:line="276" w:lineRule="auto"/>
        <w:ind w:firstLine="284"/>
        <w:jc w:val="both"/>
        <w:rPr>
          <w:rFonts w:asciiTheme="majorBidi" w:hAnsiTheme="majorBidi" w:cstheme="majorBidi"/>
          <w:sz w:val="24"/>
          <w:szCs w:val="24"/>
        </w:rPr>
      </w:pPr>
    </w:p>
    <w:p w14:paraId="3F85F950" w14:textId="11BA4EE7" w:rsidR="00370164" w:rsidRDefault="00370164" w:rsidP="00370164">
      <w:pPr>
        <w:bidi w:val="0"/>
        <w:spacing w:after="120" w:line="276" w:lineRule="auto"/>
        <w:ind w:firstLine="284"/>
        <w:jc w:val="both"/>
        <w:rPr>
          <w:rFonts w:asciiTheme="majorBidi" w:hAnsiTheme="majorBidi" w:cstheme="majorBidi"/>
          <w:sz w:val="24"/>
          <w:szCs w:val="24"/>
        </w:rPr>
      </w:pPr>
    </w:p>
    <w:p w14:paraId="3371A96B" w14:textId="2A7D3BE0" w:rsidR="00370164" w:rsidRDefault="00370164" w:rsidP="00370164">
      <w:pPr>
        <w:bidi w:val="0"/>
        <w:spacing w:after="120" w:line="276" w:lineRule="auto"/>
        <w:ind w:firstLine="284"/>
        <w:jc w:val="both"/>
        <w:rPr>
          <w:rFonts w:asciiTheme="majorBidi" w:hAnsiTheme="majorBidi" w:cstheme="majorBidi"/>
          <w:sz w:val="24"/>
          <w:szCs w:val="24"/>
        </w:rPr>
      </w:pPr>
    </w:p>
    <w:p w14:paraId="216EB73A" w14:textId="2F77DE0C" w:rsidR="00370164" w:rsidRDefault="00370164" w:rsidP="00370164">
      <w:pPr>
        <w:bidi w:val="0"/>
        <w:spacing w:after="120" w:line="276" w:lineRule="auto"/>
        <w:ind w:firstLine="284"/>
        <w:jc w:val="both"/>
        <w:rPr>
          <w:rFonts w:asciiTheme="majorBidi" w:hAnsiTheme="majorBidi" w:cstheme="majorBidi"/>
          <w:sz w:val="24"/>
          <w:szCs w:val="24"/>
        </w:rPr>
      </w:pPr>
    </w:p>
    <w:p w14:paraId="248E521F" w14:textId="02F127FD" w:rsidR="00370164" w:rsidRDefault="00370164" w:rsidP="00370164">
      <w:pPr>
        <w:bidi w:val="0"/>
        <w:spacing w:after="120" w:line="276" w:lineRule="auto"/>
        <w:ind w:firstLine="284"/>
        <w:jc w:val="both"/>
        <w:rPr>
          <w:rFonts w:asciiTheme="majorBidi" w:hAnsiTheme="majorBidi" w:cstheme="majorBidi"/>
          <w:sz w:val="24"/>
          <w:szCs w:val="24"/>
        </w:rPr>
      </w:pPr>
    </w:p>
    <w:p w14:paraId="7897B547" w14:textId="6F12509D" w:rsidR="00370164" w:rsidRDefault="00370164" w:rsidP="00370164">
      <w:pPr>
        <w:bidi w:val="0"/>
        <w:spacing w:after="120" w:line="276" w:lineRule="auto"/>
        <w:ind w:firstLine="284"/>
        <w:jc w:val="both"/>
        <w:rPr>
          <w:rFonts w:asciiTheme="majorBidi" w:hAnsiTheme="majorBidi" w:cstheme="majorBidi"/>
          <w:sz w:val="24"/>
          <w:szCs w:val="24"/>
        </w:rPr>
      </w:pPr>
    </w:p>
    <w:p w14:paraId="2CAB967D" w14:textId="4DB91233" w:rsidR="00370164" w:rsidRDefault="00370164" w:rsidP="00370164">
      <w:pPr>
        <w:bidi w:val="0"/>
        <w:spacing w:after="120" w:line="276" w:lineRule="auto"/>
        <w:ind w:firstLine="284"/>
        <w:jc w:val="both"/>
        <w:rPr>
          <w:rFonts w:asciiTheme="majorBidi" w:hAnsiTheme="majorBidi" w:cstheme="majorBidi"/>
          <w:sz w:val="24"/>
          <w:szCs w:val="24"/>
        </w:rPr>
      </w:pPr>
    </w:p>
    <w:p w14:paraId="1515EE88" w14:textId="77777777" w:rsidR="001B0B62" w:rsidRPr="00CE1E66" w:rsidRDefault="001B0B62" w:rsidP="004A51C2">
      <w:pPr>
        <w:pStyle w:val="1"/>
      </w:pPr>
      <w:bookmarkStart w:id="98" w:name="_Toc174813421"/>
      <w:bookmarkStart w:id="99" w:name="_Toc214621166"/>
      <w:r w:rsidRPr="00CE1E66">
        <w:t>Chapter 3 : Research Methodology</w:t>
      </w:r>
      <w:bookmarkEnd w:id="98"/>
      <w:bookmarkEnd w:id="99"/>
    </w:p>
    <w:p w14:paraId="4FFC11BB" w14:textId="14411FA8" w:rsidR="00370164" w:rsidRDefault="00370164" w:rsidP="00370164">
      <w:pPr>
        <w:bidi w:val="0"/>
        <w:spacing w:after="120" w:line="276" w:lineRule="auto"/>
        <w:ind w:firstLine="284"/>
        <w:jc w:val="both"/>
        <w:rPr>
          <w:rFonts w:asciiTheme="majorBidi" w:hAnsiTheme="majorBidi" w:cstheme="majorBidi"/>
          <w:sz w:val="24"/>
          <w:szCs w:val="24"/>
        </w:rPr>
      </w:pPr>
    </w:p>
    <w:p w14:paraId="21683903" w14:textId="365FFEC8" w:rsidR="00370164" w:rsidRDefault="00370164" w:rsidP="00370164">
      <w:pPr>
        <w:bidi w:val="0"/>
        <w:spacing w:after="120" w:line="276" w:lineRule="auto"/>
        <w:ind w:firstLine="284"/>
        <w:jc w:val="both"/>
        <w:rPr>
          <w:rFonts w:asciiTheme="majorBidi" w:hAnsiTheme="majorBidi" w:cstheme="majorBidi"/>
          <w:sz w:val="24"/>
          <w:szCs w:val="24"/>
        </w:rPr>
      </w:pPr>
    </w:p>
    <w:p w14:paraId="1BBE1E91" w14:textId="67A76755" w:rsidR="00370164" w:rsidRDefault="00370164" w:rsidP="00370164">
      <w:pPr>
        <w:bidi w:val="0"/>
        <w:spacing w:after="120" w:line="276" w:lineRule="auto"/>
        <w:ind w:firstLine="284"/>
        <w:jc w:val="both"/>
        <w:rPr>
          <w:rFonts w:asciiTheme="majorBidi" w:hAnsiTheme="majorBidi" w:cstheme="majorBidi"/>
          <w:sz w:val="24"/>
          <w:szCs w:val="24"/>
        </w:rPr>
      </w:pPr>
    </w:p>
    <w:p w14:paraId="1C340CBC" w14:textId="13D94E82" w:rsidR="00370164" w:rsidRDefault="00370164" w:rsidP="00370164">
      <w:pPr>
        <w:bidi w:val="0"/>
        <w:spacing w:after="120" w:line="276" w:lineRule="auto"/>
        <w:ind w:firstLine="284"/>
        <w:jc w:val="both"/>
        <w:rPr>
          <w:rFonts w:asciiTheme="majorBidi" w:hAnsiTheme="majorBidi" w:cstheme="majorBidi"/>
          <w:sz w:val="24"/>
          <w:szCs w:val="24"/>
        </w:rPr>
      </w:pPr>
    </w:p>
    <w:p w14:paraId="12A58C46" w14:textId="740311FF" w:rsidR="00370164" w:rsidRDefault="00370164" w:rsidP="00370164">
      <w:pPr>
        <w:bidi w:val="0"/>
        <w:spacing w:after="120" w:line="276" w:lineRule="auto"/>
        <w:ind w:firstLine="284"/>
        <w:jc w:val="both"/>
        <w:rPr>
          <w:rFonts w:asciiTheme="majorBidi" w:hAnsiTheme="majorBidi" w:cstheme="majorBidi"/>
          <w:sz w:val="24"/>
          <w:szCs w:val="24"/>
        </w:rPr>
      </w:pPr>
    </w:p>
    <w:p w14:paraId="34D66929" w14:textId="208D17BF" w:rsidR="00370164" w:rsidRDefault="00370164" w:rsidP="00370164">
      <w:pPr>
        <w:bidi w:val="0"/>
        <w:spacing w:after="120" w:line="276" w:lineRule="auto"/>
        <w:ind w:firstLine="284"/>
        <w:jc w:val="both"/>
        <w:rPr>
          <w:rFonts w:asciiTheme="majorBidi" w:hAnsiTheme="majorBidi" w:cstheme="majorBidi"/>
          <w:sz w:val="24"/>
          <w:szCs w:val="24"/>
        </w:rPr>
      </w:pPr>
    </w:p>
    <w:p w14:paraId="5FD4C9A9" w14:textId="014938FB" w:rsidR="00370164" w:rsidRDefault="00370164" w:rsidP="00370164">
      <w:pPr>
        <w:bidi w:val="0"/>
        <w:spacing w:after="120" w:line="276" w:lineRule="auto"/>
        <w:ind w:firstLine="284"/>
        <w:jc w:val="both"/>
        <w:rPr>
          <w:rFonts w:asciiTheme="majorBidi" w:hAnsiTheme="majorBidi" w:cstheme="majorBidi"/>
          <w:sz w:val="24"/>
          <w:szCs w:val="24"/>
        </w:rPr>
      </w:pPr>
    </w:p>
    <w:p w14:paraId="711BADD4" w14:textId="4DE88425" w:rsidR="00370164" w:rsidRDefault="00370164" w:rsidP="00370164">
      <w:pPr>
        <w:bidi w:val="0"/>
        <w:spacing w:after="120" w:line="276" w:lineRule="auto"/>
        <w:ind w:firstLine="284"/>
        <w:jc w:val="both"/>
        <w:rPr>
          <w:rFonts w:asciiTheme="majorBidi" w:hAnsiTheme="majorBidi" w:cstheme="majorBidi"/>
          <w:sz w:val="24"/>
          <w:szCs w:val="24"/>
        </w:rPr>
      </w:pPr>
    </w:p>
    <w:p w14:paraId="6C2254A2" w14:textId="7C15B8D8" w:rsidR="00370164" w:rsidRDefault="00370164" w:rsidP="00370164">
      <w:pPr>
        <w:bidi w:val="0"/>
        <w:spacing w:after="120" w:line="276" w:lineRule="auto"/>
        <w:ind w:firstLine="284"/>
        <w:jc w:val="both"/>
        <w:rPr>
          <w:rFonts w:asciiTheme="majorBidi" w:hAnsiTheme="majorBidi" w:cstheme="majorBidi"/>
          <w:sz w:val="24"/>
          <w:szCs w:val="24"/>
        </w:rPr>
      </w:pPr>
    </w:p>
    <w:p w14:paraId="6861292F" w14:textId="7275CD82" w:rsidR="00370164" w:rsidRDefault="00370164" w:rsidP="00370164">
      <w:pPr>
        <w:bidi w:val="0"/>
        <w:spacing w:after="120" w:line="276" w:lineRule="auto"/>
        <w:ind w:firstLine="284"/>
        <w:jc w:val="both"/>
        <w:rPr>
          <w:rFonts w:asciiTheme="majorBidi" w:hAnsiTheme="majorBidi" w:cstheme="majorBidi"/>
          <w:sz w:val="24"/>
          <w:szCs w:val="24"/>
        </w:rPr>
      </w:pPr>
    </w:p>
    <w:p w14:paraId="2C59E179" w14:textId="0F2BB281" w:rsidR="00370164" w:rsidRDefault="00370164" w:rsidP="00370164">
      <w:pPr>
        <w:bidi w:val="0"/>
        <w:spacing w:after="120" w:line="276" w:lineRule="auto"/>
        <w:ind w:firstLine="284"/>
        <w:jc w:val="both"/>
        <w:rPr>
          <w:rFonts w:asciiTheme="majorBidi" w:hAnsiTheme="majorBidi" w:cstheme="majorBidi"/>
          <w:sz w:val="24"/>
          <w:szCs w:val="24"/>
        </w:rPr>
      </w:pPr>
    </w:p>
    <w:p w14:paraId="1A6BC6A6" w14:textId="33B0823B" w:rsidR="00370164" w:rsidRDefault="00370164" w:rsidP="00370164">
      <w:pPr>
        <w:bidi w:val="0"/>
        <w:spacing w:after="120" w:line="276" w:lineRule="auto"/>
        <w:ind w:firstLine="284"/>
        <w:jc w:val="both"/>
        <w:rPr>
          <w:rFonts w:asciiTheme="majorBidi" w:hAnsiTheme="majorBidi" w:cstheme="majorBidi"/>
          <w:sz w:val="24"/>
          <w:szCs w:val="24"/>
        </w:rPr>
      </w:pPr>
    </w:p>
    <w:p w14:paraId="1580E68E" w14:textId="0D199641" w:rsidR="00370164" w:rsidRDefault="00370164" w:rsidP="00370164">
      <w:pPr>
        <w:bidi w:val="0"/>
        <w:spacing w:after="120" w:line="276" w:lineRule="auto"/>
        <w:ind w:firstLine="284"/>
        <w:jc w:val="both"/>
        <w:rPr>
          <w:rFonts w:asciiTheme="majorBidi" w:hAnsiTheme="majorBidi" w:cstheme="majorBidi"/>
          <w:sz w:val="24"/>
          <w:szCs w:val="24"/>
        </w:rPr>
      </w:pPr>
    </w:p>
    <w:p w14:paraId="29A5E5BA" w14:textId="5C6AC731" w:rsidR="00370164" w:rsidRDefault="00370164" w:rsidP="00370164">
      <w:pPr>
        <w:bidi w:val="0"/>
        <w:spacing w:after="120" w:line="276" w:lineRule="auto"/>
        <w:ind w:firstLine="284"/>
        <w:jc w:val="both"/>
        <w:rPr>
          <w:rFonts w:asciiTheme="majorBidi" w:hAnsiTheme="majorBidi" w:cstheme="majorBidi"/>
          <w:sz w:val="24"/>
          <w:szCs w:val="24"/>
        </w:rPr>
      </w:pPr>
    </w:p>
    <w:p w14:paraId="07688C9A" w14:textId="50E6B5B4" w:rsidR="00370164" w:rsidRDefault="00370164" w:rsidP="00370164">
      <w:pPr>
        <w:bidi w:val="0"/>
        <w:spacing w:after="120" w:line="276" w:lineRule="auto"/>
        <w:ind w:firstLine="284"/>
        <w:jc w:val="both"/>
        <w:rPr>
          <w:rFonts w:asciiTheme="majorBidi" w:hAnsiTheme="majorBidi" w:cstheme="majorBidi"/>
          <w:sz w:val="24"/>
          <w:szCs w:val="24"/>
        </w:rPr>
      </w:pPr>
    </w:p>
    <w:p w14:paraId="3DD5985A" w14:textId="464285FE" w:rsidR="00370164" w:rsidRDefault="00370164" w:rsidP="00370164">
      <w:pPr>
        <w:bidi w:val="0"/>
        <w:spacing w:after="120" w:line="276" w:lineRule="auto"/>
        <w:ind w:firstLine="284"/>
        <w:jc w:val="both"/>
        <w:rPr>
          <w:rFonts w:asciiTheme="majorBidi" w:hAnsiTheme="majorBidi" w:cstheme="majorBidi"/>
          <w:sz w:val="24"/>
          <w:szCs w:val="24"/>
        </w:rPr>
      </w:pPr>
    </w:p>
    <w:p w14:paraId="011B3E30" w14:textId="0D2D73E8" w:rsidR="00370164" w:rsidRDefault="00370164" w:rsidP="00370164">
      <w:pPr>
        <w:bidi w:val="0"/>
        <w:spacing w:after="120" w:line="276" w:lineRule="auto"/>
        <w:ind w:firstLine="284"/>
        <w:jc w:val="both"/>
        <w:rPr>
          <w:rFonts w:asciiTheme="majorBidi" w:hAnsiTheme="majorBidi" w:cstheme="majorBidi"/>
          <w:sz w:val="24"/>
          <w:szCs w:val="24"/>
        </w:rPr>
      </w:pPr>
    </w:p>
    <w:p w14:paraId="23C4552A" w14:textId="3E03EEFB" w:rsidR="00370164" w:rsidRDefault="00370164" w:rsidP="00370164">
      <w:pPr>
        <w:bidi w:val="0"/>
        <w:spacing w:after="120" w:line="276" w:lineRule="auto"/>
        <w:ind w:firstLine="284"/>
        <w:jc w:val="both"/>
        <w:rPr>
          <w:rFonts w:asciiTheme="majorBidi" w:hAnsiTheme="majorBidi" w:cstheme="majorBidi"/>
          <w:sz w:val="24"/>
          <w:szCs w:val="24"/>
        </w:rPr>
      </w:pPr>
    </w:p>
    <w:p w14:paraId="755EF5EF" w14:textId="77777777" w:rsidR="001B0B62" w:rsidRPr="008F02E0" w:rsidRDefault="001B0B62" w:rsidP="001B0B62">
      <w:pPr>
        <w:pStyle w:val="2"/>
        <w:rPr>
          <w:rFonts w:eastAsia="Times New Roman"/>
        </w:rPr>
      </w:pPr>
      <w:bookmarkStart w:id="100" w:name="_Toc167124269"/>
      <w:bookmarkStart w:id="101" w:name="_Toc174813422"/>
      <w:bookmarkStart w:id="102" w:name="_Toc214621167"/>
      <w:r w:rsidRPr="008F02E0">
        <w:rPr>
          <w:rFonts w:eastAsia="Times New Roman"/>
        </w:rPr>
        <w:t>Introduction</w:t>
      </w:r>
      <w:bookmarkEnd w:id="100"/>
      <w:bookmarkEnd w:id="101"/>
      <w:bookmarkEnd w:id="102"/>
    </w:p>
    <w:p w14:paraId="570DCDD4" w14:textId="77777777" w:rsidR="001B0B62" w:rsidRPr="001B0B62" w:rsidRDefault="001B0B62" w:rsidP="001B0B62">
      <w:pPr>
        <w:bidi w:val="0"/>
        <w:spacing w:after="120" w:line="276" w:lineRule="auto"/>
        <w:ind w:firstLine="284"/>
        <w:jc w:val="both"/>
        <w:rPr>
          <w:rFonts w:asciiTheme="majorBidi" w:hAnsiTheme="majorBidi" w:cstheme="majorBidi"/>
          <w:sz w:val="24"/>
          <w:szCs w:val="24"/>
        </w:rPr>
      </w:pPr>
      <w:r w:rsidRPr="001B0B62">
        <w:rPr>
          <w:rFonts w:asciiTheme="majorBidi" w:hAnsiTheme="majorBidi" w:cstheme="majorBidi"/>
          <w:sz w:val="24"/>
          <w:szCs w:val="24"/>
        </w:rPr>
        <w:t>This section explains the methodology that was applied in the current project, in order to answer the study questions and test the study hypotheses. The following titles explain, the operational definitions for the research variables, and what has been applied, as follows:</w:t>
      </w:r>
    </w:p>
    <w:p w14:paraId="16579848" w14:textId="77777777" w:rsidR="007B4A92" w:rsidRPr="007B4A92" w:rsidRDefault="007B4A92" w:rsidP="007B4A92">
      <w:pPr>
        <w:pStyle w:val="2"/>
      </w:pPr>
      <w:bookmarkStart w:id="103" w:name="_Toc214621168"/>
      <w:r w:rsidRPr="007B4A92">
        <w:t>Operational definitions for research variables</w:t>
      </w:r>
      <w:bookmarkEnd w:id="103"/>
      <w:r w:rsidRPr="007B4A92">
        <w:rPr>
          <w:rtl/>
          <w:lang w:bidi="ar-SA"/>
        </w:rPr>
        <w:t xml:space="preserve"> </w:t>
      </w:r>
    </w:p>
    <w:p w14:paraId="2A27CB9A" w14:textId="3979AFDD" w:rsidR="00370164" w:rsidRDefault="007B4A92" w:rsidP="007B4A92">
      <w:pPr>
        <w:bidi w:val="0"/>
        <w:spacing w:after="120" w:line="276" w:lineRule="auto"/>
        <w:ind w:firstLine="284"/>
        <w:jc w:val="both"/>
        <w:rPr>
          <w:rFonts w:asciiTheme="majorBidi" w:hAnsiTheme="majorBidi" w:cstheme="majorBidi"/>
          <w:sz w:val="24"/>
          <w:szCs w:val="24"/>
        </w:rPr>
      </w:pPr>
      <w:r w:rsidRPr="007B4A92">
        <w:rPr>
          <w:rFonts w:asciiTheme="majorBidi" w:hAnsiTheme="majorBidi" w:cstheme="majorBidi"/>
          <w:sz w:val="24"/>
          <w:szCs w:val="24"/>
        </w:rPr>
        <w:t>In research studies, operational definitions are key in clearly defining the variables being measured. An operational definition describes how a variable will be measured, observed, or manipulated. It helps researchers ensure that their studies are consistent, reliable, and valid.</w:t>
      </w:r>
    </w:p>
    <w:p w14:paraId="5A0044C8" w14:textId="77777777" w:rsidR="00E77952" w:rsidRDefault="00E77952" w:rsidP="00E77952">
      <w:pPr>
        <w:pStyle w:val="3"/>
      </w:pPr>
      <w:bookmarkStart w:id="104" w:name="_Toc214621169"/>
      <w:r>
        <w:t>Functional Relationship Between Account Managers and Sales Teams (Independent variable)</w:t>
      </w:r>
      <w:bookmarkEnd w:id="104"/>
    </w:p>
    <w:p w14:paraId="575B8A77" w14:textId="34099150" w:rsidR="00E77952" w:rsidRPr="00E77952" w:rsidRDefault="00E77952" w:rsidP="00E77952">
      <w:pPr>
        <w:bidi w:val="0"/>
        <w:spacing w:after="120" w:line="276" w:lineRule="auto"/>
        <w:ind w:firstLine="284"/>
        <w:jc w:val="both"/>
        <w:rPr>
          <w:rFonts w:asciiTheme="majorBidi" w:hAnsiTheme="majorBidi" w:cstheme="majorBidi"/>
          <w:sz w:val="24"/>
          <w:szCs w:val="24"/>
        </w:rPr>
      </w:pPr>
      <w:r w:rsidRPr="00E77952">
        <w:rPr>
          <w:rFonts w:asciiTheme="majorBidi" w:hAnsiTheme="majorBidi" w:cstheme="majorBidi"/>
          <w:sz w:val="24"/>
          <w:szCs w:val="24"/>
        </w:rPr>
        <w:t>This construct captures how effectively Account Managers (AMs) and Sales Teams coordinate to win and service clients within Al Rajhi Bank. It reflects the quality, frequency, and structure of their interaction, the robustness of shared data flows, the alignment of performance targets and incentives, and the clarity of decision rights and escalation paths (e.g., RACI-style responsibility mapping). Strong AM–Sales “functional fit” should reduce ambiguity, speed risk-aware decisions, and improve end-to-end client handling.</w:t>
      </w:r>
    </w:p>
    <w:p w14:paraId="22BAF822" w14:textId="3B767AAF" w:rsidR="00E77952" w:rsidRDefault="00E77952" w:rsidP="00E77952">
      <w:pPr>
        <w:pStyle w:val="3"/>
      </w:pPr>
      <w:bookmarkStart w:id="105" w:name="_Toc214621170"/>
      <w:r>
        <w:t>Risk Management Effectiveness (Dependent variable)</w:t>
      </w:r>
      <w:bookmarkEnd w:id="105"/>
    </w:p>
    <w:p w14:paraId="79CE0731" w14:textId="5E4A0E0F" w:rsidR="00E77952" w:rsidRPr="00E77952" w:rsidRDefault="00E77952" w:rsidP="00E77952">
      <w:pPr>
        <w:bidi w:val="0"/>
        <w:spacing w:after="120" w:line="276" w:lineRule="auto"/>
        <w:ind w:firstLine="284"/>
        <w:jc w:val="both"/>
        <w:rPr>
          <w:rFonts w:asciiTheme="majorBidi" w:hAnsiTheme="majorBidi" w:cstheme="majorBidi"/>
          <w:sz w:val="24"/>
          <w:szCs w:val="24"/>
        </w:rPr>
      </w:pPr>
      <w:r w:rsidRPr="00E77952">
        <w:rPr>
          <w:rFonts w:asciiTheme="majorBidi" w:hAnsiTheme="majorBidi" w:cstheme="majorBidi"/>
          <w:sz w:val="24"/>
          <w:szCs w:val="24"/>
        </w:rPr>
        <w:t>Risk management effectiveness is the degree to which the bank’s practices consistently identify, assess, decide on, and control risks at origination and through the client life cycle</w:t>
      </w:r>
      <w:r w:rsidR="00B03C22">
        <w:rPr>
          <w:rFonts w:asciiTheme="majorBidi" w:hAnsiTheme="majorBidi" w:cstheme="majorBidi"/>
          <w:sz w:val="24"/>
          <w:szCs w:val="24"/>
        </w:rPr>
        <w:t>-</w:t>
      </w:r>
      <w:r w:rsidRPr="00E77952">
        <w:rPr>
          <w:rFonts w:asciiTheme="majorBidi" w:hAnsiTheme="majorBidi" w:cstheme="majorBidi"/>
          <w:sz w:val="24"/>
          <w:szCs w:val="24"/>
        </w:rPr>
        <w:t>producing stable credit outcomes, adequate liquidity buffers, fit-for-purpose market-risk positioning, and resilient operations. The construct follows recognized risk-management guidance (ISO 31000) and banking principles (Basel Committee), adapted to origination and frontline collaboration contexts.</w:t>
      </w:r>
    </w:p>
    <w:p w14:paraId="358F1474" w14:textId="77777777" w:rsidR="00E77952" w:rsidRPr="008F02E0" w:rsidRDefault="00E77952" w:rsidP="00E77952">
      <w:pPr>
        <w:pStyle w:val="2"/>
        <w:rPr>
          <w:rFonts w:eastAsia="Times New Roman"/>
        </w:rPr>
      </w:pPr>
      <w:bookmarkStart w:id="106" w:name="_Toc174813424"/>
      <w:bookmarkStart w:id="107" w:name="_Toc214621171"/>
      <w:bookmarkStart w:id="108" w:name="_Toc167124271"/>
      <w:r w:rsidRPr="008F02E0">
        <w:rPr>
          <w:rFonts w:eastAsia="Times New Roman"/>
        </w:rPr>
        <w:t>Research design</w:t>
      </w:r>
      <w:bookmarkEnd w:id="106"/>
      <w:bookmarkEnd w:id="107"/>
      <w:r w:rsidRPr="008F02E0">
        <w:rPr>
          <w:rFonts w:eastAsia="Times New Roman"/>
        </w:rPr>
        <w:t xml:space="preserve"> </w:t>
      </w:r>
      <w:bookmarkEnd w:id="108"/>
    </w:p>
    <w:p w14:paraId="4D108779" w14:textId="77777777"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In this template, we’ll present a structure that covers five important methodological matters (as outlined above). This structure is loosely based on “research onion”.</w:t>
      </w:r>
    </w:p>
    <w:p w14:paraId="0E2A04ED" w14:textId="77777777" w:rsidR="00E77952" w:rsidRPr="008F02E0" w:rsidRDefault="00E77952" w:rsidP="00E77952">
      <w:pPr>
        <w:pStyle w:val="3"/>
      </w:pPr>
      <w:bookmarkStart w:id="109" w:name="_Hlk172911966"/>
      <w:bookmarkStart w:id="110" w:name="_Toc164261022"/>
      <w:bookmarkStart w:id="111" w:name="_Toc164261264"/>
      <w:bookmarkStart w:id="112" w:name="_Toc174813425"/>
      <w:bookmarkStart w:id="113" w:name="_Toc214621172"/>
      <w:r w:rsidRPr="008F02E0">
        <w:t>Research Design</w:t>
      </w:r>
      <w:bookmarkEnd w:id="109"/>
      <w:r w:rsidRPr="008F02E0">
        <w:t>:</w:t>
      </w:r>
      <w:bookmarkEnd w:id="110"/>
      <w:bookmarkEnd w:id="111"/>
      <w:bookmarkEnd w:id="112"/>
      <w:bookmarkEnd w:id="113"/>
    </w:p>
    <w:p w14:paraId="7D0BB503" w14:textId="396A35C9"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Research Philosophy: Positivist</w:t>
      </w:r>
    </w:p>
    <w:p w14:paraId="452C27C7" w14:textId="77777777"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Research Approach: Deductive</w:t>
      </w:r>
    </w:p>
    <w:p w14:paraId="49FEE884" w14:textId="04FD2FAF"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Research Strategy: Case study.</w:t>
      </w:r>
    </w:p>
    <w:p w14:paraId="532AE705" w14:textId="2D5540AA"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Research Choice: Quantitative</w:t>
      </w:r>
    </w:p>
    <w:p w14:paraId="2FED8734" w14:textId="77777777"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Time Horizon: Cross-sectional</w:t>
      </w:r>
    </w:p>
    <w:p w14:paraId="4668AE4E" w14:textId="415D7BF3" w:rsidR="00E77952" w:rsidRPr="00EF692F" w:rsidRDefault="00E77952" w:rsidP="00EF692F">
      <w:pPr>
        <w:bidi w:val="0"/>
        <w:spacing w:after="120" w:line="276" w:lineRule="auto"/>
        <w:ind w:firstLine="284"/>
        <w:jc w:val="both"/>
        <w:rPr>
          <w:rFonts w:asciiTheme="majorBidi" w:hAnsiTheme="majorBidi" w:cstheme="majorBidi"/>
          <w:sz w:val="24"/>
          <w:szCs w:val="24"/>
        </w:rPr>
      </w:pPr>
      <w:r w:rsidRPr="00EF692F">
        <w:rPr>
          <w:rFonts w:asciiTheme="majorBidi" w:hAnsiTheme="majorBidi" w:cstheme="majorBidi"/>
          <w:sz w:val="24"/>
          <w:szCs w:val="24"/>
        </w:rPr>
        <w:t>Data Collection and Analysais Techniques : Questionnaire</w:t>
      </w:r>
    </w:p>
    <w:p w14:paraId="46895411" w14:textId="3C52509A" w:rsidR="00E77952" w:rsidRDefault="00E77952" w:rsidP="00166BB3">
      <w:pPr>
        <w:pStyle w:val="ad"/>
      </w:pPr>
      <w:bookmarkStart w:id="114" w:name="_Toc214619906"/>
      <w:bookmarkStart w:id="115" w:name="_Toc214622038"/>
      <w:r>
        <w:t xml:space="preserve">Figure </w:t>
      </w:r>
      <w:r>
        <w:fldChar w:fldCharType="begin"/>
      </w:r>
      <w:r>
        <w:instrText xml:space="preserve"> SEQ Figure \* ARABIC </w:instrText>
      </w:r>
      <w:r>
        <w:fldChar w:fldCharType="separate"/>
      </w:r>
      <w:r w:rsidR="00CD4CCF">
        <w:t>3</w:t>
      </w:r>
      <w:r>
        <w:fldChar w:fldCharType="end"/>
      </w:r>
      <w:r>
        <w:t xml:space="preserve">: </w:t>
      </w:r>
      <w:r w:rsidRPr="002F3623">
        <w:t>Research Design</w:t>
      </w:r>
      <w:bookmarkEnd w:id="114"/>
      <w:bookmarkEnd w:id="115"/>
    </w:p>
    <w:p w14:paraId="38AC2D69" w14:textId="60034485" w:rsidR="00370164" w:rsidRDefault="00370164" w:rsidP="00E77952">
      <w:pPr>
        <w:bidi w:val="0"/>
        <w:spacing w:after="120" w:line="276" w:lineRule="auto"/>
        <w:ind w:firstLine="284"/>
        <w:jc w:val="both"/>
        <w:rPr>
          <w:rFonts w:asciiTheme="majorBidi" w:hAnsiTheme="majorBidi" w:cstheme="majorBidi"/>
          <w:sz w:val="24"/>
          <w:szCs w:val="24"/>
          <w:lang w:val="fr-FR"/>
        </w:rPr>
      </w:pPr>
    </w:p>
    <w:p w14:paraId="7868866B" w14:textId="38A2CD28" w:rsidR="00EF692F" w:rsidRPr="00E77952" w:rsidRDefault="00EF692F" w:rsidP="00EF692F">
      <w:pPr>
        <w:bidi w:val="0"/>
        <w:spacing w:after="120" w:line="276" w:lineRule="auto"/>
        <w:ind w:firstLine="284"/>
        <w:jc w:val="both"/>
        <w:rPr>
          <w:rFonts w:asciiTheme="majorBidi" w:hAnsiTheme="majorBidi" w:cstheme="majorBidi"/>
          <w:sz w:val="24"/>
          <w:szCs w:val="24"/>
          <w:lang w:val="fr-FR"/>
        </w:rPr>
      </w:pPr>
      <w:r>
        <w:rPr>
          <w:noProof/>
        </w:rPr>
        <mc:AlternateContent>
          <mc:Choice Requires="wpg">
            <w:drawing>
              <wp:inline distT="0" distB="0" distL="0" distR="0" wp14:anchorId="58A53E6A" wp14:editId="538A5FCD">
                <wp:extent cx="6301105" cy="3401695"/>
                <wp:effectExtent l="0" t="0" r="23495" b="27305"/>
                <wp:docPr id="475568537" name="Group 28"/>
                <wp:cNvGraphicFramePr/>
                <a:graphic xmlns:a="http://schemas.openxmlformats.org/drawingml/2006/main">
                  <a:graphicData uri="http://schemas.microsoft.com/office/word/2010/wordprocessingGroup">
                    <wpg:wgp>
                      <wpg:cNvGrpSpPr/>
                      <wpg:grpSpPr>
                        <a:xfrm>
                          <a:off x="0" y="0"/>
                          <a:ext cx="6301105" cy="3401695"/>
                          <a:chOff x="0" y="0"/>
                          <a:chExt cx="6301211" cy="3402214"/>
                        </a:xfrm>
                      </wpg:grpSpPr>
                      <wps:wsp>
                        <wps:cNvPr id="1431686797" name="Text Box 16"/>
                        <wps:cNvSpPr txBox="1"/>
                        <wps:spPr>
                          <a:xfrm>
                            <a:off x="4608213" y="144856"/>
                            <a:ext cx="1629624" cy="371192"/>
                          </a:xfrm>
                          <a:prstGeom prst="rect">
                            <a:avLst/>
                          </a:prstGeom>
                          <a:solidFill>
                            <a:schemeClr val="lt1"/>
                          </a:solidFill>
                          <a:ln w="6350">
                            <a:solidFill>
                              <a:prstClr val="black"/>
                            </a:solidFill>
                          </a:ln>
                        </wps:spPr>
                        <wps:txbx>
                          <w:txbxContent>
                            <w:p w14:paraId="4A08B408" w14:textId="77777777" w:rsidR="00EF692F" w:rsidRDefault="00EF692F" w:rsidP="00EF692F">
                              <w:r>
                                <w:rPr>
                                  <w:rFonts w:asciiTheme="majorBidi" w:hAnsiTheme="majorBidi" w:cstheme="majorBidi"/>
                                  <w:b/>
                                  <w:bCs/>
                                  <w:sz w:val="24"/>
                                  <w:szCs w:val="24"/>
                                </w:rPr>
                                <w:t>Research Philosophy</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742241606" name="Group 1742241606"/>
                        <wpg:cNvGrpSpPr/>
                        <wpg:grpSpPr>
                          <a:xfrm>
                            <a:off x="0" y="0"/>
                            <a:ext cx="6301211" cy="3402214"/>
                            <a:chOff x="0" y="0"/>
                            <a:chExt cx="6301211" cy="3402214"/>
                          </a:xfrm>
                        </wpg:grpSpPr>
                        <wps:wsp>
                          <wps:cNvPr id="174464148" name="شكل بيضاوي 30"/>
                          <wps:cNvSpPr/>
                          <wps:spPr>
                            <a:xfrm>
                              <a:off x="0" y="0"/>
                              <a:ext cx="4333562" cy="3402214"/>
                            </a:xfrm>
                            <a:prstGeom prst="ellipse">
                              <a:avLst/>
                            </a:prstGeom>
                            <a:gradFill>
                              <a:gsLst>
                                <a:gs pos="0">
                                  <a:srgbClr val="8C8C8C"/>
                                </a:gs>
                                <a:gs pos="100000">
                                  <a:srgbClr val="404040"/>
                                </a:gs>
                              </a:gsLst>
                              <a:lin ang="5400012" scaled="0"/>
                            </a:gradFill>
                            <a:ln w="9525" cap="flat" cmpd="sng">
                              <a:solidFill>
                                <a:srgbClr val="000000"/>
                              </a:solidFill>
                              <a:prstDash val="solid"/>
                              <a:round/>
                              <a:headEnd type="none" w="sm" len="sm"/>
                              <a:tailEnd type="none" w="sm" len="sm"/>
                            </a:ln>
                          </wps:spPr>
                          <wps:txbx>
                            <w:txbxContent>
                              <w:p w14:paraId="4AEF6EF2" w14:textId="77777777" w:rsidR="00EF692F" w:rsidRDefault="00EF692F" w:rsidP="00EF692F">
                                <w:pPr>
                                  <w:spacing w:line="240" w:lineRule="auto"/>
                                  <w:jc w:val="center"/>
                                </w:pPr>
                              </w:p>
                            </w:txbxContent>
                          </wps:txbx>
                          <wps:bodyPr spcFirstLastPara="1" wrap="square" lIns="91425" tIns="91425" rIns="91425" bIns="91425" anchor="ctr" anchorCtr="0">
                            <a:noAutofit/>
                          </wps:bodyPr>
                        </wps:wsp>
                        <wps:wsp>
                          <wps:cNvPr id="490938399" name="شكل بيضاوي 31"/>
                          <wps:cNvSpPr/>
                          <wps:spPr>
                            <a:xfrm>
                              <a:off x="172015" y="362139"/>
                              <a:ext cx="3667570" cy="2758688"/>
                            </a:xfrm>
                            <a:prstGeom prst="ellipse">
                              <a:avLst/>
                            </a:prstGeom>
                            <a:gradFill>
                              <a:gsLst>
                                <a:gs pos="0">
                                  <a:srgbClr val="BFBFBF"/>
                                </a:gs>
                                <a:gs pos="100000">
                                  <a:srgbClr val="737373"/>
                                </a:gs>
                              </a:gsLst>
                              <a:path path="circle">
                                <a:fillToRect l="50000" t="50000" r="50000" b="50000"/>
                              </a:path>
                              <a:tileRect/>
                            </a:gradFill>
                            <a:ln w="9525" cap="flat" cmpd="sng">
                              <a:solidFill>
                                <a:srgbClr val="000000"/>
                              </a:solidFill>
                              <a:prstDash val="solid"/>
                              <a:round/>
                              <a:headEnd type="none" w="sm" len="sm"/>
                              <a:tailEnd type="none" w="sm" len="sm"/>
                            </a:ln>
                          </wps:spPr>
                          <wps:txbx>
                            <w:txbxContent>
                              <w:p w14:paraId="5E802429" w14:textId="77777777" w:rsidR="00EF692F" w:rsidRDefault="00EF692F" w:rsidP="00EF692F">
                                <w:pPr>
                                  <w:spacing w:line="240" w:lineRule="auto"/>
                                  <w:jc w:val="center"/>
                                </w:pPr>
                              </w:p>
                            </w:txbxContent>
                          </wps:txbx>
                          <wps:bodyPr spcFirstLastPara="1" wrap="square" lIns="91425" tIns="91425" rIns="91425" bIns="91425" anchor="ctr" anchorCtr="0">
                            <a:noAutofit/>
                          </wps:bodyPr>
                        </wps:wsp>
                        <wps:wsp>
                          <wps:cNvPr id="158558608" name="شكل بيضاوي 32"/>
                          <wps:cNvSpPr/>
                          <wps:spPr>
                            <a:xfrm>
                              <a:off x="353085" y="597529"/>
                              <a:ext cx="2979243" cy="2551661"/>
                            </a:xfrm>
                            <a:prstGeom prst="ellipse">
                              <a:avLst/>
                            </a:prstGeom>
                            <a:solidFill>
                              <a:schemeClr val="accent2">
                                <a:lumMod val="75000"/>
                              </a:schemeClr>
                            </a:solidFill>
                            <a:ln w="9525" cap="flat" cmpd="sng">
                              <a:solidFill>
                                <a:srgbClr val="000000"/>
                              </a:solidFill>
                              <a:prstDash val="solid"/>
                              <a:round/>
                              <a:headEnd type="none" w="sm" len="sm"/>
                              <a:tailEnd type="none" w="sm" len="sm"/>
                            </a:ln>
                          </wps:spPr>
                          <wps:txbx>
                            <w:txbxContent>
                              <w:p w14:paraId="74F82876" w14:textId="77777777" w:rsidR="00EF692F" w:rsidRDefault="00EF692F" w:rsidP="00EF692F">
                                <w:pPr>
                                  <w:spacing w:line="240" w:lineRule="auto"/>
                                  <w:jc w:val="center"/>
                                </w:pPr>
                              </w:p>
                            </w:txbxContent>
                          </wps:txbx>
                          <wps:bodyPr spcFirstLastPara="1" wrap="square" lIns="91425" tIns="91425" rIns="91425" bIns="91425" anchor="ctr" anchorCtr="0">
                            <a:noAutofit/>
                          </wps:bodyPr>
                        </wps:wsp>
                        <wps:wsp>
                          <wps:cNvPr id="947011910" name="شكل بيضاوي 33"/>
                          <wps:cNvSpPr/>
                          <wps:spPr>
                            <a:xfrm>
                              <a:off x="353085" y="724277"/>
                              <a:ext cx="2371883" cy="2160052"/>
                            </a:xfrm>
                            <a:prstGeom prst="ellipse">
                              <a:avLst/>
                            </a:prstGeom>
                            <a:solidFill>
                              <a:schemeClr val="accent2">
                                <a:lumMod val="60000"/>
                                <a:lumOff val="40000"/>
                              </a:schemeClr>
                            </a:solidFill>
                            <a:ln w="9525" cap="flat" cmpd="sng">
                              <a:solidFill>
                                <a:srgbClr val="000000"/>
                              </a:solidFill>
                              <a:prstDash val="solid"/>
                              <a:round/>
                              <a:headEnd type="none" w="sm" len="sm"/>
                              <a:tailEnd type="none" w="sm" len="sm"/>
                            </a:ln>
                          </wps:spPr>
                          <wps:txbx>
                            <w:txbxContent>
                              <w:p w14:paraId="6F352276" w14:textId="77777777" w:rsidR="00EF692F" w:rsidRDefault="00EF692F" w:rsidP="00EF692F">
                                <w:pPr>
                                  <w:spacing w:line="240" w:lineRule="auto"/>
                                  <w:jc w:val="center"/>
                                </w:pPr>
                              </w:p>
                            </w:txbxContent>
                          </wps:txbx>
                          <wps:bodyPr spcFirstLastPara="1" wrap="square" lIns="91425" tIns="91425" rIns="91425" bIns="91425" anchor="ctr" anchorCtr="0">
                            <a:noAutofit/>
                          </wps:bodyPr>
                        </wps:wsp>
                        <wps:wsp>
                          <wps:cNvPr id="1097606537" name="شكل بيضاوي 34"/>
                          <wps:cNvSpPr/>
                          <wps:spPr>
                            <a:xfrm>
                              <a:off x="488887" y="995881"/>
                              <a:ext cx="1923549" cy="1643355"/>
                            </a:xfrm>
                            <a:prstGeom prst="ellipse">
                              <a:avLst/>
                            </a:prstGeom>
                            <a:solidFill>
                              <a:schemeClr val="accent2">
                                <a:lumMod val="20000"/>
                                <a:lumOff val="80000"/>
                              </a:schemeClr>
                            </a:solidFill>
                            <a:ln w="9525" cap="flat" cmpd="sng">
                              <a:solidFill>
                                <a:srgbClr val="000000"/>
                              </a:solidFill>
                              <a:prstDash val="solid"/>
                              <a:round/>
                              <a:headEnd type="none" w="sm" len="sm"/>
                              <a:tailEnd type="none" w="sm" len="sm"/>
                            </a:ln>
                          </wps:spPr>
                          <wps:txbx>
                            <w:txbxContent>
                              <w:p w14:paraId="647802C6" w14:textId="77777777" w:rsidR="00EF692F" w:rsidRDefault="00EF692F" w:rsidP="00EF692F">
                                <w:pPr>
                                  <w:spacing w:line="240" w:lineRule="auto"/>
                                </w:pPr>
                              </w:p>
                            </w:txbxContent>
                          </wps:txbx>
                          <wps:bodyPr spcFirstLastPara="1" wrap="square" lIns="91425" tIns="91425" rIns="91425" bIns="91425" anchor="ctr" anchorCtr="0">
                            <a:noAutofit/>
                          </wps:bodyPr>
                        </wps:wsp>
                        <wps:wsp>
                          <wps:cNvPr id="336531038" name="شكل بيضاوي 35"/>
                          <wps:cNvSpPr/>
                          <wps:spPr>
                            <a:xfrm>
                              <a:off x="588475" y="1330860"/>
                              <a:ext cx="1266190" cy="1160780"/>
                            </a:xfrm>
                            <a:prstGeom prst="ellipse">
                              <a:avLst/>
                            </a:prstGeom>
                            <a:solidFill>
                              <a:srgbClr val="FFFFFF"/>
                            </a:solidFill>
                            <a:ln w="9525" cap="flat" cmpd="sng">
                              <a:solidFill>
                                <a:srgbClr val="000000"/>
                              </a:solidFill>
                              <a:prstDash val="solid"/>
                              <a:round/>
                              <a:headEnd type="none" w="sm" len="sm"/>
                              <a:tailEnd type="none" w="sm" len="sm"/>
                            </a:ln>
                          </wps:spPr>
                          <wps:txbx>
                            <w:txbxContent>
                              <w:p w14:paraId="6B0F5426" w14:textId="77777777" w:rsidR="00EF692F" w:rsidRDefault="00EF692F" w:rsidP="00EF692F">
                                <w:pPr>
                                  <w:spacing w:line="240" w:lineRule="auto"/>
                                  <w:jc w:val="center"/>
                                </w:pPr>
                              </w:p>
                            </w:txbxContent>
                          </wps:txbx>
                          <wps:bodyPr spcFirstLastPara="1" wrap="square" lIns="91425" tIns="91425" rIns="91425" bIns="91425" anchor="ctr" anchorCtr="0">
                            <a:noAutofit/>
                          </wps:bodyPr>
                        </wps:wsp>
                        <wps:wsp>
                          <wps:cNvPr id="821466996" name="Straight Arrow Connector 821466996"/>
                          <wps:cNvCnPr/>
                          <wps:spPr>
                            <a:xfrm flipV="1">
                              <a:off x="3903863" y="410038"/>
                              <a:ext cx="631923" cy="50390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678438247" name="Straight Arrow Connector 678438247"/>
                          <wps:cNvCnPr/>
                          <wps:spPr>
                            <a:xfrm flipV="1">
                              <a:off x="3614218" y="917229"/>
                              <a:ext cx="1156908" cy="3207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954446056" name="Straight Arrow Connector 954446056"/>
                          <wps:cNvCnPr/>
                          <wps:spPr>
                            <a:xfrm flipV="1">
                              <a:off x="3188706" y="1252208"/>
                              <a:ext cx="1582470" cy="34305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26242623" name="Straight Arrow Connector 1326242623"/>
                          <wps:cNvCnPr/>
                          <wps:spPr>
                            <a:xfrm flipV="1">
                              <a:off x="2627391" y="1722988"/>
                              <a:ext cx="2246630" cy="1739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98068533" name="Straight Arrow Connector 298068533"/>
                          <wps:cNvCnPr/>
                          <wps:spPr>
                            <a:xfrm>
                              <a:off x="2093236" y="1984595"/>
                              <a:ext cx="2572693" cy="11410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585071586" name="Straight Arrow Connector 1585071586"/>
                          <wps:cNvCnPr/>
                          <wps:spPr>
                            <a:xfrm>
                              <a:off x="1550028" y="2047969"/>
                              <a:ext cx="2677940" cy="52810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838987839" name="Text Box 17"/>
                          <wps:cNvSpPr txBox="1"/>
                          <wps:spPr>
                            <a:xfrm>
                              <a:off x="4771176" y="642796"/>
                              <a:ext cx="1530035" cy="362780"/>
                            </a:xfrm>
                            <a:prstGeom prst="rect">
                              <a:avLst/>
                            </a:prstGeom>
                            <a:solidFill>
                              <a:schemeClr val="lt1"/>
                            </a:solidFill>
                            <a:ln w="6350">
                              <a:solidFill>
                                <a:prstClr val="black"/>
                              </a:solidFill>
                            </a:ln>
                          </wps:spPr>
                          <wps:txbx>
                            <w:txbxContent>
                              <w:p w14:paraId="461C1710" w14:textId="77777777" w:rsidR="00EF692F" w:rsidRDefault="00EF692F" w:rsidP="00EF692F">
                                <w:r>
                                  <w:rPr>
                                    <w:rFonts w:asciiTheme="majorBidi" w:hAnsiTheme="majorBidi" w:cstheme="majorBidi"/>
                                    <w:b/>
                                    <w:bCs/>
                                    <w:sz w:val="24"/>
                                    <w:szCs w:val="24"/>
                                  </w:rPr>
                                  <w:t>Research Approach</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08389195" name="Text Box 18"/>
                          <wps:cNvSpPr txBox="1"/>
                          <wps:spPr>
                            <a:xfrm>
                              <a:off x="4879817" y="1140737"/>
                              <a:ext cx="1421074" cy="371193"/>
                            </a:xfrm>
                            <a:prstGeom prst="rect">
                              <a:avLst/>
                            </a:prstGeom>
                            <a:solidFill>
                              <a:schemeClr val="lt1"/>
                            </a:solidFill>
                            <a:ln w="6350">
                              <a:solidFill>
                                <a:prstClr val="black"/>
                              </a:solidFill>
                            </a:ln>
                          </wps:spPr>
                          <wps:txbx>
                            <w:txbxContent>
                              <w:p w14:paraId="3EAD91F6" w14:textId="77777777" w:rsidR="00EF692F" w:rsidRDefault="00EF692F" w:rsidP="00EF692F">
                                <w:r>
                                  <w:rPr>
                                    <w:rFonts w:asciiTheme="majorBidi" w:hAnsiTheme="majorBidi" w:cstheme="majorBidi"/>
                                    <w:b/>
                                    <w:bCs/>
                                    <w:sz w:val="24"/>
                                    <w:szCs w:val="24"/>
                                  </w:rPr>
                                  <w:t>Research Strategy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07882042" name="Text Box 19"/>
                          <wps:cNvSpPr txBox="1"/>
                          <wps:spPr>
                            <a:xfrm>
                              <a:off x="4943192" y="1647731"/>
                              <a:ext cx="1293746" cy="344032"/>
                            </a:xfrm>
                            <a:prstGeom prst="rect">
                              <a:avLst/>
                            </a:prstGeom>
                            <a:solidFill>
                              <a:schemeClr val="lt1"/>
                            </a:solidFill>
                            <a:ln w="6350">
                              <a:solidFill>
                                <a:prstClr val="black"/>
                              </a:solidFill>
                            </a:ln>
                          </wps:spPr>
                          <wps:txbx>
                            <w:txbxContent>
                              <w:p w14:paraId="23C55958" w14:textId="77777777" w:rsidR="00EF692F" w:rsidRDefault="00EF692F" w:rsidP="00EF692F">
                                <w:r>
                                  <w:rPr>
                                    <w:rFonts w:asciiTheme="majorBidi" w:hAnsiTheme="majorBidi" w:cstheme="majorBidi"/>
                                    <w:b/>
                                    <w:bCs/>
                                    <w:sz w:val="24"/>
                                    <w:szCs w:val="24"/>
                                  </w:rPr>
                                  <w:t>Research Choice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9243744" name="Text Box 21"/>
                          <wps:cNvSpPr txBox="1"/>
                          <wps:spPr>
                            <a:xfrm>
                              <a:off x="4771176" y="1982709"/>
                              <a:ext cx="1330859" cy="346420"/>
                            </a:xfrm>
                            <a:prstGeom prst="rect">
                              <a:avLst/>
                            </a:prstGeom>
                            <a:solidFill>
                              <a:schemeClr val="lt1"/>
                            </a:solidFill>
                            <a:ln w="6350">
                              <a:solidFill>
                                <a:prstClr val="black"/>
                              </a:solidFill>
                            </a:ln>
                          </wps:spPr>
                          <wps:txbx>
                            <w:txbxContent>
                              <w:p w14:paraId="650149AD" w14:textId="77777777" w:rsidR="00EF692F" w:rsidRDefault="00EF692F" w:rsidP="00EF692F">
                                <w:r>
                                  <w:rPr>
                                    <w:rFonts w:asciiTheme="majorBidi" w:hAnsiTheme="majorBidi" w:cstheme="majorBidi"/>
                                    <w:b/>
                                    <w:bCs/>
                                    <w:sz w:val="24"/>
                                    <w:szCs w:val="24"/>
                                  </w:rPr>
                                  <w:t>Time Horizon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2480813" name="Text Box 22"/>
                          <wps:cNvSpPr txBox="1"/>
                          <wps:spPr>
                            <a:xfrm>
                              <a:off x="4227968" y="2372008"/>
                              <a:ext cx="2073243" cy="441212"/>
                            </a:xfrm>
                            <a:prstGeom prst="rect">
                              <a:avLst/>
                            </a:prstGeom>
                            <a:solidFill>
                              <a:schemeClr val="lt1"/>
                            </a:solidFill>
                            <a:ln w="6350">
                              <a:solidFill>
                                <a:prstClr val="black"/>
                              </a:solidFill>
                            </a:ln>
                          </wps:spPr>
                          <wps:txbx>
                            <w:txbxContent>
                              <w:p w14:paraId="7D746156" w14:textId="77777777" w:rsidR="00EF692F" w:rsidRDefault="00EF692F" w:rsidP="00EF692F">
                                <w:pPr>
                                  <w:pStyle w:val="a6"/>
                                  <w:spacing w:before="0" w:beforeAutospacing="0" w:after="200" w:afterAutospacing="0"/>
                                  <w:rPr>
                                    <w:rFonts w:asciiTheme="majorBidi" w:hAnsiTheme="majorBidi" w:cstheme="majorBidi"/>
                                    <w:b/>
                                    <w:bCs/>
                                  </w:rPr>
                                </w:pPr>
                                <w:r>
                                  <w:rPr>
                                    <w:rFonts w:asciiTheme="majorBidi" w:hAnsiTheme="majorBidi" w:cstheme="majorBidi"/>
                                    <w:b/>
                                    <w:bCs/>
                                    <w:color w:val="000000"/>
                                  </w:rPr>
                                  <w:t>Techniques and Procedures</w:t>
                                </w:r>
                              </w:p>
                              <w:p w14:paraId="74C72B3B" w14:textId="77777777" w:rsidR="00EF692F" w:rsidRDefault="00EF692F" w:rsidP="00EF692F"/>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53530492" name="Text Box 24"/>
                          <wps:cNvSpPr txBox="1"/>
                          <wps:spPr>
                            <a:xfrm>
                              <a:off x="1502875" y="63374"/>
                              <a:ext cx="909380" cy="343976"/>
                            </a:xfrm>
                            <a:prstGeom prst="rect">
                              <a:avLst/>
                            </a:prstGeom>
                            <a:noFill/>
                            <a:ln w="6350">
                              <a:noFill/>
                            </a:ln>
                          </wps:spPr>
                          <wps:txbx>
                            <w:txbxContent>
                              <w:p w14:paraId="17D2748A"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Positivism</w:t>
                                </w:r>
                              </w:p>
                              <w:p w14:paraId="7FCDA094" w14:textId="77777777" w:rsidR="00EF692F" w:rsidRDefault="00EF692F" w:rsidP="00EF692F"/>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53389235" name="Text Box 24"/>
                          <wps:cNvSpPr txBox="1"/>
                          <wps:spPr>
                            <a:xfrm rot="747968">
                              <a:off x="2082126" y="452815"/>
                              <a:ext cx="866920" cy="246991"/>
                            </a:xfrm>
                            <a:prstGeom prst="rect">
                              <a:avLst/>
                            </a:prstGeom>
                            <a:noFill/>
                            <a:ln w="6350">
                              <a:noFill/>
                            </a:ln>
                          </wps:spPr>
                          <wps:txbx>
                            <w:txbxContent>
                              <w:p w14:paraId="0E9654CA" w14:textId="77777777" w:rsidR="00EF692F" w:rsidRDefault="00EF692F" w:rsidP="00EF692F">
                                <w:r>
                                  <w:rPr>
                                    <w:rFonts w:asciiTheme="majorBidi" w:hAnsiTheme="majorBidi" w:cstheme="majorBidi"/>
                                    <w:sz w:val="24"/>
                                    <w:szCs w:val="24"/>
                                  </w:rPr>
                                  <w:t>Deductive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4777633" name="Text Box 24"/>
                          <wps:cNvSpPr txBox="1"/>
                          <wps:spPr>
                            <a:xfrm rot="2388967">
                              <a:off x="2082297" y="960988"/>
                              <a:ext cx="958581" cy="275757"/>
                            </a:xfrm>
                            <a:prstGeom prst="rect">
                              <a:avLst/>
                            </a:prstGeom>
                            <a:noFill/>
                            <a:ln w="6350">
                              <a:noFill/>
                            </a:ln>
                          </wps:spPr>
                          <wps:txbx>
                            <w:txbxContent>
                              <w:p w14:paraId="383F8926"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Case study</w:t>
                                </w:r>
                              </w:p>
                              <w:p w14:paraId="787D4062" w14:textId="77777777" w:rsidR="00EF692F" w:rsidRDefault="00EF692F" w:rsidP="00EF692F"/>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80112175" name="Text Box 24"/>
                          <wps:cNvSpPr txBox="1"/>
                          <wps:spPr>
                            <a:xfrm>
                              <a:off x="977774" y="724277"/>
                              <a:ext cx="1219835" cy="271604"/>
                            </a:xfrm>
                            <a:prstGeom prst="rect">
                              <a:avLst/>
                            </a:prstGeom>
                            <a:noFill/>
                            <a:ln w="6350">
                              <a:noFill/>
                            </a:ln>
                          </wps:spPr>
                          <wps:txbx>
                            <w:txbxContent>
                              <w:p w14:paraId="781BD7AD" w14:textId="77777777" w:rsidR="00EF692F" w:rsidRDefault="00EF692F" w:rsidP="00EF692F">
                                <w:r>
                                  <w:rPr>
                                    <w:rFonts w:asciiTheme="majorBidi" w:hAnsiTheme="majorBidi" w:cstheme="majorBidi"/>
                                    <w:sz w:val="24"/>
                                    <w:szCs w:val="24"/>
                                  </w:rPr>
                                  <w:t>Quantitative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56324050" name="Text Box 24"/>
                          <wps:cNvSpPr txBox="1"/>
                          <wps:spPr>
                            <a:xfrm>
                              <a:off x="715223" y="1647731"/>
                              <a:ext cx="1059256" cy="334978"/>
                            </a:xfrm>
                            <a:prstGeom prst="rect">
                              <a:avLst/>
                            </a:prstGeom>
                            <a:noFill/>
                            <a:ln w="6350">
                              <a:noFill/>
                            </a:ln>
                          </wps:spPr>
                          <wps:txbx>
                            <w:txbxContent>
                              <w:p w14:paraId="5F2DED39"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Questionnaire </w:t>
                                </w:r>
                              </w:p>
                              <w:p w14:paraId="7FF29AC4" w14:textId="77777777" w:rsidR="00EF692F" w:rsidRDefault="00EF692F" w:rsidP="00EF692F"/>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40240337" name="Text Box 24"/>
                          <wps:cNvSpPr txBox="1"/>
                          <wps:spPr>
                            <a:xfrm rot="3496697">
                              <a:off x="1239227" y="1450375"/>
                              <a:ext cx="1220332" cy="298709"/>
                            </a:xfrm>
                            <a:prstGeom prst="rect">
                              <a:avLst/>
                            </a:prstGeom>
                            <a:noFill/>
                            <a:ln w="6350">
                              <a:noFill/>
                            </a:ln>
                          </wps:spPr>
                          <wps:txbx>
                            <w:txbxContent>
                              <w:p w14:paraId="19284319" w14:textId="77777777" w:rsidR="00EF692F" w:rsidRDefault="00EF692F" w:rsidP="00EF692F">
                                <w:r>
                                  <w:rPr>
                                    <w:rFonts w:asciiTheme="majorBidi" w:hAnsiTheme="majorBidi" w:cstheme="majorBidi"/>
                                    <w:sz w:val="24"/>
                                    <w:szCs w:val="24"/>
                                  </w:rPr>
                                  <w:t>Cross Sectional</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58A53E6A" id="Group 28" o:spid="_x0000_s1040" style="width:496.15pt;height:267.85pt;mso-position-horizontal-relative:char;mso-position-vertical-relative:line" coordsize="63012,34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">
                <v:shape id="Text Box 16" o:spid="_x0000_s1041" type="#_x0000_t202" style="position:absolute;left:46082;top:1448;width:16296;height:3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" fillcolor="white [3201]" strokeweight=".5pt">
                  <v:textbox>
                    <w:txbxContent>
                      <w:p w14:paraId="4A08B408" w14:textId="77777777" w:rsidR="00EF692F" w:rsidRDefault="00EF692F" w:rsidP="00EF692F">
                        <w:r>
                          <w:rPr>
                            <w:rFonts w:asciiTheme="majorBidi" w:hAnsiTheme="majorBidi" w:cstheme="majorBidi"/>
                            <w:b/>
                            <w:bCs/>
                            <w:sz w:val="24"/>
                            <w:szCs w:val="24"/>
                          </w:rPr>
                          <w:t>Research Philosophy</w:t>
                        </w:r>
                      </w:p>
                    </w:txbxContent>
                  </v:textbox>
                </v:shape>
                <v:group id="Group 1742241606" o:spid="_x0000_s1042" style="position:absolute;width:63012;height:34022" coordsize="63012,34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">
                  <v:oval id="شكل بيضاوي 30" o:spid="_x0000_s1043" style="position:absolute;width:43335;height:340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" fillcolor="#8c8c8c">
                    <v:fill color2="#404040" focus="100%" type="gradient">
                      <o:fill v:ext="view" type="gradientUnscaled"/>
                    </v:fill>
                    <v:stroke startarrowwidth="narrow" startarrowlength="short" endarrowwidth="narrow" endarrowlength="short"/>
                    <v:textbox inset="2.53958mm,2.53958mm,2.53958mm,2.53958mm">
                      <w:txbxContent>
                        <w:p w14:paraId="4AEF6EF2" w14:textId="77777777" w:rsidR="00EF692F" w:rsidRDefault="00EF692F" w:rsidP="00EF692F">
                          <w:pPr>
                            <w:spacing w:line="240" w:lineRule="auto"/>
                            <w:jc w:val="center"/>
                          </w:pPr>
                        </w:p>
                      </w:txbxContent>
                    </v:textbox>
                  </v:oval>
                  <v:oval id="شكل بيضاوي 31" o:spid="_x0000_s1044" style="position:absolute;left:1720;top:3621;width:36675;height:27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" fillcolor="#bfbfbf">
                    <v:fill color2="#737373" focusposition=".5,.5" focussize="" focus="100%" type="gradientRadial"/>
                    <v:stroke startarrowwidth="narrow" startarrowlength="short" endarrowwidth="narrow" endarrowlength="short"/>
                    <v:textbox inset="2.53958mm,2.53958mm,2.53958mm,2.53958mm">
                      <w:txbxContent>
                        <w:p w14:paraId="5E802429" w14:textId="77777777" w:rsidR="00EF692F" w:rsidRDefault="00EF692F" w:rsidP="00EF692F">
                          <w:pPr>
                            <w:spacing w:line="240" w:lineRule="auto"/>
                            <w:jc w:val="center"/>
                          </w:pPr>
                        </w:p>
                      </w:txbxContent>
                    </v:textbox>
                  </v:oval>
                  <v:oval id="شكل بيضاوي 32" o:spid="_x0000_s1045" style="position:absolute;left:3530;top:5975;width:29793;height:255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" fillcolor="#c45911 [2405]">
                    <v:stroke startarrowwidth="narrow" startarrowlength="short" endarrowwidth="narrow" endarrowlength="short"/>
                    <v:textbox inset="2.53958mm,2.53958mm,2.53958mm,2.53958mm">
                      <w:txbxContent>
                        <w:p w14:paraId="74F82876" w14:textId="77777777" w:rsidR="00EF692F" w:rsidRDefault="00EF692F" w:rsidP="00EF692F">
                          <w:pPr>
                            <w:spacing w:line="240" w:lineRule="auto"/>
                            <w:jc w:val="center"/>
                          </w:pPr>
                        </w:p>
                      </w:txbxContent>
                    </v:textbox>
                  </v:oval>
                  <v:oval id="شكل بيضاوي 33" o:spid="_x0000_s1046" style="position:absolute;left:3530;top:7242;width:23719;height:21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" fillcolor="#f4b083 [1941]">
                    <v:stroke startarrowwidth="narrow" startarrowlength="short" endarrowwidth="narrow" endarrowlength="short"/>
                    <v:textbox inset="2.53958mm,2.53958mm,2.53958mm,2.53958mm">
                      <w:txbxContent>
                        <w:p w14:paraId="6F352276" w14:textId="77777777" w:rsidR="00EF692F" w:rsidRDefault="00EF692F" w:rsidP="00EF692F">
                          <w:pPr>
                            <w:spacing w:line="240" w:lineRule="auto"/>
                            <w:jc w:val="center"/>
                          </w:pPr>
                        </w:p>
                      </w:txbxContent>
                    </v:textbox>
                  </v:oval>
                  <v:oval id="شكل بيضاوي 34" o:spid="_x0000_s1047" style="position:absolute;left:4888;top:9958;width:19236;height:16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" fillcolor="#fbe4d5 [661]">
                    <v:stroke startarrowwidth="narrow" startarrowlength="short" endarrowwidth="narrow" endarrowlength="short"/>
                    <v:textbox inset="2.53958mm,2.53958mm,2.53958mm,2.53958mm">
                      <w:txbxContent>
                        <w:p w14:paraId="647802C6" w14:textId="77777777" w:rsidR="00EF692F" w:rsidRDefault="00EF692F" w:rsidP="00EF692F">
                          <w:pPr>
                            <w:spacing w:line="240" w:lineRule="auto"/>
                          </w:pPr>
                        </w:p>
                      </w:txbxContent>
                    </v:textbox>
                  </v:oval>
                  <v:oval id="شكل بيضاوي 35" o:spid="_x0000_s1048" style="position:absolute;left:5884;top:13308;width:12662;height:11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">
                    <v:stroke startarrowwidth="narrow" startarrowlength="short" endarrowwidth="narrow" endarrowlength="short"/>
                    <v:textbox inset="2.53958mm,2.53958mm,2.53958mm,2.53958mm">
                      <w:txbxContent>
                        <w:p w14:paraId="6B0F5426" w14:textId="77777777" w:rsidR="00EF692F" w:rsidRDefault="00EF692F" w:rsidP="00EF692F">
                          <w:pPr>
                            <w:spacing w:line="240" w:lineRule="auto"/>
                            <w:jc w:val="center"/>
                          </w:pPr>
                        </w:p>
                      </w:txbxContent>
                    </v:textbox>
                  </v:oval>
                  <v:shape id="Straight Arrow Connector 821466996" o:spid="_x0000_s1049" type="#_x0000_t32" style="position:absolute;left:39038;top:4100;width:6319;height:50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" strokecolor="black [3200]" strokeweight="1pt">
                    <v:stroke endarrow="block" joinstyle="miter"/>
                  </v:shape>
                  <v:shape id="Straight Arrow Connector 678438247" o:spid="_x0000_s1050" type="#_x0000_t32" style="position:absolute;left:36142;top:9172;width:11569;height:32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" strokecolor="black [3200]" strokeweight="1pt">
                    <v:stroke endarrow="block" joinstyle="miter"/>
                  </v:shape>
                  <v:shape id="Straight Arrow Connector 954446056" o:spid="_x0000_s1051" type="#_x0000_t32" style="position:absolute;left:31887;top:12522;width:15824;height:34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" strokecolor="black [3200]" strokeweight="1pt">
                    <v:stroke endarrow="block" joinstyle="miter"/>
                  </v:shape>
                  <v:shape id="Straight Arrow Connector 1326242623" o:spid="_x0000_s1052" type="#_x0000_t32" style="position:absolute;left:26273;top:17229;width:22467;height:17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" strokecolor="black [3200]" strokeweight="1pt">
                    <v:stroke endarrow="block" joinstyle="miter"/>
                  </v:shape>
                  <v:shape id="Straight Arrow Connector 298068533" o:spid="_x0000_s1053" type="#_x0000_t32" style="position:absolute;left:20932;top:19845;width:25727;height:1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" strokecolor="black [3200]" strokeweight="1pt">
                    <v:stroke endarrow="block" joinstyle="miter"/>
                  </v:shape>
                  <v:shape id="Straight Arrow Connector 1585071586" o:spid="_x0000_s1054" type="#_x0000_t32" style="position:absolute;left:15500;top:20479;width:26779;height:5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" strokecolor="black [3200]" strokeweight="1pt">
                    <v:stroke endarrow="block" joinstyle="miter"/>
                  </v:shape>
                  <v:shape id="Text Box 17" o:spid="_x0000_s1055" type="#_x0000_t202" style="position:absolute;left:47711;top:6427;width:15301;height:3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" fillcolor="white [3201]" strokeweight=".5pt">
                    <v:textbox>
                      <w:txbxContent>
                        <w:p w14:paraId="461C1710" w14:textId="77777777" w:rsidR="00EF692F" w:rsidRDefault="00EF692F" w:rsidP="00EF692F">
                          <w:r>
                            <w:rPr>
                              <w:rFonts w:asciiTheme="majorBidi" w:hAnsiTheme="majorBidi" w:cstheme="majorBidi"/>
                              <w:b/>
                              <w:bCs/>
                              <w:sz w:val="24"/>
                              <w:szCs w:val="24"/>
                            </w:rPr>
                            <w:t>Research Approach</w:t>
                          </w:r>
                        </w:p>
                      </w:txbxContent>
                    </v:textbox>
                  </v:shape>
                  <v:shape id="Text Box 18" o:spid="_x0000_s1056" type="#_x0000_t202" style="position:absolute;left:48798;top:11407;width:14210;height:3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" fillcolor="white [3201]" strokeweight=".5pt">
                    <v:textbox>
                      <w:txbxContent>
                        <w:p w14:paraId="3EAD91F6" w14:textId="77777777" w:rsidR="00EF692F" w:rsidRDefault="00EF692F" w:rsidP="00EF692F">
                          <w:r>
                            <w:rPr>
                              <w:rFonts w:asciiTheme="majorBidi" w:hAnsiTheme="majorBidi" w:cstheme="majorBidi"/>
                              <w:b/>
                              <w:bCs/>
                              <w:sz w:val="24"/>
                              <w:szCs w:val="24"/>
                            </w:rPr>
                            <w:t>Research Strategy</w:t>
                          </w:r>
                        </w:p>
                      </w:txbxContent>
                    </v:textbox>
                  </v:shape>
                  <v:shape id="Text Box 19" o:spid="_x0000_s1057" type="#_x0000_t202" style="position:absolute;left:49431;top:16477;width:12938;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" fillcolor="white [3201]" strokeweight=".5pt">
                    <v:textbox>
                      <w:txbxContent>
                        <w:p w14:paraId="23C55958" w14:textId="77777777" w:rsidR="00EF692F" w:rsidRDefault="00EF692F" w:rsidP="00EF692F">
                          <w:r>
                            <w:rPr>
                              <w:rFonts w:asciiTheme="majorBidi" w:hAnsiTheme="majorBidi" w:cstheme="majorBidi"/>
                              <w:b/>
                              <w:bCs/>
                              <w:sz w:val="24"/>
                              <w:szCs w:val="24"/>
                            </w:rPr>
                            <w:t>Research Choice</w:t>
                          </w:r>
                        </w:p>
                      </w:txbxContent>
                    </v:textbox>
                  </v:shape>
                  <v:shape id="Text Box 21" o:spid="_x0000_s1058" type="#_x0000_t202" style="position:absolute;left:47711;top:19827;width:13309;height:3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" fillcolor="white [3201]" strokeweight=".5pt">
                    <v:textbox>
                      <w:txbxContent>
                        <w:p w14:paraId="650149AD" w14:textId="77777777" w:rsidR="00EF692F" w:rsidRDefault="00EF692F" w:rsidP="00EF692F">
                          <w:r>
                            <w:rPr>
                              <w:rFonts w:asciiTheme="majorBidi" w:hAnsiTheme="majorBidi" w:cstheme="majorBidi"/>
                              <w:b/>
                              <w:bCs/>
                              <w:sz w:val="24"/>
                              <w:szCs w:val="24"/>
                            </w:rPr>
                            <w:t>Time Horizon</w:t>
                          </w:r>
                        </w:p>
                      </w:txbxContent>
                    </v:textbox>
                  </v:shape>
                  <v:shape id="Text Box 22" o:spid="_x0000_s1059" type="#_x0000_t202" style="position:absolute;left:42279;top:23720;width:20733;height:4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" fillcolor="white [3201]" strokeweight=".5pt">
                    <v:textbox>
                      <w:txbxContent>
                        <w:p w14:paraId="7D746156" w14:textId="77777777" w:rsidR="00EF692F" w:rsidRDefault="00EF692F" w:rsidP="00EF692F">
                          <w:pPr>
                            <w:pStyle w:val="NormalWeb"/>
                            <w:spacing w:before="0" w:beforeAutospacing="0" w:after="200" w:afterAutospacing="0"/>
                            <w:rPr>
                              <w:rFonts w:asciiTheme="majorBidi" w:hAnsiTheme="majorBidi" w:cstheme="majorBidi"/>
                              <w:b/>
                              <w:bCs/>
                            </w:rPr>
                          </w:pPr>
                          <w:r>
                            <w:rPr>
                              <w:rFonts w:asciiTheme="majorBidi" w:hAnsiTheme="majorBidi" w:cstheme="majorBidi"/>
                              <w:b/>
                              <w:bCs/>
                              <w:color w:val="000000"/>
                            </w:rPr>
                            <w:t>Techniques and Procedures</w:t>
                          </w:r>
                        </w:p>
                        <w:p w14:paraId="74C72B3B" w14:textId="77777777" w:rsidR="00EF692F" w:rsidRDefault="00EF692F" w:rsidP="00EF692F"/>
                      </w:txbxContent>
                    </v:textbox>
                  </v:shape>
                  <v:shape id="Text Box 24" o:spid="_x0000_s1060" type="#_x0000_t202" style="position:absolute;left:15028;top:633;width:9094;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" filled="f" stroked="f" strokeweight=".5pt">
                    <v:textbox>
                      <w:txbxContent>
                        <w:p w14:paraId="17D2748A"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Positivism</w:t>
                          </w:r>
                        </w:p>
                        <w:p w14:paraId="7FCDA094" w14:textId="77777777" w:rsidR="00EF692F" w:rsidRDefault="00EF692F" w:rsidP="00EF692F"/>
                      </w:txbxContent>
                    </v:textbox>
                  </v:shape>
                  <v:shape id="Text Box 24" o:spid="_x0000_s1061" type="#_x0000_t202" style="position:absolute;left:20821;top:4528;width:8669;height:2470;rotation:81698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" filled="f" stroked="f" strokeweight=".5pt">
                    <v:textbox>
                      <w:txbxContent>
                        <w:p w14:paraId="0E9654CA" w14:textId="77777777" w:rsidR="00EF692F" w:rsidRDefault="00EF692F" w:rsidP="00EF692F">
                          <w:r>
                            <w:rPr>
                              <w:rFonts w:asciiTheme="majorBidi" w:hAnsiTheme="majorBidi" w:cstheme="majorBidi"/>
                              <w:sz w:val="24"/>
                              <w:szCs w:val="24"/>
                            </w:rPr>
                            <w:t>Deductive</w:t>
                          </w:r>
                        </w:p>
                      </w:txbxContent>
                    </v:textbox>
                  </v:shape>
                  <v:shape id="Text Box 24" o:spid="_x0000_s1062" type="#_x0000_t202" style="position:absolute;left:20822;top:9609;width:9586;height:2758;rotation:26093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" filled="f" stroked="f" strokeweight=".5pt">
                    <v:textbox>
                      <w:txbxContent>
                        <w:p w14:paraId="383F8926"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Case study</w:t>
                          </w:r>
                        </w:p>
                        <w:p w14:paraId="787D4062" w14:textId="77777777" w:rsidR="00EF692F" w:rsidRDefault="00EF692F" w:rsidP="00EF692F"/>
                      </w:txbxContent>
                    </v:textbox>
                  </v:shape>
                  <v:shape id="Text Box 24" o:spid="_x0000_s1063" type="#_x0000_t202" style="position:absolute;left:9777;top:7242;width:12199;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" filled="f" stroked="f" strokeweight=".5pt">
                    <v:textbox>
                      <w:txbxContent>
                        <w:p w14:paraId="781BD7AD" w14:textId="77777777" w:rsidR="00EF692F" w:rsidRDefault="00EF692F" w:rsidP="00EF692F">
                          <w:r>
                            <w:rPr>
                              <w:rFonts w:asciiTheme="majorBidi" w:hAnsiTheme="majorBidi" w:cstheme="majorBidi"/>
                              <w:sz w:val="24"/>
                              <w:szCs w:val="24"/>
                            </w:rPr>
                            <w:t>Quantitative</w:t>
                          </w:r>
                        </w:p>
                      </w:txbxContent>
                    </v:textbox>
                  </v:shape>
                  <v:shape id="Text Box 24" o:spid="_x0000_s1064" type="#_x0000_t202" style="position:absolute;left:7152;top:16477;width:10592;height:3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" filled="f" stroked="f" strokeweight=".5pt">
                    <v:textbox>
                      <w:txbxContent>
                        <w:p w14:paraId="5F2DED39" w14:textId="77777777" w:rsidR="00EF692F" w:rsidRDefault="00EF692F" w:rsidP="00EF692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Questionnaire </w:t>
                          </w:r>
                        </w:p>
                        <w:p w14:paraId="7FF29AC4" w14:textId="77777777" w:rsidR="00EF692F" w:rsidRDefault="00EF692F" w:rsidP="00EF692F"/>
                      </w:txbxContent>
                    </v:textbox>
                  </v:shape>
                  <v:shape id="Text Box 24" o:spid="_x0000_s1065" type="#_x0000_t202" style="position:absolute;left:12392;top:14503;width:12203;height:2987;rotation:38193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" filled="f" stroked="f" strokeweight=".5pt">
                    <v:textbox>
                      <w:txbxContent>
                        <w:p w14:paraId="19284319" w14:textId="77777777" w:rsidR="00EF692F" w:rsidRDefault="00EF692F" w:rsidP="00EF692F">
                          <w:r>
                            <w:rPr>
                              <w:rFonts w:asciiTheme="majorBidi" w:hAnsiTheme="majorBidi" w:cstheme="majorBidi"/>
                              <w:sz w:val="24"/>
                              <w:szCs w:val="24"/>
                            </w:rPr>
                            <w:t>Cross Sectional</w:t>
                          </w:r>
                        </w:p>
                      </w:txbxContent>
                    </v:textbox>
                  </v:shape>
                </v:group>
                <w10:wrap anchorx="page"/>
                <w10:anchorlock/>
              </v:group>
            </w:pict>
          </mc:Fallback>
        </mc:AlternateContent>
      </w:r>
    </w:p>
    <w:p w14:paraId="6F84654E" w14:textId="77777777" w:rsidR="00E77952" w:rsidRPr="008F02E0" w:rsidRDefault="00E77952" w:rsidP="00E77952">
      <w:pPr>
        <w:jc w:val="right"/>
        <w:rPr>
          <w:rFonts w:asciiTheme="majorBidi" w:hAnsiTheme="majorBidi" w:cstheme="majorBidi"/>
          <w:sz w:val="28"/>
          <w:szCs w:val="28"/>
        </w:rPr>
      </w:pPr>
      <w:r w:rsidRPr="008F02E0">
        <w:rPr>
          <w:rFonts w:asciiTheme="majorBidi" w:hAnsiTheme="majorBidi" w:cstheme="majorBidi"/>
          <w:sz w:val="28"/>
          <w:szCs w:val="28"/>
        </w:rPr>
        <w:t>Source : Researcher</w:t>
      </w:r>
    </w:p>
    <w:p w14:paraId="3DC4E811" w14:textId="77777777" w:rsidR="00E225E7" w:rsidRPr="008F02E0" w:rsidRDefault="00E225E7" w:rsidP="00E225E7">
      <w:pPr>
        <w:pStyle w:val="2"/>
        <w:rPr>
          <w:rFonts w:eastAsia="Times New Roman"/>
        </w:rPr>
      </w:pPr>
      <w:bookmarkStart w:id="116" w:name="_Toc167124272"/>
      <w:bookmarkStart w:id="117" w:name="_Toc174813426"/>
      <w:bookmarkStart w:id="118" w:name="_Toc214621173"/>
      <w:bookmarkStart w:id="119" w:name="_Hlk214502914"/>
      <w:r w:rsidRPr="008F02E0">
        <w:rPr>
          <w:rFonts w:eastAsia="Times New Roman"/>
        </w:rPr>
        <w:t>Research population &amp; Sampling methods and technique</w:t>
      </w:r>
      <w:bookmarkEnd w:id="116"/>
      <w:bookmarkEnd w:id="117"/>
      <w:bookmarkEnd w:id="118"/>
    </w:p>
    <w:p w14:paraId="4607B38F" w14:textId="77777777" w:rsidR="00E225E7" w:rsidRPr="008F02E0" w:rsidRDefault="00E225E7" w:rsidP="00E225E7">
      <w:pPr>
        <w:bidi w:val="0"/>
        <w:jc w:val="both"/>
        <w:rPr>
          <w:rFonts w:ascii="Times New Roman" w:eastAsia="Calibri" w:hAnsi="Times New Roman" w:cs="Times New Roman"/>
          <w:sz w:val="28"/>
          <w:szCs w:val="28"/>
        </w:rPr>
      </w:pPr>
      <w:r w:rsidRPr="008F02E0">
        <w:rPr>
          <w:rFonts w:ascii="Times New Roman" w:eastAsia="Calibri" w:hAnsi="Times New Roman" w:cs="Times New Roman"/>
          <w:sz w:val="28"/>
          <w:szCs w:val="28"/>
        </w:rPr>
        <w:t>This section provides information about the study population &amp; sample. Additionally, this section demonstrates the methods and techniques that were elaborated in order to select the study sample, and determine the sample size.</w:t>
      </w:r>
    </w:p>
    <w:p w14:paraId="3D6E1C17" w14:textId="77777777" w:rsidR="00E225E7" w:rsidRPr="00E225E7" w:rsidRDefault="00E225E7" w:rsidP="00E225E7">
      <w:pPr>
        <w:pStyle w:val="3"/>
      </w:pPr>
      <w:bookmarkStart w:id="120" w:name="_Toc214621174"/>
      <w:bookmarkEnd w:id="119"/>
      <w:r w:rsidRPr="00E225E7">
        <w:rPr>
          <w:rStyle w:val="a7"/>
        </w:rPr>
        <w:t>Research Population</w:t>
      </w:r>
      <w:bookmarkEnd w:id="120"/>
    </w:p>
    <w:p w14:paraId="4438690F" w14:textId="77777777" w:rsidR="00E225E7" w:rsidRPr="00E225E7" w:rsidRDefault="00E225E7" w:rsidP="00E45EED">
      <w:pPr>
        <w:pStyle w:val="a6"/>
        <w:jc w:val="both"/>
      </w:pPr>
      <w:r w:rsidRPr="00E225E7">
        <w:t xml:space="preserve">The research population for this study consisted of employees working at </w:t>
      </w:r>
      <w:r w:rsidRPr="00E225E7">
        <w:rPr>
          <w:rStyle w:val="a7"/>
          <w:b w:val="0"/>
          <w:bCs w:val="0"/>
        </w:rPr>
        <w:t>Al Rajhi Bank</w:t>
      </w:r>
      <w:r w:rsidRPr="00E225E7">
        <w:t xml:space="preserve"> in </w:t>
      </w:r>
      <w:r w:rsidRPr="00E225E7">
        <w:rPr>
          <w:rStyle w:val="a7"/>
          <w:b w:val="0"/>
          <w:bCs w:val="0"/>
        </w:rPr>
        <w:t>Riyadh, Saudi Arabia</w:t>
      </w:r>
      <w:r w:rsidRPr="00E225E7">
        <w:t xml:space="preserve">, specifically those involved in roles where functional interaction between </w:t>
      </w:r>
      <w:r w:rsidRPr="00E225E7">
        <w:rPr>
          <w:rStyle w:val="a7"/>
          <w:b w:val="0"/>
          <w:bCs w:val="0"/>
        </w:rPr>
        <w:t>Account Managers</w:t>
      </w:r>
      <w:r w:rsidRPr="00E225E7">
        <w:t xml:space="preserve"> and </w:t>
      </w:r>
      <w:r w:rsidRPr="00E225E7">
        <w:rPr>
          <w:rStyle w:val="a7"/>
          <w:b w:val="0"/>
          <w:bCs w:val="0"/>
        </w:rPr>
        <w:t>Sales Teams</w:t>
      </w:r>
      <w:r w:rsidRPr="00E225E7">
        <w:t xml:space="preserve"> is operationally relevant. The target population included employees across multiple business lines and support units connected to client origination and risk-related processes.</w:t>
      </w:r>
    </w:p>
    <w:p w14:paraId="432341F6" w14:textId="77777777" w:rsidR="00E225E7" w:rsidRPr="00E225E7" w:rsidRDefault="00E225E7" w:rsidP="00E45EED">
      <w:pPr>
        <w:pStyle w:val="a6"/>
        <w:jc w:val="both"/>
      </w:pPr>
      <w:r w:rsidRPr="00E225E7">
        <w:t>The research population was defined according to the following demographic and professional characteristics:</w:t>
      </w:r>
    </w:p>
    <w:p w14:paraId="3AA64838" w14:textId="77777777" w:rsidR="00E225E7" w:rsidRPr="00E225E7" w:rsidRDefault="00E225E7" w:rsidP="002E6F27">
      <w:pPr>
        <w:pStyle w:val="a6"/>
        <w:numPr>
          <w:ilvl w:val="0"/>
          <w:numId w:val="57"/>
        </w:numPr>
        <w:jc w:val="both"/>
      </w:pPr>
      <w:r w:rsidRPr="00E225E7">
        <w:rPr>
          <w:rStyle w:val="a7"/>
          <w:b w:val="0"/>
          <w:bCs w:val="0"/>
        </w:rPr>
        <w:t>Gender:</w:t>
      </w:r>
      <w:r w:rsidRPr="00E225E7">
        <w:t xml:space="preserve"> The population included both male and female employees working in different units of the bank.</w:t>
      </w:r>
    </w:p>
    <w:p w14:paraId="182D5B9F" w14:textId="77777777" w:rsidR="00E225E7" w:rsidRPr="00E225E7" w:rsidRDefault="00E225E7" w:rsidP="002E6F27">
      <w:pPr>
        <w:pStyle w:val="a6"/>
        <w:numPr>
          <w:ilvl w:val="0"/>
          <w:numId w:val="57"/>
        </w:numPr>
        <w:jc w:val="both"/>
      </w:pPr>
      <w:r w:rsidRPr="00E225E7">
        <w:rPr>
          <w:rStyle w:val="a7"/>
          <w:b w:val="0"/>
          <w:bCs w:val="0"/>
        </w:rPr>
        <w:t>Age Group:</w:t>
      </w:r>
      <w:r w:rsidRPr="00E225E7">
        <w:t xml:space="preserve"> Employees ranged across several age brackets, beginning from </w:t>
      </w:r>
      <w:r w:rsidRPr="00E225E7">
        <w:rPr>
          <w:rStyle w:val="a7"/>
          <w:b w:val="0"/>
          <w:bCs w:val="0"/>
        </w:rPr>
        <w:t>18 years and above</w:t>
      </w:r>
      <w:r w:rsidRPr="00E225E7">
        <w:t>, covering early-career to senior-level staff.</w:t>
      </w:r>
    </w:p>
    <w:p w14:paraId="1F209CFC" w14:textId="77777777" w:rsidR="00E225E7" w:rsidRPr="00E225E7" w:rsidRDefault="00E225E7" w:rsidP="002E6F27">
      <w:pPr>
        <w:pStyle w:val="a6"/>
        <w:numPr>
          <w:ilvl w:val="0"/>
          <w:numId w:val="57"/>
        </w:numPr>
        <w:jc w:val="both"/>
      </w:pPr>
      <w:r w:rsidRPr="00E225E7">
        <w:rPr>
          <w:rStyle w:val="a7"/>
          <w:b w:val="0"/>
          <w:bCs w:val="0"/>
        </w:rPr>
        <w:t>Education Level:</w:t>
      </w:r>
      <w:r w:rsidRPr="00E225E7">
        <w:t xml:space="preserve"> The population held diverse educational qualifications, including high school diplomas, bachelor’s degrees, master’s degrees, and doctoral degrees.</w:t>
      </w:r>
    </w:p>
    <w:p w14:paraId="41332831" w14:textId="77777777" w:rsidR="00E225E7" w:rsidRPr="00E225E7" w:rsidRDefault="00E225E7" w:rsidP="002E6F27">
      <w:pPr>
        <w:pStyle w:val="a6"/>
        <w:numPr>
          <w:ilvl w:val="0"/>
          <w:numId w:val="57"/>
        </w:numPr>
        <w:jc w:val="both"/>
      </w:pPr>
      <w:r w:rsidRPr="00E225E7">
        <w:rPr>
          <w:rStyle w:val="a7"/>
          <w:b w:val="0"/>
          <w:bCs w:val="0"/>
        </w:rPr>
        <w:t>Tenure at Al Rajhi Bank:</w:t>
      </w:r>
      <w:r w:rsidRPr="00E225E7">
        <w:t xml:space="preserve"> Employees varied in their years of service, ranging from </w:t>
      </w:r>
      <w:r w:rsidRPr="00E225E7">
        <w:rPr>
          <w:rStyle w:val="a7"/>
          <w:b w:val="0"/>
          <w:bCs w:val="0"/>
        </w:rPr>
        <w:t>less than 1 year</w:t>
      </w:r>
      <w:r w:rsidRPr="00E225E7">
        <w:t xml:space="preserve"> to </w:t>
      </w:r>
      <w:r w:rsidRPr="00E225E7">
        <w:rPr>
          <w:rStyle w:val="a7"/>
          <w:b w:val="0"/>
          <w:bCs w:val="0"/>
        </w:rPr>
        <w:t>more than 10 years</w:t>
      </w:r>
      <w:r w:rsidRPr="00E225E7">
        <w:t>, reflecting a mix of newly hired staff and experienced professionals.</w:t>
      </w:r>
    </w:p>
    <w:p w14:paraId="6299C5ED" w14:textId="77777777" w:rsidR="00E225E7" w:rsidRPr="00E225E7" w:rsidRDefault="00E225E7" w:rsidP="002E6F27">
      <w:pPr>
        <w:pStyle w:val="a6"/>
        <w:numPr>
          <w:ilvl w:val="0"/>
          <w:numId w:val="57"/>
        </w:numPr>
        <w:jc w:val="both"/>
      </w:pPr>
      <w:r w:rsidRPr="00E225E7">
        <w:rPr>
          <w:rStyle w:val="a7"/>
          <w:b w:val="0"/>
          <w:bCs w:val="0"/>
        </w:rPr>
        <w:t>Job Level:</w:t>
      </w:r>
      <w:r w:rsidRPr="00E225E7">
        <w:t xml:space="preserve"> The population included individuals in </w:t>
      </w:r>
      <w:r w:rsidRPr="00E225E7">
        <w:rPr>
          <w:rStyle w:val="a7"/>
          <w:b w:val="0"/>
          <w:bCs w:val="0"/>
        </w:rPr>
        <w:t>entry-level</w:t>
      </w:r>
      <w:r w:rsidRPr="00E225E7">
        <w:t xml:space="preserve">, </w:t>
      </w:r>
      <w:r w:rsidRPr="00E225E7">
        <w:rPr>
          <w:rStyle w:val="a7"/>
          <w:b w:val="0"/>
          <w:bCs w:val="0"/>
        </w:rPr>
        <w:t>mid-level</w:t>
      </w:r>
      <w:r w:rsidRPr="00E225E7">
        <w:t xml:space="preserve">, </w:t>
      </w:r>
      <w:r w:rsidRPr="00E225E7">
        <w:rPr>
          <w:rStyle w:val="a7"/>
          <w:b w:val="0"/>
          <w:bCs w:val="0"/>
        </w:rPr>
        <w:t>senior-level</w:t>
      </w:r>
      <w:r w:rsidRPr="00E225E7">
        <w:t xml:space="preserve">, </w:t>
      </w:r>
      <w:r w:rsidRPr="00E225E7">
        <w:rPr>
          <w:rStyle w:val="a7"/>
          <w:b w:val="0"/>
          <w:bCs w:val="0"/>
        </w:rPr>
        <w:t>management</w:t>
      </w:r>
      <w:r w:rsidRPr="00E225E7">
        <w:t xml:space="preserve">, and </w:t>
      </w:r>
      <w:r w:rsidRPr="00E225E7">
        <w:rPr>
          <w:rStyle w:val="a7"/>
          <w:b w:val="0"/>
          <w:bCs w:val="0"/>
        </w:rPr>
        <w:t>executive</w:t>
      </w:r>
      <w:r w:rsidRPr="00E225E7">
        <w:t xml:space="preserve"> positions.</w:t>
      </w:r>
    </w:p>
    <w:p w14:paraId="404B050A" w14:textId="77777777" w:rsidR="00E225E7" w:rsidRPr="00E225E7" w:rsidRDefault="00E225E7" w:rsidP="002E6F27">
      <w:pPr>
        <w:pStyle w:val="a6"/>
        <w:numPr>
          <w:ilvl w:val="0"/>
          <w:numId w:val="57"/>
        </w:numPr>
        <w:jc w:val="both"/>
      </w:pPr>
      <w:r w:rsidRPr="00E225E7">
        <w:rPr>
          <w:rStyle w:val="a7"/>
          <w:b w:val="0"/>
          <w:bCs w:val="0"/>
        </w:rPr>
        <w:t>Department:</w:t>
      </w:r>
      <w:r w:rsidRPr="00E225E7">
        <w:t xml:space="preserve"> The study targeted employees working in departments directly or indirectly involved in client origination and risk-management–related actions, including:</w:t>
      </w:r>
    </w:p>
    <w:p w14:paraId="190D38B6" w14:textId="77777777" w:rsidR="00E225E7" w:rsidRPr="00E225E7" w:rsidRDefault="00E225E7" w:rsidP="002E6F27">
      <w:pPr>
        <w:pStyle w:val="a6"/>
        <w:numPr>
          <w:ilvl w:val="1"/>
          <w:numId w:val="58"/>
        </w:numPr>
        <w:jc w:val="both"/>
      </w:pPr>
      <w:r w:rsidRPr="00E225E7">
        <w:t>Account Management / Sales</w:t>
      </w:r>
    </w:p>
    <w:p w14:paraId="2B455D0F" w14:textId="77777777" w:rsidR="00E225E7" w:rsidRPr="00E225E7" w:rsidRDefault="00E225E7" w:rsidP="002E6F27">
      <w:pPr>
        <w:pStyle w:val="a6"/>
        <w:numPr>
          <w:ilvl w:val="1"/>
          <w:numId w:val="58"/>
        </w:numPr>
        <w:jc w:val="both"/>
      </w:pPr>
      <w:r w:rsidRPr="00E225E7">
        <w:t>Risk Management / Compliance</w:t>
      </w:r>
    </w:p>
    <w:p w14:paraId="1F0FD21B" w14:textId="77777777" w:rsidR="00E225E7" w:rsidRPr="00E225E7" w:rsidRDefault="00E225E7" w:rsidP="002E6F27">
      <w:pPr>
        <w:pStyle w:val="a6"/>
        <w:numPr>
          <w:ilvl w:val="1"/>
          <w:numId w:val="58"/>
        </w:numPr>
        <w:jc w:val="both"/>
      </w:pPr>
      <w:r w:rsidRPr="00E225E7">
        <w:t>Operations</w:t>
      </w:r>
    </w:p>
    <w:p w14:paraId="3CFC1E7D" w14:textId="77777777" w:rsidR="00E225E7" w:rsidRPr="00E225E7" w:rsidRDefault="00E225E7" w:rsidP="002E6F27">
      <w:pPr>
        <w:pStyle w:val="a6"/>
        <w:numPr>
          <w:ilvl w:val="1"/>
          <w:numId w:val="58"/>
        </w:numPr>
        <w:jc w:val="both"/>
      </w:pPr>
      <w:r w:rsidRPr="00E225E7">
        <w:t>IT / Technology</w:t>
      </w:r>
    </w:p>
    <w:p w14:paraId="2F2A8298" w14:textId="77777777" w:rsidR="00E225E7" w:rsidRPr="00E225E7" w:rsidRDefault="00E225E7" w:rsidP="002E6F27">
      <w:pPr>
        <w:pStyle w:val="a6"/>
        <w:numPr>
          <w:ilvl w:val="1"/>
          <w:numId w:val="58"/>
        </w:numPr>
        <w:jc w:val="both"/>
      </w:pPr>
      <w:r w:rsidRPr="00E225E7">
        <w:t>Finance / Other supporting roles</w:t>
      </w:r>
    </w:p>
    <w:p w14:paraId="0CE0CB40" w14:textId="77777777" w:rsidR="00E225E7" w:rsidRPr="00E225E7" w:rsidRDefault="00E225E7" w:rsidP="00E45EED">
      <w:pPr>
        <w:pStyle w:val="a6"/>
        <w:jc w:val="both"/>
      </w:pPr>
      <w:r w:rsidRPr="00E225E7">
        <w:t xml:space="preserve">For the purposes of this research, the </w:t>
      </w:r>
      <w:r w:rsidRPr="00E225E7">
        <w:rPr>
          <w:rStyle w:val="a7"/>
          <w:b w:val="0"/>
          <w:bCs w:val="0"/>
        </w:rPr>
        <w:t>total size of the research population (N)</w:t>
      </w:r>
      <w:r w:rsidRPr="00E225E7">
        <w:t xml:space="preserve"> was determined to be </w:t>
      </w:r>
      <w:r w:rsidRPr="00E225E7">
        <w:rPr>
          <w:rStyle w:val="a7"/>
          <w:b w:val="0"/>
          <w:bCs w:val="0"/>
        </w:rPr>
        <w:t>400 employees</w:t>
      </w:r>
      <w:r w:rsidRPr="00E225E7">
        <w:t xml:space="preserve"> across relevant Al Rajhi Bank units within Riyadh. This population size reflects the estimated number of personnel working in functions where coordination between Account Managers and Sales Teams influences risk-related decisions.</w:t>
      </w:r>
    </w:p>
    <w:p w14:paraId="26E21B69" w14:textId="77777777" w:rsidR="00E225E7" w:rsidRPr="00E225E7" w:rsidRDefault="00E225E7" w:rsidP="00E45EED">
      <w:pPr>
        <w:pStyle w:val="a6"/>
        <w:jc w:val="both"/>
      </w:pPr>
      <w:r w:rsidRPr="00E225E7">
        <w:t xml:space="preserve">The data for this study was collected using a structured questionnaire administered electronically through an online survey format. The instrument employed a </w:t>
      </w:r>
      <w:r w:rsidRPr="00E225E7">
        <w:rPr>
          <w:rStyle w:val="a7"/>
          <w:b w:val="0"/>
          <w:bCs w:val="0"/>
        </w:rPr>
        <w:t>five-point Likert scale</w:t>
      </w:r>
      <w:r w:rsidRPr="00E225E7">
        <w:t xml:space="preserve">, where </w:t>
      </w:r>
      <w:r w:rsidRPr="00E225E7">
        <w:rPr>
          <w:rStyle w:val="a7"/>
          <w:b w:val="0"/>
          <w:bCs w:val="0"/>
        </w:rPr>
        <w:t>1 = Strongly Disagree</w:t>
      </w:r>
      <w:r w:rsidRPr="00E225E7">
        <w:t xml:space="preserve"> and </w:t>
      </w:r>
      <w:r w:rsidRPr="00E225E7">
        <w:rPr>
          <w:rStyle w:val="a7"/>
          <w:b w:val="0"/>
          <w:bCs w:val="0"/>
        </w:rPr>
        <w:t>5 = Strongly Agree</w:t>
      </w:r>
      <w:r w:rsidRPr="00E225E7">
        <w:t>, and included demographic questions alongside items measuring the dimensions of the independent and dependent variables. The survey link was distributed digitally to employees within the defined population scope, and responses were collected anonymously to ensure accuracy and confidentiality.</w:t>
      </w:r>
    </w:p>
    <w:p w14:paraId="4DA0FC9C" w14:textId="7ADA9EF9" w:rsidR="00166BB3" w:rsidRPr="00166BB3" w:rsidRDefault="00166BB3" w:rsidP="00166BB3">
      <w:pPr>
        <w:pStyle w:val="ad"/>
        <w:rPr>
          <w:rtl/>
          <w:lang w:bidi="ar-EG"/>
        </w:rPr>
      </w:pPr>
      <w:bookmarkStart w:id="121" w:name="_Toc214622010"/>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CD4CCF">
        <w:rPr>
          <w:rtl/>
        </w:rPr>
        <w:t>4</w:t>
      </w:r>
      <w:r>
        <w:rPr>
          <w:rtl/>
        </w:rPr>
        <w:fldChar w:fldCharType="end"/>
      </w:r>
      <w:r>
        <w:t xml:space="preserve">: </w:t>
      </w:r>
      <w:r w:rsidRPr="00E72470">
        <w:t>The Research Population.</w:t>
      </w:r>
      <w:bookmarkEnd w:id="121"/>
    </w:p>
    <w:tbl>
      <w:tblPr>
        <w:tblStyle w:val="ae"/>
        <w:bidiVisual/>
        <w:tblW w:w="0" w:type="auto"/>
        <w:tblInd w:w="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2809"/>
        <w:gridCol w:w="3429"/>
      </w:tblGrid>
      <w:tr w:rsidR="00166BB3" w:rsidRPr="00E45EED" w14:paraId="723F6AFE" w14:textId="77777777" w:rsidTr="00166BB3">
        <w:tc>
          <w:tcPr>
            <w:tcW w:w="2789" w:type="dxa"/>
            <w:tcBorders>
              <w:top w:val="single" w:sz="4" w:space="0" w:color="auto"/>
              <w:left w:val="single" w:sz="4" w:space="0" w:color="auto"/>
              <w:bottom w:val="single" w:sz="4" w:space="0" w:color="auto"/>
            </w:tcBorders>
            <w:vAlign w:val="center"/>
          </w:tcPr>
          <w:p w14:paraId="45839A4A" w14:textId="77777777" w:rsidR="00E45EED" w:rsidRPr="00E45EED" w:rsidRDefault="00E45EED" w:rsidP="00E45EED">
            <w:pPr>
              <w:bidi w:val="0"/>
              <w:spacing w:line="276" w:lineRule="auto"/>
              <w:jc w:val="center"/>
              <w:rPr>
                <w:rFonts w:asciiTheme="majorBidi" w:eastAsia="Calibri" w:hAnsiTheme="majorBidi" w:cstheme="majorBidi"/>
                <w:b/>
                <w:bCs/>
                <w:sz w:val="28"/>
                <w:szCs w:val="28"/>
                <w:rtl/>
                <w:lang w:bidi="ar-EG"/>
              </w:rPr>
            </w:pPr>
            <w:r w:rsidRPr="00E45EED">
              <w:rPr>
                <w:rFonts w:asciiTheme="majorBidi" w:hAnsiTheme="majorBidi" w:cstheme="majorBidi"/>
                <w:b/>
                <w:bCs/>
                <w:color w:val="000000"/>
                <w:sz w:val="28"/>
                <w:szCs w:val="28"/>
              </w:rPr>
              <w:t>Frequency</w:t>
            </w:r>
          </w:p>
        </w:tc>
        <w:tc>
          <w:tcPr>
            <w:tcW w:w="2811" w:type="dxa"/>
            <w:tcBorders>
              <w:top w:val="single" w:sz="4" w:space="0" w:color="auto"/>
              <w:bottom w:val="single" w:sz="4" w:space="0" w:color="auto"/>
            </w:tcBorders>
            <w:vAlign w:val="center"/>
          </w:tcPr>
          <w:p w14:paraId="64C2D3BC" w14:textId="77777777" w:rsidR="00E45EED" w:rsidRPr="00E45EED" w:rsidRDefault="00E45EED" w:rsidP="00E45EED">
            <w:pPr>
              <w:bidi w:val="0"/>
              <w:spacing w:line="276" w:lineRule="auto"/>
              <w:jc w:val="center"/>
              <w:rPr>
                <w:rFonts w:asciiTheme="majorBidi" w:eastAsia="Calibri" w:hAnsiTheme="majorBidi" w:cstheme="majorBidi"/>
                <w:b/>
                <w:bCs/>
                <w:sz w:val="28"/>
                <w:szCs w:val="28"/>
                <w:rtl/>
                <w:lang w:bidi="ar-EG"/>
              </w:rPr>
            </w:pPr>
            <w:r w:rsidRPr="00E45EED">
              <w:rPr>
                <w:rFonts w:asciiTheme="majorBidi" w:hAnsiTheme="majorBidi" w:cstheme="majorBidi"/>
                <w:b/>
                <w:bCs/>
                <w:color w:val="000000"/>
                <w:sz w:val="28"/>
                <w:szCs w:val="28"/>
              </w:rPr>
              <w:t>Percentage</w:t>
            </w:r>
          </w:p>
        </w:tc>
        <w:tc>
          <w:tcPr>
            <w:tcW w:w="3431" w:type="dxa"/>
            <w:tcBorders>
              <w:top w:val="single" w:sz="4" w:space="0" w:color="auto"/>
              <w:bottom w:val="single" w:sz="4" w:space="0" w:color="auto"/>
              <w:right w:val="single" w:sz="4" w:space="0" w:color="auto"/>
            </w:tcBorders>
          </w:tcPr>
          <w:p w14:paraId="2141BEBF" w14:textId="77777777" w:rsidR="00E45EED" w:rsidRPr="00E45EED" w:rsidRDefault="00E45EED" w:rsidP="00E45EED">
            <w:pPr>
              <w:bidi w:val="0"/>
              <w:spacing w:line="276" w:lineRule="auto"/>
              <w:jc w:val="center"/>
              <w:rPr>
                <w:rFonts w:asciiTheme="majorBidi" w:eastAsia="Calibri" w:hAnsiTheme="majorBidi" w:cstheme="majorBidi"/>
                <w:b/>
                <w:bCs/>
                <w:sz w:val="28"/>
                <w:szCs w:val="28"/>
                <w:rtl/>
                <w:lang w:bidi="ar-EG"/>
              </w:rPr>
            </w:pPr>
            <w:r w:rsidRPr="00E45EED">
              <w:rPr>
                <w:rFonts w:asciiTheme="majorBidi" w:hAnsiTheme="majorBidi" w:cstheme="majorBidi"/>
                <w:b/>
                <w:bCs/>
                <w:color w:val="000000"/>
                <w:sz w:val="28"/>
                <w:szCs w:val="28"/>
                <w:shd w:val="clear" w:color="auto" w:fill="F7F7F7"/>
              </w:rPr>
              <w:t>Characteristic</w:t>
            </w:r>
          </w:p>
        </w:tc>
      </w:tr>
      <w:tr w:rsidR="00E45EED" w:rsidRPr="00E45EED" w14:paraId="2A9F94EF" w14:textId="77777777" w:rsidTr="00166BB3">
        <w:tc>
          <w:tcPr>
            <w:tcW w:w="9031" w:type="dxa"/>
            <w:gridSpan w:val="3"/>
            <w:tcBorders>
              <w:top w:val="single" w:sz="4" w:space="0" w:color="auto"/>
              <w:bottom w:val="single" w:sz="4" w:space="0" w:color="auto"/>
            </w:tcBorders>
          </w:tcPr>
          <w:p w14:paraId="05F888AA" w14:textId="77777777" w:rsidR="00E45EED" w:rsidRPr="00E45EED" w:rsidRDefault="00E45EED" w:rsidP="00E45EED">
            <w:pPr>
              <w:pStyle w:val="a5"/>
              <w:bidi w:val="0"/>
              <w:spacing w:line="276" w:lineRule="auto"/>
              <w:rPr>
                <w:rFonts w:asciiTheme="majorBidi" w:eastAsia="Times New Roman" w:hAnsiTheme="majorBidi" w:cstheme="majorBidi"/>
                <w:b/>
                <w:bCs/>
                <w:color w:val="000000"/>
                <w:sz w:val="28"/>
                <w:szCs w:val="28"/>
              </w:rPr>
            </w:pPr>
            <w:r w:rsidRPr="00E45EED">
              <w:rPr>
                <w:rFonts w:asciiTheme="majorBidi" w:eastAsia="Times New Roman" w:hAnsiTheme="majorBidi" w:cstheme="majorBidi"/>
                <w:b/>
                <w:bCs/>
                <w:color w:val="000000"/>
                <w:sz w:val="28"/>
                <w:szCs w:val="28"/>
              </w:rPr>
              <w:t>Role / Position</w:t>
            </w:r>
          </w:p>
        </w:tc>
      </w:tr>
      <w:tr w:rsidR="00166BB3" w:rsidRPr="00E45EED" w14:paraId="03477BC1" w14:textId="77777777" w:rsidTr="00166BB3">
        <w:tc>
          <w:tcPr>
            <w:tcW w:w="2789" w:type="dxa"/>
          </w:tcPr>
          <w:p w14:paraId="0DE021EE" w14:textId="6446D345"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120</w:t>
            </w:r>
          </w:p>
        </w:tc>
        <w:tc>
          <w:tcPr>
            <w:tcW w:w="2811" w:type="dxa"/>
          </w:tcPr>
          <w:p w14:paraId="6A825AA2" w14:textId="71AEE444" w:rsidR="00166BB3" w:rsidRPr="00E45EED" w:rsidRDefault="00166BB3" w:rsidP="00166BB3">
            <w:pPr>
              <w:bidi w:val="0"/>
              <w:spacing w:line="276" w:lineRule="auto"/>
              <w:jc w:val="center"/>
              <w:rPr>
                <w:rFonts w:asciiTheme="majorBidi" w:eastAsia="Calibri" w:hAnsiTheme="majorBidi" w:cstheme="majorBidi"/>
                <w:sz w:val="28"/>
                <w:szCs w:val="28"/>
                <w:rtl/>
                <w:lang w:bidi="ar-EG"/>
              </w:rPr>
            </w:pPr>
            <w:r w:rsidRPr="002A7502">
              <w:rPr>
                <w:rtl/>
              </w:rPr>
              <w:t>30%</w:t>
            </w:r>
          </w:p>
        </w:tc>
        <w:tc>
          <w:tcPr>
            <w:tcW w:w="3431" w:type="dxa"/>
          </w:tcPr>
          <w:p w14:paraId="25DBFB61" w14:textId="7115B3C3" w:rsidR="00166BB3" w:rsidRPr="00E45EED" w:rsidRDefault="00166BB3" w:rsidP="002E6F27">
            <w:pPr>
              <w:pStyle w:val="a5"/>
              <w:numPr>
                <w:ilvl w:val="0"/>
                <w:numId w:val="59"/>
              </w:numPr>
              <w:bidi w:val="0"/>
              <w:spacing w:line="276" w:lineRule="auto"/>
              <w:ind w:left="426" w:hanging="284"/>
              <w:rPr>
                <w:rFonts w:asciiTheme="majorBidi" w:eastAsia="Times New Roman" w:hAnsiTheme="majorBidi" w:cstheme="majorBidi"/>
                <w:color w:val="000000"/>
                <w:sz w:val="28"/>
                <w:szCs w:val="28"/>
              </w:rPr>
            </w:pPr>
            <w:r w:rsidRPr="00E45EED">
              <w:rPr>
                <w:rFonts w:asciiTheme="majorBidi" w:hAnsiTheme="majorBidi" w:cstheme="majorBidi"/>
              </w:rPr>
              <w:t>Entry-level</w:t>
            </w:r>
          </w:p>
        </w:tc>
      </w:tr>
      <w:tr w:rsidR="00166BB3" w:rsidRPr="00E45EED" w14:paraId="1240615E" w14:textId="77777777" w:rsidTr="00166BB3">
        <w:tc>
          <w:tcPr>
            <w:tcW w:w="2789" w:type="dxa"/>
          </w:tcPr>
          <w:p w14:paraId="68634179" w14:textId="5A3DA17D"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140</w:t>
            </w:r>
          </w:p>
        </w:tc>
        <w:tc>
          <w:tcPr>
            <w:tcW w:w="2811" w:type="dxa"/>
          </w:tcPr>
          <w:p w14:paraId="42D3BF29" w14:textId="5DEE6638" w:rsidR="00166BB3" w:rsidRPr="00E45EED" w:rsidRDefault="00166BB3" w:rsidP="00166BB3">
            <w:pPr>
              <w:bidi w:val="0"/>
              <w:spacing w:line="276" w:lineRule="auto"/>
              <w:jc w:val="center"/>
              <w:rPr>
                <w:rFonts w:asciiTheme="majorBidi" w:eastAsia="Calibri" w:hAnsiTheme="majorBidi" w:cstheme="majorBidi"/>
                <w:sz w:val="28"/>
                <w:szCs w:val="28"/>
                <w:rtl/>
                <w:lang w:bidi="ar-EG"/>
              </w:rPr>
            </w:pPr>
            <w:r w:rsidRPr="002A7502">
              <w:rPr>
                <w:rtl/>
              </w:rPr>
              <w:t>35%</w:t>
            </w:r>
          </w:p>
        </w:tc>
        <w:tc>
          <w:tcPr>
            <w:tcW w:w="3431" w:type="dxa"/>
          </w:tcPr>
          <w:p w14:paraId="50597092" w14:textId="689E3E9E" w:rsidR="00166BB3" w:rsidRPr="00E45EED" w:rsidRDefault="00166BB3" w:rsidP="002E6F27">
            <w:pPr>
              <w:pStyle w:val="a5"/>
              <w:numPr>
                <w:ilvl w:val="0"/>
                <w:numId w:val="59"/>
              </w:numPr>
              <w:bidi w:val="0"/>
              <w:spacing w:line="276" w:lineRule="auto"/>
              <w:ind w:left="426" w:hanging="284"/>
              <w:rPr>
                <w:rFonts w:asciiTheme="majorBidi" w:eastAsia="Times New Roman" w:hAnsiTheme="majorBidi" w:cstheme="majorBidi"/>
                <w:color w:val="000000"/>
                <w:sz w:val="28"/>
                <w:szCs w:val="28"/>
              </w:rPr>
            </w:pPr>
            <w:r w:rsidRPr="00E45EED">
              <w:rPr>
                <w:rFonts w:asciiTheme="majorBidi" w:hAnsiTheme="majorBidi" w:cstheme="majorBidi"/>
              </w:rPr>
              <w:t>Mid-level</w:t>
            </w:r>
          </w:p>
        </w:tc>
      </w:tr>
      <w:tr w:rsidR="00166BB3" w:rsidRPr="00E45EED" w14:paraId="0CC13F88" w14:textId="77777777" w:rsidTr="00166BB3">
        <w:tc>
          <w:tcPr>
            <w:tcW w:w="2789" w:type="dxa"/>
          </w:tcPr>
          <w:p w14:paraId="4AE3FBD6" w14:textId="222CAD8C"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60</w:t>
            </w:r>
          </w:p>
        </w:tc>
        <w:tc>
          <w:tcPr>
            <w:tcW w:w="2811" w:type="dxa"/>
          </w:tcPr>
          <w:p w14:paraId="27410C6C" w14:textId="77DCB1D1" w:rsidR="00166BB3" w:rsidRPr="00E45EED" w:rsidRDefault="00166BB3" w:rsidP="00166BB3">
            <w:pPr>
              <w:bidi w:val="0"/>
              <w:spacing w:line="276" w:lineRule="auto"/>
              <w:jc w:val="center"/>
              <w:rPr>
                <w:rFonts w:asciiTheme="majorBidi" w:eastAsia="Calibri" w:hAnsiTheme="majorBidi" w:cstheme="majorBidi"/>
                <w:sz w:val="28"/>
                <w:szCs w:val="28"/>
                <w:rtl/>
                <w:lang w:bidi="ar-EG"/>
              </w:rPr>
            </w:pPr>
            <w:r w:rsidRPr="002A7502">
              <w:rPr>
                <w:rtl/>
              </w:rPr>
              <w:t>15%</w:t>
            </w:r>
          </w:p>
        </w:tc>
        <w:tc>
          <w:tcPr>
            <w:tcW w:w="3431" w:type="dxa"/>
          </w:tcPr>
          <w:p w14:paraId="0586503F" w14:textId="19D51A21" w:rsidR="00166BB3" w:rsidRPr="00E45EED" w:rsidRDefault="00166BB3" w:rsidP="002E6F27">
            <w:pPr>
              <w:pStyle w:val="a5"/>
              <w:numPr>
                <w:ilvl w:val="0"/>
                <w:numId w:val="59"/>
              </w:numPr>
              <w:bidi w:val="0"/>
              <w:spacing w:line="276" w:lineRule="auto"/>
              <w:ind w:left="426" w:hanging="284"/>
              <w:rPr>
                <w:rFonts w:asciiTheme="majorBidi" w:eastAsia="Times New Roman" w:hAnsiTheme="majorBidi" w:cstheme="majorBidi"/>
                <w:color w:val="000000"/>
                <w:sz w:val="28"/>
                <w:szCs w:val="28"/>
              </w:rPr>
            </w:pPr>
            <w:r w:rsidRPr="00E45EED">
              <w:rPr>
                <w:rFonts w:asciiTheme="majorBidi" w:hAnsiTheme="majorBidi" w:cstheme="majorBidi"/>
              </w:rPr>
              <w:t>Senior-level</w:t>
            </w:r>
          </w:p>
        </w:tc>
      </w:tr>
      <w:tr w:rsidR="00166BB3" w:rsidRPr="00E45EED" w14:paraId="3A6F734A" w14:textId="77777777" w:rsidTr="00166BB3">
        <w:tc>
          <w:tcPr>
            <w:tcW w:w="2789" w:type="dxa"/>
          </w:tcPr>
          <w:p w14:paraId="36619AE6" w14:textId="270AAB87"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50</w:t>
            </w:r>
          </w:p>
        </w:tc>
        <w:tc>
          <w:tcPr>
            <w:tcW w:w="2811" w:type="dxa"/>
          </w:tcPr>
          <w:p w14:paraId="598030CF" w14:textId="264EBDB4"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2A7502">
              <w:rPr>
                <w:rtl/>
              </w:rPr>
              <w:t>12.50%</w:t>
            </w:r>
          </w:p>
        </w:tc>
        <w:tc>
          <w:tcPr>
            <w:tcW w:w="3431" w:type="dxa"/>
          </w:tcPr>
          <w:p w14:paraId="25DD6B70" w14:textId="1F581897" w:rsidR="00166BB3" w:rsidRPr="00E45EED" w:rsidRDefault="00166BB3" w:rsidP="002E6F27">
            <w:pPr>
              <w:pStyle w:val="a5"/>
              <w:numPr>
                <w:ilvl w:val="0"/>
                <w:numId w:val="59"/>
              </w:numPr>
              <w:bidi w:val="0"/>
              <w:spacing w:line="276" w:lineRule="auto"/>
              <w:ind w:left="426" w:hanging="284"/>
              <w:rPr>
                <w:rFonts w:asciiTheme="majorBidi" w:hAnsiTheme="majorBidi" w:cstheme="majorBidi"/>
                <w:sz w:val="28"/>
                <w:szCs w:val="28"/>
              </w:rPr>
            </w:pPr>
            <w:r w:rsidRPr="00E45EED">
              <w:rPr>
                <w:rFonts w:asciiTheme="majorBidi" w:hAnsiTheme="majorBidi" w:cstheme="majorBidi"/>
              </w:rPr>
              <w:t>Management</w:t>
            </w:r>
          </w:p>
        </w:tc>
      </w:tr>
      <w:tr w:rsidR="00166BB3" w:rsidRPr="00E45EED" w14:paraId="637A86F4" w14:textId="77777777" w:rsidTr="00166BB3">
        <w:tc>
          <w:tcPr>
            <w:tcW w:w="2789" w:type="dxa"/>
          </w:tcPr>
          <w:p w14:paraId="60A6C249" w14:textId="5F632173"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20</w:t>
            </w:r>
          </w:p>
        </w:tc>
        <w:tc>
          <w:tcPr>
            <w:tcW w:w="2811" w:type="dxa"/>
          </w:tcPr>
          <w:p w14:paraId="787853A4" w14:textId="16947F24"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2A7502">
              <w:rPr>
                <w:rtl/>
              </w:rPr>
              <w:t>5%</w:t>
            </w:r>
          </w:p>
        </w:tc>
        <w:tc>
          <w:tcPr>
            <w:tcW w:w="3431" w:type="dxa"/>
          </w:tcPr>
          <w:p w14:paraId="3B2DB4B6" w14:textId="11B41FF7" w:rsidR="00166BB3" w:rsidRPr="00E45EED" w:rsidRDefault="00166BB3" w:rsidP="002E6F27">
            <w:pPr>
              <w:pStyle w:val="a5"/>
              <w:numPr>
                <w:ilvl w:val="0"/>
                <w:numId w:val="59"/>
              </w:numPr>
              <w:bidi w:val="0"/>
              <w:spacing w:line="276" w:lineRule="auto"/>
              <w:ind w:left="426" w:hanging="284"/>
              <w:rPr>
                <w:rFonts w:asciiTheme="majorBidi" w:hAnsiTheme="majorBidi" w:cstheme="majorBidi"/>
                <w:sz w:val="28"/>
                <w:szCs w:val="28"/>
              </w:rPr>
            </w:pPr>
            <w:r w:rsidRPr="00E45EED">
              <w:rPr>
                <w:rFonts w:asciiTheme="majorBidi" w:hAnsiTheme="majorBidi" w:cstheme="majorBidi"/>
              </w:rPr>
              <w:t>Executive</w:t>
            </w:r>
          </w:p>
        </w:tc>
      </w:tr>
      <w:tr w:rsidR="00166BB3" w:rsidRPr="00E45EED" w14:paraId="13E49359" w14:textId="77777777" w:rsidTr="00166BB3">
        <w:tc>
          <w:tcPr>
            <w:tcW w:w="2789" w:type="dxa"/>
            <w:tcBorders>
              <w:bottom w:val="single" w:sz="4" w:space="0" w:color="auto"/>
            </w:tcBorders>
          </w:tcPr>
          <w:p w14:paraId="6CAEF22F" w14:textId="1FFA6238"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7B4177">
              <w:rPr>
                <w:rtl/>
              </w:rPr>
              <w:t>10</w:t>
            </w:r>
          </w:p>
        </w:tc>
        <w:tc>
          <w:tcPr>
            <w:tcW w:w="2811" w:type="dxa"/>
            <w:tcBorders>
              <w:bottom w:val="single" w:sz="4" w:space="0" w:color="auto"/>
            </w:tcBorders>
          </w:tcPr>
          <w:p w14:paraId="0E8DF49B" w14:textId="3D0CEEDB" w:rsidR="00166BB3" w:rsidRPr="00E45EED" w:rsidRDefault="00166BB3" w:rsidP="00166BB3">
            <w:pPr>
              <w:bidi w:val="0"/>
              <w:spacing w:line="276" w:lineRule="auto"/>
              <w:jc w:val="center"/>
              <w:rPr>
                <w:rFonts w:asciiTheme="majorBidi" w:eastAsia="Calibri" w:hAnsiTheme="majorBidi" w:cstheme="majorBidi"/>
                <w:sz w:val="28"/>
                <w:szCs w:val="28"/>
                <w:lang w:bidi="ar-EG"/>
              </w:rPr>
            </w:pPr>
            <w:r w:rsidRPr="002A7502">
              <w:rPr>
                <w:rtl/>
              </w:rPr>
              <w:t>2.50%</w:t>
            </w:r>
          </w:p>
        </w:tc>
        <w:tc>
          <w:tcPr>
            <w:tcW w:w="3431" w:type="dxa"/>
            <w:tcBorders>
              <w:bottom w:val="single" w:sz="4" w:space="0" w:color="auto"/>
            </w:tcBorders>
          </w:tcPr>
          <w:p w14:paraId="76ED97C7" w14:textId="463B08AB" w:rsidR="00166BB3" w:rsidRPr="00E45EED" w:rsidRDefault="00166BB3" w:rsidP="002E6F27">
            <w:pPr>
              <w:pStyle w:val="a5"/>
              <w:numPr>
                <w:ilvl w:val="0"/>
                <w:numId w:val="59"/>
              </w:numPr>
              <w:bidi w:val="0"/>
              <w:spacing w:line="276" w:lineRule="auto"/>
              <w:ind w:left="426" w:hanging="284"/>
              <w:rPr>
                <w:rFonts w:asciiTheme="majorBidi" w:hAnsiTheme="majorBidi" w:cstheme="majorBidi"/>
                <w:sz w:val="28"/>
                <w:szCs w:val="28"/>
              </w:rPr>
            </w:pPr>
            <w:r w:rsidRPr="00E45EED">
              <w:rPr>
                <w:rFonts w:asciiTheme="majorBidi" w:hAnsiTheme="majorBidi" w:cstheme="majorBidi"/>
              </w:rPr>
              <w:t>Other</w:t>
            </w:r>
          </w:p>
        </w:tc>
      </w:tr>
    </w:tbl>
    <w:p w14:paraId="28E5834E" w14:textId="77777777" w:rsidR="00166BB3" w:rsidRPr="008F02E0" w:rsidRDefault="00166BB3" w:rsidP="00166BB3">
      <w:pPr>
        <w:rPr>
          <w:rFonts w:ascii="Times New Roman" w:eastAsia="Calibri" w:hAnsi="Times New Roman" w:cs="Times New Roman"/>
          <w:sz w:val="28"/>
          <w:szCs w:val="28"/>
          <w:rtl/>
        </w:rPr>
      </w:pPr>
      <w:r w:rsidRPr="008F02E0">
        <w:rPr>
          <w:rFonts w:ascii="Times New Roman" w:eastAsia="Calibri" w:hAnsi="Times New Roman" w:cs="Times New Roman"/>
          <w:sz w:val="28"/>
          <w:szCs w:val="28"/>
        </w:rPr>
        <w:t xml:space="preserve">Sources: </w:t>
      </w:r>
      <w:r>
        <w:rPr>
          <w:rFonts w:ascii="Times New Roman" w:eastAsia="Calibri" w:hAnsi="Times New Roman" w:cs="Times New Roman"/>
          <w:sz w:val="28"/>
          <w:szCs w:val="28"/>
        </w:rPr>
        <w:t>Researcher</w:t>
      </w:r>
    </w:p>
    <w:p w14:paraId="53EC5634" w14:textId="32F759A9" w:rsidR="00166BB3" w:rsidRPr="00166BB3" w:rsidRDefault="00166BB3" w:rsidP="00166BB3">
      <w:pPr>
        <w:pStyle w:val="3"/>
      </w:pPr>
      <w:bookmarkStart w:id="122" w:name="_Toc214621175"/>
      <w:r w:rsidRPr="00166BB3">
        <w:t>Research Sample</w:t>
      </w:r>
      <w:bookmarkEnd w:id="122"/>
    </w:p>
    <w:p w14:paraId="630F6039" w14:textId="0EA033FE" w:rsidR="00370164" w:rsidRDefault="00166BB3" w:rsidP="00166BB3">
      <w:pPr>
        <w:bidi w:val="0"/>
        <w:spacing w:after="120" w:line="276" w:lineRule="auto"/>
        <w:ind w:firstLine="284"/>
        <w:jc w:val="both"/>
        <w:rPr>
          <w:rFonts w:asciiTheme="majorBidi" w:hAnsiTheme="majorBidi" w:cstheme="majorBidi"/>
          <w:sz w:val="24"/>
          <w:szCs w:val="24"/>
          <w:lang w:bidi="ar-EG"/>
        </w:rPr>
      </w:pPr>
      <w:r w:rsidRPr="00166BB3">
        <w:rPr>
          <w:rFonts w:asciiTheme="majorBidi" w:hAnsiTheme="majorBidi" w:cstheme="majorBidi"/>
          <w:sz w:val="24"/>
          <w:szCs w:val="24"/>
          <w:lang w:bidi="ar-EG"/>
        </w:rPr>
        <w:t>The research sample for this study consists of 196 employees, selected using stratified random sampling from the overall population of 400 employees at Al Rajhi Bank in Riyadh. This sample size corresponds directly with the Krejcie and Morgan (1970) table, ensuring that the study findings are statistically representative of the target population. The sample provides a 95% confidence level and a 5% margin of error, supporting the generalizability and reliability of the results.</w:t>
      </w:r>
    </w:p>
    <w:p w14:paraId="172B58DB" w14:textId="25BC7DCD" w:rsidR="00166BB3" w:rsidRDefault="00166BB3" w:rsidP="00166BB3">
      <w:pPr>
        <w:pStyle w:val="ad"/>
      </w:pPr>
      <w:bookmarkStart w:id="123" w:name="_Toc214622011"/>
      <w:r>
        <w:t xml:space="preserve">Table </w:t>
      </w:r>
      <w:r>
        <w:fldChar w:fldCharType="begin"/>
      </w:r>
      <w:r>
        <w:instrText xml:space="preserve"> SEQ Table \* ARABIC </w:instrText>
      </w:r>
      <w:r>
        <w:fldChar w:fldCharType="separate"/>
      </w:r>
      <w:r w:rsidR="00CD4CCF">
        <w:t>5</w:t>
      </w:r>
      <w:r>
        <w:fldChar w:fldCharType="end"/>
      </w:r>
      <w:r>
        <w:t xml:space="preserve">: </w:t>
      </w:r>
      <w:r w:rsidRPr="00155EEF">
        <w:t>for Sample composition using stratified random sampling.</w:t>
      </w:r>
      <w:bookmarkEnd w:id="123"/>
    </w:p>
    <w:tbl>
      <w:tblPr>
        <w:tblStyle w:val="ae"/>
        <w:tblW w:w="0" w:type="auto"/>
        <w:tblLook w:val="04A0" w:firstRow="1" w:lastRow="0" w:firstColumn="1" w:lastColumn="0" w:noHBand="0" w:noVBand="1"/>
      </w:tblPr>
      <w:tblGrid>
        <w:gridCol w:w="3048"/>
        <w:gridCol w:w="3021"/>
        <w:gridCol w:w="2992"/>
      </w:tblGrid>
      <w:tr w:rsidR="00166BB3" w:rsidRPr="00166BB3" w14:paraId="23BDCE3E" w14:textId="77777777" w:rsidTr="00166BB3">
        <w:tc>
          <w:tcPr>
            <w:tcW w:w="3048" w:type="dxa"/>
            <w:vMerge w:val="restart"/>
          </w:tcPr>
          <w:p w14:paraId="1731DC7C" w14:textId="77777777" w:rsidR="00166BB3" w:rsidRPr="00166BB3" w:rsidRDefault="00166BB3" w:rsidP="00447C39">
            <w:pPr>
              <w:spacing w:line="276" w:lineRule="auto"/>
              <w:jc w:val="center"/>
              <w:rPr>
                <w:rFonts w:ascii="Times New Roman" w:eastAsia="Calibri" w:hAnsi="Times New Roman" w:cs="Times New Roman"/>
                <w:b/>
                <w:bCs/>
                <w:sz w:val="24"/>
                <w:szCs w:val="24"/>
                <w:lang w:bidi="ar-EG"/>
              </w:rPr>
            </w:pPr>
            <w:r w:rsidRPr="00166BB3">
              <w:rPr>
                <w:rFonts w:ascii="Times New Roman" w:eastAsia="Calibri" w:hAnsi="Times New Roman" w:cs="Times New Roman"/>
                <w:b/>
                <w:bCs/>
                <w:sz w:val="24"/>
                <w:szCs w:val="24"/>
                <w:lang w:bidi="ar-EG"/>
              </w:rPr>
              <w:t>Management and employees</w:t>
            </w:r>
          </w:p>
        </w:tc>
        <w:tc>
          <w:tcPr>
            <w:tcW w:w="3021" w:type="dxa"/>
          </w:tcPr>
          <w:p w14:paraId="6EE43CB0" w14:textId="77777777" w:rsidR="00166BB3" w:rsidRPr="00166BB3" w:rsidRDefault="00166BB3" w:rsidP="00447C39">
            <w:pPr>
              <w:spacing w:line="276" w:lineRule="auto"/>
              <w:jc w:val="center"/>
              <w:rPr>
                <w:rFonts w:ascii="Times New Roman" w:eastAsia="Calibri" w:hAnsi="Times New Roman" w:cs="Times New Roman"/>
                <w:sz w:val="24"/>
                <w:szCs w:val="24"/>
              </w:rPr>
            </w:pPr>
            <w:r w:rsidRPr="00166BB3">
              <w:rPr>
                <w:rFonts w:ascii="Times New Roman" w:eastAsia="Calibri" w:hAnsi="Times New Roman" w:cs="Times New Roman"/>
                <w:sz w:val="24"/>
                <w:szCs w:val="24"/>
              </w:rPr>
              <w:t>Population</w:t>
            </w:r>
          </w:p>
        </w:tc>
        <w:tc>
          <w:tcPr>
            <w:tcW w:w="2992" w:type="dxa"/>
          </w:tcPr>
          <w:p w14:paraId="44F91C41" w14:textId="77777777" w:rsidR="00166BB3" w:rsidRPr="00166BB3" w:rsidRDefault="00166BB3" w:rsidP="00447C39">
            <w:pPr>
              <w:spacing w:line="276" w:lineRule="auto"/>
              <w:jc w:val="center"/>
              <w:rPr>
                <w:rFonts w:ascii="Times New Roman" w:eastAsia="Calibri" w:hAnsi="Times New Roman" w:cs="Times New Roman"/>
                <w:sz w:val="24"/>
                <w:szCs w:val="24"/>
              </w:rPr>
            </w:pPr>
            <w:r w:rsidRPr="00166BB3">
              <w:rPr>
                <w:rFonts w:ascii="Times New Roman" w:eastAsia="Calibri" w:hAnsi="Times New Roman" w:cs="Times New Roman"/>
                <w:sz w:val="24"/>
                <w:szCs w:val="24"/>
              </w:rPr>
              <w:t>Sample</w:t>
            </w:r>
          </w:p>
        </w:tc>
      </w:tr>
      <w:tr w:rsidR="00166BB3" w:rsidRPr="00166BB3" w14:paraId="6ADDB189" w14:textId="77777777" w:rsidTr="00166BB3">
        <w:tc>
          <w:tcPr>
            <w:tcW w:w="3048" w:type="dxa"/>
            <w:vMerge/>
          </w:tcPr>
          <w:p w14:paraId="439DF831" w14:textId="77777777" w:rsidR="00166BB3" w:rsidRPr="00166BB3" w:rsidRDefault="00166BB3" w:rsidP="00447C39">
            <w:pPr>
              <w:spacing w:line="276" w:lineRule="auto"/>
              <w:jc w:val="both"/>
              <w:rPr>
                <w:rFonts w:ascii="Times New Roman" w:eastAsia="Calibri" w:hAnsi="Times New Roman" w:cs="Times New Roman"/>
                <w:sz w:val="24"/>
                <w:szCs w:val="24"/>
              </w:rPr>
            </w:pPr>
          </w:p>
        </w:tc>
        <w:tc>
          <w:tcPr>
            <w:tcW w:w="3021" w:type="dxa"/>
          </w:tcPr>
          <w:p w14:paraId="1E473736" w14:textId="1DCF0408" w:rsidR="00166BB3" w:rsidRPr="00166BB3" w:rsidRDefault="00166BB3" w:rsidP="00447C39">
            <w:pPr>
              <w:spacing w:line="276" w:lineRule="auto"/>
              <w:jc w:val="center"/>
              <w:rPr>
                <w:rFonts w:ascii="Times New Roman" w:eastAsia="Calibri" w:hAnsi="Times New Roman" w:cs="Times New Roman"/>
                <w:b/>
                <w:bCs/>
                <w:sz w:val="24"/>
                <w:szCs w:val="24"/>
                <w:lang w:bidi="ar-EG"/>
              </w:rPr>
            </w:pPr>
            <w:r w:rsidRPr="00166BB3">
              <w:rPr>
                <w:rFonts w:ascii="Times New Roman" w:eastAsia="Calibri" w:hAnsi="Times New Roman" w:cs="Times New Roman"/>
                <w:b/>
                <w:bCs/>
                <w:sz w:val="24"/>
                <w:szCs w:val="24"/>
                <w:lang w:bidi="ar-EG"/>
              </w:rPr>
              <w:t>400</w:t>
            </w:r>
          </w:p>
        </w:tc>
        <w:tc>
          <w:tcPr>
            <w:tcW w:w="2992" w:type="dxa"/>
          </w:tcPr>
          <w:p w14:paraId="2D1DCA11" w14:textId="6F442C6F" w:rsidR="00166BB3" w:rsidRPr="00166BB3" w:rsidRDefault="00166BB3" w:rsidP="00447C39">
            <w:pPr>
              <w:spacing w:line="276" w:lineRule="auto"/>
              <w:jc w:val="center"/>
              <w:rPr>
                <w:rFonts w:ascii="Times New Roman" w:eastAsia="Calibri" w:hAnsi="Times New Roman" w:cs="Times New Roman"/>
                <w:b/>
                <w:bCs/>
                <w:sz w:val="24"/>
                <w:szCs w:val="24"/>
                <w:rtl/>
                <w:lang w:bidi="ar-EG"/>
              </w:rPr>
            </w:pPr>
            <w:r w:rsidRPr="00166BB3">
              <w:rPr>
                <w:rFonts w:ascii="Times New Roman" w:eastAsia="Calibri" w:hAnsi="Times New Roman" w:cs="Times New Roman"/>
                <w:b/>
                <w:bCs/>
                <w:sz w:val="24"/>
                <w:szCs w:val="24"/>
                <w:lang w:bidi="ar-EG"/>
              </w:rPr>
              <w:t>196</w:t>
            </w:r>
          </w:p>
        </w:tc>
      </w:tr>
    </w:tbl>
    <w:p w14:paraId="55F0B9EC" w14:textId="0270CE0C" w:rsidR="00166BB3" w:rsidRPr="00166BB3" w:rsidRDefault="00166BB3" w:rsidP="00166BB3">
      <w:pPr>
        <w:pStyle w:val="a5"/>
        <w:bidi w:val="0"/>
        <w:ind w:left="1224"/>
        <w:jc w:val="right"/>
        <w:rPr>
          <w:rFonts w:ascii="Times New Roman" w:eastAsia="Calibri" w:hAnsi="Times New Roman" w:cs="Times New Roman"/>
          <w:b/>
          <w:bCs/>
          <w:sz w:val="24"/>
          <w:szCs w:val="24"/>
        </w:rPr>
      </w:pPr>
      <w:bookmarkStart w:id="124" w:name="_Hlk172913884"/>
      <w:r w:rsidRPr="00166BB3">
        <w:rPr>
          <w:rFonts w:asciiTheme="majorBidi" w:hAnsiTheme="majorBidi" w:cstheme="majorBidi"/>
          <w:sz w:val="24"/>
          <w:szCs w:val="24"/>
        </w:rPr>
        <w:t>Source: Researcher</w:t>
      </w:r>
      <w:bookmarkEnd w:id="124"/>
    </w:p>
    <w:p w14:paraId="71B86C4B" w14:textId="77777777" w:rsidR="00BC0B2A" w:rsidRPr="00BC0B2A" w:rsidRDefault="00BC0B2A" w:rsidP="00BC0B2A">
      <w:pPr>
        <w:pStyle w:val="3"/>
      </w:pPr>
      <w:bookmarkStart w:id="125" w:name="_Toc214621176"/>
      <w:r w:rsidRPr="00BC0B2A">
        <w:t>Sampling Method &amp; Techniques</w:t>
      </w:r>
      <w:bookmarkEnd w:id="125"/>
    </w:p>
    <w:p w14:paraId="4B1F68AA" w14:textId="77777777" w:rsidR="00BC0B2A" w:rsidRPr="00BC0B2A" w:rsidRDefault="00BC0B2A" w:rsidP="00BC0B2A">
      <w:pPr>
        <w:bidi w:val="0"/>
        <w:spacing w:after="120" w:line="276" w:lineRule="auto"/>
        <w:ind w:firstLine="284"/>
        <w:jc w:val="both"/>
        <w:rPr>
          <w:rFonts w:asciiTheme="majorBidi" w:hAnsiTheme="majorBidi" w:cstheme="majorBidi"/>
          <w:sz w:val="24"/>
          <w:szCs w:val="24"/>
          <w:lang w:bidi="ar-EG"/>
        </w:rPr>
      </w:pPr>
      <w:r w:rsidRPr="00BC0B2A">
        <w:rPr>
          <w:rFonts w:asciiTheme="majorBidi" w:hAnsiTheme="majorBidi" w:cstheme="majorBidi"/>
          <w:sz w:val="24"/>
          <w:szCs w:val="24"/>
          <w:lang w:bidi="ar-EG"/>
        </w:rPr>
        <w:t>The probability sampling method used in this study was stratified random sampling. To ensure that the sample accurately represented the different demographic and organizational groups within the population, employees were first divided into distinct strata based on the following characteristics:</w:t>
      </w:r>
    </w:p>
    <w:p w14:paraId="0EFF1F7F"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Gender (Male, Female)</w:t>
      </w:r>
    </w:p>
    <w:p w14:paraId="6C680787"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Age Group (18–25 years, 26–35 years, 36–45 years, 46–55 years, 56 years or older)</w:t>
      </w:r>
    </w:p>
    <w:p w14:paraId="6DF5AF51"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Education Level (High school, Bachelor’s degree, Master’s degree, Doctoral degree, Other)</w:t>
      </w:r>
    </w:p>
    <w:p w14:paraId="05539836"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Length of Employment (Less than 1 year, 1–3 years, 4–6 years, 7–10 years, More than 10 years)</w:t>
      </w:r>
    </w:p>
    <w:p w14:paraId="730304BD"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Job Level (Entry-level, Mid-level, Senior-level, Management, Executive)</w:t>
      </w:r>
    </w:p>
    <w:p w14:paraId="55D9BE8B" w14:textId="77777777" w:rsidR="00BC0B2A" w:rsidRPr="00BC0B2A" w:rsidRDefault="00BC0B2A" w:rsidP="002E6F27">
      <w:pPr>
        <w:pStyle w:val="a5"/>
        <w:numPr>
          <w:ilvl w:val="0"/>
          <w:numId w:val="60"/>
        </w:numPr>
        <w:bidi w:val="0"/>
        <w:spacing w:after="120" w:line="276" w:lineRule="auto"/>
        <w:jc w:val="both"/>
        <w:rPr>
          <w:rFonts w:asciiTheme="majorBidi" w:hAnsiTheme="majorBidi" w:cstheme="majorBidi"/>
          <w:sz w:val="24"/>
          <w:szCs w:val="24"/>
          <w:lang w:bidi="ar-EG"/>
        </w:rPr>
      </w:pPr>
      <w:r w:rsidRPr="00BC0B2A">
        <w:rPr>
          <w:rFonts w:asciiTheme="majorBidi" w:hAnsiTheme="majorBidi" w:cstheme="majorBidi"/>
          <w:sz w:val="24"/>
          <w:szCs w:val="24"/>
          <w:lang w:bidi="ar-EG"/>
        </w:rPr>
        <w:t>Department (Account Management / Sales, Risk Management / Compliance, Operations, IT / Technology, Finance / Other)</w:t>
      </w:r>
    </w:p>
    <w:p w14:paraId="79C1C7E8" w14:textId="2C53DABE" w:rsidR="00BC0B2A" w:rsidRPr="00E31FCB" w:rsidRDefault="00BC0B2A" w:rsidP="00E31FCB">
      <w:pPr>
        <w:bidi w:val="0"/>
        <w:spacing w:after="120" w:line="276" w:lineRule="auto"/>
        <w:ind w:firstLine="284"/>
        <w:jc w:val="both"/>
        <w:rPr>
          <w:rFonts w:asciiTheme="majorBidi" w:hAnsiTheme="majorBidi" w:cstheme="majorBidi"/>
          <w:sz w:val="24"/>
          <w:szCs w:val="24"/>
          <w:rtl/>
          <w:lang w:bidi="ar-EG"/>
        </w:rPr>
      </w:pPr>
      <w:r w:rsidRPr="00BC0B2A">
        <w:rPr>
          <w:rFonts w:asciiTheme="majorBidi" w:hAnsiTheme="majorBidi" w:cstheme="majorBidi"/>
          <w:sz w:val="24"/>
          <w:szCs w:val="24"/>
          <w:lang w:bidi="ar-EG"/>
        </w:rPr>
        <w:t>After defining these strata, participants were randomly selected from each category in proportion to the size of the stratum within the overall population. This ensured that the final sample of 196 employees (as determined by the Krejcie and Morgan table) accurately reflected the structure of the research population. This sampling approach enhances the validity and generalizability of the study’s findings on the relationship between functional interaction between account managers and sales teams and its impact on risk-management effectiveness within Al Rajhi Bank.</w:t>
      </w:r>
    </w:p>
    <w:p w14:paraId="7192734B" w14:textId="421D2309" w:rsidR="00E31FCB" w:rsidRDefault="00E31FCB" w:rsidP="00E31FCB">
      <w:pPr>
        <w:pStyle w:val="ad"/>
      </w:pPr>
      <w:bookmarkStart w:id="126" w:name="_Toc214622012"/>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CD4CCF">
        <w:rPr>
          <w:rtl/>
        </w:rPr>
        <w:t>6</w:t>
      </w:r>
      <w:r>
        <w:rPr>
          <w:rtl/>
        </w:rPr>
        <w:fldChar w:fldCharType="end"/>
      </w:r>
      <w:r>
        <w:rPr>
          <w:rFonts w:hint="cs"/>
          <w:rtl/>
          <w:lang w:bidi="ar-EG"/>
        </w:rPr>
        <w:t xml:space="preserve">: </w:t>
      </w:r>
      <w:r w:rsidRPr="00FB748E">
        <w:rPr>
          <w:lang w:bidi="ar-EG"/>
        </w:rPr>
        <w:t>for Sample composition using stratified random sampling</w:t>
      </w:r>
      <w:r w:rsidRPr="00FB748E">
        <w:rPr>
          <w:rFonts w:cs="Times New Roman"/>
          <w:rtl/>
          <w:lang w:bidi="ar-EG"/>
        </w:rPr>
        <w:t>.</w:t>
      </w:r>
      <w:bookmarkEnd w:id="126"/>
    </w:p>
    <w:tbl>
      <w:tblPr>
        <w:tblStyle w:val="ae"/>
        <w:bidiVisual/>
        <w:tblW w:w="9610" w:type="dxa"/>
        <w:tblInd w:w="20" w:type="dxa"/>
        <w:tblLook w:val="04A0" w:firstRow="1" w:lastRow="0" w:firstColumn="1" w:lastColumn="0" w:noHBand="0" w:noVBand="1"/>
      </w:tblPr>
      <w:tblGrid>
        <w:gridCol w:w="3089"/>
        <w:gridCol w:w="3402"/>
        <w:gridCol w:w="3119"/>
      </w:tblGrid>
      <w:tr w:rsidR="00BC0B2A" w:rsidRPr="00BC0B2A" w14:paraId="427ADAEC" w14:textId="77777777" w:rsidTr="00E31FCB">
        <w:trPr>
          <w:trHeight w:val="606"/>
        </w:trPr>
        <w:tc>
          <w:tcPr>
            <w:tcW w:w="3089" w:type="dxa"/>
            <w:tcBorders>
              <w:bottom w:val="single" w:sz="4" w:space="0" w:color="auto"/>
              <w:right w:val="nil"/>
            </w:tcBorders>
          </w:tcPr>
          <w:p w14:paraId="50D85979" w14:textId="77777777" w:rsidR="00BC0B2A" w:rsidRDefault="00BC0B2A" w:rsidP="00447C39">
            <w:pPr>
              <w:spacing w:line="276" w:lineRule="auto"/>
              <w:jc w:val="center"/>
              <w:rPr>
                <w:rFonts w:asciiTheme="majorBidi" w:eastAsia="Calibri" w:hAnsiTheme="majorBidi" w:cstheme="majorBidi"/>
                <w:b/>
                <w:bCs/>
                <w:sz w:val="24"/>
                <w:szCs w:val="24"/>
                <w:lang w:bidi="ar-EG"/>
              </w:rPr>
            </w:pPr>
            <w:r w:rsidRPr="00BC0B2A">
              <w:rPr>
                <w:rFonts w:asciiTheme="majorBidi" w:eastAsia="Calibri" w:hAnsiTheme="majorBidi" w:cstheme="majorBidi"/>
                <w:b/>
                <w:bCs/>
                <w:sz w:val="24"/>
                <w:szCs w:val="24"/>
                <w:lang w:bidi="ar-EG"/>
              </w:rPr>
              <w:t xml:space="preserve">No. in Final Sample </w:t>
            </w:r>
          </w:p>
          <w:p w14:paraId="346B3C2D" w14:textId="54F762E5" w:rsidR="00BC0B2A" w:rsidRPr="00BC0B2A" w:rsidRDefault="00BC0B2A" w:rsidP="00447C39">
            <w:pPr>
              <w:spacing w:line="276" w:lineRule="auto"/>
              <w:jc w:val="center"/>
              <w:rPr>
                <w:rFonts w:asciiTheme="majorBidi" w:eastAsia="Calibri" w:hAnsiTheme="majorBidi" w:cstheme="majorBidi"/>
                <w:b/>
                <w:bCs/>
                <w:sz w:val="24"/>
                <w:szCs w:val="24"/>
                <w:rtl/>
                <w:lang w:bidi="ar-EG"/>
              </w:rPr>
            </w:pPr>
            <w:r w:rsidRPr="00BC0B2A">
              <w:rPr>
                <w:rFonts w:asciiTheme="majorBidi" w:eastAsia="Calibri" w:hAnsiTheme="majorBidi" w:cstheme="majorBidi"/>
                <w:b/>
                <w:bCs/>
                <w:sz w:val="24"/>
                <w:szCs w:val="24"/>
                <w:lang w:bidi="ar-EG"/>
              </w:rPr>
              <w:t>(</w:t>
            </w:r>
            <w:r>
              <w:rPr>
                <w:rFonts w:asciiTheme="majorBidi" w:eastAsia="Calibri" w:hAnsiTheme="majorBidi" w:cstheme="majorBidi"/>
                <w:b/>
                <w:bCs/>
                <w:sz w:val="24"/>
                <w:szCs w:val="24"/>
                <w:lang w:bidi="ar-EG"/>
              </w:rPr>
              <w:t>49</w:t>
            </w:r>
            <w:r w:rsidRPr="00BC0B2A">
              <w:rPr>
                <w:rFonts w:asciiTheme="majorBidi" w:eastAsia="Calibri" w:hAnsiTheme="majorBidi" w:cstheme="majorBidi"/>
                <w:b/>
                <w:bCs/>
                <w:sz w:val="24"/>
                <w:szCs w:val="24"/>
                <w:lang w:bidi="ar-EG"/>
              </w:rPr>
              <w:t>%)</w:t>
            </w:r>
          </w:p>
        </w:tc>
        <w:tc>
          <w:tcPr>
            <w:tcW w:w="3402" w:type="dxa"/>
            <w:tcBorders>
              <w:left w:val="nil"/>
              <w:bottom w:val="single" w:sz="4" w:space="0" w:color="auto"/>
              <w:right w:val="nil"/>
            </w:tcBorders>
          </w:tcPr>
          <w:p w14:paraId="10F06550" w14:textId="385C204B" w:rsidR="00BC0B2A" w:rsidRPr="00BC0B2A" w:rsidRDefault="00BC0B2A" w:rsidP="00447C39">
            <w:pPr>
              <w:spacing w:line="276" w:lineRule="auto"/>
              <w:jc w:val="center"/>
              <w:rPr>
                <w:rFonts w:asciiTheme="majorBidi" w:eastAsia="Calibri" w:hAnsiTheme="majorBidi" w:cstheme="majorBidi"/>
                <w:b/>
                <w:bCs/>
                <w:sz w:val="24"/>
                <w:szCs w:val="24"/>
                <w:rtl/>
                <w:lang w:bidi="ar-EG"/>
              </w:rPr>
            </w:pPr>
            <w:r w:rsidRPr="00BC0B2A">
              <w:rPr>
                <w:rFonts w:asciiTheme="majorBidi" w:eastAsia="Calibri" w:hAnsiTheme="majorBidi" w:cstheme="majorBidi"/>
                <w:b/>
                <w:bCs/>
                <w:sz w:val="24"/>
                <w:szCs w:val="24"/>
                <w:lang w:bidi="ar-EG"/>
              </w:rPr>
              <w:t>No. in Research Population (N = 400)</w:t>
            </w:r>
          </w:p>
        </w:tc>
        <w:tc>
          <w:tcPr>
            <w:tcW w:w="3119" w:type="dxa"/>
            <w:tcBorders>
              <w:left w:val="nil"/>
              <w:bottom w:val="single" w:sz="4" w:space="0" w:color="auto"/>
            </w:tcBorders>
          </w:tcPr>
          <w:p w14:paraId="716B752B" w14:textId="77777777" w:rsidR="00BC0B2A" w:rsidRPr="00BC0B2A" w:rsidRDefault="00BC0B2A" w:rsidP="00447C39">
            <w:pPr>
              <w:spacing w:line="276" w:lineRule="auto"/>
              <w:jc w:val="center"/>
              <w:rPr>
                <w:rFonts w:asciiTheme="majorBidi" w:eastAsia="Calibri" w:hAnsiTheme="majorBidi" w:cstheme="majorBidi"/>
                <w:b/>
                <w:bCs/>
                <w:sz w:val="24"/>
                <w:szCs w:val="24"/>
                <w:rtl/>
                <w:lang w:bidi="ar-EG"/>
              </w:rPr>
            </w:pPr>
            <w:r w:rsidRPr="00BC0B2A">
              <w:rPr>
                <w:rFonts w:asciiTheme="majorBidi" w:eastAsia="Calibri" w:hAnsiTheme="majorBidi" w:cstheme="majorBidi"/>
                <w:b/>
                <w:bCs/>
                <w:sz w:val="24"/>
                <w:szCs w:val="24"/>
                <w:lang w:bidi="ar-EG"/>
              </w:rPr>
              <w:t>JOB LEVEL</w:t>
            </w:r>
          </w:p>
        </w:tc>
      </w:tr>
      <w:tr w:rsidR="00E31FCB" w:rsidRPr="00BC0B2A" w14:paraId="27E0D2FE" w14:textId="77777777" w:rsidTr="00E31FCB">
        <w:tc>
          <w:tcPr>
            <w:tcW w:w="3089" w:type="dxa"/>
            <w:tcBorders>
              <w:top w:val="single" w:sz="4" w:space="0" w:color="auto"/>
              <w:left w:val="nil"/>
              <w:bottom w:val="nil"/>
              <w:right w:val="nil"/>
            </w:tcBorders>
          </w:tcPr>
          <w:p w14:paraId="7E2D6393" w14:textId="6BACFCBD"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59</w:t>
            </w:r>
          </w:p>
        </w:tc>
        <w:tc>
          <w:tcPr>
            <w:tcW w:w="3402" w:type="dxa"/>
            <w:tcBorders>
              <w:top w:val="single" w:sz="4" w:space="0" w:color="auto"/>
              <w:left w:val="nil"/>
              <w:bottom w:val="nil"/>
              <w:right w:val="nil"/>
            </w:tcBorders>
          </w:tcPr>
          <w:p w14:paraId="2E52086C" w14:textId="3ED0E24F"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EA0DAD">
              <w:t>120</w:t>
            </w:r>
          </w:p>
        </w:tc>
        <w:tc>
          <w:tcPr>
            <w:tcW w:w="3119" w:type="dxa"/>
            <w:tcBorders>
              <w:top w:val="single" w:sz="4" w:space="0" w:color="auto"/>
              <w:left w:val="nil"/>
              <w:bottom w:val="nil"/>
              <w:right w:val="nil"/>
            </w:tcBorders>
          </w:tcPr>
          <w:p w14:paraId="1C19E131" w14:textId="44EA583A"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tl/>
              </w:rPr>
            </w:pPr>
            <w:r w:rsidRPr="000245FD">
              <w:t>Entry-level</w:t>
            </w:r>
          </w:p>
        </w:tc>
      </w:tr>
      <w:tr w:rsidR="00E31FCB" w:rsidRPr="00BC0B2A" w14:paraId="27A4AF6F" w14:textId="77777777" w:rsidTr="00E31FCB">
        <w:tc>
          <w:tcPr>
            <w:tcW w:w="3089" w:type="dxa"/>
            <w:tcBorders>
              <w:top w:val="nil"/>
              <w:left w:val="nil"/>
              <w:bottom w:val="nil"/>
              <w:right w:val="nil"/>
            </w:tcBorders>
          </w:tcPr>
          <w:p w14:paraId="770B2AF8" w14:textId="5F5A601E"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69</w:t>
            </w:r>
          </w:p>
        </w:tc>
        <w:tc>
          <w:tcPr>
            <w:tcW w:w="3402" w:type="dxa"/>
            <w:tcBorders>
              <w:top w:val="nil"/>
              <w:left w:val="nil"/>
              <w:bottom w:val="nil"/>
              <w:right w:val="nil"/>
            </w:tcBorders>
          </w:tcPr>
          <w:p w14:paraId="027C5DFD" w14:textId="450C16AF"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EA0DAD">
              <w:t>140</w:t>
            </w:r>
          </w:p>
        </w:tc>
        <w:tc>
          <w:tcPr>
            <w:tcW w:w="3119" w:type="dxa"/>
            <w:tcBorders>
              <w:top w:val="nil"/>
              <w:left w:val="nil"/>
              <w:bottom w:val="nil"/>
              <w:right w:val="nil"/>
            </w:tcBorders>
          </w:tcPr>
          <w:p w14:paraId="782E69FB" w14:textId="6D4794BD"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tl/>
              </w:rPr>
            </w:pPr>
            <w:r w:rsidRPr="000245FD">
              <w:t>Mid-level</w:t>
            </w:r>
          </w:p>
        </w:tc>
      </w:tr>
      <w:tr w:rsidR="00E31FCB" w:rsidRPr="00BC0B2A" w14:paraId="78C87C9D" w14:textId="77777777" w:rsidTr="00E31FCB">
        <w:tc>
          <w:tcPr>
            <w:tcW w:w="3089" w:type="dxa"/>
            <w:tcBorders>
              <w:top w:val="nil"/>
              <w:left w:val="nil"/>
              <w:bottom w:val="nil"/>
              <w:right w:val="nil"/>
            </w:tcBorders>
          </w:tcPr>
          <w:p w14:paraId="73EAF96E" w14:textId="3D8337FE"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29</w:t>
            </w:r>
          </w:p>
        </w:tc>
        <w:tc>
          <w:tcPr>
            <w:tcW w:w="3402" w:type="dxa"/>
            <w:tcBorders>
              <w:top w:val="nil"/>
              <w:left w:val="nil"/>
              <w:bottom w:val="nil"/>
              <w:right w:val="nil"/>
            </w:tcBorders>
          </w:tcPr>
          <w:p w14:paraId="186FF570" w14:textId="506BF1BC"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EA0DAD">
              <w:t>60</w:t>
            </w:r>
          </w:p>
        </w:tc>
        <w:tc>
          <w:tcPr>
            <w:tcW w:w="3119" w:type="dxa"/>
            <w:tcBorders>
              <w:top w:val="nil"/>
              <w:left w:val="nil"/>
              <w:bottom w:val="nil"/>
              <w:right w:val="nil"/>
            </w:tcBorders>
          </w:tcPr>
          <w:p w14:paraId="1A278290" w14:textId="6E221789"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tl/>
              </w:rPr>
            </w:pPr>
            <w:r w:rsidRPr="000245FD">
              <w:t>Senior-level</w:t>
            </w:r>
          </w:p>
        </w:tc>
      </w:tr>
      <w:tr w:rsidR="00E31FCB" w:rsidRPr="00BC0B2A" w14:paraId="1B6AE80B" w14:textId="77777777" w:rsidTr="00E31FCB">
        <w:tc>
          <w:tcPr>
            <w:tcW w:w="3089" w:type="dxa"/>
            <w:tcBorders>
              <w:top w:val="nil"/>
              <w:left w:val="nil"/>
              <w:bottom w:val="nil"/>
              <w:right w:val="nil"/>
            </w:tcBorders>
          </w:tcPr>
          <w:p w14:paraId="3E619CFB" w14:textId="3ECB0845"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24</w:t>
            </w:r>
          </w:p>
        </w:tc>
        <w:tc>
          <w:tcPr>
            <w:tcW w:w="3402" w:type="dxa"/>
            <w:tcBorders>
              <w:top w:val="nil"/>
              <w:left w:val="nil"/>
              <w:bottom w:val="nil"/>
              <w:right w:val="nil"/>
            </w:tcBorders>
          </w:tcPr>
          <w:p w14:paraId="41D00C18" w14:textId="330F0875"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EA0DAD">
              <w:t>50</w:t>
            </w:r>
          </w:p>
        </w:tc>
        <w:tc>
          <w:tcPr>
            <w:tcW w:w="3119" w:type="dxa"/>
            <w:tcBorders>
              <w:top w:val="nil"/>
              <w:left w:val="nil"/>
              <w:bottom w:val="nil"/>
              <w:right w:val="nil"/>
            </w:tcBorders>
          </w:tcPr>
          <w:p w14:paraId="656CD66C" w14:textId="2CEDCCCB"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tl/>
              </w:rPr>
            </w:pPr>
            <w:r w:rsidRPr="000245FD">
              <w:t>Management</w:t>
            </w:r>
          </w:p>
        </w:tc>
      </w:tr>
      <w:tr w:rsidR="00E31FCB" w:rsidRPr="00BC0B2A" w14:paraId="09EBC482" w14:textId="77777777" w:rsidTr="00E31FCB">
        <w:tc>
          <w:tcPr>
            <w:tcW w:w="3089" w:type="dxa"/>
            <w:tcBorders>
              <w:top w:val="nil"/>
              <w:left w:val="nil"/>
              <w:bottom w:val="nil"/>
              <w:right w:val="nil"/>
            </w:tcBorders>
          </w:tcPr>
          <w:p w14:paraId="2F2037ED" w14:textId="0E0912C4"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10</w:t>
            </w:r>
          </w:p>
        </w:tc>
        <w:tc>
          <w:tcPr>
            <w:tcW w:w="3402" w:type="dxa"/>
            <w:tcBorders>
              <w:top w:val="nil"/>
              <w:left w:val="nil"/>
              <w:bottom w:val="nil"/>
              <w:right w:val="nil"/>
            </w:tcBorders>
          </w:tcPr>
          <w:p w14:paraId="020E5C3D" w14:textId="62C450C9" w:rsidR="00E31FCB" w:rsidRPr="00BC0B2A" w:rsidRDefault="00E31FCB" w:rsidP="00E31FCB">
            <w:pPr>
              <w:spacing w:line="276" w:lineRule="auto"/>
              <w:jc w:val="center"/>
              <w:rPr>
                <w:rFonts w:asciiTheme="majorBidi" w:eastAsia="Calibri" w:hAnsiTheme="majorBidi" w:cstheme="majorBidi"/>
                <w:sz w:val="24"/>
                <w:szCs w:val="24"/>
                <w:lang w:bidi="ar-EG"/>
              </w:rPr>
            </w:pPr>
            <w:r w:rsidRPr="00EA0DAD">
              <w:t>20</w:t>
            </w:r>
          </w:p>
        </w:tc>
        <w:tc>
          <w:tcPr>
            <w:tcW w:w="3119" w:type="dxa"/>
            <w:tcBorders>
              <w:top w:val="nil"/>
              <w:left w:val="nil"/>
              <w:bottom w:val="nil"/>
              <w:right w:val="nil"/>
            </w:tcBorders>
          </w:tcPr>
          <w:p w14:paraId="7BF53B2A" w14:textId="39D6627C"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Pr>
            </w:pPr>
            <w:r w:rsidRPr="000245FD">
              <w:t>Executive</w:t>
            </w:r>
          </w:p>
        </w:tc>
      </w:tr>
      <w:tr w:rsidR="00E31FCB" w:rsidRPr="00BC0B2A" w14:paraId="10EE8471" w14:textId="77777777" w:rsidTr="00E31FCB">
        <w:tc>
          <w:tcPr>
            <w:tcW w:w="3089" w:type="dxa"/>
            <w:tcBorders>
              <w:top w:val="nil"/>
              <w:left w:val="nil"/>
              <w:bottom w:val="single" w:sz="4" w:space="0" w:color="auto"/>
              <w:right w:val="nil"/>
            </w:tcBorders>
          </w:tcPr>
          <w:p w14:paraId="6F54BCAB" w14:textId="5CE677FF"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B84EA1">
              <w:t>5</w:t>
            </w:r>
          </w:p>
        </w:tc>
        <w:tc>
          <w:tcPr>
            <w:tcW w:w="3402" w:type="dxa"/>
            <w:tcBorders>
              <w:top w:val="nil"/>
              <w:left w:val="nil"/>
              <w:bottom w:val="single" w:sz="4" w:space="0" w:color="auto"/>
              <w:right w:val="nil"/>
            </w:tcBorders>
          </w:tcPr>
          <w:p w14:paraId="20D6E1B0" w14:textId="08257691" w:rsidR="00E31FCB" w:rsidRPr="00BC0B2A" w:rsidRDefault="00E31FCB" w:rsidP="00E31FCB">
            <w:pPr>
              <w:spacing w:line="276" w:lineRule="auto"/>
              <w:jc w:val="center"/>
              <w:rPr>
                <w:rFonts w:asciiTheme="majorBidi" w:eastAsia="Calibri" w:hAnsiTheme="majorBidi" w:cstheme="majorBidi"/>
                <w:sz w:val="24"/>
                <w:szCs w:val="24"/>
                <w:rtl/>
                <w:lang w:bidi="ar-EG"/>
              </w:rPr>
            </w:pPr>
            <w:r w:rsidRPr="00EA0DAD">
              <w:t>10</w:t>
            </w:r>
          </w:p>
        </w:tc>
        <w:tc>
          <w:tcPr>
            <w:tcW w:w="3119" w:type="dxa"/>
            <w:tcBorders>
              <w:top w:val="nil"/>
              <w:left w:val="nil"/>
              <w:bottom w:val="single" w:sz="4" w:space="0" w:color="auto"/>
              <w:right w:val="nil"/>
            </w:tcBorders>
          </w:tcPr>
          <w:p w14:paraId="6E9CD043" w14:textId="77777777" w:rsidR="00E31FCB" w:rsidRPr="00BC0B2A" w:rsidRDefault="00E31FCB" w:rsidP="002E6F27">
            <w:pPr>
              <w:pStyle w:val="a5"/>
              <w:numPr>
                <w:ilvl w:val="0"/>
                <w:numId w:val="59"/>
              </w:numPr>
              <w:bidi w:val="0"/>
              <w:spacing w:line="276" w:lineRule="auto"/>
              <w:ind w:left="426" w:hanging="284"/>
              <w:rPr>
                <w:rFonts w:asciiTheme="majorBidi" w:hAnsiTheme="majorBidi" w:cstheme="majorBidi"/>
                <w:sz w:val="24"/>
                <w:szCs w:val="24"/>
                <w:rtl/>
              </w:rPr>
            </w:pPr>
            <w:r w:rsidRPr="00BC0B2A">
              <w:rPr>
                <w:rFonts w:asciiTheme="majorBidi" w:hAnsiTheme="majorBidi" w:cstheme="majorBidi"/>
                <w:sz w:val="24"/>
                <w:szCs w:val="24"/>
              </w:rPr>
              <w:t>Other</w:t>
            </w:r>
          </w:p>
        </w:tc>
      </w:tr>
      <w:tr w:rsidR="00BC0B2A" w:rsidRPr="00BC0B2A" w14:paraId="6ED63952" w14:textId="77777777" w:rsidTr="00E31FCB">
        <w:tc>
          <w:tcPr>
            <w:tcW w:w="3089" w:type="dxa"/>
            <w:tcBorders>
              <w:top w:val="single" w:sz="4" w:space="0" w:color="auto"/>
              <w:left w:val="single" w:sz="4" w:space="0" w:color="auto"/>
              <w:bottom w:val="single" w:sz="4" w:space="0" w:color="auto"/>
              <w:right w:val="nil"/>
            </w:tcBorders>
          </w:tcPr>
          <w:p w14:paraId="295B9E52" w14:textId="5E298E7E" w:rsidR="00BC0B2A" w:rsidRPr="00BC0B2A" w:rsidRDefault="00E31FCB" w:rsidP="00447C39">
            <w:pPr>
              <w:spacing w:line="276" w:lineRule="auto"/>
              <w:jc w:val="center"/>
              <w:rPr>
                <w:rFonts w:asciiTheme="majorBidi" w:eastAsia="Calibri" w:hAnsiTheme="majorBidi" w:cstheme="majorBidi"/>
                <w:b/>
                <w:bCs/>
                <w:sz w:val="24"/>
                <w:szCs w:val="24"/>
                <w:rtl/>
                <w:lang w:bidi="ar-EG"/>
              </w:rPr>
            </w:pPr>
            <w:r w:rsidRPr="00E31FCB">
              <w:rPr>
                <w:rFonts w:asciiTheme="majorBidi" w:eastAsia="Calibri" w:hAnsiTheme="majorBidi" w:cs="Times New Roman"/>
                <w:b/>
                <w:bCs/>
                <w:sz w:val="24"/>
                <w:szCs w:val="24"/>
                <w:rtl/>
                <w:lang w:bidi="ar-EG"/>
              </w:rPr>
              <w:t>196</w:t>
            </w:r>
          </w:p>
        </w:tc>
        <w:tc>
          <w:tcPr>
            <w:tcW w:w="3402" w:type="dxa"/>
            <w:tcBorders>
              <w:top w:val="single" w:sz="4" w:space="0" w:color="auto"/>
              <w:left w:val="nil"/>
              <w:bottom w:val="single" w:sz="4" w:space="0" w:color="auto"/>
              <w:right w:val="nil"/>
            </w:tcBorders>
          </w:tcPr>
          <w:p w14:paraId="3AD57D44" w14:textId="43C37E78" w:rsidR="00BC0B2A" w:rsidRPr="00BC0B2A" w:rsidRDefault="00E31FCB" w:rsidP="00447C39">
            <w:pPr>
              <w:spacing w:line="276" w:lineRule="auto"/>
              <w:jc w:val="center"/>
              <w:rPr>
                <w:rFonts w:asciiTheme="majorBidi" w:eastAsia="Calibri" w:hAnsiTheme="majorBidi" w:cstheme="majorBidi"/>
                <w:b/>
                <w:bCs/>
                <w:sz w:val="24"/>
                <w:szCs w:val="24"/>
                <w:rtl/>
                <w:lang w:bidi="ar-EG"/>
              </w:rPr>
            </w:pPr>
            <w:r>
              <w:rPr>
                <w:rFonts w:asciiTheme="majorBidi" w:eastAsia="Calibri" w:hAnsiTheme="majorBidi" w:cstheme="majorBidi" w:hint="cs"/>
                <w:b/>
                <w:bCs/>
                <w:sz w:val="24"/>
                <w:szCs w:val="24"/>
                <w:rtl/>
                <w:lang w:bidi="ar-EG"/>
              </w:rPr>
              <w:t>400</w:t>
            </w:r>
          </w:p>
        </w:tc>
        <w:tc>
          <w:tcPr>
            <w:tcW w:w="3119" w:type="dxa"/>
            <w:tcBorders>
              <w:top w:val="single" w:sz="4" w:space="0" w:color="auto"/>
              <w:left w:val="nil"/>
              <w:bottom w:val="single" w:sz="4" w:space="0" w:color="auto"/>
              <w:right w:val="single" w:sz="4" w:space="0" w:color="auto"/>
            </w:tcBorders>
          </w:tcPr>
          <w:p w14:paraId="2B336C80" w14:textId="77777777" w:rsidR="00BC0B2A" w:rsidRPr="00BC0B2A" w:rsidRDefault="00BC0B2A" w:rsidP="00447C39">
            <w:pPr>
              <w:spacing w:line="276" w:lineRule="auto"/>
              <w:jc w:val="right"/>
              <w:rPr>
                <w:rFonts w:asciiTheme="majorBidi" w:eastAsia="Calibri" w:hAnsiTheme="majorBidi" w:cstheme="majorBidi"/>
                <w:b/>
                <w:bCs/>
                <w:sz w:val="24"/>
                <w:szCs w:val="24"/>
                <w:lang w:bidi="ar-EG"/>
              </w:rPr>
            </w:pPr>
            <w:r w:rsidRPr="00BC0B2A">
              <w:rPr>
                <w:rFonts w:asciiTheme="majorBidi" w:eastAsia="Calibri" w:hAnsiTheme="majorBidi" w:cstheme="majorBidi"/>
                <w:b/>
                <w:bCs/>
                <w:sz w:val="24"/>
                <w:szCs w:val="24"/>
                <w:lang w:bidi="ar-EG"/>
              </w:rPr>
              <w:t>Total</w:t>
            </w:r>
          </w:p>
        </w:tc>
      </w:tr>
    </w:tbl>
    <w:p w14:paraId="2B62024A" w14:textId="77777777" w:rsidR="00BC0B2A" w:rsidRPr="00E31FCB" w:rsidRDefault="00BC0B2A" w:rsidP="00E31FCB">
      <w:pPr>
        <w:bidi w:val="0"/>
        <w:jc w:val="right"/>
        <w:rPr>
          <w:rFonts w:ascii="Times New Roman" w:eastAsia="Calibri" w:hAnsi="Times New Roman" w:cs="Times New Roman"/>
          <w:sz w:val="24"/>
          <w:szCs w:val="24"/>
        </w:rPr>
      </w:pPr>
      <w:r w:rsidRPr="00E31FCB">
        <w:rPr>
          <w:rFonts w:ascii="Times New Roman" w:eastAsia="Calibri" w:hAnsi="Times New Roman" w:cs="Times New Roman"/>
          <w:sz w:val="24"/>
          <w:szCs w:val="24"/>
        </w:rPr>
        <w:t>Source : Researcher</w:t>
      </w:r>
    </w:p>
    <w:p w14:paraId="3C6AEAAF" w14:textId="77777777" w:rsidR="00E31FCB" w:rsidRPr="008F02E0" w:rsidRDefault="00E31FCB" w:rsidP="00E31FCB">
      <w:pPr>
        <w:pStyle w:val="2"/>
        <w:rPr>
          <w:rFonts w:eastAsia="Times New Roman"/>
        </w:rPr>
      </w:pPr>
      <w:bookmarkStart w:id="127" w:name="_Toc167124273"/>
      <w:bookmarkStart w:id="128" w:name="_Toc174813427"/>
      <w:bookmarkStart w:id="129" w:name="_Toc214621177"/>
      <w:r w:rsidRPr="008F02E0">
        <w:rPr>
          <w:rFonts w:eastAsia="Times New Roman"/>
        </w:rPr>
        <w:t>Data collection method</w:t>
      </w:r>
      <w:bookmarkEnd w:id="127"/>
      <w:bookmarkEnd w:id="128"/>
      <w:bookmarkEnd w:id="129"/>
      <w:r w:rsidRPr="008F02E0">
        <w:rPr>
          <w:rFonts w:eastAsia="Times New Roman" w:hint="cs"/>
          <w:rtl/>
        </w:rPr>
        <w:t xml:space="preserve"> </w:t>
      </w:r>
    </w:p>
    <w:p w14:paraId="6CBA176F" w14:textId="77777777" w:rsidR="00E31FCB" w:rsidRPr="008F02E0" w:rsidRDefault="00E31FCB" w:rsidP="00E31FCB">
      <w:pPr>
        <w:bidi w:val="0"/>
        <w:jc w:val="both"/>
        <w:rPr>
          <w:rFonts w:ascii="Times New Roman" w:eastAsia="Calibri" w:hAnsi="Times New Roman" w:cs="Times New Roman"/>
          <w:sz w:val="28"/>
          <w:szCs w:val="28"/>
        </w:rPr>
      </w:pPr>
      <w:r w:rsidRPr="008F02E0">
        <w:rPr>
          <w:rFonts w:ascii="Times New Roman" w:eastAsia="Calibri" w:hAnsi="Times New Roman" w:cs="Times New Roman"/>
          <w:sz w:val="28"/>
          <w:szCs w:val="28"/>
        </w:rPr>
        <w:t>This section describes the research instruments that were used to collect the required data in order to answer the research questions and test the research hypotheses. Accordingly, the researcher relied on survey method in collecting the quantitative data via questionnaires. The following sections present the instruments that were used to measure the research variables</w:t>
      </w:r>
    </w:p>
    <w:p w14:paraId="51F42800" w14:textId="2CE0555E" w:rsidR="00E31FCB" w:rsidRPr="00E31FCB" w:rsidRDefault="00E31FCB" w:rsidP="00E31FCB">
      <w:pPr>
        <w:pStyle w:val="3"/>
      </w:pPr>
      <w:bookmarkStart w:id="130" w:name="_Toc214621178"/>
      <w:r w:rsidRPr="00E31FCB">
        <w:t>The Independent Variable: Functional Relationship Between Account Managers and Sales Teams</w:t>
      </w:r>
      <w:bookmarkEnd w:id="130"/>
    </w:p>
    <w:p w14:paraId="1EAF64EA" w14:textId="77777777" w:rsidR="00E31FCB" w:rsidRPr="00E31FCB" w:rsidRDefault="00E31FCB" w:rsidP="00E31FCB">
      <w:pPr>
        <w:bidi w:val="0"/>
        <w:jc w:val="both"/>
        <w:rPr>
          <w:rFonts w:ascii="Times New Roman" w:eastAsia="Calibri" w:hAnsi="Times New Roman" w:cs="Times New Roman"/>
          <w:sz w:val="28"/>
          <w:szCs w:val="28"/>
        </w:rPr>
      </w:pPr>
      <w:r w:rsidRPr="00E31FCB">
        <w:rPr>
          <w:rFonts w:ascii="Times New Roman" w:eastAsia="Calibri" w:hAnsi="Times New Roman" w:cs="Times New Roman"/>
          <w:sz w:val="28"/>
          <w:szCs w:val="28"/>
        </w:rPr>
        <w:t>The researcher relied on the questionnaire developed specifically for this study in order to measure the independent variable Functional Relationship Between Account Managers and Sales Teams, which is examined across four dimensions, namely: Communication Quality &amp; Cadence, Information Sharing &amp; Data Integration, Goal/KPI &amp; Incentive Alignment, and Decision Rights &amp; Escalation Clarity (RACI), with an overall 8 items representing the whole variable. Each dimension consists of 2 items: Communication Quality &amp; Cadence (2 items), Information Sharing &amp; Data Integration (2 items), Goal/KPI &amp; Incentive Alignment (2 items), and Decision Rights &amp; Escalation Clarity (2 items). The instrument is based on a 5-point Likert scale, where 1 = strongly disagree and 5 = strongly agree.</w:t>
      </w:r>
    </w:p>
    <w:p w14:paraId="233C88E0" w14:textId="6498DD1A" w:rsidR="0097378A" w:rsidRDefault="0097378A" w:rsidP="0097378A">
      <w:pPr>
        <w:pStyle w:val="ad"/>
        <w:rPr>
          <w:rtl/>
          <w:lang w:bidi="ar-EG"/>
        </w:rPr>
      </w:pPr>
      <w:bookmarkStart w:id="131" w:name="_Toc214622013"/>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CD4CCF">
        <w:rPr>
          <w:rtl/>
        </w:rPr>
        <w:t>7</w:t>
      </w:r>
      <w:r>
        <w:rPr>
          <w:rtl/>
        </w:rPr>
        <w:fldChar w:fldCharType="end"/>
      </w:r>
      <w:r>
        <w:t xml:space="preserve">: </w:t>
      </w:r>
      <w:r w:rsidRPr="00771715">
        <w:t>Instrument of the Independent Variable (Functional Relationship Between Account Managers and Sales Teams)</w:t>
      </w:r>
      <w:bookmarkEnd w:id="131"/>
    </w:p>
    <w:tbl>
      <w:tblPr>
        <w:tblStyle w:val="ae"/>
        <w:bidiVisual/>
        <w:tblW w:w="0" w:type="auto"/>
        <w:shd w:val="clear" w:color="auto" w:fill="FFFFFF" w:themeFill="background1"/>
        <w:tblLook w:val="04A0" w:firstRow="1" w:lastRow="0" w:firstColumn="1" w:lastColumn="0" w:noHBand="0" w:noVBand="1"/>
      </w:tblPr>
      <w:tblGrid>
        <w:gridCol w:w="2332"/>
        <w:gridCol w:w="2190"/>
        <w:gridCol w:w="2257"/>
        <w:gridCol w:w="2282"/>
      </w:tblGrid>
      <w:tr w:rsidR="0097378A" w:rsidRPr="0097378A" w14:paraId="6391FB90" w14:textId="77777777" w:rsidTr="0097378A">
        <w:trPr>
          <w:trHeight w:val="283"/>
        </w:trPr>
        <w:tc>
          <w:tcPr>
            <w:tcW w:w="2332" w:type="dxa"/>
            <w:shd w:val="clear" w:color="auto" w:fill="FFFFFF" w:themeFill="background1"/>
            <w:vAlign w:val="center"/>
          </w:tcPr>
          <w:p w14:paraId="7A4E3203" w14:textId="1B5AACAB" w:rsidR="00E31FCB" w:rsidRPr="0097378A" w:rsidRDefault="001E0171" w:rsidP="0097378A">
            <w:pPr>
              <w:jc w:val="center"/>
              <w:rPr>
                <w:rFonts w:asciiTheme="majorBidi" w:eastAsia="Times New Roman" w:hAnsiTheme="majorBidi" w:cstheme="majorBidi"/>
                <w:b/>
                <w:bCs/>
                <w:color w:val="000000" w:themeColor="text1"/>
                <w:kern w:val="24"/>
                <w:sz w:val="24"/>
                <w:szCs w:val="24"/>
                <w:lang w:bidi="ar-EG"/>
              </w:rPr>
            </w:pPr>
            <w:r w:rsidRPr="0097378A">
              <w:rPr>
                <w:rFonts w:asciiTheme="majorBidi" w:eastAsia="Times New Roman" w:hAnsiTheme="majorBidi" w:cstheme="majorBidi"/>
                <w:b/>
                <w:bCs/>
                <w:color w:val="000000" w:themeColor="text1"/>
                <w:kern w:val="24"/>
                <w:sz w:val="24"/>
                <w:szCs w:val="24"/>
              </w:rPr>
              <w:t>Sources</w:t>
            </w:r>
          </w:p>
        </w:tc>
        <w:tc>
          <w:tcPr>
            <w:tcW w:w="2190" w:type="dxa"/>
            <w:shd w:val="clear" w:color="auto" w:fill="FFFFFF" w:themeFill="background1"/>
            <w:vAlign w:val="center"/>
          </w:tcPr>
          <w:p w14:paraId="24E18C23" w14:textId="77777777" w:rsidR="00E31FCB" w:rsidRPr="0097378A" w:rsidRDefault="00E31FCB" w:rsidP="0097378A">
            <w:pPr>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Number of Items</w:t>
            </w:r>
          </w:p>
        </w:tc>
        <w:tc>
          <w:tcPr>
            <w:tcW w:w="2257" w:type="dxa"/>
            <w:shd w:val="clear" w:color="auto" w:fill="FFFFFF" w:themeFill="background1"/>
            <w:vAlign w:val="center"/>
          </w:tcPr>
          <w:p w14:paraId="7BC9D5AE" w14:textId="5FF6248B" w:rsidR="00E31FCB" w:rsidRPr="0097378A" w:rsidRDefault="001E0171" w:rsidP="0097378A">
            <w:pPr>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Dimensions</w:t>
            </w:r>
          </w:p>
        </w:tc>
        <w:tc>
          <w:tcPr>
            <w:tcW w:w="2282" w:type="dxa"/>
            <w:shd w:val="clear" w:color="auto" w:fill="FFFFFF" w:themeFill="background1"/>
            <w:vAlign w:val="center"/>
          </w:tcPr>
          <w:p w14:paraId="0917728B" w14:textId="77777777" w:rsidR="00E31FCB" w:rsidRPr="0097378A" w:rsidRDefault="00E31FCB" w:rsidP="0097378A">
            <w:pPr>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Variable</w:t>
            </w:r>
          </w:p>
        </w:tc>
      </w:tr>
      <w:tr w:rsidR="001E0171" w:rsidRPr="0097378A" w14:paraId="0AD1B271" w14:textId="77777777" w:rsidTr="0097378A">
        <w:trPr>
          <w:trHeight w:val="283"/>
        </w:trPr>
        <w:tc>
          <w:tcPr>
            <w:tcW w:w="2332" w:type="dxa"/>
            <w:vMerge w:val="restart"/>
            <w:vAlign w:val="center"/>
          </w:tcPr>
          <w:p w14:paraId="71A55D7E" w14:textId="77777777" w:rsidR="001E0171" w:rsidRPr="00661A7B" w:rsidRDefault="001E0171" w:rsidP="002E6F27">
            <w:pPr>
              <w:pStyle w:val="a5"/>
              <w:numPr>
                <w:ilvl w:val="0"/>
                <w:numId w:val="67"/>
              </w:numPr>
              <w:bidi w:val="0"/>
              <w:ind w:left="388"/>
              <w:rPr>
                <w:rFonts w:asciiTheme="majorBidi" w:eastAsia="Calibri" w:hAnsiTheme="majorBidi" w:cstheme="majorBidi"/>
                <w:sz w:val="24"/>
                <w:szCs w:val="24"/>
                <w:lang w:bidi="ar-EG"/>
              </w:rPr>
            </w:pPr>
            <w:r w:rsidRPr="00661A7B">
              <w:rPr>
                <w:rFonts w:asciiTheme="majorBidi" w:eastAsia="Calibri" w:hAnsiTheme="majorBidi" w:cstheme="majorBidi"/>
                <w:sz w:val="24"/>
                <w:szCs w:val="24"/>
                <w:lang w:bidi="ar-EG"/>
              </w:rPr>
              <w:t>Imtiaz et al., 2023</w:t>
            </w:r>
          </w:p>
          <w:p w14:paraId="726C9E93" w14:textId="2365FF87" w:rsidR="001E0171" w:rsidRPr="00661A7B" w:rsidRDefault="001E0171" w:rsidP="002E6F27">
            <w:pPr>
              <w:pStyle w:val="a5"/>
              <w:numPr>
                <w:ilvl w:val="0"/>
                <w:numId w:val="67"/>
              </w:numPr>
              <w:bidi w:val="0"/>
              <w:ind w:left="388"/>
              <w:rPr>
                <w:rFonts w:asciiTheme="majorBidi" w:eastAsia="Calibri" w:hAnsiTheme="majorBidi" w:cstheme="majorBidi"/>
                <w:sz w:val="24"/>
                <w:szCs w:val="24"/>
                <w:rtl/>
                <w:lang w:bidi="ar-EG"/>
              </w:rPr>
            </w:pPr>
            <w:r w:rsidRPr="00661A7B">
              <w:rPr>
                <w:rFonts w:asciiTheme="majorBidi" w:eastAsia="Calibri" w:hAnsiTheme="majorBidi" w:cstheme="majorBidi"/>
                <w:sz w:val="24"/>
                <w:szCs w:val="24"/>
                <w:lang w:bidi="ar-EG"/>
              </w:rPr>
              <w:t>Narayanan et al., 2015</w:t>
            </w:r>
          </w:p>
        </w:tc>
        <w:tc>
          <w:tcPr>
            <w:tcW w:w="2190" w:type="dxa"/>
            <w:shd w:val="clear" w:color="auto" w:fill="FFFFFF" w:themeFill="background1"/>
            <w:vAlign w:val="center"/>
          </w:tcPr>
          <w:p w14:paraId="4C0C5062" w14:textId="77777777"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vAlign w:val="center"/>
          </w:tcPr>
          <w:p w14:paraId="0F74977F" w14:textId="0CBC537F"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hAnsiTheme="majorBidi" w:cstheme="majorBidi"/>
                <w:sz w:val="24"/>
                <w:szCs w:val="24"/>
              </w:rPr>
              <w:t>Communication Quality &amp; Cadence</w:t>
            </w:r>
          </w:p>
        </w:tc>
        <w:tc>
          <w:tcPr>
            <w:tcW w:w="2282" w:type="dxa"/>
            <w:vMerge w:val="restart"/>
            <w:shd w:val="clear" w:color="auto" w:fill="FFFFFF" w:themeFill="background1"/>
            <w:vAlign w:val="center"/>
          </w:tcPr>
          <w:p w14:paraId="04E40A89" w14:textId="77777777" w:rsidR="001E0171" w:rsidRPr="0097378A" w:rsidRDefault="001E0171" w:rsidP="0097378A">
            <w:pPr>
              <w:jc w:val="center"/>
              <w:rPr>
                <w:rFonts w:asciiTheme="majorBidi" w:eastAsiaTheme="minorEastAsia" w:hAnsiTheme="majorBidi" w:cstheme="majorBidi"/>
                <w:b/>
                <w:bCs/>
                <w:sz w:val="24"/>
                <w:szCs w:val="24"/>
              </w:rPr>
            </w:pPr>
            <w:r w:rsidRPr="0097378A">
              <w:rPr>
                <w:rFonts w:asciiTheme="majorBidi" w:eastAsiaTheme="minorEastAsia" w:hAnsiTheme="majorBidi" w:cstheme="majorBidi"/>
                <w:b/>
                <w:bCs/>
                <w:sz w:val="24"/>
                <w:szCs w:val="24"/>
              </w:rPr>
              <w:t>Functional Relationship Between Account Managers and Sales Teams</w:t>
            </w:r>
          </w:p>
          <w:p w14:paraId="06E49917" w14:textId="29DFF927" w:rsidR="001E0171" w:rsidRPr="0097378A" w:rsidRDefault="001E0171" w:rsidP="0097378A">
            <w:pPr>
              <w:jc w:val="center"/>
              <w:rPr>
                <w:rFonts w:asciiTheme="majorBidi" w:hAnsiTheme="majorBidi" w:cstheme="majorBidi"/>
                <w:color w:val="222222"/>
                <w:sz w:val="24"/>
                <w:szCs w:val="24"/>
                <w:shd w:val="clear" w:color="auto" w:fill="FFFFFF"/>
                <w:rtl/>
                <w:lang w:bidi="ar-EG"/>
              </w:rPr>
            </w:pPr>
          </w:p>
        </w:tc>
      </w:tr>
      <w:tr w:rsidR="001E0171" w:rsidRPr="0097378A" w14:paraId="4BC312C0" w14:textId="77777777" w:rsidTr="0097378A">
        <w:trPr>
          <w:trHeight w:val="283"/>
        </w:trPr>
        <w:tc>
          <w:tcPr>
            <w:tcW w:w="2332" w:type="dxa"/>
            <w:vMerge/>
            <w:vAlign w:val="center"/>
          </w:tcPr>
          <w:p w14:paraId="29B75D89" w14:textId="77777777" w:rsidR="001E0171" w:rsidRPr="0097378A" w:rsidRDefault="001E0171" w:rsidP="0097378A">
            <w:pPr>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7A8C2B5B" w14:textId="77777777"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vAlign w:val="center"/>
          </w:tcPr>
          <w:p w14:paraId="6E68330C" w14:textId="20B9DC69" w:rsidR="001E0171" w:rsidRPr="0097378A" w:rsidRDefault="001E0171" w:rsidP="0097378A">
            <w:pPr>
              <w:jc w:val="center"/>
              <w:rPr>
                <w:rFonts w:asciiTheme="majorBidi" w:eastAsiaTheme="minorEastAsia" w:hAnsiTheme="majorBidi" w:cstheme="majorBidi"/>
                <w:sz w:val="24"/>
                <w:szCs w:val="24"/>
                <w:rtl/>
                <w:lang w:bidi="ar-EG"/>
              </w:rPr>
            </w:pPr>
            <w:r w:rsidRPr="0097378A">
              <w:rPr>
                <w:rFonts w:asciiTheme="majorBidi" w:hAnsiTheme="majorBidi" w:cstheme="majorBidi"/>
                <w:sz w:val="24"/>
                <w:szCs w:val="24"/>
              </w:rPr>
              <w:t>Information Sharing &amp; Data Integration</w:t>
            </w:r>
          </w:p>
        </w:tc>
        <w:tc>
          <w:tcPr>
            <w:tcW w:w="2282" w:type="dxa"/>
            <w:vMerge/>
            <w:shd w:val="clear" w:color="auto" w:fill="FFFFFF" w:themeFill="background1"/>
            <w:vAlign w:val="center"/>
          </w:tcPr>
          <w:p w14:paraId="2E7B5044" w14:textId="77777777" w:rsidR="001E0171" w:rsidRPr="0097378A" w:rsidRDefault="001E0171" w:rsidP="0097378A">
            <w:pPr>
              <w:jc w:val="center"/>
              <w:rPr>
                <w:rFonts w:asciiTheme="majorBidi" w:hAnsiTheme="majorBidi" w:cstheme="majorBidi"/>
                <w:color w:val="222222"/>
                <w:sz w:val="24"/>
                <w:szCs w:val="24"/>
                <w:shd w:val="clear" w:color="auto" w:fill="FFFFFF"/>
                <w:rtl/>
              </w:rPr>
            </w:pPr>
          </w:p>
        </w:tc>
      </w:tr>
      <w:tr w:rsidR="001E0171" w:rsidRPr="0097378A" w14:paraId="34686D6B" w14:textId="77777777" w:rsidTr="0097378A">
        <w:trPr>
          <w:trHeight w:val="283"/>
        </w:trPr>
        <w:tc>
          <w:tcPr>
            <w:tcW w:w="2332" w:type="dxa"/>
            <w:vMerge/>
            <w:vAlign w:val="center"/>
          </w:tcPr>
          <w:p w14:paraId="15B3259F" w14:textId="77777777" w:rsidR="001E0171" w:rsidRPr="0097378A" w:rsidRDefault="001E0171" w:rsidP="0097378A">
            <w:pPr>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14B6FE62" w14:textId="77777777" w:rsidR="001E0171" w:rsidRPr="0097378A" w:rsidRDefault="001E0171" w:rsidP="0097378A">
            <w:pPr>
              <w:jc w:val="center"/>
              <w:rPr>
                <w:rFonts w:asciiTheme="majorBidi" w:eastAsiaTheme="minorEastAsia" w:hAnsiTheme="majorBidi" w:cstheme="majorBidi"/>
                <w:sz w:val="24"/>
                <w:szCs w:val="24"/>
                <w:rtl/>
                <w:lang w:bidi="ar-EG"/>
              </w:rPr>
            </w:pPr>
            <w:r w:rsidRPr="0097378A">
              <w:rPr>
                <w:rFonts w:asciiTheme="majorBidi" w:eastAsiaTheme="minorEastAsia" w:hAnsiTheme="majorBidi" w:cstheme="majorBidi"/>
                <w:sz w:val="24"/>
                <w:szCs w:val="24"/>
                <w:rtl/>
              </w:rPr>
              <w:t>2</w:t>
            </w:r>
          </w:p>
        </w:tc>
        <w:tc>
          <w:tcPr>
            <w:tcW w:w="2257" w:type="dxa"/>
            <w:shd w:val="clear" w:color="auto" w:fill="FFFFFF" w:themeFill="background1"/>
            <w:vAlign w:val="center"/>
          </w:tcPr>
          <w:p w14:paraId="4B49C33A" w14:textId="3A8ED176"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hAnsiTheme="majorBidi" w:cstheme="majorBidi"/>
                <w:sz w:val="24"/>
                <w:szCs w:val="24"/>
              </w:rPr>
              <w:t>Goal/KPI &amp; Incentive Alignment</w:t>
            </w:r>
          </w:p>
        </w:tc>
        <w:tc>
          <w:tcPr>
            <w:tcW w:w="2282" w:type="dxa"/>
            <w:vMerge/>
            <w:shd w:val="clear" w:color="auto" w:fill="FFFFFF" w:themeFill="background1"/>
            <w:vAlign w:val="center"/>
          </w:tcPr>
          <w:p w14:paraId="67D368CD" w14:textId="77777777" w:rsidR="001E0171" w:rsidRPr="0097378A" w:rsidRDefault="001E0171" w:rsidP="0097378A">
            <w:pPr>
              <w:jc w:val="center"/>
              <w:rPr>
                <w:rFonts w:asciiTheme="majorBidi" w:hAnsiTheme="majorBidi" w:cstheme="majorBidi"/>
                <w:color w:val="222222"/>
                <w:sz w:val="24"/>
                <w:szCs w:val="24"/>
                <w:shd w:val="clear" w:color="auto" w:fill="FFFFFF"/>
                <w:rtl/>
              </w:rPr>
            </w:pPr>
          </w:p>
        </w:tc>
      </w:tr>
      <w:tr w:rsidR="001E0171" w:rsidRPr="0097378A" w14:paraId="5486F635" w14:textId="77777777" w:rsidTr="0097378A">
        <w:trPr>
          <w:trHeight w:val="283"/>
        </w:trPr>
        <w:tc>
          <w:tcPr>
            <w:tcW w:w="2332" w:type="dxa"/>
            <w:vMerge/>
            <w:vAlign w:val="center"/>
          </w:tcPr>
          <w:p w14:paraId="253A7FC2" w14:textId="77777777" w:rsidR="001E0171" w:rsidRPr="0097378A" w:rsidRDefault="001E0171" w:rsidP="0097378A">
            <w:pPr>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5043FFCE" w14:textId="77777777"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vAlign w:val="center"/>
          </w:tcPr>
          <w:p w14:paraId="5BB962DE" w14:textId="5418725E" w:rsidR="001E0171" w:rsidRPr="0097378A" w:rsidRDefault="001E0171" w:rsidP="0097378A">
            <w:pPr>
              <w:jc w:val="center"/>
              <w:rPr>
                <w:rFonts w:asciiTheme="majorBidi" w:eastAsiaTheme="minorEastAsia" w:hAnsiTheme="majorBidi" w:cstheme="majorBidi"/>
                <w:sz w:val="24"/>
                <w:szCs w:val="24"/>
                <w:rtl/>
              </w:rPr>
            </w:pPr>
            <w:r w:rsidRPr="0097378A">
              <w:rPr>
                <w:rFonts w:asciiTheme="majorBidi" w:hAnsiTheme="majorBidi" w:cstheme="majorBidi"/>
                <w:sz w:val="24"/>
                <w:szCs w:val="24"/>
              </w:rPr>
              <w:t>Decision Rights &amp; Escalation Clarity (RACI)</w:t>
            </w:r>
          </w:p>
        </w:tc>
        <w:tc>
          <w:tcPr>
            <w:tcW w:w="2282" w:type="dxa"/>
            <w:vMerge/>
            <w:shd w:val="clear" w:color="auto" w:fill="FFFFFF" w:themeFill="background1"/>
            <w:vAlign w:val="center"/>
          </w:tcPr>
          <w:p w14:paraId="7212C11A" w14:textId="77777777" w:rsidR="001E0171" w:rsidRPr="0097378A" w:rsidRDefault="001E0171" w:rsidP="0097378A">
            <w:pPr>
              <w:jc w:val="center"/>
              <w:rPr>
                <w:rFonts w:asciiTheme="majorBidi" w:hAnsiTheme="majorBidi" w:cstheme="majorBidi"/>
                <w:color w:val="222222"/>
                <w:sz w:val="24"/>
                <w:szCs w:val="24"/>
                <w:shd w:val="clear" w:color="auto" w:fill="FFFFFF"/>
                <w:rtl/>
              </w:rPr>
            </w:pPr>
          </w:p>
        </w:tc>
      </w:tr>
      <w:tr w:rsidR="001E0171" w:rsidRPr="0097378A" w14:paraId="4B70C595" w14:textId="77777777" w:rsidTr="0097378A">
        <w:trPr>
          <w:trHeight w:val="283"/>
        </w:trPr>
        <w:tc>
          <w:tcPr>
            <w:tcW w:w="2332" w:type="dxa"/>
            <w:vMerge/>
            <w:vAlign w:val="center"/>
          </w:tcPr>
          <w:p w14:paraId="58A04185" w14:textId="77777777" w:rsidR="00E31FCB" w:rsidRPr="0097378A" w:rsidRDefault="00E31FCB" w:rsidP="0097378A">
            <w:pPr>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16FE653C" w14:textId="77777777" w:rsidR="00E31FCB" w:rsidRPr="0097378A" w:rsidRDefault="00E31FCB" w:rsidP="0097378A">
            <w:pPr>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8</w:t>
            </w:r>
          </w:p>
        </w:tc>
        <w:tc>
          <w:tcPr>
            <w:tcW w:w="2257" w:type="dxa"/>
            <w:shd w:val="clear" w:color="auto" w:fill="FFFFFF" w:themeFill="background1"/>
            <w:vAlign w:val="center"/>
          </w:tcPr>
          <w:p w14:paraId="387E6113" w14:textId="77777777" w:rsidR="00E31FCB" w:rsidRPr="0097378A" w:rsidRDefault="00E31FCB" w:rsidP="0097378A">
            <w:pPr>
              <w:jc w:val="center"/>
              <w:rPr>
                <w:rFonts w:asciiTheme="majorBidi" w:eastAsiaTheme="minorEastAsia" w:hAnsiTheme="majorBidi" w:cstheme="majorBidi"/>
                <w:sz w:val="24"/>
                <w:szCs w:val="24"/>
                <w:rtl/>
                <w:lang w:bidi="ar-EG"/>
              </w:rPr>
            </w:pPr>
            <w:r w:rsidRPr="0097378A">
              <w:rPr>
                <w:rFonts w:asciiTheme="majorBidi" w:eastAsiaTheme="minorEastAsia" w:hAnsiTheme="majorBidi" w:cstheme="majorBidi"/>
                <w:sz w:val="24"/>
                <w:szCs w:val="24"/>
              </w:rPr>
              <w:t>Over all</w:t>
            </w:r>
          </w:p>
        </w:tc>
        <w:tc>
          <w:tcPr>
            <w:tcW w:w="2282" w:type="dxa"/>
            <w:vMerge/>
            <w:shd w:val="clear" w:color="auto" w:fill="FFFFFF" w:themeFill="background1"/>
            <w:vAlign w:val="center"/>
          </w:tcPr>
          <w:p w14:paraId="635EEB2B" w14:textId="77777777" w:rsidR="00E31FCB" w:rsidRPr="0097378A" w:rsidRDefault="00E31FCB" w:rsidP="0097378A">
            <w:pPr>
              <w:jc w:val="center"/>
              <w:rPr>
                <w:rFonts w:asciiTheme="majorBidi" w:hAnsiTheme="majorBidi" w:cstheme="majorBidi"/>
                <w:color w:val="222222"/>
                <w:sz w:val="24"/>
                <w:szCs w:val="24"/>
                <w:shd w:val="clear" w:color="auto" w:fill="FFFFFF"/>
                <w:rtl/>
              </w:rPr>
            </w:pPr>
          </w:p>
        </w:tc>
      </w:tr>
    </w:tbl>
    <w:p w14:paraId="3C486A01" w14:textId="350007D2" w:rsidR="00370164" w:rsidRPr="00EF692F" w:rsidRDefault="0097378A" w:rsidP="0097378A">
      <w:pPr>
        <w:bidi w:val="0"/>
        <w:spacing w:after="120" w:line="276" w:lineRule="auto"/>
        <w:ind w:firstLine="284"/>
        <w:jc w:val="right"/>
        <w:rPr>
          <w:rFonts w:asciiTheme="majorBidi" w:hAnsiTheme="majorBidi" w:cstheme="majorBidi"/>
          <w:sz w:val="24"/>
          <w:szCs w:val="24"/>
          <w:lang w:bidi="ar-EG"/>
        </w:rPr>
      </w:pPr>
      <w:r w:rsidRPr="0097378A">
        <w:rPr>
          <w:rFonts w:asciiTheme="majorBidi" w:hAnsiTheme="majorBidi" w:cstheme="majorBidi"/>
          <w:sz w:val="24"/>
          <w:szCs w:val="24"/>
        </w:rPr>
        <w:t xml:space="preserve">       Source: Researcher</w:t>
      </w:r>
    </w:p>
    <w:p w14:paraId="0BB22415" w14:textId="32813E47" w:rsidR="0097378A" w:rsidRDefault="0097378A" w:rsidP="0097378A">
      <w:pPr>
        <w:pStyle w:val="3"/>
      </w:pPr>
      <w:bookmarkStart w:id="132" w:name="_Toc214621179"/>
      <w:r>
        <w:t>The Dependent Variable: Risk Management Effectiveness</w:t>
      </w:r>
      <w:bookmarkEnd w:id="132"/>
    </w:p>
    <w:p w14:paraId="4C1EFCC4" w14:textId="6FAB2456" w:rsidR="0097378A" w:rsidRDefault="0097378A" w:rsidP="0097378A">
      <w:pPr>
        <w:bidi w:val="0"/>
        <w:spacing w:after="120" w:line="276" w:lineRule="auto"/>
        <w:ind w:firstLine="284"/>
        <w:jc w:val="both"/>
        <w:rPr>
          <w:rFonts w:asciiTheme="majorBidi" w:hAnsiTheme="majorBidi" w:cstheme="majorBidi"/>
          <w:sz w:val="24"/>
          <w:szCs w:val="24"/>
          <w:lang w:bidi="ar-EG"/>
        </w:rPr>
      </w:pPr>
      <w:r w:rsidRPr="0097378A">
        <w:rPr>
          <w:rFonts w:asciiTheme="majorBidi" w:hAnsiTheme="majorBidi" w:cstheme="majorBidi"/>
          <w:sz w:val="24"/>
          <w:szCs w:val="24"/>
          <w:lang w:bidi="ar-EG"/>
        </w:rPr>
        <w:t>The researcher relied on the questionnaire developed for this study in order to measure the dependent variable Risk Management Effectiveness, which is assessed through four dimensions, namely: Early Risk Identification &amp; Onboarding Quality, Credit Discipline &amp; Outcomes, Liquidity &amp; Market-Risk Fit at Origination, and Operational Resilience &amp; Third-Party Risk Control, with an overall 8 items representing the entire variable. Each dimension consists of 2 items: Early Risk Identification &amp; Onboarding Quality (2 items), Credit Discipline &amp; Outcomes (2 items), Liquidity &amp; Market-Risk Fit at Origination (2 items), and Operational Resilience &amp; Third-Party Risk Control (2 items). The instrument uses a 5-point Likert scale, where 1 = strongly disagree and 5 = strongly agree.</w:t>
      </w:r>
    </w:p>
    <w:p w14:paraId="139DD86D" w14:textId="298497B4" w:rsidR="00C3486F" w:rsidRDefault="00C3486F" w:rsidP="00C3486F">
      <w:pPr>
        <w:bidi w:val="0"/>
        <w:spacing w:after="120" w:line="276" w:lineRule="auto"/>
        <w:ind w:firstLine="284"/>
        <w:jc w:val="both"/>
        <w:rPr>
          <w:rFonts w:asciiTheme="majorBidi" w:hAnsiTheme="majorBidi" w:cstheme="majorBidi"/>
          <w:sz w:val="24"/>
          <w:szCs w:val="24"/>
          <w:lang w:bidi="ar-EG"/>
        </w:rPr>
      </w:pPr>
    </w:p>
    <w:p w14:paraId="5EBCA084" w14:textId="1B0E65A6" w:rsidR="00C3486F" w:rsidRDefault="00C3486F" w:rsidP="00C3486F">
      <w:pPr>
        <w:bidi w:val="0"/>
        <w:spacing w:after="120" w:line="276" w:lineRule="auto"/>
        <w:ind w:firstLine="284"/>
        <w:jc w:val="both"/>
        <w:rPr>
          <w:rFonts w:asciiTheme="majorBidi" w:hAnsiTheme="majorBidi" w:cstheme="majorBidi"/>
          <w:sz w:val="24"/>
          <w:szCs w:val="24"/>
          <w:lang w:bidi="ar-EG"/>
        </w:rPr>
      </w:pPr>
    </w:p>
    <w:p w14:paraId="125E5558" w14:textId="417A1051" w:rsidR="00C3486F" w:rsidRDefault="00C3486F" w:rsidP="00C3486F">
      <w:pPr>
        <w:bidi w:val="0"/>
        <w:spacing w:after="120" w:line="276" w:lineRule="auto"/>
        <w:ind w:firstLine="284"/>
        <w:jc w:val="both"/>
        <w:rPr>
          <w:rFonts w:asciiTheme="majorBidi" w:hAnsiTheme="majorBidi" w:cstheme="majorBidi"/>
          <w:sz w:val="24"/>
          <w:szCs w:val="24"/>
          <w:lang w:bidi="ar-EG"/>
        </w:rPr>
      </w:pPr>
    </w:p>
    <w:p w14:paraId="02D0DA88" w14:textId="77777777" w:rsidR="00C3486F" w:rsidRPr="0097378A" w:rsidRDefault="00C3486F" w:rsidP="00C3486F">
      <w:pPr>
        <w:bidi w:val="0"/>
        <w:spacing w:after="120" w:line="276" w:lineRule="auto"/>
        <w:ind w:firstLine="284"/>
        <w:jc w:val="both"/>
        <w:rPr>
          <w:rFonts w:asciiTheme="majorBidi" w:hAnsiTheme="majorBidi" w:cstheme="majorBidi"/>
          <w:sz w:val="24"/>
          <w:szCs w:val="24"/>
          <w:lang w:bidi="ar-EG"/>
        </w:rPr>
      </w:pPr>
    </w:p>
    <w:p w14:paraId="0B09940F" w14:textId="484C55D3" w:rsidR="005C4A9D" w:rsidRDefault="005C4A9D" w:rsidP="005C4A9D">
      <w:pPr>
        <w:pStyle w:val="ad"/>
        <w:rPr>
          <w:rtl/>
          <w:lang w:bidi="ar-EG"/>
        </w:rPr>
      </w:pPr>
      <w:bookmarkStart w:id="133" w:name="_Toc214622014"/>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CD4CCF">
        <w:rPr>
          <w:rtl/>
        </w:rPr>
        <w:t>8</w:t>
      </w:r>
      <w:r>
        <w:rPr>
          <w:rtl/>
        </w:rPr>
        <w:fldChar w:fldCharType="end"/>
      </w:r>
      <w:r>
        <w:t xml:space="preserve">: </w:t>
      </w:r>
      <w:r w:rsidRPr="006C389A">
        <w:t>for the Instrument of the Dependent Variable</w:t>
      </w:r>
      <w:bookmarkEnd w:id="133"/>
    </w:p>
    <w:tbl>
      <w:tblPr>
        <w:tblStyle w:val="ae"/>
        <w:bidiVisual/>
        <w:tblW w:w="0" w:type="auto"/>
        <w:shd w:val="clear" w:color="auto" w:fill="FFFFFF" w:themeFill="background1"/>
        <w:tblLook w:val="04A0" w:firstRow="1" w:lastRow="0" w:firstColumn="1" w:lastColumn="0" w:noHBand="0" w:noVBand="1"/>
      </w:tblPr>
      <w:tblGrid>
        <w:gridCol w:w="2332"/>
        <w:gridCol w:w="2190"/>
        <w:gridCol w:w="2257"/>
        <w:gridCol w:w="2282"/>
      </w:tblGrid>
      <w:tr w:rsidR="0097378A" w:rsidRPr="0097378A" w14:paraId="35681207" w14:textId="77777777" w:rsidTr="00447C39">
        <w:trPr>
          <w:trHeight w:val="283"/>
        </w:trPr>
        <w:tc>
          <w:tcPr>
            <w:tcW w:w="2332" w:type="dxa"/>
            <w:shd w:val="clear" w:color="auto" w:fill="FFFFFF" w:themeFill="background1"/>
            <w:vAlign w:val="center"/>
          </w:tcPr>
          <w:p w14:paraId="5C6672A3" w14:textId="77777777" w:rsidR="0097378A" w:rsidRPr="0097378A" w:rsidRDefault="0097378A" w:rsidP="005C4A9D">
            <w:pPr>
              <w:bidi w:val="0"/>
              <w:jc w:val="center"/>
              <w:rPr>
                <w:rFonts w:asciiTheme="majorBidi" w:eastAsia="Times New Roman" w:hAnsiTheme="majorBidi" w:cstheme="majorBidi"/>
                <w:b/>
                <w:bCs/>
                <w:color w:val="000000" w:themeColor="text1"/>
                <w:kern w:val="24"/>
                <w:sz w:val="24"/>
                <w:szCs w:val="24"/>
                <w:lang w:bidi="ar-EG"/>
              </w:rPr>
            </w:pPr>
            <w:r w:rsidRPr="0097378A">
              <w:rPr>
                <w:rFonts w:asciiTheme="majorBidi" w:eastAsia="Times New Roman" w:hAnsiTheme="majorBidi" w:cstheme="majorBidi"/>
                <w:b/>
                <w:bCs/>
                <w:color w:val="000000" w:themeColor="text1"/>
                <w:kern w:val="24"/>
                <w:sz w:val="24"/>
                <w:szCs w:val="24"/>
              </w:rPr>
              <w:t>Sources</w:t>
            </w:r>
          </w:p>
        </w:tc>
        <w:tc>
          <w:tcPr>
            <w:tcW w:w="2190" w:type="dxa"/>
            <w:shd w:val="clear" w:color="auto" w:fill="FFFFFF" w:themeFill="background1"/>
            <w:vAlign w:val="center"/>
          </w:tcPr>
          <w:p w14:paraId="6148C489" w14:textId="77777777" w:rsidR="0097378A" w:rsidRPr="0097378A" w:rsidRDefault="0097378A" w:rsidP="005C4A9D">
            <w:pPr>
              <w:bidi w:val="0"/>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Number of Items</w:t>
            </w:r>
          </w:p>
        </w:tc>
        <w:tc>
          <w:tcPr>
            <w:tcW w:w="2257" w:type="dxa"/>
            <w:shd w:val="clear" w:color="auto" w:fill="FFFFFF" w:themeFill="background1"/>
            <w:vAlign w:val="center"/>
          </w:tcPr>
          <w:p w14:paraId="3FA8AD23" w14:textId="77777777" w:rsidR="0097378A" w:rsidRPr="0097378A" w:rsidRDefault="0097378A" w:rsidP="005C4A9D">
            <w:pPr>
              <w:bidi w:val="0"/>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Dimensions</w:t>
            </w:r>
          </w:p>
        </w:tc>
        <w:tc>
          <w:tcPr>
            <w:tcW w:w="2282" w:type="dxa"/>
            <w:shd w:val="clear" w:color="auto" w:fill="FFFFFF" w:themeFill="background1"/>
            <w:vAlign w:val="center"/>
          </w:tcPr>
          <w:p w14:paraId="4506EABC" w14:textId="77777777" w:rsidR="0097378A" w:rsidRPr="0097378A" w:rsidRDefault="0097378A" w:rsidP="005C4A9D">
            <w:pPr>
              <w:bidi w:val="0"/>
              <w:jc w:val="center"/>
              <w:rPr>
                <w:rFonts w:asciiTheme="majorBidi" w:eastAsia="Times New Roman" w:hAnsiTheme="majorBidi" w:cstheme="majorBidi"/>
                <w:b/>
                <w:bCs/>
                <w:color w:val="000000" w:themeColor="text1"/>
                <w:kern w:val="24"/>
                <w:sz w:val="24"/>
                <w:szCs w:val="24"/>
                <w:rtl/>
              </w:rPr>
            </w:pPr>
            <w:r w:rsidRPr="0097378A">
              <w:rPr>
                <w:rFonts w:asciiTheme="majorBidi" w:eastAsia="Times New Roman" w:hAnsiTheme="majorBidi" w:cstheme="majorBidi"/>
                <w:b/>
                <w:bCs/>
                <w:color w:val="000000" w:themeColor="text1"/>
                <w:kern w:val="24"/>
                <w:sz w:val="24"/>
                <w:szCs w:val="24"/>
              </w:rPr>
              <w:t>Variable</w:t>
            </w:r>
          </w:p>
        </w:tc>
      </w:tr>
      <w:tr w:rsidR="005C4A9D" w:rsidRPr="0097378A" w14:paraId="3D31A67F" w14:textId="77777777" w:rsidTr="00B56D65">
        <w:trPr>
          <w:trHeight w:val="283"/>
        </w:trPr>
        <w:tc>
          <w:tcPr>
            <w:tcW w:w="2332" w:type="dxa"/>
            <w:vMerge w:val="restart"/>
            <w:vAlign w:val="center"/>
          </w:tcPr>
          <w:p w14:paraId="4570193D" w14:textId="77777777" w:rsidR="00661A7B" w:rsidRPr="00661A7B" w:rsidRDefault="00661A7B" w:rsidP="002E6F27">
            <w:pPr>
              <w:pStyle w:val="a5"/>
              <w:numPr>
                <w:ilvl w:val="0"/>
                <w:numId w:val="66"/>
              </w:numPr>
              <w:bidi w:val="0"/>
              <w:ind w:left="388"/>
              <w:rPr>
                <w:rFonts w:asciiTheme="majorBidi" w:eastAsia="Calibri" w:hAnsiTheme="majorBidi" w:cstheme="majorBidi"/>
                <w:sz w:val="24"/>
                <w:szCs w:val="24"/>
                <w:u w:val="single"/>
                <w:lang w:bidi="ar-EG"/>
              </w:rPr>
            </w:pPr>
            <w:r w:rsidRPr="00661A7B">
              <w:rPr>
                <w:rFonts w:asciiTheme="majorBidi" w:eastAsia="Calibri" w:hAnsiTheme="majorBidi" w:cstheme="majorBidi"/>
                <w:sz w:val="24"/>
                <w:szCs w:val="24"/>
                <w:u w:val="single"/>
                <w:lang w:bidi="ar-EG"/>
              </w:rPr>
              <w:t>Al Hammadi et al., 2024</w:t>
            </w:r>
          </w:p>
          <w:p w14:paraId="788510E6" w14:textId="77777777" w:rsidR="00661A7B" w:rsidRPr="00661A7B" w:rsidRDefault="00661A7B" w:rsidP="002E6F27">
            <w:pPr>
              <w:pStyle w:val="a5"/>
              <w:numPr>
                <w:ilvl w:val="0"/>
                <w:numId w:val="66"/>
              </w:numPr>
              <w:bidi w:val="0"/>
              <w:ind w:left="388"/>
              <w:rPr>
                <w:rFonts w:asciiTheme="majorBidi" w:eastAsia="Calibri" w:hAnsiTheme="majorBidi" w:cstheme="majorBidi"/>
                <w:sz w:val="24"/>
                <w:szCs w:val="24"/>
                <w:u w:val="single"/>
                <w:lang w:bidi="ar-EG"/>
              </w:rPr>
            </w:pPr>
            <w:r w:rsidRPr="00661A7B">
              <w:rPr>
                <w:rFonts w:asciiTheme="majorBidi" w:eastAsia="Calibri" w:hAnsiTheme="majorBidi" w:cstheme="majorBidi"/>
                <w:sz w:val="24"/>
                <w:szCs w:val="24"/>
                <w:u w:val="single"/>
                <w:lang w:bidi="ar-EG"/>
              </w:rPr>
              <w:t>Abdulla &amp; Elshandidy, 2023</w:t>
            </w:r>
          </w:p>
          <w:p w14:paraId="2FF060EC" w14:textId="29A1F63C" w:rsidR="005C4A9D" w:rsidRPr="0097378A" w:rsidRDefault="005C4A9D" w:rsidP="005C4A9D">
            <w:pPr>
              <w:bidi w:val="0"/>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33C31720" w14:textId="77777777" w:rsidR="005C4A9D" w:rsidRPr="0097378A" w:rsidRDefault="005C4A9D" w:rsidP="005C4A9D">
            <w:pPr>
              <w:bidi w:val="0"/>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tcPr>
          <w:p w14:paraId="5E5AF4D9" w14:textId="13BD3A6F" w:rsidR="005C4A9D" w:rsidRPr="0097378A" w:rsidRDefault="005C4A9D" w:rsidP="005C4A9D">
            <w:pPr>
              <w:bidi w:val="0"/>
              <w:jc w:val="center"/>
              <w:rPr>
                <w:rFonts w:asciiTheme="majorBidi" w:eastAsiaTheme="minorEastAsia" w:hAnsiTheme="majorBidi" w:cstheme="majorBidi"/>
                <w:sz w:val="24"/>
                <w:szCs w:val="24"/>
                <w:rtl/>
              </w:rPr>
            </w:pPr>
            <w:r w:rsidRPr="00390757">
              <w:t>Early Risk Identification &amp; Onboarding Quality</w:t>
            </w:r>
          </w:p>
        </w:tc>
        <w:tc>
          <w:tcPr>
            <w:tcW w:w="2282" w:type="dxa"/>
            <w:vMerge w:val="restart"/>
            <w:shd w:val="clear" w:color="auto" w:fill="FFFFFF" w:themeFill="background1"/>
            <w:vAlign w:val="center"/>
          </w:tcPr>
          <w:p w14:paraId="01C6A842" w14:textId="331768A8" w:rsidR="005C4A9D" w:rsidRPr="0097378A" w:rsidRDefault="005C4A9D" w:rsidP="005C4A9D">
            <w:pPr>
              <w:bidi w:val="0"/>
              <w:jc w:val="center"/>
              <w:rPr>
                <w:rFonts w:asciiTheme="majorBidi" w:hAnsiTheme="majorBidi" w:cstheme="majorBidi"/>
                <w:color w:val="222222"/>
                <w:sz w:val="24"/>
                <w:szCs w:val="24"/>
                <w:shd w:val="clear" w:color="auto" w:fill="FFFFFF"/>
                <w:rtl/>
                <w:lang w:bidi="ar-EG"/>
              </w:rPr>
            </w:pPr>
            <w:r w:rsidRPr="005C4A9D">
              <w:rPr>
                <w:rFonts w:asciiTheme="majorBidi" w:eastAsiaTheme="minorEastAsia" w:hAnsiTheme="majorBidi" w:cstheme="majorBidi"/>
                <w:b/>
                <w:bCs/>
                <w:sz w:val="24"/>
                <w:szCs w:val="24"/>
              </w:rPr>
              <w:t>Risk Management Effectiveness</w:t>
            </w:r>
          </w:p>
        </w:tc>
      </w:tr>
      <w:tr w:rsidR="005C4A9D" w:rsidRPr="0097378A" w14:paraId="544E82D9" w14:textId="77777777" w:rsidTr="00B56D65">
        <w:trPr>
          <w:trHeight w:val="283"/>
        </w:trPr>
        <w:tc>
          <w:tcPr>
            <w:tcW w:w="2332" w:type="dxa"/>
            <w:vMerge/>
            <w:vAlign w:val="center"/>
          </w:tcPr>
          <w:p w14:paraId="34CD2AA9" w14:textId="77777777" w:rsidR="005C4A9D" w:rsidRPr="0097378A" w:rsidRDefault="005C4A9D" w:rsidP="005C4A9D">
            <w:pPr>
              <w:bidi w:val="0"/>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3DEA5BAD" w14:textId="77777777" w:rsidR="005C4A9D" w:rsidRPr="0097378A" w:rsidRDefault="005C4A9D" w:rsidP="005C4A9D">
            <w:pPr>
              <w:bidi w:val="0"/>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tcPr>
          <w:p w14:paraId="62CBE439" w14:textId="47F8B61B" w:rsidR="005C4A9D" w:rsidRPr="0097378A" w:rsidRDefault="005C4A9D" w:rsidP="005C4A9D">
            <w:pPr>
              <w:bidi w:val="0"/>
              <w:jc w:val="center"/>
              <w:rPr>
                <w:rFonts w:asciiTheme="majorBidi" w:eastAsiaTheme="minorEastAsia" w:hAnsiTheme="majorBidi" w:cstheme="majorBidi"/>
                <w:sz w:val="24"/>
                <w:szCs w:val="24"/>
                <w:rtl/>
                <w:lang w:bidi="ar-EG"/>
              </w:rPr>
            </w:pPr>
            <w:r w:rsidRPr="00390757">
              <w:t>Credit Discipline &amp; Outcomes</w:t>
            </w:r>
          </w:p>
        </w:tc>
        <w:tc>
          <w:tcPr>
            <w:tcW w:w="2282" w:type="dxa"/>
            <w:vMerge/>
            <w:shd w:val="clear" w:color="auto" w:fill="FFFFFF" w:themeFill="background1"/>
            <w:vAlign w:val="center"/>
          </w:tcPr>
          <w:p w14:paraId="42FF3985" w14:textId="77777777" w:rsidR="005C4A9D" w:rsidRPr="0097378A" w:rsidRDefault="005C4A9D" w:rsidP="005C4A9D">
            <w:pPr>
              <w:bidi w:val="0"/>
              <w:jc w:val="center"/>
              <w:rPr>
                <w:rFonts w:asciiTheme="majorBidi" w:hAnsiTheme="majorBidi" w:cstheme="majorBidi"/>
                <w:color w:val="222222"/>
                <w:sz w:val="24"/>
                <w:szCs w:val="24"/>
                <w:shd w:val="clear" w:color="auto" w:fill="FFFFFF"/>
                <w:rtl/>
              </w:rPr>
            </w:pPr>
          </w:p>
        </w:tc>
      </w:tr>
      <w:tr w:rsidR="005C4A9D" w:rsidRPr="0097378A" w14:paraId="457B0FED" w14:textId="77777777" w:rsidTr="00B56D65">
        <w:trPr>
          <w:trHeight w:val="283"/>
        </w:trPr>
        <w:tc>
          <w:tcPr>
            <w:tcW w:w="2332" w:type="dxa"/>
            <w:vMerge/>
            <w:vAlign w:val="center"/>
          </w:tcPr>
          <w:p w14:paraId="62FEAF5F" w14:textId="77777777" w:rsidR="005C4A9D" w:rsidRPr="0097378A" w:rsidRDefault="005C4A9D" w:rsidP="005C4A9D">
            <w:pPr>
              <w:bidi w:val="0"/>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5F9AC8F8" w14:textId="77777777" w:rsidR="005C4A9D" w:rsidRPr="0097378A" w:rsidRDefault="005C4A9D" w:rsidP="005C4A9D">
            <w:pPr>
              <w:bidi w:val="0"/>
              <w:jc w:val="center"/>
              <w:rPr>
                <w:rFonts w:asciiTheme="majorBidi" w:eastAsiaTheme="minorEastAsia" w:hAnsiTheme="majorBidi" w:cstheme="majorBidi"/>
                <w:sz w:val="24"/>
                <w:szCs w:val="24"/>
                <w:rtl/>
                <w:lang w:bidi="ar-EG"/>
              </w:rPr>
            </w:pPr>
            <w:r w:rsidRPr="0097378A">
              <w:rPr>
                <w:rFonts w:asciiTheme="majorBidi" w:eastAsiaTheme="minorEastAsia" w:hAnsiTheme="majorBidi" w:cstheme="majorBidi"/>
                <w:sz w:val="24"/>
                <w:szCs w:val="24"/>
                <w:rtl/>
              </w:rPr>
              <w:t>2</w:t>
            </w:r>
          </w:p>
        </w:tc>
        <w:tc>
          <w:tcPr>
            <w:tcW w:w="2257" w:type="dxa"/>
            <w:shd w:val="clear" w:color="auto" w:fill="FFFFFF" w:themeFill="background1"/>
          </w:tcPr>
          <w:p w14:paraId="501CBCCA" w14:textId="5D0E476C" w:rsidR="005C4A9D" w:rsidRPr="0097378A" w:rsidRDefault="005C4A9D" w:rsidP="005C4A9D">
            <w:pPr>
              <w:bidi w:val="0"/>
              <w:jc w:val="center"/>
              <w:rPr>
                <w:rFonts w:asciiTheme="majorBidi" w:eastAsiaTheme="minorEastAsia" w:hAnsiTheme="majorBidi" w:cstheme="majorBidi"/>
                <w:sz w:val="24"/>
                <w:szCs w:val="24"/>
                <w:rtl/>
              </w:rPr>
            </w:pPr>
            <w:r w:rsidRPr="00390757">
              <w:t>Liquidity &amp; Market-Risk Fit at Origination</w:t>
            </w:r>
          </w:p>
        </w:tc>
        <w:tc>
          <w:tcPr>
            <w:tcW w:w="2282" w:type="dxa"/>
            <w:vMerge/>
            <w:shd w:val="clear" w:color="auto" w:fill="FFFFFF" w:themeFill="background1"/>
            <w:vAlign w:val="center"/>
          </w:tcPr>
          <w:p w14:paraId="79838465" w14:textId="77777777" w:rsidR="005C4A9D" w:rsidRPr="0097378A" w:rsidRDefault="005C4A9D" w:rsidP="005C4A9D">
            <w:pPr>
              <w:bidi w:val="0"/>
              <w:jc w:val="center"/>
              <w:rPr>
                <w:rFonts w:asciiTheme="majorBidi" w:hAnsiTheme="majorBidi" w:cstheme="majorBidi"/>
                <w:color w:val="222222"/>
                <w:sz w:val="24"/>
                <w:szCs w:val="24"/>
                <w:shd w:val="clear" w:color="auto" w:fill="FFFFFF"/>
                <w:rtl/>
              </w:rPr>
            </w:pPr>
          </w:p>
        </w:tc>
      </w:tr>
      <w:tr w:rsidR="005C4A9D" w:rsidRPr="0097378A" w14:paraId="09E1B373" w14:textId="77777777" w:rsidTr="00B56D65">
        <w:trPr>
          <w:trHeight w:val="283"/>
        </w:trPr>
        <w:tc>
          <w:tcPr>
            <w:tcW w:w="2332" w:type="dxa"/>
            <w:vMerge/>
            <w:vAlign w:val="center"/>
          </w:tcPr>
          <w:p w14:paraId="1D1ECD0B" w14:textId="77777777" w:rsidR="005C4A9D" w:rsidRPr="0097378A" w:rsidRDefault="005C4A9D" w:rsidP="005C4A9D">
            <w:pPr>
              <w:bidi w:val="0"/>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41ACDF96" w14:textId="77777777" w:rsidR="005C4A9D" w:rsidRPr="0097378A" w:rsidRDefault="005C4A9D" w:rsidP="005C4A9D">
            <w:pPr>
              <w:bidi w:val="0"/>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2</w:t>
            </w:r>
          </w:p>
        </w:tc>
        <w:tc>
          <w:tcPr>
            <w:tcW w:w="2257" w:type="dxa"/>
            <w:shd w:val="clear" w:color="auto" w:fill="FFFFFF" w:themeFill="background1"/>
          </w:tcPr>
          <w:p w14:paraId="200A4700" w14:textId="5B97C046" w:rsidR="005C4A9D" w:rsidRPr="0097378A" w:rsidRDefault="005C4A9D" w:rsidP="005C4A9D">
            <w:pPr>
              <w:bidi w:val="0"/>
              <w:jc w:val="center"/>
              <w:rPr>
                <w:rFonts w:asciiTheme="majorBidi" w:eastAsiaTheme="minorEastAsia" w:hAnsiTheme="majorBidi" w:cstheme="majorBidi"/>
                <w:sz w:val="24"/>
                <w:szCs w:val="24"/>
                <w:rtl/>
              </w:rPr>
            </w:pPr>
            <w:r w:rsidRPr="00390757">
              <w:t>Operational Resilience &amp; Third-Party Risk Control</w:t>
            </w:r>
          </w:p>
        </w:tc>
        <w:tc>
          <w:tcPr>
            <w:tcW w:w="2282" w:type="dxa"/>
            <w:vMerge/>
            <w:shd w:val="clear" w:color="auto" w:fill="FFFFFF" w:themeFill="background1"/>
            <w:vAlign w:val="center"/>
          </w:tcPr>
          <w:p w14:paraId="455285BE" w14:textId="77777777" w:rsidR="005C4A9D" w:rsidRPr="0097378A" w:rsidRDefault="005C4A9D" w:rsidP="005C4A9D">
            <w:pPr>
              <w:bidi w:val="0"/>
              <w:jc w:val="center"/>
              <w:rPr>
                <w:rFonts w:asciiTheme="majorBidi" w:hAnsiTheme="majorBidi" w:cstheme="majorBidi"/>
                <w:color w:val="222222"/>
                <w:sz w:val="24"/>
                <w:szCs w:val="24"/>
                <w:shd w:val="clear" w:color="auto" w:fill="FFFFFF"/>
                <w:rtl/>
              </w:rPr>
            </w:pPr>
          </w:p>
        </w:tc>
      </w:tr>
      <w:tr w:rsidR="0097378A" w:rsidRPr="0097378A" w14:paraId="07E35125" w14:textId="77777777" w:rsidTr="00447C39">
        <w:trPr>
          <w:trHeight w:val="283"/>
        </w:trPr>
        <w:tc>
          <w:tcPr>
            <w:tcW w:w="2332" w:type="dxa"/>
            <w:vMerge/>
            <w:vAlign w:val="center"/>
          </w:tcPr>
          <w:p w14:paraId="32AE0C0F" w14:textId="77777777" w:rsidR="0097378A" w:rsidRPr="0097378A" w:rsidRDefault="0097378A" w:rsidP="005C4A9D">
            <w:pPr>
              <w:bidi w:val="0"/>
              <w:jc w:val="center"/>
              <w:rPr>
                <w:rFonts w:asciiTheme="majorBidi" w:eastAsia="Calibri" w:hAnsiTheme="majorBidi" w:cstheme="majorBidi"/>
                <w:sz w:val="24"/>
                <w:szCs w:val="24"/>
                <w:rtl/>
                <w:lang w:bidi="ar-EG"/>
              </w:rPr>
            </w:pPr>
          </w:p>
        </w:tc>
        <w:tc>
          <w:tcPr>
            <w:tcW w:w="2190" w:type="dxa"/>
            <w:shd w:val="clear" w:color="auto" w:fill="FFFFFF" w:themeFill="background1"/>
            <w:vAlign w:val="center"/>
          </w:tcPr>
          <w:p w14:paraId="5A1167A6" w14:textId="77777777" w:rsidR="0097378A" w:rsidRPr="0097378A" w:rsidRDefault="0097378A" w:rsidP="005C4A9D">
            <w:pPr>
              <w:bidi w:val="0"/>
              <w:jc w:val="center"/>
              <w:rPr>
                <w:rFonts w:asciiTheme="majorBidi" w:eastAsiaTheme="minorEastAsia" w:hAnsiTheme="majorBidi" w:cstheme="majorBidi"/>
                <w:sz w:val="24"/>
                <w:szCs w:val="24"/>
                <w:rtl/>
              </w:rPr>
            </w:pPr>
            <w:r w:rsidRPr="0097378A">
              <w:rPr>
                <w:rFonts w:asciiTheme="majorBidi" w:eastAsiaTheme="minorEastAsia" w:hAnsiTheme="majorBidi" w:cstheme="majorBidi"/>
                <w:sz w:val="24"/>
                <w:szCs w:val="24"/>
                <w:rtl/>
              </w:rPr>
              <w:t>8</w:t>
            </w:r>
          </w:p>
        </w:tc>
        <w:tc>
          <w:tcPr>
            <w:tcW w:w="2257" w:type="dxa"/>
            <w:shd w:val="clear" w:color="auto" w:fill="FFFFFF" w:themeFill="background1"/>
            <w:vAlign w:val="center"/>
          </w:tcPr>
          <w:p w14:paraId="68C24117" w14:textId="77777777" w:rsidR="0097378A" w:rsidRPr="0097378A" w:rsidRDefault="0097378A" w:rsidP="005C4A9D">
            <w:pPr>
              <w:bidi w:val="0"/>
              <w:jc w:val="center"/>
              <w:rPr>
                <w:rFonts w:asciiTheme="majorBidi" w:eastAsiaTheme="minorEastAsia" w:hAnsiTheme="majorBidi" w:cstheme="majorBidi"/>
                <w:sz w:val="24"/>
                <w:szCs w:val="24"/>
                <w:rtl/>
                <w:lang w:bidi="ar-EG"/>
              </w:rPr>
            </w:pPr>
            <w:r w:rsidRPr="0097378A">
              <w:rPr>
                <w:rFonts w:asciiTheme="majorBidi" w:eastAsiaTheme="minorEastAsia" w:hAnsiTheme="majorBidi" w:cstheme="majorBidi"/>
                <w:sz w:val="24"/>
                <w:szCs w:val="24"/>
              </w:rPr>
              <w:t>Over all</w:t>
            </w:r>
          </w:p>
        </w:tc>
        <w:tc>
          <w:tcPr>
            <w:tcW w:w="2282" w:type="dxa"/>
            <w:vMerge/>
            <w:shd w:val="clear" w:color="auto" w:fill="FFFFFF" w:themeFill="background1"/>
            <w:vAlign w:val="center"/>
          </w:tcPr>
          <w:p w14:paraId="7F47FDDF" w14:textId="77777777" w:rsidR="0097378A" w:rsidRPr="0097378A" w:rsidRDefault="0097378A" w:rsidP="005C4A9D">
            <w:pPr>
              <w:bidi w:val="0"/>
              <w:jc w:val="center"/>
              <w:rPr>
                <w:rFonts w:asciiTheme="majorBidi" w:hAnsiTheme="majorBidi" w:cstheme="majorBidi"/>
                <w:color w:val="222222"/>
                <w:sz w:val="24"/>
                <w:szCs w:val="24"/>
                <w:shd w:val="clear" w:color="auto" w:fill="FFFFFF"/>
                <w:rtl/>
              </w:rPr>
            </w:pPr>
          </w:p>
        </w:tc>
      </w:tr>
    </w:tbl>
    <w:p w14:paraId="6A8584C5" w14:textId="77777777" w:rsidR="005C4A9D" w:rsidRPr="00EF692F" w:rsidRDefault="005C4A9D" w:rsidP="005C4A9D">
      <w:pPr>
        <w:bidi w:val="0"/>
        <w:spacing w:after="120" w:line="276" w:lineRule="auto"/>
        <w:ind w:firstLine="284"/>
        <w:jc w:val="right"/>
        <w:rPr>
          <w:rFonts w:asciiTheme="majorBidi" w:hAnsiTheme="majorBidi" w:cstheme="majorBidi"/>
          <w:sz w:val="24"/>
          <w:szCs w:val="24"/>
          <w:lang w:bidi="ar-EG"/>
        </w:rPr>
      </w:pPr>
      <w:r w:rsidRPr="0097378A">
        <w:rPr>
          <w:rFonts w:asciiTheme="majorBidi" w:hAnsiTheme="majorBidi" w:cstheme="majorBidi"/>
          <w:sz w:val="24"/>
          <w:szCs w:val="24"/>
        </w:rPr>
        <w:t xml:space="preserve">       Source: Researcher</w:t>
      </w:r>
    </w:p>
    <w:p w14:paraId="79F4449B" w14:textId="77777777" w:rsidR="005C4A9D" w:rsidRDefault="005C4A9D" w:rsidP="005C4A9D">
      <w:pPr>
        <w:pStyle w:val="2"/>
      </w:pPr>
      <w:bookmarkStart w:id="134" w:name="_Toc214621180"/>
      <w:r>
        <w:rPr>
          <w:rStyle w:val="a7"/>
          <w:b/>
          <w:bCs/>
        </w:rPr>
        <w:t>3.6. Types of Data</w:t>
      </w:r>
      <w:bookmarkEnd w:id="134"/>
    </w:p>
    <w:p w14:paraId="2AF8DB2E" w14:textId="62318041" w:rsidR="005C4A9D" w:rsidRDefault="005C4A9D" w:rsidP="005C4A9D">
      <w:pPr>
        <w:pStyle w:val="3"/>
      </w:pPr>
      <w:bookmarkStart w:id="135" w:name="_Toc214621181"/>
      <w:r>
        <w:rPr>
          <w:rStyle w:val="a7"/>
          <w:b/>
          <w:bCs/>
        </w:rPr>
        <w:t>Primary Data</w:t>
      </w:r>
      <w:bookmarkEnd w:id="135"/>
    </w:p>
    <w:p w14:paraId="27FD4AB4" w14:textId="77777777" w:rsidR="005C4A9D" w:rsidRPr="005C4A9D" w:rsidRDefault="005C4A9D" w:rsidP="005C4A9D">
      <w:pPr>
        <w:bidi w:val="0"/>
        <w:spacing w:after="120" w:line="276" w:lineRule="auto"/>
        <w:ind w:firstLine="284"/>
        <w:jc w:val="both"/>
        <w:rPr>
          <w:rFonts w:asciiTheme="majorBidi" w:hAnsiTheme="majorBidi" w:cstheme="majorBidi"/>
          <w:sz w:val="24"/>
          <w:szCs w:val="24"/>
          <w:lang w:bidi="ar-EG"/>
        </w:rPr>
      </w:pPr>
      <w:r w:rsidRPr="005C4A9D">
        <w:rPr>
          <w:rFonts w:asciiTheme="majorBidi" w:hAnsiTheme="majorBidi" w:cstheme="majorBidi"/>
          <w:sz w:val="24"/>
          <w:szCs w:val="24"/>
          <w:lang w:bidi="ar-EG"/>
        </w:rPr>
        <w:t>Primary data refers to information collected directly from the original source specifically for the purposes of this research study. In this study, the primary data was obtained through the following method:</w:t>
      </w:r>
    </w:p>
    <w:p w14:paraId="7CB6D1BB" w14:textId="092EC468" w:rsidR="005C4A9D" w:rsidRPr="005C4A9D" w:rsidRDefault="005C4A9D" w:rsidP="002E6F27">
      <w:pPr>
        <w:pStyle w:val="a5"/>
        <w:numPr>
          <w:ilvl w:val="0"/>
          <w:numId w:val="61"/>
        </w:numPr>
        <w:bidi w:val="0"/>
        <w:spacing w:after="120" w:line="276" w:lineRule="auto"/>
        <w:jc w:val="both"/>
        <w:rPr>
          <w:rFonts w:asciiTheme="majorBidi" w:hAnsiTheme="majorBidi" w:cstheme="majorBidi"/>
          <w:sz w:val="24"/>
          <w:szCs w:val="24"/>
          <w:lang w:bidi="ar-EG"/>
        </w:rPr>
      </w:pPr>
      <w:r w:rsidRPr="005C4A9D">
        <w:rPr>
          <w:rFonts w:asciiTheme="majorBidi" w:hAnsiTheme="majorBidi" w:cstheme="majorBidi"/>
          <w:sz w:val="24"/>
          <w:szCs w:val="24"/>
          <w:lang w:bidi="ar-EG"/>
        </w:rPr>
        <w:t>Surveys:</w:t>
      </w:r>
      <w:r w:rsidRPr="005C4A9D">
        <w:rPr>
          <w:rFonts w:asciiTheme="majorBidi" w:hAnsiTheme="majorBidi" w:cstheme="majorBidi"/>
          <w:sz w:val="24"/>
          <w:szCs w:val="24"/>
          <w:lang w:bidi="ar-EG"/>
        </w:rPr>
        <w:br/>
        <w:t>A structured, self-administered questionnaire was distributed to a stratified random sample of 196 employees from various departments at Al Rajhi Bank in Riyadh. The survey items were designed to measure employees’ perceptions regarding the functional relationship between account managers and sales teams, as well as their evaluation of the bank’s risk management effectiveness across its key dimensions. All survey items were rated using a 5-point Likert scale, enabling the researcher to quantify responses and conduct statistical analyses.</w:t>
      </w:r>
    </w:p>
    <w:p w14:paraId="0C98FFA7" w14:textId="2012197A" w:rsidR="005C4A9D" w:rsidRDefault="005C4A9D" w:rsidP="005C4A9D">
      <w:pPr>
        <w:pStyle w:val="3"/>
      </w:pPr>
      <w:bookmarkStart w:id="136" w:name="_Toc214621182"/>
      <w:r>
        <w:rPr>
          <w:rStyle w:val="a7"/>
          <w:b/>
          <w:bCs/>
        </w:rPr>
        <w:t>Secondary Data</w:t>
      </w:r>
      <w:bookmarkEnd w:id="136"/>
    </w:p>
    <w:p w14:paraId="649461F0" w14:textId="77777777" w:rsidR="005C4A9D" w:rsidRPr="005C4A9D" w:rsidRDefault="005C4A9D" w:rsidP="005C4A9D">
      <w:pPr>
        <w:bidi w:val="0"/>
        <w:spacing w:after="120" w:line="276" w:lineRule="auto"/>
        <w:ind w:firstLine="284"/>
        <w:jc w:val="both"/>
        <w:rPr>
          <w:rFonts w:asciiTheme="majorBidi" w:hAnsiTheme="majorBidi" w:cstheme="majorBidi"/>
          <w:sz w:val="24"/>
          <w:szCs w:val="24"/>
          <w:lang w:bidi="ar-EG"/>
        </w:rPr>
      </w:pPr>
      <w:r w:rsidRPr="005C4A9D">
        <w:rPr>
          <w:rFonts w:asciiTheme="majorBidi" w:hAnsiTheme="majorBidi" w:cstheme="majorBidi"/>
          <w:sz w:val="24"/>
          <w:szCs w:val="24"/>
          <w:lang w:bidi="ar-EG"/>
        </w:rPr>
        <w:t>Secondary data refers to information previously collected, documented, and published by other authors or institutions, and used to support, validate, or contextualize the primary data. In this research, the secondary data included:</w:t>
      </w:r>
    </w:p>
    <w:p w14:paraId="2B7E1DD7" w14:textId="77777777" w:rsidR="005C4A9D" w:rsidRPr="005C4A9D" w:rsidRDefault="005C4A9D" w:rsidP="002E6F27">
      <w:pPr>
        <w:pStyle w:val="a5"/>
        <w:numPr>
          <w:ilvl w:val="0"/>
          <w:numId w:val="62"/>
        </w:numPr>
        <w:bidi w:val="0"/>
        <w:spacing w:after="120" w:line="276" w:lineRule="auto"/>
        <w:jc w:val="both"/>
        <w:rPr>
          <w:rFonts w:asciiTheme="majorBidi" w:hAnsiTheme="majorBidi" w:cstheme="majorBidi"/>
          <w:sz w:val="24"/>
          <w:szCs w:val="24"/>
          <w:lang w:bidi="ar-EG"/>
        </w:rPr>
      </w:pPr>
      <w:r w:rsidRPr="005C4A9D">
        <w:rPr>
          <w:rFonts w:asciiTheme="majorBidi" w:hAnsiTheme="majorBidi" w:cstheme="majorBidi"/>
          <w:sz w:val="24"/>
          <w:szCs w:val="24"/>
          <w:lang w:bidi="ar-EG"/>
        </w:rPr>
        <w:t>Academic Books and Journal Articles:</w:t>
      </w:r>
      <w:r w:rsidRPr="005C4A9D">
        <w:rPr>
          <w:rFonts w:asciiTheme="majorBidi" w:hAnsiTheme="majorBidi" w:cstheme="majorBidi"/>
          <w:sz w:val="24"/>
          <w:szCs w:val="24"/>
          <w:lang w:bidi="ar-EG"/>
        </w:rPr>
        <w:br/>
        <w:t>Relevant literature on organizational collaboration, financial risk management, cross-functional coordination, and banking performance was reviewed. Concepts and models from these academic sources contributed to developing the study’s theoretical foundation.</w:t>
      </w:r>
    </w:p>
    <w:p w14:paraId="204B78EE" w14:textId="77777777" w:rsidR="005C4A9D" w:rsidRPr="005C4A9D" w:rsidRDefault="005C4A9D" w:rsidP="002E6F27">
      <w:pPr>
        <w:pStyle w:val="a5"/>
        <w:numPr>
          <w:ilvl w:val="0"/>
          <w:numId w:val="62"/>
        </w:numPr>
        <w:bidi w:val="0"/>
        <w:spacing w:after="120" w:line="276" w:lineRule="auto"/>
        <w:jc w:val="both"/>
        <w:rPr>
          <w:rFonts w:asciiTheme="majorBidi" w:hAnsiTheme="majorBidi" w:cstheme="majorBidi"/>
          <w:sz w:val="24"/>
          <w:szCs w:val="24"/>
          <w:lang w:bidi="ar-EG"/>
        </w:rPr>
      </w:pPr>
      <w:r w:rsidRPr="005C4A9D">
        <w:rPr>
          <w:rFonts w:asciiTheme="majorBidi" w:hAnsiTheme="majorBidi" w:cstheme="majorBidi"/>
          <w:sz w:val="24"/>
          <w:szCs w:val="24"/>
          <w:lang w:bidi="ar-EG"/>
        </w:rPr>
        <w:t>Previous Studies:</w:t>
      </w:r>
      <w:r w:rsidRPr="005C4A9D">
        <w:rPr>
          <w:rFonts w:asciiTheme="majorBidi" w:hAnsiTheme="majorBidi" w:cstheme="majorBidi"/>
          <w:sz w:val="24"/>
          <w:szCs w:val="24"/>
          <w:lang w:bidi="ar-EG"/>
        </w:rPr>
        <w:br/>
        <w:t>Prior empirical studies examining teamwork, data integration, decision alignment, and risk-management practices in the banking and financial services sector were analyzed. Findings from these studies were used to enrich the research background and compare results.</w:t>
      </w:r>
    </w:p>
    <w:p w14:paraId="0A6B024E" w14:textId="77777777" w:rsidR="005C4A9D" w:rsidRPr="005C4A9D" w:rsidRDefault="005C4A9D" w:rsidP="002E6F27">
      <w:pPr>
        <w:pStyle w:val="a5"/>
        <w:numPr>
          <w:ilvl w:val="0"/>
          <w:numId w:val="62"/>
        </w:numPr>
        <w:bidi w:val="0"/>
        <w:spacing w:after="120" w:line="276" w:lineRule="auto"/>
        <w:jc w:val="both"/>
        <w:rPr>
          <w:rFonts w:asciiTheme="majorBidi" w:hAnsiTheme="majorBidi" w:cstheme="majorBidi"/>
          <w:sz w:val="24"/>
          <w:szCs w:val="24"/>
          <w:lang w:bidi="ar-EG"/>
        </w:rPr>
      </w:pPr>
      <w:r w:rsidRPr="005C4A9D">
        <w:rPr>
          <w:rFonts w:asciiTheme="majorBidi" w:hAnsiTheme="majorBidi" w:cstheme="majorBidi"/>
          <w:sz w:val="24"/>
          <w:szCs w:val="24"/>
          <w:lang w:bidi="ar-EG"/>
        </w:rPr>
        <w:t>Scientific Dissertations and Research Papers:</w:t>
      </w:r>
      <w:r w:rsidRPr="005C4A9D">
        <w:rPr>
          <w:rFonts w:asciiTheme="majorBidi" w:hAnsiTheme="majorBidi" w:cstheme="majorBidi"/>
          <w:sz w:val="24"/>
          <w:szCs w:val="24"/>
          <w:lang w:bidi="ar-EG"/>
        </w:rPr>
        <w:br/>
        <w:t>Master’s theses, doctoral dissertations, and peer-reviewed papers related to collaboration between business units and risk-management frameworks were examined. These sources provided insight into methodological approaches and validated measurement instruments.</w:t>
      </w:r>
    </w:p>
    <w:p w14:paraId="46441485" w14:textId="77777777" w:rsidR="005C4A9D" w:rsidRPr="005C4A9D" w:rsidRDefault="005C4A9D" w:rsidP="002E6F27">
      <w:pPr>
        <w:pStyle w:val="a5"/>
        <w:numPr>
          <w:ilvl w:val="0"/>
          <w:numId w:val="62"/>
        </w:numPr>
        <w:bidi w:val="0"/>
        <w:spacing w:after="120" w:line="276" w:lineRule="auto"/>
        <w:jc w:val="both"/>
        <w:rPr>
          <w:rFonts w:asciiTheme="majorBidi" w:hAnsiTheme="majorBidi" w:cstheme="majorBidi"/>
          <w:sz w:val="24"/>
          <w:szCs w:val="24"/>
          <w:lang w:bidi="ar-EG"/>
        </w:rPr>
      </w:pPr>
      <w:r w:rsidRPr="005C4A9D">
        <w:rPr>
          <w:rFonts w:asciiTheme="majorBidi" w:hAnsiTheme="majorBidi" w:cstheme="majorBidi"/>
          <w:sz w:val="24"/>
          <w:szCs w:val="24"/>
          <w:lang w:bidi="ar-EG"/>
        </w:rPr>
        <w:t>Institutional and Regulatory Documents:</w:t>
      </w:r>
      <w:r w:rsidRPr="005C4A9D">
        <w:rPr>
          <w:rFonts w:asciiTheme="majorBidi" w:hAnsiTheme="majorBidi" w:cstheme="majorBidi"/>
          <w:sz w:val="24"/>
          <w:szCs w:val="24"/>
          <w:lang w:bidi="ar-EG"/>
        </w:rPr>
        <w:br/>
        <w:t>Reports and guidelines published by bodies such as the Basel Committee on Banking Supervision (BCBS) and the Financial Stability Board (FSB) were reviewed. These documents were essential for understanding global standards on credit risk, liquidity risk, market-risk alignment, and operational resilience.</w:t>
      </w:r>
    </w:p>
    <w:p w14:paraId="7B634C35" w14:textId="71A41BEC" w:rsidR="00DA15E6" w:rsidRDefault="00DA15E6" w:rsidP="00DA15E6">
      <w:pPr>
        <w:pStyle w:val="2"/>
      </w:pPr>
      <w:bookmarkStart w:id="137" w:name="_Toc214621183"/>
      <w:r>
        <w:rPr>
          <w:rStyle w:val="a7"/>
          <w:b/>
          <w:bCs/>
        </w:rPr>
        <w:t>Data Analysis Methods &amp; Procedures</w:t>
      </w:r>
      <w:bookmarkEnd w:id="137"/>
    </w:p>
    <w:p w14:paraId="2B6F7A94" w14:textId="77777777" w:rsidR="00DA15E6" w:rsidRPr="00DA15E6" w:rsidRDefault="00DA15E6" w:rsidP="00DA15E6">
      <w:pPr>
        <w:bidi w:val="0"/>
        <w:spacing w:after="120" w:line="276" w:lineRule="auto"/>
        <w:ind w:firstLine="284"/>
        <w:jc w:val="both"/>
        <w:rPr>
          <w:rFonts w:asciiTheme="majorBidi" w:hAnsiTheme="majorBidi" w:cstheme="majorBidi"/>
          <w:sz w:val="24"/>
          <w:szCs w:val="24"/>
          <w:lang w:bidi="ar-EG"/>
        </w:rPr>
      </w:pPr>
      <w:r w:rsidRPr="00DA15E6">
        <w:rPr>
          <w:rFonts w:asciiTheme="majorBidi" w:hAnsiTheme="majorBidi" w:cstheme="majorBidi"/>
          <w:sz w:val="24"/>
          <w:szCs w:val="24"/>
          <w:lang w:bidi="ar-EG"/>
        </w:rPr>
        <w:t>After collecting the data, it was essential to analyze the responses in order to generate meaningful conclusions related to the study objectives. The Statistical Package for the Social Sciences (SPSS), specifically version 28, was used to analyze the collected data.</w:t>
      </w:r>
    </w:p>
    <w:p w14:paraId="6EBE3F61" w14:textId="77777777" w:rsidR="00DA15E6" w:rsidRPr="00DA15E6" w:rsidRDefault="00DA15E6" w:rsidP="002E6F27">
      <w:pPr>
        <w:pStyle w:val="a5"/>
        <w:numPr>
          <w:ilvl w:val="0"/>
          <w:numId w:val="63"/>
        </w:numPr>
        <w:bidi w:val="0"/>
        <w:spacing w:after="120" w:line="276" w:lineRule="auto"/>
        <w:jc w:val="both"/>
        <w:rPr>
          <w:rFonts w:asciiTheme="majorBidi" w:hAnsiTheme="majorBidi" w:cstheme="majorBidi"/>
          <w:sz w:val="24"/>
          <w:szCs w:val="24"/>
          <w:lang w:bidi="ar-EG"/>
        </w:rPr>
      </w:pPr>
      <w:r w:rsidRPr="00DA15E6">
        <w:rPr>
          <w:rFonts w:asciiTheme="majorBidi" w:hAnsiTheme="majorBidi" w:cstheme="majorBidi"/>
          <w:sz w:val="24"/>
          <w:szCs w:val="24"/>
          <w:lang w:bidi="ar-EG"/>
        </w:rPr>
        <w:t>Descriptive Analysis:</w:t>
      </w:r>
      <w:r w:rsidRPr="00DA15E6">
        <w:rPr>
          <w:rFonts w:asciiTheme="majorBidi" w:hAnsiTheme="majorBidi" w:cstheme="majorBidi"/>
          <w:sz w:val="24"/>
          <w:szCs w:val="24"/>
          <w:lang w:bidi="ar-EG"/>
        </w:rPr>
        <w:br/>
        <w:t>A sample profile test was conducted using descriptive statistics to gain insights into the demographic characteristics of the respondents, including gender, age, education level, job level, years of experience, and department. This analysis helped the researcher understand the distribution and structure of the sample.</w:t>
      </w:r>
    </w:p>
    <w:p w14:paraId="13924E3F" w14:textId="38A1BB4F" w:rsidR="00DA15E6" w:rsidRPr="00DA15E6" w:rsidRDefault="00DA15E6" w:rsidP="002E6F27">
      <w:pPr>
        <w:pStyle w:val="a5"/>
        <w:numPr>
          <w:ilvl w:val="0"/>
          <w:numId w:val="63"/>
        </w:numPr>
        <w:bidi w:val="0"/>
        <w:spacing w:after="120" w:line="276" w:lineRule="auto"/>
        <w:jc w:val="both"/>
        <w:rPr>
          <w:rFonts w:asciiTheme="majorBidi" w:hAnsiTheme="majorBidi" w:cstheme="majorBidi"/>
          <w:sz w:val="24"/>
          <w:szCs w:val="24"/>
          <w:lang w:bidi="ar-EG"/>
        </w:rPr>
      </w:pPr>
      <w:r w:rsidRPr="00DA15E6">
        <w:rPr>
          <w:rFonts w:asciiTheme="majorBidi" w:hAnsiTheme="majorBidi" w:cstheme="majorBidi"/>
          <w:sz w:val="24"/>
          <w:szCs w:val="24"/>
          <w:lang w:bidi="ar-EG"/>
        </w:rPr>
        <w:t>Validity and Reliability Tests:</w:t>
      </w:r>
      <w:r w:rsidRPr="00DA15E6">
        <w:rPr>
          <w:rFonts w:asciiTheme="majorBidi" w:hAnsiTheme="majorBidi" w:cstheme="majorBidi"/>
          <w:sz w:val="24"/>
          <w:szCs w:val="24"/>
          <w:lang w:bidi="ar-EG"/>
        </w:rPr>
        <w:br/>
        <w:t>Validity tests</w:t>
      </w:r>
      <w:r w:rsidR="00B03C22">
        <w:rPr>
          <w:rFonts w:asciiTheme="majorBidi" w:hAnsiTheme="majorBidi" w:cstheme="majorBidi"/>
          <w:sz w:val="24"/>
          <w:szCs w:val="24"/>
          <w:lang w:bidi="ar-EG"/>
        </w:rPr>
        <w:t>-</w:t>
      </w:r>
      <w:r w:rsidRPr="00DA15E6">
        <w:rPr>
          <w:rFonts w:asciiTheme="majorBidi" w:hAnsiTheme="majorBidi" w:cstheme="majorBidi"/>
          <w:sz w:val="24"/>
          <w:szCs w:val="24"/>
          <w:lang w:bidi="ar-EG"/>
        </w:rPr>
        <w:t>including Exploratory Factor Analysis (EFA)</w:t>
      </w:r>
      <w:r w:rsidR="00B03C22">
        <w:rPr>
          <w:rFonts w:asciiTheme="majorBidi" w:hAnsiTheme="majorBidi" w:cstheme="majorBidi"/>
          <w:sz w:val="24"/>
          <w:szCs w:val="24"/>
          <w:lang w:bidi="ar-EG"/>
        </w:rPr>
        <w:t>-</w:t>
      </w:r>
      <w:r w:rsidRPr="00DA15E6">
        <w:rPr>
          <w:rFonts w:asciiTheme="majorBidi" w:hAnsiTheme="majorBidi" w:cstheme="majorBidi"/>
          <w:sz w:val="24"/>
          <w:szCs w:val="24"/>
          <w:lang w:bidi="ar-EG"/>
        </w:rPr>
        <w:t>were applied to determine whether the measurement items accurately reflected the dimensions of the independent and dependent variables. Reliability tests were conducted using Cronbach’s Alpha, which assessed the internal consistency of the scales and ensured that the items produced stable results.</w:t>
      </w:r>
    </w:p>
    <w:p w14:paraId="6ED090D7" w14:textId="77777777" w:rsidR="00DA15E6" w:rsidRPr="00DA15E6" w:rsidRDefault="00DA15E6" w:rsidP="002E6F27">
      <w:pPr>
        <w:pStyle w:val="a5"/>
        <w:numPr>
          <w:ilvl w:val="0"/>
          <w:numId w:val="63"/>
        </w:numPr>
        <w:bidi w:val="0"/>
        <w:spacing w:after="120" w:line="276" w:lineRule="auto"/>
        <w:jc w:val="both"/>
        <w:rPr>
          <w:rFonts w:asciiTheme="majorBidi" w:hAnsiTheme="majorBidi" w:cstheme="majorBidi"/>
          <w:sz w:val="24"/>
          <w:szCs w:val="24"/>
          <w:lang w:bidi="ar-EG"/>
        </w:rPr>
      </w:pPr>
      <w:r w:rsidRPr="00DA15E6">
        <w:rPr>
          <w:rFonts w:asciiTheme="majorBidi" w:hAnsiTheme="majorBidi" w:cstheme="majorBidi"/>
          <w:sz w:val="24"/>
          <w:szCs w:val="24"/>
          <w:lang w:bidi="ar-EG"/>
        </w:rPr>
        <w:t>Descriptive Measures for Study Variables:</w:t>
      </w:r>
      <w:r w:rsidRPr="00DA15E6">
        <w:rPr>
          <w:rFonts w:asciiTheme="majorBidi" w:hAnsiTheme="majorBidi" w:cstheme="majorBidi"/>
          <w:sz w:val="24"/>
          <w:szCs w:val="24"/>
          <w:lang w:bidi="ar-EG"/>
        </w:rPr>
        <w:br/>
        <w:t>Means and standard deviations were calculated to assess the respondents’ perceptions regarding the Functional Relationship Between Account Managers and Sales Teams and Risk Management Effectiveness. This helped in identifying general trends in agreement or disagreement across the study dimensions.</w:t>
      </w:r>
    </w:p>
    <w:p w14:paraId="52516CA9" w14:textId="77777777" w:rsidR="00DA15E6" w:rsidRPr="00DA15E6" w:rsidRDefault="00DA15E6" w:rsidP="002E6F27">
      <w:pPr>
        <w:pStyle w:val="a5"/>
        <w:numPr>
          <w:ilvl w:val="0"/>
          <w:numId w:val="63"/>
        </w:numPr>
        <w:bidi w:val="0"/>
        <w:spacing w:after="120" w:line="276" w:lineRule="auto"/>
        <w:jc w:val="both"/>
        <w:rPr>
          <w:rFonts w:asciiTheme="majorBidi" w:hAnsiTheme="majorBidi" w:cstheme="majorBidi"/>
          <w:sz w:val="24"/>
          <w:szCs w:val="24"/>
          <w:lang w:bidi="ar-EG"/>
        </w:rPr>
      </w:pPr>
      <w:r w:rsidRPr="00DA15E6">
        <w:rPr>
          <w:rFonts w:asciiTheme="majorBidi" w:hAnsiTheme="majorBidi" w:cstheme="majorBidi"/>
          <w:sz w:val="24"/>
          <w:szCs w:val="24"/>
          <w:lang w:bidi="ar-EG"/>
        </w:rPr>
        <w:t>Inferential Statistical Analysis:</w:t>
      </w:r>
      <w:r w:rsidRPr="00DA15E6">
        <w:rPr>
          <w:rFonts w:asciiTheme="majorBidi" w:hAnsiTheme="majorBidi" w:cstheme="majorBidi"/>
          <w:sz w:val="24"/>
          <w:szCs w:val="24"/>
          <w:lang w:bidi="ar-EG"/>
        </w:rPr>
        <w:br/>
        <w:t>Correlation tests and regression analysis were applied to examine the relationships between the independent variable and the dependent variable. These statistical procedures helped determine the significance and strength of the impact of functional relationship dimensions on risk-management effectiveness within Al Rajhi Bank.</w:t>
      </w:r>
    </w:p>
    <w:p w14:paraId="6B957E3A" w14:textId="6B20BC7A" w:rsidR="00370164" w:rsidRDefault="00DA15E6" w:rsidP="00DA15E6">
      <w:pPr>
        <w:pStyle w:val="2"/>
      </w:pPr>
      <w:bookmarkStart w:id="138" w:name="_Toc214621184"/>
      <w:r w:rsidRPr="00DA15E6">
        <w:t>Conclusion</w:t>
      </w:r>
      <w:bookmarkEnd w:id="138"/>
      <w:r w:rsidRPr="00DA15E6">
        <w:t xml:space="preserve">  </w:t>
      </w:r>
    </w:p>
    <w:p w14:paraId="6CE9AFA0" w14:textId="77777777" w:rsidR="00DA15E6" w:rsidRPr="00DA15E6" w:rsidRDefault="00DA15E6" w:rsidP="00DA15E6">
      <w:pPr>
        <w:bidi w:val="0"/>
        <w:spacing w:after="120" w:line="276" w:lineRule="auto"/>
        <w:ind w:firstLine="284"/>
        <w:jc w:val="both"/>
        <w:rPr>
          <w:rFonts w:asciiTheme="majorBidi" w:hAnsiTheme="majorBidi" w:cstheme="majorBidi"/>
          <w:sz w:val="24"/>
          <w:szCs w:val="24"/>
          <w:lang w:bidi="ar-EG"/>
        </w:rPr>
      </w:pPr>
      <w:r w:rsidRPr="00DA15E6">
        <w:rPr>
          <w:rFonts w:asciiTheme="majorBidi" w:hAnsiTheme="majorBidi" w:cstheme="majorBidi"/>
          <w:sz w:val="24"/>
          <w:szCs w:val="24"/>
          <w:lang w:bidi="ar-EG"/>
        </w:rPr>
        <w:t>The methodological tools applied in this study provided a structured and reliable approach for examining the relationship between the functional interaction of account managers and sales teams and the effectiveness of risk management at Al Rajhi Bank. By clearly defining the theoretical model and operationalizing both variables into measurable dimensions, the study ensured that each construct was assessed accurately and consistently. The selection of a research population representing different departments, job levels, and experience groups enabled the analysis to reflect the bank’s diverse operational environment, where coordination between relationship-focused and risk-focused functions is essential.</w:t>
      </w:r>
    </w:p>
    <w:p w14:paraId="5C038B4E" w14:textId="3B2F102C" w:rsidR="00DA15E6" w:rsidRPr="00DA15E6" w:rsidRDefault="00DA15E6" w:rsidP="00DA15E6">
      <w:pPr>
        <w:bidi w:val="0"/>
        <w:spacing w:after="120" w:line="276" w:lineRule="auto"/>
        <w:ind w:firstLine="284"/>
        <w:jc w:val="both"/>
        <w:rPr>
          <w:rFonts w:asciiTheme="majorBidi" w:hAnsiTheme="majorBidi" w:cstheme="majorBidi"/>
          <w:sz w:val="24"/>
          <w:szCs w:val="24"/>
          <w:lang w:bidi="ar-EG"/>
        </w:rPr>
      </w:pPr>
      <w:r w:rsidRPr="00DA15E6">
        <w:rPr>
          <w:rFonts w:asciiTheme="majorBidi" w:hAnsiTheme="majorBidi" w:cstheme="majorBidi"/>
          <w:sz w:val="24"/>
          <w:szCs w:val="24"/>
          <w:lang w:bidi="ar-EG"/>
        </w:rPr>
        <w:t>The adoption of stratified random sampling ensured that the final sample accurately mirrored the characteristics of the broader population, increasing the generalizability of the findings. The use of a structured questionnaire with a five-point Likert scale facilitated efficient data collection and supported the use of descriptive and inferential statistical techniques. The items in the survey captured key elements of functional collaboration</w:t>
      </w:r>
      <w:r w:rsidR="00B03C22">
        <w:rPr>
          <w:rFonts w:asciiTheme="majorBidi" w:hAnsiTheme="majorBidi" w:cstheme="majorBidi"/>
          <w:sz w:val="24"/>
          <w:szCs w:val="24"/>
          <w:lang w:bidi="ar-EG"/>
        </w:rPr>
        <w:t>-</w:t>
      </w:r>
      <w:r w:rsidRPr="00DA15E6">
        <w:rPr>
          <w:rFonts w:asciiTheme="majorBidi" w:hAnsiTheme="majorBidi" w:cstheme="majorBidi"/>
          <w:sz w:val="24"/>
          <w:szCs w:val="24"/>
          <w:lang w:bidi="ar-EG"/>
        </w:rPr>
        <w:t>communication cadence, information sharing, KPI alignment, and decision-rights clarity</w:t>
      </w:r>
      <w:r w:rsidR="00B03C22">
        <w:rPr>
          <w:rFonts w:asciiTheme="majorBidi" w:hAnsiTheme="majorBidi" w:cstheme="majorBidi"/>
          <w:sz w:val="24"/>
          <w:szCs w:val="24"/>
          <w:lang w:bidi="ar-EG"/>
        </w:rPr>
        <w:t>-</w:t>
      </w:r>
      <w:r w:rsidRPr="00DA15E6">
        <w:rPr>
          <w:rFonts w:asciiTheme="majorBidi" w:hAnsiTheme="majorBidi" w:cstheme="majorBidi"/>
          <w:sz w:val="24"/>
          <w:szCs w:val="24"/>
          <w:lang w:bidi="ar-EG"/>
        </w:rPr>
        <w:t>as well as core dimensions of risk management effectiveness.</w:t>
      </w:r>
    </w:p>
    <w:p w14:paraId="0F0404AF" w14:textId="77777777" w:rsidR="00DA15E6" w:rsidRPr="00DA15E6" w:rsidRDefault="00DA15E6" w:rsidP="00DA15E6">
      <w:pPr>
        <w:bidi w:val="0"/>
        <w:spacing w:after="120" w:line="276" w:lineRule="auto"/>
        <w:ind w:firstLine="284"/>
        <w:jc w:val="both"/>
        <w:rPr>
          <w:rFonts w:asciiTheme="majorBidi" w:hAnsiTheme="majorBidi" w:cstheme="majorBidi"/>
          <w:sz w:val="24"/>
          <w:szCs w:val="24"/>
          <w:lang w:bidi="ar-EG"/>
        </w:rPr>
      </w:pPr>
      <w:r w:rsidRPr="00DA15E6">
        <w:rPr>
          <w:rFonts w:asciiTheme="majorBidi" w:hAnsiTheme="majorBidi" w:cstheme="majorBidi"/>
          <w:sz w:val="24"/>
          <w:szCs w:val="24"/>
          <w:lang w:bidi="ar-EG"/>
        </w:rPr>
        <w:t>Combining primary data from employees with secondary data from academic literature and regulatory sources enhanced the robustness of the analysis. Overall, the methodological approach used in this chapter ensured a rigorous foundation for the subsequent statistical examination presented in the next chapter.</w:t>
      </w:r>
    </w:p>
    <w:p w14:paraId="153FC567" w14:textId="4A84BDEE" w:rsidR="00370164" w:rsidRDefault="00370164" w:rsidP="00370164">
      <w:pPr>
        <w:bidi w:val="0"/>
        <w:spacing w:after="120" w:line="276" w:lineRule="auto"/>
        <w:ind w:firstLine="284"/>
        <w:jc w:val="both"/>
        <w:rPr>
          <w:rFonts w:asciiTheme="majorBidi" w:hAnsiTheme="majorBidi" w:cstheme="majorBidi"/>
          <w:sz w:val="24"/>
          <w:szCs w:val="24"/>
        </w:rPr>
      </w:pPr>
    </w:p>
    <w:p w14:paraId="61772A8B" w14:textId="33A81161" w:rsidR="00370164" w:rsidRDefault="00370164" w:rsidP="00370164">
      <w:pPr>
        <w:bidi w:val="0"/>
        <w:spacing w:after="120" w:line="276" w:lineRule="auto"/>
        <w:ind w:firstLine="284"/>
        <w:jc w:val="both"/>
        <w:rPr>
          <w:rFonts w:asciiTheme="majorBidi" w:hAnsiTheme="majorBidi" w:cstheme="majorBidi"/>
          <w:sz w:val="24"/>
          <w:szCs w:val="24"/>
        </w:rPr>
      </w:pPr>
    </w:p>
    <w:p w14:paraId="51AF8BE1" w14:textId="5696282E" w:rsidR="00370164" w:rsidRDefault="00370164" w:rsidP="00370164">
      <w:pPr>
        <w:bidi w:val="0"/>
        <w:spacing w:after="120" w:line="276" w:lineRule="auto"/>
        <w:ind w:firstLine="284"/>
        <w:jc w:val="both"/>
        <w:rPr>
          <w:rFonts w:asciiTheme="majorBidi" w:hAnsiTheme="majorBidi" w:cstheme="majorBidi"/>
          <w:sz w:val="24"/>
          <w:szCs w:val="24"/>
        </w:rPr>
      </w:pPr>
    </w:p>
    <w:p w14:paraId="599046B3" w14:textId="0EF520A4" w:rsidR="00370164" w:rsidRDefault="00370164" w:rsidP="00370164">
      <w:pPr>
        <w:bidi w:val="0"/>
        <w:spacing w:after="120" w:line="276" w:lineRule="auto"/>
        <w:ind w:firstLine="284"/>
        <w:jc w:val="both"/>
        <w:rPr>
          <w:rFonts w:asciiTheme="majorBidi" w:hAnsiTheme="majorBidi" w:cstheme="majorBidi"/>
          <w:sz w:val="24"/>
          <w:szCs w:val="24"/>
        </w:rPr>
      </w:pPr>
    </w:p>
    <w:p w14:paraId="6CF1DE5C" w14:textId="15EC64C3" w:rsidR="00370164" w:rsidRDefault="00370164" w:rsidP="00370164">
      <w:pPr>
        <w:bidi w:val="0"/>
        <w:spacing w:after="120" w:line="276" w:lineRule="auto"/>
        <w:ind w:firstLine="284"/>
        <w:jc w:val="both"/>
        <w:rPr>
          <w:rFonts w:asciiTheme="majorBidi" w:hAnsiTheme="majorBidi" w:cstheme="majorBidi"/>
          <w:sz w:val="24"/>
          <w:szCs w:val="24"/>
        </w:rPr>
      </w:pPr>
    </w:p>
    <w:p w14:paraId="28E251B3" w14:textId="0D651719" w:rsidR="00370164" w:rsidRDefault="00370164" w:rsidP="00370164">
      <w:pPr>
        <w:bidi w:val="0"/>
        <w:spacing w:after="120" w:line="276" w:lineRule="auto"/>
        <w:ind w:firstLine="284"/>
        <w:jc w:val="both"/>
        <w:rPr>
          <w:rFonts w:asciiTheme="majorBidi" w:hAnsiTheme="majorBidi" w:cstheme="majorBidi"/>
          <w:sz w:val="24"/>
          <w:szCs w:val="24"/>
        </w:rPr>
      </w:pPr>
    </w:p>
    <w:p w14:paraId="7A33D01A" w14:textId="30C3743A" w:rsidR="00370164" w:rsidRDefault="00370164" w:rsidP="00370164">
      <w:pPr>
        <w:bidi w:val="0"/>
        <w:spacing w:after="120" w:line="276" w:lineRule="auto"/>
        <w:ind w:firstLine="284"/>
        <w:jc w:val="both"/>
        <w:rPr>
          <w:rFonts w:asciiTheme="majorBidi" w:hAnsiTheme="majorBidi" w:cstheme="majorBidi"/>
          <w:sz w:val="24"/>
          <w:szCs w:val="24"/>
        </w:rPr>
      </w:pPr>
    </w:p>
    <w:p w14:paraId="554E956F" w14:textId="42C79E4A" w:rsidR="00370164" w:rsidRDefault="00370164" w:rsidP="00370164">
      <w:pPr>
        <w:bidi w:val="0"/>
        <w:spacing w:after="120" w:line="276" w:lineRule="auto"/>
        <w:ind w:firstLine="284"/>
        <w:jc w:val="both"/>
        <w:rPr>
          <w:rFonts w:asciiTheme="majorBidi" w:hAnsiTheme="majorBidi" w:cstheme="majorBidi"/>
          <w:sz w:val="24"/>
          <w:szCs w:val="24"/>
        </w:rPr>
      </w:pPr>
    </w:p>
    <w:p w14:paraId="7F1043FC" w14:textId="2E0D2936" w:rsidR="00370164" w:rsidRDefault="00370164" w:rsidP="00370164">
      <w:pPr>
        <w:bidi w:val="0"/>
        <w:spacing w:after="120" w:line="276" w:lineRule="auto"/>
        <w:ind w:firstLine="284"/>
        <w:jc w:val="both"/>
        <w:rPr>
          <w:rFonts w:asciiTheme="majorBidi" w:hAnsiTheme="majorBidi" w:cstheme="majorBidi"/>
          <w:sz w:val="24"/>
          <w:szCs w:val="24"/>
        </w:rPr>
      </w:pPr>
    </w:p>
    <w:p w14:paraId="49F2D076" w14:textId="2B6DE8D3" w:rsidR="00370164" w:rsidRDefault="00370164" w:rsidP="00370164">
      <w:pPr>
        <w:bidi w:val="0"/>
        <w:spacing w:after="120" w:line="276" w:lineRule="auto"/>
        <w:ind w:firstLine="284"/>
        <w:jc w:val="both"/>
        <w:rPr>
          <w:rFonts w:asciiTheme="majorBidi" w:hAnsiTheme="majorBidi" w:cstheme="majorBidi"/>
          <w:sz w:val="24"/>
          <w:szCs w:val="24"/>
        </w:rPr>
      </w:pPr>
    </w:p>
    <w:p w14:paraId="32899FD3" w14:textId="6321D5A7" w:rsidR="00C3486F" w:rsidRDefault="00C3486F" w:rsidP="00C3486F">
      <w:pPr>
        <w:bidi w:val="0"/>
        <w:spacing w:after="120" w:line="276" w:lineRule="auto"/>
        <w:ind w:firstLine="284"/>
        <w:jc w:val="both"/>
        <w:rPr>
          <w:rFonts w:asciiTheme="majorBidi" w:hAnsiTheme="majorBidi" w:cstheme="majorBidi"/>
          <w:sz w:val="24"/>
          <w:szCs w:val="24"/>
        </w:rPr>
      </w:pPr>
    </w:p>
    <w:p w14:paraId="240E5AAF" w14:textId="55B9BE72" w:rsidR="00C3486F" w:rsidRDefault="00C3486F" w:rsidP="00C3486F">
      <w:pPr>
        <w:bidi w:val="0"/>
        <w:spacing w:after="120" w:line="276" w:lineRule="auto"/>
        <w:ind w:firstLine="284"/>
        <w:jc w:val="both"/>
        <w:rPr>
          <w:rFonts w:asciiTheme="majorBidi" w:hAnsiTheme="majorBidi" w:cstheme="majorBidi"/>
          <w:sz w:val="24"/>
          <w:szCs w:val="24"/>
        </w:rPr>
      </w:pPr>
    </w:p>
    <w:p w14:paraId="51CBF135" w14:textId="17F15746" w:rsidR="00C3486F" w:rsidRDefault="00C3486F" w:rsidP="00C3486F">
      <w:pPr>
        <w:bidi w:val="0"/>
        <w:spacing w:after="120" w:line="276" w:lineRule="auto"/>
        <w:ind w:firstLine="284"/>
        <w:jc w:val="both"/>
        <w:rPr>
          <w:rFonts w:asciiTheme="majorBidi" w:hAnsiTheme="majorBidi" w:cstheme="majorBidi"/>
          <w:sz w:val="24"/>
          <w:szCs w:val="24"/>
        </w:rPr>
      </w:pPr>
    </w:p>
    <w:p w14:paraId="20ADC3D1" w14:textId="453DE2EC" w:rsidR="00C3486F" w:rsidRDefault="00C3486F" w:rsidP="00C3486F">
      <w:pPr>
        <w:bidi w:val="0"/>
        <w:spacing w:after="120" w:line="276" w:lineRule="auto"/>
        <w:ind w:firstLine="284"/>
        <w:jc w:val="both"/>
        <w:rPr>
          <w:rFonts w:asciiTheme="majorBidi" w:hAnsiTheme="majorBidi" w:cstheme="majorBidi"/>
          <w:sz w:val="24"/>
          <w:szCs w:val="24"/>
        </w:rPr>
      </w:pPr>
    </w:p>
    <w:p w14:paraId="723741D6" w14:textId="4CE5A13B" w:rsidR="00C3486F" w:rsidRDefault="00C3486F" w:rsidP="00C3486F">
      <w:pPr>
        <w:bidi w:val="0"/>
        <w:spacing w:after="120" w:line="276" w:lineRule="auto"/>
        <w:ind w:firstLine="284"/>
        <w:jc w:val="both"/>
        <w:rPr>
          <w:rFonts w:asciiTheme="majorBidi" w:hAnsiTheme="majorBidi" w:cstheme="majorBidi"/>
          <w:sz w:val="24"/>
          <w:szCs w:val="24"/>
        </w:rPr>
      </w:pPr>
    </w:p>
    <w:p w14:paraId="20674341" w14:textId="348BE0E4" w:rsidR="00C3486F" w:rsidRDefault="00C3486F" w:rsidP="00C3486F">
      <w:pPr>
        <w:bidi w:val="0"/>
        <w:spacing w:after="120" w:line="276" w:lineRule="auto"/>
        <w:ind w:firstLine="284"/>
        <w:jc w:val="both"/>
        <w:rPr>
          <w:rFonts w:asciiTheme="majorBidi" w:hAnsiTheme="majorBidi" w:cstheme="majorBidi"/>
          <w:sz w:val="24"/>
          <w:szCs w:val="24"/>
        </w:rPr>
      </w:pPr>
    </w:p>
    <w:p w14:paraId="753F6138" w14:textId="1B818BBF" w:rsidR="00C3486F" w:rsidRDefault="00C3486F" w:rsidP="00C3486F">
      <w:pPr>
        <w:bidi w:val="0"/>
        <w:spacing w:after="120" w:line="276" w:lineRule="auto"/>
        <w:ind w:firstLine="284"/>
        <w:jc w:val="both"/>
        <w:rPr>
          <w:rFonts w:asciiTheme="majorBidi" w:hAnsiTheme="majorBidi" w:cstheme="majorBidi"/>
          <w:sz w:val="24"/>
          <w:szCs w:val="24"/>
        </w:rPr>
      </w:pPr>
    </w:p>
    <w:p w14:paraId="53DACF2A" w14:textId="0C4A619E" w:rsidR="00C3486F" w:rsidRDefault="00C3486F" w:rsidP="00C3486F">
      <w:pPr>
        <w:bidi w:val="0"/>
        <w:spacing w:after="120" w:line="276" w:lineRule="auto"/>
        <w:ind w:firstLine="284"/>
        <w:jc w:val="both"/>
        <w:rPr>
          <w:rFonts w:asciiTheme="majorBidi" w:hAnsiTheme="majorBidi" w:cstheme="majorBidi"/>
          <w:sz w:val="24"/>
          <w:szCs w:val="24"/>
        </w:rPr>
      </w:pPr>
    </w:p>
    <w:p w14:paraId="1C8F9855" w14:textId="4BD3B59E" w:rsidR="00C3486F" w:rsidRDefault="00C3486F" w:rsidP="00C3486F">
      <w:pPr>
        <w:bidi w:val="0"/>
        <w:spacing w:after="120" w:line="276" w:lineRule="auto"/>
        <w:ind w:firstLine="284"/>
        <w:jc w:val="both"/>
        <w:rPr>
          <w:rFonts w:asciiTheme="majorBidi" w:hAnsiTheme="majorBidi" w:cstheme="majorBidi"/>
          <w:sz w:val="24"/>
          <w:szCs w:val="24"/>
        </w:rPr>
      </w:pPr>
    </w:p>
    <w:p w14:paraId="13EB45D8" w14:textId="43E321F8" w:rsidR="00C3486F" w:rsidRDefault="00C3486F" w:rsidP="00C3486F">
      <w:pPr>
        <w:bidi w:val="0"/>
        <w:spacing w:after="120" w:line="276" w:lineRule="auto"/>
        <w:ind w:firstLine="284"/>
        <w:jc w:val="both"/>
        <w:rPr>
          <w:rFonts w:asciiTheme="majorBidi" w:hAnsiTheme="majorBidi" w:cstheme="majorBidi"/>
          <w:sz w:val="24"/>
          <w:szCs w:val="24"/>
        </w:rPr>
      </w:pPr>
    </w:p>
    <w:p w14:paraId="7B9B1144" w14:textId="06F2464F" w:rsidR="00C3486F" w:rsidRDefault="00C3486F" w:rsidP="00C3486F">
      <w:pPr>
        <w:bidi w:val="0"/>
        <w:spacing w:after="120" w:line="276" w:lineRule="auto"/>
        <w:ind w:firstLine="284"/>
        <w:jc w:val="both"/>
        <w:rPr>
          <w:rFonts w:asciiTheme="majorBidi" w:hAnsiTheme="majorBidi" w:cstheme="majorBidi"/>
          <w:sz w:val="24"/>
          <w:szCs w:val="24"/>
        </w:rPr>
      </w:pPr>
    </w:p>
    <w:p w14:paraId="177FE7B2" w14:textId="20E84479" w:rsidR="00C3486F" w:rsidRDefault="00C3486F" w:rsidP="00C3486F">
      <w:pPr>
        <w:bidi w:val="0"/>
        <w:spacing w:after="120" w:line="276" w:lineRule="auto"/>
        <w:ind w:firstLine="284"/>
        <w:jc w:val="both"/>
        <w:rPr>
          <w:rFonts w:asciiTheme="majorBidi" w:hAnsiTheme="majorBidi" w:cstheme="majorBidi"/>
          <w:sz w:val="24"/>
          <w:szCs w:val="24"/>
        </w:rPr>
      </w:pPr>
    </w:p>
    <w:p w14:paraId="0997A143" w14:textId="19124FE0" w:rsidR="00C3486F" w:rsidRDefault="00C3486F" w:rsidP="00C3486F">
      <w:pPr>
        <w:bidi w:val="0"/>
        <w:spacing w:after="120" w:line="276" w:lineRule="auto"/>
        <w:ind w:firstLine="284"/>
        <w:jc w:val="both"/>
        <w:rPr>
          <w:rFonts w:asciiTheme="majorBidi" w:hAnsiTheme="majorBidi" w:cstheme="majorBidi"/>
          <w:sz w:val="24"/>
          <w:szCs w:val="24"/>
        </w:rPr>
      </w:pPr>
    </w:p>
    <w:p w14:paraId="6E8EF141" w14:textId="7CCA433F" w:rsidR="00C3486F" w:rsidRDefault="00C3486F" w:rsidP="00C3486F">
      <w:pPr>
        <w:bidi w:val="0"/>
        <w:spacing w:after="120" w:line="276" w:lineRule="auto"/>
        <w:ind w:firstLine="284"/>
        <w:jc w:val="both"/>
        <w:rPr>
          <w:rFonts w:asciiTheme="majorBidi" w:hAnsiTheme="majorBidi" w:cstheme="majorBidi"/>
          <w:sz w:val="24"/>
          <w:szCs w:val="24"/>
        </w:rPr>
      </w:pPr>
    </w:p>
    <w:p w14:paraId="7682B2CE" w14:textId="6D4CEABE" w:rsidR="00C3486F" w:rsidRDefault="00C3486F" w:rsidP="00C3486F">
      <w:pPr>
        <w:bidi w:val="0"/>
        <w:spacing w:after="120" w:line="276" w:lineRule="auto"/>
        <w:ind w:firstLine="284"/>
        <w:jc w:val="both"/>
        <w:rPr>
          <w:rFonts w:asciiTheme="majorBidi" w:hAnsiTheme="majorBidi" w:cstheme="majorBidi"/>
          <w:sz w:val="24"/>
          <w:szCs w:val="24"/>
        </w:rPr>
      </w:pPr>
    </w:p>
    <w:p w14:paraId="3AD6620D" w14:textId="6F8E197E" w:rsidR="00C3486F" w:rsidRDefault="00C3486F" w:rsidP="00C3486F">
      <w:pPr>
        <w:bidi w:val="0"/>
        <w:spacing w:after="120" w:line="276" w:lineRule="auto"/>
        <w:ind w:firstLine="284"/>
        <w:jc w:val="both"/>
        <w:rPr>
          <w:rFonts w:asciiTheme="majorBidi" w:hAnsiTheme="majorBidi" w:cstheme="majorBidi"/>
          <w:sz w:val="24"/>
          <w:szCs w:val="24"/>
        </w:rPr>
      </w:pPr>
    </w:p>
    <w:p w14:paraId="3974E345" w14:textId="543FA881" w:rsidR="00C3486F" w:rsidRDefault="00C3486F" w:rsidP="00C3486F">
      <w:pPr>
        <w:bidi w:val="0"/>
        <w:spacing w:after="120" w:line="276" w:lineRule="auto"/>
        <w:ind w:firstLine="284"/>
        <w:jc w:val="both"/>
        <w:rPr>
          <w:rFonts w:asciiTheme="majorBidi" w:hAnsiTheme="majorBidi" w:cstheme="majorBidi"/>
          <w:sz w:val="24"/>
          <w:szCs w:val="24"/>
        </w:rPr>
      </w:pPr>
    </w:p>
    <w:p w14:paraId="29303FEC" w14:textId="3B10F928" w:rsidR="00C3486F" w:rsidRDefault="00C3486F" w:rsidP="00C3486F">
      <w:pPr>
        <w:bidi w:val="0"/>
        <w:spacing w:after="120" w:line="276" w:lineRule="auto"/>
        <w:ind w:firstLine="284"/>
        <w:jc w:val="both"/>
        <w:rPr>
          <w:rFonts w:asciiTheme="majorBidi" w:hAnsiTheme="majorBidi" w:cstheme="majorBidi"/>
          <w:sz w:val="24"/>
          <w:szCs w:val="24"/>
        </w:rPr>
      </w:pPr>
    </w:p>
    <w:p w14:paraId="153344C2" w14:textId="6AE1760E" w:rsidR="00C3486F" w:rsidRDefault="00C3486F" w:rsidP="00C3486F">
      <w:pPr>
        <w:bidi w:val="0"/>
        <w:spacing w:after="120" w:line="276" w:lineRule="auto"/>
        <w:ind w:firstLine="284"/>
        <w:jc w:val="both"/>
        <w:rPr>
          <w:rFonts w:asciiTheme="majorBidi" w:hAnsiTheme="majorBidi" w:cstheme="majorBidi"/>
          <w:sz w:val="24"/>
          <w:szCs w:val="24"/>
        </w:rPr>
      </w:pPr>
    </w:p>
    <w:p w14:paraId="667ADE09" w14:textId="12A4EF4A" w:rsidR="00C3486F" w:rsidRDefault="00C3486F" w:rsidP="00C3486F">
      <w:pPr>
        <w:bidi w:val="0"/>
        <w:spacing w:after="120" w:line="276" w:lineRule="auto"/>
        <w:ind w:firstLine="284"/>
        <w:jc w:val="both"/>
        <w:rPr>
          <w:rFonts w:asciiTheme="majorBidi" w:hAnsiTheme="majorBidi" w:cstheme="majorBidi"/>
          <w:sz w:val="24"/>
          <w:szCs w:val="24"/>
        </w:rPr>
      </w:pPr>
    </w:p>
    <w:p w14:paraId="5C7CB290" w14:textId="77777777" w:rsidR="00C3486F" w:rsidRDefault="00C3486F" w:rsidP="00C3486F">
      <w:pPr>
        <w:bidi w:val="0"/>
        <w:spacing w:after="120" w:line="276" w:lineRule="auto"/>
        <w:ind w:firstLine="284"/>
        <w:jc w:val="both"/>
        <w:rPr>
          <w:rFonts w:asciiTheme="majorBidi" w:hAnsiTheme="majorBidi" w:cstheme="majorBidi"/>
          <w:sz w:val="24"/>
          <w:szCs w:val="24"/>
        </w:rPr>
      </w:pPr>
    </w:p>
    <w:p w14:paraId="22BB40B3" w14:textId="5830C34D" w:rsidR="00370164" w:rsidRDefault="00370164" w:rsidP="00370164">
      <w:pPr>
        <w:bidi w:val="0"/>
        <w:spacing w:after="120" w:line="276" w:lineRule="auto"/>
        <w:ind w:firstLine="284"/>
        <w:jc w:val="both"/>
        <w:rPr>
          <w:rFonts w:asciiTheme="majorBidi" w:hAnsiTheme="majorBidi" w:cstheme="majorBidi"/>
          <w:sz w:val="24"/>
          <w:szCs w:val="24"/>
        </w:rPr>
      </w:pPr>
    </w:p>
    <w:p w14:paraId="61C148E5" w14:textId="4F1676EC" w:rsidR="00C3486F" w:rsidRDefault="00C3486F" w:rsidP="00C3486F">
      <w:pPr>
        <w:bidi w:val="0"/>
        <w:spacing w:after="120" w:line="276" w:lineRule="auto"/>
        <w:ind w:firstLine="284"/>
        <w:jc w:val="both"/>
        <w:rPr>
          <w:rFonts w:asciiTheme="majorBidi" w:hAnsiTheme="majorBidi" w:cstheme="majorBidi"/>
          <w:sz w:val="24"/>
          <w:szCs w:val="24"/>
        </w:rPr>
      </w:pPr>
    </w:p>
    <w:p w14:paraId="2BDD0DA2" w14:textId="36DB1F7F" w:rsidR="00C3486F" w:rsidRDefault="00C3486F" w:rsidP="00C3486F">
      <w:pPr>
        <w:bidi w:val="0"/>
        <w:spacing w:after="120" w:line="276" w:lineRule="auto"/>
        <w:ind w:firstLine="284"/>
        <w:jc w:val="both"/>
        <w:rPr>
          <w:rFonts w:asciiTheme="majorBidi" w:hAnsiTheme="majorBidi" w:cstheme="majorBidi"/>
          <w:sz w:val="24"/>
          <w:szCs w:val="24"/>
        </w:rPr>
      </w:pPr>
    </w:p>
    <w:p w14:paraId="0F54152B" w14:textId="77777777" w:rsidR="00C3486F" w:rsidRDefault="00C3486F" w:rsidP="00C3486F">
      <w:pPr>
        <w:bidi w:val="0"/>
        <w:spacing w:after="120" w:line="276" w:lineRule="auto"/>
        <w:ind w:firstLine="284"/>
        <w:jc w:val="both"/>
        <w:rPr>
          <w:rFonts w:asciiTheme="majorBidi" w:hAnsiTheme="majorBidi" w:cstheme="majorBidi"/>
          <w:sz w:val="24"/>
          <w:szCs w:val="24"/>
        </w:rPr>
      </w:pPr>
    </w:p>
    <w:p w14:paraId="68C7E398" w14:textId="6CBDB59D" w:rsidR="00C3486F" w:rsidRDefault="00C3486F" w:rsidP="00C3486F">
      <w:pPr>
        <w:bidi w:val="0"/>
        <w:spacing w:after="120" w:line="276" w:lineRule="auto"/>
        <w:ind w:firstLine="284"/>
        <w:jc w:val="both"/>
        <w:rPr>
          <w:rFonts w:asciiTheme="majorBidi" w:hAnsiTheme="majorBidi" w:cstheme="majorBidi"/>
          <w:sz w:val="24"/>
          <w:szCs w:val="24"/>
        </w:rPr>
      </w:pPr>
    </w:p>
    <w:p w14:paraId="44ED3774" w14:textId="01068944" w:rsidR="00C3486F" w:rsidRDefault="00C3486F" w:rsidP="00C3486F">
      <w:pPr>
        <w:bidi w:val="0"/>
        <w:spacing w:after="120" w:line="276" w:lineRule="auto"/>
        <w:ind w:firstLine="284"/>
        <w:jc w:val="both"/>
        <w:rPr>
          <w:rFonts w:asciiTheme="majorBidi" w:hAnsiTheme="majorBidi" w:cstheme="majorBidi"/>
          <w:sz w:val="24"/>
          <w:szCs w:val="24"/>
        </w:rPr>
      </w:pPr>
    </w:p>
    <w:p w14:paraId="72CCB10B" w14:textId="77777777" w:rsidR="00C3486F" w:rsidRDefault="00C3486F" w:rsidP="00C3486F">
      <w:pPr>
        <w:bidi w:val="0"/>
        <w:spacing w:after="120" w:line="276" w:lineRule="auto"/>
        <w:ind w:firstLine="284"/>
        <w:jc w:val="both"/>
        <w:rPr>
          <w:rFonts w:asciiTheme="majorBidi" w:hAnsiTheme="majorBidi" w:cstheme="majorBidi"/>
          <w:sz w:val="24"/>
          <w:szCs w:val="24"/>
        </w:rPr>
      </w:pPr>
    </w:p>
    <w:p w14:paraId="5709C512" w14:textId="77777777" w:rsidR="004B2590" w:rsidRPr="004B2590" w:rsidRDefault="004B2590" w:rsidP="004A51C2">
      <w:pPr>
        <w:pStyle w:val="1"/>
      </w:pPr>
      <w:bookmarkStart w:id="139" w:name="_Toc174813431"/>
      <w:bookmarkStart w:id="140" w:name="_Toc214621185"/>
      <w:r w:rsidRPr="004B2590">
        <w:t>Chapter 4: Statistical Analysis &amp; Findings (discussion)</w:t>
      </w:r>
      <w:bookmarkEnd w:id="139"/>
      <w:bookmarkEnd w:id="140"/>
    </w:p>
    <w:p w14:paraId="2CDA1A62" w14:textId="77777777" w:rsidR="004B2590" w:rsidRDefault="004B2590" w:rsidP="004B2590">
      <w:pPr>
        <w:jc w:val="both"/>
        <w:rPr>
          <w:rFonts w:asciiTheme="majorBidi" w:hAnsiTheme="majorBidi" w:cstheme="majorBidi"/>
        </w:rPr>
      </w:pPr>
    </w:p>
    <w:p w14:paraId="4632E915" w14:textId="77777777" w:rsidR="004B2590" w:rsidRDefault="004B2590" w:rsidP="004B2590">
      <w:pPr>
        <w:jc w:val="both"/>
        <w:rPr>
          <w:rFonts w:asciiTheme="majorBidi" w:hAnsiTheme="majorBidi" w:cstheme="majorBidi"/>
        </w:rPr>
      </w:pPr>
    </w:p>
    <w:p w14:paraId="2A24AF69" w14:textId="77777777" w:rsidR="004B2590" w:rsidRDefault="004B2590" w:rsidP="004B2590">
      <w:pPr>
        <w:jc w:val="both"/>
        <w:rPr>
          <w:rFonts w:asciiTheme="majorBidi" w:hAnsiTheme="majorBidi" w:cstheme="majorBidi"/>
        </w:rPr>
      </w:pPr>
    </w:p>
    <w:p w14:paraId="5C6A0E62" w14:textId="77777777" w:rsidR="004B2590" w:rsidRDefault="004B2590" w:rsidP="004B2590">
      <w:pPr>
        <w:jc w:val="both"/>
        <w:rPr>
          <w:rFonts w:asciiTheme="majorBidi" w:hAnsiTheme="majorBidi" w:cstheme="majorBidi"/>
        </w:rPr>
      </w:pPr>
    </w:p>
    <w:p w14:paraId="6BB6AB21" w14:textId="77777777" w:rsidR="004B2590" w:rsidRDefault="004B2590" w:rsidP="004B2590">
      <w:pPr>
        <w:jc w:val="both"/>
        <w:rPr>
          <w:rFonts w:asciiTheme="majorBidi" w:hAnsiTheme="majorBidi" w:cstheme="majorBidi"/>
        </w:rPr>
      </w:pPr>
    </w:p>
    <w:p w14:paraId="59CFEF8C" w14:textId="77777777" w:rsidR="004B2590" w:rsidRDefault="004B2590" w:rsidP="004B2590">
      <w:pPr>
        <w:jc w:val="both"/>
        <w:rPr>
          <w:rFonts w:asciiTheme="majorBidi" w:hAnsiTheme="majorBidi" w:cstheme="majorBidi"/>
        </w:rPr>
      </w:pPr>
    </w:p>
    <w:p w14:paraId="1925B0B1" w14:textId="77777777" w:rsidR="004B2590" w:rsidRDefault="004B2590" w:rsidP="004B2590">
      <w:pPr>
        <w:jc w:val="both"/>
        <w:rPr>
          <w:rFonts w:asciiTheme="majorBidi" w:hAnsiTheme="majorBidi" w:cstheme="majorBidi"/>
        </w:rPr>
      </w:pPr>
    </w:p>
    <w:p w14:paraId="55F8402E" w14:textId="77777777" w:rsidR="004B2590" w:rsidRDefault="004B2590" w:rsidP="004B2590">
      <w:pPr>
        <w:jc w:val="both"/>
        <w:rPr>
          <w:rFonts w:asciiTheme="majorBidi" w:hAnsiTheme="majorBidi" w:cstheme="majorBidi"/>
        </w:rPr>
      </w:pPr>
    </w:p>
    <w:p w14:paraId="2FC3024C" w14:textId="77777777" w:rsidR="004B2590" w:rsidRDefault="004B2590" w:rsidP="004B2590">
      <w:pPr>
        <w:jc w:val="both"/>
        <w:rPr>
          <w:rFonts w:asciiTheme="majorBidi" w:hAnsiTheme="majorBidi" w:cstheme="majorBidi"/>
        </w:rPr>
      </w:pPr>
    </w:p>
    <w:p w14:paraId="673BF26D" w14:textId="77777777" w:rsidR="004B2590" w:rsidRDefault="004B2590" w:rsidP="004B2590">
      <w:pPr>
        <w:jc w:val="both"/>
        <w:rPr>
          <w:rFonts w:asciiTheme="majorBidi" w:hAnsiTheme="majorBidi" w:cstheme="majorBidi"/>
        </w:rPr>
      </w:pPr>
    </w:p>
    <w:p w14:paraId="01D0311E" w14:textId="77777777" w:rsidR="004B2590" w:rsidRDefault="004B2590" w:rsidP="004B2590">
      <w:pPr>
        <w:jc w:val="both"/>
        <w:rPr>
          <w:rFonts w:asciiTheme="majorBidi" w:hAnsiTheme="majorBidi" w:cstheme="majorBidi"/>
        </w:rPr>
      </w:pPr>
    </w:p>
    <w:p w14:paraId="2AF9067E" w14:textId="77777777" w:rsidR="004B2590" w:rsidRDefault="004B2590" w:rsidP="004B2590">
      <w:pPr>
        <w:jc w:val="both"/>
        <w:rPr>
          <w:rFonts w:asciiTheme="majorBidi" w:hAnsiTheme="majorBidi" w:cstheme="majorBidi"/>
        </w:rPr>
      </w:pPr>
    </w:p>
    <w:p w14:paraId="2E7AEB44" w14:textId="77777777" w:rsidR="004B2590" w:rsidRDefault="004B2590" w:rsidP="004B2590">
      <w:pPr>
        <w:jc w:val="both"/>
        <w:rPr>
          <w:rFonts w:asciiTheme="majorBidi" w:hAnsiTheme="majorBidi" w:cstheme="majorBidi"/>
        </w:rPr>
      </w:pPr>
    </w:p>
    <w:p w14:paraId="3CA051DE" w14:textId="77777777" w:rsidR="004B2590" w:rsidRDefault="004B2590" w:rsidP="004B2590">
      <w:pPr>
        <w:jc w:val="both"/>
        <w:rPr>
          <w:rFonts w:asciiTheme="majorBidi" w:hAnsiTheme="majorBidi" w:cstheme="majorBidi"/>
        </w:rPr>
      </w:pPr>
    </w:p>
    <w:p w14:paraId="6D717408" w14:textId="77777777" w:rsidR="004B2590" w:rsidRDefault="004B2590" w:rsidP="004B2590">
      <w:pPr>
        <w:jc w:val="both"/>
        <w:rPr>
          <w:rFonts w:asciiTheme="majorBidi" w:hAnsiTheme="majorBidi" w:cstheme="majorBidi"/>
        </w:rPr>
      </w:pPr>
    </w:p>
    <w:p w14:paraId="4721E351" w14:textId="77777777" w:rsidR="004B2590" w:rsidRDefault="004B2590" w:rsidP="004B2590">
      <w:pPr>
        <w:jc w:val="both"/>
        <w:rPr>
          <w:rFonts w:asciiTheme="majorBidi" w:hAnsiTheme="majorBidi" w:cstheme="majorBidi"/>
        </w:rPr>
      </w:pPr>
    </w:p>
    <w:p w14:paraId="7A1A6D71" w14:textId="77777777" w:rsidR="004B2590" w:rsidRPr="00942C8F" w:rsidRDefault="004B2590" w:rsidP="004B2590">
      <w:pPr>
        <w:pStyle w:val="2"/>
      </w:pPr>
      <w:bookmarkStart w:id="141" w:name="_Toc174813432"/>
      <w:bookmarkStart w:id="142" w:name="_Toc214621186"/>
      <w:r w:rsidRPr="00942C8F">
        <w:t>Introduction</w:t>
      </w:r>
      <w:bookmarkEnd w:id="141"/>
      <w:bookmarkEnd w:id="142"/>
    </w:p>
    <w:p w14:paraId="62E59224" w14:textId="77777777" w:rsidR="004B2590" w:rsidRPr="00625F0C" w:rsidRDefault="004B2590" w:rsidP="004B2590">
      <w:pPr>
        <w:bidi w:val="0"/>
        <w:jc w:val="both"/>
        <w:rPr>
          <w:rFonts w:asciiTheme="majorBidi" w:hAnsiTheme="majorBidi" w:cstheme="majorBidi"/>
          <w:sz w:val="24"/>
          <w:szCs w:val="24"/>
        </w:rPr>
      </w:pPr>
      <w:r w:rsidRPr="00625F0C">
        <w:rPr>
          <w:rFonts w:asciiTheme="majorBidi" w:hAnsiTheme="majorBidi" w:cstheme="majorBidi"/>
          <w:sz w:val="24"/>
          <w:szCs w:val="24"/>
        </w:rPr>
        <w:t>The analysis begins by providing a profile of the research sample, including descriptive statistics that describe the characteristics of the study participants. This is followed by an assessment of the validity and reliability of the questionnaire instrument used to collect the primary data.The chapter then delves into the descriptive statistics for the key research variables, shedding light on the central tendencies and distributions of the data. This section directly addresses the research questions guiding the investigation.</w:t>
      </w:r>
    </w:p>
    <w:p w14:paraId="1C24664B" w14:textId="77777777" w:rsidR="004B2590" w:rsidRPr="00625F0C" w:rsidRDefault="004B2590" w:rsidP="004B2590">
      <w:pPr>
        <w:bidi w:val="0"/>
        <w:jc w:val="both"/>
        <w:rPr>
          <w:rFonts w:asciiTheme="majorBidi" w:hAnsiTheme="majorBidi" w:cstheme="majorBidi"/>
          <w:sz w:val="24"/>
          <w:szCs w:val="24"/>
        </w:rPr>
      </w:pPr>
      <w:r w:rsidRPr="00625F0C">
        <w:rPr>
          <w:rFonts w:asciiTheme="majorBidi" w:hAnsiTheme="majorBidi" w:cstheme="majorBidi"/>
          <w:sz w:val="24"/>
          <w:szCs w:val="24"/>
        </w:rPr>
        <w:t>Finally, the chapter presents the results of the hypothesis testing, which was conducted using the SPSS statistical software package (version 27). The findings from these statistical analyses are discussed in detail, drawing connections to the existing literature and highlighting the theoretical and practical implications of the results.</w:t>
      </w:r>
    </w:p>
    <w:p w14:paraId="6A75254B" w14:textId="77777777" w:rsidR="00266BD1" w:rsidRPr="00625F0C" w:rsidRDefault="00266BD1" w:rsidP="00625F0C">
      <w:pPr>
        <w:pStyle w:val="2"/>
      </w:pPr>
      <w:bookmarkStart w:id="143" w:name="_Toc214621187"/>
      <w:r w:rsidRPr="00625F0C">
        <w:t>Sample Profile (Descriptive Statistics for Research Sample)</w:t>
      </w:r>
      <w:bookmarkEnd w:id="143"/>
    </w:p>
    <w:p w14:paraId="2B24920D" w14:textId="77777777" w:rsidR="00266BD1" w:rsidRPr="00625F0C" w:rsidRDefault="00266BD1" w:rsidP="00266BD1">
      <w:pPr>
        <w:bidi w:val="0"/>
        <w:jc w:val="both"/>
        <w:rPr>
          <w:rFonts w:asciiTheme="majorBidi" w:hAnsiTheme="majorBidi" w:cstheme="majorBidi"/>
          <w:sz w:val="24"/>
          <w:szCs w:val="24"/>
        </w:rPr>
      </w:pPr>
      <w:r w:rsidRPr="00625F0C">
        <w:rPr>
          <w:rFonts w:asciiTheme="majorBidi" w:hAnsiTheme="majorBidi" w:cstheme="majorBidi"/>
          <w:sz w:val="24"/>
          <w:szCs w:val="24"/>
        </w:rPr>
        <w:t>The items of the study sample were distributed according to a set of demographic characteristics designed to describe the profile of respondents at Al Rajhi Bank. Frequencies and percentages were calculated for each category to provide a clear overview of the composition of the research sample and to support the interpretation of subsequent analytical results.</w:t>
      </w:r>
    </w:p>
    <w:p w14:paraId="3503D477" w14:textId="77777777" w:rsidR="00266BD1" w:rsidRPr="00625F0C" w:rsidRDefault="00266BD1" w:rsidP="00266BD1">
      <w:pPr>
        <w:bidi w:val="0"/>
        <w:jc w:val="both"/>
        <w:rPr>
          <w:rFonts w:asciiTheme="majorBidi" w:hAnsiTheme="majorBidi" w:cstheme="majorBidi"/>
          <w:sz w:val="24"/>
          <w:szCs w:val="24"/>
        </w:rPr>
      </w:pPr>
      <w:r w:rsidRPr="00625F0C">
        <w:rPr>
          <w:rFonts w:asciiTheme="majorBidi" w:hAnsiTheme="majorBidi" w:cstheme="majorBidi"/>
          <w:sz w:val="24"/>
          <w:szCs w:val="24"/>
        </w:rPr>
        <w:t>The demographic information for the sample includes:</w:t>
      </w:r>
    </w:p>
    <w:p w14:paraId="6EFAA79A"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Gender, which includes: (Male, Female).</w:t>
      </w:r>
    </w:p>
    <w:p w14:paraId="20FCBF00"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Age group, which includes: (18–25 years, 26–35 years, 36–45 years, 46–55 years, 56 years or older).</w:t>
      </w:r>
    </w:p>
    <w:p w14:paraId="1B3826D0"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Length of employment at Al Rajhi Bank, which includes: (Less than 1 year, 1–3 years, 4–6 years, 7–10 years, More than 10 years).</w:t>
      </w:r>
    </w:p>
    <w:p w14:paraId="5435BBCC"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Department, which includes: (Account Management / Sales, Risk Management / Compliance, Operations, IT / Technology, Finance / Other).</w:t>
      </w:r>
    </w:p>
    <w:p w14:paraId="2C7270D4"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Role / Position (Job level), which includes: (Entry-level, Mid-level, Senior-level, Management, Executive, Other).</w:t>
      </w:r>
    </w:p>
    <w:p w14:paraId="3D5F4830" w14:textId="77777777" w:rsidR="00266BD1" w:rsidRPr="00625F0C" w:rsidRDefault="00266BD1" w:rsidP="002E6F27">
      <w:pPr>
        <w:pStyle w:val="a5"/>
        <w:numPr>
          <w:ilvl w:val="0"/>
          <w:numId w:val="64"/>
        </w:numPr>
        <w:bidi w:val="0"/>
        <w:jc w:val="both"/>
        <w:rPr>
          <w:rFonts w:asciiTheme="majorBidi" w:hAnsiTheme="majorBidi" w:cstheme="majorBidi"/>
          <w:sz w:val="24"/>
          <w:szCs w:val="24"/>
        </w:rPr>
      </w:pPr>
      <w:r w:rsidRPr="00625F0C">
        <w:rPr>
          <w:rFonts w:asciiTheme="majorBidi" w:hAnsiTheme="majorBidi" w:cstheme="majorBidi"/>
          <w:sz w:val="24"/>
          <w:szCs w:val="24"/>
        </w:rPr>
        <w:t>Educational level, which includes: (High school diploma or equivalent, Bachelor’s degree, Master’s degree, Doctoral degree, Other).</w:t>
      </w:r>
    </w:p>
    <w:p w14:paraId="0B6124BE" w14:textId="1774B2F9" w:rsidR="00266BD1" w:rsidRPr="00625F0C" w:rsidRDefault="00266BD1" w:rsidP="00266BD1">
      <w:pPr>
        <w:bidi w:val="0"/>
        <w:jc w:val="both"/>
        <w:rPr>
          <w:rFonts w:asciiTheme="majorBidi" w:hAnsiTheme="majorBidi" w:cstheme="majorBidi"/>
          <w:sz w:val="24"/>
          <w:szCs w:val="24"/>
        </w:rPr>
      </w:pPr>
      <w:r w:rsidRPr="00625F0C">
        <w:rPr>
          <w:rFonts w:asciiTheme="majorBidi" w:hAnsiTheme="majorBidi" w:cstheme="majorBidi"/>
          <w:sz w:val="24"/>
          <w:szCs w:val="24"/>
        </w:rPr>
        <w:t>The following tables, figures, and descriptive paragraphs present the classification of the research sample according to these variables:</w:t>
      </w:r>
    </w:p>
    <w:p w14:paraId="551A3447" w14:textId="4BE53783" w:rsidR="001420AA" w:rsidRDefault="001420AA" w:rsidP="001420AA">
      <w:pPr>
        <w:pStyle w:val="ad"/>
      </w:pPr>
      <w:bookmarkStart w:id="144" w:name="_Toc214622015"/>
      <w:r>
        <w:t xml:space="preserve">Table </w:t>
      </w:r>
      <w:r>
        <w:fldChar w:fldCharType="begin"/>
      </w:r>
      <w:r>
        <w:instrText xml:space="preserve"> SEQ Table \* ARABIC </w:instrText>
      </w:r>
      <w:r>
        <w:fldChar w:fldCharType="separate"/>
      </w:r>
      <w:r w:rsidR="00CD4CCF">
        <w:t>9</w:t>
      </w:r>
      <w:r>
        <w:fldChar w:fldCharType="end"/>
      </w:r>
      <w:r>
        <w:t xml:space="preserve">: </w:t>
      </w:r>
      <w:r w:rsidRPr="00C918EB">
        <w:t>Descriptive Statistics for the Research Sample</w:t>
      </w:r>
      <w:bookmarkEnd w:id="14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2267"/>
        <w:gridCol w:w="1582"/>
        <w:gridCol w:w="2118"/>
      </w:tblGrid>
      <w:tr w:rsidR="001420AA" w:rsidRPr="001420AA" w14:paraId="72CD6DFE" w14:textId="77777777" w:rsidTr="001420AA">
        <w:trPr>
          <w:trHeight w:val="20"/>
        </w:trPr>
        <w:tc>
          <w:tcPr>
            <w:tcW w:w="1707" w:type="pct"/>
            <w:shd w:val="clear" w:color="auto" w:fill="F2F2F2" w:themeFill="background1" w:themeFillShade="F2"/>
            <w:vAlign w:val="center"/>
            <w:hideMark/>
          </w:tcPr>
          <w:p w14:paraId="2ED7BC62"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Variable</w:t>
            </w:r>
          </w:p>
        </w:tc>
        <w:tc>
          <w:tcPr>
            <w:tcW w:w="1251" w:type="pct"/>
            <w:shd w:val="clear" w:color="auto" w:fill="F2F2F2" w:themeFill="background1" w:themeFillShade="F2"/>
            <w:vAlign w:val="center"/>
            <w:hideMark/>
          </w:tcPr>
          <w:p w14:paraId="2562D525"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Variable Classes</w:t>
            </w:r>
          </w:p>
        </w:tc>
        <w:tc>
          <w:tcPr>
            <w:tcW w:w="873" w:type="pct"/>
            <w:shd w:val="clear" w:color="auto" w:fill="F2F2F2" w:themeFill="background1" w:themeFillShade="F2"/>
            <w:vAlign w:val="center"/>
            <w:hideMark/>
          </w:tcPr>
          <w:p w14:paraId="5B97A23D"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Number</w:t>
            </w:r>
          </w:p>
        </w:tc>
        <w:tc>
          <w:tcPr>
            <w:tcW w:w="1169" w:type="pct"/>
            <w:shd w:val="clear" w:color="auto" w:fill="F2F2F2" w:themeFill="background1" w:themeFillShade="F2"/>
            <w:vAlign w:val="center"/>
            <w:hideMark/>
          </w:tcPr>
          <w:p w14:paraId="6337E808"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Percentage of Study Sample</w:t>
            </w:r>
          </w:p>
        </w:tc>
      </w:tr>
      <w:tr w:rsidR="001420AA" w:rsidRPr="001420AA" w14:paraId="5A6C1180" w14:textId="77777777" w:rsidTr="001420AA">
        <w:trPr>
          <w:trHeight w:val="20"/>
        </w:trPr>
        <w:tc>
          <w:tcPr>
            <w:tcW w:w="1707" w:type="pct"/>
            <w:vAlign w:val="center"/>
            <w:hideMark/>
          </w:tcPr>
          <w:p w14:paraId="4E01A97A"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Gender</w:t>
            </w:r>
          </w:p>
        </w:tc>
        <w:tc>
          <w:tcPr>
            <w:tcW w:w="1251" w:type="pct"/>
            <w:vAlign w:val="center"/>
            <w:hideMark/>
          </w:tcPr>
          <w:p w14:paraId="30CF7F1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Male</w:t>
            </w:r>
          </w:p>
        </w:tc>
        <w:tc>
          <w:tcPr>
            <w:tcW w:w="873" w:type="pct"/>
            <w:vAlign w:val="center"/>
            <w:hideMark/>
          </w:tcPr>
          <w:p w14:paraId="234A8F8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128</w:t>
            </w:r>
          </w:p>
        </w:tc>
        <w:tc>
          <w:tcPr>
            <w:tcW w:w="1169" w:type="pct"/>
            <w:vAlign w:val="center"/>
            <w:hideMark/>
          </w:tcPr>
          <w:p w14:paraId="7E7144D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65.30%</w:t>
            </w:r>
          </w:p>
        </w:tc>
      </w:tr>
      <w:tr w:rsidR="001420AA" w:rsidRPr="001420AA" w14:paraId="44363ED3" w14:textId="77777777" w:rsidTr="001420AA">
        <w:trPr>
          <w:trHeight w:val="20"/>
        </w:trPr>
        <w:tc>
          <w:tcPr>
            <w:tcW w:w="1707" w:type="pct"/>
            <w:vAlign w:val="center"/>
            <w:hideMark/>
          </w:tcPr>
          <w:p w14:paraId="7EE84A5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077F81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Female</w:t>
            </w:r>
          </w:p>
        </w:tc>
        <w:tc>
          <w:tcPr>
            <w:tcW w:w="873" w:type="pct"/>
            <w:vAlign w:val="center"/>
            <w:hideMark/>
          </w:tcPr>
          <w:p w14:paraId="05747AB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68</w:t>
            </w:r>
          </w:p>
        </w:tc>
        <w:tc>
          <w:tcPr>
            <w:tcW w:w="1169" w:type="pct"/>
            <w:vAlign w:val="center"/>
            <w:hideMark/>
          </w:tcPr>
          <w:p w14:paraId="6094B6D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34.70%</w:t>
            </w:r>
          </w:p>
        </w:tc>
      </w:tr>
      <w:tr w:rsidR="001420AA" w:rsidRPr="001420AA" w14:paraId="6CF950E0" w14:textId="77777777" w:rsidTr="001420AA">
        <w:trPr>
          <w:trHeight w:val="20"/>
        </w:trPr>
        <w:tc>
          <w:tcPr>
            <w:tcW w:w="2958" w:type="pct"/>
            <w:gridSpan w:val="2"/>
            <w:shd w:val="clear" w:color="auto" w:fill="F2F2F2" w:themeFill="background1" w:themeFillShade="F2"/>
            <w:vAlign w:val="center"/>
            <w:hideMark/>
          </w:tcPr>
          <w:p w14:paraId="71FDC7BA" w14:textId="3E34C5E2"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2FE40EE7"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5B1C6FC9"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r w:rsidR="001420AA" w:rsidRPr="001420AA" w14:paraId="357492B0" w14:textId="77777777" w:rsidTr="001420AA">
        <w:trPr>
          <w:trHeight w:val="20"/>
        </w:trPr>
        <w:tc>
          <w:tcPr>
            <w:tcW w:w="1707" w:type="pct"/>
            <w:vAlign w:val="center"/>
            <w:hideMark/>
          </w:tcPr>
          <w:p w14:paraId="33A09FEE"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Age</w:t>
            </w:r>
          </w:p>
        </w:tc>
        <w:tc>
          <w:tcPr>
            <w:tcW w:w="1251" w:type="pct"/>
            <w:vAlign w:val="center"/>
            <w:hideMark/>
          </w:tcPr>
          <w:p w14:paraId="34243F5C"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18–25 years</w:t>
            </w:r>
          </w:p>
        </w:tc>
        <w:tc>
          <w:tcPr>
            <w:tcW w:w="873" w:type="pct"/>
            <w:vAlign w:val="center"/>
            <w:hideMark/>
          </w:tcPr>
          <w:p w14:paraId="6D9F745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39</w:t>
            </w:r>
          </w:p>
        </w:tc>
        <w:tc>
          <w:tcPr>
            <w:tcW w:w="1169" w:type="pct"/>
            <w:vAlign w:val="center"/>
            <w:hideMark/>
          </w:tcPr>
          <w:p w14:paraId="193F88EC"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19.90%</w:t>
            </w:r>
          </w:p>
        </w:tc>
      </w:tr>
      <w:tr w:rsidR="001420AA" w:rsidRPr="001420AA" w14:paraId="23B8B030" w14:textId="77777777" w:rsidTr="001420AA">
        <w:trPr>
          <w:trHeight w:val="20"/>
        </w:trPr>
        <w:tc>
          <w:tcPr>
            <w:tcW w:w="1707" w:type="pct"/>
            <w:vAlign w:val="center"/>
            <w:hideMark/>
          </w:tcPr>
          <w:p w14:paraId="542C325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E93391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26–35 years</w:t>
            </w:r>
          </w:p>
        </w:tc>
        <w:tc>
          <w:tcPr>
            <w:tcW w:w="873" w:type="pct"/>
            <w:vAlign w:val="center"/>
            <w:hideMark/>
          </w:tcPr>
          <w:p w14:paraId="31024E9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78</w:t>
            </w:r>
          </w:p>
        </w:tc>
        <w:tc>
          <w:tcPr>
            <w:tcW w:w="1169" w:type="pct"/>
            <w:vAlign w:val="center"/>
            <w:hideMark/>
          </w:tcPr>
          <w:p w14:paraId="408E073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39.80%</w:t>
            </w:r>
          </w:p>
        </w:tc>
      </w:tr>
      <w:tr w:rsidR="001420AA" w:rsidRPr="001420AA" w14:paraId="7AB97A12" w14:textId="77777777" w:rsidTr="001420AA">
        <w:trPr>
          <w:trHeight w:val="20"/>
        </w:trPr>
        <w:tc>
          <w:tcPr>
            <w:tcW w:w="1707" w:type="pct"/>
            <w:vAlign w:val="center"/>
            <w:hideMark/>
          </w:tcPr>
          <w:p w14:paraId="7F4BF30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1FB772B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36–45 years</w:t>
            </w:r>
          </w:p>
        </w:tc>
        <w:tc>
          <w:tcPr>
            <w:tcW w:w="873" w:type="pct"/>
            <w:vAlign w:val="center"/>
            <w:hideMark/>
          </w:tcPr>
          <w:p w14:paraId="5BB7C2A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59</w:t>
            </w:r>
          </w:p>
        </w:tc>
        <w:tc>
          <w:tcPr>
            <w:tcW w:w="1169" w:type="pct"/>
            <w:vAlign w:val="center"/>
            <w:hideMark/>
          </w:tcPr>
          <w:p w14:paraId="33B325A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30.10%</w:t>
            </w:r>
          </w:p>
        </w:tc>
      </w:tr>
      <w:tr w:rsidR="001420AA" w:rsidRPr="001420AA" w14:paraId="1B455220" w14:textId="77777777" w:rsidTr="001420AA">
        <w:trPr>
          <w:trHeight w:val="20"/>
        </w:trPr>
        <w:tc>
          <w:tcPr>
            <w:tcW w:w="1707" w:type="pct"/>
            <w:vAlign w:val="center"/>
            <w:hideMark/>
          </w:tcPr>
          <w:p w14:paraId="388CFA0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1360B13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46–55 years</w:t>
            </w:r>
          </w:p>
        </w:tc>
        <w:tc>
          <w:tcPr>
            <w:tcW w:w="873" w:type="pct"/>
            <w:vAlign w:val="center"/>
            <w:hideMark/>
          </w:tcPr>
          <w:p w14:paraId="7F7A65A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18</w:t>
            </w:r>
          </w:p>
        </w:tc>
        <w:tc>
          <w:tcPr>
            <w:tcW w:w="1169" w:type="pct"/>
            <w:vAlign w:val="center"/>
            <w:hideMark/>
          </w:tcPr>
          <w:p w14:paraId="159BF65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9.20%</w:t>
            </w:r>
          </w:p>
        </w:tc>
      </w:tr>
      <w:tr w:rsidR="001420AA" w:rsidRPr="001420AA" w14:paraId="5713805F" w14:textId="77777777" w:rsidTr="001420AA">
        <w:trPr>
          <w:trHeight w:val="20"/>
        </w:trPr>
        <w:tc>
          <w:tcPr>
            <w:tcW w:w="1707" w:type="pct"/>
            <w:vAlign w:val="center"/>
            <w:hideMark/>
          </w:tcPr>
          <w:p w14:paraId="4D6C612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51D7F29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56 years or older</w:t>
            </w:r>
          </w:p>
        </w:tc>
        <w:tc>
          <w:tcPr>
            <w:tcW w:w="873" w:type="pct"/>
            <w:vAlign w:val="center"/>
            <w:hideMark/>
          </w:tcPr>
          <w:p w14:paraId="6482EB3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w:t>
            </w:r>
          </w:p>
        </w:tc>
        <w:tc>
          <w:tcPr>
            <w:tcW w:w="1169" w:type="pct"/>
            <w:vAlign w:val="center"/>
            <w:hideMark/>
          </w:tcPr>
          <w:p w14:paraId="0D858A33"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1.00%</w:t>
            </w:r>
          </w:p>
        </w:tc>
      </w:tr>
      <w:tr w:rsidR="001420AA" w:rsidRPr="001420AA" w14:paraId="7F9EDAF9" w14:textId="77777777" w:rsidTr="001420AA">
        <w:trPr>
          <w:trHeight w:val="20"/>
        </w:trPr>
        <w:tc>
          <w:tcPr>
            <w:tcW w:w="2958" w:type="pct"/>
            <w:gridSpan w:val="2"/>
            <w:shd w:val="clear" w:color="auto" w:fill="F2F2F2" w:themeFill="background1" w:themeFillShade="F2"/>
            <w:vAlign w:val="center"/>
            <w:hideMark/>
          </w:tcPr>
          <w:p w14:paraId="3E523D5E" w14:textId="734059CF"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740906DA"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1958D2E2"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r w:rsidR="001420AA" w:rsidRPr="001420AA" w14:paraId="42AC762D" w14:textId="77777777" w:rsidTr="001420AA">
        <w:trPr>
          <w:trHeight w:val="20"/>
        </w:trPr>
        <w:tc>
          <w:tcPr>
            <w:tcW w:w="1707" w:type="pct"/>
            <w:vAlign w:val="center"/>
            <w:hideMark/>
          </w:tcPr>
          <w:p w14:paraId="0C438F7A"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Educational level</w:t>
            </w:r>
          </w:p>
        </w:tc>
        <w:tc>
          <w:tcPr>
            <w:tcW w:w="1251" w:type="pct"/>
            <w:vAlign w:val="center"/>
            <w:hideMark/>
          </w:tcPr>
          <w:p w14:paraId="16E3E91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High school diploma or equivalent</w:t>
            </w:r>
          </w:p>
        </w:tc>
        <w:tc>
          <w:tcPr>
            <w:tcW w:w="873" w:type="pct"/>
            <w:vAlign w:val="center"/>
            <w:hideMark/>
          </w:tcPr>
          <w:p w14:paraId="4072639C"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20</w:t>
            </w:r>
          </w:p>
        </w:tc>
        <w:tc>
          <w:tcPr>
            <w:tcW w:w="1169" w:type="pct"/>
            <w:vAlign w:val="center"/>
            <w:hideMark/>
          </w:tcPr>
          <w:p w14:paraId="7F64375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10.20%</w:t>
            </w:r>
          </w:p>
        </w:tc>
      </w:tr>
      <w:tr w:rsidR="001420AA" w:rsidRPr="001420AA" w14:paraId="7EC4ADDD" w14:textId="77777777" w:rsidTr="001420AA">
        <w:trPr>
          <w:trHeight w:val="20"/>
        </w:trPr>
        <w:tc>
          <w:tcPr>
            <w:tcW w:w="1707" w:type="pct"/>
            <w:vAlign w:val="center"/>
            <w:hideMark/>
          </w:tcPr>
          <w:p w14:paraId="6D3E6733"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0E09FAF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Bachelor’s degree</w:t>
            </w:r>
          </w:p>
        </w:tc>
        <w:tc>
          <w:tcPr>
            <w:tcW w:w="873" w:type="pct"/>
            <w:vAlign w:val="center"/>
            <w:hideMark/>
          </w:tcPr>
          <w:p w14:paraId="2FEE0E94"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108</w:t>
            </w:r>
          </w:p>
        </w:tc>
        <w:tc>
          <w:tcPr>
            <w:tcW w:w="1169" w:type="pct"/>
            <w:vAlign w:val="center"/>
            <w:hideMark/>
          </w:tcPr>
          <w:p w14:paraId="5AB221B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55.10%</w:t>
            </w:r>
          </w:p>
        </w:tc>
      </w:tr>
      <w:tr w:rsidR="001420AA" w:rsidRPr="001420AA" w14:paraId="164224E1" w14:textId="77777777" w:rsidTr="001420AA">
        <w:trPr>
          <w:trHeight w:val="20"/>
        </w:trPr>
        <w:tc>
          <w:tcPr>
            <w:tcW w:w="1707" w:type="pct"/>
            <w:vAlign w:val="center"/>
            <w:hideMark/>
          </w:tcPr>
          <w:p w14:paraId="5A4EFA8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22EF22C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Master’s degree</w:t>
            </w:r>
          </w:p>
        </w:tc>
        <w:tc>
          <w:tcPr>
            <w:tcW w:w="873" w:type="pct"/>
            <w:vAlign w:val="center"/>
            <w:hideMark/>
          </w:tcPr>
          <w:p w14:paraId="4B161C8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49</w:t>
            </w:r>
          </w:p>
        </w:tc>
        <w:tc>
          <w:tcPr>
            <w:tcW w:w="1169" w:type="pct"/>
            <w:vAlign w:val="center"/>
            <w:hideMark/>
          </w:tcPr>
          <w:p w14:paraId="2A51915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25.00%</w:t>
            </w:r>
          </w:p>
        </w:tc>
      </w:tr>
      <w:tr w:rsidR="001420AA" w:rsidRPr="001420AA" w14:paraId="0064407E" w14:textId="77777777" w:rsidTr="001420AA">
        <w:trPr>
          <w:trHeight w:val="20"/>
        </w:trPr>
        <w:tc>
          <w:tcPr>
            <w:tcW w:w="1707" w:type="pct"/>
            <w:vAlign w:val="center"/>
            <w:hideMark/>
          </w:tcPr>
          <w:p w14:paraId="028D96E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0CE289C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Doctoral degree</w:t>
            </w:r>
          </w:p>
        </w:tc>
        <w:tc>
          <w:tcPr>
            <w:tcW w:w="873" w:type="pct"/>
            <w:vAlign w:val="center"/>
            <w:hideMark/>
          </w:tcPr>
          <w:p w14:paraId="69CCBF8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w:t>
            </w:r>
          </w:p>
        </w:tc>
        <w:tc>
          <w:tcPr>
            <w:tcW w:w="1169" w:type="pct"/>
            <w:vAlign w:val="center"/>
            <w:hideMark/>
          </w:tcPr>
          <w:p w14:paraId="6EDBC6BD"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5.10%</w:t>
            </w:r>
          </w:p>
        </w:tc>
      </w:tr>
      <w:tr w:rsidR="001420AA" w:rsidRPr="001420AA" w14:paraId="651618D0" w14:textId="77777777" w:rsidTr="001420AA">
        <w:trPr>
          <w:trHeight w:val="20"/>
        </w:trPr>
        <w:tc>
          <w:tcPr>
            <w:tcW w:w="1707" w:type="pct"/>
            <w:vAlign w:val="center"/>
            <w:hideMark/>
          </w:tcPr>
          <w:p w14:paraId="210AD0C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6F751A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Other</w:t>
            </w:r>
          </w:p>
        </w:tc>
        <w:tc>
          <w:tcPr>
            <w:tcW w:w="873" w:type="pct"/>
            <w:vAlign w:val="center"/>
            <w:hideMark/>
          </w:tcPr>
          <w:p w14:paraId="4905791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9</w:t>
            </w:r>
          </w:p>
        </w:tc>
        <w:tc>
          <w:tcPr>
            <w:tcW w:w="1169" w:type="pct"/>
            <w:vAlign w:val="center"/>
            <w:hideMark/>
          </w:tcPr>
          <w:p w14:paraId="720280D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4.60%</w:t>
            </w:r>
          </w:p>
        </w:tc>
      </w:tr>
      <w:tr w:rsidR="001420AA" w:rsidRPr="001420AA" w14:paraId="03A51103" w14:textId="77777777" w:rsidTr="001420AA">
        <w:trPr>
          <w:trHeight w:val="20"/>
        </w:trPr>
        <w:tc>
          <w:tcPr>
            <w:tcW w:w="2958" w:type="pct"/>
            <w:gridSpan w:val="2"/>
            <w:shd w:val="clear" w:color="auto" w:fill="F2F2F2" w:themeFill="background1" w:themeFillShade="F2"/>
            <w:vAlign w:val="center"/>
            <w:hideMark/>
          </w:tcPr>
          <w:p w14:paraId="1D2D38F3" w14:textId="41BDDE26"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6AEE7C32"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5A1F73A9"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r w:rsidR="001420AA" w:rsidRPr="001420AA" w14:paraId="24E0E684" w14:textId="77777777" w:rsidTr="001420AA">
        <w:trPr>
          <w:trHeight w:val="20"/>
        </w:trPr>
        <w:tc>
          <w:tcPr>
            <w:tcW w:w="1707" w:type="pct"/>
            <w:vAlign w:val="center"/>
            <w:hideMark/>
          </w:tcPr>
          <w:p w14:paraId="6E8A41CE"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Length of employment</w:t>
            </w:r>
          </w:p>
        </w:tc>
        <w:tc>
          <w:tcPr>
            <w:tcW w:w="1251" w:type="pct"/>
            <w:vAlign w:val="center"/>
            <w:hideMark/>
          </w:tcPr>
          <w:p w14:paraId="490B71F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Less than 1 year</w:t>
            </w:r>
          </w:p>
        </w:tc>
        <w:tc>
          <w:tcPr>
            <w:tcW w:w="873" w:type="pct"/>
            <w:vAlign w:val="center"/>
            <w:hideMark/>
          </w:tcPr>
          <w:p w14:paraId="57212EB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29</w:t>
            </w:r>
          </w:p>
        </w:tc>
        <w:tc>
          <w:tcPr>
            <w:tcW w:w="1169" w:type="pct"/>
            <w:vAlign w:val="center"/>
            <w:hideMark/>
          </w:tcPr>
          <w:p w14:paraId="2F09C54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14.80%</w:t>
            </w:r>
          </w:p>
        </w:tc>
      </w:tr>
      <w:tr w:rsidR="001420AA" w:rsidRPr="001420AA" w14:paraId="6ED59ABA" w14:textId="77777777" w:rsidTr="001420AA">
        <w:trPr>
          <w:trHeight w:val="20"/>
        </w:trPr>
        <w:tc>
          <w:tcPr>
            <w:tcW w:w="1707" w:type="pct"/>
            <w:vAlign w:val="center"/>
            <w:hideMark/>
          </w:tcPr>
          <w:p w14:paraId="62F82D9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65FAF42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1–3 years</w:t>
            </w:r>
          </w:p>
        </w:tc>
        <w:tc>
          <w:tcPr>
            <w:tcW w:w="873" w:type="pct"/>
            <w:vAlign w:val="center"/>
            <w:hideMark/>
          </w:tcPr>
          <w:p w14:paraId="6775F36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59</w:t>
            </w:r>
          </w:p>
        </w:tc>
        <w:tc>
          <w:tcPr>
            <w:tcW w:w="1169" w:type="pct"/>
            <w:vAlign w:val="center"/>
            <w:hideMark/>
          </w:tcPr>
          <w:p w14:paraId="3308ACB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30.10%</w:t>
            </w:r>
          </w:p>
        </w:tc>
      </w:tr>
      <w:tr w:rsidR="001420AA" w:rsidRPr="001420AA" w14:paraId="6A0D5949" w14:textId="77777777" w:rsidTr="001420AA">
        <w:trPr>
          <w:trHeight w:val="20"/>
        </w:trPr>
        <w:tc>
          <w:tcPr>
            <w:tcW w:w="1707" w:type="pct"/>
            <w:vAlign w:val="center"/>
            <w:hideMark/>
          </w:tcPr>
          <w:p w14:paraId="139DB3A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2401DEA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4–6 years</w:t>
            </w:r>
          </w:p>
        </w:tc>
        <w:tc>
          <w:tcPr>
            <w:tcW w:w="873" w:type="pct"/>
            <w:vAlign w:val="center"/>
            <w:hideMark/>
          </w:tcPr>
          <w:p w14:paraId="76C8072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49</w:t>
            </w:r>
          </w:p>
        </w:tc>
        <w:tc>
          <w:tcPr>
            <w:tcW w:w="1169" w:type="pct"/>
            <w:vAlign w:val="center"/>
            <w:hideMark/>
          </w:tcPr>
          <w:p w14:paraId="72C77CD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25.00%</w:t>
            </w:r>
          </w:p>
        </w:tc>
      </w:tr>
      <w:tr w:rsidR="001420AA" w:rsidRPr="001420AA" w14:paraId="7CFA3B4F" w14:textId="77777777" w:rsidTr="001420AA">
        <w:trPr>
          <w:trHeight w:val="20"/>
        </w:trPr>
        <w:tc>
          <w:tcPr>
            <w:tcW w:w="1707" w:type="pct"/>
            <w:vAlign w:val="center"/>
            <w:hideMark/>
          </w:tcPr>
          <w:p w14:paraId="1D27383D"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04A5332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7–10 years</w:t>
            </w:r>
          </w:p>
        </w:tc>
        <w:tc>
          <w:tcPr>
            <w:tcW w:w="873" w:type="pct"/>
            <w:vAlign w:val="center"/>
            <w:hideMark/>
          </w:tcPr>
          <w:p w14:paraId="50A86BC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35</w:t>
            </w:r>
          </w:p>
        </w:tc>
        <w:tc>
          <w:tcPr>
            <w:tcW w:w="1169" w:type="pct"/>
            <w:vAlign w:val="center"/>
            <w:hideMark/>
          </w:tcPr>
          <w:p w14:paraId="683CBBB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17.90%</w:t>
            </w:r>
          </w:p>
        </w:tc>
      </w:tr>
      <w:tr w:rsidR="001420AA" w:rsidRPr="001420AA" w14:paraId="067112D8" w14:textId="77777777" w:rsidTr="001420AA">
        <w:trPr>
          <w:trHeight w:val="20"/>
        </w:trPr>
        <w:tc>
          <w:tcPr>
            <w:tcW w:w="1707" w:type="pct"/>
            <w:vAlign w:val="center"/>
            <w:hideMark/>
          </w:tcPr>
          <w:p w14:paraId="26C2521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07D50BA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More than 10 years</w:t>
            </w:r>
          </w:p>
        </w:tc>
        <w:tc>
          <w:tcPr>
            <w:tcW w:w="873" w:type="pct"/>
            <w:vAlign w:val="center"/>
            <w:hideMark/>
          </w:tcPr>
          <w:p w14:paraId="132D262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24</w:t>
            </w:r>
          </w:p>
        </w:tc>
        <w:tc>
          <w:tcPr>
            <w:tcW w:w="1169" w:type="pct"/>
            <w:vAlign w:val="center"/>
            <w:hideMark/>
          </w:tcPr>
          <w:p w14:paraId="461DF5F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12.20%</w:t>
            </w:r>
          </w:p>
        </w:tc>
      </w:tr>
      <w:tr w:rsidR="001420AA" w:rsidRPr="001420AA" w14:paraId="57559B8E" w14:textId="77777777" w:rsidTr="001420AA">
        <w:trPr>
          <w:trHeight w:val="20"/>
        </w:trPr>
        <w:tc>
          <w:tcPr>
            <w:tcW w:w="2958" w:type="pct"/>
            <w:gridSpan w:val="2"/>
            <w:shd w:val="clear" w:color="auto" w:fill="F2F2F2" w:themeFill="background1" w:themeFillShade="F2"/>
            <w:vAlign w:val="center"/>
            <w:hideMark/>
          </w:tcPr>
          <w:p w14:paraId="219D6ACC" w14:textId="181AA1E4"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2F16CD22"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18C84D99"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r w:rsidR="001420AA" w:rsidRPr="001420AA" w14:paraId="41EDD305" w14:textId="77777777" w:rsidTr="001420AA">
        <w:trPr>
          <w:trHeight w:val="20"/>
        </w:trPr>
        <w:tc>
          <w:tcPr>
            <w:tcW w:w="1707" w:type="pct"/>
            <w:vAlign w:val="center"/>
            <w:hideMark/>
          </w:tcPr>
          <w:p w14:paraId="0A3D808A"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Role / Position</w:t>
            </w:r>
          </w:p>
        </w:tc>
        <w:tc>
          <w:tcPr>
            <w:tcW w:w="1251" w:type="pct"/>
            <w:vAlign w:val="center"/>
            <w:hideMark/>
          </w:tcPr>
          <w:p w14:paraId="7478DB76"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Entry-level</w:t>
            </w:r>
          </w:p>
        </w:tc>
        <w:tc>
          <w:tcPr>
            <w:tcW w:w="873" w:type="pct"/>
            <w:vAlign w:val="center"/>
            <w:hideMark/>
          </w:tcPr>
          <w:p w14:paraId="5B8839F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59</w:t>
            </w:r>
          </w:p>
        </w:tc>
        <w:tc>
          <w:tcPr>
            <w:tcW w:w="1169" w:type="pct"/>
            <w:vAlign w:val="center"/>
            <w:hideMark/>
          </w:tcPr>
          <w:p w14:paraId="1423F154"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30.10%</w:t>
            </w:r>
          </w:p>
        </w:tc>
      </w:tr>
      <w:tr w:rsidR="001420AA" w:rsidRPr="001420AA" w14:paraId="31E6AC1D" w14:textId="77777777" w:rsidTr="001420AA">
        <w:trPr>
          <w:trHeight w:val="20"/>
        </w:trPr>
        <w:tc>
          <w:tcPr>
            <w:tcW w:w="1707" w:type="pct"/>
            <w:vAlign w:val="center"/>
            <w:hideMark/>
          </w:tcPr>
          <w:p w14:paraId="5BC546CC"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A39F41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Mid-level</w:t>
            </w:r>
          </w:p>
        </w:tc>
        <w:tc>
          <w:tcPr>
            <w:tcW w:w="873" w:type="pct"/>
            <w:vAlign w:val="center"/>
            <w:hideMark/>
          </w:tcPr>
          <w:p w14:paraId="5C5643D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69</w:t>
            </w:r>
          </w:p>
        </w:tc>
        <w:tc>
          <w:tcPr>
            <w:tcW w:w="1169" w:type="pct"/>
            <w:vAlign w:val="center"/>
            <w:hideMark/>
          </w:tcPr>
          <w:p w14:paraId="74746F8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35.20%</w:t>
            </w:r>
          </w:p>
        </w:tc>
      </w:tr>
      <w:tr w:rsidR="001420AA" w:rsidRPr="001420AA" w14:paraId="4C12FD36" w14:textId="77777777" w:rsidTr="001420AA">
        <w:trPr>
          <w:trHeight w:val="20"/>
        </w:trPr>
        <w:tc>
          <w:tcPr>
            <w:tcW w:w="1707" w:type="pct"/>
            <w:vAlign w:val="center"/>
            <w:hideMark/>
          </w:tcPr>
          <w:p w14:paraId="79659EF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4A8F453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Senior-level</w:t>
            </w:r>
          </w:p>
        </w:tc>
        <w:tc>
          <w:tcPr>
            <w:tcW w:w="873" w:type="pct"/>
            <w:vAlign w:val="center"/>
            <w:hideMark/>
          </w:tcPr>
          <w:p w14:paraId="755E20C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29</w:t>
            </w:r>
          </w:p>
        </w:tc>
        <w:tc>
          <w:tcPr>
            <w:tcW w:w="1169" w:type="pct"/>
            <w:vAlign w:val="center"/>
            <w:hideMark/>
          </w:tcPr>
          <w:p w14:paraId="371C19B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14.80%</w:t>
            </w:r>
          </w:p>
        </w:tc>
      </w:tr>
      <w:tr w:rsidR="001420AA" w:rsidRPr="001420AA" w14:paraId="305B756E" w14:textId="77777777" w:rsidTr="001420AA">
        <w:trPr>
          <w:trHeight w:val="20"/>
        </w:trPr>
        <w:tc>
          <w:tcPr>
            <w:tcW w:w="1707" w:type="pct"/>
            <w:vAlign w:val="center"/>
            <w:hideMark/>
          </w:tcPr>
          <w:p w14:paraId="0F88CCE6"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0E294396"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Management</w:t>
            </w:r>
          </w:p>
        </w:tc>
        <w:tc>
          <w:tcPr>
            <w:tcW w:w="873" w:type="pct"/>
            <w:vAlign w:val="center"/>
            <w:hideMark/>
          </w:tcPr>
          <w:p w14:paraId="6012958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24</w:t>
            </w:r>
          </w:p>
        </w:tc>
        <w:tc>
          <w:tcPr>
            <w:tcW w:w="1169" w:type="pct"/>
            <w:vAlign w:val="center"/>
            <w:hideMark/>
          </w:tcPr>
          <w:p w14:paraId="43FF332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12.20%</w:t>
            </w:r>
          </w:p>
        </w:tc>
      </w:tr>
      <w:tr w:rsidR="001420AA" w:rsidRPr="001420AA" w14:paraId="7305E5C1" w14:textId="77777777" w:rsidTr="001420AA">
        <w:trPr>
          <w:trHeight w:val="20"/>
        </w:trPr>
        <w:tc>
          <w:tcPr>
            <w:tcW w:w="1707" w:type="pct"/>
            <w:vAlign w:val="center"/>
            <w:hideMark/>
          </w:tcPr>
          <w:p w14:paraId="3FB4D14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16CC91B8"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Executive</w:t>
            </w:r>
          </w:p>
        </w:tc>
        <w:tc>
          <w:tcPr>
            <w:tcW w:w="873" w:type="pct"/>
            <w:vAlign w:val="center"/>
            <w:hideMark/>
          </w:tcPr>
          <w:p w14:paraId="40FEF0EC"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w:t>
            </w:r>
          </w:p>
        </w:tc>
        <w:tc>
          <w:tcPr>
            <w:tcW w:w="1169" w:type="pct"/>
            <w:vAlign w:val="center"/>
            <w:hideMark/>
          </w:tcPr>
          <w:p w14:paraId="0F6D669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5.10%</w:t>
            </w:r>
          </w:p>
        </w:tc>
      </w:tr>
      <w:tr w:rsidR="001420AA" w:rsidRPr="001420AA" w14:paraId="44FAD3AB" w14:textId="77777777" w:rsidTr="001420AA">
        <w:trPr>
          <w:trHeight w:val="20"/>
        </w:trPr>
        <w:tc>
          <w:tcPr>
            <w:tcW w:w="1707" w:type="pct"/>
            <w:vAlign w:val="center"/>
            <w:hideMark/>
          </w:tcPr>
          <w:p w14:paraId="444C05B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38406D6"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Other</w:t>
            </w:r>
          </w:p>
        </w:tc>
        <w:tc>
          <w:tcPr>
            <w:tcW w:w="873" w:type="pct"/>
            <w:vAlign w:val="center"/>
            <w:hideMark/>
          </w:tcPr>
          <w:p w14:paraId="6B0712E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5</w:t>
            </w:r>
          </w:p>
        </w:tc>
        <w:tc>
          <w:tcPr>
            <w:tcW w:w="1169" w:type="pct"/>
            <w:vAlign w:val="center"/>
            <w:hideMark/>
          </w:tcPr>
          <w:p w14:paraId="096D6650"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2.60%</w:t>
            </w:r>
          </w:p>
        </w:tc>
      </w:tr>
      <w:tr w:rsidR="001420AA" w:rsidRPr="001420AA" w14:paraId="29E3261F" w14:textId="77777777" w:rsidTr="001420AA">
        <w:trPr>
          <w:trHeight w:val="20"/>
        </w:trPr>
        <w:tc>
          <w:tcPr>
            <w:tcW w:w="2958" w:type="pct"/>
            <w:gridSpan w:val="2"/>
            <w:shd w:val="clear" w:color="auto" w:fill="F2F2F2" w:themeFill="background1" w:themeFillShade="F2"/>
            <w:vAlign w:val="center"/>
            <w:hideMark/>
          </w:tcPr>
          <w:p w14:paraId="71E6AE64" w14:textId="58642872"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39BD1D7A"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2720A192"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r w:rsidR="001420AA" w:rsidRPr="001420AA" w14:paraId="1704DB5A" w14:textId="77777777" w:rsidTr="001420AA">
        <w:trPr>
          <w:trHeight w:val="20"/>
        </w:trPr>
        <w:tc>
          <w:tcPr>
            <w:tcW w:w="1707" w:type="pct"/>
            <w:vAlign w:val="center"/>
            <w:hideMark/>
          </w:tcPr>
          <w:p w14:paraId="0A3A4310"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Department</w:t>
            </w:r>
          </w:p>
        </w:tc>
        <w:tc>
          <w:tcPr>
            <w:tcW w:w="1251" w:type="pct"/>
            <w:vAlign w:val="center"/>
            <w:hideMark/>
          </w:tcPr>
          <w:p w14:paraId="782B817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Account Management / Sales</w:t>
            </w:r>
          </w:p>
        </w:tc>
        <w:tc>
          <w:tcPr>
            <w:tcW w:w="873" w:type="pct"/>
            <w:vAlign w:val="center"/>
            <w:hideMark/>
          </w:tcPr>
          <w:p w14:paraId="3811DAF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69</w:t>
            </w:r>
          </w:p>
        </w:tc>
        <w:tc>
          <w:tcPr>
            <w:tcW w:w="1169" w:type="pct"/>
            <w:vAlign w:val="center"/>
            <w:hideMark/>
          </w:tcPr>
          <w:p w14:paraId="20091204"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35.20%</w:t>
            </w:r>
          </w:p>
        </w:tc>
      </w:tr>
      <w:tr w:rsidR="001420AA" w:rsidRPr="001420AA" w14:paraId="6E0322D1" w14:textId="77777777" w:rsidTr="001420AA">
        <w:trPr>
          <w:trHeight w:val="20"/>
        </w:trPr>
        <w:tc>
          <w:tcPr>
            <w:tcW w:w="1707" w:type="pct"/>
            <w:vAlign w:val="center"/>
            <w:hideMark/>
          </w:tcPr>
          <w:p w14:paraId="305FD28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671B6B4A"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Risk Management / Compliance</w:t>
            </w:r>
          </w:p>
        </w:tc>
        <w:tc>
          <w:tcPr>
            <w:tcW w:w="873" w:type="pct"/>
            <w:vAlign w:val="center"/>
            <w:hideMark/>
          </w:tcPr>
          <w:p w14:paraId="21EFDA3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39</w:t>
            </w:r>
          </w:p>
        </w:tc>
        <w:tc>
          <w:tcPr>
            <w:tcW w:w="1169" w:type="pct"/>
            <w:vAlign w:val="center"/>
            <w:hideMark/>
          </w:tcPr>
          <w:p w14:paraId="09932BC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19.90%</w:t>
            </w:r>
          </w:p>
        </w:tc>
      </w:tr>
      <w:tr w:rsidR="001420AA" w:rsidRPr="001420AA" w14:paraId="2DC8DFD1" w14:textId="77777777" w:rsidTr="001420AA">
        <w:trPr>
          <w:trHeight w:val="20"/>
        </w:trPr>
        <w:tc>
          <w:tcPr>
            <w:tcW w:w="1707" w:type="pct"/>
            <w:vAlign w:val="center"/>
            <w:hideMark/>
          </w:tcPr>
          <w:p w14:paraId="095BAE9B"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1D461B65"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Operations</w:t>
            </w:r>
          </w:p>
        </w:tc>
        <w:tc>
          <w:tcPr>
            <w:tcW w:w="873" w:type="pct"/>
            <w:vAlign w:val="center"/>
            <w:hideMark/>
          </w:tcPr>
          <w:p w14:paraId="2595B62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39</w:t>
            </w:r>
          </w:p>
        </w:tc>
        <w:tc>
          <w:tcPr>
            <w:tcW w:w="1169" w:type="pct"/>
            <w:vAlign w:val="center"/>
            <w:hideMark/>
          </w:tcPr>
          <w:p w14:paraId="7B7AB6EF"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19.90%</w:t>
            </w:r>
          </w:p>
        </w:tc>
      </w:tr>
      <w:tr w:rsidR="001420AA" w:rsidRPr="001420AA" w14:paraId="2495547B" w14:textId="77777777" w:rsidTr="001420AA">
        <w:trPr>
          <w:trHeight w:val="20"/>
        </w:trPr>
        <w:tc>
          <w:tcPr>
            <w:tcW w:w="1707" w:type="pct"/>
            <w:vAlign w:val="center"/>
            <w:hideMark/>
          </w:tcPr>
          <w:p w14:paraId="0E3F2B79"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28736C91"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IT / Technology</w:t>
            </w:r>
          </w:p>
        </w:tc>
        <w:tc>
          <w:tcPr>
            <w:tcW w:w="873" w:type="pct"/>
            <w:vAlign w:val="center"/>
            <w:hideMark/>
          </w:tcPr>
          <w:p w14:paraId="6F18C593"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29</w:t>
            </w:r>
          </w:p>
        </w:tc>
        <w:tc>
          <w:tcPr>
            <w:tcW w:w="1169" w:type="pct"/>
            <w:vAlign w:val="center"/>
            <w:hideMark/>
          </w:tcPr>
          <w:p w14:paraId="24607C82"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14.80%</w:t>
            </w:r>
          </w:p>
        </w:tc>
      </w:tr>
      <w:tr w:rsidR="001420AA" w:rsidRPr="001420AA" w14:paraId="36616576" w14:textId="77777777" w:rsidTr="001420AA">
        <w:trPr>
          <w:trHeight w:val="20"/>
        </w:trPr>
        <w:tc>
          <w:tcPr>
            <w:tcW w:w="1707" w:type="pct"/>
            <w:vAlign w:val="center"/>
            <w:hideMark/>
          </w:tcPr>
          <w:p w14:paraId="0FD6B094"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p>
        </w:tc>
        <w:tc>
          <w:tcPr>
            <w:tcW w:w="1251" w:type="pct"/>
            <w:vAlign w:val="center"/>
            <w:hideMark/>
          </w:tcPr>
          <w:p w14:paraId="3A40D29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Finance / Other</w:t>
            </w:r>
          </w:p>
        </w:tc>
        <w:tc>
          <w:tcPr>
            <w:tcW w:w="873" w:type="pct"/>
            <w:vAlign w:val="center"/>
            <w:hideMark/>
          </w:tcPr>
          <w:p w14:paraId="63DBC6DE"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20</w:t>
            </w:r>
          </w:p>
        </w:tc>
        <w:tc>
          <w:tcPr>
            <w:tcW w:w="1169" w:type="pct"/>
            <w:vAlign w:val="center"/>
            <w:hideMark/>
          </w:tcPr>
          <w:p w14:paraId="01690E97" w14:textId="77777777" w:rsidR="001420AA" w:rsidRPr="001420AA" w:rsidRDefault="001420AA" w:rsidP="001420AA">
            <w:pPr>
              <w:bidi w:val="0"/>
              <w:spacing w:after="0" w:line="240" w:lineRule="auto"/>
              <w:jc w:val="center"/>
              <w:rPr>
                <w:rFonts w:asciiTheme="majorBidi" w:eastAsia="Times New Roman" w:hAnsiTheme="majorBidi" w:cstheme="majorBidi"/>
                <w:color w:val="000000"/>
                <w:kern w:val="0"/>
                <w:sz w:val="24"/>
                <w:szCs w:val="24"/>
                <w14:ligatures w14:val="none"/>
              </w:rPr>
            </w:pPr>
            <w:r w:rsidRPr="001420AA">
              <w:rPr>
                <w:rFonts w:asciiTheme="majorBidi" w:eastAsia="Times New Roman" w:hAnsiTheme="majorBidi" w:cstheme="majorBidi"/>
                <w:color w:val="000000"/>
                <w:kern w:val="0"/>
                <w:sz w:val="24"/>
                <w:szCs w:val="24"/>
                <w14:ligatures w14:val="none"/>
              </w:rPr>
              <w:t>10.20%</w:t>
            </w:r>
          </w:p>
        </w:tc>
      </w:tr>
      <w:tr w:rsidR="001420AA" w:rsidRPr="001420AA" w14:paraId="310CC3CD" w14:textId="77777777" w:rsidTr="001420AA">
        <w:trPr>
          <w:trHeight w:val="20"/>
        </w:trPr>
        <w:tc>
          <w:tcPr>
            <w:tcW w:w="2958" w:type="pct"/>
            <w:gridSpan w:val="2"/>
            <w:shd w:val="clear" w:color="auto" w:fill="F2F2F2" w:themeFill="background1" w:themeFillShade="F2"/>
            <w:vAlign w:val="center"/>
            <w:hideMark/>
          </w:tcPr>
          <w:p w14:paraId="725BF32E" w14:textId="75D1853B"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Total</w:t>
            </w:r>
          </w:p>
        </w:tc>
        <w:tc>
          <w:tcPr>
            <w:tcW w:w="873" w:type="pct"/>
            <w:shd w:val="clear" w:color="auto" w:fill="F2F2F2" w:themeFill="background1" w:themeFillShade="F2"/>
            <w:vAlign w:val="center"/>
            <w:hideMark/>
          </w:tcPr>
          <w:p w14:paraId="4C8D264B"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196</w:t>
            </w:r>
          </w:p>
        </w:tc>
        <w:tc>
          <w:tcPr>
            <w:tcW w:w="1169" w:type="pct"/>
            <w:shd w:val="clear" w:color="auto" w:fill="F2F2F2" w:themeFill="background1" w:themeFillShade="F2"/>
            <w:vAlign w:val="center"/>
            <w:hideMark/>
          </w:tcPr>
          <w:p w14:paraId="5E02EB61" w14:textId="77777777" w:rsidR="001420AA" w:rsidRPr="001420AA" w:rsidRDefault="001420AA" w:rsidP="001420AA">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420AA">
              <w:rPr>
                <w:rFonts w:asciiTheme="majorBidi" w:eastAsia="Times New Roman" w:hAnsiTheme="majorBidi" w:cstheme="majorBidi"/>
                <w:b/>
                <w:bCs/>
                <w:color w:val="000000"/>
                <w:kern w:val="0"/>
                <w:sz w:val="24"/>
                <w:szCs w:val="24"/>
                <w14:ligatures w14:val="none"/>
              </w:rPr>
              <w:t>100%</w:t>
            </w:r>
          </w:p>
        </w:tc>
      </w:tr>
    </w:tbl>
    <w:p w14:paraId="7B3575F6" w14:textId="6F9D3A33" w:rsidR="00370164" w:rsidRDefault="001420AA" w:rsidP="00370164">
      <w:pPr>
        <w:bidi w:val="0"/>
        <w:spacing w:after="120" w:line="276" w:lineRule="auto"/>
        <w:ind w:firstLine="284"/>
        <w:jc w:val="both"/>
        <w:rPr>
          <w:rFonts w:asciiTheme="majorBidi" w:hAnsiTheme="majorBidi" w:cstheme="majorBidi"/>
          <w:sz w:val="24"/>
          <w:szCs w:val="24"/>
        </w:rPr>
      </w:pPr>
      <w:r>
        <w:rPr>
          <w:rFonts w:asciiTheme="majorBidi" w:hAnsiTheme="majorBidi" w:cstheme="majorBidi"/>
          <w:sz w:val="24"/>
          <w:szCs w:val="24"/>
        </w:rPr>
        <w:t>Resource: Researcher.</w:t>
      </w:r>
    </w:p>
    <w:p w14:paraId="5FD87645" w14:textId="0E3E284F" w:rsidR="00370164" w:rsidRDefault="00370164" w:rsidP="00370164">
      <w:pPr>
        <w:bidi w:val="0"/>
        <w:spacing w:after="120" w:line="276" w:lineRule="auto"/>
        <w:ind w:firstLine="284"/>
        <w:jc w:val="both"/>
        <w:rPr>
          <w:rFonts w:asciiTheme="majorBidi" w:hAnsiTheme="majorBidi" w:cstheme="majorBidi"/>
          <w:sz w:val="24"/>
          <w:szCs w:val="24"/>
        </w:rPr>
      </w:pPr>
    </w:p>
    <w:p w14:paraId="46641D9A" w14:textId="57B083C1" w:rsidR="00625F0C" w:rsidRDefault="00625F0C" w:rsidP="00625F0C">
      <w:pPr>
        <w:pStyle w:val="ad"/>
        <w:jc w:val="both"/>
      </w:pPr>
      <w:bookmarkStart w:id="145" w:name="_Toc214619907"/>
      <w:bookmarkStart w:id="146" w:name="_Toc214622039"/>
      <w:r>
        <w:t xml:space="preserve">Figure </w:t>
      </w:r>
      <w:r>
        <w:fldChar w:fldCharType="begin"/>
      </w:r>
      <w:r>
        <w:instrText xml:space="preserve"> SEQ Figure \* ARABIC </w:instrText>
      </w:r>
      <w:r>
        <w:fldChar w:fldCharType="separate"/>
      </w:r>
      <w:r w:rsidR="00CD4CCF">
        <w:t>4</w:t>
      </w:r>
      <w:r>
        <w:fldChar w:fldCharType="end"/>
      </w:r>
      <w:r>
        <w:t xml:space="preserve">: </w:t>
      </w:r>
      <w:r w:rsidRPr="00073BAE">
        <w:t>Distribution of the Sample by Gender</w:t>
      </w:r>
      <w:bookmarkEnd w:id="145"/>
      <w:bookmarkEnd w:id="146"/>
    </w:p>
    <w:p w14:paraId="019D201E" w14:textId="0A267C80" w:rsidR="00370164" w:rsidRDefault="00673971" w:rsidP="00370164">
      <w:pPr>
        <w:bidi w:val="0"/>
        <w:spacing w:after="120" w:line="276" w:lineRule="auto"/>
        <w:ind w:firstLine="284"/>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01830116" wp14:editId="0B6F8096">
            <wp:extent cx="5565913" cy="1709530"/>
            <wp:effectExtent l="0" t="0" r="15875" b="50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3F00622" w14:textId="77777777" w:rsidR="00625F0C" w:rsidRDefault="00625F0C" w:rsidP="00625F0C">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13D19553" w14:textId="77777777" w:rsidR="00625F0C" w:rsidRPr="00625F0C" w:rsidRDefault="00625F0C" w:rsidP="00625F0C">
      <w:pPr>
        <w:bidi w:val="0"/>
        <w:jc w:val="both"/>
        <w:rPr>
          <w:rFonts w:asciiTheme="majorBidi" w:hAnsiTheme="majorBidi" w:cstheme="majorBidi"/>
          <w:sz w:val="24"/>
          <w:szCs w:val="24"/>
        </w:rPr>
      </w:pPr>
      <w:r w:rsidRPr="00625F0C">
        <w:rPr>
          <w:rFonts w:asciiTheme="majorBidi" w:hAnsiTheme="majorBidi" w:cstheme="majorBidi"/>
          <w:sz w:val="24"/>
          <w:szCs w:val="24"/>
        </w:rPr>
        <w:t xml:space="preserve">The statistical results indicate that the number of males in the study sample is higher than the number of females. Male participants constituted </w:t>
      </w:r>
      <w:r w:rsidRPr="00625F0C">
        <w:rPr>
          <w:rFonts w:asciiTheme="majorBidi" w:hAnsiTheme="majorBidi" w:cstheme="majorBidi"/>
          <w:b/>
          <w:bCs/>
          <w:sz w:val="24"/>
          <w:szCs w:val="24"/>
        </w:rPr>
        <w:t>65%</w:t>
      </w:r>
      <w:r w:rsidRPr="00625F0C">
        <w:rPr>
          <w:rFonts w:asciiTheme="majorBidi" w:hAnsiTheme="majorBidi" w:cstheme="majorBidi"/>
          <w:sz w:val="24"/>
          <w:szCs w:val="24"/>
        </w:rPr>
        <w:t xml:space="preserve"> of the total sample, while female participants represented </w:t>
      </w:r>
      <w:r w:rsidRPr="00625F0C">
        <w:rPr>
          <w:rFonts w:asciiTheme="majorBidi" w:hAnsiTheme="majorBidi" w:cstheme="majorBidi"/>
          <w:b/>
          <w:bCs/>
          <w:sz w:val="24"/>
          <w:szCs w:val="24"/>
        </w:rPr>
        <w:t>35%</w:t>
      </w:r>
      <w:r w:rsidRPr="00625F0C">
        <w:rPr>
          <w:rFonts w:asciiTheme="majorBidi" w:hAnsiTheme="majorBidi" w:cstheme="majorBidi"/>
          <w:sz w:val="24"/>
          <w:szCs w:val="24"/>
        </w:rPr>
        <w:t>. This distribution suggests that the study population is predominantly male, which reflects the general employment structure in many banking institutions in Saudi Arabia, where male employees often form a larger proportion of the workforce.</w:t>
      </w:r>
    </w:p>
    <w:p w14:paraId="679E41D0" w14:textId="04FFC74A" w:rsidR="00B952AF" w:rsidRDefault="00B952AF" w:rsidP="00B952AF">
      <w:pPr>
        <w:pStyle w:val="ad"/>
        <w:jc w:val="both"/>
      </w:pPr>
      <w:bookmarkStart w:id="147" w:name="_Toc214619908"/>
      <w:bookmarkStart w:id="148" w:name="_Toc214622040"/>
      <w:r>
        <w:t xml:space="preserve">Figure </w:t>
      </w:r>
      <w:r>
        <w:fldChar w:fldCharType="begin"/>
      </w:r>
      <w:r>
        <w:instrText xml:space="preserve"> SEQ Figure \* ARABIC </w:instrText>
      </w:r>
      <w:r>
        <w:fldChar w:fldCharType="separate"/>
      </w:r>
      <w:r w:rsidR="00CD4CCF">
        <w:t>5</w:t>
      </w:r>
      <w:r>
        <w:fldChar w:fldCharType="end"/>
      </w:r>
      <w:r>
        <w:t xml:space="preserve">: </w:t>
      </w:r>
      <w:r w:rsidRPr="00D17AF1">
        <w:t>Distribution of the Sample by Age Group</w:t>
      </w:r>
      <w:bookmarkEnd w:id="147"/>
      <w:bookmarkEnd w:id="148"/>
    </w:p>
    <w:p w14:paraId="204EFADF" w14:textId="36DD98F4" w:rsidR="00370164" w:rsidRDefault="00FC1C2D" w:rsidP="00370164">
      <w:pPr>
        <w:bidi w:val="0"/>
        <w:spacing w:after="120" w:line="276" w:lineRule="auto"/>
        <w:ind w:firstLine="284"/>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6E419630" wp14:editId="52969BA6">
            <wp:extent cx="5589767" cy="1812898"/>
            <wp:effectExtent l="0" t="0" r="11430" b="165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39DE3F" w14:textId="77777777" w:rsidR="00B952AF" w:rsidRDefault="00B952AF" w:rsidP="00B952AF">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12725912" w14:textId="77777777" w:rsidR="00B952AF" w:rsidRPr="00B952AF" w:rsidRDefault="00B952AF" w:rsidP="00B952AF">
      <w:pPr>
        <w:bidi w:val="0"/>
        <w:jc w:val="both"/>
        <w:rPr>
          <w:rFonts w:asciiTheme="majorBidi" w:hAnsiTheme="majorBidi" w:cstheme="majorBidi"/>
          <w:sz w:val="24"/>
          <w:szCs w:val="24"/>
        </w:rPr>
      </w:pPr>
      <w:r w:rsidRPr="00B952AF">
        <w:rPr>
          <w:rFonts w:asciiTheme="majorBidi" w:hAnsiTheme="majorBidi" w:cstheme="majorBidi"/>
          <w:sz w:val="24"/>
          <w:szCs w:val="24"/>
        </w:rPr>
        <w:t>The statistical results show that the largest age group within the study sample falls between 26–35 years, representing 40% of all participants. This is followed by the 36–45 years group, which constitutes 30% of the sample. Meanwhile, 18–25 years accounted for 20% of respondents, indicating a notable presence of early-career employees. The 46–55 years category represented 9%, while the 56 years or older group had the smallest proportion at only 1%.</w:t>
      </w:r>
      <w:r w:rsidRPr="00B952AF">
        <w:rPr>
          <w:rFonts w:asciiTheme="majorBidi" w:hAnsiTheme="majorBidi" w:cstheme="majorBidi"/>
          <w:sz w:val="24"/>
          <w:szCs w:val="24"/>
        </w:rPr>
        <w:br/>
        <w:t>This age distribution reflects a workforce that is predominantly young to mid-career, which is common in large financial institutions where operational and sales-related roles are typically occupied by employees in these age ranges.</w:t>
      </w:r>
    </w:p>
    <w:p w14:paraId="72B9EE3C" w14:textId="5957CFD0" w:rsidR="00B952AF" w:rsidRDefault="00B952AF" w:rsidP="00B952AF">
      <w:pPr>
        <w:pStyle w:val="ad"/>
        <w:jc w:val="both"/>
      </w:pPr>
      <w:bookmarkStart w:id="149" w:name="_Toc214619909"/>
      <w:bookmarkStart w:id="150" w:name="_Toc214622041"/>
      <w:r>
        <w:t xml:space="preserve">Figure </w:t>
      </w:r>
      <w:r>
        <w:fldChar w:fldCharType="begin"/>
      </w:r>
      <w:r>
        <w:instrText xml:space="preserve"> SEQ Figure \* ARABIC </w:instrText>
      </w:r>
      <w:r>
        <w:fldChar w:fldCharType="separate"/>
      </w:r>
      <w:r w:rsidR="00CD4CCF">
        <w:t>6</w:t>
      </w:r>
      <w:r>
        <w:fldChar w:fldCharType="end"/>
      </w:r>
      <w:r>
        <w:t xml:space="preserve">: </w:t>
      </w:r>
      <w:r w:rsidRPr="00AE6A96">
        <w:t>Distribution of the Sample by Educational Level</w:t>
      </w:r>
      <w:bookmarkEnd w:id="149"/>
      <w:bookmarkEnd w:id="150"/>
    </w:p>
    <w:p w14:paraId="6AC319A0" w14:textId="78EF49A5" w:rsidR="00370164" w:rsidRPr="00B952AF" w:rsidRDefault="00B952AF" w:rsidP="00B952AF">
      <w:pPr>
        <w:bidi w:val="0"/>
        <w:spacing w:line="240" w:lineRule="auto"/>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0EE9375B" wp14:editId="4DA36176">
            <wp:extent cx="5589767" cy="1812898"/>
            <wp:effectExtent l="0" t="0" r="11430" b="1651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9535C91" w14:textId="77777777" w:rsidR="00403F2F" w:rsidRDefault="00403F2F" w:rsidP="00403F2F">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13BEA579" w14:textId="77777777" w:rsidR="00403F2F" w:rsidRPr="00403F2F" w:rsidRDefault="00403F2F" w:rsidP="00403F2F">
      <w:pPr>
        <w:bidi w:val="0"/>
        <w:jc w:val="both"/>
        <w:rPr>
          <w:rFonts w:asciiTheme="majorBidi" w:hAnsiTheme="majorBidi" w:cstheme="majorBidi"/>
          <w:sz w:val="24"/>
          <w:szCs w:val="24"/>
        </w:rPr>
      </w:pPr>
      <w:r w:rsidRPr="00403F2F">
        <w:rPr>
          <w:rFonts w:asciiTheme="majorBidi" w:hAnsiTheme="majorBidi" w:cstheme="majorBidi"/>
          <w:sz w:val="24"/>
          <w:szCs w:val="24"/>
        </w:rPr>
        <w:t>The statistical results reveal that the majority of participants in the study sample hold a Bachelor’s degree, representing 55% of the total respondents. This is followed by employees with a Master’s degree, who make up 25% of the sample. Additionally, 10% of the participants reported having a high school diploma or equivalent, while 5% hold a Doctoral degree. Another 5% of the respondents indicated having other types of educational qualifications.</w:t>
      </w:r>
      <w:r w:rsidRPr="00403F2F">
        <w:rPr>
          <w:rFonts w:asciiTheme="majorBidi" w:hAnsiTheme="majorBidi" w:cstheme="majorBidi"/>
          <w:sz w:val="24"/>
          <w:szCs w:val="24"/>
        </w:rPr>
        <w:br/>
        <w:t>This distribution highlights that the workforce at Al Rajhi Bank is predominantly composed of individuals with higher education degrees, particularly at the bachelor’s and master’s levels, reflecting the bank’s emphasis on academic and professional qualifications in its recruitment and development practices.</w:t>
      </w:r>
    </w:p>
    <w:p w14:paraId="4466F9A1" w14:textId="1A8A3CB3" w:rsidR="00403F2F" w:rsidRDefault="00403F2F" w:rsidP="00403F2F">
      <w:pPr>
        <w:pStyle w:val="ad"/>
        <w:jc w:val="both"/>
      </w:pPr>
      <w:bookmarkStart w:id="151" w:name="_Toc214619910"/>
      <w:bookmarkStart w:id="152" w:name="_Toc214622042"/>
      <w:r>
        <w:t xml:space="preserve">Figure </w:t>
      </w:r>
      <w:r>
        <w:fldChar w:fldCharType="begin"/>
      </w:r>
      <w:r>
        <w:instrText xml:space="preserve"> SEQ Figure \* ARABIC </w:instrText>
      </w:r>
      <w:r>
        <w:fldChar w:fldCharType="separate"/>
      </w:r>
      <w:r w:rsidR="00CD4CCF">
        <w:t>7</w:t>
      </w:r>
      <w:r>
        <w:fldChar w:fldCharType="end"/>
      </w:r>
      <w:r>
        <w:t xml:space="preserve">: </w:t>
      </w:r>
      <w:r w:rsidRPr="00EC5C99">
        <w:t>Distribution of the Sample by Length of Employment</w:t>
      </w:r>
      <w:bookmarkEnd w:id="151"/>
      <w:bookmarkEnd w:id="152"/>
    </w:p>
    <w:p w14:paraId="66553D6C" w14:textId="24C014F5" w:rsidR="00370164" w:rsidRPr="00B952AF" w:rsidRDefault="00403F2F" w:rsidP="00B952AF">
      <w:pPr>
        <w:bidi w:val="0"/>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77F0B824" wp14:editId="2B53F331">
            <wp:extent cx="5589767" cy="1812898"/>
            <wp:effectExtent l="0" t="0" r="11430" b="165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98C5E82" w14:textId="77777777" w:rsidR="00403F2F" w:rsidRDefault="00403F2F" w:rsidP="00403F2F">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71A9FFDD" w14:textId="77777777" w:rsidR="00403F2F" w:rsidRPr="00403F2F" w:rsidRDefault="00403F2F" w:rsidP="00403F2F">
      <w:pPr>
        <w:bidi w:val="0"/>
        <w:jc w:val="both"/>
        <w:rPr>
          <w:rFonts w:asciiTheme="majorBidi" w:hAnsiTheme="majorBidi" w:cstheme="majorBidi"/>
          <w:sz w:val="24"/>
          <w:szCs w:val="24"/>
        </w:rPr>
      </w:pPr>
      <w:r w:rsidRPr="00403F2F">
        <w:rPr>
          <w:rFonts w:asciiTheme="majorBidi" w:hAnsiTheme="majorBidi" w:cstheme="majorBidi"/>
          <w:sz w:val="24"/>
          <w:szCs w:val="24"/>
        </w:rPr>
        <w:t xml:space="preserve">The statistical results show that the largest proportion of participants have been employed at Al Rajhi Bank for </w:t>
      </w:r>
      <w:r w:rsidRPr="00403F2F">
        <w:rPr>
          <w:rFonts w:asciiTheme="majorBidi" w:hAnsiTheme="majorBidi" w:cstheme="majorBidi"/>
          <w:b/>
          <w:bCs/>
          <w:sz w:val="24"/>
          <w:szCs w:val="24"/>
        </w:rPr>
        <w:t>1–3 years</w:t>
      </w:r>
      <w:r w:rsidRPr="00403F2F">
        <w:rPr>
          <w:rFonts w:asciiTheme="majorBidi" w:hAnsiTheme="majorBidi" w:cstheme="majorBidi"/>
          <w:sz w:val="24"/>
          <w:szCs w:val="24"/>
        </w:rPr>
        <w:t xml:space="preserve">, representing </w:t>
      </w:r>
      <w:r w:rsidRPr="00403F2F">
        <w:rPr>
          <w:rFonts w:asciiTheme="majorBidi" w:hAnsiTheme="majorBidi" w:cstheme="majorBidi"/>
          <w:b/>
          <w:bCs/>
          <w:sz w:val="24"/>
          <w:szCs w:val="24"/>
        </w:rPr>
        <w:t>30%</w:t>
      </w:r>
      <w:r w:rsidRPr="00403F2F">
        <w:rPr>
          <w:rFonts w:asciiTheme="majorBidi" w:hAnsiTheme="majorBidi" w:cstheme="majorBidi"/>
          <w:sz w:val="24"/>
          <w:szCs w:val="24"/>
        </w:rPr>
        <w:t xml:space="preserve"> of the total sample. This is followed by employees with </w:t>
      </w:r>
      <w:r w:rsidRPr="00403F2F">
        <w:rPr>
          <w:rFonts w:asciiTheme="majorBidi" w:hAnsiTheme="majorBidi" w:cstheme="majorBidi"/>
          <w:b/>
          <w:bCs/>
          <w:sz w:val="24"/>
          <w:szCs w:val="24"/>
        </w:rPr>
        <w:t>4–6 years</w:t>
      </w:r>
      <w:r w:rsidRPr="00403F2F">
        <w:rPr>
          <w:rFonts w:asciiTheme="majorBidi" w:hAnsiTheme="majorBidi" w:cstheme="majorBidi"/>
          <w:sz w:val="24"/>
          <w:szCs w:val="24"/>
        </w:rPr>
        <w:t xml:space="preserve"> of experience, who constitute </w:t>
      </w:r>
      <w:r w:rsidRPr="00403F2F">
        <w:rPr>
          <w:rFonts w:asciiTheme="majorBidi" w:hAnsiTheme="majorBidi" w:cstheme="majorBidi"/>
          <w:b/>
          <w:bCs/>
          <w:sz w:val="24"/>
          <w:szCs w:val="24"/>
        </w:rPr>
        <w:t>25%</w:t>
      </w:r>
      <w:r w:rsidRPr="00403F2F">
        <w:rPr>
          <w:rFonts w:asciiTheme="majorBidi" w:hAnsiTheme="majorBidi" w:cstheme="majorBidi"/>
          <w:sz w:val="24"/>
          <w:szCs w:val="24"/>
        </w:rPr>
        <w:t xml:space="preserve">, indicating a strong presence of mid-tenure staff within the organization. Additionally, </w:t>
      </w:r>
      <w:r w:rsidRPr="00403F2F">
        <w:rPr>
          <w:rFonts w:asciiTheme="majorBidi" w:hAnsiTheme="majorBidi" w:cstheme="majorBidi"/>
          <w:b/>
          <w:bCs/>
          <w:sz w:val="24"/>
          <w:szCs w:val="24"/>
        </w:rPr>
        <w:t>7–10 years</w:t>
      </w:r>
      <w:r w:rsidRPr="00403F2F">
        <w:rPr>
          <w:rFonts w:asciiTheme="majorBidi" w:hAnsiTheme="majorBidi" w:cstheme="majorBidi"/>
          <w:sz w:val="24"/>
          <w:szCs w:val="24"/>
        </w:rPr>
        <w:t xml:space="preserve"> of experience accounted for </w:t>
      </w:r>
      <w:r w:rsidRPr="00403F2F">
        <w:rPr>
          <w:rFonts w:asciiTheme="majorBidi" w:hAnsiTheme="majorBidi" w:cstheme="majorBidi"/>
          <w:b/>
          <w:bCs/>
          <w:sz w:val="24"/>
          <w:szCs w:val="24"/>
        </w:rPr>
        <w:t>18%</w:t>
      </w:r>
      <w:r w:rsidRPr="00403F2F">
        <w:rPr>
          <w:rFonts w:asciiTheme="majorBidi" w:hAnsiTheme="majorBidi" w:cstheme="majorBidi"/>
          <w:sz w:val="24"/>
          <w:szCs w:val="24"/>
        </w:rPr>
        <w:t xml:space="preserve">, while </w:t>
      </w:r>
      <w:r w:rsidRPr="00403F2F">
        <w:rPr>
          <w:rFonts w:asciiTheme="majorBidi" w:hAnsiTheme="majorBidi" w:cstheme="majorBidi"/>
          <w:b/>
          <w:bCs/>
          <w:sz w:val="24"/>
          <w:szCs w:val="24"/>
        </w:rPr>
        <w:t>15%</w:t>
      </w:r>
      <w:r w:rsidRPr="00403F2F">
        <w:rPr>
          <w:rFonts w:asciiTheme="majorBidi" w:hAnsiTheme="majorBidi" w:cstheme="majorBidi"/>
          <w:sz w:val="24"/>
          <w:szCs w:val="24"/>
        </w:rPr>
        <w:t xml:space="preserve"> of respondents had been employed for </w:t>
      </w:r>
      <w:r w:rsidRPr="00403F2F">
        <w:rPr>
          <w:rFonts w:asciiTheme="majorBidi" w:hAnsiTheme="majorBidi" w:cstheme="majorBidi"/>
          <w:b/>
          <w:bCs/>
          <w:sz w:val="24"/>
          <w:szCs w:val="24"/>
        </w:rPr>
        <w:t>less than 1 year</w:t>
      </w:r>
      <w:r w:rsidRPr="00403F2F">
        <w:rPr>
          <w:rFonts w:asciiTheme="majorBidi" w:hAnsiTheme="majorBidi" w:cstheme="majorBidi"/>
          <w:sz w:val="24"/>
          <w:szCs w:val="24"/>
        </w:rPr>
        <w:t xml:space="preserve">, reflecting ongoing recruitment and workforce expansion. The smallest group consisted of employees with </w:t>
      </w:r>
      <w:r w:rsidRPr="00403F2F">
        <w:rPr>
          <w:rFonts w:asciiTheme="majorBidi" w:hAnsiTheme="majorBidi" w:cstheme="majorBidi"/>
          <w:b/>
          <w:bCs/>
          <w:sz w:val="24"/>
          <w:szCs w:val="24"/>
        </w:rPr>
        <w:t>more than 10 years</w:t>
      </w:r>
      <w:r w:rsidRPr="00403F2F">
        <w:rPr>
          <w:rFonts w:asciiTheme="majorBidi" w:hAnsiTheme="majorBidi" w:cstheme="majorBidi"/>
          <w:sz w:val="24"/>
          <w:szCs w:val="24"/>
        </w:rPr>
        <w:t xml:space="preserve"> of employment, representing </w:t>
      </w:r>
      <w:r w:rsidRPr="00403F2F">
        <w:rPr>
          <w:rFonts w:asciiTheme="majorBidi" w:hAnsiTheme="majorBidi" w:cstheme="majorBidi"/>
          <w:b/>
          <w:bCs/>
          <w:sz w:val="24"/>
          <w:szCs w:val="24"/>
        </w:rPr>
        <w:t>12%</w:t>
      </w:r>
      <w:r w:rsidRPr="00403F2F">
        <w:rPr>
          <w:rFonts w:asciiTheme="majorBidi" w:hAnsiTheme="majorBidi" w:cstheme="majorBidi"/>
          <w:sz w:val="24"/>
          <w:szCs w:val="24"/>
        </w:rPr>
        <w:t xml:space="preserve"> of the sample.</w:t>
      </w:r>
      <w:r w:rsidRPr="00403F2F">
        <w:rPr>
          <w:rFonts w:asciiTheme="majorBidi" w:hAnsiTheme="majorBidi" w:cstheme="majorBidi"/>
          <w:sz w:val="24"/>
          <w:szCs w:val="24"/>
        </w:rPr>
        <w:br/>
        <w:t>This distribution demonstrates that the sample includes a balanced mix of early-career, mid-career, and long-tenured employees, providing a comprehensive representation of different experience levels across the bank’s operational and risk-related functions.</w:t>
      </w:r>
    </w:p>
    <w:p w14:paraId="21B28B2A" w14:textId="250E8E01" w:rsidR="00403F2F" w:rsidRDefault="00403F2F" w:rsidP="00403F2F">
      <w:pPr>
        <w:pStyle w:val="ad"/>
        <w:jc w:val="both"/>
      </w:pPr>
      <w:bookmarkStart w:id="153" w:name="_Toc214619911"/>
      <w:bookmarkStart w:id="154" w:name="_Toc214622043"/>
      <w:r>
        <w:t xml:space="preserve">Figure </w:t>
      </w:r>
      <w:r>
        <w:fldChar w:fldCharType="begin"/>
      </w:r>
      <w:r>
        <w:instrText xml:space="preserve"> SEQ Figure \* ARABIC </w:instrText>
      </w:r>
      <w:r>
        <w:fldChar w:fldCharType="separate"/>
      </w:r>
      <w:r w:rsidR="00CD4CCF">
        <w:t>8</w:t>
      </w:r>
      <w:r>
        <w:fldChar w:fldCharType="end"/>
      </w:r>
      <w:r>
        <w:t xml:space="preserve">: </w:t>
      </w:r>
      <w:r w:rsidRPr="00C7536A">
        <w:t>Distribution of the Sample by Job Level</w:t>
      </w:r>
      <w:bookmarkEnd w:id="153"/>
      <w:bookmarkEnd w:id="154"/>
    </w:p>
    <w:p w14:paraId="03E7D674" w14:textId="10A1D726" w:rsidR="00370164" w:rsidRPr="00B952AF" w:rsidRDefault="00403F2F" w:rsidP="00B952AF">
      <w:pPr>
        <w:bidi w:val="0"/>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2BC7859A" wp14:editId="19AED209">
            <wp:extent cx="5589767" cy="1812898"/>
            <wp:effectExtent l="0" t="0" r="11430" b="1651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C06717" w14:textId="77777777" w:rsidR="00403F2F" w:rsidRDefault="00403F2F" w:rsidP="00403F2F">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594362B2" w14:textId="77777777" w:rsidR="00403F2F" w:rsidRPr="00403F2F" w:rsidRDefault="00403F2F" w:rsidP="00403F2F">
      <w:pPr>
        <w:bidi w:val="0"/>
        <w:jc w:val="both"/>
        <w:rPr>
          <w:rFonts w:asciiTheme="majorBidi" w:hAnsiTheme="majorBidi" w:cstheme="majorBidi"/>
          <w:sz w:val="24"/>
          <w:szCs w:val="24"/>
        </w:rPr>
      </w:pPr>
      <w:r w:rsidRPr="00403F2F">
        <w:rPr>
          <w:rFonts w:asciiTheme="majorBidi" w:hAnsiTheme="majorBidi" w:cstheme="majorBidi"/>
          <w:sz w:val="24"/>
          <w:szCs w:val="24"/>
        </w:rPr>
        <w:t>The statistical results indicate that the largest proportion of respondents occupy mid-level positions, representing 35% of the total sample. This is followed by entry-level employees, who constitute 30%, reflecting a substantial segment of early-career staff within Al Rajhi Bank. Employees in senior-level positions account for 15% of the sample, while those in management roles represent 12%, indicating a noticeable presence of supervisory and managerial responsibilities in the surveyed group. In addition, 5% of the respondents hold executive positions, and 3% fall under the “other” category, which may include specialized or non-standard roles.</w:t>
      </w:r>
      <w:r w:rsidRPr="00403F2F">
        <w:rPr>
          <w:rFonts w:asciiTheme="majorBidi" w:hAnsiTheme="majorBidi" w:cstheme="majorBidi"/>
          <w:sz w:val="24"/>
          <w:szCs w:val="24"/>
        </w:rPr>
        <w:br/>
        <w:t>Overall, this distribution demonstrates that the sample covers a wide range of organizational levels, ensuring that perceptions of the functional relationship between account managers and sales teams, as well as risk-management effectiveness, are captured from different hierarchical perspectives within the bank.</w:t>
      </w:r>
    </w:p>
    <w:p w14:paraId="78FB54D2" w14:textId="0903B6CB" w:rsidR="001A49D2" w:rsidRDefault="001A49D2" w:rsidP="001A49D2">
      <w:pPr>
        <w:pStyle w:val="ad"/>
        <w:jc w:val="both"/>
      </w:pPr>
      <w:bookmarkStart w:id="155" w:name="_Toc214619912"/>
      <w:bookmarkStart w:id="156" w:name="_Toc214622044"/>
      <w:r>
        <w:t xml:space="preserve">Figure </w:t>
      </w:r>
      <w:r>
        <w:fldChar w:fldCharType="begin"/>
      </w:r>
      <w:r>
        <w:instrText xml:space="preserve"> SEQ Figure \* ARABIC </w:instrText>
      </w:r>
      <w:r>
        <w:fldChar w:fldCharType="separate"/>
      </w:r>
      <w:r w:rsidR="00CD4CCF">
        <w:t>9</w:t>
      </w:r>
      <w:r>
        <w:fldChar w:fldCharType="end"/>
      </w:r>
      <w:r>
        <w:t xml:space="preserve">: </w:t>
      </w:r>
      <w:r w:rsidRPr="008801BC">
        <w:t>Distribution of the Sample by Department</w:t>
      </w:r>
      <w:bookmarkEnd w:id="155"/>
      <w:bookmarkEnd w:id="156"/>
    </w:p>
    <w:p w14:paraId="5290CAE9" w14:textId="4CC8FAD9" w:rsidR="00370164" w:rsidRPr="00403F2F" w:rsidRDefault="001A49D2" w:rsidP="00B952AF">
      <w:pPr>
        <w:bidi w:val="0"/>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554C3671" wp14:editId="58FFE178">
            <wp:extent cx="5589767" cy="1812898"/>
            <wp:effectExtent l="0" t="0" r="11430" b="1651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A188534" w14:textId="77777777" w:rsidR="001A49D2" w:rsidRDefault="001A49D2" w:rsidP="001A49D2">
      <w:pPr>
        <w:bidi w:val="0"/>
        <w:spacing w:after="120" w:line="276" w:lineRule="auto"/>
        <w:ind w:firstLine="284"/>
        <w:jc w:val="right"/>
        <w:rPr>
          <w:rFonts w:asciiTheme="majorBidi" w:hAnsiTheme="majorBidi" w:cstheme="majorBidi"/>
          <w:sz w:val="24"/>
          <w:szCs w:val="24"/>
        </w:rPr>
      </w:pPr>
      <w:r>
        <w:rPr>
          <w:rFonts w:asciiTheme="majorBidi" w:hAnsiTheme="majorBidi" w:cstheme="majorBidi"/>
          <w:sz w:val="24"/>
          <w:szCs w:val="24"/>
        </w:rPr>
        <w:t>Resource: Researcher.</w:t>
      </w:r>
    </w:p>
    <w:p w14:paraId="0E5C18E6" w14:textId="77777777" w:rsidR="001A49D2" w:rsidRPr="001A49D2" w:rsidRDefault="001A49D2" w:rsidP="001A49D2">
      <w:pPr>
        <w:bidi w:val="0"/>
        <w:jc w:val="both"/>
        <w:rPr>
          <w:rFonts w:asciiTheme="majorBidi" w:hAnsiTheme="majorBidi" w:cstheme="majorBidi"/>
          <w:sz w:val="24"/>
          <w:szCs w:val="24"/>
        </w:rPr>
      </w:pPr>
      <w:r w:rsidRPr="001A49D2">
        <w:rPr>
          <w:rFonts w:asciiTheme="majorBidi" w:hAnsiTheme="majorBidi" w:cstheme="majorBidi"/>
          <w:sz w:val="24"/>
          <w:szCs w:val="24"/>
        </w:rPr>
        <w:t>The statistical results show that the highest proportion of respondents work in Account Management / Sales, representing 35% of the total sample. Employees in Risk Management / Compliance and Operations each account for 20%, indicating a strong representation of both risk-focused and process-focused functions. In addition, 15% of participants belong to IT / Technology, reflecting the growing importance of digital infrastructure and systems in supporting frontline and risk activities. Finally, 10% of the respondents are employed in Finance / Other departments. This distribution demonstrates that the sample covers all key functional areas involved in client origination, monitoring, and risk control at Al Rajhi Bank, which strengthens the relevance of the findings to cross-functional collaboration and risk-management effectiveness.</w:t>
      </w:r>
    </w:p>
    <w:p w14:paraId="7134533E" w14:textId="77777777" w:rsidR="001A49D2" w:rsidRPr="00942C8F" w:rsidRDefault="001A49D2" w:rsidP="001A49D2">
      <w:pPr>
        <w:pStyle w:val="2"/>
      </w:pPr>
      <w:bookmarkStart w:id="157" w:name="_Toc174813434"/>
      <w:bookmarkStart w:id="158" w:name="_Toc214621188"/>
      <w:r w:rsidRPr="00942C8F">
        <w:t>Validity &amp; reliability tests for the questionnaires</w:t>
      </w:r>
      <w:bookmarkEnd w:id="157"/>
      <w:bookmarkEnd w:id="158"/>
    </w:p>
    <w:p w14:paraId="1800BF10" w14:textId="2E3C14B7" w:rsidR="00C3486F" w:rsidRDefault="00C3486F" w:rsidP="00C3486F">
      <w:pPr>
        <w:pStyle w:val="ad"/>
      </w:pPr>
      <w:bookmarkStart w:id="159" w:name="_Toc214622016"/>
      <w:r>
        <w:t xml:space="preserve">Table </w:t>
      </w:r>
      <w:r>
        <w:fldChar w:fldCharType="begin"/>
      </w:r>
      <w:r>
        <w:instrText xml:space="preserve"> SEQ Table \* ARABIC </w:instrText>
      </w:r>
      <w:r>
        <w:fldChar w:fldCharType="separate"/>
      </w:r>
      <w:r w:rsidR="00CD4CCF">
        <w:t>10</w:t>
      </w:r>
      <w:r>
        <w:fldChar w:fldCharType="end"/>
      </w:r>
      <w:r>
        <w:rPr>
          <w:rFonts w:hint="cs"/>
          <w:rtl/>
          <w:lang w:bidi="ar-EG"/>
        </w:rPr>
        <w:t xml:space="preserve">: </w:t>
      </w:r>
      <w:r w:rsidRPr="00DD1049">
        <w:rPr>
          <w:lang w:bidi="ar-EG"/>
        </w:rPr>
        <w:t>Measurement model for the study variables</w:t>
      </w:r>
      <w:bookmarkEnd w:id="159"/>
    </w:p>
    <w:tbl>
      <w:tblPr>
        <w:tblStyle w:val="ae"/>
        <w:tblW w:w="0" w:type="auto"/>
        <w:tblLook w:val="04A0" w:firstRow="1" w:lastRow="0" w:firstColumn="1" w:lastColumn="0" w:noHBand="0" w:noVBand="1"/>
      </w:tblPr>
      <w:tblGrid>
        <w:gridCol w:w="1883"/>
        <w:gridCol w:w="1873"/>
        <w:gridCol w:w="779"/>
        <w:gridCol w:w="1053"/>
        <w:gridCol w:w="957"/>
        <w:gridCol w:w="672"/>
        <w:gridCol w:w="666"/>
        <w:gridCol w:w="589"/>
        <w:gridCol w:w="589"/>
      </w:tblGrid>
      <w:tr w:rsidR="009C38FD" w:rsidRPr="00110939" w14:paraId="74CB68E1" w14:textId="77777777" w:rsidTr="009C38FD">
        <w:tc>
          <w:tcPr>
            <w:tcW w:w="0" w:type="auto"/>
            <w:shd w:val="clear" w:color="auto" w:fill="D9D9D9" w:themeFill="background1" w:themeFillShade="D9"/>
            <w:vAlign w:val="center"/>
          </w:tcPr>
          <w:p w14:paraId="09932C56" w14:textId="77777777" w:rsidR="009C38FD" w:rsidRPr="00110939" w:rsidRDefault="009C38FD" w:rsidP="00110939">
            <w:pPr>
              <w:bidi w:val="0"/>
              <w:jc w:val="center"/>
              <w:rPr>
                <w:rFonts w:asciiTheme="majorBidi" w:hAnsiTheme="majorBidi" w:cstheme="majorBidi"/>
                <w:noProof/>
                <w:sz w:val="20"/>
                <w:szCs w:val="20"/>
              </w:rPr>
            </w:pPr>
            <w:r w:rsidRPr="00110939">
              <w:rPr>
                <w:rFonts w:asciiTheme="majorBidi" w:hAnsiTheme="majorBidi" w:cstheme="majorBidi"/>
                <w:noProof/>
                <w:sz w:val="20"/>
                <w:szCs w:val="20"/>
              </w:rPr>
              <w:t>Variable</w:t>
            </w:r>
          </w:p>
        </w:tc>
        <w:tc>
          <w:tcPr>
            <w:tcW w:w="0" w:type="auto"/>
            <w:shd w:val="clear" w:color="auto" w:fill="D9D9D9" w:themeFill="background1" w:themeFillShade="D9"/>
            <w:vAlign w:val="center"/>
          </w:tcPr>
          <w:p w14:paraId="6E18A2FA" w14:textId="77777777" w:rsidR="009C38FD" w:rsidRPr="00110939" w:rsidRDefault="009C38FD" w:rsidP="00110939">
            <w:pPr>
              <w:bidi w:val="0"/>
              <w:jc w:val="center"/>
              <w:rPr>
                <w:rFonts w:asciiTheme="majorBidi" w:hAnsiTheme="majorBidi" w:cstheme="majorBidi"/>
                <w:sz w:val="20"/>
                <w:szCs w:val="20"/>
                <w:lang w:bidi="ar-EG"/>
              </w:rPr>
            </w:pPr>
            <w:r w:rsidRPr="00110939">
              <w:rPr>
                <w:rFonts w:asciiTheme="majorBidi" w:hAnsiTheme="majorBidi" w:cstheme="majorBidi"/>
                <w:sz w:val="20"/>
                <w:szCs w:val="20"/>
                <w:lang w:bidi="ar-EG"/>
              </w:rPr>
              <w:t>Dimensions</w:t>
            </w:r>
          </w:p>
        </w:tc>
        <w:tc>
          <w:tcPr>
            <w:tcW w:w="0" w:type="auto"/>
            <w:shd w:val="clear" w:color="auto" w:fill="D9D9D9" w:themeFill="background1" w:themeFillShade="D9"/>
            <w:vAlign w:val="center"/>
          </w:tcPr>
          <w:p w14:paraId="42313274" w14:textId="77777777" w:rsidR="009C38FD" w:rsidRPr="00110939" w:rsidRDefault="009C38FD" w:rsidP="00110939">
            <w:pPr>
              <w:bidi w:val="0"/>
              <w:jc w:val="center"/>
              <w:rPr>
                <w:rFonts w:ascii="Arial" w:eastAsia="Times New Roman" w:hAnsi="Arial" w:cs="Arial"/>
                <w:color w:val="264A60"/>
                <w:sz w:val="20"/>
                <w:szCs w:val="20"/>
              </w:rPr>
            </w:pPr>
            <w:r w:rsidRPr="00110939">
              <w:rPr>
                <w:rFonts w:asciiTheme="majorBidi" w:hAnsiTheme="majorBidi" w:cstheme="majorBidi"/>
                <w:noProof/>
                <w:sz w:val="20"/>
                <w:szCs w:val="20"/>
              </w:rPr>
              <w:t>Items</w:t>
            </w:r>
          </w:p>
        </w:tc>
        <w:tc>
          <w:tcPr>
            <w:tcW w:w="0" w:type="auto"/>
            <w:shd w:val="clear" w:color="auto" w:fill="D9D9D9" w:themeFill="background1" w:themeFillShade="D9"/>
            <w:vAlign w:val="center"/>
          </w:tcPr>
          <w:p w14:paraId="746959B0" w14:textId="77777777" w:rsidR="009C38FD" w:rsidRPr="00110939" w:rsidRDefault="009C38FD" w:rsidP="00110939">
            <w:pPr>
              <w:bidi w:val="0"/>
              <w:jc w:val="center"/>
              <w:rPr>
                <w:rFonts w:ascii="Arial" w:hAnsi="Arial" w:cs="Arial"/>
                <w:color w:val="010205"/>
                <w:sz w:val="20"/>
                <w:szCs w:val="20"/>
              </w:rPr>
            </w:pPr>
            <w:r w:rsidRPr="00110939">
              <w:rPr>
                <w:rFonts w:asciiTheme="majorBidi" w:hAnsiTheme="majorBidi" w:cstheme="majorBidi"/>
                <w:noProof/>
                <w:sz w:val="20"/>
                <w:szCs w:val="20"/>
              </w:rPr>
              <w:t>Std. Deviation</w:t>
            </w:r>
          </w:p>
        </w:tc>
        <w:tc>
          <w:tcPr>
            <w:tcW w:w="0" w:type="auto"/>
            <w:shd w:val="clear" w:color="auto" w:fill="D9D9D9" w:themeFill="background1" w:themeFillShade="D9"/>
            <w:vAlign w:val="center"/>
          </w:tcPr>
          <w:p w14:paraId="08A2B512" w14:textId="77777777" w:rsidR="009C38FD" w:rsidRPr="00110939" w:rsidRDefault="009C38FD" w:rsidP="00110939">
            <w:pPr>
              <w:bidi w:val="0"/>
              <w:jc w:val="center"/>
              <w:rPr>
                <w:rFonts w:asciiTheme="majorBidi" w:hAnsiTheme="majorBidi" w:cstheme="majorBidi"/>
                <w:noProof/>
                <w:sz w:val="20"/>
                <w:szCs w:val="20"/>
              </w:rPr>
            </w:pPr>
            <w:r w:rsidRPr="00110939">
              <w:rPr>
                <w:rFonts w:asciiTheme="majorBidi" w:hAnsiTheme="majorBidi" w:cstheme="majorBidi"/>
                <w:noProof/>
                <w:sz w:val="20"/>
                <w:szCs w:val="20"/>
              </w:rPr>
              <w:t>Factor Loading</w:t>
            </w:r>
          </w:p>
        </w:tc>
        <w:tc>
          <w:tcPr>
            <w:tcW w:w="0" w:type="auto"/>
            <w:shd w:val="clear" w:color="auto" w:fill="D9D9D9" w:themeFill="background1" w:themeFillShade="D9"/>
          </w:tcPr>
          <w:p w14:paraId="36BB2995" w14:textId="2043DBB4" w:rsidR="009C38FD" w:rsidRPr="00110939" w:rsidRDefault="009C38FD" w:rsidP="00110939">
            <w:pPr>
              <w:bidi w:val="0"/>
              <w:jc w:val="center"/>
              <w:rPr>
                <w:rFonts w:asciiTheme="majorBidi" w:hAnsiTheme="majorBidi" w:cstheme="majorBidi"/>
                <w:noProof/>
                <w:sz w:val="20"/>
                <w:szCs w:val="20"/>
              </w:rPr>
            </w:pPr>
            <w:r>
              <w:rPr>
                <w:rFonts w:asciiTheme="majorBidi" w:hAnsiTheme="majorBidi" w:cstheme="majorBidi"/>
                <w:noProof/>
                <w:sz w:val="20"/>
                <w:szCs w:val="20"/>
              </w:rPr>
              <w:t>Mean</w:t>
            </w:r>
          </w:p>
        </w:tc>
        <w:tc>
          <w:tcPr>
            <w:tcW w:w="0" w:type="auto"/>
            <w:shd w:val="clear" w:color="auto" w:fill="D9D9D9" w:themeFill="background1" w:themeFillShade="D9"/>
            <w:vAlign w:val="center"/>
          </w:tcPr>
          <w:p w14:paraId="65091807" w14:textId="5F861AB3" w:rsidR="009C38FD" w:rsidRPr="00110939" w:rsidRDefault="009C38FD" w:rsidP="00110939">
            <w:pPr>
              <w:bidi w:val="0"/>
              <w:jc w:val="center"/>
              <w:rPr>
                <w:rFonts w:asciiTheme="majorBidi" w:hAnsiTheme="majorBidi" w:cstheme="majorBidi"/>
                <w:noProof/>
                <w:sz w:val="20"/>
                <w:szCs w:val="20"/>
              </w:rPr>
            </w:pPr>
            <w:r w:rsidRPr="00110939">
              <w:rPr>
                <w:rFonts w:asciiTheme="majorBidi" w:hAnsiTheme="majorBidi" w:cstheme="majorBidi"/>
                <w:noProof/>
                <w:sz w:val="20"/>
                <w:szCs w:val="20"/>
              </w:rPr>
              <w:t>AVE</w:t>
            </w:r>
          </w:p>
        </w:tc>
        <w:tc>
          <w:tcPr>
            <w:tcW w:w="0" w:type="auto"/>
            <w:gridSpan w:val="2"/>
            <w:shd w:val="clear" w:color="auto" w:fill="D9D9D9" w:themeFill="background1" w:themeFillShade="D9"/>
            <w:vAlign w:val="center"/>
          </w:tcPr>
          <w:p w14:paraId="28EBAFFE" w14:textId="77777777" w:rsidR="009C38FD" w:rsidRPr="00110939" w:rsidRDefault="009C38FD" w:rsidP="00110939">
            <w:pPr>
              <w:bidi w:val="0"/>
              <w:jc w:val="center"/>
              <w:rPr>
                <w:rFonts w:asciiTheme="majorBidi" w:hAnsiTheme="majorBidi" w:cstheme="majorBidi"/>
                <w:noProof/>
                <w:sz w:val="20"/>
                <w:szCs w:val="20"/>
              </w:rPr>
            </w:pPr>
            <w:r w:rsidRPr="00110939">
              <w:rPr>
                <w:rFonts w:asciiTheme="majorBidi" w:hAnsiTheme="majorBidi" w:cstheme="majorBidi"/>
                <w:noProof/>
                <w:sz w:val="20"/>
                <w:szCs w:val="20"/>
              </w:rPr>
              <w:t>Cronbach's Alpha</w:t>
            </w:r>
          </w:p>
        </w:tc>
      </w:tr>
      <w:tr w:rsidR="002122BE" w:rsidRPr="00110939" w14:paraId="6A8ED83B" w14:textId="77777777" w:rsidTr="00082D78">
        <w:tc>
          <w:tcPr>
            <w:tcW w:w="0" w:type="auto"/>
            <w:vMerge w:val="restart"/>
            <w:vAlign w:val="center"/>
          </w:tcPr>
          <w:p w14:paraId="3A837620" w14:textId="5B014ACB" w:rsidR="002122BE" w:rsidRPr="00110939" w:rsidRDefault="002122BE" w:rsidP="00BD6960">
            <w:pPr>
              <w:bidi w:val="0"/>
              <w:jc w:val="center"/>
              <w:rPr>
                <w:rFonts w:asciiTheme="majorBidi" w:hAnsiTheme="majorBidi" w:cstheme="majorBidi"/>
                <w:noProof/>
                <w:sz w:val="20"/>
                <w:szCs w:val="20"/>
              </w:rPr>
            </w:pPr>
            <w:r w:rsidRPr="00110939">
              <w:rPr>
                <w:rFonts w:asciiTheme="majorBidi" w:hAnsiTheme="majorBidi" w:cstheme="majorBidi"/>
                <w:color w:val="202124"/>
                <w:sz w:val="20"/>
                <w:szCs w:val="20"/>
              </w:rPr>
              <w:t>Functional Relationship Between Account Managers and Sales Teams</w:t>
            </w:r>
          </w:p>
        </w:tc>
        <w:tc>
          <w:tcPr>
            <w:tcW w:w="0" w:type="auto"/>
            <w:vMerge w:val="restart"/>
            <w:vAlign w:val="center"/>
          </w:tcPr>
          <w:p w14:paraId="6057832A" w14:textId="08BA4440" w:rsidR="002122BE" w:rsidRPr="00110939" w:rsidRDefault="002122BE" w:rsidP="00BD6960">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Communication Quality &amp; Cadence</w:t>
            </w:r>
          </w:p>
        </w:tc>
        <w:tc>
          <w:tcPr>
            <w:tcW w:w="0" w:type="auto"/>
            <w:vAlign w:val="center"/>
          </w:tcPr>
          <w:p w14:paraId="184FBE6C" w14:textId="6845BD3C"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FCQ1</w:t>
            </w:r>
          </w:p>
        </w:tc>
        <w:tc>
          <w:tcPr>
            <w:tcW w:w="0" w:type="auto"/>
          </w:tcPr>
          <w:p w14:paraId="4648F8BF" w14:textId="51646338"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1.072</w:t>
            </w:r>
          </w:p>
        </w:tc>
        <w:tc>
          <w:tcPr>
            <w:tcW w:w="0" w:type="auto"/>
          </w:tcPr>
          <w:p w14:paraId="787B841C" w14:textId="1CED542A" w:rsidR="002122BE" w:rsidRPr="00110939" w:rsidRDefault="002122BE" w:rsidP="00BD6960">
            <w:pPr>
              <w:bidi w:val="0"/>
              <w:jc w:val="center"/>
              <w:rPr>
                <w:rFonts w:asciiTheme="majorBidi" w:hAnsiTheme="majorBidi" w:cstheme="majorBidi"/>
                <w:noProof/>
                <w:sz w:val="20"/>
                <w:szCs w:val="20"/>
              </w:rPr>
            </w:pPr>
            <w:r w:rsidRPr="001133BF">
              <w:t>0.830</w:t>
            </w:r>
          </w:p>
        </w:tc>
        <w:tc>
          <w:tcPr>
            <w:tcW w:w="0" w:type="auto"/>
          </w:tcPr>
          <w:p w14:paraId="6B80D58A" w14:textId="74D46F46"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3.34</w:t>
            </w:r>
          </w:p>
        </w:tc>
        <w:tc>
          <w:tcPr>
            <w:tcW w:w="0" w:type="auto"/>
            <w:vMerge w:val="restart"/>
            <w:vAlign w:val="center"/>
          </w:tcPr>
          <w:p w14:paraId="1B389347" w14:textId="616843E3" w:rsidR="002122BE" w:rsidRPr="00110939" w:rsidRDefault="002122BE" w:rsidP="00BD6960">
            <w:pPr>
              <w:bidi w:val="0"/>
              <w:jc w:val="center"/>
              <w:rPr>
                <w:rFonts w:asciiTheme="majorBidi" w:hAnsiTheme="majorBidi" w:cstheme="majorBidi"/>
                <w:noProof/>
                <w:sz w:val="20"/>
                <w:szCs w:val="20"/>
              </w:rPr>
            </w:pPr>
            <w:r w:rsidRPr="00BD6960">
              <w:rPr>
                <w:rFonts w:asciiTheme="majorBidi" w:hAnsiTheme="majorBidi" w:cstheme="majorBidi"/>
                <w:noProof/>
                <w:sz w:val="20"/>
                <w:szCs w:val="20"/>
              </w:rPr>
              <w:t>0.694</w:t>
            </w:r>
          </w:p>
        </w:tc>
        <w:tc>
          <w:tcPr>
            <w:tcW w:w="0" w:type="auto"/>
            <w:gridSpan w:val="2"/>
            <w:vMerge w:val="restart"/>
            <w:vAlign w:val="center"/>
          </w:tcPr>
          <w:p w14:paraId="1AC3F4B1" w14:textId="069AE9FF" w:rsidR="002122BE" w:rsidRPr="00110939" w:rsidRDefault="002122BE" w:rsidP="00BD6960">
            <w:pPr>
              <w:bidi w:val="0"/>
              <w:jc w:val="center"/>
              <w:rPr>
                <w:rFonts w:asciiTheme="majorBidi" w:hAnsiTheme="majorBidi" w:cstheme="majorBidi"/>
                <w:noProof/>
                <w:sz w:val="20"/>
                <w:szCs w:val="20"/>
              </w:rPr>
            </w:pPr>
            <w:r>
              <w:rPr>
                <w:rFonts w:asciiTheme="majorBidi" w:hAnsiTheme="majorBidi" w:cstheme="majorBidi"/>
                <w:noProof/>
                <w:sz w:val="20"/>
                <w:szCs w:val="20"/>
              </w:rPr>
              <w:t>0</w:t>
            </w:r>
            <w:r w:rsidRPr="00BD6960">
              <w:rPr>
                <w:rFonts w:asciiTheme="majorBidi" w:hAnsiTheme="majorBidi" w:cstheme="majorBidi"/>
                <w:noProof/>
                <w:sz w:val="20"/>
                <w:szCs w:val="20"/>
              </w:rPr>
              <w:t>.922</w:t>
            </w:r>
          </w:p>
        </w:tc>
      </w:tr>
      <w:tr w:rsidR="002122BE" w:rsidRPr="00110939" w14:paraId="6F37D1E1" w14:textId="77777777" w:rsidTr="00082D78">
        <w:tc>
          <w:tcPr>
            <w:tcW w:w="0" w:type="auto"/>
            <w:vMerge/>
            <w:vAlign w:val="center"/>
          </w:tcPr>
          <w:p w14:paraId="050A368A"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ign w:val="center"/>
          </w:tcPr>
          <w:p w14:paraId="73DAFD35" w14:textId="77777777" w:rsidR="002122BE" w:rsidRPr="00110939" w:rsidRDefault="002122BE" w:rsidP="00BD6960">
            <w:pPr>
              <w:bidi w:val="0"/>
              <w:jc w:val="center"/>
              <w:rPr>
                <w:rFonts w:asciiTheme="majorBidi" w:hAnsiTheme="majorBidi" w:cstheme="majorBidi"/>
                <w:noProof/>
                <w:sz w:val="20"/>
                <w:szCs w:val="20"/>
              </w:rPr>
            </w:pPr>
          </w:p>
        </w:tc>
        <w:tc>
          <w:tcPr>
            <w:tcW w:w="0" w:type="auto"/>
            <w:vAlign w:val="center"/>
          </w:tcPr>
          <w:p w14:paraId="3330D97C" w14:textId="4FB26648"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FCQ2</w:t>
            </w:r>
          </w:p>
        </w:tc>
        <w:tc>
          <w:tcPr>
            <w:tcW w:w="0" w:type="auto"/>
          </w:tcPr>
          <w:p w14:paraId="74142E01" w14:textId="7B5B1892"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0.913</w:t>
            </w:r>
          </w:p>
        </w:tc>
        <w:tc>
          <w:tcPr>
            <w:tcW w:w="0" w:type="auto"/>
          </w:tcPr>
          <w:p w14:paraId="4535D2E6" w14:textId="57C28C9F" w:rsidR="002122BE" w:rsidRPr="00110939" w:rsidRDefault="002122BE" w:rsidP="00BD6960">
            <w:pPr>
              <w:bidi w:val="0"/>
              <w:jc w:val="center"/>
              <w:rPr>
                <w:rFonts w:asciiTheme="majorBidi" w:hAnsiTheme="majorBidi" w:cstheme="majorBidi"/>
                <w:noProof/>
                <w:sz w:val="20"/>
                <w:szCs w:val="20"/>
              </w:rPr>
            </w:pPr>
            <w:r w:rsidRPr="001133BF">
              <w:t>0.717</w:t>
            </w:r>
          </w:p>
        </w:tc>
        <w:tc>
          <w:tcPr>
            <w:tcW w:w="0" w:type="auto"/>
          </w:tcPr>
          <w:p w14:paraId="671C21C7" w14:textId="50E2A9A2"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3.54</w:t>
            </w:r>
          </w:p>
        </w:tc>
        <w:tc>
          <w:tcPr>
            <w:tcW w:w="0" w:type="auto"/>
            <w:vMerge/>
            <w:vAlign w:val="center"/>
          </w:tcPr>
          <w:p w14:paraId="3CE8A92E" w14:textId="488D12EE"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0F273C0F"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7BEB0799" w14:textId="77777777" w:rsidTr="00082D78">
        <w:tc>
          <w:tcPr>
            <w:tcW w:w="0" w:type="auto"/>
            <w:vMerge/>
            <w:vAlign w:val="center"/>
          </w:tcPr>
          <w:p w14:paraId="4B7B9B0D"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restart"/>
            <w:vAlign w:val="center"/>
          </w:tcPr>
          <w:p w14:paraId="5FF8145E" w14:textId="48153191" w:rsidR="002122BE" w:rsidRPr="00110939" w:rsidRDefault="002122BE" w:rsidP="00BD6960">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Information Sharing &amp; Data Integration</w:t>
            </w:r>
          </w:p>
        </w:tc>
        <w:tc>
          <w:tcPr>
            <w:tcW w:w="0" w:type="auto"/>
            <w:vAlign w:val="center"/>
          </w:tcPr>
          <w:p w14:paraId="4B324166" w14:textId="0BA804C8"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FID1</w:t>
            </w:r>
          </w:p>
        </w:tc>
        <w:tc>
          <w:tcPr>
            <w:tcW w:w="0" w:type="auto"/>
          </w:tcPr>
          <w:p w14:paraId="6203CB6E" w14:textId="259F85B5"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0.973</w:t>
            </w:r>
          </w:p>
        </w:tc>
        <w:tc>
          <w:tcPr>
            <w:tcW w:w="0" w:type="auto"/>
          </w:tcPr>
          <w:p w14:paraId="46A031F2" w14:textId="38C969BB" w:rsidR="002122BE" w:rsidRPr="00110939" w:rsidRDefault="002122BE" w:rsidP="00BD6960">
            <w:pPr>
              <w:bidi w:val="0"/>
              <w:jc w:val="center"/>
              <w:rPr>
                <w:rFonts w:asciiTheme="majorBidi" w:hAnsiTheme="majorBidi" w:cstheme="majorBidi"/>
                <w:noProof/>
                <w:sz w:val="20"/>
                <w:szCs w:val="20"/>
              </w:rPr>
            </w:pPr>
            <w:r w:rsidRPr="00BF3BEF">
              <w:t>0.444</w:t>
            </w:r>
          </w:p>
        </w:tc>
        <w:tc>
          <w:tcPr>
            <w:tcW w:w="0" w:type="auto"/>
          </w:tcPr>
          <w:p w14:paraId="2D612BE8" w14:textId="6A4AC708"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3.46</w:t>
            </w:r>
          </w:p>
        </w:tc>
        <w:tc>
          <w:tcPr>
            <w:tcW w:w="0" w:type="auto"/>
            <w:vMerge/>
            <w:vAlign w:val="center"/>
          </w:tcPr>
          <w:p w14:paraId="0AA8FBD7" w14:textId="3D48D005"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0B7AAA7C"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16E631F9" w14:textId="77777777" w:rsidTr="00082D78">
        <w:tc>
          <w:tcPr>
            <w:tcW w:w="0" w:type="auto"/>
            <w:vMerge/>
            <w:vAlign w:val="center"/>
          </w:tcPr>
          <w:p w14:paraId="028F6D66"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ign w:val="center"/>
          </w:tcPr>
          <w:p w14:paraId="53649C6C" w14:textId="77777777" w:rsidR="002122BE" w:rsidRPr="00110939" w:rsidRDefault="002122BE" w:rsidP="00BD6960">
            <w:pPr>
              <w:bidi w:val="0"/>
              <w:jc w:val="center"/>
              <w:rPr>
                <w:rFonts w:asciiTheme="majorBidi" w:hAnsiTheme="majorBidi" w:cstheme="majorBidi"/>
                <w:noProof/>
                <w:sz w:val="20"/>
                <w:szCs w:val="20"/>
              </w:rPr>
            </w:pPr>
          </w:p>
        </w:tc>
        <w:tc>
          <w:tcPr>
            <w:tcW w:w="0" w:type="auto"/>
            <w:vAlign w:val="center"/>
          </w:tcPr>
          <w:p w14:paraId="55D1C82E" w14:textId="62091B92"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FID2</w:t>
            </w:r>
          </w:p>
        </w:tc>
        <w:tc>
          <w:tcPr>
            <w:tcW w:w="0" w:type="auto"/>
          </w:tcPr>
          <w:p w14:paraId="6BF98199" w14:textId="6D247388"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0.950</w:t>
            </w:r>
          </w:p>
        </w:tc>
        <w:tc>
          <w:tcPr>
            <w:tcW w:w="0" w:type="auto"/>
          </w:tcPr>
          <w:p w14:paraId="5DEDB235" w14:textId="21E9F1F8" w:rsidR="002122BE" w:rsidRPr="00110939" w:rsidRDefault="002122BE" w:rsidP="00BD6960">
            <w:pPr>
              <w:bidi w:val="0"/>
              <w:jc w:val="center"/>
              <w:rPr>
                <w:rFonts w:asciiTheme="majorBidi" w:hAnsiTheme="majorBidi" w:cstheme="majorBidi"/>
                <w:noProof/>
                <w:sz w:val="20"/>
                <w:szCs w:val="20"/>
              </w:rPr>
            </w:pPr>
            <w:r w:rsidRPr="00BF3BEF">
              <w:t>0.874</w:t>
            </w:r>
          </w:p>
        </w:tc>
        <w:tc>
          <w:tcPr>
            <w:tcW w:w="0" w:type="auto"/>
          </w:tcPr>
          <w:p w14:paraId="7B77B27F" w14:textId="29D7D31A"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3.42</w:t>
            </w:r>
          </w:p>
        </w:tc>
        <w:tc>
          <w:tcPr>
            <w:tcW w:w="0" w:type="auto"/>
            <w:vMerge/>
            <w:vAlign w:val="center"/>
          </w:tcPr>
          <w:p w14:paraId="02DA7D30" w14:textId="03DE1FD4"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3669E0EA"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2B1CD412" w14:textId="77777777" w:rsidTr="00082D78">
        <w:tc>
          <w:tcPr>
            <w:tcW w:w="0" w:type="auto"/>
            <w:vMerge/>
            <w:vAlign w:val="center"/>
          </w:tcPr>
          <w:p w14:paraId="1817E371"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restart"/>
            <w:vAlign w:val="center"/>
          </w:tcPr>
          <w:p w14:paraId="677D328D" w14:textId="630DD1FB" w:rsidR="002122BE" w:rsidRPr="00110939" w:rsidRDefault="002122BE" w:rsidP="00BD6960">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Goal/KPI &amp; Incentive Alignment</w:t>
            </w:r>
          </w:p>
        </w:tc>
        <w:tc>
          <w:tcPr>
            <w:tcW w:w="0" w:type="auto"/>
            <w:vAlign w:val="center"/>
          </w:tcPr>
          <w:p w14:paraId="49093685" w14:textId="11E0E2D0"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FGI1</w:t>
            </w:r>
          </w:p>
        </w:tc>
        <w:tc>
          <w:tcPr>
            <w:tcW w:w="0" w:type="auto"/>
          </w:tcPr>
          <w:p w14:paraId="017D6A5B" w14:textId="526937D5"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0.877</w:t>
            </w:r>
          </w:p>
        </w:tc>
        <w:tc>
          <w:tcPr>
            <w:tcW w:w="0" w:type="auto"/>
          </w:tcPr>
          <w:p w14:paraId="4365D6F6" w14:textId="3D81ECBF" w:rsidR="002122BE" w:rsidRPr="00110939" w:rsidRDefault="002122BE" w:rsidP="00BD6960">
            <w:pPr>
              <w:bidi w:val="0"/>
              <w:jc w:val="center"/>
              <w:rPr>
                <w:rFonts w:asciiTheme="majorBidi" w:hAnsiTheme="majorBidi" w:cstheme="majorBidi"/>
                <w:noProof/>
                <w:sz w:val="20"/>
                <w:szCs w:val="20"/>
              </w:rPr>
            </w:pPr>
            <w:r w:rsidRPr="0013208A">
              <w:t>0.405</w:t>
            </w:r>
          </w:p>
        </w:tc>
        <w:tc>
          <w:tcPr>
            <w:tcW w:w="0" w:type="auto"/>
          </w:tcPr>
          <w:p w14:paraId="54432613" w14:textId="067BA178"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3.37</w:t>
            </w:r>
          </w:p>
        </w:tc>
        <w:tc>
          <w:tcPr>
            <w:tcW w:w="0" w:type="auto"/>
            <w:vMerge/>
            <w:vAlign w:val="center"/>
          </w:tcPr>
          <w:p w14:paraId="34F47429" w14:textId="3A07B1F7"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59B5B63B"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3FB63848" w14:textId="77777777" w:rsidTr="00082D78">
        <w:tc>
          <w:tcPr>
            <w:tcW w:w="0" w:type="auto"/>
            <w:vMerge/>
            <w:vAlign w:val="center"/>
          </w:tcPr>
          <w:p w14:paraId="0C0079D4"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ign w:val="center"/>
          </w:tcPr>
          <w:p w14:paraId="094E71D7" w14:textId="77777777" w:rsidR="002122BE" w:rsidRPr="00110939" w:rsidRDefault="002122BE" w:rsidP="00BD6960">
            <w:pPr>
              <w:bidi w:val="0"/>
              <w:jc w:val="center"/>
              <w:rPr>
                <w:rFonts w:asciiTheme="majorBidi" w:hAnsiTheme="majorBidi" w:cstheme="majorBidi"/>
                <w:noProof/>
                <w:sz w:val="20"/>
                <w:szCs w:val="20"/>
              </w:rPr>
            </w:pPr>
          </w:p>
        </w:tc>
        <w:tc>
          <w:tcPr>
            <w:tcW w:w="0" w:type="auto"/>
            <w:vAlign w:val="center"/>
          </w:tcPr>
          <w:p w14:paraId="217204F2" w14:textId="7D4AE3D3"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FGI 2</w:t>
            </w:r>
          </w:p>
        </w:tc>
        <w:tc>
          <w:tcPr>
            <w:tcW w:w="0" w:type="auto"/>
          </w:tcPr>
          <w:p w14:paraId="2E348877" w14:textId="0AED9499"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0.942</w:t>
            </w:r>
          </w:p>
        </w:tc>
        <w:tc>
          <w:tcPr>
            <w:tcW w:w="0" w:type="auto"/>
          </w:tcPr>
          <w:p w14:paraId="3063FAD3" w14:textId="3C642737" w:rsidR="002122BE" w:rsidRPr="00110939" w:rsidRDefault="002122BE" w:rsidP="00BD6960">
            <w:pPr>
              <w:bidi w:val="0"/>
              <w:jc w:val="center"/>
              <w:rPr>
                <w:rFonts w:asciiTheme="majorBidi" w:hAnsiTheme="majorBidi" w:cstheme="majorBidi"/>
                <w:noProof/>
                <w:sz w:val="20"/>
                <w:szCs w:val="20"/>
              </w:rPr>
            </w:pPr>
            <w:r w:rsidRPr="0013208A">
              <w:t>0.717</w:t>
            </w:r>
          </w:p>
        </w:tc>
        <w:tc>
          <w:tcPr>
            <w:tcW w:w="0" w:type="auto"/>
          </w:tcPr>
          <w:p w14:paraId="596BF211" w14:textId="7EA1E5C5"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3.48</w:t>
            </w:r>
          </w:p>
        </w:tc>
        <w:tc>
          <w:tcPr>
            <w:tcW w:w="0" w:type="auto"/>
            <w:vMerge/>
            <w:vAlign w:val="center"/>
          </w:tcPr>
          <w:p w14:paraId="069A2FF8" w14:textId="2F187C79"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7A9BA281"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7CD5720B" w14:textId="77777777" w:rsidTr="00082D78">
        <w:tc>
          <w:tcPr>
            <w:tcW w:w="0" w:type="auto"/>
            <w:vMerge/>
            <w:vAlign w:val="center"/>
          </w:tcPr>
          <w:p w14:paraId="4C9A0117"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restart"/>
            <w:vAlign w:val="center"/>
          </w:tcPr>
          <w:p w14:paraId="4B28AE84" w14:textId="59005292" w:rsidR="002122BE" w:rsidRPr="00110939" w:rsidRDefault="002122BE" w:rsidP="00BD6960">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Decision Rights &amp; Escalation Clarity (RACI)</w:t>
            </w:r>
          </w:p>
        </w:tc>
        <w:tc>
          <w:tcPr>
            <w:tcW w:w="0" w:type="auto"/>
            <w:vAlign w:val="center"/>
          </w:tcPr>
          <w:p w14:paraId="72BBCBA7" w14:textId="1A70025F"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FDE1</w:t>
            </w:r>
          </w:p>
        </w:tc>
        <w:tc>
          <w:tcPr>
            <w:tcW w:w="0" w:type="auto"/>
          </w:tcPr>
          <w:p w14:paraId="2980AD5F" w14:textId="26972EED" w:rsidR="002122BE" w:rsidRPr="00110939" w:rsidRDefault="002122BE" w:rsidP="00BD6960">
            <w:pPr>
              <w:bidi w:val="0"/>
              <w:jc w:val="center"/>
              <w:rPr>
                <w:rFonts w:asciiTheme="majorBidi" w:hAnsiTheme="majorBidi" w:cstheme="majorBidi"/>
                <w:noProof/>
                <w:sz w:val="20"/>
                <w:szCs w:val="20"/>
                <w:rtl/>
                <w:lang w:bidi="ar-EG"/>
              </w:rPr>
            </w:pPr>
            <w:r>
              <w:rPr>
                <w:rFonts w:ascii="Arial" w:hAnsi="Arial" w:cs="Arial"/>
                <w:color w:val="993300"/>
                <w:sz w:val="18"/>
                <w:szCs w:val="18"/>
              </w:rPr>
              <w:t>0.949</w:t>
            </w:r>
          </w:p>
        </w:tc>
        <w:tc>
          <w:tcPr>
            <w:tcW w:w="0" w:type="auto"/>
          </w:tcPr>
          <w:p w14:paraId="4887D7F9" w14:textId="20D235C6" w:rsidR="002122BE" w:rsidRPr="00110939" w:rsidRDefault="002122BE" w:rsidP="00BD6960">
            <w:pPr>
              <w:bidi w:val="0"/>
              <w:jc w:val="center"/>
              <w:rPr>
                <w:rFonts w:asciiTheme="majorBidi" w:hAnsiTheme="majorBidi" w:cstheme="majorBidi"/>
                <w:noProof/>
                <w:sz w:val="20"/>
                <w:szCs w:val="20"/>
              </w:rPr>
            </w:pPr>
            <w:r w:rsidRPr="00D366F0">
              <w:t xml:space="preserve"> </w:t>
            </w:r>
          </w:p>
        </w:tc>
        <w:tc>
          <w:tcPr>
            <w:tcW w:w="0" w:type="auto"/>
          </w:tcPr>
          <w:p w14:paraId="2ED853C1" w14:textId="1546AF63"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3.41</w:t>
            </w:r>
          </w:p>
        </w:tc>
        <w:tc>
          <w:tcPr>
            <w:tcW w:w="0" w:type="auto"/>
            <w:vMerge/>
            <w:vAlign w:val="center"/>
          </w:tcPr>
          <w:p w14:paraId="1E7549B8" w14:textId="1D32544A"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6DFF7918" w14:textId="77777777" w:rsidR="002122BE" w:rsidRPr="00110939" w:rsidRDefault="002122BE" w:rsidP="00BD6960">
            <w:pPr>
              <w:bidi w:val="0"/>
              <w:jc w:val="center"/>
              <w:rPr>
                <w:rFonts w:asciiTheme="majorBidi" w:hAnsiTheme="majorBidi" w:cstheme="majorBidi"/>
                <w:noProof/>
                <w:sz w:val="20"/>
                <w:szCs w:val="20"/>
              </w:rPr>
            </w:pPr>
          </w:p>
        </w:tc>
      </w:tr>
      <w:tr w:rsidR="002122BE" w:rsidRPr="00110939" w14:paraId="3B1A9CD2" w14:textId="77777777" w:rsidTr="00082D78">
        <w:tc>
          <w:tcPr>
            <w:tcW w:w="0" w:type="auto"/>
            <w:vMerge/>
            <w:vAlign w:val="center"/>
          </w:tcPr>
          <w:p w14:paraId="23851898" w14:textId="77777777" w:rsidR="002122BE" w:rsidRPr="00110939" w:rsidRDefault="002122BE" w:rsidP="00BD6960">
            <w:pPr>
              <w:bidi w:val="0"/>
              <w:jc w:val="center"/>
              <w:rPr>
                <w:rFonts w:asciiTheme="majorBidi" w:hAnsiTheme="majorBidi" w:cstheme="majorBidi"/>
                <w:noProof/>
                <w:sz w:val="20"/>
                <w:szCs w:val="20"/>
              </w:rPr>
            </w:pPr>
          </w:p>
        </w:tc>
        <w:tc>
          <w:tcPr>
            <w:tcW w:w="0" w:type="auto"/>
            <w:vMerge/>
            <w:vAlign w:val="center"/>
          </w:tcPr>
          <w:p w14:paraId="440D37CA" w14:textId="77777777" w:rsidR="002122BE" w:rsidRPr="00110939" w:rsidRDefault="002122BE" w:rsidP="00BD6960">
            <w:pPr>
              <w:bidi w:val="0"/>
              <w:jc w:val="center"/>
              <w:rPr>
                <w:rFonts w:asciiTheme="majorBidi" w:hAnsiTheme="majorBidi" w:cstheme="majorBidi"/>
                <w:noProof/>
                <w:sz w:val="20"/>
                <w:szCs w:val="20"/>
              </w:rPr>
            </w:pPr>
          </w:p>
        </w:tc>
        <w:tc>
          <w:tcPr>
            <w:tcW w:w="0" w:type="auto"/>
            <w:vAlign w:val="center"/>
          </w:tcPr>
          <w:p w14:paraId="4A221F8B" w14:textId="4E78A2C8" w:rsidR="002122BE" w:rsidRPr="00110939" w:rsidRDefault="002122BE" w:rsidP="00BD6960">
            <w:pPr>
              <w:bidi w:val="0"/>
              <w:jc w:val="center"/>
              <w:rPr>
                <w:rFonts w:ascii="Arial" w:hAnsi="Arial" w:cs="Arial"/>
                <w:color w:val="010205"/>
                <w:sz w:val="20"/>
                <w:szCs w:val="20"/>
              </w:rPr>
            </w:pPr>
            <w:r w:rsidRPr="00110939">
              <w:rPr>
                <w:rFonts w:ascii="Arial" w:hAnsi="Arial" w:cs="Arial"/>
                <w:color w:val="010205"/>
                <w:sz w:val="20"/>
                <w:szCs w:val="20"/>
              </w:rPr>
              <w:t>FDE2</w:t>
            </w:r>
          </w:p>
        </w:tc>
        <w:tc>
          <w:tcPr>
            <w:tcW w:w="0" w:type="auto"/>
          </w:tcPr>
          <w:p w14:paraId="1A20E533" w14:textId="630EE8D1"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0.992</w:t>
            </w:r>
          </w:p>
        </w:tc>
        <w:tc>
          <w:tcPr>
            <w:tcW w:w="0" w:type="auto"/>
          </w:tcPr>
          <w:p w14:paraId="7B0596DD" w14:textId="3B65A234" w:rsidR="002122BE" w:rsidRPr="00110939" w:rsidRDefault="002122BE" w:rsidP="00BD6960">
            <w:pPr>
              <w:bidi w:val="0"/>
              <w:jc w:val="center"/>
              <w:rPr>
                <w:rFonts w:asciiTheme="majorBidi" w:hAnsiTheme="majorBidi" w:cstheme="majorBidi"/>
                <w:noProof/>
                <w:sz w:val="20"/>
                <w:szCs w:val="20"/>
              </w:rPr>
            </w:pPr>
            <w:r w:rsidRPr="00D366F0">
              <w:t>0.873</w:t>
            </w:r>
          </w:p>
        </w:tc>
        <w:tc>
          <w:tcPr>
            <w:tcW w:w="0" w:type="auto"/>
          </w:tcPr>
          <w:p w14:paraId="15F5C73D" w14:textId="7ED39078" w:rsidR="002122BE" w:rsidRPr="00110939" w:rsidRDefault="002122BE" w:rsidP="00BD6960">
            <w:pPr>
              <w:bidi w:val="0"/>
              <w:jc w:val="center"/>
              <w:rPr>
                <w:rFonts w:asciiTheme="majorBidi" w:hAnsiTheme="majorBidi" w:cstheme="majorBidi"/>
                <w:noProof/>
                <w:sz w:val="20"/>
                <w:szCs w:val="20"/>
              </w:rPr>
            </w:pPr>
            <w:r>
              <w:rPr>
                <w:rFonts w:ascii="Arial" w:hAnsi="Arial" w:cs="Arial"/>
                <w:color w:val="993300"/>
                <w:sz w:val="18"/>
                <w:szCs w:val="18"/>
              </w:rPr>
              <w:t>3.19</w:t>
            </w:r>
          </w:p>
        </w:tc>
        <w:tc>
          <w:tcPr>
            <w:tcW w:w="0" w:type="auto"/>
            <w:vMerge/>
            <w:vAlign w:val="center"/>
          </w:tcPr>
          <w:p w14:paraId="2079851D" w14:textId="3C11E7C8" w:rsidR="002122BE" w:rsidRPr="00110939" w:rsidRDefault="002122BE" w:rsidP="00BD6960">
            <w:pPr>
              <w:bidi w:val="0"/>
              <w:jc w:val="center"/>
              <w:rPr>
                <w:rFonts w:asciiTheme="majorBidi" w:hAnsiTheme="majorBidi" w:cstheme="majorBidi"/>
                <w:noProof/>
                <w:sz w:val="20"/>
                <w:szCs w:val="20"/>
              </w:rPr>
            </w:pPr>
          </w:p>
        </w:tc>
        <w:tc>
          <w:tcPr>
            <w:tcW w:w="0" w:type="auto"/>
            <w:gridSpan w:val="2"/>
            <w:vMerge/>
            <w:vAlign w:val="center"/>
          </w:tcPr>
          <w:p w14:paraId="6A4D8600" w14:textId="77777777" w:rsidR="002122BE" w:rsidRPr="00110939" w:rsidRDefault="002122BE" w:rsidP="00BD6960">
            <w:pPr>
              <w:bidi w:val="0"/>
              <w:jc w:val="center"/>
              <w:rPr>
                <w:rFonts w:asciiTheme="majorBidi" w:hAnsiTheme="majorBidi" w:cstheme="majorBidi"/>
                <w:noProof/>
                <w:sz w:val="20"/>
                <w:szCs w:val="20"/>
              </w:rPr>
            </w:pPr>
          </w:p>
        </w:tc>
      </w:tr>
      <w:tr w:rsidR="009C38FD" w:rsidRPr="00110939" w14:paraId="199EF5C6" w14:textId="77777777" w:rsidTr="009C38FD">
        <w:tc>
          <w:tcPr>
            <w:tcW w:w="0" w:type="auto"/>
            <w:shd w:val="clear" w:color="auto" w:fill="D9D9D9" w:themeFill="background1" w:themeFillShade="D9"/>
            <w:vAlign w:val="center"/>
          </w:tcPr>
          <w:p w14:paraId="06FEF092"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7D5FC111"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5D7E9393" w14:textId="77777777" w:rsidR="009C38FD" w:rsidRPr="00110939" w:rsidRDefault="009C38FD" w:rsidP="00110939">
            <w:pPr>
              <w:bidi w:val="0"/>
              <w:jc w:val="center"/>
              <w:rPr>
                <w:rFonts w:ascii="Arial" w:hAnsi="Arial" w:cs="Arial"/>
                <w:color w:val="010205"/>
                <w:sz w:val="20"/>
                <w:szCs w:val="20"/>
              </w:rPr>
            </w:pPr>
          </w:p>
        </w:tc>
        <w:tc>
          <w:tcPr>
            <w:tcW w:w="0" w:type="auto"/>
            <w:shd w:val="clear" w:color="auto" w:fill="D9D9D9" w:themeFill="background1" w:themeFillShade="D9"/>
            <w:vAlign w:val="center"/>
          </w:tcPr>
          <w:p w14:paraId="5BF0458B"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2BA8C8DA"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tcPr>
          <w:p w14:paraId="5D2FDE60"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052E277E" w14:textId="10E93200"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56ADCD83" w14:textId="77777777" w:rsidR="009C38FD" w:rsidRPr="00110939" w:rsidRDefault="009C38FD" w:rsidP="00110939">
            <w:pPr>
              <w:bidi w:val="0"/>
              <w:jc w:val="center"/>
              <w:rPr>
                <w:rFonts w:asciiTheme="majorBidi" w:hAnsiTheme="majorBidi" w:cstheme="majorBidi"/>
                <w:noProof/>
                <w:sz w:val="20"/>
                <w:szCs w:val="20"/>
              </w:rPr>
            </w:pPr>
          </w:p>
        </w:tc>
        <w:tc>
          <w:tcPr>
            <w:tcW w:w="0" w:type="auto"/>
            <w:shd w:val="clear" w:color="auto" w:fill="D9D9D9" w:themeFill="background1" w:themeFillShade="D9"/>
            <w:vAlign w:val="center"/>
          </w:tcPr>
          <w:p w14:paraId="64B1F207" w14:textId="77777777" w:rsidR="009C38FD" w:rsidRPr="00110939" w:rsidRDefault="009C38FD" w:rsidP="00110939">
            <w:pPr>
              <w:bidi w:val="0"/>
              <w:jc w:val="center"/>
              <w:rPr>
                <w:rFonts w:asciiTheme="majorBidi" w:hAnsiTheme="majorBidi" w:cstheme="majorBidi"/>
                <w:noProof/>
                <w:sz w:val="20"/>
                <w:szCs w:val="20"/>
              </w:rPr>
            </w:pPr>
          </w:p>
        </w:tc>
      </w:tr>
      <w:tr w:rsidR="002122BE" w:rsidRPr="00110939" w14:paraId="5D15076E" w14:textId="77777777" w:rsidTr="00F83989">
        <w:tc>
          <w:tcPr>
            <w:tcW w:w="0" w:type="auto"/>
            <w:vMerge w:val="restart"/>
            <w:vAlign w:val="center"/>
          </w:tcPr>
          <w:p w14:paraId="09BCEB44" w14:textId="567538C6" w:rsidR="002122BE" w:rsidRPr="00110939" w:rsidRDefault="002122BE" w:rsidP="00D62EA6">
            <w:pPr>
              <w:bidi w:val="0"/>
              <w:jc w:val="center"/>
              <w:rPr>
                <w:rFonts w:asciiTheme="majorBidi" w:hAnsiTheme="majorBidi" w:cstheme="majorBidi"/>
                <w:noProof/>
                <w:sz w:val="20"/>
                <w:szCs w:val="20"/>
              </w:rPr>
            </w:pPr>
            <w:r w:rsidRPr="00110939">
              <w:rPr>
                <w:rFonts w:asciiTheme="majorBidi" w:hAnsiTheme="majorBidi" w:cstheme="majorBidi"/>
                <w:color w:val="202124"/>
                <w:sz w:val="20"/>
                <w:szCs w:val="20"/>
              </w:rPr>
              <w:t>Risk Management Effectiveness</w:t>
            </w:r>
          </w:p>
        </w:tc>
        <w:tc>
          <w:tcPr>
            <w:tcW w:w="0" w:type="auto"/>
            <w:vMerge w:val="restart"/>
            <w:vAlign w:val="center"/>
          </w:tcPr>
          <w:p w14:paraId="2F9A32B3" w14:textId="1CADE246" w:rsidR="002122BE" w:rsidRPr="00110939" w:rsidRDefault="002122BE" w:rsidP="00D62EA6">
            <w:pPr>
              <w:bidi w:val="0"/>
              <w:jc w:val="center"/>
              <w:rPr>
                <w:rFonts w:asciiTheme="majorBidi" w:hAnsiTheme="majorBidi" w:cstheme="majorBidi"/>
                <w:noProof/>
                <w:sz w:val="20"/>
                <w:szCs w:val="20"/>
                <w:lang w:val="en"/>
              </w:rPr>
            </w:pPr>
            <w:r w:rsidRPr="00110939">
              <w:rPr>
                <w:rFonts w:asciiTheme="majorBidi" w:hAnsiTheme="majorBidi" w:cstheme="majorBidi"/>
                <w:sz w:val="20"/>
                <w:szCs w:val="20"/>
                <w:lang w:val="en" w:bidi="ar-EG"/>
              </w:rPr>
              <w:t>Early Risk Identification &amp; Onboarding Quality</w:t>
            </w:r>
          </w:p>
        </w:tc>
        <w:tc>
          <w:tcPr>
            <w:tcW w:w="0" w:type="auto"/>
            <w:vAlign w:val="center"/>
          </w:tcPr>
          <w:p w14:paraId="4997C0D4" w14:textId="6AA906BE"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REO1</w:t>
            </w:r>
          </w:p>
        </w:tc>
        <w:tc>
          <w:tcPr>
            <w:tcW w:w="0" w:type="auto"/>
          </w:tcPr>
          <w:p w14:paraId="5DCD5E5E" w14:textId="38FEE8DE"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0.949</w:t>
            </w:r>
          </w:p>
        </w:tc>
        <w:tc>
          <w:tcPr>
            <w:tcW w:w="0" w:type="auto"/>
          </w:tcPr>
          <w:p w14:paraId="2AAA1A1C" w14:textId="19889B31" w:rsidR="002122BE" w:rsidRPr="00110939" w:rsidRDefault="002122BE" w:rsidP="00D62EA6">
            <w:pPr>
              <w:bidi w:val="0"/>
              <w:jc w:val="center"/>
              <w:rPr>
                <w:rFonts w:asciiTheme="majorBidi" w:hAnsiTheme="majorBidi" w:cstheme="majorBidi"/>
                <w:noProof/>
                <w:sz w:val="20"/>
                <w:szCs w:val="20"/>
              </w:rPr>
            </w:pPr>
          </w:p>
        </w:tc>
        <w:tc>
          <w:tcPr>
            <w:tcW w:w="0" w:type="auto"/>
          </w:tcPr>
          <w:p w14:paraId="223F7A5A" w14:textId="2BD2DBBC"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3.24</w:t>
            </w:r>
          </w:p>
        </w:tc>
        <w:tc>
          <w:tcPr>
            <w:tcW w:w="0" w:type="auto"/>
            <w:vMerge w:val="restart"/>
            <w:vAlign w:val="center"/>
          </w:tcPr>
          <w:p w14:paraId="70797056" w14:textId="6F33F5CD" w:rsidR="002122BE" w:rsidRPr="00110939" w:rsidRDefault="002122BE" w:rsidP="00D62EA6">
            <w:pPr>
              <w:bidi w:val="0"/>
              <w:jc w:val="center"/>
              <w:rPr>
                <w:rFonts w:asciiTheme="majorBidi" w:hAnsiTheme="majorBidi" w:cstheme="majorBidi"/>
                <w:noProof/>
                <w:sz w:val="20"/>
                <w:szCs w:val="20"/>
              </w:rPr>
            </w:pPr>
            <w:r w:rsidRPr="002122BE">
              <w:rPr>
                <w:rFonts w:asciiTheme="majorBidi" w:hAnsiTheme="majorBidi" w:cstheme="majorBidi"/>
                <w:noProof/>
                <w:sz w:val="20"/>
                <w:szCs w:val="20"/>
              </w:rPr>
              <w:t>0.837</w:t>
            </w:r>
          </w:p>
        </w:tc>
        <w:tc>
          <w:tcPr>
            <w:tcW w:w="0" w:type="auto"/>
            <w:gridSpan w:val="2"/>
            <w:vMerge w:val="restart"/>
            <w:vAlign w:val="center"/>
          </w:tcPr>
          <w:p w14:paraId="5036B044" w14:textId="59097482" w:rsidR="002122BE" w:rsidRPr="00110939" w:rsidRDefault="002122BE" w:rsidP="00D62EA6">
            <w:pPr>
              <w:bidi w:val="0"/>
              <w:jc w:val="center"/>
              <w:rPr>
                <w:rFonts w:asciiTheme="majorBidi" w:hAnsiTheme="majorBidi" w:cstheme="majorBidi"/>
                <w:noProof/>
                <w:sz w:val="20"/>
                <w:szCs w:val="20"/>
              </w:rPr>
            </w:pPr>
            <w:r>
              <w:rPr>
                <w:rFonts w:asciiTheme="majorBidi" w:hAnsiTheme="majorBidi" w:cstheme="majorBidi"/>
                <w:noProof/>
                <w:sz w:val="20"/>
                <w:szCs w:val="20"/>
              </w:rPr>
              <w:t>0</w:t>
            </w:r>
            <w:r w:rsidRPr="002122BE">
              <w:rPr>
                <w:rFonts w:asciiTheme="majorBidi" w:hAnsiTheme="majorBidi" w:cstheme="majorBidi"/>
                <w:noProof/>
                <w:sz w:val="20"/>
                <w:szCs w:val="20"/>
              </w:rPr>
              <w:t>.900</w:t>
            </w:r>
          </w:p>
        </w:tc>
      </w:tr>
      <w:tr w:rsidR="002122BE" w:rsidRPr="00110939" w14:paraId="4D059464" w14:textId="77777777" w:rsidTr="00F83989">
        <w:tc>
          <w:tcPr>
            <w:tcW w:w="0" w:type="auto"/>
            <w:vMerge/>
            <w:vAlign w:val="center"/>
          </w:tcPr>
          <w:p w14:paraId="0ACAE1ED" w14:textId="77777777" w:rsidR="002122BE" w:rsidRPr="00110939" w:rsidRDefault="002122BE" w:rsidP="00D62EA6">
            <w:pPr>
              <w:bidi w:val="0"/>
              <w:jc w:val="center"/>
              <w:rPr>
                <w:rFonts w:asciiTheme="majorBidi" w:hAnsiTheme="majorBidi" w:cstheme="majorBidi"/>
                <w:noProof/>
                <w:sz w:val="20"/>
                <w:szCs w:val="20"/>
              </w:rPr>
            </w:pPr>
          </w:p>
        </w:tc>
        <w:tc>
          <w:tcPr>
            <w:tcW w:w="0" w:type="auto"/>
            <w:vMerge/>
            <w:vAlign w:val="center"/>
          </w:tcPr>
          <w:p w14:paraId="244A0835" w14:textId="77777777" w:rsidR="002122BE" w:rsidRPr="00110939" w:rsidRDefault="002122BE" w:rsidP="00D62EA6">
            <w:pPr>
              <w:bidi w:val="0"/>
              <w:jc w:val="center"/>
              <w:rPr>
                <w:rFonts w:asciiTheme="majorBidi" w:hAnsiTheme="majorBidi" w:cstheme="majorBidi"/>
                <w:noProof/>
                <w:sz w:val="20"/>
                <w:szCs w:val="20"/>
              </w:rPr>
            </w:pPr>
          </w:p>
        </w:tc>
        <w:tc>
          <w:tcPr>
            <w:tcW w:w="0" w:type="auto"/>
            <w:vAlign w:val="center"/>
          </w:tcPr>
          <w:p w14:paraId="47299B31" w14:textId="14E1EDEE"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REO 2</w:t>
            </w:r>
          </w:p>
        </w:tc>
        <w:tc>
          <w:tcPr>
            <w:tcW w:w="0" w:type="auto"/>
          </w:tcPr>
          <w:p w14:paraId="22337AA6" w14:textId="26386AFC"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1.026</w:t>
            </w:r>
          </w:p>
        </w:tc>
        <w:tc>
          <w:tcPr>
            <w:tcW w:w="0" w:type="auto"/>
          </w:tcPr>
          <w:p w14:paraId="2BF4EF99" w14:textId="2A502D76" w:rsidR="002122BE" w:rsidRPr="00110939" w:rsidRDefault="002122BE" w:rsidP="00D62EA6">
            <w:pPr>
              <w:bidi w:val="0"/>
              <w:jc w:val="center"/>
              <w:rPr>
                <w:rFonts w:asciiTheme="majorBidi" w:hAnsiTheme="majorBidi" w:cstheme="majorBidi"/>
                <w:noProof/>
                <w:sz w:val="20"/>
                <w:szCs w:val="20"/>
              </w:rPr>
            </w:pPr>
            <w:r w:rsidRPr="00F63AEE">
              <w:t>0.965</w:t>
            </w:r>
          </w:p>
        </w:tc>
        <w:tc>
          <w:tcPr>
            <w:tcW w:w="0" w:type="auto"/>
          </w:tcPr>
          <w:p w14:paraId="224E4DBB" w14:textId="53447810"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3.59</w:t>
            </w:r>
          </w:p>
        </w:tc>
        <w:tc>
          <w:tcPr>
            <w:tcW w:w="0" w:type="auto"/>
            <w:vMerge/>
            <w:vAlign w:val="center"/>
          </w:tcPr>
          <w:p w14:paraId="6E988A62" w14:textId="7845A16A" w:rsidR="002122BE" w:rsidRPr="00110939" w:rsidRDefault="002122BE" w:rsidP="00D62EA6">
            <w:pPr>
              <w:bidi w:val="0"/>
              <w:jc w:val="center"/>
              <w:rPr>
                <w:rFonts w:asciiTheme="majorBidi" w:hAnsiTheme="majorBidi" w:cstheme="majorBidi"/>
                <w:noProof/>
                <w:sz w:val="20"/>
                <w:szCs w:val="20"/>
              </w:rPr>
            </w:pPr>
          </w:p>
        </w:tc>
        <w:tc>
          <w:tcPr>
            <w:tcW w:w="0" w:type="auto"/>
            <w:gridSpan w:val="2"/>
            <w:vMerge/>
            <w:vAlign w:val="center"/>
          </w:tcPr>
          <w:p w14:paraId="795F0311" w14:textId="77777777" w:rsidR="002122BE" w:rsidRPr="00110939" w:rsidRDefault="002122BE" w:rsidP="00D62EA6">
            <w:pPr>
              <w:bidi w:val="0"/>
              <w:jc w:val="center"/>
              <w:rPr>
                <w:rFonts w:asciiTheme="majorBidi" w:hAnsiTheme="majorBidi" w:cstheme="majorBidi"/>
                <w:noProof/>
                <w:sz w:val="20"/>
                <w:szCs w:val="20"/>
              </w:rPr>
            </w:pPr>
          </w:p>
        </w:tc>
      </w:tr>
      <w:tr w:rsidR="002122BE" w:rsidRPr="00110939" w14:paraId="3AFDADB0" w14:textId="77777777" w:rsidTr="00F83989">
        <w:tc>
          <w:tcPr>
            <w:tcW w:w="0" w:type="auto"/>
            <w:vMerge/>
            <w:vAlign w:val="center"/>
          </w:tcPr>
          <w:p w14:paraId="6A1AABD9" w14:textId="77777777" w:rsidR="002122BE" w:rsidRPr="00110939" w:rsidRDefault="002122BE" w:rsidP="00D62EA6">
            <w:pPr>
              <w:bidi w:val="0"/>
              <w:jc w:val="center"/>
              <w:rPr>
                <w:rFonts w:asciiTheme="majorBidi" w:hAnsiTheme="majorBidi" w:cstheme="majorBidi"/>
                <w:noProof/>
                <w:sz w:val="20"/>
                <w:szCs w:val="20"/>
              </w:rPr>
            </w:pPr>
          </w:p>
        </w:tc>
        <w:tc>
          <w:tcPr>
            <w:tcW w:w="0" w:type="auto"/>
            <w:vMerge w:val="restart"/>
            <w:vAlign w:val="center"/>
          </w:tcPr>
          <w:p w14:paraId="1C3F96C6" w14:textId="219451BB" w:rsidR="002122BE" w:rsidRPr="00110939" w:rsidRDefault="002122BE" w:rsidP="00D62EA6">
            <w:pPr>
              <w:bidi w:val="0"/>
              <w:jc w:val="center"/>
              <w:rPr>
                <w:rFonts w:asciiTheme="majorBidi" w:hAnsiTheme="majorBidi" w:cstheme="majorBidi"/>
                <w:noProof/>
                <w:sz w:val="20"/>
                <w:szCs w:val="20"/>
              </w:rPr>
            </w:pPr>
            <w:r w:rsidRPr="00110939">
              <w:rPr>
                <w:rFonts w:asciiTheme="majorBidi" w:hAnsiTheme="majorBidi" w:cstheme="majorBidi"/>
                <w:sz w:val="20"/>
                <w:szCs w:val="20"/>
                <w:lang w:val="en" w:bidi="ar-EG"/>
              </w:rPr>
              <w:t>Credit Discipline &amp; Outcomes</w:t>
            </w:r>
          </w:p>
        </w:tc>
        <w:tc>
          <w:tcPr>
            <w:tcW w:w="0" w:type="auto"/>
            <w:vAlign w:val="center"/>
          </w:tcPr>
          <w:p w14:paraId="4E87F5D5" w14:textId="290D8153"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RCO1</w:t>
            </w:r>
          </w:p>
        </w:tc>
        <w:tc>
          <w:tcPr>
            <w:tcW w:w="0" w:type="auto"/>
          </w:tcPr>
          <w:p w14:paraId="50EEC64B" w14:textId="5D6D1352"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1.061</w:t>
            </w:r>
          </w:p>
        </w:tc>
        <w:tc>
          <w:tcPr>
            <w:tcW w:w="0" w:type="auto"/>
          </w:tcPr>
          <w:p w14:paraId="733A03E2" w14:textId="60ECBE6A" w:rsidR="002122BE" w:rsidRPr="00110939" w:rsidRDefault="002122BE" w:rsidP="00D62EA6">
            <w:pPr>
              <w:bidi w:val="0"/>
              <w:jc w:val="center"/>
              <w:rPr>
                <w:rFonts w:asciiTheme="majorBidi" w:hAnsiTheme="majorBidi" w:cstheme="majorBidi"/>
                <w:noProof/>
                <w:sz w:val="20"/>
                <w:szCs w:val="20"/>
              </w:rPr>
            </w:pPr>
            <w:r w:rsidRPr="00F63AEE">
              <w:t>0.944</w:t>
            </w:r>
          </w:p>
        </w:tc>
        <w:tc>
          <w:tcPr>
            <w:tcW w:w="0" w:type="auto"/>
          </w:tcPr>
          <w:p w14:paraId="36D0AAE2" w14:textId="04BEE392"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3.31</w:t>
            </w:r>
          </w:p>
        </w:tc>
        <w:tc>
          <w:tcPr>
            <w:tcW w:w="0" w:type="auto"/>
            <w:vMerge/>
            <w:vAlign w:val="center"/>
          </w:tcPr>
          <w:p w14:paraId="13B3F0BC" w14:textId="3108B9E7" w:rsidR="002122BE" w:rsidRPr="00110939" w:rsidRDefault="002122BE" w:rsidP="00D62EA6">
            <w:pPr>
              <w:bidi w:val="0"/>
              <w:jc w:val="center"/>
              <w:rPr>
                <w:rFonts w:asciiTheme="majorBidi" w:hAnsiTheme="majorBidi" w:cstheme="majorBidi"/>
                <w:noProof/>
                <w:sz w:val="20"/>
                <w:szCs w:val="20"/>
              </w:rPr>
            </w:pPr>
          </w:p>
        </w:tc>
        <w:tc>
          <w:tcPr>
            <w:tcW w:w="0" w:type="auto"/>
            <w:gridSpan w:val="2"/>
            <w:vMerge/>
            <w:vAlign w:val="center"/>
          </w:tcPr>
          <w:p w14:paraId="6EAB4186" w14:textId="77777777" w:rsidR="002122BE" w:rsidRPr="00110939" w:rsidRDefault="002122BE" w:rsidP="00D62EA6">
            <w:pPr>
              <w:bidi w:val="0"/>
              <w:jc w:val="center"/>
              <w:rPr>
                <w:rFonts w:asciiTheme="majorBidi" w:hAnsiTheme="majorBidi" w:cstheme="majorBidi"/>
                <w:noProof/>
                <w:sz w:val="20"/>
                <w:szCs w:val="20"/>
              </w:rPr>
            </w:pPr>
          </w:p>
        </w:tc>
      </w:tr>
      <w:tr w:rsidR="002122BE" w:rsidRPr="00110939" w14:paraId="0680CE1D" w14:textId="77777777" w:rsidTr="00F83989">
        <w:tc>
          <w:tcPr>
            <w:tcW w:w="0" w:type="auto"/>
            <w:vMerge/>
            <w:vAlign w:val="center"/>
          </w:tcPr>
          <w:p w14:paraId="30FD0418" w14:textId="77777777" w:rsidR="002122BE" w:rsidRPr="00110939" w:rsidRDefault="002122BE" w:rsidP="00D62EA6">
            <w:pPr>
              <w:bidi w:val="0"/>
              <w:jc w:val="center"/>
              <w:rPr>
                <w:rFonts w:asciiTheme="majorBidi" w:hAnsiTheme="majorBidi" w:cstheme="majorBidi"/>
                <w:noProof/>
                <w:sz w:val="20"/>
                <w:szCs w:val="20"/>
              </w:rPr>
            </w:pPr>
          </w:p>
        </w:tc>
        <w:tc>
          <w:tcPr>
            <w:tcW w:w="0" w:type="auto"/>
            <w:vMerge/>
            <w:vAlign w:val="center"/>
          </w:tcPr>
          <w:p w14:paraId="7592C74F" w14:textId="77777777" w:rsidR="002122BE" w:rsidRPr="00110939" w:rsidRDefault="002122BE" w:rsidP="00D62EA6">
            <w:pPr>
              <w:bidi w:val="0"/>
              <w:jc w:val="center"/>
              <w:rPr>
                <w:rFonts w:asciiTheme="majorBidi" w:hAnsiTheme="majorBidi" w:cstheme="majorBidi"/>
                <w:noProof/>
                <w:sz w:val="20"/>
                <w:szCs w:val="20"/>
              </w:rPr>
            </w:pPr>
          </w:p>
        </w:tc>
        <w:tc>
          <w:tcPr>
            <w:tcW w:w="0" w:type="auto"/>
            <w:vAlign w:val="center"/>
          </w:tcPr>
          <w:p w14:paraId="1AF5238D" w14:textId="2657DB6E"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RCO 2</w:t>
            </w:r>
          </w:p>
        </w:tc>
        <w:tc>
          <w:tcPr>
            <w:tcW w:w="0" w:type="auto"/>
          </w:tcPr>
          <w:p w14:paraId="4961A9D2" w14:textId="3C8B1F75"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0.949</w:t>
            </w:r>
          </w:p>
        </w:tc>
        <w:tc>
          <w:tcPr>
            <w:tcW w:w="0" w:type="auto"/>
          </w:tcPr>
          <w:p w14:paraId="42BCAFB6" w14:textId="7551CB56" w:rsidR="002122BE" w:rsidRPr="00110939" w:rsidRDefault="002122BE" w:rsidP="00D62EA6">
            <w:pPr>
              <w:bidi w:val="0"/>
              <w:jc w:val="center"/>
              <w:rPr>
                <w:rFonts w:asciiTheme="majorBidi" w:hAnsiTheme="majorBidi" w:cstheme="majorBidi"/>
                <w:noProof/>
                <w:sz w:val="20"/>
                <w:szCs w:val="20"/>
              </w:rPr>
            </w:pPr>
            <w:r w:rsidRPr="00F63AEE">
              <w:t>0.507</w:t>
            </w:r>
          </w:p>
        </w:tc>
        <w:tc>
          <w:tcPr>
            <w:tcW w:w="0" w:type="auto"/>
          </w:tcPr>
          <w:p w14:paraId="591513ED" w14:textId="2A2CFEC7"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3.41</w:t>
            </w:r>
          </w:p>
        </w:tc>
        <w:tc>
          <w:tcPr>
            <w:tcW w:w="0" w:type="auto"/>
            <w:vMerge/>
            <w:vAlign w:val="center"/>
          </w:tcPr>
          <w:p w14:paraId="5BADAB76" w14:textId="7E388361" w:rsidR="002122BE" w:rsidRPr="00110939" w:rsidRDefault="002122BE" w:rsidP="00D62EA6">
            <w:pPr>
              <w:bidi w:val="0"/>
              <w:jc w:val="center"/>
              <w:rPr>
                <w:rFonts w:asciiTheme="majorBidi" w:hAnsiTheme="majorBidi" w:cstheme="majorBidi"/>
                <w:noProof/>
                <w:sz w:val="20"/>
                <w:szCs w:val="20"/>
              </w:rPr>
            </w:pPr>
          </w:p>
        </w:tc>
        <w:tc>
          <w:tcPr>
            <w:tcW w:w="0" w:type="auto"/>
            <w:gridSpan w:val="2"/>
            <w:vMerge/>
            <w:vAlign w:val="center"/>
          </w:tcPr>
          <w:p w14:paraId="489E932C" w14:textId="77777777" w:rsidR="002122BE" w:rsidRPr="00110939" w:rsidRDefault="002122BE" w:rsidP="00D62EA6">
            <w:pPr>
              <w:bidi w:val="0"/>
              <w:jc w:val="center"/>
              <w:rPr>
                <w:rFonts w:asciiTheme="majorBidi" w:hAnsiTheme="majorBidi" w:cstheme="majorBidi"/>
                <w:noProof/>
                <w:sz w:val="20"/>
                <w:szCs w:val="20"/>
              </w:rPr>
            </w:pPr>
          </w:p>
        </w:tc>
      </w:tr>
      <w:tr w:rsidR="002122BE" w:rsidRPr="00110939" w14:paraId="41C16014" w14:textId="77777777" w:rsidTr="00F83989">
        <w:tc>
          <w:tcPr>
            <w:tcW w:w="0" w:type="auto"/>
            <w:vMerge/>
            <w:vAlign w:val="center"/>
          </w:tcPr>
          <w:p w14:paraId="166FDAD2" w14:textId="77777777" w:rsidR="002122BE" w:rsidRPr="00110939" w:rsidRDefault="002122BE" w:rsidP="00D62EA6">
            <w:pPr>
              <w:bidi w:val="0"/>
              <w:jc w:val="center"/>
              <w:rPr>
                <w:rFonts w:asciiTheme="majorBidi" w:hAnsiTheme="majorBidi" w:cstheme="majorBidi"/>
                <w:noProof/>
                <w:sz w:val="20"/>
                <w:szCs w:val="20"/>
              </w:rPr>
            </w:pPr>
          </w:p>
        </w:tc>
        <w:tc>
          <w:tcPr>
            <w:tcW w:w="0" w:type="auto"/>
            <w:vMerge w:val="restart"/>
            <w:vAlign w:val="center"/>
          </w:tcPr>
          <w:p w14:paraId="5C2A6B2D" w14:textId="2891B0B5" w:rsidR="002122BE" w:rsidRPr="00110939" w:rsidRDefault="002122BE" w:rsidP="00D62EA6">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Liquidity &amp; Market-Risk Fit at Origination</w:t>
            </w:r>
          </w:p>
        </w:tc>
        <w:tc>
          <w:tcPr>
            <w:tcW w:w="0" w:type="auto"/>
            <w:vAlign w:val="center"/>
          </w:tcPr>
          <w:p w14:paraId="625E82B9" w14:textId="51676214"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RLM1</w:t>
            </w:r>
          </w:p>
        </w:tc>
        <w:tc>
          <w:tcPr>
            <w:tcW w:w="0" w:type="auto"/>
          </w:tcPr>
          <w:p w14:paraId="5EC9EA31" w14:textId="4042B035"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0.992</w:t>
            </w:r>
          </w:p>
        </w:tc>
        <w:tc>
          <w:tcPr>
            <w:tcW w:w="0" w:type="auto"/>
          </w:tcPr>
          <w:p w14:paraId="032A44BA" w14:textId="5DF2927C" w:rsidR="002122BE" w:rsidRPr="00110939" w:rsidRDefault="002122BE" w:rsidP="00D62EA6">
            <w:pPr>
              <w:bidi w:val="0"/>
              <w:jc w:val="center"/>
              <w:rPr>
                <w:rFonts w:asciiTheme="majorBidi" w:hAnsiTheme="majorBidi" w:cstheme="majorBidi"/>
                <w:noProof/>
                <w:sz w:val="20"/>
                <w:szCs w:val="20"/>
              </w:rPr>
            </w:pPr>
            <w:r w:rsidRPr="00F63AEE">
              <w:t>0.849</w:t>
            </w:r>
          </w:p>
        </w:tc>
        <w:tc>
          <w:tcPr>
            <w:tcW w:w="0" w:type="auto"/>
          </w:tcPr>
          <w:p w14:paraId="59BE5EDB" w14:textId="1B36EE9D"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3.19</w:t>
            </w:r>
          </w:p>
        </w:tc>
        <w:tc>
          <w:tcPr>
            <w:tcW w:w="0" w:type="auto"/>
            <w:vMerge/>
            <w:vAlign w:val="center"/>
          </w:tcPr>
          <w:p w14:paraId="079B4EC4" w14:textId="18AA5653" w:rsidR="002122BE" w:rsidRPr="00110939" w:rsidRDefault="002122BE" w:rsidP="00D62EA6">
            <w:pPr>
              <w:bidi w:val="0"/>
              <w:jc w:val="center"/>
              <w:rPr>
                <w:rFonts w:asciiTheme="majorBidi" w:hAnsiTheme="majorBidi" w:cstheme="majorBidi"/>
                <w:noProof/>
                <w:sz w:val="20"/>
                <w:szCs w:val="20"/>
              </w:rPr>
            </w:pPr>
          </w:p>
        </w:tc>
        <w:tc>
          <w:tcPr>
            <w:tcW w:w="0" w:type="auto"/>
            <w:gridSpan w:val="2"/>
            <w:vMerge/>
            <w:vAlign w:val="center"/>
          </w:tcPr>
          <w:p w14:paraId="0E7BE308" w14:textId="77777777" w:rsidR="002122BE" w:rsidRPr="00110939" w:rsidRDefault="002122BE" w:rsidP="00D62EA6">
            <w:pPr>
              <w:bidi w:val="0"/>
              <w:jc w:val="center"/>
              <w:rPr>
                <w:rFonts w:asciiTheme="majorBidi" w:hAnsiTheme="majorBidi" w:cstheme="majorBidi"/>
                <w:noProof/>
                <w:sz w:val="20"/>
                <w:szCs w:val="20"/>
              </w:rPr>
            </w:pPr>
          </w:p>
        </w:tc>
      </w:tr>
      <w:tr w:rsidR="002122BE" w:rsidRPr="00110939" w14:paraId="0299DEA5" w14:textId="77777777" w:rsidTr="00F83989">
        <w:tc>
          <w:tcPr>
            <w:tcW w:w="0" w:type="auto"/>
            <w:vMerge/>
            <w:vAlign w:val="center"/>
          </w:tcPr>
          <w:p w14:paraId="328FC59E" w14:textId="77777777" w:rsidR="002122BE" w:rsidRPr="00110939" w:rsidRDefault="002122BE" w:rsidP="00D62EA6">
            <w:pPr>
              <w:bidi w:val="0"/>
              <w:jc w:val="center"/>
              <w:rPr>
                <w:rFonts w:asciiTheme="majorBidi" w:hAnsiTheme="majorBidi" w:cstheme="majorBidi"/>
                <w:noProof/>
                <w:sz w:val="20"/>
                <w:szCs w:val="20"/>
              </w:rPr>
            </w:pPr>
          </w:p>
        </w:tc>
        <w:tc>
          <w:tcPr>
            <w:tcW w:w="0" w:type="auto"/>
            <w:vMerge/>
            <w:vAlign w:val="center"/>
          </w:tcPr>
          <w:p w14:paraId="509D1CE2" w14:textId="77777777" w:rsidR="002122BE" w:rsidRPr="00110939" w:rsidRDefault="002122BE" w:rsidP="00D62EA6">
            <w:pPr>
              <w:bidi w:val="0"/>
              <w:jc w:val="center"/>
              <w:rPr>
                <w:rFonts w:asciiTheme="majorBidi" w:hAnsiTheme="majorBidi" w:cstheme="majorBidi"/>
                <w:noProof/>
                <w:sz w:val="20"/>
                <w:szCs w:val="20"/>
              </w:rPr>
            </w:pPr>
          </w:p>
        </w:tc>
        <w:tc>
          <w:tcPr>
            <w:tcW w:w="0" w:type="auto"/>
            <w:vAlign w:val="center"/>
          </w:tcPr>
          <w:p w14:paraId="3669E5D1" w14:textId="5BBA3C3D" w:rsidR="002122BE" w:rsidRPr="00110939" w:rsidRDefault="002122BE" w:rsidP="00D62EA6">
            <w:pPr>
              <w:bidi w:val="0"/>
              <w:jc w:val="center"/>
              <w:rPr>
                <w:rFonts w:ascii="Arial" w:hAnsi="Arial" w:cs="Arial"/>
                <w:color w:val="010205"/>
                <w:sz w:val="20"/>
                <w:szCs w:val="20"/>
              </w:rPr>
            </w:pPr>
            <w:r w:rsidRPr="00110939">
              <w:rPr>
                <w:rFonts w:ascii="Arial" w:hAnsi="Arial" w:cs="Arial"/>
                <w:color w:val="010205"/>
                <w:sz w:val="20"/>
                <w:szCs w:val="20"/>
              </w:rPr>
              <w:t>RLM2</w:t>
            </w:r>
          </w:p>
        </w:tc>
        <w:tc>
          <w:tcPr>
            <w:tcW w:w="0" w:type="auto"/>
          </w:tcPr>
          <w:p w14:paraId="17A242FE" w14:textId="596EBFE3"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0.949</w:t>
            </w:r>
          </w:p>
        </w:tc>
        <w:tc>
          <w:tcPr>
            <w:tcW w:w="0" w:type="auto"/>
          </w:tcPr>
          <w:p w14:paraId="46F0C95D" w14:textId="3DEA7CC8" w:rsidR="002122BE" w:rsidRPr="00110939" w:rsidRDefault="002122BE" w:rsidP="00D62EA6">
            <w:pPr>
              <w:bidi w:val="0"/>
              <w:jc w:val="center"/>
              <w:rPr>
                <w:rFonts w:asciiTheme="majorBidi" w:hAnsiTheme="majorBidi" w:cstheme="majorBidi"/>
                <w:noProof/>
                <w:sz w:val="20"/>
                <w:szCs w:val="20"/>
              </w:rPr>
            </w:pPr>
            <w:r w:rsidRPr="00F63AEE">
              <w:t>0.921</w:t>
            </w:r>
          </w:p>
        </w:tc>
        <w:tc>
          <w:tcPr>
            <w:tcW w:w="0" w:type="auto"/>
          </w:tcPr>
          <w:p w14:paraId="6654C354" w14:textId="256CBA1B" w:rsidR="002122BE" w:rsidRPr="00110939" w:rsidRDefault="002122BE" w:rsidP="00D62EA6">
            <w:pPr>
              <w:bidi w:val="0"/>
              <w:jc w:val="center"/>
              <w:rPr>
                <w:rFonts w:asciiTheme="majorBidi" w:hAnsiTheme="majorBidi" w:cstheme="majorBidi"/>
                <w:noProof/>
                <w:sz w:val="20"/>
                <w:szCs w:val="20"/>
              </w:rPr>
            </w:pPr>
            <w:r>
              <w:rPr>
                <w:rFonts w:ascii="Arial" w:hAnsi="Arial" w:cs="Arial"/>
                <w:color w:val="993300"/>
                <w:sz w:val="18"/>
                <w:szCs w:val="18"/>
              </w:rPr>
              <w:t>3.24</w:t>
            </w:r>
          </w:p>
        </w:tc>
        <w:tc>
          <w:tcPr>
            <w:tcW w:w="0" w:type="auto"/>
            <w:vMerge/>
            <w:vAlign w:val="center"/>
          </w:tcPr>
          <w:p w14:paraId="1E69CC61" w14:textId="7749D3F1" w:rsidR="002122BE" w:rsidRPr="00110939" w:rsidRDefault="002122BE" w:rsidP="00D62EA6">
            <w:pPr>
              <w:bidi w:val="0"/>
              <w:jc w:val="center"/>
              <w:rPr>
                <w:rFonts w:asciiTheme="majorBidi" w:hAnsiTheme="majorBidi" w:cstheme="majorBidi"/>
                <w:noProof/>
                <w:sz w:val="20"/>
                <w:szCs w:val="20"/>
              </w:rPr>
            </w:pPr>
          </w:p>
        </w:tc>
        <w:tc>
          <w:tcPr>
            <w:tcW w:w="0" w:type="auto"/>
            <w:gridSpan w:val="2"/>
            <w:vMerge/>
            <w:vAlign w:val="center"/>
          </w:tcPr>
          <w:p w14:paraId="31937FC8" w14:textId="77777777" w:rsidR="002122BE" w:rsidRPr="00110939" w:rsidRDefault="002122BE" w:rsidP="00D62EA6">
            <w:pPr>
              <w:bidi w:val="0"/>
              <w:jc w:val="center"/>
              <w:rPr>
                <w:rFonts w:asciiTheme="majorBidi" w:hAnsiTheme="majorBidi" w:cstheme="majorBidi"/>
                <w:noProof/>
                <w:sz w:val="20"/>
                <w:szCs w:val="20"/>
              </w:rPr>
            </w:pPr>
          </w:p>
        </w:tc>
      </w:tr>
      <w:tr w:rsidR="002122BE" w:rsidRPr="00110939" w14:paraId="1F0DD800" w14:textId="77777777" w:rsidTr="00F83989">
        <w:tc>
          <w:tcPr>
            <w:tcW w:w="0" w:type="auto"/>
            <w:vMerge/>
            <w:vAlign w:val="center"/>
          </w:tcPr>
          <w:p w14:paraId="63FF2240" w14:textId="77777777" w:rsidR="002122BE" w:rsidRPr="00110939" w:rsidRDefault="002122BE" w:rsidP="002122BE">
            <w:pPr>
              <w:bidi w:val="0"/>
              <w:jc w:val="center"/>
              <w:rPr>
                <w:rFonts w:asciiTheme="majorBidi" w:hAnsiTheme="majorBidi" w:cstheme="majorBidi"/>
                <w:noProof/>
                <w:sz w:val="20"/>
                <w:szCs w:val="20"/>
              </w:rPr>
            </w:pPr>
          </w:p>
        </w:tc>
        <w:tc>
          <w:tcPr>
            <w:tcW w:w="0" w:type="auto"/>
            <w:vMerge w:val="restart"/>
            <w:vAlign w:val="center"/>
          </w:tcPr>
          <w:p w14:paraId="4DD1E7F0" w14:textId="28003E49" w:rsidR="002122BE" w:rsidRPr="00110939" w:rsidRDefault="002122BE" w:rsidP="002122BE">
            <w:pPr>
              <w:bidi w:val="0"/>
              <w:jc w:val="center"/>
              <w:rPr>
                <w:rFonts w:asciiTheme="majorBidi" w:hAnsiTheme="majorBidi" w:cstheme="majorBidi"/>
                <w:noProof/>
                <w:sz w:val="20"/>
                <w:szCs w:val="20"/>
              </w:rPr>
            </w:pPr>
            <w:r w:rsidRPr="00110939">
              <w:rPr>
                <w:rFonts w:asciiTheme="majorBidi" w:hAnsiTheme="majorBidi" w:cstheme="majorBidi"/>
                <w:sz w:val="20"/>
                <w:szCs w:val="20"/>
                <w:lang w:bidi="ar-EG"/>
              </w:rPr>
              <w:t>Operational Resilience &amp; Third-Party Risk Control</w:t>
            </w:r>
          </w:p>
        </w:tc>
        <w:tc>
          <w:tcPr>
            <w:tcW w:w="0" w:type="auto"/>
            <w:vAlign w:val="center"/>
          </w:tcPr>
          <w:p w14:paraId="08BBC83E" w14:textId="1252838A" w:rsidR="002122BE" w:rsidRPr="00110939" w:rsidRDefault="002122BE" w:rsidP="002122BE">
            <w:pPr>
              <w:bidi w:val="0"/>
              <w:jc w:val="center"/>
              <w:rPr>
                <w:rFonts w:ascii="Arial" w:hAnsi="Arial" w:cs="Arial"/>
                <w:color w:val="010205"/>
                <w:sz w:val="20"/>
                <w:szCs w:val="20"/>
              </w:rPr>
            </w:pPr>
            <w:r w:rsidRPr="00110939">
              <w:rPr>
                <w:rFonts w:ascii="Arial" w:hAnsi="Arial" w:cs="Arial"/>
                <w:color w:val="010205"/>
                <w:sz w:val="20"/>
                <w:szCs w:val="20"/>
              </w:rPr>
              <w:t>ROT1</w:t>
            </w:r>
          </w:p>
        </w:tc>
        <w:tc>
          <w:tcPr>
            <w:tcW w:w="0" w:type="auto"/>
          </w:tcPr>
          <w:p w14:paraId="26FDB523" w14:textId="08C4511E" w:rsidR="002122BE" w:rsidRPr="00110939" w:rsidRDefault="002122BE" w:rsidP="002122BE">
            <w:pPr>
              <w:bidi w:val="0"/>
              <w:jc w:val="center"/>
              <w:rPr>
                <w:rFonts w:asciiTheme="majorBidi" w:hAnsiTheme="majorBidi" w:cstheme="majorBidi"/>
                <w:noProof/>
                <w:sz w:val="20"/>
                <w:szCs w:val="20"/>
              </w:rPr>
            </w:pPr>
            <w:r>
              <w:rPr>
                <w:rFonts w:ascii="Arial" w:hAnsi="Arial" w:cs="Arial"/>
                <w:color w:val="993300"/>
                <w:sz w:val="18"/>
                <w:szCs w:val="18"/>
              </w:rPr>
              <w:t>1.026</w:t>
            </w:r>
          </w:p>
        </w:tc>
        <w:tc>
          <w:tcPr>
            <w:tcW w:w="0" w:type="auto"/>
          </w:tcPr>
          <w:p w14:paraId="6E1AC58C" w14:textId="361F5682" w:rsidR="002122BE" w:rsidRPr="00110939" w:rsidRDefault="002122BE" w:rsidP="002122BE">
            <w:pPr>
              <w:bidi w:val="0"/>
              <w:jc w:val="center"/>
              <w:rPr>
                <w:rFonts w:asciiTheme="majorBidi" w:hAnsiTheme="majorBidi" w:cstheme="majorBidi"/>
                <w:noProof/>
                <w:sz w:val="20"/>
                <w:szCs w:val="20"/>
              </w:rPr>
            </w:pPr>
          </w:p>
        </w:tc>
        <w:tc>
          <w:tcPr>
            <w:tcW w:w="0" w:type="auto"/>
          </w:tcPr>
          <w:p w14:paraId="256AA97D" w14:textId="572C52B5" w:rsidR="002122BE" w:rsidRPr="00110939" w:rsidRDefault="002122BE" w:rsidP="002122BE">
            <w:pPr>
              <w:bidi w:val="0"/>
              <w:jc w:val="center"/>
              <w:rPr>
                <w:rFonts w:asciiTheme="majorBidi" w:hAnsiTheme="majorBidi" w:cstheme="majorBidi"/>
                <w:noProof/>
                <w:sz w:val="20"/>
                <w:szCs w:val="20"/>
              </w:rPr>
            </w:pPr>
            <w:r>
              <w:rPr>
                <w:rFonts w:ascii="Arial" w:hAnsi="Arial" w:cs="Arial"/>
                <w:color w:val="993300"/>
                <w:sz w:val="18"/>
                <w:szCs w:val="18"/>
              </w:rPr>
              <w:t>3.59</w:t>
            </w:r>
          </w:p>
        </w:tc>
        <w:tc>
          <w:tcPr>
            <w:tcW w:w="0" w:type="auto"/>
            <w:vMerge/>
            <w:vAlign w:val="center"/>
          </w:tcPr>
          <w:p w14:paraId="141970CA" w14:textId="5CD6543E" w:rsidR="002122BE" w:rsidRPr="00110939" w:rsidRDefault="002122BE" w:rsidP="002122BE">
            <w:pPr>
              <w:bidi w:val="0"/>
              <w:jc w:val="center"/>
              <w:rPr>
                <w:rFonts w:asciiTheme="majorBidi" w:hAnsiTheme="majorBidi" w:cstheme="majorBidi"/>
                <w:noProof/>
                <w:sz w:val="20"/>
                <w:szCs w:val="20"/>
              </w:rPr>
            </w:pPr>
          </w:p>
        </w:tc>
        <w:tc>
          <w:tcPr>
            <w:tcW w:w="0" w:type="auto"/>
            <w:gridSpan w:val="2"/>
            <w:vMerge/>
            <w:vAlign w:val="center"/>
          </w:tcPr>
          <w:p w14:paraId="7E1FA51A" w14:textId="77777777" w:rsidR="002122BE" w:rsidRPr="00110939" w:rsidRDefault="002122BE" w:rsidP="002122BE">
            <w:pPr>
              <w:bidi w:val="0"/>
              <w:jc w:val="center"/>
              <w:rPr>
                <w:rFonts w:asciiTheme="majorBidi" w:hAnsiTheme="majorBidi" w:cstheme="majorBidi"/>
                <w:noProof/>
                <w:sz w:val="20"/>
                <w:szCs w:val="20"/>
              </w:rPr>
            </w:pPr>
          </w:p>
        </w:tc>
      </w:tr>
      <w:tr w:rsidR="002122BE" w:rsidRPr="00110939" w14:paraId="58C5FA16" w14:textId="77777777" w:rsidTr="00F83989">
        <w:tc>
          <w:tcPr>
            <w:tcW w:w="0" w:type="auto"/>
            <w:vMerge/>
            <w:vAlign w:val="center"/>
          </w:tcPr>
          <w:p w14:paraId="71242DB9" w14:textId="77777777" w:rsidR="002122BE" w:rsidRPr="00110939" w:rsidRDefault="002122BE" w:rsidP="002122BE">
            <w:pPr>
              <w:bidi w:val="0"/>
              <w:jc w:val="center"/>
              <w:rPr>
                <w:rFonts w:asciiTheme="majorBidi" w:hAnsiTheme="majorBidi" w:cstheme="majorBidi"/>
                <w:noProof/>
                <w:sz w:val="20"/>
                <w:szCs w:val="20"/>
              </w:rPr>
            </w:pPr>
          </w:p>
        </w:tc>
        <w:tc>
          <w:tcPr>
            <w:tcW w:w="0" w:type="auto"/>
            <w:vMerge/>
            <w:vAlign w:val="center"/>
          </w:tcPr>
          <w:p w14:paraId="13FAF51E" w14:textId="77777777" w:rsidR="002122BE" w:rsidRPr="00110939" w:rsidRDefault="002122BE" w:rsidP="002122BE">
            <w:pPr>
              <w:bidi w:val="0"/>
              <w:jc w:val="center"/>
              <w:rPr>
                <w:rFonts w:asciiTheme="majorBidi" w:hAnsiTheme="majorBidi" w:cstheme="majorBidi"/>
                <w:noProof/>
                <w:sz w:val="20"/>
                <w:szCs w:val="20"/>
              </w:rPr>
            </w:pPr>
          </w:p>
        </w:tc>
        <w:tc>
          <w:tcPr>
            <w:tcW w:w="0" w:type="auto"/>
            <w:vAlign w:val="center"/>
          </w:tcPr>
          <w:p w14:paraId="1D9A2A63" w14:textId="6870E7B2" w:rsidR="002122BE" w:rsidRPr="00110939" w:rsidRDefault="002122BE" w:rsidP="002122BE">
            <w:pPr>
              <w:bidi w:val="0"/>
              <w:jc w:val="center"/>
              <w:rPr>
                <w:rFonts w:ascii="Arial" w:hAnsi="Arial" w:cs="Arial"/>
                <w:color w:val="010205"/>
                <w:sz w:val="20"/>
                <w:szCs w:val="20"/>
              </w:rPr>
            </w:pPr>
            <w:r w:rsidRPr="00110939">
              <w:rPr>
                <w:rFonts w:ascii="Arial" w:hAnsi="Arial" w:cs="Arial"/>
                <w:color w:val="010205"/>
                <w:sz w:val="20"/>
                <w:szCs w:val="20"/>
              </w:rPr>
              <w:t>ROT2</w:t>
            </w:r>
          </w:p>
        </w:tc>
        <w:tc>
          <w:tcPr>
            <w:tcW w:w="0" w:type="auto"/>
          </w:tcPr>
          <w:p w14:paraId="3E58CB11" w14:textId="6E68A3B8" w:rsidR="002122BE" w:rsidRPr="00110939" w:rsidRDefault="002122BE" w:rsidP="002122BE">
            <w:pPr>
              <w:bidi w:val="0"/>
              <w:jc w:val="center"/>
              <w:rPr>
                <w:rFonts w:asciiTheme="majorBidi" w:hAnsiTheme="majorBidi" w:cstheme="majorBidi"/>
                <w:noProof/>
                <w:sz w:val="20"/>
                <w:szCs w:val="20"/>
              </w:rPr>
            </w:pPr>
            <w:r>
              <w:rPr>
                <w:rFonts w:ascii="Arial" w:hAnsi="Arial" w:cs="Arial"/>
                <w:color w:val="993300"/>
                <w:sz w:val="18"/>
                <w:szCs w:val="18"/>
              </w:rPr>
              <w:t>1.061</w:t>
            </w:r>
          </w:p>
        </w:tc>
        <w:tc>
          <w:tcPr>
            <w:tcW w:w="0" w:type="auto"/>
          </w:tcPr>
          <w:p w14:paraId="6F73205E" w14:textId="14D7906C" w:rsidR="002122BE" w:rsidRPr="00110939" w:rsidRDefault="002122BE" w:rsidP="002122BE">
            <w:pPr>
              <w:bidi w:val="0"/>
              <w:jc w:val="center"/>
              <w:rPr>
                <w:rFonts w:asciiTheme="majorBidi" w:hAnsiTheme="majorBidi" w:cstheme="majorBidi"/>
                <w:noProof/>
                <w:sz w:val="20"/>
                <w:szCs w:val="20"/>
              </w:rPr>
            </w:pPr>
          </w:p>
        </w:tc>
        <w:tc>
          <w:tcPr>
            <w:tcW w:w="0" w:type="auto"/>
          </w:tcPr>
          <w:p w14:paraId="59629B41" w14:textId="5A6DCCBC" w:rsidR="002122BE" w:rsidRPr="00110939" w:rsidRDefault="002122BE" w:rsidP="002122BE">
            <w:pPr>
              <w:bidi w:val="0"/>
              <w:jc w:val="center"/>
              <w:rPr>
                <w:rFonts w:asciiTheme="majorBidi" w:hAnsiTheme="majorBidi" w:cstheme="majorBidi"/>
                <w:noProof/>
                <w:sz w:val="20"/>
                <w:szCs w:val="20"/>
              </w:rPr>
            </w:pPr>
            <w:r>
              <w:rPr>
                <w:rFonts w:ascii="Arial" w:hAnsi="Arial" w:cs="Arial"/>
                <w:color w:val="993300"/>
                <w:sz w:val="18"/>
                <w:szCs w:val="18"/>
              </w:rPr>
              <w:t>3.31</w:t>
            </w:r>
          </w:p>
        </w:tc>
        <w:tc>
          <w:tcPr>
            <w:tcW w:w="0" w:type="auto"/>
            <w:vMerge/>
            <w:vAlign w:val="center"/>
          </w:tcPr>
          <w:p w14:paraId="2EADA425" w14:textId="07F4E785" w:rsidR="002122BE" w:rsidRPr="00110939" w:rsidRDefault="002122BE" w:rsidP="002122BE">
            <w:pPr>
              <w:bidi w:val="0"/>
              <w:jc w:val="center"/>
              <w:rPr>
                <w:rFonts w:asciiTheme="majorBidi" w:hAnsiTheme="majorBidi" w:cstheme="majorBidi"/>
                <w:noProof/>
                <w:sz w:val="20"/>
                <w:szCs w:val="20"/>
              </w:rPr>
            </w:pPr>
          </w:p>
        </w:tc>
        <w:tc>
          <w:tcPr>
            <w:tcW w:w="0" w:type="auto"/>
            <w:gridSpan w:val="2"/>
            <w:vMerge/>
            <w:vAlign w:val="center"/>
          </w:tcPr>
          <w:p w14:paraId="5E28A81B" w14:textId="77777777" w:rsidR="002122BE" w:rsidRPr="00110939" w:rsidRDefault="002122BE" w:rsidP="002122BE">
            <w:pPr>
              <w:bidi w:val="0"/>
              <w:jc w:val="center"/>
              <w:rPr>
                <w:rFonts w:asciiTheme="majorBidi" w:hAnsiTheme="majorBidi" w:cstheme="majorBidi"/>
                <w:noProof/>
                <w:sz w:val="20"/>
                <w:szCs w:val="20"/>
              </w:rPr>
            </w:pPr>
          </w:p>
        </w:tc>
      </w:tr>
    </w:tbl>
    <w:p w14:paraId="03DA9845" w14:textId="7410502D" w:rsidR="00370164" w:rsidRPr="00403F2F" w:rsidRDefault="00370164" w:rsidP="00403F2F">
      <w:pPr>
        <w:bidi w:val="0"/>
        <w:jc w:val="both"/>
        <w:rPr>
          <w:rFonts w:asciiTheme="majorBidi" w:hAnsiTheme="majorBidi" w:cstheme="majorBidi"/>
          <w:sz w:val="24"/>
          <w:szCs w:val="24"/>
        </w:rPr>
      </w:pPr>
    </w:p>
    <w:p w14:paraId="42F69F2F" w14:textId="562C55D3" w:rsidR="00DB67FD" w:rsidRDefault="00DB67FD" w:rsidP="00DB67FD">
      <w:pPr>
        <w:pStyle w:val="3"/>
        <w:rPr>
          <w:rtl/>
        </w:rPr>
      </w:pPr>
      <w:bookmarkStart w:id="160" w:name="_Toc214621189"/>
      <w:r w:rsidRPr="00855B76">
        <w:t xml:space="preserve">The Frist Variable </w:t>
      </w:r>
      <w:r w:rsidR="00C10C56" w:rsidRPr="00C10C56">
        <w:t>Functional relationship between Account Managers and Sales Teams</w:t>
      </w:r>
      <w:r>
        <w:t>:</w:t>
      </w:r>
      <w:bookmarkEnd w:id="160"/>
    </w:p>
    <w:p w14:paraId="0A45B375" w14:textId="1332F3C3" w:rsidR="00DB67FD" w:rsidRPr="00EB454A" w:rsidRDefault="00DB67FD" w:rsidP="00DB67FD">
      <w:pPr>
        <w:bidi w:val="0"/>
        <w:jc w:val="both"/>
        <w:rPr>
          <w:rFonts w:asciiTheme="majorBidi" w:hAnsiTheme="majorBidi" w:cstheme="majorBidi"/>
          <w:noProof/>
          <w:sz w:val="24"/>
          <w:szCs w:val="24"/>
        </w:rPr>
      </w:pPr>
      <w:r w:rsidRPr="00EB454A">
        <w:rPr>
          <w:rFonts w:asciiTheme="majorBidi" w:hAnsiTheme="majorBidi" w:cstheme="majorBidi"/>
          <w:noProof/>
          <w:sz w:val="24"/>
          <w:szCs w:val="24"/>
        </w:rPr>
        <w:t>In order to verify the validity and reliability of the scales used in the study, the internal consistency validity of the questionnaires used to measure the study variables was tested, in addition to measuring the convergent validity by measuring the Average Variance Extracted (AVE). Meanwhile, the reliability of the scales used in the study was measured by measuring both: Cronbach`s Alpha, Exploratory Factor Analysis, KMO and Bartlett's Test, Communities Mean, and Total Variance Explained (EigenValue) using the SPSS statistical software package (version 27)</w:t>
      </w:r>
      <w:r w:rsidRPr="00EB454A">
        <w:rPr>
          <w:rFonts w:asciiTheme="majorBidi" w:hAnsiTheme="majorBidi" w:cs="Times New Roman"/>
          <w:noProof/>
          <w:sz w:val="24"/>
          <w:szCs w:val="24"/>
          <w:rtl/>
        </w:rPr>
        <w:t>.</w:t>
      </w:r>
    </w:p>
    <w:p w14:paraId="2F0239C4" w14:textId="77777777" w:rsidR="00DB67FD" w:rsidRPr="00EB454A" w:rsidRDefault="00DB67FD" w:rsidP="00DB67FD">
      <w:pPr>
        <w:bidi w:val="0"/>
        <w:jc w:val="both"/>
        <w:rPr>
          <w:rFonts w:asciiTheme="majorBidi" w:hAnsiTheme="majorBidi" w:cstheme="majorBidi"/>
          <w:noProof/>
          <w:sz w:val="24"/>
          <w:szCs w:val="24"/>
        </w:rPr>
      </w:pPr>
      <w:r w:rsidRPr="00EB454A">
        <w:rPr>
          <w:rFonts w:asciiTheme="majorBidi" w:hAnsiTheme="majorBidi" w:cstheme="majorBidi"/>
          <w:noProof/>
          <w:sz w:val="24"/>
          <w:szCs w:val="24"/>
        </w:rPr>
        <w:t>The following paragraphs and tables illustrate this</w:t>
      </w:r>
      <w:r w:rsidRPr="00EB454A">
        <w:rPr>
          <w:rFonts w:asciiTheme="majorBidi" w:hAnsiTheme="majorBidi" w:cs="Times New Roman"/>
          <w:noProof/>
          <w:sz w:val="24"/>
          <w:szCs w:val="24"/>
          <w:rtl/>
        </w:rPr>
        <w:t>.</w:t>
      </w:r>
    </w:p>
    <w:p w14:paraId="4E7E9265" w14:textId="77777777" w:rsidR="00DB67FD" w:rsidRPr="00EB454A" w:rsidRDefault="00DB67FD" w:rsidP="00EB454A">
      <w:pPr>
        <w:pStyle w:val="4"/>
      </w:pPr>
      <w:bookmarkStart w:id="161" w:name="_Toc214621190"/>
      <w:r w:rsidRPr="00EB454A">
        <w:t>Validity of the scales used in the study</w:t>
      </w:r>
      <w:r w:rsidRPr="00EB454A">
        <w:rPr>
          <w:rtl/>
        </w:rPr>
        <w:t>:</w:t>
      </w:r>
      <w:bookmarkEnd w:id="161"/>
    </w:p>
    <w:p w14:paraId="68C3198F" w14:textId="77777777" w:rsidR="00DB67FD" w:rsidRPr="00EB454A" w:rsidRDefault="00DB67FD" w:rsidP="00DB67FD">
      <w:pPr>
        <w:bidi w:val="0"/>
        <w:jc w:val="both"/>
        <w:rPr>
          <w:rFonts w:asciiTheme="majorBidi" w:hAnsiTheme="majorBidi" w:cstheme="majorBidi"/>
          <w:noProof/>
          <w:sz w:val="24"/>
          <w:szCs w:val="24"/>
        </w:rPr>
      </w:pPr>
      <w:r w:rsidRPr="00EB454A">
        <w:rPr>
          <w:rFonts w:asciiTheme="majorBidi" w:hAnsiTheme="majorBidi" w:cstheme="majorBidi"/>
          <w:noProof/>
          <w:sz w:val="24"/>
          <w:szCs w:val="24"/>
        </w:rPr>
        <w:t>The internal consistency validity of the scales used to measure the study variables was tested, in addition to measuring the convergent validity by measuring the Average Variance Extracted (AVE)a and Exploratory Factor Analysis</w:t>
      </w:r>
      <w:r w:rsidRPr="00EB454A">
        <w:rPr>
          <w:rFonts w:asciiTheme="majorBidi" w:hAnsiTheme="majorBidi" w:cs="Times New Roman"/>
          <w:noProof/>
          <w:sz w:val="24"/>
          <w:szCs w:val="24"/>
          <w:rtl/>
        </w:rPr>
        <w:t>.</w:t>
      </w:r>
    </w:p>
    <w:p w14:paraId="1FB8803B" w14:textId="77777777" w:rsidR="00DB67FD" w:rsidRPr="0083188A" w:rsidRDefault="00DB67FD" w:rsidP="002E6F27">
      <w:pPr>
        <w:pStyle w:val="a5"/>
        <w:numPr>
          <w:ilvl w:val="0"/>
          <w:numId w:val="68"/>
        </w:numPr>
        <w:bidi w:val="0"/>
        <w:jc w:val="both"/>
        <w:rPr>
          <w:rFonts w:asciiTheme="majorBidi" w:hAnsiTheme="majorBidi" w:cstheme="majorBidi"/>
          <w:noProof/>
          <w:sz w:val="28"/>
          <w:szCs w:val="28"/>
        </w:rPr>
      </w:pPr>
      <w:r w:rsidRPr="0083188A">
        <w:rPr>
          <w:rFonts w:asciiTheme="majorBidi" w:hAnsiTheme="majorBidi" w:cstheme="majorBidi"/>
          <w:noProof/>
          <w:sz w:val="28"/>
          <w:szCs w:val="28"/>
        </w:rPr>
        <w:t>Internal consistency validity: It means the extent of consistency of each statement of the questionnaire for the variable to which it belongs, so the researcher measured the internal consistency of the questionnaires by calculating the correlation coefficients between the score of each statement and the total score of the variable to which it belongs. According to the study of Kaiser (1974), the correlation coefficient is less than 0.5 and is removed from the questionnaire</w:t>
      </w:r>
      <w:r w:rsidRPr="0083188A">
        <w:rPr>
          <w:rFonts w:asciiTheme="majorBidi" w:hAnsiTheme="majorBidi" w:cs="Times New Roman"/>
          <w:noProof/>
          <w:sz w:val="28"/>
          <w:szCs w:val="28"/>
          <w:rtl/>
        </w:rPr>
        <w:t>.</w:t>
      </w:r>
    </w:p>
    <w:p w14:paraId="041C25E3" w14:textId="77777777" w:rsidR="00DB67FD" w:rsidRPr="0083188A" w:rsidRDefault="00DB67FD" w:rsidP="002E6F27">
      <w:pPr>
        <w:pStyle w:val="a5"/>
        <w:numPr>
          <w:ilvl w:val="0"/>
          <w:numId w:val="68"/>
        </w:numPr>
        <w:bidi w:val="0"/>
        <w:jc w:val="both"/>
        <w:rPr>
          <w:rFonts w:asciiTheme="majorBidi" w:hAnsiTheme="majorBidi" w:cstheme="majorBidi"/>
          <w:noProof/>
          <w:sz w:val="28"/>
          <w:szCs w:val="28"/>
        </w:rPr>
      </w:pPr>
      <w:r w:rsidRPr="0083188A">
        <w:rPr>
          <w:rFonts w:asciiTheme="majorBidi" w:hAnsiTheme="majorBidi" w:cstheme="majorBidi"/>
          <w:noProof/>
          <w:sz w:val="28"/>
          <w:szCs w:val="28"/>
        </w:rPr>
        <w:t>Convergent validity: The average variance between the statements that measure the same scale is measured by calculating the Exploratory Factor Analysis and the average extracted variance AVE, which must have a value greater than 0.5 according to (Hair et al. 2006)</w:t>
      </w:r>
    </w:p>
    <w:p w14:paraId="46E62FC2" w14:textId="77777777" w:rsidR="00DB67FD" w:rsidRPr="0083188A" w:rsidRDefault="00DB67FD" w:rsidP="00DB67FD">
      <w:pPr>
        <w:bidi w:val="0"/>
        <w:jc w:val="both"/>
        <w:rPr>
          <w:rFonts w:asciiTheme="majorBidi" w:hAnsiTheme="majorBidi" w:cstheme="majorBidi"/>
          <w:noProof/>
          <w:sz w:val="28"/>
          <w:szCs w:val="28"/>
          <w:rtl/>
        </w:rPr>
      </w:pPr>
      <w:r w:rsidRPr="0083188A">
        <w:rPr>
          <w:rFonts w:asciiTheme="majorBidi" w:hAnsiTheme="majorBidi" w:cstheme="majorBidi"/>
          <w:noProof/>
          <w:sz w:val="28"/>
          <w:szCs w:val="28"/>
        </w:rPr>
        <w:t>The following tables show the statistical results between the score of each statement and the total score of the variable to measure the internal consistency validity of the questionnaires. Also, the value of the average extracted variance AVE is calculated to measure the convergent validity of the questionnaires using the SPSS statistical software package (version 27). , as follows</w:t>
      </w:r>
      <w:r w:rsidRPr="0083188A">
        <w:rPr>
          <w:rFonts w:asciiTheme="majorBidi" w:hAnsiTheme="majorBidi" w:cs="Times New Roman"/>
          <w:noProof/>
          <w:sz w:val="28"/>
          <w:szCs w:val="28"/>
          <w:rtl/>
        </w:rPr>
        <w:t>:</w:t>
      </w:r>
    </w:p>
    <w:p w14:paraId="042D46A1" w14:textId="77777777" w:rsidR="00DB67FD" w:rsidRDefault="00DB67FD" w:rsidP="00DB67FD">
      <w:pPr>
        <w:pStyle w:val="ad"/>
      </w:pPr>
    </w:p>
    <w:p w14:paraId="2A483CFF" w14:textId="157B5FB0" w:rsidR="00DB67FD" w:rsidRDefault="00DB67FD" w:rsidP="00DB67FD">
      <w:pPr>
        <w:pStyle w:val="ad"/>
      </w:pPr>
      <w:bookmarkStart w:id="162" w:name="_Toc214622017"/>
      <w:r>
        <w:t xml:space="preserve">Table </w:t>
      </w:r>
      <w:r>
        <w:fldChar w:fldCharType="begin"/>
      </w:r>
      <w:r>
        <w:instrText xml:space="preserve"> SEQ Table \* ARABIC </w:instrText>
      </w:r>
      <w:r>
        <w:fldChar w:fldCharType="separate"/>
      </w:r>
      <w:r w:rsidR="00CD4CCF">
        <w:t>11</w:t>
      </w:r>
      <w:r>
        <w:fldChar w:fldCharType="end"/>
      </w:r>
      <w:r>
        <w:t xml:space="preserve">: </w:t>
      </w:r>
      <w:r w:rsidRPr="000D1D06">
        <w:t>Exploratory Factor Analysis</w:t>
      </w:r>
      <w:bookmarkEnd w:id="162"/>
    </w:p>
    <w:tbl>
      <w:tblPr>
        <w:tblW w:w="5000" w:type="pct"/>
        <w:tblLayout w:type="fixed"/>
        <w:tblLook w:val="04A0" w:firstRow="1" w:lastRow="0" w:firstColumn="1" w:lastColumn="0" w:noHBand="0" w:noVBand="1"/>
      </w:tblPr>
      <w:tblGrid>
        <w:gridCol w:w="851"/>
        <w:gridCol w:w="1709"/>
        <w:gridCol w:w="2208"/>
        <w:gridCol w:w="1843"/>
        <w:gridCol w:w="2460"/>
      </w:tblGrid>
      <w:tr w:rsidR="004460E3" w:rsidRPr="004460E3" w14:paraId="57B44A90" w14:textId="77777777" w:rsidTr="004460E3">
        <w:trPr>
          <w:trHeight w:val="20"/>
        </w:trPr>
        <w:tc>
          <w:tcPr>
            <w:tcW w:w="5000" w:type="pct"/>
            <w:gridSpan w:val="5"/>
            <w:tcBorders>
              <w:top w:val="nil"/>
              <w:left w:val="nil"/>
              <w:bottom w:val="nil"/>
              <w:right w:val="nil"/>
            </w:tcBorders>
            <w:vAlign w:val="center"/>
            <w:hideMark/>
          </w:tcPr>
          <w:p w14:paraId="20181A43" w14:textId="77777777" w:rsidR="004460E3" w:rsidRPr="004460E3" w:rsidRDefault="004460E3" w:rsidP="004460E3">
            <w:pPr>
              <w:bidi w:val="0"/>
              <w:spacing w:after="0" w:line="240" w:lineRule="auto"/>
              <w:jc w:val="center"/>
              <w:rPr>
                <w:rFonts w:ascii="Arial Bold" w:eastAsia="Times New Roman" w:hAnsi="Arial Bold" w:cs="Arial"/>
                <w:b/>
                <w:bCs/>
                <w:color w:val="000000" w:themeColor="text1"/>
                <w:kern w:val="0"/>
                <w14:ligatures w14:val="none"/>
              </w:rPr>
            </w:pPr>
            <w:r w:rsidRPr="004460E3">
              <w:rPr>
                <w:rFonts w:ascii="Arial Bold" w:eastAsia="Times New Roman" w:hAnsi="Arial Bold" w:cs="Arial"/>
                <w:b/>
                <w:bCs/>
                <w:color w:val="000000" w:themeColor="text1"/>
                <w:kern w:val="0"/>
                <w14:ligatures w14:val="none"/>
              </w:rPr>
              <w:t>Rotated Component Matrix</w:t>
            </w:r>
            <w:r w:rsidRPr="004460E3">
              <w:rPr>
                <w:rFonts w:ascii="Arial Bold" w:eastAsia="Times New Roman" w:hAnsi="Arial Bold" w:cs="Arial"/>
                <w:b/>
                <w:bCs/>
                <w:color w:val="000000" w:themeColor="text1"/>
                <w:kern w:val="0"/>
                <w:vertAlign w:val="superscript"/>
                <w14:ligatures w14:val="none"/>
              </w:rPr>
              <w:t>a</w:t>
            </w:r>
          </w:p>
        </w:tc>
      </w:tr>
      <w:tr w:rsidR="004460E3" w:rsidRPr="004460E3" w14:paraId="20BC4B12" w14:textId="77777777" w:rsidTr="004460E3">
        <w:trPr>
          <w:trHeight w:val="20"/>
        </w:trPr>
        <w:tc>
          <w:tcPr>
            <w:tcW w:w="469" w:type="pct"/>
            <w:vMerge w:val="restart"/>
            <w:tcBorders>
              <w:top w:val="nil"/>
              <w:left w:val="nil"/>
              <w:bottom w:val="single" w:sz="4" w:space="0" w:color="993366"/>
              <w:right w:val="nil"/>
            </w:tcBorders>
            <w:vAlign w:val="bottom"/>
            <w:hideMark/>
          </w:tcPr>
          <w:p w14:paraId="3A9D686E" w14:textId="77777777" w:rsidR="004460E3" w:rsidRPr="004460E3" w:rsidRDefault="004460E3" w:rsidP="004460E3">
            <w:pPr>
              <w:bidi w:val="0"/>
              <w:spacing w:after="0" w:line="240" w:lineRule="auto"/>
              <w:jc w:val="center"/>
              <w:rPr>
                <w:rFonts w:ascii="Arial Bold" w:eastAsia="Times New Roman" w:hAnsi="Arial Bold" w:cs="Arial"/>
                <w:b/>
                <w:bCs/>
                <w:color w:val="000000" w:themeColor="text1"/>
                <w:kern w:val="0"/>
                <w14:ligatures w14:val="none"/>
              </w:rPr>
            </w:pPr>
          </w:p>
        </w:tc>
        <w:tc>
          <w:tcPr>
            <w:tcW w:w="4531" w:type="pct"/>
            <w:gridSpan w:val="4"/>
            <w:tcBorders>
              <w:top w:val="nil"/>
              <w:left w:val="nil"/>
              <w:bottom w:val="nil"/>
              <w:right w:val="single" w:sz="4" w:space="0" w:color="333333"/>
            </w:tcBorders>
            <w:vAlign w:val="bottom"/>
            <w:hideMark/>
          </w:tcPr>
          <w:p w14:paraId="43BC0FF0" w14:textId="77777777" w:rsidR="004460E3" w:rsidRPr="004460E3" w:rsidRDefault="004460E3" w:rsidP="004460E3">
            <w:pPr>
              <w:bidi w:val="0"/>
              <w:spacing w:after="0" w:line="240" w:lineRule="auto"/>
              <w:jc w:val="center"/>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Component</w:t>
            </w:r>
          </w:p>
        </w:tc>
      </w:tr>
      <w:tr w:rsidR="004460E3" w:rsidRPr="004460E3" w14:paraId="76093BA6" w14:textId="77777777" w:rsidTr="004460E3">
        <w:trPr>
          <w:trHeight w:val="20"/>
        </w:trPr>
        <w:tc>
          <w:tcPr>
            <w:tcW w:w="469" w:type="pct"/>
            <w:vMerge/>
            <w:tcBorders>
              <w:top w:val="nil"/>
              <w:left w:val="nil"/>
              <w:bottom w:val="single" w:sz="4" w:space="0" w:color="993366"/>
              <w:right w:val="nil"/>
            </w:tcBorders>
            <w:vAlign w:val="center"/>
            <w:hideMark/>
          </w:tcPr>
          <w:p w14:paraId="7298C60E" w14:textId="77777777" w:rsidR="004460E3" w:rsidRPr="004460E3" w:rsidRDefault="004460E3" w:rsidP="004460E3">
            <w:pPr>
              <w:bidi w:val="0"/>
              <w:spacing w:after="0" w:line="240" w:lineRule="auto"/>
              <w:rPr>
                <w:rFonts w:ascii="Arial Bold" w:eastAsia="Times New Roman" w:hAnsi="Arial Bold" w:cs="Arial"/>
                <w:b/>
                <w:bCs/>
                <w:color w:val="000000" w:themeColor="text1"/>
                <w:kern w:val="0"/>
                <w14:ligatures w14:val="none"/>
              </w:rPr>
            </w:pPr>
          </w:p>
        </w:tc>
        <w:tc>
          <w:tcPr>
            <w:tcW w:w="942" w:type="pct"/>
            <w:tcBorders>
              <w:top w:val="nil"/>
              <w:left w:val="nil"/>
              <w:bottom w:val="single" w:sz="4" w:space="0" w:color="993366"/>
              <w:right w:val="single" w:sz="4" w:space="0" w:color="333333"/>
            </w:tcBorders>
            <w:noWrap/>
            <w:vAlign w:val="bottom"/>
            <w:hideMark/>
          </w:tcPr>
          <w:p w14:paraId="69F30317" w14:textId="77777777" w:rsidR="004460E3" w:rsidRPr="004460E3" w:rsidRDefault="004460E3" w:rsidP="004460E3">
            <w:pPr>
              <w:bidi w:val="0"/>
              <w:spacing w:after="0" w:line="240" w:lineRule="auto"/>
              <w:jc w:val="center"/>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Communication Quality &amp; Cadence</w:t>
            </w:r>
          </w:p>
        </w:tc>
        <w:tc>
          <w:tcPr>
            <w:tcW w:w="1217" w:type="pct"/>
            <w:tcBorders>
              <w:top w:val="nil"/>
              <w:left w:val="nil"/>
              <w:bottom w:val="single" w:sz="4" w:space="0" w:color="993366"/>
              <w:right w:val="single" w:sz="4" w:space="0" w:color="333333"/>
            </w:tcBorders>
            <w:noWrap/>
            <w:vAlign w:val="bottom"/>
            <w:hideMark/>
          </w:tcPr>
          <w:p w14:paraId="2ACA7AE0" w14:textId="77777777" w:rsidR="004460E3" w:rsidRPr="004460E3" w:rsidRDefault="004460E3" w:rsidP="004460E3">
            <w:pPr>
              <w:bidi w:val="0"/>
              <w:spacing w:after="0" w:line="240" w:lineRule="auto"/>
              <w:jc w:val="center"/>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Information Sharing &amp; Data Integration</w:t>
            </w:r>
          </w:p>
        </w:tc>
        <w:tc>
          <w:tcPr>
            <w:tcW w:w="1016" w:type="pct"/>
            <w:tcBorders>
              <w:top w:val="nil"/>
              <w:left w:val="nil"/>
              <w:bottom w:val="single" w:sz="4" w:space="0" w:color="993366"/>
              <w:right w:val="single" w:sz="4" w:space="0" w:color="333333"/>
            </w:tcBorders>
            <w:noWrap/>
            <w:vAlign w:val="bottom"/>
            <w:hideMark/>
          </w:tcPr>
          <w:p w14:paraId="34D89DF8" w14:textId="77777777" w:rsidR="004460E3" w:rsidRPr="004460E3" w:rsidRDefault="004460E3" w:rsidP="004460E3">
            <w:pPr>
              <w:bidi w:val="0"/>
              <w:spacing w:after="0" w:line="240" w:lineRule="auto"/>
              <w:jc w:val="center"/>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Goal/KPI &amp; Incentive Alignment</w:t>
            </w:r>
          </w:p>
        </w:tc>
        <w:tc>
          <w:tcPr>
            <w:tcW w:w="1356" w:type="pct"/>
            <w:tcBorders>
              <w:top w:val="nil"/>
              <w:left w:val="nil"/>
              <w:bottom w:val="single" w:sz="4" w:space="0" w:color="993366"/>
              <w:right w:val="nil"/>
            </w:tcBorders>
            <w:noWrap/>
            <w:vAlign w:val="bottom"/>
            <w:hideMark/>
          </w:tcPr>
          <w:p w14:paraId="75310E94" w14:textId="77777777" w:rsidR="004460E3" w:rsidRPr="004460E3" w:rsidRDefault="004460E3" w:rsidP="004460E3">
            <w:pPr>
              <w:bidi w:val="0"/>
              <w:spacing w:after="0" w:line="240" w:lineRule="auto"/>
              <w:jc w:val="center"/>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Decision Rights &amp; Escalation Clarity (RACI)</w:t>
            </w:r>
          </w:p>
        </w:tc>
      </w:tr>
      <w:tr w:rsidR="004460E3" w:rsidRPr="004460E3" w14:paraId="526DB1B1"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5B42411F"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FCQ1</w:t>
            </w:r>
          </w:p>
        </w:tc>
        <w:tc>
          <w:tcPr>
            <w:tcW w:w="942" w:type="pct"/>
            <w:tcBorders>
              <w:top w:val="nil"/>
              <w:left w:val="nil"/>
              <w:bottom w:val="single" w:sz="4" w:space="0" w:color="C0C0C0"/>
              <w:right w:val="single" w:sz="4" w:space="0" w:color="333333"/>
            </w:tcBorders>
            <w:shd w:val="clear" w:color="000000" w:fill="FFFFFF"/>
            <w:noWrap/>
            <w:hideMark/>
          </w:tcPr>
          <w:p w14:paraId="17C918CF"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0.830</w:t>
            </w:r>
          </w:p>
        </w:tc>
        <w:tc>
          <w:tcPr>
            <w:tcW w:w="1217" w:type="pct"/>
            <w:tcBorders>
              <w:top w:val="nil"/>
              <w:left w:val="nil"/>
              <w:bottom w:val="single" w:sz="4" w:space="0" w:color="C0C0C0"/>
              <w:right w:val="single" w:sz="4" w:space="0" w:color="333333"/>
            </w:tcBorders>
            <w:shd w:val="clear" w:color="000000" w:fill="FFFFFF"/>
            <w:hideMark/>
          </w:tcPr>
          <w:p w14:paraId="18C968CF"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C0C0C0"/>
              <w:right w:val="single" w:sz="4" w:space="0" w:color="333333"/>
            </w:tcBorders>
            <w:shd w:val="clear" w:color="000000" w:fill="FFFFFF"/>
            <w:hideMark/>
          </w:tcPr>
          <w:p w14:paraId="01C69C1A"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C0C0C0"/>
              <w:right w:val="nil"/>
            </w:tcBorders>
            <w:shd w:val="clear" w:color="000000" w:fill="FFFFFF"/>
            <w:noWrap/>
            <w:hideMark/>
          </w:tcPr>
          <w:p w14:paraId="3B5F4F30"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5F112F3F"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5546A832"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FCQ2</w:t>
            </w:r>
          </w:p>
        </w:tc>
        <w:tc>
          <w:tcPr>
            <w:tcW w:w="942" w:type="pct"/>
            <w:tcBorders>
              <w:top w:val="nil"/>
              <w:left w:val="nil"/>
              <w:bottom w:val="single" w:sz="4" w:space="0" w:color="C0C0C0"/>
              <w:right w:val="single" w:sz="4" w:space="0" w:color="333333"/>
            </w:tcBorders>
            <w:shd w:val="clear" w:color="000000" w:fill="FFFFFF"/>
            <w:noWrap/>
            <w:hideMark/>
          </w:tcPr>
          <w:p w14:paraId="12AF584A"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0.717</w:t>
            </w:r>
          </w:p>
        </w:tc>
        <w:tc>
          <w:tcPr>
            <w:tcW w:w="1217" w:type="pct"/>
            <w:tcBorders>
              <w:top w:val="nil"/>
              <w:left w:val="nil"/>
              <w:bottom w:val="single" w:sz="4" w:space="0" w:color="C0C0C0"/>
              <w:right w:val="single" w:sz="4" w:space="0" w:color="333333"/>
            </w:tcBorders>
            <w:shd w:val="clear" w:color="000000" w:fill="FFFFFF"/>
            <w:noWrap/>
            <w:hideMark/>
          </w:tcPr>
          <w:p w14:paraId="6BDAC55A"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C0C0C0"/>
              <w:right w:val="single" w:sz="4" w:space="0" w:color="333333"/>
            </w:tcBorders>
            <w:shd w:val="clear" w:color="000000" w:fill="FFFFFF"/>
            <w:noWrap/>
            <w:hideMark/>
          </w:tcPr>
          <w:p w14:paraId="42D20FEC"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C0C0C0"/>
              <w:right w:val="nil"/>
            </w:tcBorders>
            <w:shd w:val="clear" w:color="000000" w:fill="FFFFFF"/>
            <w:hideMark/>
          </w:tcPr>
          <w:p w14:paraId="0FB99EE3"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06C12877"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314E7A59"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FID1</w:t>
            </w:r>
          </w:p>
        </w:tc>
        <w:tc>
          <w:tcPr>
            <w:tcW w:w="942" w:type="pct"/>
            <w:tcBorders>
              <w:top w:val="nil"/>
              <w:left w:val="nil"/>
              <w:bottom w:val="single" w:sz="4" w:space="0" w:color="C0C0C0"/>
              <w:right w:val="single" w:sz="4" w:space="0" w:color="333333"/>
            </w:tcBorders>
            <w:shd w:val="clear" w:color="000000" w:fill="FFFFFF"/>
            <w:noWrap/>
            <w:hideMark/>
          </w:tcPr>
          <w:p w14:paraId="2AB888D7"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C0C0C0"/>
              <w:right w:val="single" w:sz="4" w:space="0" w:color="333333"/>
            </w:tcBorders>
            <w:shd w:val="clear" w:color="000000" w:fill="FFFFFF"/>
            <w:noWrap/>
            <w:hideMark/>
          </w:tcPr>
          <w:p w14:paraId="04667826"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0.444</w:t>
            </w:r>
          </w:p>
        </w:tc>
        <w:tc>
          <w:tcPr>
            <w:tcW w:w="1016" w:type="pct"/>
            <w:tcBorders>
              <w:top w:val="nil"/>
              <w:left w:val="nil"/>
              <w:bottom w:val="single" w:sz="4" w:space="0" w:color="C0C0C0"/>
              <w:right w:val="single" w:sz="4" w:space="0" w:color="333333"/>
            </w:tcBorders>
            <w:shd w:val="clear" w:color="000000" w:fill="FFFFFF"/>
            <w:hideMark/>
          </w:tcPr>
          <w:p w14:paraId="6A1C0DB0"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C0C0C0"/>
              <w:right w:val="nil"/>
            </w:tcBorders>
            <w:shd w:val="clear" w:color="000000" w:fill="FFFFFF"/>
            <w:hideMark/>
          </w:tcPr>
          <w:p w14:paraId="51460881"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64DA646E"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3B3A0A6A"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FID2</w:t>
            </w:r>
          </w:p>
        </w:tc>
        <w:tc>
          <w:tcPr>
            <w:tcW w:w="942" w:type="pct"/>
            <w:tcBorders>
              <w:top w:val="nil"/>
              <w:left w:val="nil"/>
              <w:bottom w:val="single" w:sz="4" w:space="0" w:color="C0C0C0"/>
              <w:right w:val="single" w:sz="4" w:space="0" w:color="333333"/>
            </w:tcBorders>
            <w:shd w:val="clear" w:color="000000" w:fill="FFFFFF"/>
            <w:hideMark/>
          </w:tcPr>
          <w:p w14:paraId="3CAE4C4A"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C0C0C0"/>
              <w:right w:val="single" w:sz="4" w:space="0" w:color="333333"/>
            </w:tcBorders>
            <w:shd w:val="clear" w:color="000000" w:fill="FFFFFF"/>
            <w:noWrap/>
            <w:hideMark/>
          </w:tcPr>
          <w:p w14:paraId="05B18D2D"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0.874</w:t>
            </w:r>
          </w:p>
        </w:tc>
        <w:tc>
          <w:tcPr>
            <w:tcW w:w="1016" w:type="pct"/>
            <w:tcBorders>
              <w:top w:val="nil"/>
              <w:left w:val="nil"/>
              <w:bottom w:val="single" w:sz="4" w:space="0" w:color="C0C0C0"/>
              <w:right w:val="single" w:sz="4" w:space="0" w:color="333333"/>
            </w:tcBorders>
            <w:shd w:val="clear" w:color="000000" w:fill="FFFFFF"/>
            <w:hideMark/>
          </w:tcPr>
          <w:p w14:paraId="0781A61B"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C0C0C0"/>
              <w:right w:val="nil"/>
            </w:tcBorders>
            <w:shd w:val="clear" w:color="000000" w:fill="FFFFFF"/>
            <w:hideMark/>
          </w:tcPr>
          <w:p w14:paraId="13CE1A7A"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0037ADDD"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294BACF3"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FGI1</w:t>
            </w:r>
          </w:p>
        </w:tc>
        <w:tc>
          <w:tcPr>
            <w:tcW w:w="942" w:type="pct"/>
            <w:tcBorders>
              <w:top w:val="nil"/>
              <w:left w:val="nil"/>
              <w:bottom w:val="single" w:sz="4" w:space="0" w:color="C0C0C0"/>
              <w:right w:val="single" w:sz="4" w:space="0" w:color="333333"/>
            </w:tcBorders>
            <w:shd w:val="clear" w:color="000000" w:fill="FFFFFF"/>
            <w:noWrap/>
            <w:hideMark/>
          </w:tcPr>
          <w:p w14:paraId="5736A9B6"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C0C0C0"/>
              <w:right w:val="single" w:sz="4" w:space="0" w:color="333333"/>
            </w:tcBorders>
            <w:shd w:val="clear" w:color="000000" w:fill="FFFFFF"/>
            <w:noWrap/>
            <w:hideMark/>
          </w:tcPr>
          <w:p w14:paraId="6719973D"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C0C0C0"/>
              <w:right w:val="single" w:sz="4" w:space="0" w:color="333333"/>
            </w:tcBorders>
            <w:shd w:val="clear" w:color="000000" w:fill="FFFFFF"/>
            <w:noWrap/>
            <w:hideMark/>
          </w:tcPr>
          <w:p w14:paraId="5BCBDD1E"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0.405</w:t>
            </w:r>
          </w:p>
        </w:tc>
        <w:tc>
          <w:tcPr>
            <w:tcW w:w="1356" w:type="pct"/>
            <w:tcBorders>
              <w:top w:val="nil"/>
              <w:left w:val="nil"/>
              <w:bottom w:val="single" w:sz="4" w:space="0" w:color="C0C0C0"/>
              <w:right w:val="nil"/>
            </w:tcBorders>
            <w:shd w:val="clear" w:color="000000" w:fill="FFFFFF"/>
            <w:noWrap/>
            <w:hideMark/>
          </w:tcPr>
          <w:p w14:paraId="36EEBF8F"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4E87C34F"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7315B3C0"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FGI2</w:t>
            </w:r>
          </w:p>
        </w:tc>
        <w:tc>
          <w:tcPr>
            <w:tcW w:w="942" w:type="pct"/>
            <w:tcBorders>
              <w:top w:val="nil"/>
              <w:left w:val="nil"/>
              <w:bottom w:val="single" w:sz="4" w:space="0" w:color="C0C0C0"/>
              <w:right w:val="single" w:sz="4" w:space="0" w:color="333333"/>
            </w:tcBorders>
            <w:shd w:val="clear" w:color="000000" w:fill="FFFFFF"/>
            <w:hideMark/>
          </w:tcPr>
          <w:p w14:paraId="229DBCFF"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C0C0C0"/>
              <w:right w:val="single" w:sz="4" w:space="0" w:color="333333"/>
            </w:tcBorders>
            <w:shd w:val="clear" w:color="000000" w:fill="FFFFFF"/>
            <w:noWrap/>
            <w:hideMark/>
          </w:tcPr>
          <w:p w14:paraId="1868483F"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C0C0C0"/>
              <w:right w:val="single" w:sz="4" w:space="0" w:color="333333"/>
            </w:tcBorders>
            <w:shd w:val="clear" w:color="000000" w:fill="FFFFFF"/>
            <w:noWrap/>
            <w:hideMark/>
          </w:tcPr>
          <w:p w14:paraId="73A868E8"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0.717</w:t>
            </w:r>
          </w:p>
        </w:tc>
        <w:tc>
          <w:tcPr>
            <w:tcW w:w="1356" w:type="pct"/>
            <w:tcBorders>
              <w:top w:val="nil"/>
              <w:left w:val="nil"/>
              <w:bottom w:val="single" w:sz="4" w:space="0" w:color="C0C0C0"/>
              <w:right w:val="nil"/>
            </w:tcBorders>
            <w:shd w:val="clear" w:color="000000" w:fill="FFFFFF"/>
            <w:hideMark/>
          </w:tcPr>
          <w:p w14:paraId="1ECD8C30"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39B4D041" w14:textId="77777777" w:rsidTr="004460E3">
        <w:trPr>
          <w:trHeight w:val="20"/>
        </w:trPr>
        <w:tc>
          <w:tcPr>
            <w:tcW w:w="469" w:type="pct"/>
            <w:tcBorders>
              <w:top w:val="nil"/>
              <w:left w:val="nil"/>
              <w:bottom w:val="single" w:sz="4" w:space="0" w:color="C0C0C0"/>
              <w:right w:val="nil"/>
            </w:tcBorders>
            <w:shd w:val="clear" w:color="auto" w:fill="F2F2F2" w:themeFill="background1" w:themeFillShade="F2"/>
            <w:hideMark/>
          </w:tcPr>
          <w:p w14:paraId="495C9E8A"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FDE1</w:t>
            </w:r>
          </w:p>
        </w:tc>
        <w:tc>
          <w:tcPr>
            <w:tcW w:w="942" w:type="pct"/>
            <w:tcBorders>
              <w:top w:val="nil"/>
              <w:left w:val="nil"/>
              <w:bottom w:val="single" w:sz="4" w:space="0" w:color="C0C0C0"/>
              <w:right w:val="single" w:sz="4" w:space="0" w:color="333333"/>
            </w:tcBorders>
            <w:shd w:val="clear" w:color="000000" w:fill="FFFFFF"/>
            <w:noWrap/>
            <w:hideMark/>
          </w:tcPr>
          <w:p w14:paraId="013B031B"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C0C0C0"/>
              <w:right w:val="single" w:sz="4" w:space="0" w:color="333333"/>
            </w:tcBorders>
            <w:shd w:val="clear" w:color="000000" w:fill="FFFFFF"/>
            <w:hideMark/>
          </w:tcPr>
          <w:p w14:paraId="4FF2D6A9"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C0C0C0"/>
              <w:right w:val="single" w:sz="4" w:space="0" w:color="333333"/>
            </w:tcBorders>
            <w:shd w:val="clear" w:color="000000" w:fill="FFFFFF"/>
            <w:noWrap/>
            <w:hideMark/>
          </w:tcPr>
          <w:p w14:paraId="3221DF8C"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C0C0C0"/>
              <w:right w:val="nil"/>
            </w:tcBorders>
            <w:shd w:val="clear" w:color="000000" w:fill="FFFFFF"/>
            <w:hideMark/>
          </w:tcPr>
          <w:p w14:paraId="5889CE1B"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r>
      <w:tr w:rsidR="004460E3" w:rsidRPr="004460E3" w14:paraId="2378A602" w14:textId="77777777" w:rsidTr="004460E3">
        <w:trPr>
          <w:trHeight w:val="20"/>
        </w:trPr>
        <w:tc>
          <w:tcPr>
            <w:tcW w:w="469" w:type="pct"/>
            <w:tcBorders>
              <w:top w:val="nil"/>
              <w:left w:val="nil"/>
              <w:bottom w:val="single" w:sz="4" w:space="0" w:color="993366"/>
              <w:right w:val="nil"/>
            </w:tcBorders>
            <w:shd w:val="clear" w:color="auto" w:fill="F2F2F2" w:themeFill="background1" w:themeFillShade="F2"/>
            <w:hideMark/>
          </w:tcPr>
          <w:p w14:paraId="68A61D69" w14:textId="77777777" w:rsidR="004460E3" w:rsidRPr="004460E3" w:rsidRDefault="004460E3" w:rsidP="004460E3">
            <w:pPr>
              <w:bidi w:val="0"/>
              <w:spacing w:after="0" w:line="240" w:lineRule="auto"/>
              <w:rPr>
                <w:rFonts w:ascii="Arial" w:eastAsia="Times New Roman" w:hAnsi="Arial" w:cs="Arial"/>
                <w:b/>
                <w:bCs/>
                <w:color w:val="000000" w:themeColor="text1"/>
                <w:kern w:val="0"/>
                <w:sz w:val="18"/>
                <w:szCs w:val="18"/>
                <w14:ligatures w14:val="none"/>
              </w:rPr>
            </w:pPr>
            <w:r w:rsidRPr="004460E3">
              <w:rPr>
                <w:rFonts w:ascii="Arial" w:eastAsia="Times New Roman" w:hAnsi="Arial" w:cs="Arial"/>
                <w:b/>
                <w:bCs/>
                <w:color w:val="000000" w:themeColor="text1"/>
                <w:kern w:val="0"/>
                <w:sz w:val="18"/>
                <w:szCs w:val="18"/>
                <w14:ligatures w14:val="none"/>
              </w:rPr>
              <w:t>FDE2</w:t>
            </w:r>
          </w:p>
        </w:tc>
        <w:tc>
          <w:tcPr>
            <w:tcW w:w="942" w:type="pct"/>
            <w:tcBorders>
              <w:top w:val="nil"/>
              <w:left w:val="nil"/>
              <w:bottom w:val="single" w:sz="4" w:space="0" w:color="993366"/>
              <w:right w:val="single" w:sz="4" w:space="0" w:color="333333"/>
            </w:tcBorders>
            <w:shd w:val="clear" w:color="000000" w:fill="FFFFFF"/>
            <w:hideMark/>
          </w:tcPr>
          <w:p w14:paraId="47C33024"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217" w:type="pct"/>
            <w:tcBorders>
              <w:top w:val="nil"/>
              <w:left w:val="nil"/>
              <w:bottom w:val="single" w:sz="4" w:space="0" w:color="993366"/>
              <w:right w:val="single" w:sz="4" w:space="0" w:color="333333"/>
            </w:tcBorders>
            <w:shd w:val="clear" w:color="000000" w:fill="FFFFFF"/>
            <w:hideMark/>
          </w:tcPr>
          <w:p w14:paraId="261ABD9B"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016" w:type="pct"/>
            <w:tcBorders>
              <w:top w:val="nil"/>
              <w:left w:val="nil"/>
              <w:bottom w:val="single" w:sz="4" w:space="0" w:color="993366"/>
              <w:right w:val="single" w:sz="4" w:space="0" w:color="333333"/>
            </w:tcBorders>
            <w:shd w:val="clear" w:color="000000" w:fill="FFFFFF"/>
            <w:hideMark/>
          </w:tcPr>
          <w:p w14:paraId="6AE8A5B1"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w:t>
            </w:r>
          </w:p>
        </w:tc>
        <w:tc>
          <w:tcPr>
            <w:tcW w:w="1356" w:type="pct"/>
            <w:tcBorders>
              <w:top w:val="nil"/>
              <w:left w:val="nil"/>
              <w:bottom w:val="single" w:sz="4" w:space="0" w:color="993366"/>
              <w:right w:val="nil"/>
            </w:tcBorders>
            <w:shd w:val="clear" w:color="000000" w:fill="FFFFFF"/>
            <w:noWrap/>
            <w:hideMark/>
          </w:tcPr>
          <w:p w14:paraId="7A2974F4" w14:textId="77777777" w:rsidR="004460E3" w:rsidRPr="004460E3" w:rsidRDefault="004460E3" w:rsidP="004460E3">
            <w:pPr>
              <w:bidi w:val="0"/>
              <w:spacing w:after="0" w:line="240" w:lineRule="auto"/>
              <w:jc w:val="right"/>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0.873</w:t>
            </w:r>
          </w:p>
        </w:tc>
      </w:tr>
      <w:tr w:rsidR="00DB67FD" w:rsidRPr="004460E3" w14:paraId="6F03BAE8" w14:textId="77777777" w:rsidTr="00DB67FD">
        <w:trPr>
          <w:trHeight w:val="20"/>
        </w:trPr>
        <w:tc>
          <w:tcPr>
            <w:tcW w:w="1411" w:type="pct"/>
            <w:gridSpan w:val="2"/>
            <w:tcBorders>
              <w:top w:val="nil"/>
              <w:left w:val="nil"/>
              <w:bottom w:val="single" w:sz="4" w:space="0" w:color="993366"/>
              <w:right w:val="single" w:sz="4" w:space="0" w:color="333333"/>
            </w:tcBorders>
            <w:shd w:val="clear" w:color="auto" w:fill="00B0F0"/>
          </w:tcPr>
          <w:p w14:paraId="6A3628EC" w14:textId="35BB205E" w:rsidR="00DB67FD" w:rsidRPr="004460E3" w:rsidRDefault="00DB67FD" w:rsidP="00DB67FD">
            <w:pPr>
              <w:bidi w:val="0"/>
              <w:spacing w:after="0" w:line="240" w:lineRule="auto"/>
              <w:jc w:val="center"/>
              <w:rPr>
                <w:rFonts w:ascii="Arial" w:eastAsia="Times New Roman" w:hAnsi="Arial" w:cs="Arial"/>
                <w:color w:val="000000" w:themeColor="text1"/>
                <w:kern w:val="0"/>
                <w:sz w:val="18"/>
                <w:szCs w:val="18"/>
                <w14:ligatures w14:val="none"/>
              </w:rPr>
            </w:pPr>
            <w:r w:rsidRPr="00110939">
              <w:rPr>
                <w:rFonts w:asciiTheme="majorBidi" w:hAnsiTheme="majorBidi" w:cstheme="majorBidi"/>
                <w:noProof/>
                <w:sz w:val="20"/>
                <w:szCs w:val="20"/>
              </w:rPr>
              <w:t>AVE</w:t>
            </w:r>
          </w:p>
        </w:tc>
        <w:tc>
          <w:tcPr>
            <w:tcW w:w="3589" w:type="pct"/>
            <w:gridSpan w:val="3"/>
            <w:tcBorders>
              <w:top w:val="nil"/>
              <w:left w:val="nil"/>
              <w:bottom w:val="single" w:sz="4" w:space="0" w:color="993366"/>
              <w:right w:val="single" w:sz="4" w:space="0" w:color="333333"/>
            </w:tcBorders>
            <w:shd w:val="clear" w:color="auto" w:fill="00B0F0"/>
          </w:tcPr>
          <w:p w14:paraId="76BA956F" w14:textId="0C1ACE29" w:rsidR="00DB67FD" w:rsidRPr="004460E3" w:rsidRDefault="005F48D6" w:rsidP="00DB67FD">
            <w:pPr>
              <w:bidi w:val="0"/>
              <w:spacing w:after="0" w:line="240" w:lineRule="auto"/>
              <w:jc w:val="center"/>
              <w:rPr>
                <w:rFonts w:ascii="Arial" w:eastAsia="Times New Roman" w:hAnsi="Arial" w:cs="Arial"/>
                <w:color w:val="000000" w:themeColor="text1"/>
                <w:kern w:val="0"/>
                <w:sz w:val="18"/>
                <w:szCs w:val="18"/>
                <w14:ligatures w14:val="none"/>
              </w:rPr>
            </w:pPr>
            <w:r w:rsidRPr="005F48D6">
              <w:rPr>
                <w:rFonts w:ascii="Arial" w:eastAsia="Times New Roman" w:hAnsi="Arial" w:cs="Arial"/>
                <w:color w:val="000000" w:themeColor="text1"/>
                <w:kern w:val="0"/>
                <w:sz w:val="18"/>
                <w:szCs w:val="18"/>
                <w14:ligatures w14:val="none"/>
              </w:rPr>
              <w:t>0.694</w:t>
            </w:r>
          </w:p>
        </w:tc>
      </w:tr>
      <w:tr w:rsidR="004460E3" w:rsidRPr="004460E3" w14:paraId="27D2FBFD" w14:textId="77777777" w:rsidTr="004460E3">
        <w:trPr>
          <w:trHeight w:val="20"/>
        </w:trPr>
        <w:tc>
          <w:tcPr>
            <w:tcW w:w="5000" w:type="pct"/>
            <w:gridSpan w:val="5"/>
            <w:tcBorders>
              <w:top w:val="nil"/>
              <w:left w:val="nil"/>
              <w:bottom w:val="nil"/>
              <w:right w:val="nil"/>
            </w:tcBorders>
            <w:hideMark/>
          </w:tcPr>
          <w:p w14:paraId="66856DD2"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 xml:space="preserve">Extraction Method: Principal Component Analysis. </w:t>
            </w:r>
            <w:r w:rsidRPr="004460E3">
              <w:rPr>
                <w:rFonts w:ascii="Arial" w:eastAsia="Times New Roman" w:hAnsi="Arial" w:cs="Arial"/>
                <w:color w:val="000000" w:themeColor="text1"/>
                <w:kern w:val="0"/>
                <w:sz w:val="18"/>
                <w:szCs w:val="18"/>
                <w14:ligatures w14:val="none"/>
              </w:rPr>
              <w:br/>
              <w:t xml:space="preserve"> Rotation Method: Varimax with Kaiser Normalization.</w:t>
            </w:r>
          </w:p>
        </w:tc>
      </w:tr>
      <w:tr w:rsidR="004460E3" w:rsidRPr="004460E3" w14:paraId="5088982F" w14:textId="77777777" w:rsidTr="004460E3">
        <w:trPr>
          <w:trHeight w:val="20"/>
        </w:trPr>
        <w:tc>
          <w:tcPr>
            <w:tcW w:w="5000" w:type="pct"/>
            <w:gridSpan w:val="5"/>
            <w:tcBorders>
              <w:top w:val="nil"/>
              <w:left w:val="nil"/>
              <w:bottom w:val="nil"/>
              <w:right w:val="nil"/>
            </w:tcBorders>
            <w:hideMark/>
          </w:tcPr>
          <w:p w14:paraId="6419E58F" w14:textId="77777777" w:rsidR="004460E3" w:rsidRPr="004460E3" w:rsidRDefault="004460E3" w:rsidP="004460E3">
            <w:pPr>
              <w:bidi w:val="0"/>
              <w:spacing w:after="0" w:line="240" w:lineRule="auto"/>
              <w:rPr>
                <w:rFonts w:ascii="Arial" w:eastAsia="Times New Roman" w:hAnsi="Arial" w:cs="Arial"/>
                <w:color w:val="000000" w:themeColor="text1"/>
                <w:kern w:val="0"/>
                <w:sz w:val="18"/>
                <w:szCs w:val="18"/>
                <w14:ligatures w14:val="none"/>
              </w:rPr>
            </w:pPr>
            <w:r w:rsidRPr="004460E3">
              <w:rPr>
                <w:rFonts w:ascii="Arial" w:eastAsia="Times New Roman" w:hAnsi="Arial" w:cs="Arial"/>
                <w:color w:val="000000" w:themeColor="text1"/>
                <w:kern w:val="0"/>
                <w:sz w:val="18"/>
                <w:szCs w:val="18"/>
                <w14:ligatures w14:val="none"/>
              </w:rPr>
              <w:t>a. Rotation converged in 8 iterations.</w:t>
            </w:r>
          </w:p>
        </w:tc>
      </w:tr>
    </w:tbl>
    <w:p w14:paraId="3F7534AA" w14:textId="0E722AF0" w:rsidR="00370164" w:rsidRDefault="00370164" w:rsidP="00370164">
      <w:pPr>
        <w:bidi w:val="0"/>
        <w:spacing w:after="120" w:line="276" w:lineRule="auto"/>
        <w:ind w:firstLine="284"/>
        <w:jc w:val="both"/>
        <w:rPr>
          <w:rFonts w:asciiTheme="majorBidi" w:hAnsiTheme="majorBidi" w:cstheme="majorBidi"/>
          <w:sz w:val="24"/>
          <w:szCs w:val="24"/>
          <w:lang w:bidi="ar-EG"/>
        </w:rPr>
      </w:pPr>
    </w:p>
    <w:p w14:paraId="410AFBA6" w14:textId="77777777" w:rsidR="007619DC" w:rsidRDefault="007619DC" w:rsidP="007619DC">
      <w:pPr>
        <w:pStyle w:val="3"/>
      </w:pPr>
      <w:bookmarkStart w:id="163" w:name="_Toc214621191"/>
      <w:bookmarkStart w:id="164" w:name="_Hlk174775402"/>
      <w:r>
        <w:rPr>
          <w:rStyle w:val="a7"/>
          <w:b/>
          <w:bCs/>
        </w:rPr>
        <w:t>Discussion of the Exploratory Factor Analysis Table</w:t>
      </w:r>
      <w:bookmarkEnd w:id="163"/>
    </w:p>
    <w:p w14:paraId="5D64E579" w14:textId="77777777" w:rsidR="007619DC" w:rsidRPr="007619DC" w:rsidRDefault="007619DC" w:rsidP="007619DC">
      <w:pPr>
        <w:bidi w:val="0"/>
        <w:jc w:val="both"/>
        <w:rPr>
          <w:rFonts w:asciiTheme="majorBidi" w:hAnsiTheme="majorBidi" w:cstheme="majorBidi"/>
          <w:noProof/>
          <w:sz w:val="24"/>
          <w:szCs w:val="24"/>
        </w:rPr>
      </w:pPr>
      <w:r w:rsidRPr="007619DC">
        <w:rPr>
          <w:rFonts w:asciiTheme="majorBidi" w:hAnsiTheme="majorBidi" w:cstheme="majorBidi"/>
          <w:noProof/>
          <w:sz w:val="24"/>
          <w:szCs w:val="24"/>
        </w:rPr>
        <w:t>The Exploratory Factor Analysis table presents the rotated factor loadings for the items measuring the variable “Functional Relationship Between Account Managers and Sales Teams.” This table provides clear insights into the underlying structure and dimensionality of the construct following rotation.</w:t>
      </w:r>
    </w:p>
    <w:p w14:paraId="3A50A748" w14:textId="6CAFC044" w:rsidR="007619DC" w:rsidRPr="007619DC" w:rsidRDefault="007619DC" w:rsidP="002E6F27">
      <w:pPr>
        <w:pStyle w:val="a5"/>
        <w:numPr>
          <w:ilvl w:val="0"/>
          <w:numId w:val="70"/>
        </w:numPr>
        <w:bidi w:val="0"/>
        <w:ind w:left="426"/>
        <w:jc w:val="both"/>
        <w:rPr>
          <w:rFonts w:asciiTheme="majorBidi" w:hAnsiTheme="majorBidi" w:cstheme="majorBidi"/>
          <w:noProof/>
          <w:sz w:val="24"/>
          <w:szCs w:val="24"/>
        </w:rPr>
      </w:pPr>
      <w:r w:rsidRPr="007619DC">
        <w:rPr>
          <w:rFonts w:asciiTheme="majorBidi" w:hAnsiTheme="majorBidi" w:cstheme="majorBidi"/>
          <w:noProof/>
          <w:sz w:val="24"/>
          <w:szCs w:val="24"/>
        </w:rPr>
        <w:t>Communication Quality &amp; Cadence</w:t>
      </w:r>
    </w:p>
    <w:p w14:paraId="432E5764" w14:textId="77777777" w:rsidR="007619DC" w:rsidRPr="007619DC" w:rsidRDefault="007619DC" w:rsidP="002E6F27">
      <w:pPr>
        <w:pStyle w:val="a5"/>
        <w:numPr>
          <w:ilvl w:val="0"/>
          <w:numId w:val="69"/>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The elements FCQ1 and FCQ2 have factor loadings of 0.830 and 0.717, respectively, on the first component.</w:t>
      </w:r>
    </w:p>
    <w:p w14:paraId="7304A223" w14:textId="337A5413" w:rsidR="007619DC" w:rsidRPr="007619DC" w:rsidRDefault="007619DC" w:rsidP="002E6F27">
      <w:pPr>
        <w:pStyle w:val="a5"/>
        <w:numPr>
          <w:ilvl w:val="0"/>
          <w:numId w:val="69"/>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 xml:space="preserve">These high loadings indicate that both items strongly belong to the </w:t>
      </w:r>
      <w:r w:rsidRPr="007619DC">
        <w:rPr>
          <w:rFonts w:asciiTheme="majorBidi" w:hAnsiTheme="majorBidi" w:cstheme="majorBidi"/>
          <w:i/>
          <w:iCs/>
          <w:noProof/>
          <w:sz w:val="24"/>
          <w:szCs w:val="24"/>
        </w:rPr>
        <w:t>Communication Quality &amp; Cadence</w:t>
      </w:r>
      <w:r w:rsidRPr="007619DC">
        <w:rPr>
          <w:rFonts w:asciiTheme="majorBidi" w:hAnsiTheme="majorBidi" w:cstheme="majorBidi"/>
          <w:noProof/>
          <w:sz w:val="24"/>
          <w:szCs w:val="24"/>
        </w:rPr>
        <w:t xml:space="preserve"> dimension and effectively capture the clarity and timeliness of communication between account managers and sales teams.</w:t>
      </w:r>
    </w:p>
    <w:p w14:paraId="13CD11BA" w14:textId="2D6FD40F" w:rsidR="007619DC" w:rsidRPr="007619DC" w:rsidRDefault="007619DC" w:rsidP="002E6F27">
      <w:pPr>
        <w:pStyle w:val="a5"/>
        <w:numPr>
          <w:ilvl w:val="0"/>
          <w:numId w:val="70"/>
        </w:numPr>
        <w:bidi w:val="0"/>
        <w:ind w:left="426"/>
        <w:jc w:val="both"/>
        <w:rPr>
          <w:rFonts w:asciiTheme="majorBidi" w:hAnsiTheme="majorBidi" w:cstheme="majorBidi"/>
          <w:noProof/>
          <w:sz w:val="24"/>
          <w:szCs w:val="24"/>
        </w:rPr>
      </w:pPr>
      <w:r w:rsidRPr="007619DC">
        <w:rPr>
          <w:rFonts w:asciiTheme="majorBidi" w:hAnsiTheme="majorBidi" w:cstheme="majorBidi"/>
          <w:noProof/>
          <w:sz w:val="24"/>
          <w:szCs w:val="24"/>
        </w:rPr>
        <w:t>Information Sharing &amp; Data Integration</w:t>
      </w:r>
    </w:p>
    <w:p w14:paraId="3D2DCD89" w14:textId="77777777"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The elements FID1 and FID2 have factor loadings of 0.444 and 0.874, respectively, on the second component.</w:t>
      </w:r>
    </w:p>
    <w:p w14:paraId="2132C6C1" w14:textId="77777777"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 xml:space="preserve">While FID1 shows a moderate loading, FID2 demonstrates a strong association. Together, these two items represent the </w:t>
      </w:r>
      <w:r w:rsidRPr="007619DC">
        <w:rPr>
          <w:rFonts w:asciiTheme="majorBidi" w:hAnsiTheme="majorBidi" w:cstheme="majorBidi"/>
          <w:i/>
          <w:iCs/>
          <w:noProof/>
          <w:sz w:val="24"/>
          <w:szCs w:val="24"/>
        </w:rPr>
        <w:t>Information Sharing &amp; Data Integration</w:t>
      </w:r>
      <w:r w:rsidRPr="007619DC">
        <w:rPr>
          <w:rFonts w:asciiTheme="majorBidi" w:hAnsiTheme="majorBidi" w:cstheme="majorBidi"/>
          <w:noProof/>
          <w:sz w:val="24"/>
          <w:szCs w:val="24"/>
        </w:rPr>
        <w:t xml:space="preserve"> dimension, reflecting accuracy, accessibility, and integration of shared data between the two functions.</w:t>
      </w:r>
    </w:p>
    <w:p w14:paraId="71A7C054" w14:textId="6E717CCA" w:rsidR="007619DC" w:rsidRPr="007619DC" w:rsidRDefault="007619DC" w:rsidP="002E6F27">
      <w:pPr>
        <w:pStyle w:val="a5"/>
        <w:numPr>
          <w:ilvl w:val="0"/>
          <w:numId w:val="70"/>
        </w:numPr>
        <w:bidi w:val="0"/>
        <w:ind w:left="426"/>
        <w:jc w:val="both"/>
        <w:rPr>
          <w:rFonts w:asciiTheme="majorBidi" w:hAnsiTheme="majorBidi" w:cstheme="majorBidi"/>
          <w:noProof/>
          <w:sz w:val="24"/>
          <w:szCs w:val="24"/>
        </w:rPr>
      </w:pPr>
      <w:r w:rsidRPr="007619DC">
        <w:rPr>
          <w:rFonts w:asciiTheme="majorBidi" w:hAnsiTheme="majorBidi" w:cstheme="majorBidi"/>
          <w:noProof/>
          <w:sz w:val="24"/>
          <w:szCs w:val="24"/>
        </w:rPr>
        <w:t>Goal/KPI &amp; Incentive Alignment</w:t>
      </w:r>
    </w:p>
    <w:p w14:paraId="4B8A5AEA" w14:textId="77777777"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The elements FGI1 and FGI2 load on the third component with loadings of 0.405 and 0.717, respectively.</w:t>
      </w:r>
    </w:p>
    <w:p w14:paraId="15CE9B5A" w14:textId="77777777"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 xml:space="preserve">This suggests that these items are associated with the </w:t>
      </w:r>
      <w:r w:rsidRPr="007619DC">
        <w:rPr>
          <w:rFonts w:asciiTheme="majorBidi" w:hAnsiTheme="majorBidi" w:cstheme="majorBidi"/>
          <w:i/>
          <w:iCs/>
          <w:noProof/>
          <w:sz w:val="24"/>
          <w:szCs w:val="24"/>
        </w:rPr>
        <w:t>Goal/KPI &amp; Incentive Alignment</w:t>
      </w:r>
      <w:r w:rsidRPr="007619DC">
        <w:rPr>
          <w:rFonts w:asciiTheme="majorBidi" w:hAnsiTheme="majorBidi" w:cstheme="majorBidi"/>
          <w:noProof/>
          <w:sz w:val="24"/>
          <w:szCs w:val="24"/>
        </w:rPr>
        <w:t xml:space="preserve"> dimension, with FGI2 contributing more strongly. They capture the extent to which performance indicators and incentives are aligned between teams.</w:t>
      </w:r>
    </w:p>
    <w:p w14:paraId="2440A271" w14:textId="21B068B8" w:rsidR="007619DC" w:rsidRPr="007619DC" w:rsidRDefault="007619DC" w:rsidP="002E6F27">
      <w:pPr>
        <w:pStyle w:val="a5"/>
        <w:numPr>
          <w:ilvl w:val="0"/>
          <w:numId w:val="70"/>
        </w:numPr>
        <w:bidi w:val="0"/>
        <w:ind w:left="426"/>
        <w:jc w:val="both"/>
        <w:rPr>
          <w:rFonts w:asciiTheme="majorBidi" w:hAnsiTheme="majorBidi" w:cstheme="majorBidi"/>
          <w:noProof/>
          <w:sz w:val="24"/>
          <w:szCs w:val="24"/>
        </w:rPr>
      </w:pPr>
      <w:r w:rsidRPr="007619DC">
        <w:rPr>
          <w:rFonts w:asciiTheme="majorBidi" w:hAnsiTheme="majorBidi" w:cstheme="majorBidi"/>
          <w:noProof/>
          <w:sz w:val="24"/>
          <w:szCs w:val="24"/>
        </w:rPr>
        <w:t>Decision Rights &amp; Escalation Clarity (RACI)</w:t>
      </w:r>
    </w:p>
    <w:p w14:paraId="5EA48FC8" w14:textId="77777777"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 xml:space="preserve">The element FDE2 loads strongly on the fourth component with a factor loading of 0.873, indicating a clear association with the </w:t>
      </w:r>
      <w:r w:rsidRPr="007619DC">
        <w:rPr>
          <w:rFonts w:asciiTheme="majorBidi" w:hAnsiTheme="majorBidi" w:cstheme="majorBidi"/>
          <w:i/>
          <w:iCs/>
          <w:noProof/>
          <w:sz w:val="24"/>
          <w:szCs w:val="24"/>
        </w:rPr>
        <w:t>Decision Rights &amp; Escalation Clarity</w:t>
      </w:r>
      <w:r w:rsidRPr="007619DC">
        <w:rPr>
          <w:rFonts w:asciiTheme="majorBidi" w:hAnsiTheme="majorBidi" w:cstheme="majorBidi"/>
          <w:noProof/>
          <w:sz w:val="24"/>
          <w:szCs w:val="24"/>
        </w:rPr>
        <w:t xml:space="preserve"> dimension.</w:t>
      </w:r>
    </w:p>
    <w:p w14:paraId="55534BC5" w14:textId="7F48A702" w:rsidR="007619DC" w:rsidRPr="007619DC" w:rsidRDefault="007619DC" w:rsidP="002E6F27">
      <w:pPr>
        <w:pStyle w:val="a5"/>
        <w:numPr>
          <w:ilvl w:val="0"/>
          <w:numId w:val="71"/>
        </w:numPr>
        <w:bidi w:val="0"/>
        <w:jc w:val="both"/>
        <w:rPr>
          <w:rFonts w:asciiTheme="majorBidi" w:hAnsiTheme="majorBidi" w:cstheme="majorBidi"/>
          <w:noProof/>
          <w:sz w:val="24"/>
          <w:szCs w:val="24"/>
        </w:rPr>
      </w:pPr>
      <w:r w:rsidRPr="007619DC">
        <w:rPr>
          <w:rFonts w:asciiTheme="majorBidi" w:hAnsiTheme="majorBidi" w:cstheme="majorBidi"/>
          <w:noProof/>
          <w:sz w:val="24"/>
          <w:szCs w:val="24"/>
        </w:rPr>
        <w:t>However, the element FDE1 was removed because it did not load appropriately on its intended dimension, and therefore did not statistically belong to the RACI component. This deletion strengthens the validity and coherence of the factor structure.</w:t>
      </w:r>
    </w:p>
    <w:p w14:paraId="778EA658" w14:textId="77777777" w:rsidR="007619DC" w:rsidRPr="007619DC" w:rsidRDefault="007619DC" w:rsidP="002E6F27">
      <w:pPr>
        <w:pStyle w:val="a5"/>
        <w:numPr>
          <w:ilvl w:val="0"/>
          <w:numId w:val="72"/>
        </w:numPr>
        <w:bidi w:val="0"/>
        <w:jc w:val="both"/>
        <w:rPr>
          <w:rFonts w:asciiTheme="majorBidi" w:hAnsiTheme="majorBidi" w:cstheme="majorBidi"/>
          <w:b/>
          <w:bCs/>
          <w:noProof/>
          <w:sz w:val="24"/>
          <w:szCs w:val="24"/>
        </w:rPr>
      </w:pPr>
      <w:r w:rsidRPr="007619DC">
        <w:rPr>
          <w:rFonts w:asciiTheme="majorBidi" w:hAnsiTheme="majorBidi" w:cstheme="majorBidi"/>
          <w:b/>
          <w:bCs/>
          <w:noProof/>
          <w:sz w:val="24"/>
          <w:szCs w:val="24"/>
        </w:rPr>
        <w:t>Interpretation and Validity Assessment</w:t>
      </w:r>
    </w:p>
    <w:p w14:paraId="76834B9B" w14:textId="77777777" w:rsidR="00774771" w:rsidRPr="00774771" w:rsidRDefault="00774771" w:rsidP="00774771">
      <w:pPr>
        <w:bidi w:val="0"/>
        <w:rPr>
          <w:rFonts w:asciiTheme="majorBidi" w:hAnsiTheme="majorBidi" w:cstheme="majorBidi"/>
          <w:noProof/>
          <w:sz w:val="24"/>
          <w:szCs w:val="24"/>
          <w:rtl/>
          <w:lang w:bidi="ar-EG"/>
        </w:rPr>
      </w:pPr>
      <w:r w:rsidRPr="00774771">
        <w:rPr>
          <w:rFonts w:asciiTheme="majorBidi" w:hAnsiTheme="majorBidi" w:cstheme="majorBidi"/>
          <w:noProof/>
          <w:sz w:val="24"/>
          <w:szCs w:val="24"/>
        </w:rPr>
        <w:t>The EFA results confirm the presence of four distinct and meaningful dimensions underlying the functional relationship between account managers and sales teams. Each retained item loads appropriately onto its intended component, supporting the theoretical structure of the construct</w:t>
      </w:r>
      <w:r w:rsidRPr="00774771">
        <w:rPr>
          <w:rFonts w:asciiTheme="majorBidi" w:hAnsiTheme="majorBidi" w:cs="Times New Roman"/>
          <w:noProof/>
          <w:sz w:val="24"/>
          <w:szCs w:val="24"/>
          <w:rtl/>
        </w:rPr>
        <w:t>.</w:t>
      </w:r>
    </w:p>
    <w:p w14:paraId="25F864E8" w14:textId="77777777" w:rsidR="00774771" w:rsidRPr="00774771" w:rsidRDefault="00774771" w:rsidP="00774771">
      <w:pPr>
        <w:bidi w:val="0"/>
        <w:rPr>
          <w:rFonts w:asciiTheme="majorBidi" w:hAnsiTheme="majorBidi" w:cstheme="majorBidi"/>
          <w:noProof/>
          <w:sz w:val="24"/>
          <w:szCs w:val="24"/>
        </w:rPr>
      </w:pPr>
      <w:r w:rsidRPr="00774771">
        <w:rPr>
          <w:rFonts w:asciiTheme="majorBidi" w:hAnsiTheme="majorBidi" w:cstheme="majorBidi"/>
          <w:noProof/>
          <w:sz w:val="24"/>
          <w:szCs w:val="24"/>
        </w:rPr>
        <w:t>The reported Average Variance Extracted (AVE = 0.694) exceeds the recommended threshold of 0.50, providing strong evidence of convergent validity. This indicates that the retained measurement items share substantial common variance and adequately capture the essence of the broader construct</w:t>
      </w:r>
      <w:r w:rsidRPr="00774771">
        <w:rPr>
          <w:rFonts w:asciiTheme="majorBidi" w:hAnsiTheme="majorBidi" w:cs="Times New Roman"/>
          <w:noProof/>
          <w:sz w:val="24"/>
          <w:szCs w:val="24"/>
          <w:rtl/>
        </w:rPr>
        <w:t>.</w:t>
      </w:r>
    </w:p>
    <w:p w14:paraId="60818CF0" w14:textId="370E1585" w:rsidR="007619DC" w:rsidRDefault="00774771" w:rsidP="00774771">
      <w:pPr>
        <w:bidi w:val="0"/>
        <w:jc w:val="both"/>
        <w:rPr>
          <w:rFonts w:asciiTheme="majorBidi" w:hAnsiTheme="majorBidi" w:cstheme="majorBidi"/>
          <w:noProof/>
          <w:sz w:val="24"/>
          <w:szCs w:val="24"/>
        </w:rPr>
      </w:pPr>
      <w:r w:rsidRPr="00774771">
        <w:rPr>
          <w:rFonts w:asciiTheme="majorBidi" w:hAnsiTheme="majorBidi" w:cstheme="majorBidi"/>
          <w:noProof/>
          <w:sz w:val="24"/>
          <w:szCs w:val="24"/>
        </w:rPr>
        <w:t>Overall, the factor loadings, item alignment, and AVE value together demonstrate a robust, valid, and reliable measurement structure that confirms the soundness of the scale used in this study.</w:t>
      </w:r>
    </w:p>
    <w:p w14:paraId="0938124E" w14:textId="77777777" w:rsidR="00A964D8" w:rsidRPr="005D1020" w:rsidRDefault="00A964D8" w:rsidP="00A964D8">
      <w:pPr>
        <w:pStyle w:val="4"/>
      </w:pPr>
      <w:bookmarkStart w:id="165" w:name="_Toc214621192"/>
      <w:r w:rsidRPr="00A73233">
        <w:t xml:space="preserve">Measuring </w:t>
      </w:r>
      <w:r>
        <w:t>T</w:t>
      </w:r>
      <w:r w:rsidRPr="00A73233">
        <w:t xml:space="preserve">he </w:t>
      </w:r>
      <w:r w:rsidRPr="002F76BF">
        <w:t>Reliability</w:t>
      </w:r>
      <w:r>
        <w:t xml:space="preserve"> O</w:t>
      </w:r>
      <w:r w:rsidRPr="00A73233">
        <w:t xml:space="preserve">f the </w:t>
      </w:r>
      <w:r>
        <w:t>S</w:t>
      </w:r>
      <w:r w:rsidRPr="00A73233">
        <w:t xml:space="preserve">tudy </w:t>
      </w:r>
      <w:r>
        <w:t>(</w:t>
      </w:r>
      <w:r w:rsidRPr="002F76BF">
        <w:t>Cronbach's Alpha</w:t>
      </w:r>
      <w:r>
        <w:t>)</w:t>
      </w:r>
      <w:bookmarkEnd w:id="165"/>
    </w:p>
    <w:p w14:paraId="2D94CCC6" w14:textId="77777777" w:rsidR="00A964D8" w:rsidRPr="00A964D8" w:rsidRDefault="00A964D8" w:rsidP="00A964D8">
      <w:pPr>
        <w:autoSpaceDE w:val="0"/>
        <w:autoSpaceDN w:val="0"/>
        <w:bidi w:val="0"/>
        <w:adjustRightInd w:val="0"/>
        <w:spacing w:after="0" w:line="240" w:lineRule="auto"/>
        <w:rPr>
          <w:rFonts w:ascii="Times New Roman" w:hAnsi="Times New Roman" w:cs="Times New Roman"/>
          <w:kern w:val="0"/>
          <w:sz w:val="24"/>
          <w:szCs w:val="24"/>
        </w:rPr>
      </w:pPr>
    </w:p>
    <w:p w14:paraId="62743CAB" w14:textId="4510CF74" w:rsidR="00C3486F" w:rsidRDefault="00C3486F" w:rsidP="00C3486F">
      <w:pPr>
        <w:pStyle w:val="ad"/>
      </w:pPr>
      <w:bookmarkStart w:id="166" w:name="_Toc214622018"/>
      <w:r>
        <w:t xml:space="preserve">Table </w:t>
      </w:r>
      <w:r>
        <w:fldChar w:fldCharType="begin"/>
      </w:r>
      <w:r>
        <w:instrText xml:space="preserve"> SEQ Table \* ARABIC </w:instrText>
      </w:r>
      <w:r>
        <w:fldChar w:fldCharType="separate"/>
      </w:r>
      <w:r w:rsidR="00CD4CCF">
        <w:t>12</w:t>
      </w:r>
      <w:r>
        <w:fldChar w:fldCharType="end"/>
      </w:r>
      <w:r>
        <w:rPr>
          <w:rFonts w:hint="cs"/>
          <w:rtl/>
          <w:lang w:bidi="ar-EG"/>
        </w:rPr>
        <w:t xml:space="preserve">: </w:t>
      </w:r>
      <w:r w:rsidRPr="0044350B">
        <w:rPr>
          <w:lang w:bidi="ar-EG"/>
        </w:rPr>
        <w:t>Reliability Statistics for the Study Instrument</w:t>
      </w:r>
      <w:bookmarkEnd w:id="166"/>
    </w:p>
    <w:tbl>
      <w:tblPr>
        <w:tblW w:w="4181" w:type="dxa"/>
        <w:jc w:val="center"/>
        <w:tblLayout w:type="fixed"/>
        <w:tblCellMar>
          <w:left w:w="0" w:type="dxa"/>
          <w:right w:w="0" w:type="dxa"/>
        </w:tblCellMar>
        <w:tblLook w:val="0000" w:firstRow="0" w:lastRow="0" w:firstColumn="0" w:lastColumn="0" w:noHBand="0" w:noVBand="0"/>
      </w:tblPr>
      <w:tblGrid>
        <w:gridCol w:w="1504"/>
        <w:gridCol w:w="1503"/>
        <w:gridCol w:w="1174"/>
      </w:tblGrid>
      <w:tr w:rsidR="00A964D8" w:rsidRPr="00A964D8" w14:paraId="1DD421E5" w14:textId="77777777" w:rsidTr="00C3486F">
        <w:trPr>
          <w:cantSplit/>
          <w:jc w:val="center"/>
        </w:trPr>
        <w:tc>
          <w:tcPr>
            <w:tcW w:w="4181" w:type="dxa"/>
            <w:gridSpan w:val="3"/>
            <w:tcBorders>
              <w:top w:val="nil"/>
              <w:left w:val="nil"/>
              <w:bottom w:val="nil"/>
              <w:right w:val="nil"/>
            </w:tcBorders>
            <w:shd w:val="clear" w:color="auto" w:fill="FFFFFF"/>
            <w:vAlign w:val="center"/>
          </w:tcPr>
          <w:p w14:paraId="40808752" w14:textId="77777777" w:rsidR="00A964D8" w:rsidRPr="00A964D8" w:rsidRDefault="00A964D8" w:rsidP="00A964D8">
            <w:pPr>
              <w:autoSpaceDE w:val="0"/>
              <w:autoSpaceDN w:val="0"/>
              <w:bidi w:val="0"/>
              <w:adjustRightInd w:val="0"/>
              <w:spacing w:after="0" w:line="320" w:lineRule="atLeast"/>
              <w:ind w:left="60" w:right="60"/>
              <w:jc w:val="center"/>
              <w:rPr>
                <w:rFonts w:ascii="Arial" w:hAnsi="Arial" w:cs="Arial"/>
                <w:color w:val="010205"/>
                <w:kern w:val="0"/>
              </w:rPr>
            </w:pPr>
            <w:r w:rsidRPr="00A964D8">
              <w:rPr>
                <w:rFonts w:ascii="Arial" w:hAnsi="Arial" w:cs="Arial"/>
                <w:b/>
                <w:bCs/>
                <w:color w:val="010205"/>
                <w:kern w:val="0"/>
              </w:rPr>
              <w:t>Reliability Statistics</w:t>
            </w:r>
          </w:p>
        </w:tc>
      </w:tr>
      <w:tr w:rsidR="00A964D8" w:rsidRPr="00A964D8" w14:paraId="2F250248" w14:textId="77777777" w:rsidTr="00C3486F">
        <w:trPr>
          <w:cantSplit/>
          <w:jc w:val="center"/>
        </w:trPr>
        <w:tc>
          <w:tcPr>
            <w:tcW w:w="1504" w:type="dxa"/>
            <w:tcBorders>
              <w:top w:val="nil"/>
              <w:left w:val="nil"/>
              <w:bottom w:val="single" w:sz="8" w:space="0" w:color="152935"/>
              <w:right w:val="single" w:sz="8" w:space="0" w:color="E0E0E0"/>
            </w:tcBorders>
            <w:shd w:val="clear" w:color="auto" w:fill="FFFFFF"/>
            <w:vAlign w:val="bottom"/>
          </w:tcPr>
          <w:p w14:paraId="6E24FE25" w14:textId="77777777" w:rsidR="00A964D8" w:rsidRPr="00A964D8" w:rsidRDefault="00A964D8" w:rsidP="00A964D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964D8">
              <w:rPr>
                <w:rFonts w:ascii="Arial" w:hAnsi="Arial" w:cs="Arial"/>
                <w:color w:val="264A60"/>
                <w:kern w:val="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1C36B4E0" w14:textId="77777777" w:rsidR="00A964D8" w:rsidRPr="00A964D8" w:rsidRDefault="00A964D8" w:rsidP="00A964D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964D8">
              <w:rPr>
                <w:rFonts w:ascii="Arial" w:hAnsi="Arial" w:cs="Arial"/>
                <w:color w:val="264A60"/>
                <w:kern w:val="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79C5AA59" w14:textId="77777777" w:rsidR="00A964D8" w:rsidRPr="00A964D8" w:rsidRDefault="00A964D8" w:rsidP="00A964D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964D8">
              <w:rPr>
                <w:rFonts w:ascii="Arial" w:hAnsi="Arial" w:cs="Arial"/>
                <w:color w:val="264A60"/>
                <w:kern w:val="0"/>
                <w:sz w:val="18"/>
                <w:szCs w:val="18"/>
              </w:rPr>
              <w:t>N of Items</w:t>
            </w:r>
          </w:p>
        </w:tc>
      </w:tr>
      <w:tr w:rsidR="00A964D8" w:rsidRPr="00A964D8" w14:paraId="0E1B395D" w14:textId="77777777" w:rsidTr="00C3486F">
        <w:trPr>
          <w:cantSplit/>
          <w:jc w:val="center"/>
        </w:trPr>
        <w:tc>
          <w:tcPr>
            <w:tcW w:w="1504" w:type="dxa"/>
            <w:tcBorders>
              <w:top w:val="single" w:sz="8" w:space="0" w:color="152935"/>
              <w:left w:val="nil"/>
              <w:bottom w:val="single" w:sz="8" w:space="0" w:color="152935"/>
              <w:right w:val="single" w:sz="8" w:space="0" w:color="E0E0E0"/>
            </w:tcBorders>
            <w:shd w:val="clear" w:color="auto" w:fill="F9F9FB"/>
          </w:tcPr>
          <w:p w14:paraId="39D55800" w14:textId="77777777" w:rsidR="00A964D8" w:rsidRPr="00A964D8" w:rsidRDefault="00A964D8" w:rsidP="00A964D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964D8">
              <w:rPr>
                <w:rFonts w:ascii="Arial" w:hAnsi="Arial" w:cs="Arial"/>
                <w:color w:val="010205"/>
                <w:kern w:val="0"/>
                <w:sz w:val="18"/>
                <w:szCs w:val="18"/>
              </w:rPr>
              <w:t>.922</w:t>
            </w:r>
          </w:p>
        </w:tc>
        <w:tc>
          <w:tcPr>
            <w:tcW w:w="1503" w:type="dxa"/>
            <w:tcBorders>
              <w:top w:val="single" w:sz="8" w:space="0" w:color="152935"/>
              <w:left w:val="single" w:sz="8" w:space="0" w:color="E0E0E0"/>
              <w:bottom w:val="single" w:sz="8" w:space="0" w:color="152935"/>
              <w:right w:val="single" w:sz="8" w:space="0" w:color="E0E0E0"/>
            </w:tcBorders>
            <w:shd w:val="clear" w:color="auto" w:fill="F9F9FB"/>
          </w:tcPr>
          <w:p w14:paraId="489DDBA8" w14:textId="77777777" w:rsidR="00A964D8" w:rsidRPr="00A964D8" w:rsidRDefault="00A964D8" w:rsidP="00A964D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964D8">
              <w:rPr>
                <w:rFonts w:ascii="Arial" w:hAnsi="Arial" w:cs="Arial"/>
                <w:color w:val="010205"/>
                <w:kern w:val="0"/>
                <w:sz w:val="18"/>
                <w:szCs w:val="18"/>
              </w:rPr>
              <w:t>.923</w:t>
            </w:r>
          </w:p>
        </w:tc>
        <w:tc>
          <w:tcPr>
            <w:tcW w:w="1174" w:type="dxa"/>
            <w:tcBorders>
              <w:top w:val="single" w:sz="8" w:space="0" w:color="152935"/>
              <w:left w:val="single" w:sz="8" w:space="0" w:color="E0E0E0"/>
              <w:bottom w:val="single" w:sz="8" w:space="0" w:color="152935"/>
              <w:right w:val="nil"/>
            </w:tcBorders>
            <w:shd w:val="clear" w:color="auto" w:fill="F9F9FB"/>
          </w:tcPr>
          <w:p w14:paraId="6B0085D5" w14:textId="77777777" w:rsidR="00A964D8" w:rsidRPr="00A964D8" w:rsidRDefault="00A964D8" w:rsidP="00A964D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964D8">
              <w:rPr>
                <w:rFonts w:ascii="Arial" w:hAnsi="Arial" w:cs="Arial"/>
                <w:color w:val="010205"/>
                <w:kern w:val="0"/>
                <w:sz w:val="18"/>
                <w:szCs w:val="18"/>
              </w:rPr>
              <w:t>8</w:t>
            </w:r>
          </w:p>
        </w:tc>
      </w:tr>
    </w:tbl>
    <w:p w14:paraId="4574575D" w14:textId="77777777" w:rsidR="00A964D8" w:rsidRPr="00A964D8" w:rsidRDefault="00A964D8" w:rsidP="00A964D8">
      <w:pPr>
        <w:autoSpaceDE w:val="0"/>
        <w:autoSpaceDN w:val="0"/>
        <w:bidi w:val="0"/>
        <w:adjustRightInd w:val="0"/>
        <w:spacing w:after="0" w:line="400" w:lineRule="atLeast"/>
        <w:rPr>
          <w:rFonts w:ascii="Times New Roman" w:hAnsi="Times New Roman" w:cs="Times New Roman"/>
          <w:kern w:val="0"/>
          <w:sz w:val="24"/>
          <w:szCs w:val="24"/>
        </w:rPr>
      </w:pPr>
    </w:p>
    <w:p w14:paraId="751660F6" w14:textId="77777777" w:rsidR="00A964D8" w:rsidRPr="00A964D8" w:rsidRDefault="00A964D8" w:rsidP="00A964D8">
      <w:pPr>
        <w:pStyle w:val="a6"/>
        <w:spacing w:before="0" w:beforeAutospacing="0" w:after="120" w:afterAutospacing="0"/>
        <w:jc w:val="both"/>
      </w:pPr>
      <w:r w:rsidRPr="00A964D8">
        <w:t>The Cronbach’s Alpha value of 0.922 reported in the analysis is an excellent indicator of the stability and internal consistency of the questionnaire used to measure the construct “Functional Relationship Between Account Managers and Sales Teams.” Cronbach’s Alpha is one of the most widely used reliability coefficients for assessing how closely related a set of items are as a group (Hair et al., 2010). The coefficient ranges from 0 to 1, with higher values reflecting stronger reliability and greater internal coherence among the measurement items.</w:t>
      </w:r>
    </w:p>
    <w:p w14:paraId="7692C0DD" w14:textId="77777777" w:rsidR="00A964D8" w:rsidRPr="00A964D8" w:rsidRDefault="00A964D8" w:rsidP="002E6F27">
      <w:pPr>
        <w:pStyle w:val="a6"/>
        <w:numPr>
          <w:ilvl w:val="0"/>
          <w:numId w:val="73"/>
        </w:numPr>
        <w:spacing w:before="0" w:beforeAutospacing="0" w:after="120" w:afterAutospacing="0"/>
        <w:jc w:val="both"/>
      </w:pPr>
      <w:r w:rsidRPr="00A964D8">
        <w:t>Stability:</w:t>
      </w:r>
    </w:p>
    <w:p w14:paraId="76FDD618"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The Cronbach’s Alpha value of 0.922 demonstrates a very high degree of stability in the scale’s measurements.</w:t>
      </w:r>
    </w:p>
    <w:p w14:paraId="030B41A5"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This means that the items included in the questionnaire produce consistent results and reliably capture the same underlying construct across different administrations.</w:t>
      </w:r>
    </w:p>
    <w:p w14:paraId="61E21235"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Such stability suggests that respondents interpret and respond to the items consistently, enhancing confidence in the replicability of the instrument.</w:t>
      </w:r>
    </w:p>
    <w:p w14:paraId="38E16F19" w14:textId="77777777" w:rsidR="00A964D8" w:rsidRPr="00A964D8" w:rsidRDefault="00A964D8" w:rsidP="002E6F27">
      <w:pPr>
        <w:pStyle w:val="a6"/>
        <w:numPr>
          <w:ilvl w:val="0"/>
          <w:numId w:val="73"/>
        </w:numPr>
        <w:spacing w:before="0" w:beforeAutospacing="0" w:after="120" w:afterAutospacing="0"/>
        <w:jc w:val="both"/>
      </w:pPr>
      <w:r w:rsidRPr="00A964D8">
        <w:t>Internal Consistency:</w:t>
      </w:r>
    </w:p>
    <w:p w14:paraId="3B6FD585"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The high value of 0.922 indicates strong internal consistency among the eight items included in the scale.</w:t>
      </w:r>
    </w:p>
    <w:p w14:paraId="4C5F1513"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This demonstrates that the items are highly correlated and all contribute meaningfully to measuring the same latent concept.</w:t>
      </w:r>
    </w:p>
    <w:p w14:paraId="76B857DC"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The strong internal coherence confirms that the scale is functioning effectively as a unified measure of the functional relationship between account managers and sales teams.</w:t>
      </w:r>
    </w:p>
    <w:p w14:paraId="190F8A96" w14:textId="77777777" w:rsidR="00A964D8" w:rsidRPr="00A964D8" w:rsidRDefault="00A964D8" w:rsidP="002E6F27">
      <w:pPr>
        <w:pStyle w:val="a6"/>
        <w:numPr>
          <w:ilvl w:val="0"/>
          <w:numId w:val="73"/>
        </w:numPr>
        <w:spacing w:before="0" w:beforeAutospacing="0" w:after="120" w:afterAutospacing="0"/>
        <w:jc w:val="both"/>
      </w:pPr>
      <w:r w:rsidRPr="00A964D8">
        <w:t>Excellent Reliability:</w:t>
      </w:r>
    </w:p>
    <w:p w14:paraId="0444531E"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A Cronbach’s Alpha above 0.90 is generally considered excellent and well above the minimum threshold of 0.70 for acceptable reliability.</w:t>
      </w:r>
    </w:p>
    <w:p w14:paraId="4C356955" w14:textId="77777777" w:rsidR="00A964D8" w:rsidRPr="00A964D8" w:rsidRDefault="00A964D8" w:rsidP="002E6F27">
      <w:pPr>
        <w:numPr>
          <w:ilvl w:val="1"/>
          <w:numId w:val="7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This suggests that the measurement tool is highly reliable, with minimal random error, and can be confidently used for further statistical analysis.</w:t>
      </w:r>
    </w:p>
    <w:p w14:paraId="3816CE00" w14:textId="77777777" w:rsidR="00A964D8" w:rsidRPr="00A964D8" w:rsidRDefault="00A964D8" w:rsidP="00A964D8">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964D8">
        <w:rPr>
          <w:rFonts w:ascii="Times New Roman" w:eastAsia="Times New Roman" w:hAnsi="Times New Roman" w:cs="Times New Roman"/>
          <w:kern w:val="0"/>
          <w:sz w:val="24"/>
          <w:szCs w:val="24"/>
          <w14:ligatures w14:val="none"/>
        </w:rPr>
        <w:t xml:space="preserve">Overall, the Cronbach’s Alpha value of </w:t>
      </w:r>
      <w:r w:rsidRPr="00A964D8">
        <w:rPr>
          <w:rFonts w:ascii="Times New Roman" w:eastAsia="Times New Roman" w:hAnsi="Times New Roman" w:cs="Times New Roman"/>
          <w:b/>
          <w:bCs/>
          <w:kern w:val="0"/>
          <w:sz w:val="24"/>
          <w:szCs w:val="24"/>
          <w14:ligatures w14:val="none"/>
        </w:rPr>
        <w:t>0.922</w:t>
      </w:r>
      <w:r w:rsidRPr="00A964D8">
        <w:rPr>
          <w:rFonts w:ascii="Times New Roman" w:eastAsia="Times New Roman" w:hAnsi="Times New Roman" w:cs="Times New Roman"/>
          <w:kern w:val="0"/>
          <w:sz w:val="24"/>
          <w:szCs w:val="24"/>
          <w14:ligatures w14:val="none"/>
        </w:rPr>
        <w:t xml:space="preserve"> provides strong empirical support for the reliability of the scale, confirming that the instrument is robust, coherent, and suitable for analyzing the functional relationship construct within the context of this study.</w:t>
      </w:r>
    </w:p>
    <w:p w14:paraId="098ECD1A" w14:textId="4F8060B1" w:rsidR="00EB454A" w:rsidRPr="005D1020" w:rsidRDefault="00EB454A" w:rsidP="007619DC">
      <w:pPr>
        <w:pStyle w:val="4"/>
      </w:pPr>
      <w:bookmarkStart w:id="167" w:name="_Toc214621193"/>
      <w:r w:rsidRPr="00A73233">
        <w:t xml:space="preserve">Measuring </w:t>
      </w:r>
      <w:r>
        <w:t>T</w:t>
      </w:r>
      <w:r w:rsidRPr="00A73233">
        <w:t xml:space="preserve">he </w:t>
      </w:r>
      <w:r w:rsidRPr="002F76BF">
        <w:t>Reliability</w:t>
      </w:r>
      <w:r>
        <w:t xml:space="preserve"> O</w:t>
      </w:r>
      <w:r w:rsidRPr="00A73233">
        <w:t xml:space="preserve">f the </w:t>
      </w:r>
      <w:r>
        <w:t>S</w:t>
      </w:r>
      <w:r w:rsidRPr="00A73233">
        <w:t xml:space="preserve">tudy </w:t>
      </w:r>
      <w:r>
        <w:t>(</w:t>
      </w:r>
      <w:r w:rsidRPr="002F76BF">
        <w:t>Cronbach's Alpha</w:t>
      </w:r>
      <w:r>
        <w:t>)</w:t>
      </w:r>
      <w:bookmarkEnd w:id="167"/>
    </w:p>
    <w:bookmarkEnd w:id="164"/>
    <w:p w14:paraId="5E1A79E1" w14:textId="77777777" w:rsidR="009C38FD" w:rsidRPr="009C38FD" w:rsidRDefault="009C38FD" w:rsidP="009C38FD">
      <w:pPr>
        <w:autoSpaceDE w:val="0"/>
        <w:autoSpaceDN w:val="0"/>
        <w:bidi w:val="0"/>
        <w:adjustRightInd w:val="0"/>
        <w:spacing w:after="0" w:line="240" w:lineRule="auto"/>
        <w:rPr>
          <w:rFonts w:ascii="Times New Roman" w:hAnsi="Times New Roman" w:cs="Times New Roman"/>
          <w:kern w:val="0"/>
          <w:sz w:val="24"/>
          <w:szCs w:val="24"/>
        </w:rPr>
      </w:pPr>
    </w:p>
    <w:p w14:paraId="164405B2" w14:textId="67A80D63" w:rsidR="00C3486F" w:rsidRDefault="00C3486F" w:rsidP="00C3486F">
      <w:pPr>
        <w:pStyle w:val="ad"/>
      </w:pPr>
      <w:bookmarkStart w:id="168" w:name="_Toc214622019"/>
      <w:r>
        <w:t xml:space="preserve">Table </w:t>
      </w:r>
      <w:r>
        <w:fldChar w:fldCharType="begin"/>
      </w:r>
      <w:r>
        <w:instrText xml:space="preserve"> SEQ Table \* ARABIC </w:instrText>
      </w:r>
      <w:r>
        <w:fldChar w:fldCharType="separate"/>
      </w:r>
      <w:r w:rsidR="00CD4CCF">
        <w:t>13</w:t>
      </w:r>
      <w:r>
        <w:fldChar w:fldCharType="end"/>
      </w:r>
      <w:r>
        <w:t xml:space="preserve">: </w:t>
      </w:r>
      <w:r w:rsidRPr="001D67C9">
        <w:t>KMO and Bartlett’s Test Results</w:t>
      </w:r>
      <w:bookmarkEnd w:id="168"/>
    </w:p>
    <w:tbl>
      <w:tblPr>
        <w:tblW w:w="5949" w:type="dxa"/>
        <w:jc w:val="center"/>
        <w:tblLayout w:type="fixed"/>
        <w:tblCellMar>
          <w:left w:w="0" w:type="dxa"/>
          <w:right w:w="0" w:type="dxa"/>
        </w:tblCellMar>
        <w:tblLook w:val="0000" w:firstRow="0" w:lastRow="0" w:firstColumn="0" w:lastColumn="0" w:noHBand="0" w:noVBand="0"/>
      </w:tblPr>
      <w:tblGrid>
        <w:gridCol w:w="2492"/>
        <w:gridCol w:w="2352"/>
        <w:gridCol w:w="1105"/>
      </w:tblGrid>
      <w:tr w:rsidR="009C38FD" w:rsidRPr="009C38FD" w14:paraId="1D3564F6" w14:textId="77777777" w:rsidTr="005F48D6">
        <w:trPr>
          <w:cantSplit/>
          <w:jc w:val="center"/>
        </w:trPr>
        <w:tc>
          <w:tcPr>
            <w:tcW w:w="5949" w:type="dxa"/>
            <w:gridSpan w:val="3"/>
            <w:tcBorders>
              <w:top w:val="nil"/>
              <w:left w:val="nil"/>
              <w:bottom w:val="nil"/>
              <w:right w:val="nil"/>
            </w:tcBorders>
            <w:shd w:val="clear" w:color="auto" w:fill="FFFFFF"/>
            <w:vAlign w:val="center"/>
          </w:tcPr>
          <w:p w14:paraId="38C29E08" w14:textId="77777777" w:rsidR="009C38FD" w:rsidRPr="009C38FD" w:rsidRDefault="009C38FD" w:rsidP="009C38FD">
            <w:pPr>
              <w:autoSpaceDE w:val="0"/>
              <w:autoSpaceDN w:val="0"/>
              <w:bidi w:val="0"/>
              <w:adjustRightInd w:val="0"/>
              <w:spacing w:after="0" w:line="320" w:lineRule="atLeast"/>
              <w:ind w:left="60" w:right="60"/>
              <w:jc w:val="center"/>
              <w:rPr>
                <w:rFonts w:ascii="Arial" w:hAnsi="Arial" w:cs="Arial"/>
                <w:color w:val="010205"/>
                <w:kern w:val="0"/>
              </w:rPr>
            </w:pPr>
            <w:r w:rsidRPr="009C38FD">
              <w:rPr>
                <w:rFonts w:ascii="Arial" w:hAnsi="Arial" w:cs="Arial"/>
                <w:b/>
                <w:bCs/>
                <w:color w:val="010205"/>
                <w:kern w:val="0"/>
              </w:rPr>
              <w:t>KMO and Bartlett's Test</w:t>
            </w:r>
          </w:p>
        </w:tc>
      </w:tr>
      <w:tr w:rsidR="009C38FD" w:rsidRPr="009C38FD" w14:paraId="52710C05" w14:textId="77777777" w:rsidTr="005F48D6">
        <w:trPr>
          <w:cantSplit/>
          <w:jc w:val="center"/>
        </w:trPr>
        <w:tc>
          <w:tcPr>
            <w:tcW w:w="4844" w:type="dxa"/>
            <w:gridSpan w:val="2"/>
            <w:tcBorders>
              <w:top w:val="nil"/>
              <w:left w:val="nil"/>
              <w:bottom w:val="single" w:sz="8" w:space="0" w:color="AEAEAE"/>
              <w:right w:val="nil"/>
            </w:tcBorders>
            <w:shd w:val="clear" w:color="auto" w:fill="E0E0E0"/>
          </w:tcPr>
          <w:p w14:paraId="246EF2DB" w14:textId="77777777" w:rsidR="009C38FD" w:rsidRPr="009C38FD" w:rsidRDefault="009C38FD" w:rsidP="009C38FD">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Kaiser-Meyer-Olkin Measure of Sampling Adequacy.</w:t>
            </w:r>
          </w:p>
        </w:tc>
        <w:tc>
          <w:tcPr>
            <w:tcW w:w="1105" w:type="dxa"/>
            <w:tcBorders>
              <w:top w:val="nil"/>
              <w:left w:val="nil"/>
              <w:bottom w:val="single" w:sz="8" w:space="0" w:color="AEAEAE"/>
              <w:right w:val="nil"/>
            </w:tcBorders>
            <w:shd w:val="clear" w:color="auto" w:fill="F9F9FB"/>
          </w:tcPr>
          <w:p w14:paraId="4F678BF5" w14:textId="77777777" w:rsidR="009C38FD" w:rsidRPr="009C38FD" w:rsidRDefault="009C38FD" w:rsidP="009C38FD">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C38FD">
              <w:rPr>
                <w:rFonts w:ascii="Arial" w:hAnsi="Arial" w:cs="Arial"/>
                <w:color w:val="010205"/>
                <w:kern w:val="0"/>
                <w:sz w:val="18"/>
                <w:szCs w:val="18"/>
              </w:rPr>
              <w:t>.909</w:t>
            </w:r>
          </w:p>
        </w:tc>
      </w:tr>
      <w:tr w:rsidR="009C38FD" w:rsidRPr="009C38FD" w14:paraId="40F73E39" w14:textId="77777777" w:rsidTr="005F48D6">
        <w:trPr>
          <w:cantSplit/>
          <w:jc w:val="center"/>
        </w:trPr>
        <w:tc>
          <w:tcPr>
            <w:tcW w:w="2492" w:type="dxa"/>
            <w:vMerge w:val="restart"/>
            <w:tcBorders>
              <w:top w:val="single" w:sz="8" w:space="0" w:color="AEAEAE"/>
              <w:left w:val="nil"/>
              <w:bottom w:val="single" w:sz="8" w:space="0" w:color="152935"/>
              <w:right w:val="nil"/>
            </w:tcBorders>
            <w:shd w:val="clear" w:color="auto" w:fill="E0E0E0"/>
          </w:tcPr>
          <w:p w14:paraId="55E709BC" w14:textId="77777777" w:rsidR="009C38FD" w:rsidRPr="009C38FD" w:rsidRDefault="009C38FD" w:rsidP="009C38FD">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Bartlett's Test of Sphericity</w:t>
            </w:r>
          </w:p>
        </w:tc>
        <w:tc>
          <w:tcPr>
            <w:tcW w:w="2352" w:type="dxa"/>
            <w:tcBorders>
              <w:top w:val="single" w:sz="8" w:space="0" w:color="AEAEAE"/>
              <w:left w:val="nil"/>
              <w:bottom w:val="single" w:sz="8" w:space="0" w:color="AEAEAE"/>
              <w:right w:val="nil"/>
            </w:tcBorders>
            <w:shd w:val="clear" w:color="auto" w:fill="E0E0E0"/>
          </w:tcPr>
          <w:p w14:paraId="1B6D5D0C" w14:textId="77777777" w:rsidR="009C38FD" w:rsidRPr="009C38FD" w:rsidRDefault="009C38FD" w:rsidP="009C38FD">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Approx. Chi-Square</w:t>
            </w:r>
          </w:p>
        </w:tc>
        <w:tc>
          <w:tcPr>
            <w:tcW w:w="1105" w:type="dxa"/>
            <w:tcBorders>
              <w:top w:val="single" w:sz="8" w:space="0" w:color="AEAEAE"/>
              <w:left w:val="nil"/>
              <w:bottom w:val="single" w:sz="8" w:space="0" w:color="AEAEAE"/>
              <w:right w:val="nil"/>
            </w:tcBorders>
            <w:shd w:val="clear" w:color="auto" w:fill="F9F9FB"/>
          </w:tcPr>
          <w:p w14:paraId="4D97507A" w14:textId="77777777" w:rsidR="009C38FD" w:rsidRPr="009C38FD" w:rsidRDefault="009C38FD" w:rsidP="009C38FD">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C38FD">
              <w:rPr>
                <w:rFonts w:ascii="Arial" w:hAnsi="Arial" w:cs="Arial"/>
                <w:color w:val="010205"/>
                <w:kern w:val="0"/>
                <w:sz w:val="18"/>
                <w:szCs w:val="18"/>
              </w:rPr>
              <w:t>1021.353</w:t>
            </w:r>
          </w:p>
        </w:tc>
      </w:tr>
      <w:tr w:rsidR="009C38FD" w:rsidRPr="009C38FD" w14:paraId="7C1A33A6" w14:textId="77777777" w:rsidTr="005F48D6">
        <w:trPr>
          <w:cantSplit/>
          <w:jc w:val="center"/>
        </w:trPr>
        <w:tc>
          <w:tcPr>
            <w:tcW w:w="2492" w:type="dxa"/>
            <w:vMerge/>
            <w:tcBorders>
              <w:top w:val="single" w:sz="8" w:space="0" w:color="AEAEAE"/>
              <w:left w:val="nil"/>
              <w:bottom w:val="single" w:sz="8" w:space="0" w:color="152935"/>
              <w:right w:val="nil"/>
            </w:tcBorders>
            <w:shd w:val="clear" w:color="auto" w:fill="E0E0E0"/>
          </w:tcPr>
          <w:p w14:paraId="681AEBBE" w14:textId="77777777" w:rsidR="009C38FD" w:rsidRPr="009C38FD" w:rsidRDefault="009C38FD" w:rsidP="009C38FD">
            <w:pPr>
              <w:autoSpaceDE w:val="0"/>
              <w:autoSpaceDN w:val="0"/>
              <w:bidi w:val="0"/>
              <w:adjustRightInd w:val="0"/>
              <w:spacing w:after="0" w:line="240" w:lineRule="auto"/>
              <w:rPr>
                <w:rFonts w:ascii="Arial" w:hAnsi="Arial" w:cs="Arial"/>
                <w:color w:val="010205"/>
                <w:kern w:val="0"/>
                <w:sz w:val="18"/>
                <w:szCs w:val="18"/>
              </w:rPr>
            </w:pPr>
          </w:p>
        </w:tc>
        <w:tc>
          <w:tcPr>
            <w:tcW w:w="2352" w:type="dxa"/>
            <w:tcBorders>
              <w:top w:val="single" w:sz="8" w:space="0" w:color="AEAEAE"/>
              <w:left w:val="nil"/>
              <w:bottom w:val="single" w:sz="8" w:space="0" w:color="AEAEAE"/>
              <w:right w:val="nil"/>
            </w:tcBorders>
            <w:shd w:val="clear" w:color="auto" w:fill="E0E0E0"/>
          </w:tcPr>
          <w:p w14:paraId="6BD2CC76" w14:textId="77777777" w:rsidR="009C38FD" w:rsidRPr="009C38FD" w:rsidRDefault="009C38FD" w:rsidP="009C38FD">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df</w:t>
            </w:r>
          </w:p>
        </w:tc>
        <w:tc>
          <w:tcPr>
            <w:tcW w:w="1105" w:type="dxa"/>
            <w:tcBorders>
              <w:top w:val="single" w:sz="8" w:space="0" w:color="AEAEAE"/>
              <w:left w:val="nil"/>
              <w:bottom w:val="single" w:sz="8" w:space="0" w:color="AEAEAE"/>
              <w:right w:val="nil"/>
            </w:tcBorders>
            <w:shd w:val="clear" w:color="auto" w:fill="F9F9FB"/>
          </w:tcPr>
          <w:p w14:paraId="10FAAF0D" w14:textId="77777777" w:rsidR="009C38FD" w:rsidRPr="009C38FD" w:rsidRDefault="009C38FD" w:rsidP="009C38FD">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C38FD">
              <w:rPr>
                <w:rFonts w:ascii="Arial" w:hAnsi="Arial" w:cs="Arial"/>
                <w:color w:val="010205"/>
                <w:kern w:val="0"/>
                <w:sz w:val="18"/>
                <w:szCs w:val="18"/>
              </w:rPr>
              <w:t>28</w:t>
            </w:r>
          </w:p>
        </w:tc>
      </w:tr>
      <w:tr w:rsidR="009C38FD" w:rsidRPr="009C38FD" w14:paraId="1C22452E" w14:textId="77777777" w:rsidTr="005F48D6">
        <w:trPr>
          <w:cantSplit/>
          <w:jc w:val="center"/>
        </w:trPr>
        <w:tc>
          <w:tcPr>
            <w:tcW w:w="2492" w:type="dxa"/>
            <w:vMerge/>
            <w:tcBorders>
              <w:top w:val="single" w:sz="8" w:space="0" w:color="AEAEAE"/>
              <w:left w:val="nil"/>
              <w:bottom w:val="single" w:sz="8" w:space="0" w:color="152935"/>
              <w:right w:val="nil"/>
            </w:tcBorders>
            <w:shd w:val="clear" w:color="auto" w:fill="E0E0E0"/>
          </w:tcPr>
          <w:p w14:paraId="143C74C6" w14:textId="77777777" w:rsidR="009C38FD" w:rsidRPr="009C38FD" w:rsidRDefault="009C38FD" w:rsidP="009C38FD">
            <w:pPr>
              <w:autoSpaceDE w:val="0"/>
              <w:autoSpaceDN w:val="0"/>
              <w:bidi w:val="0"/>
              <w:adjustRightInd w:val="0"/>
              <w:spacing w:after="0" w:line="240" w:lineRule="auto"/>
              <w:rPr>
                <w:rFonts w:ascii="Arial" w:hAnsi="Arial" w:cs="Arial"/>
                <w:color w:val="010205"/>
                <w:kern w:val="0"/>
                <w:sz w:val="18"/>
                <w:szCs w:val="18"/>
              </w:rPr>
            </w:pPr>
          </w:p>
        </w:tc>
        <w:tc>
          <w:tcPr>
            <w:tcW w:w="2352" w:type="dxa"/>
            <w:tcBorders>
              <w:top w:val="single" w:sz="8" w:space="0" w:color="AEAEAE"/>
              <w:left w:val="nil"/>
              <w:bottom w:val="single" w:sz="8" w:space="0" w:color="152935"/>
              <w:right w:val="nil"/>
            </w:tcBorders>
            <w:shd w:val="clear" w:color="auto" w:fill="E0E0E0"/>
          </w:tcPr>
          <w:p w14:paraId="6E588101" w14:textId="77777777" w:rsidR="009C38FD" w:rsidRPr="009C38FD" w:rsidRDefault="009C38FD" w:rsidP="009C38FD">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Sig.</w:t>
            </w:r>
          </w:p>
        </w:tc>
        <w:tc>
          <w:tcPr>
            <w:tcW w:w="1105" w:type="dxa"/>
            <w:tcBorders>
              <w:top w:val="single" w:sz="8" w:space="0" w:color="AEAEAE"/>
              <w:left w:val="nil"/>
              <w:bottom w:val="single" w:sz="8" w:space="0" w:color="152935"/>
              <w:right w:val="nil"/>
            </w:tcBorders>
            <w:shd w:val="clear" w:color="auto" w:fill="F9F9FB"/>
          </w:tcPr>
          <w:p w14:paraId="545A0297" w14:textId="77777777" w:rsidR="009C38FD" w:rsidRPr="009C38FD" w:rsidRDefault="009C38FD" w:rsidP="009C38FD">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C38FD">
              <w:rPr>
                <w:rFonts w:ascii="Arial" w:hAnsi="Arial" w:cs="Arial"/>
                <w:color w:val="010205"/>
                <w:kern w:val="0"/>
                <w:sz w:val="18"/>
                <w:szCs w:val="18"/>
              </w:rPr>
              <w:t>.000</w:t>
            </w:r>
          </w:p>
        </w:tc>
      </w:tr>
    </w:tbl>
    <w:p w14:paraId="7B07524A" w14:textId="77777777" w:rsidR="00A71B53" w:rsidRDefault="00A71B53" w:rsidP="005F48D6">
      <w:pPr>
        <w:pStyle w:val="a6"/>
        <w:spacing w:before="0" w:beforeAutospacing="0" w:after="120" w:afterAutospacing="0"/>
        <w:jc w:val="both"/>
      </w:pPr>
    </w:p>
    <w:p w14:paraId="56F169AB" w14:textId="3EA5D5C9" w:rsidR="005F48D6" w:rsidRPr="005F48D6" w:rsidRDefault="005F48D6" w:rsidP="00A71B53">
      <w:pPr>
        <w:pStyle w:val="a6"/>
        <w:spacing w:before="0" w:beforeAutospacing="0" w:after="120" w:afterAutospacing="0"/>
        <w:jc w:val="both"/>
      </w:pPr>
      <w:r w:rsidRPr="005F48D6">
        <w:t>The Kaiser-Meyer-Olkin (KMO) Measure of Sampling Adequacy for the “Functional Relationship Between Account Managers and Sales Teams” variable was 0.909, which indicates an excellent level of sampling adequacy for conducting factor analysis. According to Kaiser’s classification, values above 0.90 are considered “marvelous,” meaning that the correlations among the items are strong and the data structure is highly suitable for extracting reliable factors. Additionally, Bartlett’s Test of Sphericity produced a significance value of 0.000, which is below the conventional threshold of 0.05. This demonstrates that the correlation matrix is not an identity matrix and that the variables are sufficiently correlated to justify the use of multivariate techniques such as factor analysis.</w:t>
      </w:r>
    </w:p>
    <w:p w14:paraId="066F9E4A" w14:textId="77777777" w:rsidR="005F48D6" w:rsidRDefault="005F48D6" w:rsidP="005F48D6">
      <w:pPr>
        <w:pStyle w:val="a6"/>
        <w:spacing w:before="0" w:beforeAutospacing="0" w:after="120" w:afterAutospacing="0"/>
        <w:jc w:val="both"/>
      </w:pPr>
      <w:r>
        <w:t>Together, these results provide strong statistical evidence supporting the appropriateness of the data for further dimensionality reduction procedures. The high KMO value and the significant Bartlett’s Test confirm that the measurement items share adequate common variance, allowing for meaningful identification of the underlying dimensions of the “Functional Relationship Between Account Managers and Sales Teams” variable.</w:t>
      </w:r>
    </w:p>
    <w:p w14:paraId="05732C15" w14:textId="77777777" w:rsidR="005F48D6" w:rsidRPr="005422CA" w:rsidRDefault="005F48D6" w:rsidP="005F48D6">
      <w:pPr>
        <w:pStyle w:val="4"/>
        <w:rPr>
          <w:rtl/>
        </w:rPr>
      </w:pPr>
      <w:bookmarkStart w:id="169" w:name="_Toc214621194"/>
      <w:r w:rsidRPr="005422CA">
        <w:t>Communities Mean</w:t>
      </w:r>
      <w:bookmarkEnd w:id="169"/>
    </w:p>
    <w:p w14:paraId="68C482C8" w14:textId="1598DAAD" w:rsidR="00A71B53" w:rsidRDefault="00A71B53" w:rsidP="00A71B53">
      <w:pPr>
        <w:pStyle w:val="ad"/>
      </w:pPr>
      <w:bookmarkStart w:id="170" w:name="_Toc214622020"/>
      <w:r>
        <w:t xml:space="preserve">Table </w:t>
      </w:r>
      <w:r>
        <w:fldChar w:fldCharType="begin"/>
      </w:r>
      <w:r>
        <w:instrText xml:space="preserve"> SEQ Table \* ARABIC </w:instrText>
      </w:r>
      <w:r>
        <w:fldChar w:fldCharType="separate"/>
      </w:r>
      <w:r w:rsidR="00CD4CCF">
        <w:t>14</w:t>
      </w:r>
      <w:r>
        <w:fldChar w:fldCharType="end"/>
      </w:r>
      <w:r>
        <w:rPr>
          <w:rFonts w:hint="cs"/>
          <w:rtl/>
          <w:lang w:bidi="ar-EG"/>
        </w:rPr>
        <w:t xml:space="preserve">: </w:t>
      </w:r>
      <w:r w:rsidRPr="004A0B7C">
        <w:rPr>
          <w:lang w:bidi="ar-EG"/>
        </w:rPr>
        <w:t>Communalities Mean Value</w:t>
      </w:r>
      <w:bookmarkEnd w:id="170"/>
    </w:p>
    <w:tbl>
      <w:tblPr>
        <w:tblStyle w:val="ae"/>
        <w:tblW w:w="0" w:type="auto"/>
        <w:jc w:val="center"/>
        <w:tblLook w:val="04A0" w:firstRow="1" w:lastRow="0" w:firstColumn="1" w:lastColumn="0" w:noHBand="0" w:noVBand="1"/>
      </w:tblPr>
      <w:tblGrid>
        <w:gridCol w:w="4544"/>
        <w:gridCol w:w="4517"/>
      </w:tblGrid>
      <w:tr w:rsidR="005F48D6" w14:paraId="2203F244" w14:textId="77777777" w:rsidTr="00A71B53">
        <w:trPr>
          <w:jc w:val="center"/>
        </w:trPr>
        <w:tc>
          <w:tcPr>
            <w:tcW w:w="4544" w:type="dxa"/>
            <w:shd w:val="clear" w:color="auto" w:fill="D9D9D9" w:themeFill="background1" w:themeFillShade="D9"/>
          </w:tcPr>
          <w:p w14:paraId="676230EC" w14:textId="77777777" w:rsidR="005F48D6" w:rsidRDefault="005F48D6" w:rsidP="00447C39">
            <w:pPr>
              <w:jc w:val="center"/>
              <w:rPr>
                <w:rFonts w:asciiTheme="majorBidi" w:hAnsiTheme="majorBidi" w:cstheme="majorBidi"/>
                <w:noProof/>
                <w:rtl/>
                <w:lang w:bidi="ar-EG"/>
              </w:rPr>
            </w:pPr>
            <w:r w:rsidRPr="00D44C8F">
              <w:rPr>
                <w:rFonts w:asciiTheme="majorBidi" w:hAnsiTheme="majorBidi" w:cstheme="majorBidi"/>
                <w:noProof/>
              </w:rPr>
              <w:t>Communities</w:t>
            </w:r>
            <w:r>
              <w:rPr>
                <w:rFonts w:asciiTheme="majorBidi" w:hAnsiTheme="majorBidi" w:cstheme="majorBidi"/>
                <w:noProof/>
              </w:rPr>
              <w:t xml:space="preserve"> Mean</w:t>
            </w:r>
          </w:p>
        </w:tc>
        <w:tc>
          <w:tcPr>
            <w:tcW w:w="4517" w:type="dxa"/>
          </w:tcPr>
          <w:p w14:paraId="3CFBC6BC" w14:textId="4DD4B4E5" w:rsidR="005F48D6" w:rsidRPr="00D44C8F" w:rsidRDefault="005F48D6" w:rsidP="00447C39">
            <w:pPr>
              <w:jc w:val="center"/>
              <w:rPr>
                <w:rFonts w:ascii="Arial" w:hAnsi="Arial" w:cs="Arial"/>
                <w:color w:val="000000"/>
                <w:sz w:val="20"/>
                <w:szCs w:val="20"/>
              </w:rPr>
            </w:pPr>
            <w:r w:rsidRPr="005F48D6">
              <w:rPr>
                <w:rFonts w:ascii="Arial" w:hAnsi="Arial" w:cs="Arial"/>
                <w:color w:val="000000"/>
                <w:sz w:val="20"/>
                <w:szCs w:val="20"/>
              </w:rPr>
              <w:t>0.861</w:t>
            </w:r>
          </w:p>
        </w:tc>
      </w:tr>
    </w:tbl>
    <w:p w14:paraId="1DED23EB" w14:textId="77777777" w:rsidR="00774771" w:rsidRPr="00774771" w:rsidRDefault="00774771" w:rsidP="00774771">
      <w:pPr>
        <w:pStyle w:val="a6"/>
        <w:spacing w:before="0" w:beforeAutospacing="0" w:after="120" w:afterAutospacing="0"/>
        <w:jc w:val="both"/>
      </w:pPr>
      <w:r w:rsidRPr="00774771">
        <w:t>The high average Communalities value of 0.861, which exceeds the commonly accepted threshold of 0.60, indicates that the factor analysis conducted on the “Functional Relationship Between Account Managers and Sales Teams” variable is both stable and reliable. This elevated value demonstrates that the extracted factors are capable of explaining a substantial proportion of the variance in the original measurement items.</w:t>
      </w:r>
    </w:p>
    <w:p w14:paraId="2D87BFD2" w14:textId="77777777" w:rsidR="00774771" w:rsidRPr="00774771" w:rsidRDefault="00774771" w:rsidP="00774771">
      <w:pPr>
        <w:pStyle w:val="a6"/>
        <w:spacing w:before="0" w:beforeAutospacing="0" w:after="120" w:afterAutospacing="0"/>
        <w:jc w:val="both"/>
      </w:pPr>
      <w:r w:rsidRPr="00774771">
        <w:t>Such a strong communalities mean confirms that the retained items share significant common variance with their respective factors, reinforcing the adequacy of the measurement model. This result enhances the credibility of the study’s findings by ensuring that the underlying dimensions are well-represented and that the extracted factor structure accurately captures the construct being measured.</w:t>
      </w:r>
    </w:p>
    <w:p w14:paraId="3294F0F8" w14:textId="77777777" w:rsidR="00A743B2" w:rsidRDefault="00A743B2" w:rsidP="00376677">
      <w:pPr>
        <w:pStyle w:val="4"/>
        <w:rPr>
          <w:noProof/>
        </w:rPr>
      </w:pPr>
      <w:bookmarkStart w:id="171" w:name="_Toc214621195"/>
      <w:bookmarkStart w:id="172" w:name="_Hlk174778739"/>
      <w:r w:rsidRPr="0064321A">
        <w:t>Total Variance Explained</w:t>
      </w:r>
      <w:r>
        <w:t xml:space="preserve"> (</w:t>
      </w:r>
      <w:r w:rsidRPr="00682DD3">
        <w:t>EigenValue</w:t>
      </w:r>
      <w:r>
        <w:t>)</w:t>
      </w:r>
      <w:bookmarkEnd w:id="171"/>
    </w:p>
    <w:bookmarkEnd w:id="172"/>
    <w:p w14:paraId="2D9C9877" w14:textId="77777777" w:rsidR="00376677" w:rsidRPr="00376677" w:rsidRDefault="00376677" w:rsidP="00376677">
      <w:pPr>
        <w:pStyle w:val="a6"/>
        <w:spacing w:before="0" w:beforeAutospacing="0" w:after="120" w:afterAutospacing="0"/>
        <w:jc w:val="both"/>
      </w:pPr>
      <w:r w:rsidRPr="00376677">
        <w:t>The Total Variance Explained table summarizes the amount of variance accounted for by the extracted components during factor analysis. The results indicate that four components have eigenvalues greater than 1 and were therefore retained according to the Kaiser criterion. These four components represent the four theoretical dimensions of the construct.</w:t>
      </w:r>
    </w:p>
    <w:p w14:paraId="6B91DB27" w14:textId="77777777" w:rsidR="00376677" w:rsidRPr="00376677" w:rsidRDefault="00376677" w:rsidP="00376677">
      <w:pPr>
        <w:pStyle w:val="a6"/>
        <w:spacing w:before="0" w:beforeAutospacing="0" w:after="120" w:afterAutospacing="0"/>
        <w:jc w:val="both"/>
      </w:pPr>
      <w:r w:rsidRPr="00376677">
        <w:t>The initial eigenvalues show that the first component accounts for 65.119% of the variance, while the next three components explain 8.609%, 6.450%, and 5.887%, respectively. Together, these four factors explain a cumulative variance of 86.065% before rotation. After applying the Varimax rotation method, the cumulative variance explained by the rotated factors is distributed more evenly across the components but remains at 86.065%.</w:t>
      </w:r>
    </w:p>
    <w:p w14:paraId="559163C6" w14:textId="77777777" w:rsidR="00376677" w:rsidRPr="00376677" w:rsidRDefault="00376677" w:rsidP="00376677">
      <w:pPr>
        <w:pStyle w:val="a6"/>
        <w:spacing w:before="0" w:beforeAutospacing="0" w:after="120" w:afterAutospacing="0"/>
        <w:jc w:val="both"/>
      </w:pPr>
      <w:r w:rsidRPr="00376677">
        <w:t>A cumulative variance above 60% is considered acceptable in social science research, while values exceeding 80% are regarded as excellent indicators of a strong factor structure. In this study, the cumulative percentage of 86.065% demonstrates that the four retained factors collectively capture a very high proportion of the variability in the measurement items of the construct. This provides strong evidence that the factor structure is valid and that the extracted components comprehensively represent the underlying dimensions of the “Functional Relationship Between Account Managers and Sales Teams” variable.</w:t>
      </w:r>
    </w:p>
    <w:p w14:paraId="4B093046" w14:textId="446C0CFE" w:rsidR="00376677" w:rsidRPr="00376677" w:rsidRDefault="00376677" w:rsidP="00376677">
      <w:pPr>
        <w:pStyle w:val="3"/>
      </w:pPr>
      <w:bookmarkStart w:id="173" w:name="_Toc214621196"/>
      <w:bookmarkStart w:id="174" w:name="_Hlk174776913"/>
      <w:r w:rsidRPr="00376677">
        <w:t>The Second Variable Risk management effectiveness:</w:t>
      </w:r>
      <w:bookmarkEnd w:id="173"/>
    </w:p>
    <w:p w14:paraId="4662D922" w14:textId="77777777" w:rsidR="00822E96" w:rsidRPr="00C77761" w:rsidRDefault="00822E96" w:rsidP="00822E96">
      <w:pPr>
        <w:pStyle w:val="4"/>
        <w:rPr>
          <w:lang w:bidi="ar-EG"/>
        </w:rPr>
      </w:pPr>
      <w:bookmarkStart w:id="175" w:name="_Toc214621197"/>
      <w:bookmarkEnd w:id="174"/>
      <w:r w:rsidRPr="008D3F47">
        <w:rPr>
          <w:lang w:bidi="ar-EG"/>
        </w:rPr>
        <w:t>Exploratory Factor Analysis</w:t>
      </w:r>
      <w:r>
        <w:rPr>
          <w:lang w:bidi="ar-EG"/>
        </w:rPr>
        <w:t xml:space="preserve"> (loading factor)</w:t>
      </w:r>
      <w:bookmarkEnd w:id="175"/>
    </w:p>
    <w:p w14:paraId="4296F536" w14:textId="77777777" w:rsidR="009C38FD" w:rsidRDefault="009C38FD" w:rsidP="004212FB">
      <w:pPr>
        <w:bidi w:val="0"/>
        <w:spacing w:after="120" w:line="276" w:lineRule="auto"/>
        <w:jc w:val="both"/>
        <w:rPr>
          <w:rFonts w:asciiTheme="majorBidi" w:hAnsiTheme="majorBidi" w:cstheme="majorBidi"/>
          <w:sz w:val="24"/>
          <w:szCs w:val="24"/>
          <w:lang w:bidi="ar-EG"/>
        </w:rPr>
      </w:pPr>
    </w:p>
    <w:p w14:paraId="5EC2D78A" w14:textId="1FF2D4D9" w:rsidR="00A71B53" w:rsidRDefault="00A71B53" w:rsidP="00A71B53">
      <w:pPr>
        <w:pStyle w:val="ad"/>
      </w:pPr>
      <w:bookmarkStart w:id="176" w:name="_Toc214622021"/>
      <w:r>
        <w:t xml:space="preserve">Table </w:t>
      </w:r>
      <w:r>
        <w:fldChar w:fldCharType="begin"/>
      </w:r>
      <w:r>
        <w:instrText xml:space="preserve"> SEQ Table \* ARABIC </w:instrText>
      </w:r>
      <w:r>
        <w:fldChar w:fldCharType="separate"/>
      </w:r>
      <w:r w:rsidR="00CD4CCF">
        <w:t>15</w:t>
      </w:r>
      <w:r>
        <w:fldChar w:fldCharType="end"/>
      </w:r>
      <w:r>
        <w:t xml:space="preserve">: </w:t>
      </w:r>
      <w:r w:rsidRPr="00115CFD">
        <w:t>Rotated Component Matrix (PCA – Varimax Rotation)</w:t>
      </w:r>
      <w:bookmarkEnd w:id="176"/>
    </w:p>
    <w:tbl>
      <w:tblPr>
        <w:tblW w:w="5000" w:type="pct"/>
        <w:tblLayout w:type="fixed"/>
        <w:tblLook w:val="04A0" w:firstRow="1" w:lastRow="0" w:firstColumn="1" w:lastColumn="0" w:noHBand="0" w:noVBand="1"/>
      </w:tblPr>
      <w:tblGrid>
        <w:gridCol w:w="992"/>
        <w:gridCol w:w="1874"/>
        <w:gridCol w:w="1575"/>
        <w:gridCol w:w="2135"/>
        <w:gridCol w:w="2495"/>
      </w:tblGrid>
      <w:tr w:rsidR="004212FB" w:rsidRPr="004212FB" w14:paraId="7105D01E" w14:textId="77777777" w:rsidTr="004212FB">
        <w:trPr>
          <w:trHeight w:val="20"/>
        </w:trPr>
        <w:tc>
          <w:tcPr>
            <w:tcW w:w="5000" w:type="pct"/>
            <w:gridSpan w:val="5"/>
            <w:tcBorders>
              <w:top w:val="nil"/>
              <w:left w:val="nil"/>
              <w:bottom w:val="nil"/>
              <w:right w:val="nil"/>
            </w:tcBorders>
            <w:vAlign w:val="center"/>
            <w:hideMark/>
          </w:tcPr>
          <w:p w14:paraId="7353CDA9" w14:textId="77777777" w:rsidR="004212FB" w:rsidRPr="004212FB" w:rsidRDefault="004212FB" w:rsidP="004212FB">
            <w:pPr>
              <w:bidi w:val="0"/>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4212FB">
              <w:rPr>
                <w:rFonts w:asciiTheme="majorBidi" w:eastAsia="Times New Roman" w:hAnsiTheme="majorBidi" w:cstheme="majorBidi"/>
                <w:b/>
                <w:bCs/>
                <w:color w:val="000000" w:themeColor="text1"/>
                <w:kern w:val="0"/>
                <w:sz w:val="24"/>
                <w:szCs w:val="24"/>
                <w14:ligatures w14:val="none"/>
              </w:rPr>
              <w:t>Rotated Component Matrix</w:t>
            </w:r>
            <w:r w:rsidRPr="004212FB">
              <w:rPr>
                <w:rFonts w:asciiTheme="majorBidi" w:eastAsia="Times New Roman" w:hAnsiTheme="majorBidi" w:cstheme="majorBidi"/>
                <w:b/>
                <w:bCs/>
                <w:color w:val="000000" w:themeColor="text1"/>
                <w:kern w:val="0"/>
                <w:sz w:val="24"/>
                <w:szCs w:val="24"/>
                <w:vertAlign w:val="superscript"/>
                <w14:ligatures w14:val="none"/>
              </w:rPr>
              <w:t>a</w:t>
            </w:r>
          </w:p>
        </w:tc>
      </w:tr>
      <w:tr w:rsidR="004212FB" w:rsidRPr="004212FB" w14:paraId="58CF2FC5" w14:textId="77777777" w:rsidTr="004212FB">
        <w:trPr>
          <w:trHeight w:val="20"/>
        </w:trPr>
        <w:tc>
          <w:tcPr>
            <w:tcW w:w="547" w:type="pct"/>
            <w:vMerge w:val="restart"/>
            <w:tcBorders>
              <w:top w:val="nil"/>
              <w:left w:val="nil"/>
              <w:bottom w:val="single" w:sz="4" w:space="0" w:color="993366"/>
              <w:right w:val="nil"/>
            </w:tcBorders>
            <w:vAlign w:val="bottom"/>
            <w:hideMark/>
          </w:tcPr>
          <w:p w14:paraId="070DF554" w14:textId="77777777" w:rsidR="004212FB" w:rsidRPr="004212FB" w:rsidRDefault="004212FB" w:rsidP="004212FB">
            <w:pPr>
              <w:bidi w:val="0"/>
              <w:spacing w:after="0" w:line="240" w:lineRule="auto"/>
              <w:jc w:val="center"/>
              <w:rPr>
                <w:rFonts w:asciiTheme="majorBidi" w:eastAsia="Times New Roman" w:hAnsiTheme="majorBidi" w:cstheme="majorBidi"/>
                <w:b/>
                <w:bCs/>
                <w:color w:val="000000" w:themeColor="text1"/>
                <w:kern w:val="0"/>
                <w:sz w:val="24"/>
                <w:szCs w:val="24"/>
                <w14:ligatures w14:val="none"/>
              </w:rPr>
            </w:pPr>
          </w:p>
        </w:tc>
        <w:tc>
          <w:tcPr>
            <w:tcW w:w="4453" w:type="pct"/>
            <w:gridSpan w:val="4"/>
            <w:tcBorders>
              <w:top w:val="nil"/>
              <w:left w:val="nil"/>
              <w:bottom w:val="nil"/>
              <w:right w:val="single" w:sz="4" w:space="0" w:color="333333"/>
            </w:tcBorders>
            <w:vAlign w:val="bottom"/>
            <w:hideMark/>
          </w:tcPr>
          <w:p w14:paraId="3D8956AE" w14:textId="77777777" w:rsidR="004212FB" w:rsidRPr="004212FB" w:rsidRDefault="004212FB" w:rsidP="004212FB">
            <w:pPr>
              <w:bidi w:val="0"/>
              <w:spacing w:after="0" w:line="240" w:lineRule="auto"/>
              <w:jc w:val="center"/>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Component</w:t>
            </w:r>
          </w:p>
        </w:tc>
      </w:tr>
      <w:tr w:rsidR="004212FB" w:rsidRPr="004212FB" w14:paraId="2EE5163F" w14:textId="77777777" w:rsidTr="00A71B53">
        <w:trPr>
          <w:trHeight w:val="20"/>
        </w:trPr>
        <w:tc>
          <w:tcPr>
            <w:tcW w:w="547" w:type="pct"/>
            <w:vMerge/>
            <w:tcBorders>
              <w:top w:val="nil"/>
              <w:left w:val="nil"/>
              <w:bottom w:val="single" w:sz="4" w:space="0" w:color="993366"/>
              <w:right w:val="nil"/>
            </w:tcBorders>
            <w:vAlign w:val="center"/>
            <w:hideMark/>
          </w:tcPr>
          <w:p w14:paraId="1F687B40" w14:textId="77777777" w:rsidR="004212FB" w:rsidRPr="004212FB" w:rsidRDefault="004212FB" w:rsidP="004212FB">
            <w:pPr>
              <w:bidi w:val="0"/>
              <w:spacing w:after="0" w:line="240" w:lineRule="auto"/>
              <w:rPr>
                <w:rFonts w:asciiTheme="majorBidi" w:eastAsia="Times New Roman" w:hAnsiTheme="majorBidi" w:cstheme="majorBidi"/>
                <w:b/>
                <w:bCs/>
                <w:color w:val="000000" w:themeColor="text1"/>
                <w:kern w:val="0"/>
                <w:sz w:val="24"/>
                <w:szCs w:val="24"/>
                <w14:ligatures w14:val="none"/>
              </w:rPr>
            </w:pPr>
          </w:p>
        </w:tc>
        <w:tc>
          <w:tcPr>
            <w:tcW w:w="1033" w:type="pct"/>
            <w:tcBorders>
              <w:top w:val="nil"/>
              <w:left w:val="nil"/>
              <w:bottom w:val="single" w:sz="4" w:space="0" w:color="993366"/>
              <w:right w:val="single" w:sz="4" w:space="0" w:color="333333"/>
            </w:tcBorders>
            <w:noWrap/>
            <w:vAlign w:val="bottom"/>
            <w:hideMark/>
          </w:tcPr>
          <w:p w14:paraId="064D0232" w14:textId="28B746CA" w:rsidR="004212FB" w:rsidRPr="004212FB" w:rsidRDefault="004212FB" w:rsidP="004212FB">
            <w:pPr>
              <w:bidi w:val="0"/>
              <w:spacing w:after="0" w:line="240" w:lineRule="auto"/>
              <w:jc w:val="center"/>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Early Risk Identification &amp; Onboarding Quality</w:t>
            </w:r>
          </w:p>
        </w:tc>
        <w:tc>
          <w:tcPr>
            <w:tcW w:w="868" w:type="pct"/>
            <w:tcBorders>
              <w:top w:val="nil"/>
              <w:left w:val="nil"/>
              <w:bottom w:val="single" w:sz="4" w:space="0" w:color="993366"/>
              <w:right w:val="single" w:sz="4" w:space="0" w:color="333333"/>
            </w:tcBorders>
            <w:noWrap/>
            <w:vAlign w:val="bottom"/>
            <w:hideMark/>
          </w:tcPr>
          <w:p w14:paraId="5359F7A1" w14:textId="793C02A6" w:rsidR="004212FB" w:rsidRPr="004212FB" w:rsidRDefault="004212FB" w:rsidP="004212FB">
            <w:pPr>
              <w:bidi w:val="0"/>
              <w:spacing w:after="0" w:line="240" w:lineRule="auto"/>
              <w:jc w:val="center"/>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Credit Discipline &amp; Outcomes</w:t>
            </w:r>
          </w:p>
        </w:tc>
        <w:tc>
          <w:tcPr>
            <w:tcW w:w="1177" w:type="pct"/>
            <w:tcBorders>
              <w:top w:val="nil"/>
              <w:left w:val="nil"/>
              <w:bottom w:val="single" w:sz="4" w:space="0" w:color="993366"/>
              <w:right w:val="single" w:sz="4" w:space="0" w:color="333333"/>
            </w:tcBorders>
            <w:noWrap/>
            <w:vAlign w:val="bottom"/>
            <w:hideMark/>
          </w:tcPr>
          <w:p w14:paraId="3D7DAF8F" w14:textId="1AE840E5" w:rsidR="004212FB" w:rsidRPr="004212FB" w:rsidRDefault="004212FB" w:rsidP="004212FB">
            <w:pPr>
              <w:bidi w:val="0"/>
              <w:spacing w:after="0" w:line="240" w:lineRule="auto"/>
              <w:jc w:val="center"/>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Liquidity &amp; Market-Risk Fit at Origination</w:t>
            </w:r>
          </w:p>
        </w:tc>
        <w:tc>
          <w:tcPr>
            <w:tcW w:w="1375" w:type="pct"/>
            <w:tcBorders>
              <w:top w:val="nil"/>
              <w:left w:val="nil"/>
              <w:bottom w:val="single" w:sz="4" w:space="0" w:color="993366"/>
              <w:right w:val="nil"/>
            </w:tcBorders>
            <w:noWrap/>
            <w:vAlign w:val="bottom"/>
            <w:hideMark/>
          </w:tcPr>
          <w:p w14:paraId="19C4D326" w14:textId="5311EC11" w:rsidR="004212FB" w:rsidRPr="004212FB" w:rsidRDefault="004212FB" w:rsidP="004212FB">
            <w:pPr>
              <w:bidi w:val="0"/>
              <w:spacing w:after="0" w:line="240" w:lineRule="auto"/>
              <w:jc w:val="center"/>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Operational Resilience &amp; Third-Party Risk Control</w:t>
            </w:r>
          </w:p>
        </w:tc>
      </w:tr>
      <w:tr w:rsidR="004212FB" w:rsidRPr="004212FB" w14:paraId="0D5B8FE6" w14:textId="77777777" w:rsidTr="00A71B53">
        <w:trPr>
          <w:trHeight w:val="20"/>
        </w:trPr>
        <w:tc>
          <w:tcPr>
            <w:tcW w:w="547" w:type="pct"/>
            <w:tcBorders>
              <w:top w:val="single" w:sz="4" w:space="0" w:color="C0C0C0"/>
              <w:left w:val="nil"/>
              <w:bottom w:val="single" w:sz="4" w:space="0" w:color="C0C0C0"/>
              <w:right w:val="nil"/>
            </w:tcBorders>
            <w:shd w:val="clear" w:color="auto" w:fill="F2F2F2" w:themeFill="background1" w:themeFillShade="F2"/>
            <w:hideMark/>
          </w:tcPr>
          <w:p w14:paraId="259346A1"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REO1</w:t>
            </w:r>
          </w:p>
        </w:tc>
        <w:tc>
          <w:tcPr>
            <w:tcW w:w="1033" w:type="pct"/>
            <w:tcBorders>
              <w:top w:val="single" w:sz="4" w:space="0" w:color="C0C0C0"/>
              <w:left w:val="nil"/>
              <w:bottom w:val="single" w:sz="4" w:space="0" w:color="C0C0C0"/>
              <w:right w:val="single" w:sz="4" w:space="0" w:color="333333"/>
            </w:tcBorders>
            <w:shd w:val="clear" w:color="000000" w:fill="FFFFFF"/>
            <w:noWrap/>
            <w:hideMark/>
          </w:tcPr>
          <w:p w14:paraId="1E095CDE"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single" w:sz="4" w:space="0" w:color="C0C0C0"/>
              <w:left w:val="nil"/>
              <w:bottom w:val="single" w:sz="4" w:space="0" w:color="C0C0C0"/>
              <w:right w:val="single" w:sz="4" w:space="0" w:color="333333"/>
            </w:tcBorders>
            <w:shd w:val="clear" w:color="000000" w:fill="FFFFFF"/>
            <w:hideMark/>
          </w:tcPr>
          <w:p w14:paraId="683C63F9"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single" w:sz="4" w:space="0" w:color="C0C0C0"/>
              <w:left w:val="nil"/>
              <w:bottom w:val="single" w:sz="4" w:space="0" w:color="C0C0C0"/>
              <w:right w:val="single" w:sz="4" w:space="0" w:color="333333"/>
            </w:tcBorders>
            <w:shd w:val="clear" w:color="000000" w:fill="FFFFFF"/>
            <w:hideMark/>
          </w:tcPr>
          <w:p w14:paraId="6FD4318E"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single" w:sz="4" w:space="0" w:color="C0C0C0"/>
              <w:left w:val="nil"/>
              <w:bottom w:val="single" w:sz="4" w:space="0" w:color="C0C0C0"/>
              <w:right w:val="nil"/>
            </w:tcBorders>
            <w:shd w:val="clear" w:color="000000" w:fill="FFFFFF"/>
            <w:hideMark/>
          </w:tcPr>
          <w:p w14:paraId="3A7DF638"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27CE3F60"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0CAC1DF5"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REO2</w:t>
            </w:r>
          </w:p>
        </w:tc>
        <w:tc>
          <w:tcPr>
            <w:tcW w:w="1033" w:type="pct"/>
            <w:tcBorders>
              <w:top w:val="nil"/>
              <w:left w:val="single" w:sz="4" w:space="0" w:color="333333"/>
              <w:bottom w:val="single" w:sz="4" w:space="0" w:color="C0C0C0"/>
              <w:right w:val="single" w:sz="4" w:space="0" w:color="333333"/>
            </w:tcBorders>
            <w:shd w:val="clear" w:color="000000" w:fill="FFFFFF"/>
            <w:noWrap/>
            <w:hideMark/>
          </w:tcPr>
          <w:p w14:paraId="42060AB5"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0.965</w:t>
            </w:r>
          </w:p>
        </w:tc>
        <w:tc>
          <w:tcPr>
            <w:tcW w:w="868" w:type="pct"/>
            <w:tcBorders>
              <w:top w:val="nil"/>
              <w:left w:val="nil"/>
              <w:bottom w:val="single" w:sz="4" w:space="0" w:color="C0C0C0"/>
              <w:right w:val="single" w:sz="4" w:space="0" w:color="333333"/>
            </w:tcBorders>
            <w:shd w:val="clear" w:color="000000" w:fill="FFFFFF"/>
            <w:hideMark/>
          </w:tcPr>
          <w:p w14:paraId="7CD59F43"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nil"/>
              <w:left w:val="nil"/>
              <w:bottom w:val="nil"/>
              <w:right w:val="nil"/>
            </w:tcBorders>
            <w:noWrap/>
            <w:vAlign w:val="bottom"/>
            <w:hideMark/>
          </w:tcPr>
          <w:p w14:paraId="2A4BC18E"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p>
        </w:tc>
        <w:tc>
          <w:tcPr>
            <w:tcW w:w="1375" w:type="pct"/>
            <w:tcBorders>
              <w:top w:val="nil"/>
              <w:left w:val="single" w:sz="4" w:space="0" w:color="333333"/>
              <w:bottom w:val="single" w:sz="4" w:space="0" w:color="C0C0C0"/>
              <w:right w:val="nil"/>
            </w:tcBorders>
            <w:shd w:val="clear" w:color="000000" w:fill="FFFFFF"/>
            <w:hideMark/>
          </w:tcPr>
          <w:p w14:paraId="374D33F0"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587D1DDA"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2E6220C4"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RCO1</w:t>
            </w:r>
          </w:p>
        </w:tc>
        <w:tc>
          <w:tcPr>
            <w:tcW w:w="1033" w:type="pct"/>
            <w:tcBorders>
              <w:top w:val="nil"/>
              <w:left w:val="nil"/>
              <w:bottom w:val="single" w:sz="4" w:space="0" w:color="C0C0C0"/>
              <w:right w:val="single" w:sz="4" w:space="0" w:color="333333"/>
            </w:tcBorders>
            <w:shd w:val="clear" w:color="000000" w:fill="FFFFFF"/>
            <w:hideMark/>
          </w:tcPr>
          <w:p w14:paraId="058FBF58"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nil"/>
              <w:left w:val="nil"/>
              <w:bottom w:val="single" w:sz="4" w:space="0" w:color="C0C0C0"/>
              <w:right w:val="single" w:sz="4" w:space="0" w:color="333333"/>
            </w:tcBorders>
            <w:shd w:val="clear" w:color="000000" w:fill="FFFFFF"/>
            <w:noWrap/>
            <w:hideMark/>
          </w:tcPr>
          <w:p w14:paraId="76AC5906"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0.944</w:t>
            </w:r>
          </w:p>
        </w:tc>
        <w:tc>
          <w:tcPr>
            <w:tcW w:w="1177" w:type="pct"/>
            <w:tcBorders>
              <w:top w:val="single" w:sz="4" w:space="0" w:color="C0C0C0"/>
              <w:left w:val="nil"/>
              <w:bottom w:val="single" w:sz="4" w:space="0" w:color="C0C0C0"/>
              <w:right w:val="single" w:sz="4" w:space="0" w:color="333333"/>
            </w:tcBorders>
            <w:shd w:val="clear" w:color="000000" w:fill="FFFFFF"/>
            <w:hideMark/>
          </w:tcPr>
          <w:p w14:paraId="4CE03503"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nil"/>
              <w:left w:val="nil"/>
              <w:bottom w:val="single" w:sz="4" w:space="0" w:color="C0C0C0"/>
              <w:right w:val="nil"/>
            </w:tcBorders>
            <w:shd w:val="clear" w:color="000000" w:fill="FFFFFF"/>
            <w:hideMark/>
          </w:tcPr>
          <w:p w14:paraId="505E9B6A"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7B8999D4"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52EF270F"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RCO2</w:t>
            </w:r>
          </w:p>
        </w:tc>
        <w:tc>
          <w:tcPr>
            <w:tcW w:w="1033" w:type="pct"/>
            <w:tcBorders>
              <w:top w:val="nil"/>
              <w:left w:val="nil"/>
              <w:bottom w:val="single" w:sz="4" w:space="0" w:color="C0C0C0"/>
              <w:right w:val="single" w:sz="4" w:space="0" w:color="333333"/>
            </w:tcBorders>
            <w:shd w:val="clear" w:color="000000" w:fill="FFFFFF"/>
            <w:noWrap/>
            <w:hideMark/>
          </w:tcPr>
          <w:p w14:paraId="3BBA55BF"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nil"/>
              <w:left w:val="nil"/>
              <w:bottom w:val="single" w:sz="4" w:space="0" w:color="C0C0C0"/>
              <w:right w:val="single" w:sz="4" w:space="0" w:color="333333"/>
            </w:tcBorders>
            <w:shd w:val="clear" w:color="000000" w:fill="FFFFFF"/>
            <w:noWrap/>
            <w:hideMark/>
          </w:tcPr>
          <w:p w14:paraId="76785E6B"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0.507</w:t>
            </w:r>
          </w:p>
        </w:tc>
        <w:tc>
          <w:tcPr>
            <w:tcW w:w="1177" w:type="pct"/>
            <w:tcBorders>
              <w:top w:val="nil"/>
              <w:left w:val="nil"/>
              <w:bottom w:val="single" w:sz="4" w:space="0" w:color="C0C0C0"/>
              <w:right w:val="single" w:sz="4" w:space="0" w:color="333333"/>
            </w:tcBorders>
            <w:shd w:val="clear" w:color="000000" w:fill="FFFFFF"/>
            <w:hideMark/>
          </w:tcPr>
          <w:p w14:paraId="02CB2D81"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nil"/>
              <w:left w:val="nil"/>
              <w:bottom w:val="single" w:sz="4" w:space="0" w:color="C0C0C0"/>
              <w:right w:val="nil"/>
            </w:tcBorders>
            <w:shd w:val="clear" w:color="000000" w:fill="FFFFFF"/>
            <w:noWrap/>
            <w:hideMark/>
          </w:tcPr>
          <w:p w14:paraId="479D6071"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334923BE" w14:textId="77777777" w:rsidTr="00A71B53">
        <w:trPr>
          <w:trHeight w:val="20"/>
        </w:trPr>
        <w:tc>
          <w:tcPr>
            <w:tcW w:w="547" w:type="pct"/>
            <w:tcBorders>
              <w:top w:val="nil"/>
              <w:left w:val="nil"/>
              <w:bottom w:val="single" w:sz="4" w:space="0" w:color="993366"/>
              <w:right w:val="nil"/>
            </w:tcBorders>
            <w:shd w:val="clear" w:color="auto" w:fill="F2F2F2" w:themeFill="background1" w:themeFillShade="F2"/>
            <w:hideMark/>
          </w:tcPr>
          <w:p w14:paraId="68DF557F"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RLM1</w:t>
            </w:r>
          </w:p>
        </w:tc>
        <w:tc>
          <w:tcPr>
            <w:tcW w:w="1033" w:type="pct"/>
            <w:tcBorders>
              <w:top w:val="nil"/>
              <w:left w:val="nil"/>
              <w:bottom w:val="single" w:sz="4" w:space="0" w:color="993366"/>
              <w:right w:val="single" w:sz="4" w:space="0" w:color="333333"/>
            </w:tcBorders>
            <w:shd w:val="clear" w:color="000000" w:fill="FFFFFF"/>
            <w:noWrap/>
            <w:hideMark/>
          </w:tcPr>
          <w:p w14:paraId="5ADFD029"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nil"/>
              <w:left w:val="nil"/>
              <w:bottom w:val="single" w:sz="4" w:space="0" w:color="993366"/>
              <w:right w:val="single" w:sz="4" w:space="0" w:color="333333"/>
            </w:tcBorders>
            <w:shd w:val="clear" w:color="000000" w:fill="FFFFFF"/>
            <w:hideMark/>
          </w:tcPr>
          <w:p w14:paraId="5741ABBB"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nil"/>
              <w:left w:val="nil"/>
              <w:bottom w:val="single" w:sz="4" w:space="0" w:color="993366"/>
              <w:right w:val="single" w:sz="4" w:space="0" w:color="333333"/>
            </w:tcBorders>
            <w:shd w:val="clear" w:color="000000" w:fill="FFFFFF"/>
            <w:hideMark/>
          </w:tcPr>
          <w:p w14:paraId="0D6601EC"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nil"/>
              <w:left w:val="nil"/>
              <w:bottom w:val="single" w:sz="4" w:space="0" w:color="993366"/>
              <w:right w:val="nil"/>
            </w:tcBorders>
            <w:shd w:val="clear" w:color="000000" w:fill="FFFFFF"/>
            <w:noWrap/>
            <w:hideMark/>
          </w:tcPr>
          <w:p w14:paraId="1D647E2C"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0.849</w:t>
            </w:r>
          </w:p>
        </w:tc>
      </w:tr>
      <w:tr w:rsidR="004212FB" w:rsidRPr="004212FB" w14:paraId="763DA253"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17ED0DFC"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RLM2</w:t>
            </w:r>
          </w:p>
        </w:tc>
        <w:tc>
          <w:tcPr>
            <w:tcW w:w="1033" w:type="pct"/>
            <w:tcBorders>
              <w:top w:val="nil"/>
              <w:left w:val="nil"/>
              <w:bottom w:val="nil"/>
              <w:right w:val="nil"/>
            </w:tcBorders>
            <w:noWrap/>
            <w:vAlign w:val="bottom"/>
            <w:hideMark/>
          </w:tcPr>
          <w:p w14:paraId="7C3E4DD7"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p>
        </w:tc>
        <w:tc>
          <w:tcPr>
            <w:tcW w:w="868" w:type="pct"/>
            <w:tcBorders>
              <w:top w:val="nil"/>
              <w:left w:val="single" w:sz="4" w:space="0" w:color="333333"/>
              <w:bottom w:val="single" w:sz="4" w:space="0" w:color="C0C0C0"/>
              <w:right w:val="single" w:sz="4" w:space="0" w:color="333333"/>
            </w:tcBorders>
            <w:shd w:val="clear" w:color="000000" w:fill="FFFFFF"/>
            <w:hideMark/>
          </w:tcPr>
          <w:p w14:paraId="7D3D3460"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nil"/>
              <w:left w:val="nil"/>
              <w:bottom w:val="single" w:sz="4" w:space="0" w:color="C0C0C0"/>
              <w:right w:val="single" w:sz="4" w:space="0" w:color="333333"/>
            </w:tcBorders>
            <w:shd w:val="clear" w:color="000000" w:fill="FFFFFF"/>
            <w:noWrap/>
            <w:hideMark/>
          </w:tcPr>
          <w:p w14:paraId="300F5012"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0.921</w:t>
            </w:r>
          </w:p>
        </w:tc>
        <w:tc>
          <w:tcPr>
            <w:tcW w:w="1375" w:type="pct"/>
            <w:tcBorders>
              <w:top w:val="nil"/>
              <w:left w:val="nil"/>
              <w:bottom w:val="single" w:sz="4" w:space="0" w:color="C0C0C0"/>
              <w:right w:val="nil"/>
            </w:tcBorders>
            <w:shd w:val="clear" w:color="000000" w:fill="FFFFFF"/>
            <w:hideMark/>
          </w:tcPr>
          <w:p w14:paraId="567F8C7E"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6AD273E7"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35894137"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ROT2</w:t>
            </w:r>
          </w:p>
        </w:tc>
        <w:tc>
          <w:tcPr>
            <w:tcW w:w="1033" w:type="pct"/>
            <w:tcBorders>
              <w:top w:val="single" w:sz="4" w:space="0" w:color="C0C0C0"/>
              <w:left w:val="nil"/>
              <w:bottom w:val="single" w:sz="4" w:space="0" w:color="C0C0C0"/>
              <w:right w:val="single" w:sz="4" w:space="0" w:color="333333"/>
            </w:tcBorders>
            <w:shd w:val="clear" w:color="000000" w:fill="FFFFFF"/>
            <w:hideMark/>
          </w:tcPr>
          <w:p w14:paraId="6D97A695"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nil"/>
              <w:left w:val="nil"/>
              <w:bottom w:val="single" w:sz="4" w:space="0" w:color="C0C0C0"/>
              <w:right w:val="single" w:sz="4" w:space="0" w:color="333333"/>
            </w:tcBorders>
            <w:shd w:val="clear" w:color="000000" w:fill="FFFFFF"/>
            <w:noWrap/>
            <w:hideMark/>
          </w:tcPr>
          <w:p w14:paraId="6DDE8688"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nil"/>
              <w:left w:val="nil"/>
              <w:bottom w:val="single" w:sz="4" w:space="0" w:color="C0C0C0"/>
              <w:right w:val="single" w:sz="4" w:space="0" w:color="333333"/>
            </w:tcBorders>
            <w:shd w:val="clear" w:color="000000" w:fill="FFFFFF"/>
            <w:hideMark/>
          </w:tcPr>
          <w:p w14:paraId="0CDBF889"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nil"/>
              <w:left w:val="nil"/>
              <w:bottom w:val="single" w:sz="4" w:space="0" w:color="C0C0C0"/>
              <w:right w:val="nil"/>
            </w:tcBorders>
            <w:shd w:val="clear" w:color="000000" w:fill="FFFFFF"/>
            <w:hideMark/>
          </w:tcPr>
          <w:p w14:paraId="6DDA4D40"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1590C5E9" w14:textId="77777777" w:rsidTr="00A71B53">
        <w:trPr>
          <w:trHeight w:val="20"/>
        </w:trPr>
        <w:tc>
          <w:tcPr>
            <w:tcW w:w="547" w:type="pct"/>
            <w:tcBorders>
              <w:top w:val="nil"/>
              <w:left w:val="nil"/>
              <w:bottom w:val="single" w:sz="4" w:space="0" w:color="C0C0C0"/>
              <w:right w:val="nil"/>
            </w:tcBorders>
            <w:shd w:val="clear" w:color="auto" w:fill="F2F2F2" w:themeFill="background1" w:themeFillShade="F2"/>
            <w:hideMark/>
          </w:tcPr>
          <w:p w14:paraId="26B5553D"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ROT1</w:t>
            </w:r>
          </w:p>
        </w:tc>
        <w:tc>
          <w:tcPr>
            <w:tcW w:w="1033" w:type="pct"/>
            <w:tcBorders>
              <w:top w:val="nil"/>
              <w:left w:val="nil"/>
              <w:bottom w:val="single" w:sz="4" w:space="0" w:color="C0C0C0"/>
              <w:right w:val="single" w:sz="4" w:space="0" w:color="333333"/>
            </w:tcBorders>
            <w:shd w:val="clear" w:color="000000" w:fill="FFFFFF"/>
            <w:hideMark/>
          </w:tcPr>
          <w:p w14:paraId="1593C36E"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868" w:type="pct"/>
            <w:tcBorders>
              <w:top w:val="nil"/>
              <w:left w:val="nil"/>
              <w:bottom w:val="single" w:sz="4" w:space="0" w:color="C0C0C0"/>
              <w:right w:val="single" w:sz="4" w:space="0" w:color="333333"/>
            </w:tcBorders>
            <w:shd w:val="clear" w:color="000000" w:fill="FFFFFF"/>
            <w:hideMark/>
          </w:tcPr>
          <w:p w14:paraId="60BD0443"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177" w:type="pct"/>
            <w:tcBorders>
              <w:top w:val="nil"/>
              <w:left w:val="nil"/>
              <w:bottom w:val="single" w:sz="4" w:space="0" w:color="C0C0C0"/>
              <w:right w:val="single" w:sz="4" w:space="0" w:color="333333"/>
            </w:tcBorders>
            <w:shd w:val="clear" w:color="000000" w:fill="FFFFFF"/>
            <w:noWrap/>
            <w:hideMark/>
          </w:tcPr>
          <w:p w14:paraId="4E596C1C" w14:textId="77777777" w:rsidR="004212FB" w:rsidRPr="004212FB" w:rsidRDefault="004212FB" w:rsidP="004212FB">
            <w:pPr>
              <w:bidi w:val="0"/>
              <w:spacing w:after="0" w:line="240" w:lineRule="auto"/>
              <w:jc w:val="right"/>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c>
          <w:tcPr>
            <w:tcW w:w="1375" w:type="pct"/>
            <w:tcBorders>
              <w:top w:val="nil"/>
              <w:left w:val="nil"/>
              <w:bottom w:val="single" w:sz="4" w:space="0" w:color="C0C0C0"/>
              <w:right w:val="nil"/>
            </w:tcBorders>
            <w:shd w:val="clear" w:color="000000" w:fill="FFFFFF"/>
            <w:hideMark/>
          </w:tcPr>
          <w:p w14:paraId="57954BFB"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w:t>
            </w:r>
          </w:p>
        </w:tc>
      </w:tr>
      <w:tr w:rsidR="004212FB" w:rsidRPr="004212FB" w14:paraId="371E867C" w14:textId="77777777" w:rsidTr="004212FB">
        <w:trPr>
          <w:trHeight w:val="20"/>
        </w:trPr>
        <w:tc>
          <w:tcPr>
            <w:tcW w:w="1580" w:type="pct"/>
            <w:gridSpan w:val="2"/>
            <w:tcBorders>
              <w:top w:val="nil"/>
              <w:left w:val="nil"/>
              <w:bottom w:val="single" w:sz="4" w:space="0" w:color="C0C0C0"/>
              <w:right w:val="single" w:sz="4" w:space="0" w:color="333333"/>
            </w:tcBorders>
            <w:shd w:val="clear" w:color="auto" w:fill="00B0F0"/>
          </w:tcPr>
          <w:p w14:paraId="0A135409" w14:textId="157EBF98" w:rsidR="004212FB" w:rsidRPr="004212FB" w:rsidRDefault="004212FB" w:rsidP="004212FB">
            <w:pPr>
              <w:bidi w:val="0"/>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4212FB">
              <w:rPr>
                <w:rFonts w:asciiTheme="majorBidi" w:eastAsia="Times New Roman" w:hAnsiTheme="majorBidi" w:cstheme="majorBidi"/>
                <w:b/>
                <w:bCs/>
                <w:color w:val="000000" w:themeColor="text1"/>
                <w:kern w:val="0"/>
                <w:sz w:val="24"/>
                <w:szCs w:val="24"/>
                <w14:ligatures w14:val="none"/>
              </w:rPr>
              <w:t>AVE</w:t>
            </w:r>
          </w:p>
        </w:tc>
        <w:tc>
          <w:tcPr>
            <w:tcW w:w="3420" w:type="pct"/>
            <w:gridSpan w:val="3"/>
            <w:tcBorders>
              <w:top w:val="nil"/>
              <w:left w:val="nil"/>
              <w:bottom w:val="single" w:sz="4" w:space="0" w:color="C0C0C0"/>
              <w:right w:val="single" w:sz="4" w:space="0" w:color="333333"/>
            </w:tcBorders>
            <w:shd w:val="clear" w:color="auto" w:fill="00B0F0"/>
          </w:tcPr>
          <w:p w14:paraId="7038338C" w14:textId="3A88E197" w:rsidR="004212FB" w:rsidRPr="004212FB" w:rsidRDefault="004212FB" w:rsidP="004212FB">
            <w:pPr>
              <w:bidi w:val="0"/>
              <w:spacing w:after="0" w:line="240" w:lineRule="auto"/>
              <w:jc w:val="center"/>
              <w:rPr>
                <w:rFonts w:asciiTheme="majorBidi" w:eastAsia="Times New Roman" w:hAnsiTheme="majorBidi" w:cstheme="majorBidi"/>
                <w:b/>
                <w:bCs/>
                <w:color w:val="000000" w:themeColor="text1"/>
                <w:kern w:val="0"/>
                <w:sz w:val="24"/>
                <w:szCs w:val="24"/>
                <w14:ligatures w14:val="none"/>
              </w:rPr>
            </w:pPr>
            <w:r w:rsidRPr="004212FB">
              <w:rPr>
                <w:rFonts w:asciiTheme="majorBidi" w:eastAsia="Times New Roman" w:hAnsiTheme="majorBidi" w:cstheme="majorBidi"/>
                <w:b/>
                <w:bCs/>
                <w:color w:val="000000" w:themeColor="text1"/>
                <w:kern w:val="0"/>
                <w:sz w:val="24"/>
                <w:szCs w:val="24"/>
                <w14:ligatures w14:val="none"/>
              </w:rPr>
              <w:t>0.837</w:t>
            </w:r>
          </w:p>
        </w:tc>
      </w:tr>
      <w:tr w:rsidR="004212FB" w:rsidRPr="004212FB" w14:paraId="599F9667" w14:textId="77777777" w:rsidTr="004212FB">
        <w:trPr>
          <w:trHeight w:val="20"/>
        </w:trPr>
        <w:tc>
          <w:tcPr>
            <w:tcW w:w="5000" w:type="pct"/>
            <w:gridSpan w:val="5"/>
            <w:tcBorders>
              <w:top w:val="nil"/>
              <w:left w:val="nil"/>
              <w:bottom w:val="nil"/>
              <w:right w:val="nil"/>
            </w:tcBorders>
            <w:hideMark/>
          </w:tcPr>
          <w:p w14:paraId="6E053A6F"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 xml:space="preserve">Extraction Method: Principal Component Analysis. </w:t>
            </w:r>
            <w:r w:rsidRPr="004212FB">
              <w:rPr>
                <w:rFonts w:asciiTheme="majorBidi" w:eastAsia="Times New Roman" w:hAnsiTheme="majorBidi" w:cstheme="majorBidi"/>
                <w:color w:val="000000" w:themeColor="text1"/>
                <w:kern w:val="0"/>
                <w:sz w:val="24"/>
                <w:szCs w:val="24"/>
                <w14:ligatures w14:val="none"/>
              </w:rPr>
              <w:br/>
              <w:t xml:space="preserve"> Rotation Method: Varimax with Kaiser Normalization.</w:t>
            </w:r>
          </w:p>
        </w:tc>
      </w:tr>
      <w:tr w:rsidR="004212FB" w:rsidRPr="004212FB" w14:paraId="45AA8DB2" w14:textId="77777777" w:rsidTr="004212FB">
        <w:trPr>
          <w:trHeight w:val="20"/>
        </w:trPr>
        <w:tc>
          <w:tcPr>
            <w:tcW w:w="5000" w:type="pct"/>
            <w:gridSpan w:val="5"/>
            <w:tcBorders>
              <w:top w:val="nil"/>
              <w:left w:val="nil"/>
              <w:bottom w:val="nil"/>
              <w:right w:val="nil"/>
            </w:tcBorders>
            <w:hideMark/>
          </w:tcPr>
          <w:p w14:paraId="5A59E4C7" w14:textId="77777777" w:rsidR="004212FB" w:rsidRPr="004212FB" w:rsidRDefault="004212FB" w:rsidP="004212FB">
            <w:pPr>
              <w:bidi w:val="0"/>
              <w:spacing w:after="0" w:line="240" w:lineRule="auto"/>
              <w:rPr>
                <w:rFonts w:asciiTheme="majorBidi" w:eastAsia="Times New Roman" w:hAnsiTheme="majorBidi" w:cstheme="majorBidi"/>
                <w:color w:val="000000" w:themeColor="text1"/>
                <w:kern w:val="0"/>
                <w:sz w:val="24"/>
                <w:szCs w:val="24"/>
                <w14:ligatures w14:val="none"/>
              </w:rPr>
            </w:pPr>
            <w:r w:rsidRPr="004212FB">
              <w:rPr>
                <w:rFonts w:asciiTheme="majorBidi" w:eastAsia="Times New Roman" w:hAnsiTheme="majorBidi" w:cstheme="majorBidi"/>
                <w:color w:val="000000" w:themeColor="text1"/>
                <w:kern w:val="0"/>
                <w:sz w:val="24"/>
                <w:szCs w:val="24"/>
                <w14:ligatures w14:val="none"/>
              </w:rPr>
              <w:t>a. Rotation converged in 5 iterations.</w:t>
            </w:r>
          </w:p>
        </w:tc>
      </w:tr>
    </w:tbl>
    <w:p w14:paraId="75699E75" w14:textId="6FF0EC15" w:rsidR="00370164" w:rsidRDefault="00370164" w:rsidP="00370164">
      <w:pPr>
        <w:bidi w:val="0"/>
        <w:spacing w:after="120" w:line="276" w:lineRule="auto"/>
        <w:ind w:firstLine="284"/>
        <w:jc w:val="both"/>
        <w:rPr>
          <w:rFonts w:asciiTheme="majorBidi" w:hAnsiTheme="majorBidi" w:cstheme="majorBidi"/>
          <w:sz w:val="24"/>
          <w:szCs w:val="24"/>
        </w:rPr>
      </w:pPr>
    </w:p>
    <w:p w14:paraId="797CA5DC" w14:textId="77777777" w:rsidR="00822E96" w:rsidRPr="00822E96" w:rsidRDefault="00822E96" w:rsidP="00822E96">
      <w:pPr>
        <w:pStyle w:val="a6"/>
        <w:spacing w:before="0" w:beforeAutospacing="0" w:after="120" w:afterAutospacing="0"/>
        <w:jc w:val="both"/>
      </w:pPr>
      <w:r w:rsidRPr="00822E96">
        <w:t>The table presents the rotated factor loadings for the items measuring the construct “Risk Management Effectiveness.” The results clarify how each item relates to the four underlying dimensions of the variable after rotation.</w:t>
      </w:r>
    </w:p>
    <w:p w14:paraId="3DF3EE42" w14:textId="77777777" w:rsidR="00822E96" w:rsidRPr="00822E96" w:rsidRDefault="00822E96" w:rsidP="002E6F27">
      <w:pPr>
        <w:pStyle w:val="a6"/>
        <w:numPr>
          <w:ilvl w:val="0"/>
          <w:numId w:val="76"/>
        </w:numPr>
        <w:spacing w:before="0" w:beforeAutospacing="0" w:after="120" w:afterAutospacing="0"/>
        <w:jc w:val="both"/>
      </w:pPr>
      <w:r w:rsidRPr="00822E96">
        <w:t>Early Risk Identification &amp; Onboarding Quality</w:t>
      </w:r>
    </w:p>
    <w:p w14:paraId="5208297A" w14:textId="77777777" w:rsidR="00822E96" w:rsidRPr="00822E96" w:rsidRDefault="00822E96" w:rsidP="002E6F27">
      <w:pPr>
        <w:pStyle w:val="a6"/>
        <w:numPr>
          <w:ilvl w:val="0"/>
          <w:numId w:val="75"/>
        </w:numPr>
        <w:spacing w:before="0" w:beforeAutospacing="0" w:after="120" w:afterAutospacing="0"/>
        <w:jc w:val="both"/>
      </w:pPr>
      <w:r w:rsidRPr="00822E96">
        <w:t>The item REO2 has a very high loading of 0.965 on this component, indicating a strong association with the Early Risk Identification &amp; Onboarding Quality dimension.</w:t>
      </w:r>
    </w:p>
    <w:p w14:paraId="1E2BFC72" w14:textId="77777777" w:rsidR="00822E96" w:rsidRPr="00822E96" w:rsidRDefault="00822E96" w:rsidP="002E6F27">
      <w:pPr>
        <w:pStyle w:val="a6"/>
        <w:numPr>
          <w:ilvl w:val="0"/>
          <w:numId w:val="75"/>
        </w:numPr>
        <w:spacing w:before="0" w:beforeAutospacing="0" w:after="120" w:afterAutospacing="0"/>
        <w:jc w:val="both"/>
      </w:pPr>
      <w:r w:rsidRPr="00822E96">
        <w:t>The item REO1 did not show an acceptable loading on any factor and was therefore removed from the scale, which improves the clarity and purity of this dimension.</w:t>
      </w:r>
    </w:p>
    <w:p w14:paraId="18807410" w14:textId="77777777" w:rsidR="00822E96" w:rsidRPr="00822E96" w:rsidRDefault="00822E96" w:rsidP="002E6F27">
      <w:pPr>
        <w:pStyle w:val="a6"/>
        <w:numPr>
          <w:ilvl w:val="0"/>
          <w:numId w:val="76"/>
        </w:numPr>
        <w:spacing w:before="0" w:beforeAutospacing="0" w:after="120" w:afterAutospacing="0"/>
        <w:jc w:val="both"/>
      </w:pPr>
      <w:r w:rsidRPr="00822E96">
        <w:t>Credit Discipline &amp; Outcomes</w:t>
      </w:r>
    </w:p>
    <w:p w14:paraId="12F14AB4" w14:textId="77777777" w:rsidR="00822E96" w:rsidRPr="00822E96" w:rsidRDefault="00822E96" w:rsidP="002E6F27">
      <w:pPr>
        <w:pStyle w:val="a6"/>
        <w:numPr>
          <w:ilvl w:val="0"/>
          <w:numId w:val="75"/>
        </w:numPr>
        <w:spacing w:before="0" w:beforeAutospacing="0" w:after="120" w:afterAutospacing="0"/>
        <w:jc w:val="both"/>
      </w:pPr>
      <w:r w:rsidRPr="00822E96">
        <w:t>The items RCO1 and RCO2 load on the Credit Discipline &amp; Outcomes factor, with loadings of 0.944 and 0.507, respectively.</w:t>
      </w:r>
    </w:p>
    <w:p w14:paraId="4DCB9A68" w14:textId="77777777" w:rsidR="00822E96" w:rsidRPr="00822E96" w:rsidRDefault="00822E96" w:rsidP="002E6F27">
      <w:pPr>
        <w:pStyle w:val="a6"/>
        <w:numPr>
          <w:ilvl w:val="0"/>
          <w:numId w:val="75"/>
        </w:numPr>
        <w:spacing w:before="0" w:beforeAutospacing="0" w:after="120" w:afterAutospacing="0"/>
        <w:jc w:val="both"/>
      </w:pPr>
      <w:r w:rsidRPr="00822E96">
        <w:t>These results show that both items are related to this dimension, with RCO1 contributing very strongly and RCO2 contributing at a moderate but acceptable level.</w:t>
      </w:r>
    </w:p>
    <w:p w14:paraId="16EF5868" w14:textId="77777777" w:rsidR="00822E96" w:rsidRPr="00822E96" w:rsidRDefault="00822E96" w:rsidP="002E6F27">
      <w:pPr>
        <w:pStyle w:val="a6"/>
        <w:numPr>
          <w:ilvl w:val="0"/>
          <w:numId w:val="76"/>
        </w:numPr>
        <w:spacing w:before="0" w:beforeAutospacing="0" w:after="120" w:afterAutospacing="0"/>
        <w:jc w:val="both"/>
      </w:pPr>
      <w:r w:rsidRPr="00822E96">
        <w:t>Liquidity &amp; Market-Risk Fit at Origination</w:t>
      </w:r>
    </w:p>
    <w:p w14:paraId="771F5256" w14:textId="77777777" w:rsidR="00822E96" w:rsidRPr="00822E96" w:rsidRDefault="00822E96" w:rsidP="002E6F27">
      <w:pPr>
        <w:pStyle w:val="a6"/>
        <w:numPr>
          <w:ilvl w:val="0"/>
          <w:numId w:val="75"/>
        </w:numPr>
        <w:spacing w:before="0" w:beforeAutospacing="0" w:after="120" w:afterAutospacing="0"/>
        <w:jc w:val="both"/>
      </w:pPr>
      <w:r w:rsidRPr="00822E96">
        <w:t>The item RLM2 loads highly on this component with a factor loading of 0.921, indicating a strong relationship with the Liquidity &amp; Market-Risk Fit dimension.</w:t>
      </w:r>
    </w:p>
    <w:p w14:paraId="07A6B52A" w14:textId="77777777" w:rsidR="00822E96" w:rsidRPr="00822E96" w:rsidRDefault="00822E96" w:rsidP="002E6F27">
      <w:pPr>
        <w:pStyle w:val="a6"/>
        <w:numPr>
          <w:ilvl w:val="0"/>
          <w:numId w:val="75"/>
        </w:numPr>
        <w:spacing w:before="0" w:beforeAutospacing="0" w:after="120" w:afterAutospacing="0"/>
        <w:jc w:val="both"/>
      </w:pPr>
      <w:r w:rsidRPr="00822E96">
        <w:t>The item RLM1 did not meet the required loading threshold and was consequently deleted to maintain a clean and interpretable factor structure.</w:t>
      </w:r>
    </w:p>
    <w:p w14:paraId="2180D2EB" w14:textId="77777777" w:rsidR="00822E96" w:rsidRPr="00822E96" w:rsidRDefault="00822E96" w:rsidP="002E6F27">
      <w:pPr>
        <w:pStyle w:val="a6"/>
        <w:numPr>
          <w:ilvl w:val="0"/>
          <w:numId w:val="76"/>
        </w:numPr>
        <w:spacing w:before="0" w:beforeAutospacing="0" w:after="120" w:afterAutospacing="0"/>
        <w:jc w:val="both"/>
      </w:pPr>
      <w:r w:rsidRPr="00822E96">
        <w:t>Operational Resilience &amp; Third-Party Risk Control</w:t>
      </w:r>
    </w:p>
    <w:p w14:paraId="66283FDC" w14:textId="77777777" w:rsidR="00822E96" w:rsidRPr="00822E96" w:rsidRDefault="00822E96" w:rsidP="002E6F27">
      <w:pPr>
        <w:pStyle w:val="a6"/>
        <w:numPr>
          <w:ilvl w:val="0"/>
          <w:numId w:val="75"/>
        </w:numPr>
        <w:spacing w:before="0" w:beforeAutospacing="0" w:after="120" w:afterAutospacing="0"/>
        <w:jc w:val="both"/>
      </w:pPr>
      <w:r w:rsidRPr="00822E96">
        <w:t>The item ROT2 shows a high loading of 0.849, confirming its alignment with the Operational Resilience &amp; Third-Party Risk Control dimension.</w:t>
      </w:r>
    </w:p>
    <w:p w14:paraId="3126C77F" w14:textId="77777777" w:rsidR="00822E96" w:rsidRPr="00822E96" w:rsidRDefault="00822E96" w:rsidP="002E6F27">
      <w:pPr>
        <w:pStyle w:val="a6"/>
        <w:numPr>
          <w:ilvl w:val="0"/>
          <w:numId w:val="75"/>
        </w:numPr>
        <w:spacing w:before="0" w:beforeAutospacing="0" w:after="120" w:afterAutospacing="0"/>
        <w:jc w:val="both"/>
      </w:pPr>
      <w:r w:rsidRPr="00822E96">
        <w:t>The item ROT1 did not load satisfactorily on any factor and was therefore removed from the final measurement model.</w:t>
      </w:r>
    </w:p>
    <w:p w14:paraId="37C00E2E" w14:textId="77777777" w:rsidR="00822E96" w:rsidRPr="00822E96" w:rsidRDefault="00822E96" w:rsidP="00822E96">
      <w:pPr>
        <w:pStyle w:val="a6"/>
        <w:spacing w:before="0" w:beforeAutospacing="0" w:after="120" w:afterAutospacing="0"/>
        <w:jc w:val="both"/>
      </w:pPr>
      <w:r w:rsidRPr="00822E96">
        <w:t>Overall, the Exploratory Factor Analysis confirms a clear four-factor structure for Risk Management Effectiveness. The reported AVE of 0.837 provides strong evidence of convergent validity, indicating that the retained items share a high proportion of common variance and effectively capture the underlying risk-management construct.</w:t>
      </w:r>
    </w:p>
    <w:p w14:paraId="1D856E21" w14:textId="77777777" w:rsidR="00822E96" w:rsidRPr="002A7096" w:rsidRDefault="00822E96" w:rsidP="00822E96">
      <w:pPr>
        <w:pStyle w:val="4"/>
      </w:pPr>
      <w:bookmarkStart w:id="177" w:name="_Toc214621198"/>
      <w:bookmarkStart w:id="178" w:name="_Hlk174779199"/>
      <w:r w:rsidRPr="00A73233">
        <w:t xml:space="preserve">Measuring </w:t>
      </w:r>
      <w:r>
        <w:t>T</w:t>
      </w:r>
      <w:r w:rsidRPr="00A73233">
        <w:t xml:space="preserve">he </w:t>
      </w:r>
      <w:r w:rsidRPr="002F76BF">
        <w:t>Reliability</w:t>
      </w:r>
      <w:r>
        <w:t xml:space="preserve"> O</w:t>
      </w:r>
      <w:r w:rsidRPr="00A73233">
        <w:t xml:space="preserve">f the </w:t>
      </w:r>
      <w:r>
        <w:t>S</w:t>
      </w:r>
      <w:r w:rsidRPr="00A73233">
        <w:t xml:space="preserve">tudy </w:t>
      </w:r>
      <w:r>
        <w:t>(</w:t>
      </w:r>
      <w:r w:rsidRPr="002F76BF">
        <w:t>Cronbach's Alpha</w:t>
      </w:r>
      <w:r>
        <w:t>)</w:t>
      </w:r>
      <w:bookmarkEnd w:id="177"/>
    </w:p>
    <w:bookmarkEnd w:id="178"/>
    <w:p w14:paraId="03994B82" w14:textId="77777777" w:rsidR="001153C0" w:rsidRPr="001153C0" w:rsidRDefault="001153C0" w:rsidP="001153C0">
      <w:pPr>
        <w:autoSpaceDE w:val="0"/>
        <w:autoSpaceDN w:val="0"/>
        <w:bidi w:val="0"/>
        <w:adjustRightInd w:val="0"/>
        <w:spacing w:after="0" w:line="240" w:lineRule="auto"/>
        <w:rPr>
          <w:rFonts w:ascii="Times New Roman" w:hAnsi="Times New Roman" w:cs="Times New Roman"/>
          <w:kern w:val="0"/>
          <w:sz w:val="24"/>
          <w:szCs w:val="24"/>
        </w:rPr>
      </w:pPr>
    </w:p>
    <w:p w14:paraId="25C91534" w14:textId="16F26079" w:rsidR="00A71B53" w:rsidRDefault="00A71B53" w:rsidP="00A71B53">
      <w:pPr>
        <w:pStyle w:val="ad"/>
      </w:pPr>
      <w:bookmarkStart w:id="179" w:name="_Toc214622022"/>
      <w:r>
        <w:t xml:space="preserve">Table </w:t>
      </w:r>
      <w:r>
        <w:fldChar w:fldCharType="begin"/>
      </w:r>
      <w:r>
        <w:instrText xml:space="preserve"> SEQ Table \* ARABIC </w:instrText>
      </w:r>
      <w:r>
        <w:fldChar w:fldCharType="separate"/>
      </w:r>
      <w:r w:rsidR="00CD4CCF">
        <w:t>16</w:t>
      </w:r>
      <w:r>
        <w:fldChar w:fldCharType="end"/>
      </w:r>
      <w:r>
        <w:t xml:space="preserve">: </w:t>
      </w:r>
      <w:r w:rsidRPr="005C5798">
        <w:t>Reliability Statistics for the Dependent Variable (DV)</w:t>
      </w:r>
      <w:bookmarkEnd w:id="179"/>
    </w:p>
    <w:tbl>
      <w:tblPr>
        <w:tblW w:w="4181" w:type="dxa"/>
        <w:jc w:val="center"/>
        <w:tblLayout w:type="fixed"/>
        <w:tblCellMar>
          <w:left w:w="0" w:type="dxa"/>
          <w:right w:w="0" w:type="dxa"/>
        </w:tblCellMar>
        <w:tblLook w:val="0000" w:firstRow="0" w:lastRow="0" w:firstColumn="0" w:lastColumn="0" w:noHBand="0" w:noVBand="0"/>
      </w:tblPr>
      <w:tblGrid>
        <w:gridCol w:w="1504"/>
        <w:gridCol w:w="1503"/>
        <w:gridCol w:w="1174"/>
      </w:tblGrid>
      <w:tr w:rsidR="001153C0" w:rsidRPr="001153C0" w14:paraId="31FCDD57" w14:textId="77777777" w:rsidTr="00A71B53">
        <w:trPr>
          <w:cantSplit/>
          <w:jc w:val="center"/>
        </w:trPr>
        <w:tc>
          <w:tcPr>
            <w:tcW w:w="4181" w:type="dxa"/>
            <w:gridSpan w:val="3"/>
            <w:tcBorders>
              <w:top w:val="nil"/>
              <w:left w:val="nil"/>
              <w:bottom w:val="nil"/>
              <w:right w:val="nil"/>
            </w:tcBorders>
            <w:shd w:val="clear" w:color="auto" w:fill="FFFFFF"/>
            <w:vAlign w:val="center"/>
          </w:tcPr>
          <w:p w14:paraId="2AF2719A" w14:textId="77777777" w:rsidR="001153C0" w:rsidRPr="001153C0" w:rsidRDefault="001153C0" w:rsidP="001153C0">
            <w:pPr>
              <w:autoSpaceDE w:val="0"/>
              <w:autoSpaceDN w:val="0"/>
              <w:bidi w:val="0"/>
              <w:adjustRightInd w:val="0"/>
              <w:spacing w:after="0" w:line="320" w:lineRule="atLeast"/>
              <w:ind w:left="60" w:right="60"/>
              <w:jc w:val="center"/>
              <w:rPr>
                <w:rFonts w:ascii="Arial" w:hAnsi="Arial" w:cs="Arial"/>
                <w:color w:val="010205"/>
                <w:kern w:val="0"/>
              </w:rPr>
            </w:pPr>
            <w:r w:rsidRPr="001153C0">
              <w:rPr>
                <w:rFonts w:ascii="Arial" w:hAnsi="Arial" w:cs="Arial"/>
                <w:b/>
                <w:bCs/>
                <w:color w:val="010205"/>
                <w:kern w:val="0"/>
              </w:rPr>
              <w:t>Reliability Statistics</w:t>
            </w:r>
          </w:p>
        </w:tc>
      </w:tr>
      <w:tr w:rsidR="001153C0" w:rsidRPr="001153C0" w14:paraId="21794BC8" w14:textId="77777777" w:rsidTr="00A71B53">
        <w:trPr>
          <w:cantSplit/>
          <w:jc w:val="center"/>
        </w:trPr>
        <w:tc>
          <w:tcPr>
            <w:tcW w:w="1504" w:type="dxa"/>
            <w:tcBorders>
              <w:top w:val="nil"/>
              <w:left w:val="nil"/>
              <w:bottom w:val="single" w:sz="8" w:space="0" w:color="152935"/>
              <w:right w:val="single" w:sz="8" w:space="0" w:color="E0E0E0"/>
            </w:tcBorders>
            <w:shd w:val="clear" w:color="auto" w:fill="FFFFFF"/>
            <w:vAlign w:val="bottom"/>
          </w:tcPr>
          <w:p w14:paraId="4CC41584" w14:textId="77777777" w:rsidR="001153C0" w:rsidRPr="001153C0" w:rsidRDefault="001153C0" w:rsidP="001153C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197A4AAA" w14:textId="77777777" w:rsidR="001153C0" w:rsidRPr="001153C0" w:rsidRDefault="001153C0" w:rsidP="001153C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38F09D8" w14:textId="77777777" w:rsidR="001153C0" w:rsidRPr="001153C0" w:rsidRDefault="001153C0" w:rsidP="001153C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N of Items</w:t>
            </w:r>
          </w:p>
        </w:tc>
      </w:tr>
      <w:tr w:rsidR="001153C0" w:rsidRPr="001153C0" w14:paraId="72024E49" w14:textId="77777777" w:rsidTr="00A71B53">
        <w:trPr>
          <w:cantSplit/>
          <w:jc w:val="center"/>
        </w:trPr>
        <w:tc>
          <w:tcPr>
            <w:tcW w:w="1504" w:type="dxa"/>
            <w:tcBorders>
              <w:top w:val="single" w:sz="8" w:space="0" w:color="152935"/>
              <w:left w:val="nil"/>
              <w:bottom w:val="single" w:sz="8" w:space="0" w:color="152935"/>
              <w:right w:val="single" w:sz="8" w:space="0" w:color="E0E0E0"/>
            </w:tcBorders>
            <w:shd w:val="clear" w:color="auto" w:fill="F9F9FB"/>
          </w:tcPr>
          <w:p w14:paraId="455D06DB" w14:textId="77777777" w:rsidR="001153C0" w:rsidRPr="001153C0" w:rsidRDefault="001153C0" w:rsidP="001153C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153C0">
              <w:rPr>
                <w:rFonts w:ascii="Arial" w:hAnsi="Arial" w:cs="Arial"/>
                <w:color w:val="010205"/>
                <w:kern w:val="0"/>
                <w:sz w:val="18"/>
                <w:szCs w:val="18"/>
              </w:rPr>
              <w:t>.900</w:t>
            </w:r>
          </w:p>
        </w:tc>
        <w:tc>
          <w:tcPr>
            <w:tcW w:w="1503" w:type="dxa"/>
            <w:tcBorders>
              <w:top w:val="single" w:sz="8" w:space="0" w:color="152935"/>
              <w:left w:val="single" w:sz="8" w:space="0" w:color="E0E0E0"/>
              <w:bottom w:val="single" w:sz="8" w:space="0" w:color="152935"/>
              <w:right w:val="single" w:sz="8" w:space="0" w:color="E0E0E0"/>
            </w:tcBorders>
            <w:shd w:val="clear" w:color="auto" w:fill="F9F9FB"/>
          </w:tcPr>
          <w:p w14:paraId="1CDCD92D" w14:textId="77777777" w:rsidR="001153C0" w:rsidRPr="001153C0" w:rsidRDefault="001153C0" w:rsidP="001153C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153C0">
              <w:rPr>
                <w:rFonts w:ascii="Arial" w:hAnsi="Arial" w:cs="Arial"/>
                <w:color w:val="010205"/>
                <w:kern w:val="0"/>
                <w:sz w:val="18"/>
                <w:szCs w:val="18"/>
              </w:rPr>
              <w:t>.901</w:t>
            </w:r>
          </w:p>
        </w:tc>
        <w:tc>
          <w:tcPr>
            <w:tcW w:w="1174" w:type="dxa"/>
            <w:tcBorders>
              <w:top w:val="single" w:sz="8" w:space="0" w:color="152935"/>
              <w:left w:val="single" w:sz="8" w:space="0" w:color="E0E0E0"/>
              <w:bottom w:val="single" w:sz="8" w:space="0" w:color="152935"/>
              <w:right w:val="nil"/>
            </w:tcBorders>
            <w:shd w:val="clear" w:color="auto" w:fill="F9F9FB"/>
          </w:tcPr>
          <w:p w14:paraId="5F84501D" w14:textId="77777777" w:rsidR="001153C0" w:rsidRPr="001153C0" w:rsidRDefault="001153C0" w:rsidP="001153C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153C0">
              <w:rPr>
                <w:rFonts w:ascii="Arial" w:hAnsi="Arial" w:cs="Arial"/>
                <w:color w:val="010205"/>
                <w:kern w:val="0"/>
                <w:sz w:val="18"/>
                <w:szCs w:val="18"/>
              </w:rPr>
              <w:t>8</w:t>
            </w:r>
          </w:p>
        </w:tc>
      </w:tr>
    </w:tbl>
    <w:p w14:paraId="5D8239FC" w14:textId="77777777" w:rsidR="001153C0" w:rsidRPr="001153C0" w:rsidRDefault="001153C0" w:rsidP="001153C0">
      <w:pPr>
        <w:autoSpaceDE w:val="0"/>
        <w:autoSpaceDN w:val="0"/>
        <w:bidi w:val="0"/>
        <w:adjustRightInd w:val="0"/>
        <w:spacing w:after="0" w:line="400" w:lineRule="atLeast"/>
        <w:rPr>
          <w:rFonts w:ascii="Times New Roman" w:hAnsi="Times New Roman" w:cs="Times New Roman"/>
          <w:kern w:val="0"/>
          <w:sz w:val="24"/>
          <w:szCs w:val="24"/>
        </w:rPr>
      </w:pPr>
    </w:p>
    <w:p w14:paraId="58F1F35B" w14:textId="77777777" w:rsidR="001153C0" w:rsidRPr="001153C0" w:rsidRDefault="001153C0" w:rsidP="001153C0">
      <w:pPr>
        <w:bidi w:val="0"/>
        <w:spacing w:after="120" w:line="276" w:lineRule="auto"/>
        <w:ind w:firstLine="284"/>
        <w:jc w:val="both"/>
        <w:rPr>
          <w:rFonts w:asciiTheme="majorBidi" w:hAnsiTheme="majorBidi" w:cstheme="majorBidi"/>
          <w:sz w:val="24"/>
          <w:szCs w:val="24"/>
        </w:rPr>
      </w:pPr>
      <w:r w:rsidRPr="001153C0">
        <w:rPr>
          <w:rFonts w:asciiTheme="majorBidi" w:hAnsiTheme="majorBidi" w:cstheme="majorBidi"/>
          <w:sz w:val="24"/>
          <w:szCs w:val="24"/>
        </w:rPr>
        <w:t>The Cronbach’s Alpha value of 0.900 reported for the “Risk Management Effectiveness” scale is a very strong indicator of the stability and internal consistency of the measurement instrument. Cronbach’s Alpha is a widely used reliability coefficient ranging from 0 to 1, with higher values reflecting greater reliability of the scale items (Hair et al., 2010). A value of 0.900 is generally classified as excellent, indicating that the items used to assess risk management effectiveness function coherently as a single construct.</w:t>
      </w:r>
    </w:p>
    <w:p w14:paraId="5511C3AC" w14:textId="77777777" w:rsidR="001153C0" w:rsidRPr="001153C0" w:rsidRDefault="001153C0" w:rsidP="002E6F27">
      <w:pPr>
        <w:pStyle w:val="a5"/>
        <w:numPr>
          <w:ilvl w:val="0"/>
          <w:numId w:val="77"/>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Stability</w:t>
      </w:r>
    </w:p>
    <w:p w14:paraId="258C809E" w14:textId="77777777" w:rsidR="001153C0" w:rsidRP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The high Cronbach’s Alpha value of 0.900 demonstrates a substantial degree of stability in the questionnaire’s measurements.</w:t>
      </w:r>
    </w:p>
    <w:p w14:paraId="1A2EECCA" w14:textId="77777777" w:rsidR="001153C0" w:rsidRP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It suggests that if the same instrument were administered repeatedly to similar samples under comparable conditions, it would yield consistent and reproducible results regarding risk management effectiveness.</w:t>
      </w:r>
    </w:p>
    <w:p w14:paraId="153ECE7D" w14:textId="77777777" w:rsidR="001153C0" w:rsidRPr="001153C0" w:rsidRDefault="001153C0" w:rsidP="002E6F27">
      <w:pPr>
        <w:pStyle w:val="a5"/>
        <w:numPr>
          <w:ilvl w:val="0"/>
          <w:numId w:val="77"/>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Internal Consistency</w:t>
      </w:r>
    </w:p>
    <w:p w14:paraId="2584415E" w14:textId="77777777" w:rsidR="001153C0" w:rsidRP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The coefficient of 0.900 reflects strong internal consistency among the eight items included in the scale.</w:t>
      </w:r>
    </w:p>
    <w:p w14:paraId="5DCC7037" w14:textId="77777777" w:rsidR="001153C0" w:rsidRP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This implies that the items are highly correlated with one another and collectively measure the same latent dimension, namely the effectiveness of risk management practices across early risk identification, credit discipline, liquidity/market-risk fit, and operational resilience.</w:t>
      </w:r>
    </w:p>
    <w:p w14:paraId="06F9C93F" w14:textId="77777777" w:rsidR="001153C0" w:rsidRPr="001153C0" w:rsidRDefault="001153C0" w:rsidP="002E6F27">
      <w:pPr>
        <w:pStyle w:val="a5"/>
        <w:numPr>
          <w:ilvl w:val="0"/>
          <w:numId w:val="77"/>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Excellent Reliability</w:t>
      </w:r>
    </w:p>
    <w:p w14:paraId="37AA3281" w14:textId="77777777" w:rsidR="001153C0" w:rsidRP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Since the obtained value is well above the conventional threshold of 0.70 for acceptable reliability, it can be concluded that the scale possesses an excellent level of reliability.</w:t>
      </w:r>
    </w:p>
    <w:p w14:paraId="176056AF" w14:textId="7349432F" w:rsidR="001153C0" w:rsidRDefault="001153C0" w:rsidP="002E6F27">
      <w:pPr>
        <w:pStyle w:val="a5"/>
        <w:numPr>
          <w:ilvl w:val="0"/>
          <w:numId w:val="78"/>
        </w:numPr>
        <w:bidi w:val="0"/>
        <w:spacing w:after="120" w:line="276" w:lineRule="auto"/>
        <w:jc w:val="both"/>
        <w:rPr>
          <w:rFonts w:asciiTheme="majorBidi" w:hAnsiTheme="majorBidi" w:cstheme="majorBidi"/>
          <w:sz w:val="24"/>
          <w:szCs w:val="24"/>
        </w:rPr>
      </w:pPr>
      <w:r w:rsidRPr="001153C0">
        <w:rPr>
          <w:rFonts w:asciiTheme="majorBidi" w:hAnsiTheme="majorBidi" w:cstheme="majorBidi"/>
          <w:sz w:val="24"/>
          <w:szCs w:val="24"/>
        </w:rPr>
        <w:t>This high reliability indicates that the instrument can be confidently used in subsequent analyses to capture employees’ perceptions of risk management effectiveness with minimal random measurement error.</w:t>
      </w:r>
    </w:p>
    <w:p w14:paraId="6E5AA688" w14:textId="77777777" w:rsidR="002122BE" w:rsidRPr="005D1020" w:rsidRDefault="002122BE" w:rsidP="002122BE">
      <w:pPr>
        <w:pStyle w:val="4"/>
      </w:pPr>
      <w:bookmarkStart w:id="180" w:name="_Toc214621199"/>
      <w:r w:rsidRPr="00A73233">
        <w:t xml:space="preserve">Measuring </w:t>
      </w:r>
      <w:r>
        <w:t>T</w:t>
      </w:r>
      <w:r w:rsidRPr="00A73233">
        <w:t xml:space="preserve">he </w:t>
      </w:r>
      <w:r w:rsidRPr="002F76BF">
        <w:t>Reliability</w:t>
      </w:r>
      <w:r>
        <w:t xml:space="preserve"> O</w:t>
      </w:r>
      <w:r w:rsidRPr="00A73233">
        <w:t xml:space="preserve">f the </w:t>
      </w:r>
      <w:r>
        <w:t>S</w:t>
      </w:r>
      <w:r w:rsidRPr="00A73233">
        <w:t xml:space="preserve">tudy </w:t>
      </w:r>
      <w:r>
        <w:t>(</w:t>
      </w:r>
      <w:r w:rsidRPr="002F76BF">
        <w:t>Cronbach's Alpha</w:t>
      </w:r>
      <w:r>
        <w:t>)</w:t>
      </w:r>
      <w:bookmarkEnd w:id="180"/>
    </w:p>
    <w:p w14:paraId="26B3A618" w14:textId="77777777" w:rsidR="002122BE" w:rsidRPr="009C38FD" w:rsidRDefault="002122BE" w:rsidP="002122BE">
      <w:pPr>
        <w:autoSpaceDE w:val="0"/>
        <w:autoSpaceDN w:val="0"/>
        <w:bidi w:val="0"/>
        <w:adjustRightInd w:val="0"/>
        <w:spacing w:after="0" w:line="240" w:lineRule="auto"/>
        <w:rPr>
          <w:rFonts w:ascii="Times New Roman" w:hAnsi="Times New Roman" w:cs="Times New Roman"/>
          <w:kern w:val="0"/>
          <w:sz w:val="24"/>
          <w:szCs w:val="24"/>
        </w:rPr>
      </w:pPr>
    </w:p>
    <w:p w14:paraId="3880B59F" w14:textId="5A52B4AA" w:rsidR="00A71B53" w:rsidRDefault="00A71B53" w:rsidP="00A71B53">
      <w:pPr>
        <w:pStyle w:val="ad"/>
      </w:pPr>
      <w:bookmarkStart w:id="181" w:name="_Toc214622023"/>
      <w:r>
        <w:t xml:space="preserve">Table </w:t>
      </w:r>
      <w:r>
        <w:fldChar w:fldCharType="begin"/>
      </w:r>
      <w:r>
        <w:instrText xml:space="preserve"> SEQ Table \* ARABIC </w:instrText>
      </w:r>
      <w:r>
        <w:fldChar w:fldCharType="separate"/>
      </w:r>
      <w:r w:rsidR="00CD4CCF">
        <w:t>17</w:t>
      </w:r>
      <w:r>
        <w:fldChar w:fldCharType="end"/>
      </w:r>
      <w:r>
        <w:t xml:space="preserve">: </w:t>
      </w:r>
      <w:r w:rsidRPr="00545E5E">
        <w:t>KMO and Bartlett’s Test Results for the Dependent Variable (DV)</w:t>
      </w:r>
      <w:bookmarkEnd w:id="181"/>
    </w:p>
    <w:tbl>
      <w:tblPr>
        <w:tblW w:w="5949" w:type="dxa"/>
        <w:jc w:val="center"/>
        <w:tblLayout w:type="fixed"/>
        <w:tblCellMar>
          <w:left w:w="0" w:type="dxa"/>
          <w:right w:w="0" w:type="dxa"/>
        </w:tblCellMar>
        <w:tblLook w:val="0000" w:firstRow="0" w:lastRow="0" w:firstColumn="0" w:lastColumn="0" w:noHBand="0" w:noVBand="0"/>
      </w:tblPr>
      <w:tblGrid>
        <w:gridCol w:w="2492"/>
        <w:gridCol w:w="2352"/>
        <w:gridCol w:w="1105"/>
      </w:tblGrid>
      <w:tr w:rsidR="002122BE" w:rsidRPr="009C38FD" w14:paraId="3E05123F" w14:textId="77777777" w:rsidTr="00447C39">
        <w:trPr>
          <w:cantSplit/>
          <w:jc w:val="center"/>
        </w:trPr>
        <w:tc>
          <w:tcPr>
            <w:tcW w:w="5949" w:type="dxa"/>
            <w:gridSpan w:val="3"/>
            <w:tcBorders>
              <w:top w:val="nil"/>
              <w:left w:val="nil"/>
              <w:bottom w:val="nil"/>
              <w:right w:val="nil"/>
            </w:tcBorders>
            <w:shd w:val="clear" w:color="auto" w:fill="FFFFFF"/>
            <w:vAlign w:val="center"/>
          </w:tcPr>
          <w:p w14:paraId="54F7B5C4" w14:textId="77777777" w:rsidR="002122BE" w:rsidRPr="009C38FD" w:rsidRDefault="002122BE" w:rsidP="00447C39">
            <w:pPr>
              <w:autoSpaceDE w:val="0"/>
              <w:autoSpaceDN w:val="0"/>
              <w:bidi w:val="0"/>
              <w:adjustRightInd w:val="0"/>
              <w:spacing w:after="0" w:line="320" w:lineRule="atLeast"/>
              <w:ind w:left="60" w:right="60"/>
              <w:jc w:val="center"/>
              <w:rPr>
                <w:rFonts w:ascii="Arial" w:hAnsi="Arial" w:cs="Arial"/>
                <w:color w:val="010205"/>
                <w:kern w:val="0"/>
              </w:rPr>
            </w:pPr>
            <w:r w:rsidRPr="009C38FD">
              <w:rPr>
                <w:rFonts w:ascii="Arial" w:hAnsi="Arial" w:cs="Arial"/>
                <w:b/>
                <w:bCs/>
                <w:color w:val="010205"/>
                <w:kern w:val="0"/>
              </w:rPr>
              <w:t>KMO and Bartlett's Test</w:t>
            </w:r>
          </w:p>
        </w:tc>
      </w:tr>
      <w:tr w:rsidR="002122BE" w:rsidRPr="009C38FD" w14:paraId="33F8E74F" w14:textId="77777777" w:rsidTr="00447C39">
        <w:trPr>
          <w:cantSplit/>
          <w:jc w:val="center"/>
        </w:trPr>
        <w:tc>
          <w:tcPr>
            <w:tcW w:w="4844" w:type="dxa"/>
            <w:gridSpan w:val="2"/>
            <w:tcBorders>
              <w:top w:val="nil"/>
              <w:left w:val="nil"/>
              <w:bottom w:val="single" w:sz="8" w:space="0" w:color="AEAEAE"/>
              <w:right w:val="nil"/>
            </w:tcBorders>
            <w:shd w:val="clear" w:color="auto" w:fill="E0E0E0"/>
          </w:tcPr>
          <w:p w14:paraId="6399BFE5" w14:textId="77777777" w:rsidR="002122BE" w:rsidRPr="009C38FD" w:rsidRDefault="002122BE" w:rsidP="00447C39">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Kaiser-Meyer-Olkin Measure of Sampling Adequacy.</w:t>
            </w:r>
          </w:p>
        </w:tc>
        <w:tc>
          <w:tcPr>
            <w:tcW w:w="1105" w:type="dxa"/>
            <w:tcBorders>
              <w:top w:val="nil"/>
              <w:left w:val="nil"/>
              <w:bottom w:val="single" w:sz="8" w:space="0" w:color="AEAEAE"/>
              <w:right w:val="nil"/>
            </w:tcBorders>
            <w:shd w:val="clear" w:color="auto" w:fill="F9F9FB"/>
          </w:tcPr>
          <w:p w14:paraId="1C639932" w14:textId="2707632F" w:rsidR="002122BE" w:rsidRPr="009C38FD" w:rsidRDefault="002122BE" w:rsidP="00447C39">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122BE">
              <w:rPr>
                <w:rFonts w:ascii="Arial" w:hAnsi="Arial" w:cs="Arial"/>
                <w:color w:val="010205"/>
                <w:kern w:val="0"/>
                <w:sz w:val="18"/>
                <w:szCs w:val="18"/>
              </w:rPr>
              <w:t>0.731</w:t>
            </w:r>
          </w:p>
        </w:tc>
      </w:tr>
      <w:tr w:rsidR="002122BE" w:rsidRPr="009C38FD" w14:paraId="76CC2357" w14:textId="77777777" w:rsidTr="00447C39">
        <w:trPr>
          <w:cantSplit/>
          <w:jc w:val="center"/>
        </w:trPr>
        <w:tc>
          <w:tcPr>
            <w:tcW w:w="2492" w:type="dxa"/>
            <w:vMerge w:val="restart"/>
            <w:tcBorders>
              <w:top w:val="single" w:sz="8" w:space="0" w:color="AEAEAE"/>
              <w:left w:val="nil"/>
              <w:bottom w:val="single" w:sz="8" w:space="0" w:color="152935"/>
              <w:right w:val="nil"/>
            </w:tcBorders>
            <w:shd w:val="clear" w:color="auto" w:fill="E0E0E0"/>
          </w:tcPr>
          <w:p w14:paraId="6ECE9ADD" w14:textId="77777777" w:rsidR="002122BE" w:rsidRPr="009C38FD" w:rsidRDefault="002122BE" w:rsidP="00447C39">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Bartlett's Test of Sphericity</w:t>
            </w:r>
          </w:p>
        </w:tc>
        <w:tc>
          <w:tcPr>
            <w:tcW w:w="2352" w:type="dxa"/>
            <w:tcBorders>
              <w:top w:val="single" w:sz="8" w:space="0" w:color="AEAEAE"/>
              <w:left w:val="nil"/>
              <w:bottom w:val="single" w:sz="8" w:space="0" w:color="AEAEAE"/>
              <w:right w:val="nil"/>
            </w:tcBorders>
            <w:shd w:val="clear" w:color="auto" w:fill="E0E0E0"/>
          </w:tcPr>
          <w:p w14:paraId="0717EFF9" w14:textId="77777777" w:rsidR="002122BE" w:rsidRPr="009C38FD" w:rsidRDefault="002122BE" w:rsidP="00447C39">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Approx. Chi-Square</w:t>
            </w:r>
          </w:p>
        </w:tc>
        <w:tc>
          <w:tcPr>
            <w:tcW w:w="1105" w:type="dxa"/>
            <w:tcBorders>
              <w:top w:val="single" w:sz="8" w:space="0" w:color="AEAEAE"/>
              <w:left w:val="nil"/>
              <w:bottom w:val="single" w:sz="8" w:space="0" w:color="AEAEAE"/>
              <w:right w:val="nil"/>
            </w:tcBorders>
            <w:shd w:val="clear" w:color="auto" w:fill="F9F9FB"/>
          </w:tcPr>
          <w:p w14:paraId="3C5DD549" w14:textId="1EFB6F3B" w:rsidR="002122BE" w:rsidRPr="009C38FD" w:rsidRDefault="002122BE" w:rsidP="00447C39">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122BE">
              <w:rPr>
                <w:rFonts w:ascii="Arial" w:hAnsi="Arial" w:cs="Arial"/>
                <w:color w:val="010205"/>
                <w:kern w:val="0"/>
                <w:sz w:val="18"/>
                <w:szCs w:val="18"/>
              </w:rPr>
              <w:t>258.445</w:t>
            </w:r>
          </w:p>
        </w:tc>
      </w:tr>
      <w:tr w:rsidR="002122BE" w:rsidRPr="009C38FD" w14:paraId="25021E38" w14:textId="77777777" w:rsidTr="00447C39">
        <w:trPr>
          <w:cantSplit/>
          <w:jc w:val="center"/>
        </w:trPr>
        <w:tc>
          <w:tcPr>
            <w:tcW w:w="2492" w:type="dxa"/>
            <w:vMerge/>
            <w:tcBorders>
              <w:top w:val="single" w:sz="8" w:space="0" w:color="AEAEAE"/>
              <w:left w:val="nil"/>
              <w:bottom w:val="single" w:sz="8" w:space="0" w:color="152935"/>
              <w:right w:val="nil"/>
            </w:tcBorders>
            <w:shd w:val="clear" w:color="auto" w:fill="E0E0E0"/>
          </w:tcPr>
          <w:p w14:paraId="1074A7EF" w14:textId="77777777" w:rsidR="002122BE" w:rsidRPr="009C38FD" w:rsidRDefault="002122BE" w:rsidP="00447C39">
            <w:pPr>
              <w:autoSpaceDE w:val="0"/>
              <w:autoSpaceDN w:val="0"/>
              <w:bidi w:val="0"/>
              <w:adjustRightInd w:val="0"/>
              <w:spacing w:after="0" w:line="240" w:lineRule="auto"/>
              <w:rPr>
                <w:rFonts w:ascii="Arial" w:hAnsi="Arial" w:cs="Arial"/>
                <w:color w:val="010205"/>
                <w:kern w:val="0"/>
                <w:sz w:val="18"/>
                <w:szCs w:val="18"/>
              </w:rPr>
            </w:pPr>
          </w:p>
        </w:tc>
        <w:tc>
          <w:tcPr>
            <w:tcW w:w="2352" w:type="dxa"/>
            <w:tcBorders>
              <w:top w:val="single" w:sz="8" w:space="0" w:color="AEAEAE"/>
              <w:left w:val="nil"/>
              <w:bottom w:val="single" w:sz="8" w:space="0" w:color="AEAEAE"/>
              <w:right w:val="nil"/>
            </w:tcBorders>
            <w:shd w:val="clear" w:color="auto" w:fill="E0E0E0"/>
          </w:tcPr>
          <w:p w14:paraId="665B41E1" w14:textId="77777777" w:rsidR="002122BE" w:rsidRPr="009C38FD" w:rsidRDefault="002122BE" w:rsidP="00447C39">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df</w:t>
            </w:r>
          </w:p>
        </w:tc>
        <w:tc>
          <w:tcPr>
            <w:tcW w:w="1105" w:type="dxa"/>
            <w:tcBorders>
              <w:top w:val="single" w:sz="8" w:space="0" w:color="AEAEAE"/>
              <w:left w:val="nil"/>
              <w:bottom w:val="single" w:sz="8" w:space="0" w:color="AEAEAE"/>
              <w:right w:val="nil"/>
            </w:tcBorders>
            <w:shd w:val="clear" w:color="auto" w:fill="F9F9FB"/>
          </w:tcPr>
          <w:p w14:paraId="55FB4E92" w14:textId="7DDF52A6" w:rsidR="002122BE" w:rsidRPr="009C38FD" w:rsidRDefault="002122BE" w:rsidP="00447C39">
            <w:pPr>
              <w:autoSpaceDE w:val="0"/>
              <w:autoSpaceDN w:val="0"/>
              <w:bidi w:val="0"/>
              <w:adjustRightInd w:val="0"/>
              <w:spacing w:after="0" w:line="320" w:lineRule="atLeast"/>
              <w:ind w:left="60" w:right="60"/>
              <w:jc w:val="right"/>
              <w:rPr>
                <w:rFonts w:ascii="Arial" w:hAnsi="Arial" w:cs="Arial"/>
                <w:color w:val="010205"/>
                <w:kern w:val="0"/>
                <w:sz w:val="18"/>
                <w:szCs w:val="18"/>
                <w:rtl/>
                <w:lang w:bidi="ar-EG"/>
              </w:rPr>
            </w:pPr>
            <w:r w:rsidRPr="002122BE">
              <w:rPr>
                <w:rFonts w:ascii="Arial" w:hAnsi="Arial" w:cs="Arial"/>
                <w:color w:val="010205"/>
                <w:kern w:val="0"/>
                <w:sz w:val="18"/>
                <w:szCs w:val="18"/>
              </w:rPr>
              <w:t>6</w:t>
            </w:r>
          </w:p>
        </w:tc>
      </w:tr>
      <w:tr w:rsidR="002122BE" w:rsidRPr="009C38FD" w14:paraId="6C445D11" w14:textId="77777777" w:rsidTr="00447C39">
        <w:trPr>
          <w:cantSplit/>
          <w:jc w:val="center"/>
        </w:trPr>
        <w:tc>
          <w:tcPr>
            <w:tcW w:w="2492" w:type="dxa"/>
            <w:vMerge/>
            <w:tcBorders>
              <w:top w:val="single" w:sz="8" w:space="0" w:color="AEAEAE"/>
              <w:left w:val="nil"/>
              <w:bottom w:val="single" w:sz="8" w:space="0" w:color="152935"/>
              <w:right w:val="nil"/>
            </w:tcBorders>
            <w:shd w:val="clear" w:color="auto" w:fill="E0E0E0"/>
          </w:tcPr>
          <w:p w14:paraId="5D4E0263" w14:textId="77777777" w:rsidR="002122BE" w:rsidRPr="009C38FD" w:rsidRDefault="002122BE" w:rsidP="00447C39">
            <w:pPr>
              <w:autoSpaceDE w:val="0"/>
              <w:autoSpaceDN w:val="0"/>
              <w:bidi w:val="0"/>
              <w:adjustRightInd w:val="0"/>
              <w:spacing w:after="0" w:line="240" w:lineRule="auto"/>
              <w:rPr>
                <w:rFonts w:ascii="Arial" w:hAnsi="Arial" w:cs="Arial"/>
                <w:color w:val="010205"/>
                <w:kern w:val="0"/>
                <w:sz w:val="18"/>
                <w:szCs w:val="18"/>
              </w:rPr>
            </w:pPr>
          </w:p>
        </w:tc>
        <w:tc>
          <w:tcPr>
            <w:tcW w:w="2352" w:type="dxa"/>
            <w:tcBorders>
              <w:top w:val="single" w:sz="8" w:space="0" w:color="AEAEAE"/>
              <w:left w:val="nil"/>
              <w:bottom w:val="single" w:sz="8" w:space="0" w:color="152935"/>
              <w:right w:val="nil"/>
            </w:tcBorders>
            <w:shd w:val="clear" w:color="auto" w:fill="E0E0E0"/>
          </w:tcPr>
          <w:p w14:paraId="14BE8B13" w14:textId="77777777" w:rsidR="002122BE" w:rsidRPr="009C38FD" w:rsidRDefault="002122BE" w:rsidP="00447C39">
            <w:pPr>
              <w:autoSpaceDE w:val="0"/>
              <w:autoSpaceDN w:val="0"/>
              <w:bidi w:val="0"/>
              <w:adjustRightInd w:val="0"/>
              <w:spacing w:after="0" w:line="320" w:lineRule="atLeast"/>
              <w:ind w:left="60" w:right="60"/>
              <w:rPr>
                <w:rFonts w:ascii="Arial" w:hAnsi="Arial" w:cs="Arial"/>
                <w:color w:val="264A60"/>
                <w:kern w:val="0"/>
                <w:sz w:val="18"/>
                <w:szCs w:val="18"/>
              </w:rPr>
            </w:pPr>
            <w:r w:rsidRPr="009C38FD">
              <w:rPr>
                <w:rFonts w:ascii="Arial" w:hAnsi="Arial" w:cs="Arial"/>
                <w:color w:val="264A60"/>
                <w:kern w:val="0"/>
                <w:sz w:val="18"/>
                <w:szCs w:val="18"/>
              </w:rPr>
              <w:t>Sig.</w:t>
            </w:r>
          </w:p>
        </w:tc>
        <w:tc>
          <w:tcPr>
            <w:tcW w:w="1105" w:type="dxa"/>
            <w:tcBorders>
              <w:top w:val="single" w:sz="8" w:space="0" w:color="AEAEAE"/>
              <w:left w:val="nil"/>
              <w:bottom w:val="single" w:sz="8" w:space="0" w:color="152935"/>
              <w:right w:val="nil"/>
            </w:tcBorders>
            <w:shd w:val="clear" w:color="auto" w:fill="F9F9FB"/>
          </w:tcPr>
          <w:p w14:paraId="6CEA1C16" w14:textId="77777777" w:rsidR="002122BE" w:rsidRPr="009C38FD" w:rsidRDefault="002122BE" w:rsidP="00447C39">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C38FD">
              <w:rPr>
                <w:rFonts w:ascii="Arial" w:hAnsi="Arial" w:cs="Arial"/>
                <w:color w:val="010205"/>
                <w:kern w:val="0"/>
                <w:sz w:val="18"/>
                <w:szCs w:val="18"/>
              </w:rPr>
              <w:t>.000</w:t>
            </w:r>
          </w:p>
        </w:tc>
      </w:tr>
    </w:tbl>
    <w:p w14:paraId="2157614D" w14:textId="5C5B37DD" w:rsidR="00223AC5" w:rsidRPr="00223AC5" w:rsidRDefault="00223AC5" w:rsidP="00223AC5">
      <w:pPr>
        <w:bidi w:val="0"/>
        <w:spacing w:after="120" w:line="276" w:lineRule="auto"/>
        <w:rPr>
          <w:rFonts w:asciiTheme="majorBidi" w:hAnsiTheme="majorBidi" w:cstheme="majorBidi"/>
          <w:sz w:val="24"/>
          <w:szCs w:val="24"/>
        </w:rPr>
      </w:pPr>
      <w:r w:rsidRPr="00223AC5">
        <w:rPr>
          <w:rFonts w:asciiTheme="majorBidi" w:hAnsiTheme="majorBidi" w:cstheme="majorBidi"/>
          <w:sz w:val="24"/>
          <w:szCs w:val="24"/>
        </w:rPr>
        <w:t>The Kaiser–Meyer–Olkin (KMO) Measure of Sampling Adequacy for the “Risk Management Effectiveness” variable was 0.731, indicating an acceptable level of sampling adequacy for conducting factor analysis. According to Kaiser’s classification, values between 0.70 and 0.79 fall within the “middling” range, suggesting that the correlations among the retained items are sufficiently compact to justify the application of multivariate factor extraction techniques</w:t>
      </w:r>
      <w:r w:rsidRPr="00223AC5">
        <w:rPr>
          <w:rFonts w:asciiTheme="majorBidi" w:hAnsiTheme="majorBidi" w:cs="Times New Roman"/>
          <w:sz w:val="24"/>
          <w:szCs w:val="24"/>
          <w:rtl/>
        </w:rPr>
        <w:t>.</w:t>
      </w:r>
    </w:p>
    <w:p w14:paraId="303C805E" w14:textId="77777777" w:rsidR="00223AC5" w:rsidRPr="00223AC5" w:rsidRDefault="00223AC5" w:rsidP="00223AC5">
      <w:pPr>
        <w:bidi w:val="0"/>
        <w:spacing w:after="120" w:line="276" w:lineRule="auto"/>
        <w:rPr>
          <w:rFonts w:asciiTheme="majorBidi" w:hAnsiTheme="majorBidi" w:cstheme="majorBidi"/>
          <w:sz w:val="24"/>
          <w:szCs w:val="24"/>
        </w:rPr>
      </w:pPr>
      <w:r w:rsidRPr="00223AC5">
        <w:rPr>
          <w:rFonts w:asciiTheme="majorBidi" w:hAnsiTheme="majorBidi" w:cstheme="majorBidi"/>
          <w:sz w:val="24"/>
          <w:szCs w:val="24"/>
        </w:rPr>
        <w:t>Furthermore, Bartlett’s Test of Sphericity produced a Chi-square value of 258.445 with 6 degrees of freedom and a significance level of 0.000, which is below the commonly accepted threshold of 0.05. This result confirms that the correlation matrix is not an identity matrix and that the variables are significantly correlated, making the dataset suitable for factor analysis</w:t>
      </w:r>
      <w:r w:rsidRPr="00223AC5">
        <w:rPr>
          <w:rFonts w:asciiTheme="majorBidi" w:hAnsiTheme="majorBidi" w:cs="Times New Roman"/>
          <w:sz w:val="24"/>
          <w:szCs w:val="24"/>
          <w:rtl/>
        </w:rPr>
        <w:t>.</w:t>
      </w:r>
    </w:p>
    <w:p w14:paraId="1C15753C" w14:textId="77777777" w:rsidR="00223AC5" w:rsidRPr="00223AC5" w:rsidRDefault="00223AC5" w:rsidP="00223AC5">
      <w:pPr>
        <w:spacing w:after="120" w:line="276" w:lineRule="auto"/>
        <w:rPr>
          <w:rFonts w:asciiTheme="majorBidi" w:hAnsiTheme="majorBidi" w:cstheme="majorBidi"/>
          <w:sz w:val="24"/>
          <w:szCs w:val="24"/>
        </w:rPr>
      </w:pPr>
    </w:p>
    <w:p w14:paraId="5CA34FD8" w14:textId="7E3F4587" w:rsidR="002122BE" w:rsidRDefault="00223AC5" w:rsidP="00223AC5">
      <w:pPr>
        <w:bidi w:val="0"/>
        <w:spacing w:after="120" w:line="276" w:lineRule="auto"/>
        <w:jc w:val="both"/>
        <w:rPr>
          <w:rFonts w:asciiTheme="majorBidi" w:hAnsiTheme="majorBidi" w:cstheme="majorBidi"/>
          <w:sz w:val="24"/>
          <w:szCs w:val="24"/>
        </w:rPr>
      </w:pPr>
      <w:r w:rsidRPr="00223AC5">
        <w:rPr>
          <w:rFonts w:asciiTheme="majorBidi" w:hAnsiTheme="majorBidi" w:cstheme="majorBidi"/>
          <w:sz w:val="24"/>
          <w:szCs w:val="24"/>
        </w:rPr>
        <w:t>Together, these findings provide strong statistical support for the suitability of the measurement items used in the revised model of Risk Management Effectiveness. The acceptable KMO value and highly significant Bartlett’s Test demonstrate that the structure of the data is appropriate for identifying underlying dimensions that reliably capture employees’ perceptions of risk-management practices within the organization.</w:t>
      </w:r>
    </w:p>
    <w:p w14:paraId="2BFD1904" w14:textId="77777777" w:rsidR="009406A8" w:rsidRPr="006D122D" w:rsidRDefault="009406A8" w:rsidP="009406A8">
      <w:pPr>
        <w:pStyle w:val="4"/>
        <w:rPr>
          <w:rtl/>
        </w:rPr>
      </w:pPr>
      <w:bookmarkStart w:id="182" w:name="_Toc214621200"/>
      <w:r w:rsidRPr="006D122D">
        <w:t>Communities Mean</w:t>
      </w:r>
      <w:bookmarkEnd w:id="182"/>
    </w:p>
    <w:p w14:paraId="6D3B278F" w14:textId="5C4EF82F" w:rsidR="00A71B53" w:rsidRDefault="00A71B53" w:rsidP="00A71B53">
      <w:pPr>
        <w:pStyle w:val="ad"/>
      </w:pPr>
      <w:bookmarkStart w:id="183" w:name="_Toc214622024"/>
      <w:r>
        <w:t xml:space="preserve">Table </w:t>
      </w:r>
      <w:r>
        <w:fldChar w:fldCharType="begin"/>
      </w:r>
      <w:r>
        <w:instrText xml:space="preserve"> SEQ Table \* ARABIC </w:instrText>
      </w:r>
      <w:r>
        <w:fldChar w:fldCharType="separate"/>
      </w:r>
      <w:r w:rsidR="00CD4CCF">
        <w:t>18</w:t>
      </w:r>
      <w:r>
        <w:fldChar w:fldCharType="end"/>
      </w:r>
      <w:r>
        <w:t xml:space="preserve">: </w:t>
      </w:r>
      <w:r w:rsidRPr="00DA38AF">
        <w:t>Communalities Mean Value for the Dependent Variable (DV)</w:t>
      </w:r>
      <w:bookmarkEnd w:id="183"/>
    </w:p>
    <w:tbl>
      <w:tblPr>
        <w:tblStyle w:val="ae"/>
        <w:tblW w:w="0" w:type="auto"/>
        <w:jc w:val="center"/>
        <w:tblLook w:val="04A0" w:firstRow="1" w:lastRow="0" w:firstColumn="1" w:lastColumn="0" w:noHBand="0" w:noVBand="1"/>
      </w:tblPr>
      <w:tblGrid>
        <w:gridCol w:w="4544"/>
        <w:gridCol w:w="4517"/>
      </w:tblGrid>
      <w:tr w:rsidR="009406A8" w14:paraId="51C2D6A7" w14:textId="77777777" w:rsidTr="009406A8">
        <w:trPr>
          <w:jc w:val="center"/>
        </w:trPr>
        <w:tc>
          <w:tcPr>
            <w:tcW w:w="4544" w:type="dxa"/>
            <w:shd w:val="clear" w:color="auto" w:fill="D9D9D9" w:themeFill="background1" w:themeFillShade="D9"/>
          </w:tcPr>
          <w:p w14:paraId="07687B39" w14:textId="77777777" w:rsidR="009406A8" w:rsidRDefault="009406A8" w:rsidP="00447C39">
            <w:pPr>
              <w:jc w:val="center"/>
              <w:rPr>
                <w:rFonts w:asciiTheme="majorBidi" w:hAnsiTheme="majorBidi" w:cstheme="majorBidi"/>
                <w:noProof/>
              </w:rPr>
            </w:pPr>
            <w:r w:rsidRPr="00D44C8F">
              <w:rPr>
                <w:rFonts w:asciiTheme="majorBidi" w:hAnsiTheme="majorBidi" w:cstheme="majorBidi"/>
                <w:noProof/>
              </w:rPr>
              <w:t>Communities</w:t>
            </w:r>
            <w:r>
              <w:rPr>
                <w:rFonts w:asciiTheme="majorBidi" w:hAnsiTheme="majorBidi" w:cstheme="majorBidi"/>
                <w:noProof/>
              </w:rPr>
              <w:t xml:space="preserve"> Mean</w:t>
            </w:r>
          </w:p>
        </w:tc>
        <w:tc>
          <w:tcPr>
            <w:tcW w:w="4517" w:type="dxa"/>
          </w:tcPr>
          <w:p w14:paraId="4E4BECA8" w14:textId="30C43938" w:rsidR="009406A8" w:rsidRPr="00D44C8F" w:rsidRDefault="009406A8" w:rsidP="009406A8">
            <w:pPr>
              <w:bidi w:val="0"/>
              <w:jc w:val="center"/>
              <w:rPr>
                <w:rFonts w:ascii="Arial" w:hAnsi="Arial" w:cs="Arial"/>
                <w:color w:val="000000"/>
                <w:sz w:val="20"/>
                <w:szCs w:val="20"/>
                <w:lang w:bidi="ar-EG"/>
              </w:rPr>
            </w:pPr>
            <w:r w:rsidRPr="009406A8">
              <w:rPr>
                <w:rFonts w:ascii="Arial" w:hAnsi="Arial" w:cs="Arial"/>
                <w:color w:val="000000"/>
                <w:sz w:val="20"/>
                <w:szCs w:val="20"/>
              </w:rPr>
              <w:t>0.956</w:t>
            </w:r>
          </w:p>
        </w:tc>
      </w:tr>
    </w:tbl>
    <w:p w14:paraId="3F1F3BDA" w14:textId="1E96C7DB" w:rsidR="00370164" w:rsidRDefault="009406A8" w:rsidP="00370164">
      <w:pPr>
        <w:bidi w:val="0"/>
        <w:spacing w:after="120" w:line="276" w:lineRule="auto"/>
        <w:ind w:firstLine="284"/>
        <w:jc w:val="both"/>
        <w:rPr>
          <w:rFonts w:asciiTheme="majorBidi" w:hAnsiTheme="majorBidi" w:cstheme="majorBidi"/>
          <w:sz w:val="24"/>
          <w:szCs w:val="24"/>
        </w:rPr>
      </w:pPr>
      <w:r w:rsidRPr="009406A8">
        <w:rPr>
          <w:rFonts w:asciiTheme="majorBidi" w:hAnsiTheme="majorBidi" w:cstheme="majorBidi"/>
          <w:sz w:val="24"/>
          <w:szCs w:val="24"/>
        </w:rPr>
        <w:t>The high average Communalities value of 0.845125, which is well above the commonly accepted threshold of 0.60, indicates that the factor analysis conducted on the “Risk Management Effectiveness” variable is stable and reliable. This elevated value means that the extracted factors are able to explain a large proportion of the variance in the retained items, and that each item shares substantial common variance with its underlying factor. Consequently, the factor solution provides a strong representation of the construct’s dimensions, enhancing the credibility of the measurement model and supporting the validity of the study’s findings related to risk management effectiveness.</w:t>
      </w:r>
    </w:p>
    <w:p w14:paraId="71AA8AFD" w14:textId="77777777" w:rsidR="009406A8" w:rsidRDefault="009406A8" w:rsidP="009406A8">
      <w:pPr>
        <w:pStyle w:val="4"/>
        <w:rPr>
          <w:noProof/>
        </w:rPr>
      </w:pPr>
      <w:bookmarkStart w:id="184" w:name="_Toc214621201"/>
      <w:r>
        <w:t>Total Variance Explained (EigenValue)</w:t>
      </w:r>
      <w:bookmarkEnd w:id="184"/>
    </w:p>
    <w:p w14:paraId="066F3793" w14:textId="77777777" w:rsidR="009406A8" w:rsidRPr="009406A8" w:rsidRDefault="009406A8" w:rsidP="009406A8">
      <w:pPr>
        <w:bidi w:val="0"/>
        <w:spacing w:after="120" w:line="276" w:lineRule="auto"/>
        <w:ind w:firstLine="284"/>
        <w:jc w:val="both"/>
        <w:rPr>
          <w:rFonts w:asciiTheme="majorBidi" w:hAnsiTheme="majorBidi" w:cstheme="majorBidi"/>
          <w:sz w:val="24"/>
          <w:szCs w:val="24"/>
        </w:rPr>
      </w:pPr>
      <w:r w:rsidRPr="009406A8">
        <w:rPr>
          <w:rFonts w:asciiTheme="majorBidi" w:hAnsiTheme="majorBidi" w:cstheme="majorBidi"/>
          <w:sz w:val="24"/>
          <w:szCs w:val="24"/>
        </w:rPr>
        <w:t xml:space="preserve">The </w:t>
      </w:r>
      <w:r w:rsidRPr="009406A8">
        <w:rPr>
          <w:rFonts w:asciiTheme="majorBidi" w:hAnsiTheme="majorBidi" w:cstheme="majorBidi"/>
          <w:i/>
          <w:iCs/>
          <w:sz w:val="24"/>
          <w:szCs w:val="24"/>
        </w:rPr>
        <w:t>Total Variance Explained</w:t>
      </w:r>
      <w:r w:rsidRPr="009406A8">
        <w:rPr>
          <w:rFonts w:asciiTheme="majorBidi" w:hAnsiTheme="majorBidi" w:cstheme="majorBidi"/>
          <w:sz w:val="24"/>
          <w:szCs w:val="24"/>
        </w:rPr>
        <w:t xml:space="preserve"> table summarizes the amount of variance accounted for by the extracted components during factor analysis. The results show that four components have eigenvalues greater than 1 and were therefore retained according to the Kaiser criterion, aligning well with the theoretical structure of the “Risk Management Effectiveness” construct.</w:t>
      </w:r>
    </w:p>
    <w:p w14:paraId="73B3A83D" w14:textId="77777777" w:rsidR="009406A8" w:rsidRPr="009406A8" w:rsidRDefault="009406A8" w:rsidP="009406A8">
      <w:pPr>
        <w:bidi w:val="0"/>
        <w:spacing w:after="120" w:line="276" w:lineRule="auto"/>
        <w:ind w:firstLine="284"/>
        <w:jc w:val="both"/>
        <w:rPr>
          <w:rFonts w:asciiTheme="majorBidi" w:hAnsiTheme="majorBidi" w:cstheme="majorBidi"/>
          <w:sz w:val="24"/>
          <w:szCs w:val="24"/>
        </w:rPr>
      </w:pPr>
      <w:r w:rsidRPr="009406A8">
        <w:rPr>
          <w:rFonts w:asciiTheme="majorBidi" w:hAnsiTheme="majorBidi" w:cstheme="majorBidi"/>
          <w:sz w:val="24"/>
          <w:szCs w:val="24"/>
        </w:rPr>
        <w:t>The initial eigenvalues indicate that the first component explains 59.473% of the variance, while the second, third, and fourth components account for 18.756%, 11.412%, and 5.924%, respectively. Together, these components explain a total cumulative variance of 95.565% before rotation. After applying Varimax rotation, the variance is redistributed across the four retained factors, resulting in a rotated cumulative variance of 95.565%.</w:t>
      </w:r>
    </w:p>
    <w:p w14:paraId="4E4A21F2" w14:textId="77777777" w:rsidR="009406A8" w:rsidRPr="009406A8" w:rsidRDefault="009406A8" w:rsidP="009406A8">
      <w:pPr>
        <w:bidi w:val="0"/>
        <w:spacing w:after="120" w:line="276" w:lineRule="auto"/>
        <w:ind w:firstLine="284"/>
        <w:jc w:val="both"/>
        <w:rPr>
          <w:rFonts w:asciiTheme="majorBidi" w:hAnsiTheme="majorBidi" w:cstheme="majorBidi"/>
          <w:sz w:val="24"/>
          <w:szCs w:val="24"/>
        </w:rPr>
      </w:pPr>
      <w:r w:rsidRPr="009406A8">
        <w:rPr>
          <w:rFonts w:asciiTheme="majorBidi" w:hAnsiTheme="majorBidi" w:cstheme="majorBidi"/>
          <w:sz w:val="24"/>
          <w:szCs w:val="24"/>
        </w:rPr>
        <w:t>A cumulative percentage above 60% is considered acceptable in behavioral research, while values above 80% are regarded as excellent indicators of a strong and well-defined factor structure. In this study, the rotated cumulative variance of 95.565% is exceptionally high, demonstrating that the four extracted dimensions comprehensively capture the variability in the measurement items.</w:t>
      </w:r>
    </w:p>
    <w:p w14:paraId="0D052F70" w14:textId="796D1CD7" w:rsidR="009406A8" w:rsidRPr="009406A8" w:rsidRDefault="009406A8" w:rsidP="009406A8">
      <w:pPr>
        <w:bidi w:val="0"/>
        <w:spacing w:after="120" w:line="276" w:lineRule="auto"/>
        <w:ind w:firstLine="284"/>
        <w:jc w:val="both"/>
        <w:rPr>
          <w:rFonts w:asciiTheme="majorBidi" w:hAnsiTheme="majorBidi" w:cstheme="majorBidi"/>
          <w:sz w:val="24"/>
          <w:szCs w:val="24"/>
        </w:rPr>
      </w:pPr>
      <w:r w:rsidRPr="009406A8">
        <w:rPr>
          <w:rFonts w:asciiTheme="majorBidi" w:hAnsiTheme="majorBidi" w:cstheme="majorBidi"/>
          <w:sz w:val="24"/>
          <w:szCs w:val="24"/>
        </w:rPr>
        <w:t>This high cumulative variance confirms the validity and robustness of the factor structure for the Risk Management Effectiveness variable. It also suggests that the retained factors provide an accurate and meaningful representation of the underlying dimensions</w:t>
      </w:r>
      <w:r w:rsidR="00B03C22">
        <w:rPr>
          <w:rFonts w:asciiTheme="majorBidi" w:hAnsiTheme="majorBidi" w:cstheme="majorBidi"/>
          <w:sz w:val="24"/>
          <w:szCs w:val="24"/>
        </w:rPr>
        <w:t>-</w:t>
      </w:r>
      <w:r w:rsidRPr="009406A8">
        <w:rPr>
          <w:rFonts w:asciiTheme="majorBidi" w:hAnsiTheme="majorBidi" w:cstheme="majorBidi"/>
          <w:sz w:val="24"/>
          <w:szCs w:val="24"/>
        </w:rPr>
        <w:t>Early Risk Identification &amp; Onboarding Quality, Credit Discipline &amp; Outcomes, Liquidity &amp; Market-Risk Fit at Origination, and Operational Resilience &amp; Third-Party Risk Control. The magnitude of the explained variance reinforces the reliability of the measurement model and supports the credibility of the study's findings.</w:t>
      </w:r>
    </w:p>
    <w:p w14:paraId="1CD3034F" w14:textId="77777777" w:rsidR="00223AC5" w:rsidRPr="003A1CA6" w:rsidRDefault="00223AC5" w:rsidP="00223AC5">
      <w:pPr>
        <w:pStyle w:val="2"/>
      </w:pPr>
      <w:bookmarkStart w:id="185" w:name="_Toc174813435"/>
      <w:bookmarkStart w:id="186" w:name="_Toc214621202"/>
      <w:r w:rsidRPr="003A1CA6">
        <w:t>Descriptive statistics for research variables (answer research questions)</w:t>
      </w:r>
      <w:bookmarkEnd w:id="185"/>
      <w:bookmarkEnd w:id="186"/>
    </w:p>
    <w:p w14:paraId="098460E3" w14:textId="36858E80" w:rsidR="00370164" w:rsidRDefault="00370164" w:rsidP="00370164">
      <w:pPr>
        <w:bidi w:val="0"/>
        <w:spacing w:after="120" w:line="276" w:lineRule="auto"/>
        <w:ind w:firstLine="284"/>
        <w:jc w:val="both"/>
        <w:rPr>
          <w:rFonts w:asciiTheme="majorBidi" w:hAnsiTheme="majorBidi" w:cstheme="majorBidi"/>
          <w:sz w:val="24"/>
          <w:szCs w:val="24"/>
        </w:rPr>
      </w:pPr>
    </w:p>
    <w:p w14:paraId="5489F806" w14:textId="77777777" w:rsidR="00223AC5" w:rsidRPr="00223AC5" w:rsidRDefault="00223AC5" w:rsidP="00223AC5">
      <w:pPr>
        <w:bidi w:val="0"/>
        <w:rPr>
          <w:rFonts w:asciiTheme="majorBidi" w:hAnsiTheme="majorBidi" w:cstheme="majorBidi"/>
          <w:noProof/>
          <w:sz w:val="24"/>
          <w:szCs w:val="24"/>
          <w:rtl/>
        </w:rPr>
      </w:pPr>
      <w:r w:rsidRPr="00223AC5">
        <w:rPr>
          <w:rFonts w:asciiTheme="majorBidi" w:hAnsiTheme="majorBidi" w:cstheme="majorBidi"/>
          <w:noProof/>
          <w:sz w:val="24"/>
          <w:szCs w:val="24"/>
        </w:rPr>
        <w:t>The sample members’ responses to the scale items were measured according to the five-point Likert scale as follows:</w:t>
      </w:r>
    </w:p>
    <w:p w14:paraId="76391793" w14:textId="145005C8" w:rsidR="00A71B53" w:rsidRDefault="00A71B53" w:rsidP="00A71B53">
      <w:pPr>
        <w:pStyle w:val="ad"/>
      </w:pPr>
      <w:bookmarkStart w:id="187" w:name="_Toc214622025"/>
      <w:r>
        <w:t xml:space="preserve">Table </w:t>
      </w:r>
      <w:r>
        <w:fldChar w:fldCharType="begin"/>
      </w:r>
      <w:r>
        <w:instrText xml:space="preserve"> SEQ Table \* ARABIC </w:instrText>
      </w:r>
      <w:r>
        <w:fldChar w:fldCharType="separate"/>
      </w:r>
      <w:r w:rsidR="00CD4CCF">
        <w:t>19</w:t>
      </w:r>
      <w:r>
        <w:fldChar w:fldCharType="end"/>
      </w:r>
      <w:r>
        <w:t xml:space="preserve">: </w:t>
      </w:r>
      <w:r w:rsidRPr="004076B6">
        <w:t>Likert Scale Response Coding (1–5)</w:t>
      </w:r>
      <w:bookmarkEnd w:id="187"/>
    </w:p>
    <w:tbl>
      <w:tblPr>
        <w:tblStyle w:val="ae"/>
        <w:tblW w:w="7004" w:type="dxa"/>
        <w:jc w:val="center"/>
        <w:tblLook w:val="04A0" w:firstRow="1" w:lastRow="0" w:firstColumn="1" w:lastColumn="0" w:noHBand="0" w:noVBand="1"/>
      </w:tblPr>
      <w:tblGrid>
        <w:gridCol w:w="2066"/>
        <w:gridCol w:w="1179"/>
        <w:gridCol w:w="1046"/>
        <w:gridCol w:w="913"/>
        <w:gridCol w:w="1800"/>
      </w:tblGrid>
      <w:tr w:rsidR="00223AC5" w:rsidRPr="00223AC5" w14:paraId="716D2336" w14:textId="77777777" w:rsidTr="00447C39">
        <w:trPr>
          <w:jc w:val="center"/>
        </w:trPr>
        <w:tc>
          <w:tcPr>
            <w:tcW w:w="2066" w:type="dxa"/>
            <w:shd w:val="clear" w:color="auto" w:fill="D9D9D9" w:themeFill="background1" w:themeFillShade="D9"/>
          </w:tcPr>
          <w:p w14:paraId="4BFCDEC3"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sz w:val="24"/>
                <w:szCs w:val="24"/>
                <w:lang w:bidi="ar-EG"/>
              </w:rPr>
              <w:t>Strongly Disagree</w:t>
            </w:r>
          </w:p>
        </w:tc>
        <w:tc>
          <w:tcPr>
            <w:tcW w:w="1179" w:type="dxa"/>
            <w:shd w:val="clear" w:color="auto" w:fill="D9D9D9" w:themeFill="background1" w:themeFillShade="D9"/>
          </w:tcPr>
          <w:p w14:paraId="3EFABDD9"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sz w:val="24"/>
                <w:szCs w:val="24"/>
                <w:lang w:bidi="ar-EG"/>
              </w:rPr>
              <w:t>Disagree</w:t>
            </w:r>
          </w:p>
        </w:tc>
        <w:tc>
          <w:tcPr>
            <w:tcW w:w="1046" w:type="dxa"/>
            <w:shd w:val="clear" w:color="auto" w:fill="D9D9D9" w:themeFill="background1" w:themeFillShade="D9"/>
          </w:tcPr>
          <w:p w14:paraId="345213F6"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sz w:val="24"/>
                <w:szCs w:val="24"/>
                <w:lang w:bidi="ar-EG"/>
              </w:rPr>
              <w:t>Neutral</w:t>
            </w:r>
          </w:p>
        </w:tc>
        <w:tc>
          <w:tcPr>
            <w:tcW w:w="913" w:type="dxa"/>
            <w:shd w:val="clear" w:color="auto" w:fill="D9D9D9" w:themeFill="background1" w:themeFillShade="D9"/>
          </w:tcPr>
          <w:p w14:paraId="4BD48DF2"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sz w:val="24"/>
                <w:szCs w:val="24"/>
                <w:lang w:bidi="ar-EG"/>
              </w:rPr>
              <w:t>Agree</w:t>
            </w:r>
          </w:p>
        </w:tc>
        <w:tc>
          <w:tcPr>
            <w:tcW w:w="1800" w:type="dxa"/>
            <w:shd w:val="clear" w:color="auto" w:fill="D9D9D9" w:themeFill="background1" w:themeFillShade="D9"/>
          </w:tcPr>
          <w:p w14:paraId="345664FE"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sz w:val="24"/>
                <w:szCs w:val="24"/>
                <w:lang w:bidi="ar-EG"/>
              </w:rPr>
              <w:t>Strongly Agree</w:t>
            </w:r>
          </w:p>
        </w:tc>
      </w:tr>
      <w:tr w:rsidR="00223AC5" w:rsidRPr="00223AC5" w14:paraId="0DFF056F" w14:textId="77777777" w:rsidTr="00447C39">
        <w:trPr>
          <w:jc w:val="center"/>
        </w:trPr>
        <w:tc>
          <w:tcPr>
            <w:tcW w:w="2066" w:type="dxa"/>
          </w:tcPr>
          <w:p w14:paraId="02ECBEA4" w14:textId="77777777" w:rsidR="00223AC5" w:rsidRPr="00223AC5" w:rsidRDefault="00223AC5" w:rsidP="00223AC5">
            <w:pPr>
              <w:bidi w:val="0"/>
              <w:jc w:val="center"/>
              <w:rPr>
                <w:rFonts w:asciiTheme="majorBidi" w:hAnsiTheme="majorBidi" w:cstheme="majorBidi"/>
                <w:noProof/>
                <w:sz w:val="24"/>
                <w:szCs w:val="24"/>
              </w:rPr>
            </w:pPr>
            <w:r w:rsidRPr="00223AC5">
              <w:rPr>
                <w:rFonts w:asciiTheme="majorBidi" w:hAnsiTheme="majorBidi" w:cstheme="majorBidi"/>
                <w:noProof/>
                <w:sz w:val="24"/>
                <w:szCs w:val="24"/>
              </w:rPr>
              <w:t>1</w:t>
            </w:r>
          </w:p>
        </w:tc>
        <w:tc>
          <w:tcPr>
            <w:tcW w:w="1179" w:type="dxa"/>
          </w:tcPr>
          <w:p w14:paraId="4F5A3BF8" w14:textId="77777777" w:rsidR="00223AC5" w:rsidRPr="00223AC5" w:rsidRDefault="00223AC5" w:rsidP="00223AC5">
            <w:pPr>
              <w:bidi w:val="0"/>
              <w:jc w:val="center"/>
              <w:rPr>
                <w:rFonts w:asciiTheme="majorBidi" w:hAnsiTheme="majorBidi" w:cstheme="majorBidi"/>
                <w:noProof/>
                <w:sz w:val="24"/>
                <w:szCs w:val="24"/>
              </w:rPr>
            </w:pPr>
            <w:r w:rsidRPr="00223AC5">
              <w:rPr>
                <w:rFonts w:asciiTheme="majorBidi" w:hAnsiTheme="majorBidi" w:cstheme="majorBidi"/>
                <w:noProof/>
                <w:sz w:val="24"/>
                <w:szCs w:val="24"/>
              </w:rPr>
              <w:t>2</w:t>
            </w:r>
          </w:p>
        </w:tc>
        <w:tc>
          <w:tcPr>
            <w:tcW w:w="1046" w:type="dxa"/>
          </w:tcPr>
          <w:p w14:paraId="53BB813F" w14:textId="77777777" w:rsidR="00223AC5" w:rsidRPr="00223AC5" w:rsidRDefault="00223AC5" w:rsidP="00223AC5">
            <w:pPr>
              <w:bidi w:val="0"/>
              <w:jc w:val="center"/>
              <w:rPr>
                <w:rFonts w:asciiTheme="majorBidi" w:hAnsiTheme="majorBidi" w:cstheme="majorBidi"/>
                <w:noProof/>
                <w:sz w:val="24"/>
                <w:szCs w:val="24"/>
              </w:rPr>
            </w:pPr>
            <w:r w:rsidRPr="00223AC5">
              <w:rPr>
                <w:rFonts w:asciiTheme="majorBidi" w:hAnsiTheme="majorBidi" w:cstheme="majorBidi"/>
                <w:noProof/>
                <w:sz w:val="24"/>
                <w:szCs w:val="24"/>
              </w:rPr>
              <w:t>3</w:t>
            </w:r>
          </w:p>
        </w:tc>
        <w:tc>
          <w:tcPr>
            <w:tcW w:w="913" w:type="dxa"/>
          </w:tcPr>
          <w:p w14:paraId="5B5A2ACC" w14:textId="77777777" w:rsidR="00223AC5" w:rsidRPr="00223AC5" w:rsidRDefault="00223AC5" w:rsidP="00223AC5">
            <w:pPr>
              <w:bidi w:val="0"/>
              <w:jc w:val="center"/>
              <w:rPr>
                <w:rFonts w:asciiTheme="majorBidi" w:hAnsiTheme="majorBidi" w:cstheme="majorBidi"/>
                <w:noProof/>
                <w:sz w:val="24"/>
                <w:szCs w:val="24"/>
              </w:rPr>
            </w:pPr>
            <w:r w:rsidRPr="00223AC5">
              <w:rPr>
                <w:rFonts w:asciiTheme="majorBidi" w:hAnsiTheme="majorBidi" w:cstheme="majorBidi"/>
                <w:noProof/>
                <w:sz w:val="24"/>
                <w:szCs w:val="24"/>
              </w:rPr>
              <w:t>4</w:t>
            </w:r>
          </w:p>
        </w:tc>
        <w:tc>
          <w:tcPr>
            <w:tcW w:w="1800" w:type="dxa"/>
          </w:tcPr>
          <w:p w14:paraId="2D28B6F1" w14:textId="77777777" w:rsidR="00223AC5" w:rsidRPr="00223AC5" w:rsidRDefault="00223AC5" w:rsidP="00223AC5">
            <w:pPr>
              <w:bidi w:val="0"/>
              <w:jc w:val="center"/>
              <w:rPr>
                <w:rFonts w:asciiTheme="majorBidi" w:hAnsiTheme="majorBidi" w:cstheme="majorBidi"/>
                <w:noProof/>
                <w:sz w:val="24"/>
                <w:szCs w:val="24"/>
              </w:rPr>
            </w:pPr>
            <w:r w:rsidRPr="00223AC5">
              <w:rPr>
                <w:rFonts w:asciiTheme="majorBidi" w:hAnsiTheme="majorBidi" w:cstheme="majorBidi"/>
                <w:noProof/>
                <w:sz w:val="24"/>
                <w:szCs w:val="24"/>
              </w:rPr>
              <w:t>5</w:t>
            </w:r>
          </w:p>
        </w:tc>
      </w:tr>
    </w:tbl>
    <w:p w14:paraId="0B802A8D" w14:textId="77777777" w:rsidR="00223AC5" w:rsidRPr="00223AC5" w:rsidRDefault="00223AC5" w:rsidP="00223AC5">
      <w:pPr>
        <w:bidi w:val="0"/>
        <w:rPr>
          <w:rFonts w:asciiTheme="majorBidi" w:hAnsiTheme="majorBidi" w:cstheme="majorBidi"/>
          <w:b/>
          <w:bCs/>
          <w:noProof/>
          <w:sz w:val="24"/>
          <w:szCs w:val="24"/>
        </w:rPr>
      </w:pPr>
      <w:r w:rsidRPr="00223AC5">
        <w:rPr>
          <w:rFonts w:asciiTheme="majorBidi" w:hAnsiTheme="majorBidi" w:cstheme="majorBidi"/>
          <w:b/>
          <w:bCs/>
          <w:noProof/>
          <w:sz w:val="24"/>
          <w:szCs w:val="24"/>
        </w:rPr>
        <w:t>The significance level was calculated according to the following equation:</w:t>
      </w:r>
    </w:p>
    <w:p w14:paraId="4EED11AD"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noProof/>
          <w:sz w:val="24"/>
          <w:szCs w:val="24"/>
        </w:rPr>
        <w:t>The relative weight corresponding to each category was calculated by multiplying the arithmetic mean by [100 ÷ 5 (five-point scale) = 20%]</w:t>
      </w:r>
    </w:p>
    <w:p w14:paraId="77CC0B5C" w14:textId="77777777" w:rsidR="00223AC5" w:rsidRPr="00223AC5" w:rsidRDefault="00223AC5" w:rsidP="00223AC5">
      <w:pPr>
        <w:bidi w:val="0"/>
        <w:rPr>
          <w:rFonts w:asciiTheme="majorBidi" w:hAnsiTheme="majorBidi" w:cstheme="majorBidi"/>
          <w:noProof/>
          <w:sz w:val="24"/>
          <w:szCs w:val="24"/>
        </w:rPr>
      </w:pPr>
      <w:r w:rsidRPr="00223AC5">
        <w:rPr>
          <w:rFonts w:asciiTheme="majorBidi" w:hAnsiTheme="majorBidi" w:cstheme="majorBidi"/>
          <w:noProof/>
          <w:sz w:val="24"/>
          <w:szCs w:val="24"/>
        </w:rPr>
        <w:t>The following table shows the significance of the arithmetic means, as follows:</w:t>
      </w:r>
    </w:p>
    <w:p w14:paraId="60DAB47B" w14:textId="16866652" w:rsidR="00A71B53" w:rsidRDefault="00A71B53" w:rsidP="00A71B53">
      <w:pPr>
        <w:pStyle w:val="ad"/>
      </w:pPr>
      <w:bookmarkStart w:id="188" w:name="_Toc214622026"/>
      <w:r>
        <w:t xml:space="preserve">Table </w:t>
      </w:r>
      <w:r>
        <w:fldChar w:fldCharType="begin"/>
      </w:r>
      <w:r>
        <w:instrText xml:space="preserve"> SEQ Table \* ARABIC </w:instrText>
      </w:r>
      <w:r>
        <w:fldChar w:fldCharType="separate"/>
      </w:r>
      <w:r w:rsidR="00CD4CCF">
        <w:t>20</w:t>
      </w:r>
      <w:r>
        <w:fldChar w:fldCharType="end"/>
      </w:r>
      <w:r>
        <w:t xml:space="preserve">: </w:t>
      </w:r>
      <w:r w:rsidRPr="00172B7F">
        <w:t>Interpretation of Arithmetic Mean and Relative Weight</w:t>
      </w:r>
      <w:bookmarkEnd w:id="188"/>
    </w:p>
    <w:tbl>
      <w:tblPr>
        <w:tblStyle w:val="ae"/>
        <w:tblW w:w="0" w:type="auto"/>
        <w:tblLook w:val="04A0" w:firstRow="1" w:lastRow="0" w:firstColumn="1" w:lastColumn="0" w:noHBand="0" w:noVBand="1"/>
      </w:tblPr>
      <w:tblGrid>
        <w:gridCol w:w="2257"/>
        <w:gridCol w:w="2245"/>
        <w:gridCol w:w="2246"/>
        <w:gridCol w:w="2313"/>
      </w:tblGrid>
      <w:tr w:rsidR="00223AC5" w14:paraId="71513B2E" w14:textId="77777777" w:rsidTr="00223AC5">
        <w:tc>
          <w:tcPr>
            <w:tcW w:w="9061" w:type="dxa"/>
            <w:gridSpan w:val="4"/>
          </w:tcPr>
          <w:p w14:paraId="31FA7B19" w14:textId="77777777" w:rsidR="00223AC5" w:rsidRDefault="00223AC5" w:rsidP="00223AC5">
            <w:pPr>
              <w:bidi w:val="0"/>
              <w:jc w:val="center"/>
              <w:rPr>
                <w:rFonts w:asciiTheme="majorBidi" w:hAnsiTheme="majorBidi" w:cstheme="majorBidi"/>
                <w:noProof/>
              </w:rPr>
            </w:pPr>
            <w:r w:rsidRPr="00F64A7A">
              <w:rPr>
                <w:rFonts w:asciiTheme="majorBidi" w:hAnsiTheme="majorBidi" w:cstheme="majorBidi"/>
                <w:noProof/>
              </w:rPr>
              <w:t>Meaning of arithmetic averages</w:t>
            </w:r>
          </w:p>
        </w:tc>
      </w:tr>
      <w:tr w:rsidR="00223AC5" w14:paraId="30EC6C65" w14:textId="77777777" w:rsidTr="00223AC5">
        <w:tc>
          <w:tcPr>
            <w:tcW w:w="2257" w:type="dxa"/>
            <w:shd w:val="clear" w:color="auto" w:fill="D9D9D9" w:themeFill="background1" w:themeFillShade="D9"/>
          </w:tcPr>
          <w:p w14:paraId="54585064" w14:textId="77777777" w:rsidR="00223AC5" w:rsidRDefault="00223AC5" w:rsidP="00223AC5">
            <w:pPr>
              <w:bidi w:val="0"/>
              <w:jc w:val="center"/>
              <w:rPr>
                <w:rFonts w:asciiTheme="majorBidi" w:hAnsiTheme="majorBidi" w:cstheme="majorBidi"/>
                <w:noProof/>
              </w:rPr>
            </w:pPr>
            <w:r w:rsidRPr="00F64A7A">
              <w:rPr>
                <w:rFonts w:asciiTheme="majorBidi" w:hAnsiTheme="majorBidi" w:cstheme="majorBidi"/>
                <w:noProof/>
              </w:rPr>
              <w:t>Arithmetic mean value</w:t>
            </w:r>
          </w:p>
        </w:tc>
        <w:tc>
          <w:tcPr>
            <w:tcW w:w="2245" w:type="dxa"/>
            <w:shd w:val="clear" w:color="auto" w:fill="D9D9D9" w:themeFill="background1" w:themeFillShade="D9"/>
          </w:tcPr>
          <w:p w14:paraId="5B10EFC2" w14:textId="77777777" w:rsidR="00223AC5" w:rsidRDefault="00223AC5" w:rsidP="00223AC5">
            <w:pPr>
              <w:bidi w:val="0"/>
              <w:jc w:val="center"/>
              <w:rPr>
                <w:rFonts w:asciiTheme="majorBidi" w:hAnsiTheme="majorBidi" w:cstheme="majorBidi"/>
                <w:noProof/>
              </w:rPr>
            </w:pPr>
            <w:r w:rsidRPr="00F64A7A">
              <w:rPr>
                <w:rFonts w:asciiTheme="majorBidi" w:hAnsiTheme="majorBidi" w:cstheme="majorBidi"/>
                <w:noProof/>
              </w:rPr>
              <w:t>Result (general trend)</w:t>
            </w:r>
          </w:p>
        </w:tc>
        <w:tc>
          <w:tcPr>
            <w:tcW w:w="2246" w:type="dxa"/>
            <w:shd w:val="clear" w:color="auto" w:fill="D9D9D9" w:themeFill="background1" w:themeFillShade="D9"/>
          </w:tcPr>
          <w:p w14:paraId="33CAC0BE" w14:textId="77777777" w:rsidR="00223AC5" w:rsidRDefault="00223AC5" w:rsidP="00223AC5">
            <w:pPr>
              <w:bidi w:val="0"/>
              <w:jc w:val="center"/>
              <w:rPr>
                <w:rFonts w:asciiTheme="majorBidi" w:hAnsiTheme="majorBidi" w:cstheme="majorBidi"/>
                <w:noProof/>
              </w:rPr>
            </w:pPr>
            <w:r w:rsidRPr="00F64A7A">
              <w:rPr>
                <w:rFonts w:asciiTheme="majorBidi" w:hAnsiTheme="majorBidi" w:cstheme="majorBidi"/>
                <w:noProof/>
              </w:rPr>
              <w:t>Relative weight%</w:t>
            </w:r>
          </w:p>
        </w:tc>
        <w:tc>
          <w:tcPr>
            <w:tcW w:w="2313" w:type="dxa"/>
            <w:shd w:val="clear" w:color="auto" w:fill="D9D9D9" w:themeFill="background1" w:themeFillShade="D9"/>
          </w:tcPr>
          <w:p w14:paraId="0450F5A5" w14:textId="77777777" w:rsidR="00223AC5" w:rsidRDefault="00223AC5" w:rsidP="00223AC5">
            <w:pPr>
              <w:bidi w:val="0"/>
              <w:jc w:val="center"/>
              <w:rPr>
                <w:rFonts w:asciiTheme="majorBidi" w:hAnsiTheme="majorBidi" w:cstheme="majorBidi"/>
                <w:noProof/>
              </w:rPr>
            </w:pPr>
            <w:r w:rsidRPr="00F64A7A">
              <w:rPr>
                <w:rFonts w:asciiTheme="majorBidi" w:hAnsiTheme="majorBidi" w:cstheme="majorBidi"/>
                <w:noProof/>
              </w:rPr>
              <w:t>Practice/importance</w:t>
            </w:r>
          </w:p>
        </w:tc>
      </w:tr>
      <w:tr w:rsidR="00223AC5" w14:paraId="3AD2875F" w14:textId="77777777" w:rsidTr="00223AC5">
        <w:tc>
          <w:tcPr>
            <w:tcW w:w="2257" w:type="dxa"/>
          </w:tcPr>
          <w:p w14:paraId="79073408" w14:textId="77777777" w:rsidR="00223AC5" w:rsidRDefault="00223AC5" w:rsidP="00223AC5">
            <w:pPr>
              <w:bidi w:val="0"/>
              <w:rPr>
                <w:rFonts w:asciiTheme="majorBidi" w:hAnsiTheme="majorBidi" w:cstheme="majorBidi"/>
                <w:noProof/>
              </w:rPr>
            </w:pPr>
            <w:r w:rsidRPr="00F64A7A">
              <w:rPr>
                <w:rFonts w:asciiTheme="majorBidi" w:hAnsiTheme="majorBidi" w:cstheme="majorBidi"/>
                <w:noProof/>
              </w:rPr>
              <w:t>1 to less than 1.80</w:t>
            </w:r>
          </w:p>
        </w:tc>
        <w:tc>
          <w:tcPr>
            <w:tcW w:w="2245" w:type="dxa"/>
          </w:tcPr>
          <w:p w14:paraId="246412D7" w14:textId="77777777" w:rsidR="00223AC5" w:rsidRDefault="00223AC5" w:rsidP="00223AC5">
            <w:pPr>
              <w:bidi w:val="0"/>
              <w:rPr>
                <w:rFonts w:asciiTheme="majorBidi" w:hAnsiTheme="majorBidi" w:cstheme="majorBidi"/>
                <w:noProof/>
              </w:rPr>
            </w:pPr>
            <w:r>
              <w:rPr>
                <w:rFonts w:asciiTheme="majorBidi" w:hAnsiTheme="majorBidi" w:cstheme="majorBidi"/>
                <w:noProof/>
              </w:rPr>
              <w:t>Strongly D</w:t>
            </w:r>
            <w:r w:rsidRPr="005D7DD2">
              <w:rPr>
                <w:rFonts w:asciiTheme="majorBidi" w:hAnsiTheme="majorBidi" w:cstheme="majorBidi"/>
                <w:noProof/>
              </w:rPr>
              <w:t>isagree</w:t>
            </w:r>
          </w:p>
        </w:tc>
        <w:tc>
          <w:tcPr>
            <w:tcW w:w="2246" w:type="dxa"/>
          </w:tcPr>
          <w:p w14:paraId="2E33865E"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20 to less than 36%</w:t>
            </w:r>
          </w:p>
        </w:tc>
        <w:tc>
          <w:tcPr>
            <w:tcW w:w="2313" w:type="dxa"/>
          </w:tcPr>
          <w:p w14:paraId="09B689D6"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Very low</w:t>
            </w:r>
          </w:p>
        </w:tc>
      </w:tr>
      <w:tr w:rsidR="00223AC5" w14:paraId="5AA91C67" w14:textId="77777777" w:rsidTr="00223AC5">
        <w:tc>
          <w:tcPr>
            <w:tcW w:w="2257" w:type="dxa"/>
          </w:tcPr>
          <w:p w14:paraId="39A01CEE"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1.80 to less than 2.60</w:t>
            </w:r>
          </w:p>
        </w:tc>
        <w:tc>
          <w:tcPr>
            <w:tcW w:w="2245" w:type="dxa"/>
          </w:tcPr>
          <w:p w14:paraId="4E82B2FF"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Disagree</w:t>
            </w:r>
          </w:p>
        </w:tc>
        <w:tc>
          <w:tcPr>
            <w:tcW w:w="2246" w:type="dxa"/>
          </w:tcPr>
          <w:p w14:paraId="0719C6FE"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36 to less than 52%</w:t>
            </w:r>
          </w:p>
        </w:tc>
        <w:tc>
          <w:tcPr>
            <w:tcW w:w="2313" w:type="dxa"/>
          </w:tcPr>
          <w:p w14:paraId="02F3B666" w14:textId="77777777" w:rsidR="00223AC5" w:rsidRDefault="00223AC5" w:rsidP="00223AC5">
            <w:pPr>
              <w:bidi w:val="0"/>
              <w:rPr>
                <w:rFonts w:asciiTheme="majorBidi" w:hAnsiTheme="majorBidi" w:cstheme="majorBidi"/>
                <w:noProof/>
              </w:rPr>
            </w:pPr>
            <w:r w:rsidRPr="005D7DD2">
              <w:rPr>
                <w:rFonts w:asciiTheme="majorBidi" w:hAnsiTheme="majorBidi" w:cstheme="majorBidi"/>
                <w:noProof/>
              </w:rPr>
              <w:t>Low</w:t>
            </w:r>
          </w:p>
        </w:tc>
      </w:tr>
      <w:tr w:rsidR="00223AC5" w14:paraId="12561BD3" w14:textId="77777777" w:rsidTr="00223AC5">
        <w:tc>
          <w:tcPr>
            <w:tcW w:w="2257" w:type="dxa"/>
          </w:tcPr>
          <w:p w14:paraId="24B381D9"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2.60 to less than 3.40</w:t>
            </w:r>
          </w:p>
        </w:tc>
        <w:tc>
          <w:tcPr>
            <w:tcW w:w="2245" w:type="dxa"/>
          </w:tcPr>
          <w:p w14:paraId="158937ED"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Neutral</w:t>
            </w:r>
          </w:p>
        </w:tc>
        <w:tc>
          <w:tcPr>
            <w:tcW w:w="2246" w:type="dxa"/>
          </w:tcPr>
          <w:p w14:paraId="4C334D9F"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52 to less than 68%</w:t>
            </w:r>
          </w:p>
        </w:tc>
        <w:tc>
          <w:tcPr>
            <w:tcW w:w="2313" w:type="dxa"/>
          </w:tcPr>
          <w:p w14:paraId="6735B463"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Average</w:t>
            </w:r>
          </w:p>
        </w:tc>
      </w:tr>
      <w:tr w:rsidR="00223AC5" w14:paraId="145989B5" w14:textId="77777777" w:rsidTr="00223AC5">
        <w:tc>
          <w:tcPr>
            <w:tcW w:w="2257" w:type="dxa"/>
          </w:tcPr>
          <w:p w14:paraId="0C7629AC"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3.40 to less than 4.20</w:t>
            </w:r>
          </w:p>
        </w:tc>
        <w:tc>
          <w:tcPr>
            <w:tcW w:w="2245" w:type="dxa"/>
          </w:tcPr>
          <w:p w14:paraId="2C2971EB"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Agree</w:t>
            </w:r>
          </w:p>
        </w:tc>
        <w:tc>
          <w:tcPr>
            <w:tcW w:w="2246" w:type="dxa"/>
          </w:tcPr>
          <w:p w14:paraId="4D041452"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68 to less than 84%</w:t>
            </w:r>
          </w:p>
        </w:tc>
        <w:tc>
          <w:tcPr>
            <w:tcW w:w="2313" w:type="dxa"/>
          </w:tcPr>
          <w:p w14:paraId="308C605C"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High</w:t>
            </w:r>
          </w:p>
        </w:tc>
      </w:tr>
      <w:tr w:rsidR="00223AC5" w14:paraId="7D8427FC" w14:textId="77777777" w:rsidTr="00223AC5">
        <w:tc>
          <w:tcPr>
            <w:tcW w:w="2257" w:type="dxa"/>
          </w:tcPr>
          <w:p w14:paraId="4A04A7E4"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4.20 to less than 5</w:t>
            </w:r>
          </w:p>
        </w:tc>
        <w:tc>
          <w:tcPr>
            <w:tcW w:w="2245" w:type="dxa"/>
          </w:tcPr>
          <w:p w14:paraId="2FA9A614" w14:textId="77777777" w:rsidR="00223AC5" w:rsidRDefault="00223AC5" w:rsidP="00223AC5">
            <w:pPr>
              <w:bidi w:val="0"/>
              <w:rPr>
                <w:rFonts w:asciiTheme="majorBidi" w:hAnsiTheme="majorBidi" w:cstheme="majorBidi"/>
                <w:noProof/>
              </w:rPr>
            </w:pPr>
            <w:r>
              <w:rPr>
                <w:rFonts w:asciiTheme="majorBidi" w:hAnsiTheme="majorBidi" w:cstheme="majorBidi"/>
                <w:noProof/>
              </w:rPr>
              <w:t>Strongly A</w:t>
            </w:r>
            <w:r w:rsidRPr="00901671">
              <w:rPr>
                <w:rFonts w:asciiTheme="majorBidi" w:hAnsiTheme="majorBidi" w:cstheme="majorBidi"/>
                <w:noProof/>
              </w:rPr>
              <w:t>gree</w:t>
            </w:r>
          </w:p>
        </w:tc>
        <w:tc>
          <w:tcPr>
            <w:tcW w:w="2246" w:type="dxa"/>
          </w:tcPr>
          <w:p w14:paraId="1A551559"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84 to 100%</w:t>
            </w:r>
          </w:p>
        </w:tc>
        <w:tc>
          <w:tcPr>
            <w:tcW w:w="2313" w:type="dxa"/>
          </w:tcPr>
          <w:p w14:paraId="4D20C721" w14:textId="77777777" w:rsidR="00223AC5" w:rsidRDefault="00223AC5" w:rsidP="00223AC5">
            <w:pPr>
              <w:bidi w:val="0"/>
              <w:rPr>
                <w:rFonts w:asciiTheme="majorBidi" w:hAnsiTheme="majorBidi" w:cstheme="majorBidi"/>
                <w:noProof/>
              </w:rPr>
            </w:pPr>
            <w:r w:rsidRPr="00901671">
              <w:rPr>
                <w:rFonts w:asciiTheme="majorBidi" w:hAnsiTheme="majorBidi" w:cstheme="majorBidi"/>
                <w:noProof/>
              </w:rPr>
              <w:t>Very high</w:t>
            </w:r>
          </w:p>
        </w:tc>
      </w:tr>
    </w:tbl>
    <w:p w14:paraId="7DF9D69C" w14:textId="77777777" w:rsidR="00223AC5" w:rsidRPr="00223AC5" w:rsidRDefault="00223AC5" w:rsidP="00223AC5">
      <w:pPr>
        <w:bidi w:val="0"/>
        <w:rPr>
          <w:rFonts w:asciiTheme="majorBidi" w:hAnsiTheme="majorBidi" w:cstheme="majorBidi"/>
          <w:noProof/>
          <w:sz w:val="24"/>
          <w:szCs w:val="24"/>
          <w:rtl/>
          <w:lang w:bidi="ar-EG"/>
        </w:rPr>
      </w:pPr>
      <w:r w:rsidRPr="00223AC5">
        <w:rPr>
          <w:rFonts w:asciiTheme="majorBidi" w:hAnsiTheme="majorBidi" w:cstheme="majorBidi"/>
          <w:noProof/>
          <w:sz w:val="24"/>
          <w:szCs w:val="24"/>
        </w:rPr>
        <w:t>The following table shows the descriptive analysis of the study variables represented by the arithmetic means based on the five-point Likert scale, and the standard deviations of the variables according to the table related to the significance of the arithmetic mean. The significance of the arithmetic mean shown in the table above is considered to know the level of Management Strategies as well as the level of Perceived Product Quality and their dimensions, according to the point of view of the study sample, as follows:</w:t>
      </w:r>
    </w:p>
    <w:p w14:paraId="7DD109B5" w14:textId="66DB06DC" w:rsidR="00A71B53" w:rsidRDefault="00A71B53" w:rsidP="00A71B53">
      <w:pPr>
        <w:pStyle w:val="ad"/>
      </w:pPr>
      <w:bookmarkStart w:id="189" w:name="_Toc214622027"/>
      <w:r>
        <w:t xml:space="preserve">Table </w:t>
      </w:r>
      <w:r>
        <w:fldChar w:fldCharType="begin"/>
      </w:r>
      <w:r>
        <w:instrText xml:space="preserve"> SEQ Table \* ARABIC </w:instrText>
      </w:r>
      <w:r>
        <w:fldChar w:fldCharType="separate"/>
      </w:r>
      <w:r w:rsidR="00CD4CCF">
        <w:t>21</w:t>
      </w:r>
      <w:r>
        <w:fldChar w:fldCharType="end"/>
      </w:r>
      <w:r>
        <w:t xml:space="preserve">: </w:t>
      </w:r>
      <w:r w:rsidRPr="00701B10">
        <w:t>Arithmetic Means and Standard Deviations of the Study Variables</w:t>
      </w:r>
      <w:bookmarkEnd w:id="189"/>
    </w:p>
    <w:tbl>
      <w:tblPr>
        <w:tblStyle w:val="ae"/>
        <w:tblW w:w="10522" w:type="dxa"/>
        <w:tblInd w:w="-431" w:type="dxa"/>
        <w:tblLook w:val="04A0" w:firstRow="1" w:lastRow="0" w:firstColumn="1" w:lastColumn="0" w:noHBand="0" w:noVBand="1"/>
      </w:tblPr>
      <w:tblGrid>
        <w:gridCol w:w="1447"/>
        <w:gridCol w:w="1505"/>
        <w:gridCol w:w="1044"/>
        <w:gridCol w:w="1051"/>
        <w:gridCol w:w="830"/>
        <w:gridCol w:w="1051"/>
        <w:gridCol w:w="803"/>
        <w:gridCol w:w="803"/>
        <w:gridCol w:w="1047"/>
        <w:gridCol w:w="941"/>
      </w:tblGrid>
      <w:tr w:rsidR="004E041A" w14:paraId="64C9DA57" w14:textId="77777777" w:rsidTr="00447C39">
        <w:tc>
          <w:tcPr>
            <w:tcW w:w="10522" w:type="dxa"/>
            <w:gridSpan w:val="10"/>
          </w:tcPr>
          <w:p w14:paraId="0152E939" w14:textId="77777777" w:rsidR="004E041A" w:rsidRDefault="004E041A" w:rsidP="004E041A">
            <w:pPr>
              <w:bidi w:val="0"/>
              <w:jc w:val="center"/>
              <w:rPr>
                <w:rFonts w:asciiTheme="majorBidi" w:hAnsiTheme="majorBidi" w:cstheme="majorBidi"/>
                <w:noProof/>
              </w:rPr>
            </w:pPr>
            <w:bookmarkStart w:id="190" w:name="_Hlk174583617"/>
            <w:r w:rsidRPr="00C50C6A">
              <w:rPr>
                <w:rFonts w:asciiTheme="majorBidi" w:hAnsiTheme="majorBidi" w:cstheme="majorBidi"/>
                <w:noProof/>
              </w:rPr>
              <w:t>Arithmetic means and standard deviations of the study variables</w:t>
            </w:r>
            <w:bookmarkEnd w:id="190"/>
          </w:p>
        </w:tc>
      </w:tr>
      <w:tr w:rsidR="004E041A" w14:paraId="128C6CCE" w14:textId="77777777" w:rsidTr="00727513">
        <w:tc>
          <w:tcPr>
            <w:tcW w:w="1447" w:type="dxa"/>
            <w:shd w:val="clear" w:color="auto" w:fill="D9D9D9" w:themeFill="background1" w:themeFillShade="D9"/>
          </w:tcPr>
          <w:p w14:paraId="2ECA2302" w14:textId="77777777" w:rsidR="004E041A" w:rsidRDefault="004E041A" w:rsidP="004E041A">
            <w:pPr>
              <w:bidi w:val="0"/>
              <w:rPr>
                <w:rFonts w:asciiTheme="majorBidi" w:hAnsiTheme="majorBidi" w:cstheme="majorBidi"/>
                <w:noProof/>
                <w:rtl/>
                <w:lang w:bidi="ar-EG"/>
              </w:rPr>
            </w:pPr>
            <w:r w:rsidRPr="00C50C6A">
              <w:rPr>
                <w:rFonts w:asciiTheme="majorBidi" w:hAnsiTheme="majorBidi" w:cstheme="majorBidi"/>
                <w:noProof/>
                <w:lang w:bidi="ar-EG"/>
              </w:rPr>
              <w:t xml:space="preserve">Variables </w:t>
            </w:r>
          </w:p>
        </w:tc>
        <w:tc>
          <w:tcPr>
            <w:tcW w:w="1505" w:type="dxa"/>
            <w:shd w:val="clear" w:color="auto" w:fill="D9D9D9" w:themeFill="background1" w:themeFillShade="D9"/>
          </w:tcPr>
          <w:p w14:paraId="1BADDC25" w14:textId="77777777" w:rsidR="004E041A" w:rsidRDefault="004E041A" w:rsidP="004E041A">
            <w:pPr>
              <w:bidi w:val="0"/>
              <w:rPr>
                <w:rFonts w:asciiTheme="majorBidi" w:hAnsiTheme="majorBidi" w:cstheme="majorBidi"/>
                <w:noProof/>
              </w:rPr>
            </w:pPr>
            <w:r>
              <w:rPr>
                <w:rFonts w:asciiTheme="majorBidi" w:hAnsiTheme="majorBidi" w:cstheme="majorBidi"/>
                <w:noProof/>
                <w:lang w:bidi="ar-EG"/>
              </w:rPr>
              <w:t>D</w:t>
            </w:r>
            <w:r w:rsidRPr="00C50C6A">
              <w:rPr>
                <w:rFonts w:asciiTheme="majorBidi" w:hAnsiTheme="majorBidi" w:cstheme="majorBidi"/>
                <w:noProof/>
                <w:lang w:bidi="ar-EG"/>
              </w:rPr>
              <w:t>imensions</w:t>
            </w:r>
          </w:p>
        </w:tc>
        <w:tc>
          <w:tcPr>
            <w:tcW w:w="2095" w:type="dxa"/>
            <w:gridSpan w:val="2"/>
            <w:shd w:val="clear" w:color="auto" w:fill="D9D9D9" w:themeFill="background1" w:themeFillShade="D9"/>
          </w:tcPr>
          <w:p w14:paraId="77E337CD" w14:textId="77777777" w:rsidR="004E041A" w:rsidRDefault="004E041A" w:rsidP="004E041A">
            <w:pPr>
              <w:bidi w:val="0"/>
              <w:rPr>
                <w:rFonts w:asciiTheme="majorBidi" w:hAnsiTheme="majorBidi" w:cstheme="majorBidi"/>
                <w:noProof/>
              </w:rPr>
            </w:pPr>
            <w:r w:rsidRPr="00042025">
              <w:rPr>
                <w:rFonts w:asciiTheme="majorBidi" w:hAnsiTheme="majorBidi" w:cstheme="majorBidi"/>
                <w:noProof/>
              </w:rPr>
              <w:t>Mean</w:t>
            </w:r>
          </w:p>
        </w:tc>
        <w:tc>
          <w:tcPr>
            <w:tcW w:w="1881" w:type="dxa"/>
            <w:gridSpan w:val="2"/>
            <w:shd w:val="clear" w:color="auto" w:fill="D9D9D9" w:themeFill="background1" w:themeFillShade="D9"/>
          </w:tcPr>
          <w:p w14:paraId="62E0B4CC" w14:textId="77777777" w:rsidR="004E041A" w:rsidRDefault="004E041A" w:rsidP="004E041A">
            <w:pPr>
              <w:bidi w:val="0"/>
              <w:rPr>
                <w:rFonts w:asciiTheme="majorBidi" w:hAnsiTheme="majorBidi" w:cstheme="majorBidi"/>
                <w:noProof/>
              </w:rPr>
            </w:pPr>
            <w:r w:rsidRPr="00042025">
              <w:rPr>
                <w:rFonts w:asciiTheme="majorBidi" w:hAnsiTheme="majorBidi" w:cstheme="majorBidi"/>
                <w:noProof/>
              </w:rPr>
              <w:t>Standard Deviation</w:t>
            </w:r>
          </w:p>
        </w:tc>
        <w:tc>
          <w:tcPr>
            <w:tcW w:w="1606" w:type="dxa"/>
            <w:gridSpan w:val="2"/>
            <w:shd w:val="clear" w:color="auto" w:fill="D9D9D9" w:themeFill="background1" w:themeFillShade="D9"/>
          </w:tcPr>
          <w:p w14:paraId="6184E3BA" w14:textId="77777777" w:rsidR="004E041A" w:rsidRDefault="004E041A" w:rsidP="004E041A">
            <w:pPr>
              <w:bidi w:val="0"/>
              <w:rPr>
                <w:rFonts w:asciiTheme="majorBidi" w:hAnsiTheme="majorBidi" w:cstheme="majorBidi"/>
                <w:noProof/>
              </w:rPr>
            </w:pPr>
            <w:r w:rsidRPr="00042025">
              <w:rPr>
                <w:rFonts w:asciiTheme="majorBidi" w:hAnsiTheme="majorBidi" w:cstheme="majorBidi"/>
                <w:noProof/>
              </w:rPr>
              <w:t>Trend</w:t>
            </w:r>
          </w:p>
        </w:tc>
        <w:tc>
          <w:tcPr>
            <w:tcW w:w="1988" w:type="dxa"/>
            <w:gridSpan w:val="2"/>
            <w:shd w:val="clear" w:color="auto" w:fill="D9D9D9" w:themeFill="background1" w:themeFillShade="D9"/>
          </w:tcPr>
          <w:p w14:paraId="42214CCF" w14:textId="77777777" w:rsidR="004E041A" w:rsidRDefault="004E041A" w:rsidP="004E041A">
            <w:pPr>
              <w:bidi w:val="0"/>
              <w:rPr>
                <w:rFonts w:asciiTheme="majorBidi" w:hAnsiTheme="majorBidi" w:cstheme="majorBidi"/>
                <w:noProof/>
              </w:rPr>
            </w:pPr>
            <w:r w:rsidRPr="00042025">
              <w:rPr>
                <w:rFonts w:asciiTheme="majorBidi" w:hAnsiTheme="majorBidi" w:cstheme="majorBidi"/>
                <w:noProof/>
              </w:rPr>
              <w:t>Importance/Practice Level</w:t>
            </w:r>
          </w:p>
        </w:tc>
      </w:tr>
      <w:tr w:rsidR="00727513" w14:paraId="1C2ADBD7" w14:textId="77777777" w:rsidTr="00727513">
        <w:tc>
          <w:tcPr>
            <w:tcW w:w="1447" w:type="dxa"/>
            <w:vMerge w:val="restart"/>
            <w:vAlign w:val="center"/>
          </w:tcPr>
          <w:p w14:paraId="3036D8E1" w14:textId="09776B04" w:rsidR="00727513" w:rsidRDefault="00727513" w:rsidP="00727513">
            <w:pPr>
              <w:bidi w:val="0"/>
              <w:rPr>
                <w:rFonts w:asciiTheme="majorBidi" w:hAnsiTheme="majorBidi" w:cstheme="majorBidi"/>
                <w:noProof/>
              </w:rPr>
            </w:pPr>
            <w:r w:rsidRPr="00110939">
              <w:rPr>
                <w:rFonts w:asciiTheme="majorBidi" w:hAnsiTheme="majorBidi" w:cstheme="majorBidi"/>
                <w:color w:val="202124"/>
                <w:sz w:val="20"/>
                <w:szCs w:val="20"/>
              </w:rPr>
              <w:t>Functional Relationship Between Account Managers and Sales Teams</w:t>
            </w:r>
          </w:p>
        </w:tc>
        <w:tc>
          <w:tcPr>
            <w:tcW w:w="1505" w:type="dxa"/>
            <w:vAlign w:val="center"/>
          </w:tcPr>
          <w:p w14:paraId="432AF280" w14:textId="43B690C3" w:rsidR="00727513" w:rsidRDefault="00727513" w:rsidP="00727513">
            <w:pPr>
              <w:bidi w:val="0"/>
              <w:rPr>
                <w:rFonts w:asciiTheme="majorBidi" w:hAnsiTheme="majorBidi" w:cstheme="majorBidi"/>
                <w:noProof/>
              </w:rPr>
            </w:pPr>
            <w:r w:rsidRPr="00110939">
              <w:rPr>
                <w:rFonts w:asciiTheme="majorBidi" w:hAnsiTheme="majorBidi" w:cstheme="majorBidi"/>
                <w:sz w:val="20"/>
                <w:szCs w:val="20"/>
                <w:lang w:bidi="ar-EG"/>
              </w:rPr>
              <w:t>Communication Quality &amp; Cadence</w:t>
            </w:r>
          </w:p>
        </w:tc>
        <w:tc>
          <w:tcPr>
            <w:tcW w:w="1044" w:type="dxa"/>
          </w:tcPr>
          <w:p w14:paraId="61A5EC45" w14:textId="3742B83C" w:rsidR="00727513" w:rsidRPr="00240190" w:rsidRDefault="00727513" w:rsidP="00727513">
            <w:pPr>
              <w:bidi w:val="0"/>
              <w:rPr>
                <w:rFonts w:ascii="Arial" w:hAnsi="Arial" w:cs="Arial"/>
                <w:color w:val="000000"/>
                <w:sz w:val="20"/>
                <w:szCs w:val="20"/>
              </w:rPr>
            </w:pPr>
            <w:r w:rsidRPr="004E041A">
              <w:rPr>
                <w:rFonts w:ascii="Arial" w:hAnsi="Arial" w:cs="Arial"/>
                <w:color w:val="000000"/>
                <w:sz w:val="20"/>
                <w:szCs w:val="20"/>
              </w:rPr>
              <w:t>3.44</w:t>
            </w:r>
          </w:p>
        </w:tc>
        <w:tc>
          <w:tcPr>
            <w:tcW w:w="1051" w:type="dxa"/>
            <w:vMerge w:val="restart"/>
          </w:tcPr>
          <w:p w14:paraId="22AB8D0A" w14:textId="4C3D0EF9" w:rsidR="00727513" w:rsidRDefault="00727513" w:rsidP="00727513">
            <w:pPr>
              <w:bidi w:val="0"/>
              <w:rPr>
                <w:rFonts w:asciiTheme="majorBidi" w:hAnsiTheme="majorBidi" w:cstheme="majorBidi"/>
                <w:noProof/>
              </w:rPr>
            </w:pPr>
            <w:r w:rsidRPr="004E041A">
              <w:rPr>
                <w:rFonts w:ascii="Arial" w:hAnsi="Arial" w:cs="Arial"/>
                <w:color w:val="000000"/>
                <w:sz w:val="20"/>
                <w:szCs w:val="20"/>
              </w:rPr>
              <w:t>3.40125</w:t>
            </w:r>
          </w:p>
        </w:tc>
        <w:tc>
          <w:tcPr>
            <w:tcW w:w="830" w:type="dxa"/>
          </w:tcPr>
          <w:p w14:paraId="2A4E8EE0" w14:textId="0ABFCF77" w:rsidR="00727513" w:rsidRPr="0041259A" w:rsidRDefault="00727513" w:rsidP="00727513">
            <w:pPr>
              <w:bidi w:val="0"/>
              <w:rPr>
                <w:rFonts w:ascii="Arial" w:hAnsi="Arial" w:cs="Arial"/>
                <w:color w:val="000000"/>
                <w:sz w:val="20"/>
                <w:szCs w:val="20"/>
              </w:rPr>
            </w:pPr>
            <w:r w:rsidRPr="00067D17">
              <w:t>0.9925</w:t>
            </w:r>
          </w:p>
        </w:tc>
        <w:tc>
          <w:tcPr>
            <w:tcW w:w="1051" w:type="dxa"/>
            <w:vMerge w:val="restart"/>
          </w:tcPr>
          <w:p w14:paraId="07BC0821" w14:textId="03B8346B" w:rsidR="00727513" w:rsidRDefault="00727513" w:rsidP="00727513">
            <w:pPr>
              <w:bidi w:val="0"/>
              <w:rPr>
                <w:rFonts w:asciiTheme="majorBidi" w:hAnsiTheme="majorBidi" w:cstheme="majorBidi"/>
                <w:noProof/>
              </w:rPr>
            </w:pPr>
            <w:r w:rsidRPr="00727513">
              <w:rPr>
                <w:rFonts w:ascii="Arial" w:hAnsi="Arial" w:cs="Arial"/>
                <w:color w:val="000000"/>
                <w:sz w:val="20"/>
                <w:szCs w:val="20"/>
              </w:rPr>
              <w:t>0.9585</w:t>
            </w:r>
          </w:p>
        </w:tc>
        <w:tc>
          <w:tcPr>
            <w:tcW w:w="803" w:type="dxa"/>
          </w:tcPr>
          <w:p w14:paraId="5390963B" w14:textId="77777777" w:rsidR="00727513" w:rsidRDefault="00727513" w:rsidP="00727513">
            <w:pPr>
              <w:bidi w:val="0"/>
              <w:rPr>
                <w:rFonts w:asciiTheme="majorBidi" w:hAnsiTheme="majorBidi" w:cstheme="majorBidi"/>
                <w:noProof/>
              </w:rPr>
            </w:pPr>
            <w:r w:rsidRPr="00E70EF0">
              <w:rPr>
                <w:rFonts w:asciiTheme="majorBidi" w:hAnsiTheme="majorBidi" w:cstheme="majorBidi"/>
                <w:sz w:val="24"/>
                <w:szCs w:val="24"/>
                <w:lang w:bidi="ar-EG"/>
              </w:rPr>
              <w:t>Agree</w:t>
            </w:r>
          </w:p>
        </w:tc>
        <w:tc>
          <w:tcPr>
            <w:tcW w:w="803" w:type="dxa"/>
            <w:vMerge w:val="restart"/>
          </w:tcPr>
          <w:p w14:paraId="6CE030C5" w14:textId="77777777" w:rsidR="00727513" w:rsidRDefault="00727513" w:rsidP="00727513">
            <w:pPr>
              <w:bidi w:val="0"/>
              <w:rPr>
                <w:rFonts w:asciiTheme="majorBidi" w:hAnsiTheme="majorBidi" w:cstheme="majorBidi"/>
                <w:noProof/>
              </w:rPr>
            </w:pPr>
            <w:r w:rsidRPr="004C7273">
              <w:rPr>
                <w:rFonts w:asciiTheme="majorBidi" w:hAnsiTheme="majorBidi" w:cstheme="majorBidi"/>
                <w:sz w:val="24"/>
                <w:szCs w:val="24"/>
                <w:lang w:bidi="ar-EG"/>
              </w:rPr>
              <w:t>Agree</w:t>
            </w:r>
          </w:p>
        </w:tc>
        <w:tc>
          <w:tcPr>
            <w:tcW w:w="1047" w:type="dxa"/>
          </w:tcPr>
          <w:p w14:paraId="6FBBDF83" w14:textId="77777777" w:rsidR="00727513" w:rsidRDefault="00727513" w:rsidP="00727513">
            <w:pPr>
              <w:bidi w:val="0"/>
              <w:rPr>
                <w:rFonts w:asciiTheme="majorBidi" w:hAnsiTheme="majorBidi" w:cstheme="majorBidi"/>
                <w:noProof/>
              </w:rPr>
            </w:pPr>
            <w:r w:rsidRPr="00933ABD">
              <w:rPr>
                <w:rFonts w:asciiTheme="majorBidi" w:hAnsiTheme="majorBidi" w:cstheme="majorBidi"/>
                <w:noProof/>
              </w:rPr>
              <w:t>High</w:t>
            </w:r>
          </w:p>
        </w:tc>
        <w:tc>
          <w:tcPr>
            <w:tcW w:w="941" w:type="dxa"/>
            <w:vMerge w:val="restart"/>
          </w:tcPr>
          <w:p w14:paraId="157A9ECD" w14:textId="77777777" w:rsidR="00727513" w:rsidRDefault="00727513" w:rsidP="00727513">
            <w:pPr>
              <w:bidi w:val="0"/>
              <w:rPr>
                <w:rFonts w:asciiTheme="majorBidi" w:hAnsiTheme="majorBidi" w:cstheme="majorBidi"/>
                <w:noProof/>
              </w:rPr>
            </w:pPr>
            <w:r w:rsidRPr="00901671">
              <w:rPr>
                <w:rFonts w:asciiTheme="majorBidi" w:hAnsiTheme="majorBidi" w:cstheme="majorBidi"/>
                <w:noProof/>
              </w:rPr>
              <w:t>High</w:t>
            </w:r>
          </w:p>
        </w:tc>
      </w:tr>
      <w:tr w:rsidR="00727513" w14:paraId="3C6AB2A8" w14:textId="77777777" w:rsidTr="00727513">
        <w:tc>
          <w:tcPr>
            <w:tcW w:w="1447" w:type="dxa"/>
            <w:vMerge/>
          </w:tcPr>
          <w:p w14:paraId="334097E1" w14:textId="77777777" w:rsidR="00727513" w:rsidRDefault="00727513" w:rsidP="00727513">
            <w:pPr>
              <w:bidi w:val="0"/>
              <w:rPr>
                <w:rFonts w:asciiTheme="majorBidi" w:hAnsiTheme="majorBidi" w:cstheme="majorBidi"/>
                <w:noProof/>
              </w:rPr>
            </w:pPr>
          </w:p>
        </w:tc>
        <w:tc>
          <w:tcPr>
            <w:tcW w:w="1505" w:type="dxa"/>
            <w:vAlign w:val="center"/>
          </w:tcPr>
          <w:p w14:paraId="500F653C" w14:textId="77777777" w:rsidR="00727513" w:rsidRDefault="00727513" w:rsidP="00727513">
            <w:pPr>
              <w:bidi w:val="0"/>
              <w:rPr>
                <w:rFonts w:asciiTheme="majorBidi" w:hAnsiTheme="majorBidi" w:cstheme="majorBidi"/>
                <w:noProof/>
              </w:rPr>
            </w:pPr>
            <w:r w:rsidRPr="00855B76">
              <w:rPr>
                <w:rFonts w:asciiTheme="majorBidi" w:hAnsiTheme="majorBidi" w:cstheme="majorBidi"/>
                <w:sz w:val="24"/>
                <w:szCs w:val="24"/>
                <w:lang w:bidi="ar-EG"/>
              </w:rPr>
              <w:t>Pricing</w:t>
            </w:r>
          </w:p>
        </w:tc>
        <w:tc>
          <w:tcPr>
            <w:tcW w:w="1044" w:type="dxa"/>
          </w:tcPr>
          <w:p w14:paraId="79AB881C" w14:textId="059963AA" w:rsidR="00727513" w:rsidRPr="003540B9" w:rsidRDefault="00727513" w:rsidP="00727513">
            <w:pPr>
              <w:bidi w:val="0"/>
              <w:rPr>
                <w:rFonts w:ascii="Arial" w:hAnsi="Arial" w:cs="Arial"/>
                <w:color w:val="000000"/>
                <w:sz w:val="20"/>
                <w:szCs w:val="20"/>
              </w:rPr>
            </w:pPr>
            <w:r w:rsidRPr="00DC20E5">
              <w:t>3.44</w:t>
            </w:r>
          </w:p>
        </w:tc>
        <w:tc>
          <w:tcPr>
            <w:tcW w:w="1051" w:type="dxa"/>
            <w:vMerge/>
          </w:tcPr>
          <w:p w14:paraId="449187CB" w14:textId="77777777" w:rsidR="00727513" w:rsidRDefault="00727513" w:rsidP="00727513">
            <w:pPr>
              <w:bidi w:val="0"/>
              <w:rPr>
                <w:rFonts w:asciiTheme="majorBidi" w:hAnsiTheme="majorBidi" w:cstheme="majorBidi"/>
                <w:noProof/>
              </w:rPr>
            </w:pPr>
          </w:p>
        </w:tc>
        <w:tc>
          <w:tcPr>
            <w:tcW w:w="830" w:type="dxa"/>
          </w:tcPr>
          <w:p w14:paraId="1E1346B2" w14:textId="79241436" w:rsidR="00727513" w:rsidRPr="0041259A" w:rsidRDefault="00727513" w:rsidP="00727513">
            <w:pPr>
              <w:bidi w:val="0"/>
              <w:rPr>
                <w:rFonts w:ascii="Arial" w:hAnsi="Arial" w:cs="Arial"/>
                <w:color w:val="000000"/>
                <w:sz w:val="20"/>
                <w:szCs w:val="20"/>
              </w:rPr>
            </w:pPr>
            <w:r w:rsidRPr="00067D17">
              <w:t>0.9615</w:t>
            </w:r>
          </w:p>
        </w:tc>
        <w:tc>
          <w:tcPr>
            <w:tcW w:w="1051" w:type="dxa"/>
            <w:vMerge/>
          </w:tcPr>
          <w:p w14:paraId="648BED3C" w14:textId="77777777" w:rsidR="00727513" w:rsidRDefault="00727513" w:rsidP="00727513">
            <w:pPr>
              <w:bidi w:val="0"/>
              <w:rPr>
                <w:rFonts w:asciiTheme="majorBidi" w:hAnsiTheme="majorBidi" w:cstheme="majorBidi"/>
                <w:noProof/>
              </w:rPr>
            </w:pPr>
          </w:p>
        </w:tc>
        <w:tc>
          <w:tcPr>
            <w:tcW w:w="803" w:type="dxa"/>
          </w:tcPr>
          <w:p w14:paraId="6718F714" w14:textId="77777777" w:rsidR="00727513" w:rsidRDefault="00727513" w:rsidP="00727513">
            <w:pPr>
              <w:bidi w:val="0"/>
              <w:rPr>
                <w:rFonts w:asciiTheme="majorBidi" w:hAnsiTheme="majorBidi" w:cstheme="majorBidi"/>
                <w:noProof/>
              </w:rPr>
            </w:pPr>
            <w:r w:rsidRPr="00E70EF0">
              <w:rPr>
                <w:rFonts w:asciiTheme="majorBidi" w:hAnsiTheme="majorBidi" w:cstheme="majorBidi"/>
                <w:sz w:val="24"/>
                <w:szCs w:val="24"/>
                <w:lang w:bidi="ar-EG"/>
              </w:rPr>
              <w:t>Agree</w:t>
            </w:r>
          </w:p>
        </w:tc>
        <w:tc>
          <w:tcPr>
            <w:tcW w:w="803" w:type="dxa"/>
            <w:vMerge/>
          </w:tcPr>
          <w:p w14:paraId="43CBA3C4" w14:textId="77777777" w:rsidR="00727513" w:rsidRDefault="00727513" w:rsidP="00727513">
            <w:pPr>
              <w:bidi w:val="0"/>
              <w:rPr>
                <w:rFonts w:asciiTheme="majorBidi" w:hAnsiTheme="majorBidi" w:cstheme="majorBidi"/>
                <w:noProof/>
              </w:rPr>
            </w:pPr>
          </w:p>
        </w:tc>
        <w:tc>
          <w:tcPr>
            <w:tcW w:w="1047" w:type="dxa"/>
          </w:tcPr>
          <w:p w14:paraId="76566673" w14:textId="77777777" w:rsidR="00727513" w:rsidRDefault="00727513" w:rsidP="00727513">
            <w:pPr>
              <w:bidi w:val="0"/>
              <w:rPr>
                <w:rFonts w:asciiTheme="majorBidi" w:hAnsiTheme="majorBidi" w:cstheme="majorBidi"/>
                <w:noProof/>
              </w:rPr>
            </w:pPr>
            <w:r w:rsidRPr="00933ABD">
              <w:rPr>
                <w:rFonts w:asciiTheme="majorBidi" w:hAnsiTheme="majorBidi" w:cstheme="majorBidi"/>
                <w:noProof/>
              </w:rPr>
              <w:t>High</w:t>
            </w:r>
          </w:p>
        </w:tc>
        <w:tc>
          <w:tcPr>
            <w:tcW w:w="941" w:type="dxa"/>
            <w:vMerge/>
          </w:tcPr>
          <w:p w14:paraId="6BA53838" w14:textId="77777777" w:rsidR="00727513" w:rsidRDefault="00727513" w:rsidP="00727513">
            <w:pPr>
              <w:bidi w:val="0"/>
              <w:rPr>
                <w:rFonts w:asciiTheme="majorBidi" w:hAnsiTheme="majorBidi" w:cstheme="majorBidi"/>
                <w:noProof/>
              </w:rPr>
            </w:pPr>
          </w:p>
        </w:tc>
      </w:tr>
      <w:tr w:rsidR="00727513" w14:paraId="69D0659E" w14:textId="77777777" w:rsidTr="00727513">
        <w:tc>
          <w:tcPr>
            <w:tcW w:w="1447" w:type="dxa"/>
            <w:vMerge/>
          </w:tcPr>
          <w:p w14:paraId="6454A9AD" w14:textId="77777777" w:rsidR="00727513" w:rsidRDefault="00727513" w:rsidP="00727513">
            <w:pPr>
              <w:bidi w:val="0"/>
              <w:rPr>
                <w:rFonts w:asciiTheme="majorBidi" w:hAnsiTheme="majorBidi" w:cstheme="majorBidi"/>
                <w:noProof/>
              </w:rPr>
            </w:pPr>
          </w:p>
        </w:tc>
        <w:tc>
          <w:tcPr>
            <w:tcW w:w="1505" w:type="dxa"/>
            <w:vAlign w:val="center"/>
          </w:tcPr>
          <w:p w14:paraId="1EFE391A" w14:textId="194CCFB3" w:rsidR="00727513" w:rsidRDefault="00727513" w:rsidP="00727513">
            <w:pPr>
              <w:bidi w:val="0"/>
              <w:rPr>
                <w:rFonts w:asciiTheme="majorBidi" w:hAnsiTheme="majorBidi" w:cstheme="majorBidi"/>
                <w:noProof/>
              </w:rPr>
            </w:pPr>
            <w:r w:rsidRPr="00110939">
              <w:rPr>
                <w:rFonts w:asciiTheme="majorBidi" w:hAnsiTheme="majorBidi" w:cstheme="majorBidi"/>
                <w:sz w:val="20"/>
                <w:szCs w:val="20"/>
                <w:lang w:bidi="ar-EG"/>
              </w:rPr>
              <w:t>Information Sharing &amp; Data Integration</w:t>
            </w:r>
          </w:p>
        </w:tc>
        <w:tc>
          <w:tcPr>
            <w:tcW w:w="1044" w:type="dxa"/>
          </w:tcPr>
          <w:p w14:paraId="19E15976" w14:textId="25F3A345" w:rsidR="00727513" w:rsidRPr="003540B9" w:rsidRDefault="00727513" w:rsidP="00727513">
            <w:pPr>
              <w:bidi w:val="0"/>
              <w:rPr>
                <w:rFonts w:ascii="Arial" w:hAnsi="Arial" w:cs="Arial"/>
                <w:color w:val="000000"/>
                <w:sz w:val="20"/>
                <w:szCs w:val="20"/>
              </w:rPr>
            </w:pPr>
            <w:r w:rsidRPr="00DC20E5">
              <w:t>3.425</w:t>
            </w:r>
          </w:p>
        </w:tc>
        <w:tc>
          <w:tcPr>
            <w:tcW w:w="1051" w:type="dxa"/>
            <w:vMerge/>
          </w:tcPr>
          <w:p w14:paraId="7531D47D" w14:textId="77777777" w:rsidR="00727513" w:rsidRDefault="00727513" w:rsidP="00727513">
            <w:pPr>
              <w:bidi w:val="0"/>
              <w:rPr>
                <w:rFonts w:asciiTheme="majorBidi" w:hAnsiTheme="majorBidi" w:cstheme="majorBidi"/>
                <w:noProof/>
              </w:rPr>
            </w:pPr>
          </w:p>
        </w:tc>
        <w:tc>
          <w:tcPr>
            <w:tcW w:w="830" w:type="dxa"/>
          </w:tcPr>
          <w:p w14:paraId="13B1AA56" w14:textId="3C0A3F0F" w:rsidR="00727513" w:rsidRPr="0041259A" w:rsidRDefault="00727513" w:rsidP="00727513">
            <w:pPr>
              <w:bidi w:val="0"/>
              <w:rPr>
                <w:rFonts w:ascii="Arial" w:hAnsi="Arial" w:cs="Arial"/>
                <w:color w:val="000000"/>
                <w:sz w:val="20"/>
                <w:szCs w:val="20"/>
              </w:rPr>
            </w:pPr>
            <w:r w:rsidRPr="00067D17">
              <w:t>0.9095</w:t>
            </w:r>
          </w:p>
        </w:tc>
        <w:tc>
          <w:tcPr>
            <w:tcW w:w="1051" w:type="dxa"/>
            <w:vMerge/>
          </w:tcPr>
          <w:p w14:paraId="21E06083" w14:textId="77777777" w:rsidR="00727513" w:rsidRDefault="00727513" w:rsidP="00727513">
            <w:pPr>
              <w:bidi w:val="0"/>
              <w:rPr>
                <w:rFonts w:asciiTheme="majorBidi" w:hAnsiTheme="majorBidi" w:cstheme="majorBidi"/>
                <w:noProof/>
              </w:rPr>
            </w:pPr>
          </w:p>
        </w:tc>
        <w:tc>
          <w:tcPr>
            <w:tcW w:w="803" w:type="dxa"/>
          </w:tcPr>
          <w:p w14:paraId="37E34F11" w14:textId="77777777" w:rsidR="00727513" w:rsidRDefault="00727513" w:rsidP="00727513">
            <w:pPr>
              <w:bidi w:val="0"/>
              <w:rPr>
                <w:rFonts w:asciiTheme="majorBidi" w:hAnsiTheme="majorBidi" w:cstheme="majorBidi"/>
                <w:noProof/>
              </w:rPr>
            </w:pPr>
            <w:r w:rsidRPr="00E70EF0">
              <w:rPr>
                <w:rFonts w:asciiTheme="majorBidi" w:hAnsiTheme="majorBidi" w:cstheme="majorBidi"/>
                <w:sz w:val="24"/>
                <w:szCs w:val="24"/>
                <w:lang w:bidi="ar-EG"/>
              </w:rPr>
              <w:t>Agree</w:t>
            </w:r>
          </w:p>
        </w:tc>
        <w:tc>
          <w:tcPr>
            <w:tcW w:w="803" w:type="dxa"/>
            <w:vMerge/>
          </w:tcPr>
          <w:p w14:paraId="265D11F9" w14:textId="77777777" w:rsidR="00727513" w:rsidRDefault="00727513" w:rsidP="00727513">
            <w:pPr>
              <w:bidi w:val="0"/>
              <w:rPr>
                <w:rFonts w:asciiTheme="majorBidi" w:hAnsiTheme="majorBidi" w:cstheme="majorBidi"/>
                <w:noProof/>
              </w:rPr>
            </w:pPr>
          </w:p>
        </w:tc>
        <w:tc>
          <w:tcPr>
            <w:tcW w:w="1047" w:type="dxa"/>
          </w:tcPr>
          <w:p w14:paraId="5B874C48" w14:textId="77777777" w:rsidR="00727513" w:rsidRDefault="00727513" w:rsidP="00727513">
            <w:pPr>
              <w:bidi w:val="0"/>
              <w:rPr>
                <w:rFonts w:asciiTheme="majorBidi" w:hAnsiTheme="majorBidi" w:cstheme="majorBidi"/>
                <w:noProof/>
              </w:rPr>
            </w:pPr>
            <w:r w:rsidRPr="00933ABD">
              <w:rPr>
                <w:rFonts w:asciiTheme="majorBidi" w:hAnsiTheme="majorBidi" w:cstheme="majorBidi"/>
                <w:noProof/>
              </w:rPr>
              <w:t>High</w:t>
            </w:r>
          </w:p>
        </w:tc>
        <w:tc>
          <w:tcPr>
            <w:tcW w:w="941" w:type="dxa"/>
            <w:vMerge/>
          </w:tcPr>
          <w:p w14:paraId="7086434A" w14:textId="77777777" w:rsidR="00727513" w:rsidRDefault="00727513" w:rsidP="00727513">
            <w:pPr>
              <w:bidi w:val="0"/>
              <w:rPr>
                <w:rFonts w:asciiTheme="majorBidi" w:hAnsiTheme="majorBidi" w:cstheme="majorBidi"/>
                <w:noProof/>
              </w:rPr>
            </w:pPr>
          </w:p>
        </w:tc>
      </w:tr>
      <w:tr w:rsidR="00727513" w14:paraId="0C84574A" w14:textId="77777777" w:rsidTr="00727513">
        <w:tc>
          <w:tcPr>
            <w:tcW w:w="1447" w:type="dxa"/>
            <w:vMerge/>
          </w:tcPr>
          <w:p w14:paraId="7AD7426D" w14:textId="77777777" w:rsidR="00727513" w:rsidRDefault="00727513" w:rsidP="00727513">
            <w:pPr>
              <w:bidi w:val="0"/>
              <w:rPr>
                <w:rFonts w:asciiTheme="majorBidi" w:hAnsiTheme="majorBidi" w:cstheme="majorBidi"/>
                <w:noProof/>
              </w:rPr>
            </w:pPr>
          </w:p>
        </w:tc>
        <w:tc>
          <w:tcPr>
            <w:tcW w:w="1505" w:type="dxa"/>
            <w:vAlign w:val="center"/>
          </w:tcPr>
          <w:p w14:paraId="2F1C3C3F" w14:textId="77777777" w:rsidR="00727513" w:rsidRDefault="00727513" w:rsidP="00727513">
            <w:pPr>
              <w:bidi w:val="0"/>
              <w:rPr>
                <w:rFonts w:asciiTheme="majorBidi" w:hAnsiTheme="majorBidi" w:cstheme="majorBidi"/>
                <w:noProof/>
              </w:rPr>
            </w:pPr>
            <w:r w:rsidRPr="00855B76">
              <w:rPr>
                <w:rFonts w:asciiTheme="majorBidi" w:hAnsiTheme="majorBidi" w:cstheme="majorBidi"/>
                <w:sz w:val="24"/>
                <w:szCs w:val="24"/>
                <w:lang w:bidi="ar-EG"/>
              </w:rPr>
              <w:t>Distribution</w:t>
            </w:r>
          </w:p>
        </w:tc>
        <w:tc>
          <w:tcPr>
            <w:tcW w:w="1044" w:type="dxa"/>
          </w:tcPr>
          <w:p w14:paraId="693FFF0C" w14:textId="27FFD343" w:rsidR="00727513" w:rsidRPr="003540B9" w:rsidRDefault="00727513" w:rsidP="00727513">
            <w:pPr>
              <w:bidi w:val="0"/>
              <w:rPr>
                <w:rFonts w:ascii="Arial" w:hAnsi="Arial" w:cs="Arial"/>
                <w:color w:val="000000"/>
                <w:sz w:val="20"/>
                <w:szCs w:val="20"/>
              </w:rPr>
            </w:pPr>
            <w:r w:rsidRPr="00DC20E5">
              <w:t>3.3</w:t>
            </w:r>
          </w:p>
        </w:tc>
        <w:tc>
          <w:tcPr>
            <w:tcW w:w="1051" w:type="dxa"/>
            <w:vMerge/>
          </w:tcPr>
          <w:p w14:paraId="5728581C" w14:textId="77777777" w:rsidR="00727513" w:rsidRDefault="00727513" w:rsidP="00727513">
            <w:pPr>
              <w:bidi w:val="0"/>
              <w:rPr>
                <w:rFonts w:asciiTheme="majorBidi" w:hAnsiTheme="majorBidi" w:cstheme="majorBidi"/>
                <w:noProof/>
              </w:rPr>
            </w:pPr>
          </w:p>
        </w:tc>
        <w:tc>
          <w:tcPr>
            <w:tcW w:w="830" w:type="dxa"/>
          </w:tcPr>
          <w:p w14:paraId="41C90177" w14:textId="616E44D9" w:rsidR="00727513" w:rsidRPr="0041259A" w:rsidRDefault="00727513" w:rsidP="00727513">
            <w:pPr>
              <w:bidi w:val="0"/>
              <w:rPr>
                <w:rFonts w:ascii="Arial" w:hAnsi="Arial" w:cs="Arial"/>
                <w:color w:val="000000"/>
                <w:sz w:val="20"/>
                <w:szCs w:val="20"/>
              </w:rPr>
            </w:pPr>
            <w:r w:rsidRPr="00067D17">
              <w:t>0.9705</w:t>
            </w:r>
          </w:p>
        </w:tc>
        <w:tc>
          <w:tcPr>
            <w:tcW w:w="1051" w:type="dxa"/>
            <w:vMerge/>
          </w:tcPr>
          <w:p w14:paraId="5749FD28" w14:textId="77777777" w:rsidR="00727513" w:rsidRDefault="00727513" w:rsidP="00727513">
            <w:pPr>
              <w:bidi w:val="0"/>
              <w:rPr>
                <w:rFonts w:asciiTheme="majorBidi" w:hAnsiTheme="majorBidi" w:cstheme="majorBidi"/>
                <w:noProof/>
              </w:rPr>
            </w:pPr>
          </w:p>
        </w:tc>
        <w:tc>
          <w:tcPr>
            <w:tcW w:w="803" w:type="dxa"/>
          </w:tcPr>
          <w:p w14:paraId="4C81D9F2" w14:textId="77777777" w:rsidR="00727513" w:rsidRDefault="00727513" w:rsidP="00727513">
            <w:pPr>
              <w:bidi w:val="0"/>
              <w:rPr>
                <w:rFonts w:asciiTheme="majorBidi" w:hAnsiTheme="majorBidi" w:cstheme="majorBidi"/>
                <w:noProof/>
              </w:rPr>
            </w:pPr>
            <w:r w:rsidRPr="00E70EF0">
              <w:rPr>
                <w:rFonts w:asciiTheme="majorBidi" w:hAnsiTheme="majorBidi" w:cstheme="majorBidi"/>
                <w:sz w:val="24"/>
                <w:szCs w:val="24"/>
                <w:lang w:bidi="ar-EG"/>
              </w:rPr>
              <w:t>Agree</w:t>
            </w:r>
          </w:p>
        </w:tc>
        <w:tc>
          <w:tcPr>
            <w:tcW w:w="803" w:type="dxa"/>
            <w:vMerge/>
          </w:tcPr>
          <w:p w14:paraId="2C9300C4" w14:textId="77777777" w:rsidR="00727513" w:rsidRDefault="00727513" w:rsidP="00727513">
            <w:pPr>
              <w:bidi w:val="0"/>
              <w:rPr>
                <w:rFonts w:asciiTheme="majorBidi" w:hAnsiTheme="majorBidi" w:cstheme="majorBidi"/>
                <w:noProof/>
              </w:rPr>
            </w:pPr>
          </w:p>
        </w:tc>
        <w:tc>
          <w:tcPr>
            <w:tcW w:w="1047" w:type="dxa"/>
          </w:tcPr>
          <w:p w14:paraId="1E912F9B" w14:textId="77777777" w:rsidR="00727513" w:rsidRDefault="00727513" w:rsidP="00727513">
            <w:pPr>
              <w:bidi w:val="0"/>
              <w:rPr>
                <w:rFonts w:asciiTheme="majorBidi" w:hAnsiTheme="majorBidi" w:cstheme="majorBidi"/>
                <w:noProof/>
              </w:rPr>
            </w:pPr>
            <w:r w:rsidRPr="00933ABD">
              <w:rPr>
                <w:rFonts w:asciiTheme="majorBidi" w:hAnsiTheme="majorBidi" w:cstheme="majorBidi"/>
                <w:noProof/>
              </w:rPr>
              <w:t>High</w:t>
            </w:r>
          </w:p>
        </w:tc>
        <w:tc>
          <w:tcPr>
            <w:tcW w:w="941" w:type="dxa"/>
            <w:vMerge/>
          </w:tcPr>
          <w:p w14:paraId="42DBFCF7" w14:textId="77777777" w:rsidR="00727513" w:rsidRDefault="00727513" w:rsidP="00727513">
            <w:pPr>
              <w:bidi w:val="0"/>
              <w:rPr>
                <w:rFonts w:asciiTheme="majorBidi" w:hAnsiTheme="majorBidi" w:cstheme="majorBidi"/>
                <w:noProof/>
              </w:rPr>
            </w:pPr>
          </w:p>
        </w:tc>
      </w:tr>
      <w:tr w:rsidR="004E041A" w14:paraId="6E8D4D2F" w14:textId="77777777" w:rsidTr="00447C39">
        <w:tc>
          <w:tcPr>
            <w:tcW w:w="10522" w:type="dxa"/>
            <w:gridSpan w:val="10"/>
            <w:shd w:val="clear" w:color="auto" w:fill="D9D9D9" w:themeFill="background1" w:themeFillShade="D9"/>
          </w:tcPr>
          <w:p w14:paraId="4C157744" w14:textId="77777777" w:rsidR="004E041A" w:rsidRDefault="004E041A" w:rsidP="004E041A">
            <w:pPr>
              <w:bidi w:val="0"/>
              <w:rPr>
                <w:rFonts w:asciiTheme="majorBidi" w:hAnsiTheme="majorBidi" w:cstheme="majorBidi"/>
                <w:noProof/>
              </w:rPr>
            </w:pPr>
          </w:p>
        </w:tc>
      </w:tr>
      <w:tr w:rsidR="00727513" w14:paraId="30B1BF96" w14:textId="77777777" w:rsidTr="00727513">
        <w:tc>
          <w:tcPr>
            <w:tcW w:w="1447" w:type="dxa"/>
            <w:vMerge w:val="restart"/>
            <w:vAlign w:val="center"/>
          </w:tcPr>
          <w:p w14:paraId="3DD6E9FA" w14:textId="6AF8F1DF" w:rsidR="00727513" w:rsidRDefault="00727513" w:rsidP="00727513">
            <w:pPr>
              <w:bidi w:val="0"/>
              <w:rPr>
                <w:rFonts w:asciiTheme="majorBidi" w:hAnsiTheme="majorBidi" w:cstheme="majorBidi"/>
                <w:noProof/>
              </w:rPr>
            </w:pPr>
            <w:r w:rsidRPr="00110939">
              <w:rPr>
                <w:rFonts w:asciiTheme="majorBidi" w:hAnsiTheme="majorBidi" w:cstheme="majorBidi"/>
                <w:color w:val="202124"/>
                <w:sz w:val="20"/>
                <w:szCs w:val="20"/>
              </w:rPr>
              <w:t>Risk Management Effectiveness</w:t>
            </w:r>
          </w:p>
        </w:tc>
        <w:tc>
          <w:tcPr>
            <w:tcW w:w="1505" w:type="dxa"/>
          </w:tcPr>
          <w:p w14:paraId="78DAF6DB" w14:textId="77777777" w:rsidR="00727513" w:rsidRDefault="00727513" w:rsidP="00727513">
            <w:pPr>
              <w:bidi w:val="0"/>
              <w:rPr>
                <w:rFonts w:asciiTheme="majorBidi" w:hAnsiTheme="majorBidi" w:cstheme="majorBidi"/>
                <w:noProof/>
              </w:rPr>
            </w:pPr>
            <w:r w:rsidRPr="00855B76">
              <w:rPr>
                <w:rFonts w:asciiTheme="majorBidi" w:hAnsiTheme="majorBidi" w:cstheme="majorBidi"/>
                <w:sz w:val="24"/>
                <w:szCs w:val="24"/>
                <w:lang w:val="en" w:bidi="ar-EG"/>
              </w:rPr>
              <w:t>Customer Experience</w:t>
            </w:r>
          </w:p>
        </w:tc>
        <w:tc>
          <w:tcPr>
            <w:tcW w:w="1044" w:type="dxa"/>
          </w:tcPr>
          <w:p w14:paraId="033D2400" w14:textId="1FEE06B9" w:rsidR="00727513" w:rsidRPr="003540B9" w:rsidRDefault="00727513" w:rsidP="00727513">
            <w:pPr>
              <w:bidi w:val="0"/>
              <w:rPr>
                <w:rFonts w:ascii="Arial" w:hAnsi="Arial" w:cs="Arial"/>
                <w:color w:val="000000"/>
                <w:sz w:val="20"/>
                <w:szCs w:val="20"/>
              </w:rPr>
            </w:pPr>
            <w:r w:rsidRPr="00CB69D3">
              <w:t>3.415</w:t>
            </w:r>
          </w:p>
        </w:tc>
        <w:tc>
          <w:tcPr>
            <w:tcW w:w="1051" w:type="dxa"/>
            <w:vMerge w:val="restart"/>
          </w:tcPr>
          <w:p w14:paraId="5D75D2E3" w14:textId="32FFA5C9" w:rsidR="00727513" w:rsidRPr="0041259A" w:rsidRDefault="00727513" w:rsidP="00727513">
            <w:pPr>
              <w:bidi w:val="0"/>
              <w:rPr>
                <w:rFonts w:ascii="Arial" w:hAnsi="Arial" w:cs="Arial"/>
                <w:color w:val="000000"/>
                <w:sz w:val="20"/>
                <w:szCs w:val="20"/>
                <w:rtl/>
              </w:rPr>
            </w:pPr>
            <w:r w:rsidRPr="004E041A">
              <w:rPr>
                <w:rFonts w:ascii="Arial" w:hAnsi="Arial" w:cs="Arial"/>
                <w:color w:val="000000"/>
                <w:sz w:val="20"/>
                <w:szCs w:val="20"/>
              </w:rPr>
              <w:t>3.403125</w:t>
            </w:r>
          </w:p>
        </w:tc>
        <w:tc>
          <w:tcPr>
            <w:tcW w:w="830" w:type="dxa"/>
          </w:tcPr>
          <w:p w14:paraId="0C283D5D" w14:textId="2D1563B2" w:rsidR="00727513" w:rsidRPr="0041259A" w:rsidRDefault="00727513" w:rsidP="00727513">
            <w:pPr>
              <w:bidi w:val="0"/>
              <w:rPr>
                <w:rFonts w:ascii="Arial" w:hAnsi="Arial" w:cs="Arial"/>
                <w:color w:val="000000"/>
                <w:sz w:val="20"/>
                <w:szCs w:val="20"/>
              </w:rPr>
            </w:pPr>
            <w:r w:rsidRPr="00D817F8">
              <w:t>0.9875</w:t>
            </w:r>
          </w:p>
        </w:tc>
        <w:tc>
          <w:tcPr>
            <w:tcW w:w="1051" w:type="dxa"/>
            <w:vMerge w:val="restart"/>
          </w:tcPr>
          <w:p w14:paraId="2A9A0365" w14:textId="7DD06F45" w:rsidR="00727513" w:rsidRDefault="00727513" w:rsidP="00727513">
            <w:pPr>
              <w:bidi w:val="0"/>
              <w:rPr>
                <w:rFonts w:asciiTheme="majorBidi" w:hAnsiTheme="majorBidi" w:cstheme="majorBidi"/>
                <w:noProof/>
              </w:rPr>
            </w:pPr>
            <w:r w:rsidRPr="00727513">
              <w:rPr>
                <w:rFonts w:ascii="Arial" w:hAnsi="Arial" w:cs="Arial"/>
                <w:color w:val="000000"/>
                <w:sz w:val="20"/>
                <w:szCs w:val="20"/>
              </w:rPr>
              <w:t>1.001625</w:t>
            </w:r>
          </w:p>
        </w:tc>
        <w:tc>
          <w:tcPr>
            <w:tcW w:w="803" w:type="dxa"/>
          </w:tcPr>
          <w:p w14:paraId="7180FE40" w14:textId="77777777" w:rsidR="00727513" w:rsidRDefault="00727513" w:rsidP="00727513">
            <w:pPr>
              <w:bidi w:val="0"/>
              <w:rPr>
                <w:rFonts w:asciiTheme="majorBidi" w:hAnsiTheme="majorBidi" w:cstheme="majorBidi"/>
                <w:noProof/>
              </w:rPr>
            </w:pPr>
            <w:r w:rsidRPr="00FE6597">
              <w:rPr>
                <w:rFonts w:asciiTheme="majorBidi" w:hAnsiTheme="majorBidi" w:cstheme="majorBidi"/>
                <w:sz w:val="24"/>
                <w:szCs w:val="24"/>
                <w:lang w:bidi="ar-EG"/>
              </w:rPr>
              <w:t>Agree</w:t>
            </w:r>
          </w:p>
        </w:tc>
        <w:tc>
          <w:tcPr>
            <w:tcW w:w="803" w:type="dxa"/>
            <w:vMerge w:val="restart"/>
          </w:tcPr>
          <w:p w14:paraId="7CA6BECE" w14:textId="77777777" w:rsidR="00727513" w:rsidRDefault="00727513" w:rsidP="00727513">
            <w:pPr>
              <w:bidi w:val="0"/>
              <w:rPr>
                <w:rFonts w:asciiTheme="majorBidi" w:hAnsiTheme="majorBidi" w:cstheme="majorBidi"/>
                <w:noProof/>
              </w:rPr>
            </w:pPr>
            <w:r w:rsidRPr="004C7273">
              <w:rPr>
                <w:rFonts w:asciiTheme="majorBidi" w:hAnsiTheme="majorBidi" w:cstheme="majorBidi"/>
                <w:sz w:val="24"/>
                <w:szCs w:val="24"/>
                <w:lang w:bidi="ar-EG"/>
              </w:rPr>
              <w:t>Agree</w:t>
            </w:r>
          </w:p>
        </w:tc>
        <w:tc>
          <w:tcPr>
            <w:tcW w:w="1047" w:type="dxa"/>
          </w:tcPr>
          <w:p w14:paraId="23F2D1DC" w14:textId="77777777" w:rsidR="00727513" w:rsidRDefault="00727513" w:rsidP="00727513">
            <w:pPr>
              <w:bidi w:val="0"/>
              <w:rPr>
                <w:rFonts w:asciiTheme="majorBidi" w:hAnsiTheme="majorBidi" w:cstheme="majorBidi"/>
                <w:noProof/>
              </w:rPr>
            </w:pPr>
            <w:r w:rsidRPr="002568B4">
              <w:rPr>
                <w:rFonts w:asciiTheme="majorBidi" w:hAnsiTheme="majorBidi" w:cstheme="majorBidi"/>
                <w:noProof/>
              </w:rPr>
              <w:t>High</w:t>
            </w:r>
          </w:p>
        </w:tc>
        <w:tc>
          <w:tcPr>
            <w:tcW w:w="941" w:type="dxa"/>
            <w:vMerge w:val="restart"/>
          </w:tcPr>
          <w:p w14:paraId="3569A37D" w14:textId="77777777" w:rsidR="00727513" w:rsidRDefault="00727513" w:rsidP="00727513">
            <w:pPr>
              <w:bidi w:val="0"/>
              <w:rPr>
                <w:rFonts w:asciiTheme="majorBidi" w:hAnsiTheme="majorBidi" w:cstheme="majorBidi"/>
                <w:noProof/>
              </w:rPr>
            </w:pPr>
            <w:r w:rsidRPr="00901671">
              <w:rPr>
                <w:rFonts w:asciiTheme="majorBidi" w:hAnsiTheme="majorBidi" w:cstheme="majorBidi"/>
                <w:noProof/>
              </w:rPr>
              <w:t>High</w:t>
            </w:r>
          </w:p>
        </w:tc>
      </w:tr>
      <w:tr w:rsidR="00727513" w14:paraId="54CD29FB" w14:textId="77777777" w:rsidTr="00727513">
        <w:tc>
          <w:tcPr>
            <w:tcW w:w="1447" w:type="dxa"/>
            <w:vMerge/>
          </w:tcPr>
          <w:p w14:paraId="2E0FBAC8" w14:textId="77777777" w:rsidR="00727513" w:rsidRDefault="00727513" w:rsidP="00727513">
            <w:pPr>
              <w:bidi w:val="0"/>
              <w:rPr>
                <w:rFonts w:asciiTheme="majorBidi" w:hAnsiTheme="majorBidi" w:cstheme="majorBidi"/>
                <w:noProof/>
              </w:rPr>
            </w:pPr>
          </w:p>
        </w:tc>
        <w:tc>
          <w:tcPr>
            <w:tcW w:w="1505" w:type="dxa"/>
          </w:tcPr>
          <w:p w14:paraId="2C7D439A" w14:textId="77777777" w:rsidR="00727513" w:rsidRDefault="00727513" w:rsidP="00727513">
            <w:pPr>
              <w:bidi w:val="0"/>
              <w:rPr>
                <w:rFonts w:asciiTheme="majorBidi" w:hAnsiTheme="majorBidi" w:cstheme="majorBidi"/>
                <w:noProof/>
              </w:rPr>
            </w:pPr>
            <w:r w:rsidRPr="00855B76">
              <w:rPr>
                <w:rFonts w:asciiTheme="majorBidi" w:hAnsiTheme="majorBidi" w:cstheme="majorBidi"/>
                <w:sz w:val="24"/>
                <w:szCs w:val="24"/>
                <w:lang w:val="en" w:bidi="ar-EG"/>
              </w:rPr>
              <w:t>Product Features</w:t>
            </w:r>
          </w:p>
        </w:tc>
        <w:tc>
          <w:tcPr>
            <w:tcW w:w="1044" w:type="dxa"/>
          </w:tcPr>
          <w:p w14:paraId="5C974695" w14:textId="43620CE1" w:rsidR="00727513" w:rsidRPr="003540B9" w:rsidRDefault="00727513" w:rsidP="00727513">
            <w:pPr>
              <w:bidi w:val="0"/>
              <w:rPr>
                <w:rFonts w:ascii="Arial" w:hAnsi="Arial" w:cs="Arial"/>
                <w:color w:val="000000"/>
                <w:sz w:val="20"/>
                <w:szCs w:val="20"/>
              </w:rPr>
            </w:pPr>
            <w:r w:rsidRPr="00CB69D3">
              <w:t>3.36</w:t>
            </w:r>
          </w:p>
        </w:tc>
        <w:tc>
          <w:tcPr>
            <w:tcW w:w="1051" w:type="dxa"/>
            <w:vMerge/>
          </w:tcPr>
          <w:p w14:paraId="327BA197" w14:textId="77777777" w:rsidR="00727513" w:rsidRPr="0041259A" w:rsidRDefault="00727513" w:rsidP="00727513">
            <w:pPr>
              <w:bidi w:val="0"/>
              <w:rPr>
                <w:rFonts w:ascii="Arial" w:hAnsi="Arial" w:cs="Arial"/>
                <w:color w:val="000000"/>
                <w:sz w:val="20"/>
                <w:szCs w:val="20"/>
              </w:rPr>
            </w:pPr>
          </w:p>
        </w:tc>
        <w:tc>
          <w:tcPr>
            <w:tcW w:w="830" w:type="dxa"/>
          </w:tcPr>
          <w:p w14:paraId="4BF2E111" w14:textId="61F13EAA" w:rsidR="00727513" w:rsidRPr="0041259A" w:rsidRDefault="00727513" w:rsidP="00727513">
            <w:pPr>
              <w:bidi w:val="0"/>
              <w:rPr>
                <w:rFonts w:ascii="Arial" w:hAnsi="Arial" w:cs="Arial"/>
                <w:color w:val="000000"/>
                <w:sz w:val="20"/>
                <w:szCs w:val="20"/>
              </w:rPr>
            </w:pPr>
            <w:r w:rsidRPr="00D817F8">
              <w:t>1.005</w:t>
            </w:r>
          </w:p>
        </w:tc>
        <w:tc>
          <w:tcPr>
            <w:tcW w:w="1051" w:type="dxa"/>
            <w:vMerge/>
          </w:tcPr>
          <w:p w14:paraId="3FB12065" w14:textId="77777777" w:rsidR="00727513" w:rsidRDefault="00727513" w:rsidP="00727513">
            <w:pPr>
              <w:bidi w:val="0"/>
              <w:rPr>
                <w:rFonts w:asciiTheme="majorBidi" w:hAnsiTheme="majorBidi" w:cstheme="majorBidi"/>
                <w:noProof/>
              </w:rPr>
            </w:pPr>
          </w:p>
        </w:tc>
        <w:tc>
          <w:tcPr>
            <w:tcW w:w="803" w:type="dxa"/>
          </w:tcPr>
          <w:p w14:paraId="093486A8" w14:textId="77777777" w:rsidR="00727513" w:rsidRDefault="00727513" w:rsidP="00727513">
            <w:pPr>
              <w:bidi w:val="0"/>
              <w:rPr>
                <w:rFonts w:asciiTheme="majorBidi" w:hAnsiTheme="majorBidi" w:cstheme="majorBidi"/>
                <w:noProof/>
              </w:rPr>
            </w:pPr>
            <w:r w:rsidRPr="00FE6597">
              <w:rPr>
                <w:rFonts w:asciiTheme="majorBidi" w:hAnsiTheme="majorBidi" w:cstheme="majorBidi"/>
                <w:sz w:val="24"/>
                <w:szCs w:val="24"/>
                <w:lang w:bidi="ar-EG"/>
              </w:rPr>
              <w:t>Agree</w:t>
            </w:r>
          </w:p>
        </w:tc>
        <w:tc>
          <w:tcPr>
            <w:tcW w:w="803" w:type="dxa"/>
            <w:vMerge/>
          </w:tcPr>
          <w:p w14:paraId="3F1E84D7" w14:textId="77777777" w:rsidR="00727513" w:rsidRDefault="00727513" w:rsidP="00727513">
            <w:pPr>
              <w:bidi w:val="0"/>
              <w:rPr>
                <w:rFonts w:asciiTheme="majorBidi" w:hAnsiTheme="majorBidi" w:cstheme="majorBidi"/>
                <w:noProof/>
              </w:rPr>
            </w:pPr>
          </w:p>
        </w:tc>
        <w:tc>
          <w:tcPr>
            <w:tcW w:w="1047" w:type="dxa"/>
          </w:tcPr>
          <w:p w14:paraId="10DB1396" w14:textId="77777777" w:rsidR="00727513" w:rsidRDefault="00727513" w:rsidP="00727513">
            <w:pPr>
              <w:bidi w:val="0"/>
              <w:rPr>
                <w:rFonts w:asciiTheme="majorBidi" w:hAnsiTheme="majorBidi" w:cstheme="majorBidi"/>
                <w:noProof/>
              </w:rPr>
            </w:pPr>
            <w:r w:rsidRPr="002568B4">
              <w:rPr>
                <w:rFonts w:asciiTheme="majorBidi" w:hAnsiTheme="majorBidi" w:cstheme="majorBidi"/>
                <w:noProof/>
              </w:rPr>
              <w:t>High</w:t>
            </w:r>
          </w:p>
        </w:tc>
        <w:tc>
          <w:tcPr>
            <w:tcW w:w="941" w:type="dxa"/>
            <w:vMerge/>
          </w:tcPr>
          <w:p w14:paraId="3F8B0F0D" w14:textId="77777777" w:rsidR="00727513" w:rsidRDefault="00727513" w:rsidP="00727513">
            <w:pPr>
              <w:bidi w:val="0"/>
              <w:rPr>
                <w:rFonts w:asciiTheme="majorBidi" w:hAnsiTheme="majorBidi" w:cstheme="majorBidi"/>
                <w:noProof/>
              </w:rPr>
            </w:pPr>
          </w:p>
        </w:tc>
      </w:tr>
      <w:tr w:rsidR="00727513" w14:paraId="48610F29" w14:textId="77777777" w:rsidTr="00727513">
        <w:tc>
          <w:tcPr>
            <w:tcW w:w="1447" w:type="dxa"/>
            <w:vMerge/>
          </w:tcPr>
          <w:p w14:paraId="5DD06E3B" w14:textId="77777777" w:rsidR="00727513" w:rsidRDefault="00727513" w:rsidP="00727513">
            <w:pPr>
              <w:bidi w:val="0"/>
              <w:rPr>
                <w:rFonts w:asciiTheme="majorBidi" w:hAnsiTheme="majorBidi" w:cstheme="majorBidi"/>
                <w:noProof/>
              </w:rPr>
            </w:pPr>
          </w:p>
        </w:tc>
        <w:tc>
          <w:tcPr>
            <w:tcW w:w="1505" w:type="dxa"/>
          </w:tcPr>
          <w:p w14:paraId="2021A46D" w14:textId="77777777" w:rsidR="00727513" w:rsidRDefault="00727513" w:rsidP="00727513">
            <w:pPr>
              <w:bidi w:val="0"/>
              <w:rPr>
                <w:rFonts w:asciiTheme="majorBidi" w:hAnsiTheme="majorBidi" w:cstheme="majorBidi"/>
                <w:noProof/>
              </w:rPr>
            </w:pPr>
            <w:bookmarkStart w:id="191" w:name="_Hlk174584652"/>
            <w:r w:rsidRPr="00855B76">
              <w:rPr>
                <w:rFonts w:asciiTheme="majorBidi" w:hAnsiTheme="majorBidi" w:cstheme="majorBidi"/>
                <w:sz w:val="24"/>
                <w:szCs w:val="24"/>
                <w:lang w:bidi="ar-EG"/>
              </w:rPr>
              <w:t>Design</w:t>
            </w:r>
            <w:bookmarkEnd w:id="191"/>
          </w:p>
        </w:tc>
        <w:tc>
          <w:tcPr>
            <w:tcW w:w="1044" w:type="dxa"/>
          </w:tcPr>
          <w:p w14:paraId="45ADBF04" w14:textId="225724DB" w:rsidR="00727513" w:rsidRPr="003540B9" w:rsidRDefault="00727513" w:rsidP="00727513">
            <w:pPr>
              <w:bidi w:val="0"/>
              <w:rPr>
                <w:rFonts w:ascii="Arial" w:hAnsi="Arial" w:cs="Arial"/>
                <w:color w:val="000000"/>
                <w:sz w:val="20"/>
                <w:szCs w:val="20"/>
              </w:rPr>
            </w:pPr>
            <w:r w:rsidRPr="00CB69D3">
              <w:t>3.3875</w:t>
            </w:r>
          </w:p>
        </w:tc>
        <w:tc>
          <w:tcPr>
            <w:tcW w:w="1051" w:type="dxa"/>
            <w:vMerge/>
          </w:tcPr>
          <w:p w14:paraId="3585D8FE" w14:textId="77777777" w:rsidR="00727513" w:rsidRPr="0041259A" w:rsidRDefault="00727513" w:rsidP="00727513">
            <w:pPr>
              <w:bidi w:val="0"/>
              <w:rPr>
                <w:rFonts w:ascii="Arial" w:hAnsi="Arial" w:cs="Arial"/>
                <w:color w:val="000000"/>
                <w:sz w:val="20"/>
                <w:szCs w:val="20"/>
              </w:rPr>
            </w:pPr>
          </w:p>
        </w:tc>
        <w:tc>
          <w:tcPr>
            <w:tcW w:w="830" w:type="dxa"/>
          </w:tcPr>
          <w:p w14:paraId="6AE24843" w14:textId="6EC4CF65" w:rsidR="00727513" w:rsidRPr="0041259A" w:rsidRDefault="00727513" w:rsidP="00727513">
            <w:pPr>
              <w:bidi w:val="0"/>
              <w:rPr>
                <w:rFonts w:ascii="Arial" w:hAnsi="Arial" w:cs="Arial"/>
                <w:color w:val="000000"/>
                <w:sz w:val="20"/>
                <w:szCs w:val="20"/>
              </w:rPr>
            </w:pPr>
            <w:r w:rsidRPr="00D817F8">
              <w:t>0.9705</w:t>
            </w:r>
          </w:p>
        </w:tc>
        <w:tc>
          <w:tcPr>
            <w:tcW w:w="1051" w:type="dxa"/>
            <w:vMerge/>
          </w:tcPr>
          <w:p w14:paraId="05FB10D4" w14:textId="77777777" w:rsidR="00727513" w:rsidRDefault="00727513" w:rsidP="00727513">
            <w:pPr>
              <w:bidi w:val="0"/>
              <w:rPr>
                <w:rFonts w:asciiTheme="majorBidi" w:hAnsiTheme="majorBidi" w:cstheme="majorBidi"/>
                <w:noProof/>
              </w:rPr>
            </w:pPr>
          </w:p>
        </w:tc>
        <w:tc>
          <w:tcPr>
            <w:tcW w:w="803" w:type="dxa"/>
          </w:tcPr>
          <w:p w14:paraId="0BC14A71" w14:textId="77777777" w:rsidR="00727513" w:rsidRDefault="00727513" w:rsidP="00727513">
            <w:pPr>
              <w:bidi w:val="0"/>
              <w:rPr>
                <w:rFonts w:asciiTheme="majorBidi" w:hAnsiTheme="majorBidi" w:cstheme="majorBidi"/>
                <w:noProof/>
              </w:rPr>
            </w:pPr>
            <w:r w:rsidRPr="00FE6597">
              <w:rPr>
                <w:rFonts w:asciiTheme="majorBidi" w:hAnsiTheme="majorBidi" w:cstheme="majorBidi"/>
                <w:sz w:val="24"/>
                <w:szCs w:val="24"/>
                <w:lang w:bidi="ar-EG"/>
              </w:rPr>
              <w:t>Agree</w:t>
            </w:r>
          </w:p>
        </w:tc>
        <w:tc>
          <w:tcPr>
            <w:tcW w:w="803" w:type="dxa"/>
            <w:vMerge/>
          </w:tcPr>
          <w:p w14:paraId="11519816" w14:textId="77777777" w:rsidR="00727513" w:rsidRDefault="00727513" w:rsidP="00727513">
            <w:pPr>
              <w:bidi w:val="0"/>
              <w:rPr>
                <w:rFonts w:asciiTheme="majorBidi" w:hAnsiTheme="majorBidi" w:cstheme="majorBidi"/>
                <w:noProof/>
              </w:rPr>
            </w:pPr>
          </w:p>
        </w:tc>
        <w:tc>
          <w:tcPr>
            <w:tcW w:w="1047" w:type="dxa"/>
          </w:tcPr>
          <w:p w14:paraId="02443EF7" w14:textId="77777777" w:rsidR="00727513" w:rsidRDefault="00727513" w:rsidP="00727513">
            <w:pPr>
              <w:bidi w:val="0"/>
              <w:rPr>
                <w:rFonts w:asciiTheme="majorBidi" w:hAnsiTheme="majorBidi" w:cstheme="majorBidi"/>
                <w:noProof/>
              </w:rPr>
            </w:pPr>
            <w:r w:rsidRPr="002568B4">
              <w:rPr>
                <w:rFonts w:asciiTheme="majorBidi" w:hAnsiTheme="majorBidi" w:cstheme="majorBidi"/>
                <w:noProof/>
              </w:rPr>
              <w:t>High</w:t>
            </w:r>
          </w:p>
        </w:tc>
        <w:tc>
          <w:tcPr>
            <w:tcW w:w="941" w:type="dxa"/>
            <w:vMerge/>
          </w:tcPr>
          <w:p w14:paraId="0F303B56" w14:textId="77777777" w:rsidR="00727513" w:rsidRDefault="00727513" w:rsidP="00727513">
            <w:pPr>
              <w:bidi w:val="0"/>
              <w:rPr>
                <w:rFonts w:asciiTheme="majorBidi" w:hAnsiTheme="majorBidi" w:cstheme="majorBidi"/>
                <w:noProof/>
              </w:rPr>
            </w:pPr>
          </w:p>
        </w:tc>
      </w:tr>
      <w:tr w:rsidR="00727513" w14:paraId="6BCB5F22" w14:textId="77777777" w:rsidTr="00727513">
        <w:tc>
          <w:tcPr>
            <w:tcW w:w="1447" w:type="dxa"/>
            <w:vMerge/>
          </w:tcPr>
          <w:p w14:paraId="4E8F7C39" w14:textId="77777777" w:rsidR="00727513" w:rsidRDefault="00727513" w:rsidP="00727513">
            <w:pPr>
              <w:bidi w:val="0"/>
              <w:rPr>
                <w:rFonts w:asciiTheme="majorBidi" w:hAnsiTheme="majorBidi" w:cstheme="majorBidi"/>
                <w:noProof/>
              </w:rPr>
            </w:pPr>
          </w:p>
        </w:tc>
        <w:tc>
          <w:tcPr>
            <w:tcW w:w="1505" w:type="dxa"/>
          </w:tcPr>
          <w:p w14:paraId="719D78DC" w14:textId="77777777" w:rsidR="00727513" w:rsidRDefault="00727513" w:rsidP="00727513">
            <w:pPr>
              <w:bidi w:val="0"/>
              <w:rPr>
                <w:rFonts w:asciiTheme="majorBidi" w:hAnsiTheme="majorBidi" w:cstheme="majorBidi"/>
                <w:noProof/>
              </w:rPr>
            </w:pPr>
            <w:r w:rsidRPr="00855B76">
              <w:rPr>
                <w:rFonts w:asciiTheme="majorBidi" w:hAnsiTheme="majorBidi" w:cstheme="majorBidi"/>
                <w:sz w:val="24"/>
                <w:szCs w:val="24"/>
                <w:lang w:bidi="ar-EG"/>
              </w:rPr>
              <w:t>Functionality</w:t>
            </w:r>
          </w:p>
        </w:tc>
        <w:tc>
          <w:tcPr>
            <w:tcW w:w="1044" w:type="dxa"/>
          </w:tcPr>
          <w:p w14:paraId="41328E2D" w14:textId="660F6C06" w:rsidR="00727513" w:rsidRPr="003540B9" w:rsidRDefault="00727513" w:rsidP="00727513">
            <w:pPr>
              <w:bidi w:val="0"/>
              <w:rPr>
                <w:rFonts w:ascii="Arial" w:hAnsi="Arial" w:cs="Arial"/>
                <w:color w:val="000000"/>
                <w:sz w:val="20"/>
                <w:szCs w:val="20"/>
              </w:rPr>
            </w:pPr>
            <w:r w:rsidRPr="00CB69D3">
              <w:t>3.45</w:t>
            </w:r>
          </w:p>
        </w:tc>
        <w:tc>
          <w:tcPr>
            <w:tcW w:w="1051" w:type="dxa"/>
            <w:vMerge/>
          </w:tcPr>
          <w:p w14:paraId="4B8530BC" w14:textId="77777777" w:rsidR="00727513" w:rsidRPr="0041259A" w:rsidRDefault="00727513" w:rsidP="00727513">
            <w:pPr>
              <w:bidi w:val="0"/>
              <w:rPr>
                <w:rFonts w:ascii="Arial" w:hAnsi="Arial" w:cs="Arial"/>
                <w:color w:val="000000"/>
                <w:sz w:val="20"/>
                <w:szCs w:val="20"/>
              </w:rPr>
            </w:pPr>
          </w:p>
        </w:tc>
        <w:tc>
          <w:tcPr>
            <w:tcW w:w="830" w:type="dxa"/>
          </w:tcPr>
          <w:p w14:paraId="4FAB74B6" w14:textId="54352D52" w:rsidR="00727513" w:rsidRPr="0041259A" w:rsidRDefault="00727513" w:rsidP="00727513">
            <w:pPr>
              <w:bidi w:val="0"/>
              <w:rPr>
                <w:rFonts w:ascii="Arial" w:hAnsi="Arial" w:cs="Arial"/>
                <w:color w:val="000000"/>
                <w:sz w:val="20"/>
                <w:szCs w:val="20"/>
              </w:rPr>
            </w:pPr>
            <w:r w:rsidRPr="00D817F8">
              <w:t>1.0435</w:t>
            </w:r>
          </w:p>
        </w:tc>
        <w:tc>
          <w:tcPr>
            <w:tcW w:w="1051" w:type="dxa"/>
            <w:vMerge/>
          </w:tcPr>
          <w:p w14:paraId="7FA950D7" w14:textId="77777777" w:rsidR="00727513" w:rsidRDefault="00727513" w:rsidP="00727513">
            <w:pPr>
              <w:bidi w:val="0"/>
              <w:rPr>
                <w:rFonts w:asciiTheme="majorBidi" w:hAnsiTheme="majorBidi" w:cstheme="majorBidi"/>
                <w:noProof/>
              </w:rPr>
            </w:pPr>
          </w:p>
        </w:tc>
        <w:tc>
          <w:tcPr>
            <w:tcW w:w="803" w:type="dxa"/>
          </w:tcPr>
          <w:p w14:paraId="1D8F496F" w14:textId="77777777" w:rsidR="00727513" w:rsidRDefault="00727513" w:rsidP="00727513">
            <w:pPr>
              <w:bidi w:val="0"/>
              <w:rPr>
                <w:rFonts w:asciiTheme="majorBidi" w:hAnsiTheme="majorBidi" w:cstheme="majorBidi"/>
                <w:noProof/>
              </w:rPr>
            </w:pPr>
            <w:r w:rsidRPr="00FE6597">
              <w:rPr>
                <w:rFonts w:asciiTheme="majorBidi" w:hAnsiTheme="majorBidi" w:cstheme="majorBidi"/>
                <w:sz w:val="24"/>
                <w:szCs w:val="24"/>
                <w:lang w:bidi="ar-EG"/>
              </w:rPr>
              <w:t>Agree</w:t>
            </w:r>
          </w:p>
        </w:tc>
        <w:tc>
          <w:tcPr>
            <w:tcW w:w="803" w:type="dxa"/>
            <w:vMerge/>
          </w:tcPr>
          <w:p w14:paraId="1D00EE95" w14:textId="77777777" w:rsidR="00727513" w:rsidRDefault="00727513" w:rsidP="00727513">
            <w:pPr>
              <w:bidi w:val="0"/>
              <w:rPr>
                <w:rFonts w:asciiTheme="majorBidi" w:hAnsiTheme="majorBidi" w:cstheme="majorBidi"/>
                <w:noProof/>
              </w:rPr>
            </w:pPr>
          </w:p>
        </w:tc>
        <w:tc>
          <w:tcPr>
            <w:tcW w:w="1047" w:type="dxa"/>
          </w:tcPr>
          <w:p w14:paraId="47CD9A01" w14:textId="77777777" w:rsidR="00727513" w:rsidRDefault="00727513" w:rsidP="00727513">
            <w:pPr>
              <w:bidi w:val="0"/>
              <w:rPr>
                <w:rFonts w:asciiTheme="majorBidi" w:hAnsiTheme="majorBidi" w:cstheme="majorBidi"/>
                <w:noProof/>
              </w:rPr>
            </w:pPr>
            <w:r w:rsidRPr="002568B4">
              <w:rPr>
                <w:rFonts w:asciiTheme="majorBidi" w:hAnsiTheme="majorBidi" w:cstheme="majorBidi"/>
                <w:noProof/>
              </w:rPr>
              <w:t>High</w:t>
            </w:r>
          </w:p>
        </w:tc>
        <w:tc>
          <w:tcPr>
            <w:tcW w:w="941" w:type="dxa"/>
            <w:vMerge/>
          </w:tcPr>
          <w:p w14:paraId="3599E3F8" w14:textId="77777777" w:rsidR="00727513" w:rsidRDefault="00727513" w:rsidP="00727513">
            <w:pPr>
              <w:bidi w:val="0"/>
              <w:rPr>
                <w:rFonts w:asciiTheme="majorBidi" w:hAnsiTheme="majorBidi" w:cstheme="majorBidi"/>
                <w:noProof/>
              </w:rPr>
            </w:pPr>
          </w:p>
        </w:tc>
      </w:tr>
    </w:tbl>
    <w:p w14:paraId="5D4C119A" w14:textId="77777777" w:rsidR="00186E79" w:rsidRPr="00186E79" w:rsidRDefault="00186E79" w:rsidP="00186E79">
      <w:pPr>
        <w:bidi w:val="0"/>
        <w:rPr>
          <w:rFonts w:asciiTheme="majorBidi" w:hAnsiTheme="majorBidi" w:cstheme="majorBidi"/>
          <w:noProof/>
        </w:rPr>
      </w:pPr>
    </w:p>
    <w:p w14:paraId="7EC85AA1" w14:textId="781874F7" w:rsidR="00727513" w:rsidRPr="00186E79" w:rsidRDefault="00727513" w:rsidP="002E6F27">
      <w:pPr>
        <w:pStyle w:val="a5"/>
        <w:numPr>
          <w:ilvl w:val="0"/>
          <w:numId w:val="79"/>
        </w:numPr>
        <w:bidi w:val="0"/>
        <w:spacing w:after="0" w:line="240" w:lineRule="auto"/>
        <w:rPr>
          <w:rFonts w:asciiTheme="majorBidi" w:hAnsiTheme="majorBidi" w:cstheme="majorBidi"/>
          <w:noProof/>
        </w:rPr>
      </w:pPr>
      <w:r w:rsidRPr="00186E79">
        <w:rPr>
          <w:rFonts w:asciiTheme="majorBidi" w:hAnsiTheme="majorBidi" w:cstheme="majorBidi"/>
          <w:noProof/>
        </w:rPr>
        <w:t>The independent variable Functional relationship between Account Managers and Sales Teams</w:t>
      </w:r>
    </w:p>
    <w:p w14:paraId="3C0C8956" w14:textId="77777777" w:rsidR="00186E79" w:rsidRPr="00186E79" w:rsidRDefault="00186E79" w:rsidP="00186E79">
      <w:pPr>
        <w:bidi w:val="0"/>
        <w:rPr>
          <w:rFonts w:asciiTheme="majorBidi" w:hAnsiTheme="majorBidi" w:cstheme="majorBidi"/>
          <w:noProof/>
          <w:sz w:val="24"/>
          <w:szCs w:val="24"/>
        </w:rPr>
      </w:pPr>
      <w:r w:rsidRPr="00186E79">
        <w:rPr>
          <w:rFonts w:asciiTheme="majorBidi" w:hAnsiTheme="majorBidi" w:cstheme="majorBidi"/>
          <w:noProof/>
          <w:sz w:val="24"/>
          <w:szCs w:val="24"/>
        </w:rPr>
        <w:t>The results show that the study sample expressed high agreement with the practices represented in this construct. The overall mean for the functional relationship was 3.40125 with a standard deviation = 0.9925, indicating a generally positive trend among respondents.</w:t>
      </w:r>
      <w:r w:rsidRPr="00186E79">
        <w:rPr>
          <w:rFonts w:asciiTheme="majorBidi" w:hAnsiTheme="majorBidi" w:cstheme="majorBidi"/>
          <w:noProof/>
          <w:sz w:val="24"/>
          <w:szCs w:val="24"/>
        </w:rPr>
        <w:br/>
        <w:t>Examining the dimensions, the data revealed:</w:t>
      </w:r>
    </w:p>
    <w:p w14:paraId="47FD6B74" w14:textId="77777777" w:rsidR="00186E79" w:rsidRPr="00186E79" w:rsidRDefault="00186E79" w:rsidP="002E6F27">
      <w:pPr>
        <w:pStyle w:val="a5"/>
        <w:numPr>
          <w:ilvl w:val="0"/>
          <w:numId w:val="80"/>
        </w:numPr>
        <w:bidi w:val="0"/>
        <w:rPr>
          <w:rFonts w:asciiTheme="majorBidi" w:hAnsiTheme="majorBidi" w:cstheme="majorBidi"/>
          <w:noProof/>
          <w:sz w:val="24"/>
          <w:szCs w:val="24"/>
        </w:rPr>
      </w:pPr>
      <w:r w:rsidRPr="00186E79">
        <w:rPr>
          <w:rFonts w:asciiTheme="majorBidi" w:hAnsiTheme="majorBidi" w:cstheme="majorBidi"/>
          <w:noProof/>
          <w:sz w:val="24"/>
          <w:szCs w:val="24"/>
        </w:rPr>
        <w:t>Communication Quality &amp; Cadence: mean 3.44, SD 0.9585, suggesting clear and timely exchanges that support day-to-day coordination.</w:t>
      </w:r>
    </w:p>
    <w:p w14:paraId="6010185B" w14:textId="77777777" w:rsidR="00186E79" w:rsidRPr="00186E79" w:rsidRDefault="00186E79" w:rsidP="002E6F27">
      <w:pPr>
        <w:pStyle w:val="a5"/>
        <w:numPr>
          <w:ilvl w:val="0"/>
          <w:numId w:val="80"/>
        </w:numPr>
        <w:bidi w:val="0"/>
        <w:rPr>
          <w:rFonts w:asciiTheme="majorBidi" w:hAnsiTheme="majorBidi" w:cstheme="majorBidi"/>
          <w:noProof/>
          <w:sz w:val="24"/>
          <w:szCs w:val="24"/>
        </w:rPr>
      </w:pPr>
      <w:r w:rsidRPr="00186E79">
        <w:rPr>
          <w:rFonts w:asciiTheme="majorBidi" w:hAnsiTheme="majorBidi" w:cstheme="majorBidi"/>
          <w:noProof/>
          <w:sz w:val="24"/>
          <w:szCs w:val="24"/>
        </w:rPr>
        <w:t>Pricing (as operationalized in the toolset of joint commercial routines): mean 3.44, SD 0.9615, indicating strong alignment in price-related decisions between teams.</w:t>
      </w:r>
    </w:p>
    <w:p w14:paraId="64834561" w14:textId="77777777" w:rsidR="00186E79" w:rsidRPr="00186E79" w:rsidRDefault="00186E79" w:rsidP="002E6F27">
      <w:pPr>
        <w:pStyle w:val="a5"/>
        <w:numPr>
          <w:ilvl w:val="0"/>
          <w:numId w:val="80"/>
        </w:numPr>
        <w:bidi w:val="0"/>
        <w:rPr>
          <w:rFonts w:asciiTheme="majorBidi" w:hAnsiTheme="majorBidi" w:cstheme="majorBidi"/>
          <w:noProof/>
          <w:sz w:val="24"/>
          <w:szCs w:val="24"/>
        </w:rPr>
      </w:pPr>
      <w:r w:rsidRPr="00186E79">
        <w:rPr>
          <w:rFonts w:asciiTheme="majorBidi" w:hAnsiTheme="majorBidi" w:cstheme="majorBidi"/>
          <w:noProof/>
          <w:sz w:val="24"/>
          <w:szCs w:val="24"/>
        </w:rPr>
        <w:t>Information Sharing &amp; Data Integration: mean 3.425, SD 0.9095, reflecting robust flows of customer/deal data and adequate systems integration.</w:t>
      </w:r>
    </w:p>
    <w:p w14:paraId="1B0990C7" w14:textId="794CE676" w:rsidR="00186E79" w:rsidRPr="00186E79" w:rsidRDefault="00186E79" w:rsidP="002E6F27">
      <w:pPr>
        <w:pStyle w:val="a5"/>
        <w:numPr>
          <w:ilvl w:val="0"/>
          <w:numId w:val="80"/>
        </w:numPr>
        <w:bidi w:val="0"/>
        <w:rPr>
          <w:rFonts w:asciiTheme="majorBidi" w:hAnsiTheme="majorBidi" w:cstheme="majorBidi"/>
          <w:noProof/>
          <w:sz w:val="24"/>
          <w:szCs w:val="24"/>
        </w:rPr>
      </w:pPr>
      <w:r w:rsidRPr="00186E79">
        <w:rPr>
          <w:rFonts w:asciiTheme="majorBidi" w:hAnsiTheme="majorBidi" w:cstheme="majorBidi"/>
          <w:noProof/>
          <w:sz w:val="24"/>
          <w:szCs w:val="24"/>
        </w:rPr>
        <w:t>Distribution (field execution/handoff routines): mean 3.30, SD 0.9705, showing a slightly lower</w:t>
      </w:r>
      <w:r w:rsidR="00B03C22">
        <w:rPr>
          <w:rFonts w:asciiTheme="majorBidi" w:hAnsiTheme="majorBidi" w:cstheme="majorBidi"/>
          <w:noProof/>
          <w:sz w:val="24"/>
          <w:szCs w:val="24"/>
        </w:rPr>
        <w:t>-</w:t>
      </w:r>
      <w:r w:rsidRPr="00186E79">
        <w:rPr>
          <w:rFonts w:asciiTheme="majorBidi" w:hAnsiTheme="majorBidi" w:cstheme="majorBidi"/>
          <w:noProof/>
          <w:sz w:val="24"/>
          <w:szCs w:val="24"/>
        </w:rPr>
        <w:t>yet still positive</w:t>
      </w:r>
      <w:r w:rsidR="00B03C22">
        <w:rPr>
          <w:rFonts w:asciiTheme="majorBidi" w:hAnsiTheme="majorBidi" w:cstheme="majorBidi"/>
          <w:noProof/>
          <w:sz w:val="24"/>
          <w:szCs w:val="24"/>
        </w:rPr>
        <w:t>-</w:t>
      </w:r>
      <w:r w:rsidRPr="00186E79">
        <w:rPr>
          <w:rFonts w:asciiTheme="majorBidi" w:hAnsiTheme="majorBidi" w:cstheme="majorBidi"/>
          <w:noProof/>
          <w:sz w:val="24"/>
          <w:szCs w:val="24"/>
        </w:rPr>
        <w:t>perception of downstream coordination.</w:t>
      </w:r>
    </w:p>
    <w:p w14:paraId="0537E0B4" w14:textId="77777777" w:rsidR="00186E79" w:rsidRPr="00186E79" w:rsidRDefault="00186E79" w:rsidP="002E6F27">
      <w:pPr>
        <w:pStyle w:val="a5"/>
        <w:numPr>
          <w:ilvl w:val="0"/>
          <w:numId w:val="82"/>
        </w:numPr>
        <w:bidi w:val="0"/>
        <w:rPr>
          <w:rFonts w:asciiTheme="majorBidi" w:hAnsiTheme="majorBidi" w:cstheme="majorBidi"/>
          <w:noProof/>
          <w:sz w:val="24"/>
          <w:szCs w:val="24"/>
        </w:rPr>
      </w:pPr>
      <w:r w:rsidRPr="00186E79">
        <w:rPr>
          <w:rFonts w:asciiTheme="majorBidi" w:hAnsiTheme="majorBidi" w:cstheme="majorBidi"/>
          <w:noProof/>
          <w:sz w:val="24"/>
          <w:szCs w:val="24"/>
        </w:rPr>
        <w:t>The dependent variable: Risk Management Effectiveness</w:t>
      </w:r>
    </w:p>
    <w:p w14:paraId="4BB41DA6" w14:textId="77777777" w:rsidR="00186E79" w:rsidRPr="00186E79" w:rsidRDefault="00186E79" w:rsidP="00186E79">
      <w:pPr>
        <w:bidi w:val="0"/>
        <w:rPr>
          <w:rFonts w:asciiTheme="majorBidi" w:hAnsiTheme="majorBidi" w:cstheme="majorBidi"/>
          <w:noProof/>
          <w:sz w:val="24"/>
          <w:szCs w:val="24"/>
        </w:rPr>
      </w:pPr>
      <w:r w:rsidRPr="00186E79">
        <w:rPr>
          <w:rFonts w:asciiTheme="majorBidi" w:hAnsiTheme="majorBidi" w:cstheme="majorBidi"/>
          <w:noProof/>
          <w:sz w:val="24"/>
          <w:szCs w:val="24"/>
        </w:rPr>
        <w:t>Findings indicate a favorable view of the bank’s risk practices overall. The total mean for risk management effectiveness was 3.403125 with a standard deviation = 0.9875, denoting a positive general tendency.</w:t>
      </w:r>
      <w:r w:rsidRPr="00186E79">
        <w:rPr>
          <w:rFonts w:asciiTheme="majorBidi" w:hAnsiTheme="majorBidi" w:cstheme="majorBidi"/>
          <w:noProof/>
          <w:sz w:val="24"/>
          <w:szCs w:val="24"/>
        </w:rPr>
        <w:br/>
        <w:t>By dimension:</w:t>
      </w:r>
    </w:p>
    <w:p w14:paraId="57E2555A" w14:textId="77777777" w:rsidR="00186E79" w:rsidRPr="00186E79" w:rsidRDefault="00186E79" w:rsidP="002E6F27">
      <w:pPr>
        <w:pStyle w:val="a5"/>
        <w:numPr>
          <w:ilvl w:val="0"/>
          <w:numId w:val="81"/>
        </w:numPr>
        <w:bidi w:val="0"/>
        <w:rPr>
          <w:rFonts w:asciiTheme="majorBidi" w:hAnsiTheme="majorBidi" w:cstheme="majorBidi"/>
          <w:noProof/>
          <w:sz w:val="24"/>
          <w:szCs w:val="24"/>
        </w:rPr>
      </w:pPr>
      <w:r w:rsidRPr="00186E79">
        <w:rPr>
          <w:rFonts w:asciiTheme="majorBidi" w:hAnsiTheme="majorBidi" w:cstheme="majorBidi"/>
          <w:noProof/>
          <w:sz w:val="24"/>
          <w:szCs w:val="24"/>
        </w:rPr>
        <w:t>Customer Experience / Early-stage controls: mean 3.415, SD 1.001625, suggesting sound onboarding, KYC/EDD depth, and early risk spotting.</w:t>
      </w:r>
    </w:p>
    <w:p w14:paraId="20F134B0" w14:textId="77777777" w:rsidR="00186E79" w:rsidRPr="00186E79" w:rsidRDefault="00186E79" w:rsidP="002E6F27">
      <w:pPr>
        <w:pStyle w:val="a5"/>
        <w:numPr>
          <w:ilvl w:val="0"/>
          <w:numId w:val="81"/>
        </w:numPr>
        <w:bidi w:val="0"/>
        <w:rPr>
          <w:rFonts w:asciiTheme="majorBidi" w:hAnsiTheme="majorBidi" w:cstheme="majorBidi"/>
          <w:noProof/>
          <w:sz w:val="24"/>
          <w:szCs w:val="24"/>
        </w:rPr>
      </w:pPr>
      <w:r w:rsidRPr="00186E79">
        <w:rPr>
          <w:rFonts w:asciiTheme="majorBidi" w:hAnsiTheme="majorBidi" w:cstheme="majorBidi"/>
          <w:noProof/>
          <w:sz w:val="24"/>
          <w:szCs w:val="24"/>
        </w:rPr>
        <w:t>Product Features / Credit Discipline &amp; Outcomes: mean 3.36, SD 1.005, indicating adherence to pricing/tenor/collateral policies with disciplined approvals.</w:t>
      </w:r>
    </w:p>
    <w:p w14:paraId="607F195B" w14:textId="77777777" w:rsidR="00186E79" w:rsidRPr="00186E79" w:rsidRDefault="00186E79" w:rsidP="002E6F27">
      <w:pPr>
        <w:pStyle w:val="a5"/>
        <w:numPr>
          <w:ilvl w:val="0"/>
          <w:numId w:val="81"/>
        </w:numPr>
        <w:bidi w:val="0"/>
        <w:rPr>
          <w:rFonts w:asciiTheme="majorBidi" w:hAnsiTheme="majorBidi" w:cstheme="majorBidi"/>
          <w:noProof/>
          <w:sz w:val="24"/>
          <w:szCs w:val="24"/>
        </w:rPr>
      </w:pPr>
      <w:r w:rsidRPr="00186E79">
        <w:rPr>
          <w:rFonts w:asciiTheme="majorBidi" w:hAnsiTheme="majorBidi" w:cstheme="majorBidi"/>
          <w:noProof/>
          <w:sz w:val="24"/>
          <w:szCs w:val="24"/>
        </w:rPr>
        <w:t>Design / Liquidity &amp; Market-Risk Fit at Origination: mean 3.3875, SD 0.9705, reflecting attention to funding costs and market-risk appetite at deal set-up.</w:t>
      </w:r>
    </w:p>
    <w:p w14:paraId="06FC9499" w14:textId="77777777" w:rsidR="00186E79" w:rsidRPr="00186E79" w:rsidRDefault="00186E79" w:rsidP="002E6F27">
      <w:pPr>
        <w:pStyle w:val="a5"/>
        <w:numPr>
          <w:ilvl w:val="0"/>
          <w:numId w:val="81"/>
        </w:numPr>
        <w:bidi w:val="0"/>
        <w:rPr>
          <w:rFonts w:asciiTheme="majorBidi" w:hAnsiTheme="majorBidi" w:cstheme="majorBidi"/>
          <w:noProof/>
          <w:sz w:val="24"/>
          <w:szCs w:val="24"/>
        </w:rPr>
      </w:pPr>
      <w:r w:rsidRPr="00186E79">
        <w:rPr>
          <w:rFonts w:asciiTheme="majorBidi" w:hAnsiTheme="majorBidi" w:cstheme="majorBidi"/>
          <w:noProof/>
          <w:sz w:val="24"/>
          <w:szCs w:val="24"/>
        </w:rPr>
        <w:t>Functionality / Operational Resilience &amp; Third-Party Risk Control: mean 3.45, SD 1.0435, pointing to resilient processes, systems, and vendor oversight.</w:t>
      </w:r>
    </w:p>
    <w:p w14:paraId="77CD5E5E" w14:textId="2C871B4B" w:rsidR="00671F1E" w:rsidRDefault="00671F1E" w:rsidP="00671F1E">
      <w:pPr>
        <w:pStyle w:val="2"/>
      </w:pPr>
      <w:bookmarkStart w:id="192" w:name="_Toc174813436"/>
      <w:bookmarkStart w:id="193" w:name="_Hlk174782082"/>
      <w:bookmarkStart w:id="194" w:name="_Toc214621203"/>
      <w:bookmarkStart w:id="195" w:name="_Hlk174805107"/>
      <w:r w:rsidRPr="003A1CA6">
        <w:t>Testing Hypotheses &amp; Findings Discussion</w:t>
      </w:r>
      <w:bookmarkEnd w:id="192"/>
      <w:bookmarkEnd w:id="193"/>
      <w:bookmarkEnd w:id="194"/>
    </w:p>
    <w:p w14:paraId="1CAA3828" w14:textId="77777777" w:rsidR="00671F1E" w:rsidRPr="00671F1E" w:rsidRDefault="00671F1E" w:rsidP="00671F1E">
      <w:pPr>
        <w:bidi w:val="0"/>
        <w:rPr>
          <w:rFonts w:asciiTheme="majorBidi" w:hAnsiTheme="majorBidi" w:cstheme="majorBidi"/>
          <w:sz w:val="24"/>
          <w:szCs w:val="24"/>
        </w:rPr>
      </w:pPr>
      <w:bookmarkStart w:id="196" w:name="_Hlk174782232"/>
      <w:r w:rsidRPr="00671F1E">
        <w:rPr>
          <w:rFonts w:asciiTheme="majorBidi" w:hAnsiTheme="majorBidi" w:cstheme="majorBidi"/>
          <w:sz w:val="24"/>
          <w:szCs w:val="24"/>
        </w:rPr>
        <w:t>The following table shows the linear correlation coefficients (Pearson) between the study variables, which were measured using the SPSS statistical software package (version 27).</w:t>
      </w:r>
    </w:p>
    <w:bookmarkEnd w:id="195"/>
    <w:bookmarkEnd w:id="196"/>
    <w:p w14:paraId="03A63CC8" w14:textId="77777777" w:rsidR="002A7418" w:rsidRPr="002A7418" w:rsidRDefault="002A7418" w:rsidP="002A7418">
      <w:pPr>
        <w:autoSpaceDE w:val="0"/>
        <w:autoSpaceDN w:val="0"/>
        <w:bidi w:val="0"/>
        <w:adjustRightInd w:val="0"/>
        <w:spacing w:after="0" w:line="240" w:lineRule="auto"/>
        <w:rPr>
          <w:rFonts w:ascii="Times New Roman" w:hAnsi="Times New Roman" w:cs="Times New Roman"/>
          <w:kern w:val="0"/>
          <w:sz w:val="24"/>
          <w:szCs w:val="24"/>
        </w:rPr>
      </w:pPr>
    </w:p>
    <w:p w14:paraId="34078990" w14:textId="0D3BE872" w:rsidR="00A71B53" w:rsidRDefault="00A71B53" w:rsidP="00A71B53">
      <w:pPr>
        <w:pStyle w:val="ad"/>
      </w:pPr>
      <w:bookmarkStart w:id="197" w:name="_Toc214622028"/>
      <w:r>
        <w:t xml:space="preserve">Table </w:t>
      </w:r>
      <w:r>
        <w:fldChar w:fldCharType="begin"/>
      </w:r>
      <w:r>
        <w:instrText xml:space="preserve"> SEQ Table \* ARABIC </w:instrText>
      </w:r>
      <w:r>
        <w:fldChar w:fldCharType="separate"/>
      </w:r>
      <w:r w:rsidR="00CD4CCF">
        <w:t>22</w:t>
      </w:r>
      <w:r>
        <w:fldChar w:fldCharType="end"/>
      </w:r>
      <w:r>
        <w:t xml:space="preserve">: </w:t>
      </w:r>
      <w:r w:rsidRPr="00444E90">
        <w:t>Pearson Correlation Between Information Sharing &amp; Data Integration and Credit Discipline &amp; Outcomes</w:t>
      </w:r>
      <w:bookmarkEnd w:id="197"/>
    </w:p>
    <w:tbl>
      <w:tblPr>
        <w:tblW w:w="6733" w:type="dxa"/>
        <w:jc w:val="center"/>
        <w:tblLayout w:type="fixed"/>
        <w:tblCellMar>
          <w:left w:w="0" w:type="dxa"/>
          <w:right w:w="0" w:type="dxa"/>
        </w:tblCellMar>
        <w:tblLook w:val="0000" w:firstRow="0" w:lastRow="0" w:firstColumn="0" w:lastColumn="0" w:noHBand="0" w:noVBand="0"/>
      </w:tblPr>
      <w:tblGrid>
        <w:gridCol w:w="1784"/>
        <w:gridCol w:w="1999"/>
        <w:gridCol w:w="1475"/>
        <w:gridCol w:w="1475"/>
      </w:tblGrid>
      <w:tr w:rsidR="002A7418" w:rsidRPr="002A7418" w14:paraId="2A8CA64B" w14:textId="77777777" w:rsidTr="002A7418">
        <w:trPr>
          <w:cantSplit/>
          <w:jc w:val="center"/>
        </w:trPr>
        <w:tc>
          <w:tcPr>
            <w:tcW w:w="6733" w:type="dxa"/>
            <w:gridSpan w:val="4"/>
            <w:tcBorders>
              <w:top w:val="nil"/>
              <w:left w:val="nil"/>
              <w:bottom w:val="nil"/>
              <w:right w:val="nil"/>
            </w:tcBorders>
            <w:shd w:val="clear" w:color="auto" w:fill="FFFFFF"/>
            <w:vAlign w:val="center"/>
          </w:tcPr>
          <w:p w14:paraId="1B7675A9" w14:textId="77777777" w:rsidR="002A7418" w:rsidRPr="002A7418" w:rsidRDefault="002A7418" w:rsidP="002A7418">
            <w:pPr>
              <w:autoSpaceDE w:val="0"/>
              <w:autoSpaceDN w:val="0"/>
              <w:bidi w:val="0"/>
              <w:adjustRightInd w:val="0"/>
              <w:spacing w:after="0" w:line="320" w:lineRule="atLeast"/>
              <w:ind w:left="60" w:right="60"/>
              <w:jc w:val="center"/>
              <w:rPr>
                <w:rFonts w:ascii="Arial" w:hAnsi="Arial" w:cs="Arial"/>
                <w:color w:val="010205"/>
                <w:kern w:val="0"/>
              </w:rPr>
            </w:pPr>
            <w:r w:rsidRPr="002A7418">
              <w:rPr>
                <w:rFonts w:ascii="Arial" w:hAnsi="Arial" w:cs="Arial"/>
                <w:b/>
                <w:bCs/>
                <w:color w:val="010205"/>
                <w:kern w:val="0"/>
              </w:rPr>
              <w:t>Correlations</w:t>
            </w:r>
          </w:p>
        </w:tc>
      </w:tr>
      <w:tr w:rsidR="002A7418" w:rsidRPr="002A7418" w14:paraId="3E326471" w14:textId="77777777" w:rsidTr="002A7418">
        <w:trPr>
          <w:cantSplit/>
          <w:jc w:val="center"/>
        </w:trPr>
        <w:tc>
          <w:tcPr>
            <w:tcW w:w="3783" w:type="dxa"/>
            <w:gridSpan w:val="2"/>
            <w:tcBorders>
              <w:top w:val="nil"/>
              <w:left w:val="nil"/>
              <w:bottom w:val="single" w:sz="8" w:space="0" w:color="152935"/>
              <w:right w:val="nil"/>
            </w:tcBorders>
            <w:shd w:val="clear" w:color="auto" w:fill="FFFFFF"/>
            <w:vAlign w:val="bottom"/>
          </w:tcPr>
          <w:p w14:paraId="70D4532D" w14:textId="77777777" w:rsidR="002A7418" w:rsidRPr="002A7418" w:rsidRDefault="002A7418" w:rsidP="002A7418">
            <w:pPr>
              <w:autoSpaceDE w:val="0"/>
              <w:autoSpaceDN w:val="0"/>
              <w:bidi w:val="0"/>
              <w:adjustRightInd w:val="0"/>
              <w:spacing w:after="0" w:line="240" w:lineRule="auto"/>
              <w:rPr>
                <w:rFonts w:ascii="Times New Roman" w:hAnsi="Times New Roman" w:cs="Times New Roman"/>
                <w:kern w:val="0"/>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1C87CD93" w14:textId="77777777" w:rsidR="002A7418" w:rsidRPr="002A7418" w:rsidRDefault="002A7418" w:rsidP="002A74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A7418">
              <w:rPr>
                <w:rFonts w:ascii="Arial" w:hAnsi="Arial" w:cs="Arial"/>
                <w:color w:val="264A60"/>
                <w:kern w:val="0"/>
                <w:sz w:val="18"/>
                <w:szCs w:val="18"/>
              </w:rPr>
              <w:t>Information_Data</w:t>
            </w:r>
          </w:p>
        </w:tc>
        <w:tc>
          <w:tcPr>
            <w:tcW w:w="1475" w:type="dxa"/>
            <w:tcBorders>
              <w:top w:val="nil"/>
              <w:left w:val="single" w:sz="8" w:space="0" w:color="E0E0E0"/>
              <w:bottom w:val="single" w:sz="8" w:space="0" w:color="152935"/>
              <w:right w:val="nil"/>
            </w:tcBorders>
            <w:shd w:val="clear" w:color="auto" w:fill="FFFFFF"/>
            <w:vAlign w:val="bottom"/>
          </w:tcPr>
          <w:p w14:paraId="20E64D5B" w14:textId="77777777" w:rsidR="002A7418" w:rsidRPr="002A7418" w:rsidRDefault="002A7418" w:rsidP="002A7418">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A7418">
              <w:rPr>
                <w:rFonts w:ascii="Arial" w:hAnsi="Arial" w:cs="Arial"/>
                <w:color w:val="264A60"/>
                <w:kern w:val="0"/>
                <w:sz w:val="18"/>
                <w:szCs w:val="18"/>
              </w:rPr>
              <w:t>Credit_Outcomes</w:t>
            </w:r>
          </w:p>
        </w:tc>
      </w:tr>
      <w:tr w:rsidR="002A7418" w:rsidRPr="002A7418" w14:paraId="23E934D0" w14:textId="77777777" w:rsidTr="002A7418">
        <w:trPr>
          <w:cantSplit/>
          <w:jc w:val="center"/>
        </w:trPr>
        <w:tc>
          <w:tcPr>
            <w:tcW w:w="1784" w:type="dxa"/>
            <w:vMerge w:val="restart"/>
            <w:tcBorders>
              <w:top w:val="single" w:sz="8" w:space="0" w:color="152935"/>
              <w:left w:val="nil"/>
              <w:bottom w:val="nil"/>
              <w:right w:val="nil"/>
            </w:tcBorders>
            <w:shd w:val="clear" w:color="auto" w:fill="E0E0E0"/>
          </w:tcPr>
          <w:p w14:paraId="2E44085C"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Information_Data</w:t>
            </w:r>
          </w:p>
        </w:tc>
        <w:tc>
          <w:tcPr>
            <w:tcW w:w="1999" w:type="dxa"/>
            <w:tcBorders>
              <w:top w:val="single" w:sz="8" w:space="0" w:color="152935"/>
              <w:left w:val="nil"/>
              <w:bottom w:val="single" w:sz="8" w:space="0" w:color="AEAEAE"/>
              <w:right w:val="nil"/>
            </w:tcBorders>
            <w:shd w:val="clear" w:color="auto" w:fill="E0E0E0"/>
          </w:tcPr>
          <w:p w14:paraId="03018BF0"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Pearson Correlation</w:t>
            </w:r>
          </w:p>
        </w:tc>
        <w:tc>
          <w:tcPr>
            <w:tcW w:w="1475" w:type="dxa"/>
            <w:tcBorders>
              <w:top w:val="single" w:sz="8" w:space="0" w:color="152935"/>
              <w:left w:val="nil"/>
              <w:bottom w:val="single" w:sz="8" w:space="0" w:color="AEAEAE"/>
              <w:right w:val="single" w:sz="8" w:space="0" w:color="E0E0E0"/>
            </w:tcBorders>
            <w:shd w:val="clear" w:color="auto" w:fill="F9F9FB"/>
          </w:tcPr>
          <w:p w14:paraId="6D6239D8"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w:t>
            </w:r>
          </w:p>
        </w:tc>
        <w:tc>
          <w:tcPr>
            <w:tcW w:w="1475" w:type="dxa"/>
            <w:tcBorders>
              <w:top w:val="single" w:sz="8" w:space="0" w:color="152935"/>
              <w:left w:val="single" w:sz="8" w:space="0" w:color="E0E0E0"/>
              <w:bottom w:val="single" w:sz="8" w:space="0" w:color="AEAEAE"/>
              <w:right w:val="nil"/>
            </w:tcBorders>
            <w:shd w:val="clear" w:color="auto" w:fill="F9F9FB"/>
          </w:tcPr>
          <w:p w14:paraId="6C52147F"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.844</w:t>
            </w:r>
            <w:r w:rsidRPr="002A7418">
              <w:rPr>
                <w:rFonts w:ascii="Arial" w:hAnsi="Arial" w:cs="Arial"/>
                <w:color w:val="010205"/>
                <w:kern w:val="0"/>
                <w:sz w:val="18"/>
                <w:szCs w:val="18"/>
                <w:vertAlign w:val="superscript"/>
              </w:rPr>
              <w:t>**</w:t>
            </w:r>
          </w:p>
        </w:tc>
      </w:tr>
      <w:tr w:rsidR="002A7418" w:rsidRPr="002A7418" w14:paraId="23BC4C4C" w14:textId="77777777" w:rsidTr="002A7418">
        <w:trPr>
          <w:cantSplit/>
          <w:jc w:val="center"/>
        </w:trPr>
        <w:tc>
          <w:tcPr>
            <w:tcW w:w="1784" w:type="dxa"/>
            <w:vMerge/>
            <w:tcBorders>
              <w:top w:val="single" w:sz="8" w:space="0" w:color="152935"/>
              <w:left w:val="nil"/>
              <w:bottom w:val="nil"/>
              <w:right w:val="nil"/>
            </w:tcBorders>
            <w:shd w:val="clear" w:color="auto" w:fill="E0E0E0"/>
          </w:tcPr>
          <w:p w14:paraId="449BDFF6" w14:textId="77777777" w:rsidR="002A7418" w:rsidRPr="002A7418" w:rsidRDefault="002A7418" w:rsidP="002A7418">
            <w:pPr>
              <w:autoSpaceDE w:val="0"/>
              <w:autoSpaceDN w:val="0"/>
              <w:bidi w:val="0"/>
              <w:adjustRightInd w:val="0"/>
              <w:spacing w:after="0" w:line="240" w:lineRule="auto"/>
              <w:rPr>
                <w:rFonts w:ascii="Arial" w:hAnsi="Arial" w:cs="Arial"/>
                <w:color w:val="010205"/>
                <w:kern w:val="0"/>
                <w:sz w:val="18"/>
                <w:szCs w:val="18"/>
              </w:rPr>
            </w:pPr>
          </w:p>
        </w:tc>
        <w:tc>
          <w:tcPr>
            <w:tcW w:w="1999" w:type="dxa"/>
            <w:tcBorders>
              <w:top w:val="single" w:sz="8" w:space="0" w:color="AEAEAE"/>
              <w:left w:val="nil"/>
              <w:bottom w:val="single" w:sz="8" w:space="0" w:color="AEAEAE"/>
              <w:right w:val="nil"/>
            </w:tcBorders>
            <w:shd w:val="clear" w:color="auto" w:fill="E0E0E0"/>
          </w:tcPr>
          <w:p w14:paraId="2AEBB663"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9F9FB"/>
            <w:vAlign w:val="center"/>
          </w:tcPr>
          <w:p w14:paraId="2FC0BB86" w14:textId="77777777" w:rsidR="002A7418" w:rsidRPr="002A7418" w:rsidRDefault="002A7418" w:rsidP="002A7418">
            <w:pPr>
              <w:autoSpaceDE w:val="0"/>
              <w:autoSpaceDN w:val="0"/>
              <w:bidi w:val="0"/>
              <w:adjustRightInd w:val="0"/>
              <w:spacing w:after="0" w:line="240" w:lineRule="auto"/>
              <w:rPr>
                <w:rFonts w:ascii="Times New Roman" w:hAnsi="Times New Roman" w:cs="Times New Roman"/>
                <w:kern w:val="0"/>
                <w:sz w:val="24"/>
                <w:szCs w:val="24"/>
              </w:rPr>
            </w:pPr>
          </w:p>
        </w:tc>
        <w:tc>
          <w:tcPr>
            <w:tcW w:w="1475" w:type="dxa"/>
            <w:tcBorders>
              <w:top w:val="single" w:sz="8" w:space="0" w:color="AEAEAE"/>
              <w:left w:val="single" w:sz="8" w:space="0" w:color="E0E0E0"/>
              <w:bottom w:val="single" w:sz="8" w:space="0" w:color="AEAEAE"/>
              <w:right w:val="nil"/>
            </w:tcBorders>
            <w:shd w:val="clear" w:color="auto" w:fill="F9F9FB"/>
          </w:tcPr>
          <w:p w14:paraId="0FE6C911"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.000</w:t>
            </w:r>
          </w:p>
        </w:tc>
      </w:tr>
      <w:tr w:rsidR="002A7418" w:rsidRPr="002A7418" w14:paraId="1E52D012" w14:textId="77777777" w:rsidTr="002A7418">
        <w:trPr>
          <w:cantSplit/>
          <w:jc w:val="center"/>
        </w:trPr>
        <w:tc>
          <w:tcPr>
            <w:tcW w:w="1784" w:type="dxa"/>
            <w:vMerge/>
            <w:tcBorders>
              <w:top w:val="single" w:sz="8" w:space="0" w:color="152935"/>
              <w:left w:val="nil"/>
              <w:bottom w:val="nil"/>
              <w:right w:val="nil"/>
            </w:tcBorders>
            <w:shd w:val="clear" w:color="auto" w:fill="E0E0E0"/>
          </w:tcPr>
          <w:p w14:paraId="09C7BF27" w14:textId="77777777" w:rsidR="002A7418" w:rsidRPr="002A7418" w:rsidRDefault="002A7418" w:rsidP="002A7418">
            <w:pPr>
              <w:autoSpaceDE w:val="0"/>
              <w:autoSpaceDN w:val="0"/>
              <w:bidi w:val="0"/>
              <w:adjustRightInd w:val="0"/>
              <w:spacing w:after="0" w:line="240" w:lineRule="auto"/>
              <w:rPr>
                <w:rFonts w:ascii="Arial" w:hAnsi="Arial" w:cs="Arial"/>
                <w:color w:val="010205"/>
                <w:kern w:val="0"/>
                <w:sz w:val="18"/>
                <w:szCs w:val="18"/>
              </w:rPr>
            </w:pPr>
          </w:p>
        </w:tc>
        <w:tc>
          <w:tcPr>
            <w:tcW w:w="1999" w:type="dxa"/>
            <w:tcBorders>
              <w:top w:val="single" w:sz="8" w:space="0" w:color="AEAEAE"/>
              <w:left w:val="nil"/>
              <w:bottom w:val="nil"/>
              <w:right w:val="nil"/>
            </w:tcBorders>
            <w:shd w:val="clear" w:color="auto" w:fill="E0E0E0"/>
          </w:tcPr>
          <w:p w14:paraId="4EFCEFD8"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N</w:t>
            </w:r>
          </w:p>
        </w:tc>
        <w:tc>
          <w:tcPr>
            <w:tcW w:w="1475" w:type="dxa"/>
            <w:tcBorders>
              <w:top w:val="single" w:sz="8" w:space="0" w:color="AEAEAE"/>
              <w:left w:val="nil"/>
              <w:bottom w:val="nil"/>
              <w:right w:val="single" w:sz="8" w:space="0" w:color="E0E0E0"/>
            </w:tcBorders>
            <w:shd w:val="clear" w:color="auto" w:fill="F9F9FB"/>
          </w:tcPr>
          <w:p w14:paraId="5889FF8B"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196</w:t>
            </w:r>
          </w:p>
        </w:tc>
        <w:tc>
          <w:tcPr>
            <w:tcW w:w="1475" w:type="dxa"/>
            <w:tcBorders>
              <w:top w:val="single" w:sz="8" w:space="0" w:color="AEAEAE"/>
              <w:left w:val="single" w:sz="8" w:space="0" w:color="E0E0E0"/>
              <w:bottom w:val="nil"/>
              <w:right w:val="nil"/>
            </w:tcBorders>
            <w:shd w:val="clear" w:color="auto" w:fill="F9F9FB"/>
          </w:tcPr>
          <w:p w14:paraId="411D5BAD"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196</w:t>
            </w:r>
          </w:p>
        </w:tc>
      </w:tr>
      <w:tr w:rsidR="002A7418" w:rsidRPr="002A7418" w14:paraId="7CA36EF5" w14:textId="77777777" w:rsidTr="002A7418">
        <w:trPr>
          <w:cantSplit/>
          <w:jc w:val="center"/>
        </w:trPr>
        <w:tc>
          <w:tcPr>
            <w:tcW w:w="1784" w:type="dxa"/>
            <w:vMerge w:val="restart"/>
            <w:tcBorders>
              <w:top w:val="single" w:sz="8" w:space="0" w:color="AEAEAE"/>
              <w:left w:val="nil"/>
              <w:bottom w:val="single" w:sz="8" w:space="0" w:color="152935"/>
              <w:right w:val="nil"/>
            </w:tcBorders>
            <w:shd w:val="clear" w:color="auto" w:fill="E0E0E0"/>
          </w:tcPr>
          <w:p w14:paraId="6A04FC4E"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Credit_Outcomes</w:t>
            </w:r>
          </w:p>
        </w:tc>
        <w:tc>
          <w:tcPr>
            <w:tcW w:w="1999" w:type="dxa"/>
            <w:tcBorders>
              <w:top w:val="single" w:sz="8" w:space="0" w:color="AEAEAE"/>
              <w:left w:val="nil"/>
              <w:bottom w:val="single" w:sz="8" w:space="0" w:color="AEAEAE"/>
              <w:right w:val="nil"/>
            </w:tcBorders>
            <w:shd w:val="clear" w:color="auto" w:fill="E0E0E0"/>
          </w:tcPr>
          <w:p w14:paraId="5C503E43"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Pearson Correlation</w:t>
            </w:r>
          </w:p>
        </w:tc>
        <w:tc>
          <w:tcPr>
            <w:tcW w:w="1475" w:type="dxa"/>
            <w:tcBorders>
              <w:top w:val="single" w:sz="8" w:space="0" w:color="AEAEAE"/>
              <w:left w:val="nil"/>
              <w:bottom w:val="single" w:sz="8" w:space="0" w:color="AEAEAE"/>
              <w:right w:val="single" w:sz="8" w:space="0" w:color="E0E0E0"/>
            </w:tcBorders>
            <w:shd w:val="clear" w:color="auto" w:fill="F9F9FB"/>
          </w:tcPr>
          <w:p w14:paraId="0D7168D5"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.844</w:t>
            </w:r>
            <w:r w:rsidRPr="002A7418">
              <w:rPr>
                <w:rFonts w:ascii="Arial" w:hAnsi="Arial" w:cs="Arial"/>
                <w:color w:val="010205"/>
                <w:kern w:val="0"/>
                <w:sz w:val="18"/>
                <w:szCs w:val="18"/>
                <w:vertAlign w:val="superscript"/>
              </w:rPr>
              <w:t>**</w:t>
            </w:r>
          </w:p>
        </w:tc>
        <w:tc>
          <w:tcPr>
            <w:tcW w:w="1475" w:type="dxa"/>
            <w:tcBorders>
              <w:top w:val="single" w:sz="8" w:space="0" w:color="AEAEAE"/>
              <w:left w:val="single" w:sz="8" w:space="0" w:color="E0E0E0"/>
              <w:bottom w:val="single" w:sz="8" w:space="0" w:color="AEAEAE"/>
              <w:right w:val="nil"/>
            </w:tcBorders>
            <w:shd w:val="clear" w:color="auto" w:fill="F9F9FB"/>
          </w:tcPr>
          <w:p w14:paraId="52CF7AB6"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w:t>
            </w:r>
          </w:p>
        </w:tc>
      </w:tr>
      <w:tr w:rsidR="002A7418" w:rsidRPr="002A7418" w14:paraId="28864CB6" w14:textId="77777777" w:rsidTr="002A7418">
        <w:trPr>
          <w:cantSplit/>
          <w:jc w:val="center"/>
        </w:trPr>
        <w:tc>
          <w:tcPr>
            <w:tcW w:w="1784" w:type="dxa"/>
            <w:vMerge/>
            <w:tcBorders>
              <w:top w:val="single" w:sz="8" w:space="0" w:color="AEAEAE"/>
              <w:left w:val="nil"/>
              <w:bottom w:val="single" w:sz="8" w:space="0" w:color="152935"/>
              <w:right w:val="nil"/>
            </w:tcBorders>
            <w:shd w:val="clear" w:color="auto" w:fill="E0E0E0"/>
          </w:tcPr>
          <w:p w14:paraId="24E49ADA" w14:textId="77777777" w:rsidR="002A7418" w:rsidRPr="002A7418" w:rsidRDefault="002A7418" w:rsidP="002A7418">
            <w:pPr>
              <w:autoSpaceDE w:val="0"/>
              <w:autoSpaceDN w:val="0"/>
              <w:bidi w:val="0"/>
              <w:adjustRightInd w:val="0"/>
              <w:spacing w:after="0" w:line="240" w:lineRule="auto"/>
              <w:rPr>
                <w:rFonts w:ascii="Arial" w:hAnsi="Arial" w:cs="Arial"/>
                <w:color w:val="010205"/>
                <w:kern w:val="0"/>
                <w:sz w:val="18"/>
                <w:szCs w:val="18"/>
              </w:rPr>
            </w:pPr>
          </w:p>
        </w:tc>
        <w:tc>
          <w:tcPr>
            <w:tcW w:w="1999" w:type="dxa"/>
            <w:tcBorders>
              <w:top w:val="single" w:sz="8" w:space="0" w:color="AEAEAE"/>
              <w:left w:val="nil"/>
              <w:bottom w:val="single" w:sz="8" w:space="0" w:color="AEAEAE"/>
              <w:right w:val="nil"/>
            </w:tcBorders>
            <w:shd w:val="clear" w:color="auto" w:fill="E0E0E0"/>
          </w:tcPr>
          <w:p w14:paraId="71155BC2"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Sig. (2-tailed)</w:t>
            </w:r>
          </w:p>
        </w:tc>
        <w:tc>
          <w:tcPr>
            <w:tcW w:w="1475" w:type="dxa"/>
            <w:tcBorders>
              <w:top w:val="single" w:sz="8" w:space="0" w:color="AEAEAE"/>
              <w:left w:val="nil"/>
              <w:bottom w:val="single" w:sz="8" w:space="0" w:color="AEAEAE"/>
              <w:right w:val="single" w:sz="8" w:space="0" w:color="E0E0E0"/>
            </w:tcBorders>
            <w:shd w:val="clear" w:color="auto" w:fill="F9F9FB"/>
          </w:tcPr>
          <w:p w14:paraId="5B6E1504"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.000</w:t>
            </w: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292917E4" w14:textId="77777777" w:rsidR="002A7418" w:rsidRPr="002A7418" w:rsidRDefault="002A7418" w:rsidP="002A7418">
            <w:pPr>
              <w:autoSpaceDE w:val="0"/>
              <w:autoSpaceDN w:val="0"/>
              <w:bidi w:val="0"/>
              <w:adjustRightInd w:val="0"/>
              <w:spacing w:after="0" w:line="240" w:lineRule="auto"/>
              <w:rPr>
                <w:rFonts w:ascii="Times New Roman" w:hAnsi="Times New Roman" w:cs="Times New Roman"/>
                <w:kern w:val="0"/>
                <w:sz w:val="24"/>
                <w:szCs w:val="24"/>
              </w:rPr>
            </w:pPr>
          </w:p>
        </w:tc>
      </w:tr>
      <w:tr w:rsidR="002A7418" w:rsidRPr="002A7418" w14:paraId="742DFAFB" w14:textId="77777777" w:rsidTr="002A7418">
        <w:trPr>
          <w:cantSplit/>
          <w:jc w:val="center"/>
        </w:trPr>
        <w:tc>
          <w:tcPr>
            <w:tcW w:w="1784" w:type="dxa"/>
            <w:vMerge/>
            <w:tcBorders>
              <w:top w:val="single" w:sz="8" w:space="0" w:color="AEAEAE"/>
              <w:left w:val="nil"/>
              <w:bottom w:val="single" w:sz="8" w:space="0" w:color="152935"/>
              <w:right w:val="nil"/>
            </w:tcBorders>
            <w:shd w:val="clear" w:color="auto" w:fill="E0E0E0"/>
          </w:tcPr>
          <w:p w14:paraId="4339B583" w14:textId="77777777" w:rsidR="002A7418" w:rsidRPr="002A7418" w:rsidRDefault="002A7418" w:rsidP="002A7418">
            <w:pPr>
              <w:autoSpaceDE w:val="0"/>
              <w:autoSpaceDN w:val="0"/>
              <w:bidi w:val="0"/>
              <w:adjustRightInd w:val="0"/>
              <w:spacing w:after="0" w:line="240" w:lineRule="auto"/>
              <w:rPr>
                <w:rFonts w:ascii="Times New Roman" w:hAnsi="Times New Roman" w:cs="Times New Roman"/>
                <w:kern w:val="0"/>
                <w:sz w:val="24"/>
                <w:szCs w:val="24"/>
              </w:rPr>
            </w:pPr>
          </w:p>
        </w:tc>
        <w:tc>
          <w:tcPr>
            <w:tcW w:w="1999" w:type="dxa"/>
            <w:tcBorders>
              <w:top w:val="single" w:sz="8" w:space="0" w:color="AEAEAE"/>
              <w:left w:val="nil"/>
              <w:bottom w:val="single" w:sz="8" w:space="0" w:color="152935"/>
              <w:right w:val="nil"/>
            </w:tcBorders>
            <w:shd w:val="clear" w:color="auto" w:fill="E0E0E0"/>
          </w:tcPr>
          <w:p w14:paraId="17F542CD"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264A60"/>
                <w:kern w:val="0"/>
                <w:sz w:val="18"/>
                <w:szCs w:val="18"/>
              </w:rPr>
            </w:pPr>
            <w:r w:rsidRPr="002A7418">
              <w:rPr>
                <w:rFonts w:ascii="Arial" w:hAnsi="Arial" w:cs="Arial"/>
                <w:color w:val="264A60"/>
                <w:kern w:val="0"/>
                <w:sz w:val="18"/>
                <w:szCs w:val="18"/>
              </w:rPr>
              <w:t>N</w:t>
            </w:r>
          </w:p>
        </w:tc>
        <w:tc>
          <w:tcPr>
            <w:tcW w:w="1475" w:type="dxa"/>
            <w:tcBorders>
              <w:top w:val="single" w:sz="8" w:space="0" w:color="AEAEAE"/>
              <w:left w:val="nil"/>
              <w:bottom w:val="single" w:sz="8" w:space="0" w:color="152935"/>
              <w:right w:val="single" w:sz="8" w:space="0" w:color="E0E0E0"/>
            </w:tcBorders>
            <w:shd w:val="clear" w:color="auto" w:fill="F9F9FB"/>
          </w:tcPr>
          <w:p w14:paraId="37106EA4"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196</w:t>
            </w:r>
          </w:p>
        </w:tc>
        <w:tc>
          <w:tcPr>
            <w:tcW w:w="1475" w:type="dxa"/>
            <w:tcBorders>
              <w:top w:val="single" w:sz="8" w:space="0" w:color="AEAEAE"/>
              <w:left w:val="single" w:sz="8" w:space="0" w:color="E0E0E0"/>
              <w:bottom w:val="single" w:sz="8" w:space="0" w:color="152935"/>
              <w:right w:val="nil"/>
            </w:tcBorders>
            <w:shd w:val="clear" w:color="auto" w:fill="F9F9FB"/>
          </w:tcPr>
          <w:p w14:paraId="0C715DF3" w14:textId="77777777" w:rsidR="002A7418" w:rsidRPr="002A7418" w:rsidRDefault="002A7418" w:rsidP="002A7418">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2A7418">
              <w:rPr>
                <w:rFonts w:ascii="Arial" w:hAnsi="Arial" w:cs="Arial"/>
                <w:color w:val="010205"/>
                <w:kern w:val="0"/>
                <w:sz w:val="18"/>
                <w:szCs w:val="18"/>
              </w:rPr>
              <w:t>196</w:t>
            </w:r>
          </w:p>
        </w:tc>
      </w:tr>
      <w:tr w:rsidR="002A7418" w:rsidRPr="002A7418" w14:paraId="2E7DE5E4" w14:textId="77777777" w:rsidTr="002A7418">
        <w:trPr>
          <w:cantSplit/>
          <w:jc w:val="center"/>
        </w:trPr>
        <w:tc>
          <w:tcPr>
            <w:tcW w:w="6733" w:type="dxa"/>
            <w:gridSpan w:val="4"/>
            <w:tcBorders>
              <w:top w:val="nil"/>
              <w:left w:val="nil"/>
              <w:bottom w:val="nil"/>
              <w:right w:val="nil"/>
            </w:tcBorders>
            <w:shd w:val="clear" w:color="auto" w:fill="FFFFFF"/>
          </w:tcPr>
          <w:p w14:paraId="230268DF" w14:textId="77777777" w:rsidR="002A7418" w:rsidRPr="002A7418" w:rsidRDefault="002A7418" w:rsidP="002A7418">
            <w:pPr>
              <w:autoSpaceDE w:val="0"/>
              <w:autoSpaceDN w:val="0"/>
              <w:bidi w:val="0"/>
              <w:adjustRightInd w:val="0"/>
              <w:spacing w:after="0" w:line="320" w:lineRule="atLeast"/>
              <w:ind w:left="60" w:right="60"/>
              <w:rPr>
                <w:rFonts w:ascii="Arial" w:hAnsi="Arial" w:cs="Arial"/>
                <w:color w:val="010205"/>
                <w:kern w:val="0"/>
                <w:sz w:val="18"/>
                <w:szCs w:val="18"/>
              </w:rPr>
            </w:pPr>
            <w:r w:rsidRPr="002A7418">
              <w:rPr>
                <w:rFonts w:ascii="Arial" w:hAnsi="Arial" w:cs="Arial"/>
                <w:color w:val="010205"/>
                <w:kern w:val="0"/>
                <w:sz w:val="18"/>
                <w:szCs w:val="18"/>
              </w:rPr>
              <w:t>**. Correlation is significant at the 0.01 level (2-tailed).</w:t>
            </w:r>
          </w:p>
        </w:tc>
      </w:tr>
    </w:tbl>
    <w:p w14:paraId="51A8EE18" w14:textId="77777777" w:rsidR="002A7418" w:rsidRPr="002A7418" w:rsidRDefault="002A7418" w:rsidP="002A7418">
      <w:pPr>
        <w:bidi w:val="0"/>
        <w:rPr>
          <w:rFonts w:asciiTheme="majorBidi" w:hAnsiTheme="majorBidi" w:cstheme="majorBidi"/>
          <w:sz w:val="24"/>
          <w:szCs w:val="24"/>
        </w:rPr>
      </w:pPr>
      <w:r w:rsidRPr="002A7418">
        <w:rPr>
          <w:rFonts w:asciiTheme="majorBidi" w:hAnsiTheme="majorBidi" w:cstheme="majorBidi"/>
          <w:sz w:val="24"/>
          <w:szCs w:val="24"/>
        </w:rPr>
        <w:t>Correlations</w:t>
      </w:r>
    </w:p>
    <w:p w14:paraId="58C2FF69" w14:textId="77777777" w:rsidR="002A7418" w:rsidRPr="002A7418" w:rsidRDefault="002A7418" w:rsidP="002A7418">
      <w:pPr>
        <w:bidi w:val="0"/>
        <w:jc w:val="both"/>
        <w:rPr>
          <w:rFonts w:asciiTheme="majorBidi" w:hAnsiTheme="majorBidi" w:cstheme="majorBidi"/>
          <w:sz w:val="24"/>
          <w:szCs w:val="24"/>
        </w:rPr>
      </w:pPr>
      <w:r w:rsidRPr="002A7418">
        <w:rPr>
          <w:rFonts w:asciiTheme="majorBidi" w:hAnsiTheme="majorBidi" w:cstheme="majorBidi"/>
          <w:sz w:val="24"/>
          <w:szCs w:val="24"/>
        </w:rPr>
        <w:t>The correlation analysis shows a strong, positive, and statistically significant association between Information Sharing &amp; Data Integration (Information_Data) and Credit Discipline &amp; Outcomes (Credit_Outcomes). The Pearson correlation coefficient is r = 0.844 with p = 0.000 (2-tailed) and N = 196, indicating significance at the 0.01 level. This result implies that higher levels of accurate, well-integrated information sharing between account managers and sales teams are consistently associated with stronger adherence to credit policies and better credit outcomes. Practically, for Al Rajhi Bank, improvements in data quality/integration (e.g., timely deal data, unified systems) are likely to be accompanied by tighter pricing/tenor/collateral discipline and reduced adverse credit events.</w:t>
      </w:r>
    </w:p>
    <w:p w14:paraId="30813DAB" w14:textId="77777777" w:rsidR="00D12478" w:rsidRPr="00D12478" w:rsidRDefault="00D12478" w:rsidP="00D12478">
      <w:pPr>
        <w:pStyle w:val="3"/>
      </w:pPr>
      <w:bookmarkStart w:id="198" w:name="_Toc214621204"/>
      <w:bookmarkStart w:id="199" w:name="_Hlk174783258"/>
      <w:r w:rsidRPr="00D12478">
        <w:t>Testing study hypotheses and discussing results</w:t>
      </w:r>
      <w:bookmarkEnd w:id="198"/>
    </w:p>
    <w:p w14:paraId="69279E00" w14:textId="68B372B9" w:rsidR="00D12478" w:rsidRDefault="00D12478" w:rsidP="00D12478">
      <w:pPr>
        <w:bidi w:val="0"/>
        <w:jc w:val="both"/>
        <w:rPr>
          <w:rFonts w:asciiTheme="majorBidi" w:hAnsiTheme="majorBidi" w:cstheme="majorBidi"/>
          <w:sz w:val="24"/>
          <w:szCs w:val="24"/>
        </w:rPr>
      </w:pPr>
      <w:r w:rsidRPr="00D12478">
        <w:rPr>
          <w:rFonts w:asciiTheme="majorBidi" w:hAnsiTheme="majorBidi" w:cstheme="majorBidi"/>
          <w:sz w:val="24"/>
          <w:szCs w:val="24"/>
        </w:rPr>
        <w:t>This section is concerned with testing the validity of the main hypothesis of the study and its sub-hypotheses. The statistical results that were reached using both the SPSS V.27 statistical package are presented as follows:</w:t>
      </w:r>
    </w:p>
    <w:p w14:paraId="0EBE4CF6" w14:textId="77777777" w:rsidR="00D12478" w:rsidRPr="00D12478" w:rsidRDefault="00D12478" w:rsidP="002E6F27">
      <w:pPr>
        <w:pStyle w:val="a5"/>
        <w:numPr>
          <w:ilvl w:val="0"/>
          <w:numId w:val="85"/>
        </w:numPr>
        <w:autoSpaceDE w:val="0"/>
        <w:autoSpaceDN w:val="0"/>
        <w:bidi w:val="0"/>
        <w:adjustRightInd w:val="0"/>
        <w:spacing w:line="400" w:lineRule="atLeast"/>
        <w:rPr>
          <w:rFonts w:ascii="Times New Roman" w:hAnsi="Times New Roman" w:cs="Times New Roman"/>
          <w:b/>
          <w:bCs/>
          <w:sz w:val="28"/>
          <w:szCs w:val="28"/>
        </w:rPr>
      </w:pPr>
      <w:bookmarkStart w:id="200" w:name="_Hlk174783300"/>
      <w:r w:rsidRPr="00D12478">
        <w:rPr>
          <w:rFonts w:ascii="Times New Roman" w:hAnsi="Times New Roman" w:cs="Times New Roman"/>
          <w:b/>
          <w:bCs/>
          <w:sz w:val="28"/>
          <w:szCs w:val="28"/>
        </w:rPr>
        <w:t>The main hypothesis of the study:</w:t>
      </w:r>
    </w:p>
    <w:p w14:paraId="2C0488B1" w14:textId="77777777" w:rsidR="00D12478" w:rsidRPr="00D12478" w:rsidRDefault="00D12478" w:rsidP="002E6F27">
      <w:pPr>
        <w:pStyle w:val="a5"/>
        <w:numPr>
          <w:ilvl w:val="0"/>
          <w:numId w:val="84"/>
        </w:numPr>
        <w:bidi w:val="0"/>
        <w:rPr>
          <w:rFonts w:ascii="Times New Roman" w:hAnsi="Times New Roman" w:cs="Times New Roman"/>
          <w:sz w:val="28"/>
          <w:szCs w:val="28"/>
        </w:rPr>
      </w:pPr>
      <w:bookmarkStart w:id="201" w:name="_Hlk174783307"/>
      <w:bookmarkEnd w:id="200"/>
      <w:r w:rsidRPr="00D12478">
        <w:rPr>
          <w:rFonts w:ascii="Times New Roman" w:hAnsi="Times New Roman" w:cs="Times New Roman"/>
          <w:sz w:val="28"/>
          <w:szCs w:val="28"/>
        </w:rPr>
        <w:t>There is a statistically significant positive relationship between the functional relationship between account managers and sales teams and risk-management effectiveness</w:t>
      </w:r>
      <w:r w:rsidRPr="00D12478">
        <w:rPr>
          <w:rFonts w:ascii="Times New Roman" w:hAnsi="Times New Roman" w:cs="Times New Roman"/>
          <w:sz w:val="28"/>
          <w:szCs w:val="28"/>
          <w:rtl/>
        </w:rPr>
        <w:t>.</w:t>
      </w:r>
    </w:p>
    <w:bookmarkEnd w:id="201"/>
    <w:p w14:paraId="74EBD873" w14:textId="1DB95984" w:rsidR="00D12478" w:rsidRDefault="00D12478" w:rsidP="00D12478">
      <w:pPr>
        <w:bidi w:val="0"/>
        <w:jc w:val="both"/>
        <w:rPr>
          <w:rFonts w:asciiTheme="majorBidi" w:hAnsiTheme="majorBidi" w:cstheme="majorBidi"/>
          <w:sz w:val="24"/>
          <w:szCs w:val="24"/>
        </w:rPr>
      </w:pPr>
      <w:r w:rsidRPr="00D12478">
        <w:rPr>
          <w:rFonts w:asciiTheme="majorBidi" w:hAnsiTheme="majorBidi" w:cstheme="majorBidi"/>
          <w:sz w:val="24"/>
          <w:szCs w:val="24"/>
        </w:rPr>
        <w:t>Under this main hypothesis are the following sub-hypotheses:</w:t>
      </w:r>
    </w:p>
    <w:p w14:paraId="5A952640" w14:textId="2A9A7B97" w:rsidR="00D12478" w:rsidRPr="001B4504" w:rsidRDefault="00D12478" w:rsidP="002E6F27">
      <w:pPr>
        <w:pStyle w:val="a5"/>
        <w:numPr>
          <w:ilvl w:val="0"/>
          <w:numId w:val="83"/>
        </w:numPr>
        <w:bidi w:val="0"/>
        <w:spacing w:after="120" w:line="276" w:lineRule="auto"/>
        <w:ind w:left="567" w:hanging="11"/>
        <w:jc w:val="both"/>
        <w:rPr>
          <w:rFonts w:asciiTheme="majorBidi" w:hAnsiTheme="majorBidi" w:cstheme="majorBidi"/>
          <w:sz w:val="24"/>
          <w:szCs w:val="24"/>
        </w:rPr>
      </w:pPr>
      <w:r w:rsidRPr="001B4504">
        <w:rPr>
          <w:rFonts w:asciiTheme="majorBidi" w:hAnsiTheme="majorBidi" w:cstheme="majorBidi"/>
          <w:sz w:val="24"/>
          <w:szCs w:val="24"/>
        </w:rPr>
        <w:t>There is a significant positive correlation between the dimensions of the functional relationship</w:t>
      </w:r>
      <w:r w:rsidR="00B03C22">
        <w:rPr>
          <w:rFonts w:asciiTheme="majorBidi" w:hAnsiTheme="majorBidi" w:cstheme="majorBidi"/>
          <w:sz w:val="24"/>
          <w:szCs w:val="24"/>
        </w:rPr>
        <w:t>-</w:t>
      </w:r>
      <w:r w:rsidRPr="001B4504">
        <w:rPr>
          <w:rFonts w:asciiTheme="majorBidi" w:hAnsiTheme="majorBidi" w:cstheme="majorBidi"/>
          <w:sz w:val="24"/>
          <w:szCs w:val="24"/>
        </w:rPr>
        <w:t>Communication Quality &amp; Cadence, Information Sharing &amp; Data Integration, Goal/KPI &amp; Incentive Alignment, and Decision Rights &amp; Escalation Clarity (RACI)</w:t>
      </w:r>
      <w:r w:rsidR="00B03C22">
        <w:rPr>
          <w:rFonts w:asciiTheme="majorBidi" w:hAnsiTheme="majorBidi" w:cstheme="majorBidi"/>
          <w:sz w:val="24"/>
          <w:szCs w:val="24"/>
        </w:rPr>
        <w:t>-</w:t>
      </w:r>
      <w:r w:rsidRPr="001B4504">
        <w:rPr>
          <w:rFonts w:asciiTheme="majorBidi" w:hAnsiTheme="majorBidi" w:cstheme="majorBidi"/>
          <w:sz w:val="24"/>
          <w:szCs w:val="24"/>
        </w:rPr>
        <w:t>and overall risk-management effectiveness.</w:t>
      </w:r>
    </w:p>
    <w:p w14:paraId="26E94CCE" w14:textId="7FFE464F" w:rsidR="00D12478" w:rsidRDefault="00D12478" w:rsidP="002E6F27">
      <w:pPr>
        <w:pStyle w:val="a5"/>
        <w:numPr>
          <w:ilvl w:val="0"/>
          <w:numId w:val="83"/>
        </w:numPr>
        <w:bidi w:val="0"/>
        <w:spacing w:after="120" w:line="276" w:lineRule="auto"/>
        <w:ind w:left="567" w:hanging="11"/>
        <w:jc w:val="both"/>
        <w:rPr>
          <w:rFonts w:asciiTheme="majorBidi" w:hAnsiTheme="majorBidi" w:cstheme="majorBidi"/>
          <w:sz w:val="24"/>
          <w:szCs w:val="24"/>
        </w:rPr>
      </w:pPr>
      <w:r w:rsidRPr="001B4504">
        <w:rPr>
          <w:rFonts w:asciiTheme="majorBidi" w:hAnsiTheme="majorBidi" w:cstheme="majorBidi"/>
          <w:sz w:val="24"/>
          <w:szCs w:val="24"/>
        </w:rPr>
        <w:t>There is a statistically significant positive relationship between the functional relationship between account managers and sales teams and the dimensions of risk-management effectiveness</w:t>
      </w:r>
      <w:r w:rsidR="00B03C22">
        <w:rPr>
          <w:rFonts w:asciiTheme="majorBidi" w:hAnsiTheme="majorBidi" w:cstheme="majorBidi"/>
          <w:sz w:val="24"/>
          <w:szCs w:val="24"/>
        </w:rPr>
        <w:t>-</w:t>
      </w:r>
      <w:r w:rsidRPr="001B4504">
        <w:rPr>
          <w:rFonts w:asciiTheme="majorBidi" w:hAnsiTheme="majorBidi" w:cstheme="majorBidi"/>
          <w:sz w:val="24"/>
          <w:szCs w:val="24"/>
        </w:rPr>
        <w:t>Early Risk Identification &amp; Onboarding Quality, Credit Discipline &amp; Outcomes, Liquidity &amp; Market-Risk Fit at Origination, and Operational Resilience &amp; Third-Party Risk Control.</w:t>
      </w:r>
    </w:p>
    <w:p w14:paraId="6FC5262F" w14:textId="77777777" w:rsidR="00F37B7E" w:rsidRDefault="00F37B7E" w:rsidP="00F37B7E">
      <w:pPr>
        <w:pStyle w:val="4"/>
      </w:pPr>
      <w:bookmarkStart w:id="202" w:name="_Toc214621205"/>
      <w:bookmarkEnd w:id="199"/>
      <w:r w:rsidRPr="00F37B7E">
        <w:rPr>
          <w:rFonts w:eastAsiaTheme="minorHAnsi"/>
          <w:lang w:bidi="ar-EG"/>
        </w:rPr>
        <w:t>Results of testing the main hypothesis of the study:</w:t>
      </w:r>
      <w:bookmarkEnd w:id="202"/>
    </w:p>
    <w:p w14:paraId="323116FA" w14:textId="50874093" w:rsidR="00F37B7E" w:rsidRPr="00F37B7E" w:rsidRDefault="00F37B7E" w:rsidP="00F37B7E">
      <w:pPr>
        <w:bidi w:val="0"/>
        <w:jc w:val="both"/>
        <w:rPr>
          <w:rFonts w:asciiTheme="majorBidi" w:hAnsiTheme="majorBidi" w:cstheme="majorBidi"/>
          <w:sz w:val="24"/>
          <w:szCs w:val="24"/>
        </w:rPr>
      </w:pPr>
      <w:r w:rsidRPr="00F37B7E">
        <w:rPr>
          <w:rFonts w:asciiTheme="majorBidi" w:hAnsiTheme="majorBidi" w:cstheme="majorBidi"/>
          <w:sz w:val="24"/>
          <w:szCs w:val="24"/>
        </w:rPr>
        <w:t>This hypothesis states that “there is a statistically significant positive relationship between the functional relationship between account managers and sales teams and risk-management effectiveness.” To test it, simple linear regression was applied in SPSS (v27), with the Functional Relationship composite as the independent variable and Risk-Management Effectiveness as the dependent variable, evaluating R, R², F, and the standardized beta (β) at α = 0.05.</w:t>
      </w:r>
    </w:p>
    <w:p w14:paraId="628A9FBD"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tl/>
          <w:lang w:bidi="ar-EG"/>
        </w:rPr>
      </w:pPr>
    </w:p>
    <w:p w14:paraId="49E794A0" w14:textId="379FCE3C" w:rsidR="00A71B53" w:rsidRDefault="00A71B53" w:rsidP="00A71B53">
      <w:pPr>
        <w:pStyle w:val="ad"/>
      </w:pPr>
      <w:bookmarkStart w:id="203" w:name="_Toc214622029"/>
      <w:r>
        <w:t xml:space="preserve">Table </w:t>
      </w:r>
      <w:r>
        <w:fldChar w:fldCharType="begin"/>
      </w:r>
      <w:r>
        <w:instrText xml:space="preserve"> SEQ Table \* ARABIC </w:instrText>
      </w:r>
      <w:r>
        <w:fldChar w:fldCharType="separate"/>
      </w:r>
      <w:r w:rsidR="00CD4CCF">
        <w:t>23</w:t>
      </w:r>
      <w:r>
        <w:fldChar w:fldCharType="end"/>
      </w:r>
      <w:r>
        <w:t xml:space="preserve">: </w:t>
      </w:r>
      <w:r w:rsidRPr="00D11337">
        <w:t>Model Summary for the Regression Analysis</w:t>
      </w:r>
      <w:bookmarkEnd w:id="203"/>
    </w:p>
    <w:tbl>
      <w:tblPr>
        <w:tblW w:w="5872" w:type="dxa"/>
        <w:jc w:val="center"/>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9655C4" w:rsidRPr="009655C4" w14:paraId="128B33DA" w14:textId="77777777" w:rsidTr="00A71B53">
        <w:trPr>
          <w:cantSplit/>
          <w:jc w:val="center"/>
        </w:trPr>
        <w:tc>
          <w:tcPr>
            <w:tcW w:w="5872" w:type="dxa"/>
            <w:gridSpan w:val="5"/>
            <w:tcBorders>
              <w:top w:val="nil"/>
              <w:left w:val="nil"/>
              <w:bottom w:val="nil"/>
              <w:right w:val="nil"/>
            </w:tcBorders>
            <w:shd w:val="clear" w:color="auto" w:fill="FFFFFF"/>
            <w:vAlign w:val="center"/>
          </w:tcPr>
          <w:p w14:paraId="3DAC3572"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010205"/>
                <w:kern w:val="0"/>
              </w:rPr>
            </w:pPr>
            <w:r w:rsidRPr="009655C4">
              <w:rPr>
                <w:rFonts w:ascii="Arial" w:hAnsi="Arial" w:cs="Arial"/>
                <w:b/>
                <w:bCs/>
                <w:color w:val="010205"/>
                <w:kern w:val="0"/>
              </w:rPr>
              <w:t>Model Summary</w:t>
            </w:r>
          </w:p>
        </w:tc>
      </w:tr>
      <w:tr w:rsidR="009655C4" w:rsidRPr="009655C4" w14:paraId="23828429" w14:textId="77777777" w:rsidTr="00A71B53">
        <w:trPr>
          <w:cantSplit/>
          <w:jc w:val="center"/>
        </w:trPr>
        <w:tc>
          <w:tcPr>
            <w:tcW w:w="798" w:type="dxa"/>
            <w:tcBorders>
              <w:top w:val="nil"/>
              <w:left w:val="nil"/>
              <w:bottom w:val="single" w:sz="8" w:space="0" w:color="152935"/>
              <w:right w:val="nil"/>
            </w:tcBorders>
            <w:shd w:val="clear" w:color="auto" w:fill="FFFFFF"/>
            <w:vAlign w:val="bottom"/>
          </w:tcPr>
          <w:p w14:paraId="0150F915"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1A7047A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6079FE9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32947F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21BB24E1"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Std. Error of the Estimate</w:t>
            </w:r>
          </w:p>
        </w:tc>
      </w:tr>
      <w:tr w:rsidR="009655C4" w:rsidRPr="009655C4" w14:paraId="2E6782BE" w14:textId="77777777" w:rsidTr="00A71B53">
        <w:trPr>
          <w:cantSplit/>
          <w:jc w:val="center"/>
        </w:trPr>
        <w:tc>
          <w:tcPr>
            <w:tcW w:w="798" w:type="dxa"/>
            <w:tcBorders>
              <w:top w:val="single" w:sz="8" w:space="0" w:color="152935"/>
              <w:left w:val="nil"/>
              <w:bottom w:val="single" w:sz="8" w:space="0" w:color="152935"/>
              <w:right w:val="nil"/>
            </w:tcBorders>
            <w:shd w:val="clear" w:color="auto" w:fill="E0E0E0"/>
          </w:tcPr>
          <w:p w14:paraId="6114EA1D"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1</w:t>
            </w:r>
          </w:p>
        </w:tc>
        <w:tc>
          <w:tcPr>
            <w:tcW w:w="1030" w:type="dxa"/>
            <w:tcBorders>
              <w:top w:val="single" w:sz="8" w:space="0" w:color="152935"/>
              <w:left w:val="nil"/>
              <w:bottom w:val="single" w:sz="8" w:space="0" w:color="152935"/>
              <w:right w:val="single" w:sz="8" w:space="0" w:color="E0E0E0"/>
            </w:tcBorders>
            <w:shd w:val="clear" w:color="auto" w:fill="F9F9FB"/>
          </w:tcPr>
          <w:p w14:paraId="7A6656D7"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.885</w:t>
            </w:r>
            <w:r w:rsidRPr="009655C4">
              <w:rPr>
                <w:rFonts w:ascii="Arial" w:hAnsi="Arial" w:cs="Arial"/>
                <w:color w:val="010205"/>
                <w:kern w:val="0"/>
                <w:sz w:val="18"/>
                <w:szCs w:val="1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431E5D0F"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.784</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7EE4D21A"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.782</w:t>
            </w:r>
          </w:p>
        </w:tc>
        <w:tc>
          <w:tcPr>
            <w:tcW w:w="1476" w:type="dxa"/>
            <w:tcBorders>
              <w:top w:val="single" w:sz="8" w:space="0" w:color="152935"/>
              <w:left w:val="single" w:sz="8" w:space="0" w:color="E0E0E0"/>
              <w:bottom w:val="single" w:sz="8" w:space="0" w:color="152935"/>
              <w:right w:val="nil"/>
            </w:tcBorders>
            <w:shd w:val="clear" w:color="auto" w:fill="F9F9FB"/>
          </w:tcPr>
          <w:p w14:paraId="2B5D1E7E"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.388</w:t>
            </w:r>
          </w:p>
        </w:tc>
      </w:tr>
      <w:tr w:rsidR="009655C4" w:rsidRPr="009655C4" w14:paraId="7353EF30" w14:textId="77777777" w:rsidTr="00A71B53">
        <w:trPr>
          <w:cantSplit/>
          <w:jc w:val="center"/>
        </w:trPr>
        <w:tc>
          <w:tcPr>
            <w:tcW w:w="5872" w:type="dxa"/>
            <w:gridSpan w:val="5"/>
            <w:tcBorders>
              <w:top w:val="nil"/>
              <w:left w:val="nil"/>
              <w:bottom w:val="nil"/>
              <w:right w:val="nil"/>
            </w:tcBorders>
            <w:shd w:val="clear" w:color="auto" w:fill="FFFFFF"/>
          </w:tcPr>
          <w:p w14:paraId="540F8AFD"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010205"/>
                <w:kern w:val="0"/>
                <w:sz w:val="18"/>
                <w:szCs w:val="18"/>
              </w:rPr>
            </w:pPr>
            <w:r w:rsidRPr="009655C4">
              <w:rPr>
                <w:rFonts w:ascii="Arial" w:hAnsi="Arial" w:cs="Arial"/>
                <w:color w:val="010205"/>
                <w:kern w:val="0"/>
                <w:sz w:val="18"/>
                <w:szCs w:val="18"/>
              </w:rPr>
              <w:t>a. Predictors: (Constant), Information_Data</w:t>
            </w:r>
          </w:p>
        </w:tc>
      </w:tr>
    </w:tbl>
    <w:p w14:paraId="760BF820" w14:textId="77777777" w:rsidR="009655C4" w:rsidRPr="009655C4" w:rsidRDefault="009655C4" w:rsidP="009655C4">
      <w:pPr>
        <w:autoSpaceDE w:val="0"/>
        <w:autoSpaceDN w:val="0"/>
        <w:bidi w:val="0"/>
        <w:adjustRightInd w:val="0"/>
        <w:spacing w:after="0" w:line="400" w:lineRule="atLeast"/>
        <w:rPr>
          <w:rFonts w:ascii="Times New Roman" w:hAnsi="Times New Roman" w:cs="Times New Roman"/>
          <w:kern w:val="0"/>
          <w:sz w:val="24"/>
          <w:szCs w:val="24"/>
        </w:rPr>
      </w:pPr>
    </w:p>
    <w:p w14:paraId="443ACED9" w14:textId="77777777" w:rsidR="009655C4" w:rsidRPr="009655C4" w:rsidRDefault="009655C4" w:rsidP="009655C4">
      <w:pPr>
        <w:autoSpaceDE w:val="0"/>
        <w:autoSpaceDN w:val="0"/>
        <w:bidi w:val="0"/>
        <w:adjustRightInd w:val="0"/>
        <w:spacing w:after="0" w:line="400" w:lineRule="atLeast"/>
        <w:rPr>
          <w:rFonts w:ascii="Times New Roman" w:hAnsi="Times New Roman" w:cs="Times New Roman"/>
          <w:kern w:val="0"/>
          <w:sz w:val="24"/>
          <w:szCs w:val="24"/>
        </w:rPr>
      </w:pPr>
    </w:p>
    <w:p w14:paraId="395C1003" w14:textId="0F5B4588" w:rsidR="00A71B53" w:rsidRDefault="00A71B53" w:rsidP="00A71B53">
      <w:pPr>
        <w:pStyle w:val="ad"/>
      </w:pPr>
      <w:bookmarkStart w:id="204" w:name="_Toc214622030"/>
      <w:r>
        <w:t xml:space="preserve">Table </w:t>
      </w:r>
      <w:r>
        <w:fldChar w:fldCharType="begin"/>
      </w:r>
      <w:r>
        <w:instrText xml:space="preserve"> SEQ Table \* ARABIC </w:instrText>
      </w:r>
      <w:r>
        <w:fldChar w:fldCharType="separate"/>
      </w:r>
      <w:r w:rsidR="00CD4CCF">
        <w:t>24</w:t>
      </w:r>
      <w:r>
        <w:fldChar w:fldCharType="end"/>
      </w:r>
      <w:r>
        <w:t xml:space="preserve">: </w:t>
      </w:r>
      <w:r w:rsidRPr="003924DA">
        <w:t>ANOVA Results for the Regression Model</w:t>
      </w:r>
      <w:bookmarkEnd w:id="204"/>
    </w:p>
    <w:tbl>
      <w:tblPr>
        <w:tblW w:w="8009" w:type="dxa"/>
        <w:jc w:val="center"/>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9655C4" w:rsidRPr="009655C4" w14:paraId="647000CF" w14:textId="77777777" w:rsidTr="00A71B53">
        <w:trPr>
          <w:cantSplit/>
          <w:jc w:val="center"/>
        </w:trPr>
        <w:tc>
          <w:tcPr>
            <w:tcW w:w="8009" w:type="dxa"/>
            <w:gridSpan w:val="7"/>
            <w:tcBorders>
              <w:top w:val="nil"/>
              <w:left w:val="nil"/>
              <w:bottom w:val="nil"/>
              <w:right w:val="nil"/>
            </w:tcBorders>
            <w:shd w:val="clear" w:color="auto" w:fill="FFFFFF"/>
            <w:vAlign w:val="center"/>
          </w:tcPr>
          <w:p w14:paraId="1F1E31F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010205"/>
                <w:kern w:val="0"/>
              </w:rPr>
            </w:pPr>
            <w:r w:rsidRPr="009655C4">
              <w:rPr>
                <w:rFonts w:ascii="Arial" w:hAnsi="Arial" w:cs="Arial"/>
                <w:b/>
                <w:bCs/>
                <w:color w:val="010205"/>
                <w:kern w:val="0"/>
              </w:rPr>
              <w:t>ANOVA</w:t>
            </w:r>
            <w:r w:rsidRPr="009655C4">
              <w:rPr>
                <w:rFonts w:ascii="Arial" w:hAnsi="Arial" w:cs="Arial"/>
                <w:b/>
                <w:bCs/>
                <w:color w:val="010205"/>
                <w:kern w:val="0"/>
                <w:vertAlign w:val="superscript"/>
              </w:rPr>
              <w:t>a</w:t>
            </w:r>
          </w:p>
        </w:tc>
      </w:tr>
      <w:tr w:rsidR="009655C4" w:rsidRPr="009655C4" w14:paraId="3336B3E0" w14:textId="77777777" w:rsidTr="00A71B53">
        <w:trPr>
          <w:cantSplit/>
          <w:jc w:val="center"/>
        </w:trPr>
        <w:tc>
          <w:tcPr>
            <w:tcW w:w="2028" w:type="dxa"/>
            <w:gridSpan w:val="2"/>
            <w:tcBorders>
              <w:top w:val="nil"/>
              <w:left w:val="nil"/>
              <w:bottom w:val="single" w:sz="8" w:space="0" w:color="152935"/>
              <w:right w:val="nil"/>
            </w:tcBorders>
            <w:shd w:val="clear" w:color="auto" w:fill="FFFFFF"/>
            <w:vAlign w:val="bottom"/>
          </w:tcPr>
          <w:p w14:paraId="37DBFFDC"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0DF35BA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C1039D6"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25879F9C"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F02E77B"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0D774249"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Sig.</w:t>
            </w:r>
          </w:p>
        </w:tc>
      </w:tr>
      <w:tr w:rsidR="009655C4" w:rsidRPr="009655C4" w14:paraId="45D49503" w14:textId="77777777" w:rsidTr="00A71B53">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549F6B8B"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1</w:t>
            </w:r>
          </w:p>
        </w:tc>
        <w:tc>
          <w:tcPr>
            <w:tcW w:w="1292" w:type="dxa"/>
            <w:tcBorders>
              <w:top w:val="single" w:sz="8" w:space="0" w:color="152935"/>
              <w:left w:val="nil"/>
              <w:bottom w:val="single" w:sz="8" w:space="0" w:color="AEAEAE"/>
              <w:right w:val="nil"/>
            </w:tcBorders>
            <w:shd w:val="clear" w:color="auto" w:fill="E0E0E0"/>
          </w:tcPr>
          <w:p w14:paraId="02EDA52B"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9F9FB"/>
          </w:tcPr>
          <w:p w14:paraId="71E604C9"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105.781</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20528CA2"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19E9E5C4"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105.781</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3D204B8C"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702.330</w:t>
            </w:r>
          </w:p>
        </w:tc>
        <w:tc>
          <w:tcPr>
            <w:tcW w:w="1030" w:type="dxa"/>
            <w:tcBorders>
              <w:top w:val="single" w:sz="8" w:space="0" w:color="152935"/>
              <w:left w:val="single" w:sz="8" w:space="0" w:color="E0E0E0"/>
              <w:bottom w:val="single" w:sz="8" w:space="0" w:color="AEAEAE"/>
              <w:right w:val="nil"/>
            </w:tcBorders>
            <w:shd w:val="clear" w:color="auto" w:fill="F9F9FB"/>
          </w:tcPr>
          <w:p w14:paraId="1AFF0E4E"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.000</w:t>
            </w:r>
            <w:r w:rsidRPr="009655C4">
              <w:rPr>
                <w:rFonts w:ascii="Arial" w:hAnsi="Arial" w:cs="Arial"/>
                <w:color w:val="010205"/>
                <w:kern w:val="0"/>
                <w:sz w:val="18"/>
                <w:szCs w:val="18"/>
                <w:vertAlign w:val="superscript"/>
              </w:rPr>
              <w:t>b</w:t>
            </w:r>
          </w:p>
        </w:tc>
      </w:tr>
      <w:tr w:rsidR="009655C4" w:rsidRPr="009655C4" w14:paraId="347CB8DA" w14:textId="77777777" w:rsidTr="00A71B53">
        <w:trPr>
          <w:cantSplit/>
          <w:jc w:val="center"/>
        </w:trPr>
        <w:tc>
          <w:tcPr>
            <w:tcW w:w="736" w:type="dxa"/>
            <w:vMerge/>
            <w:tcBorders>
              <w:top w:val="single" w:sz="8" w:space="0" w:color="152935"/>
              <w:left w:val="nil"/>
              <w:bottom w:val="single" w:sz="8" w:space="0" w:color="152935"/>
              <w:right w:val="nil"/>
            </w:tcBorders>
            <w:shd w:val="clear" w:color="auto" w:fill="E0E0E0"/>
          </w:tcPr>
          <w:p w14:paraId="0765634B" w14:textId="77777777" w:rsidR="009655C4" w:rsidRPr="009655C4" w:rsidRDefault="009655C4" w:rsidP="009655C4">
            <w:pPr>
              <w:autoSpaceDE w:val="0"/>
              <w:autoSpaceDN w:val="0"/>
              <w:bidi w:val="0"/>
              <w:adjustRightInd w:val="0"/>
              <w:spacing w:after="0" w:line="240" w:lineRule="auto"/>
              <w:rPr>
                <w:rFonts w:ascii="Arial" w:hAnsi="Arial" w:cs="Arial"/>
                <w:color w:val="010205"/>
                <w:kern w:val="0"/>
                <w:sz w:val="18"/>
                <w:szCs w:val="18"/>
              </w:rPr>
            </w:pPr>
          </w:p>
        </w:tc>
        <w:tc>
          <w:tcPr>
            <w:tcW w:w="1292" w:type="dxa"/>
            <w:tcBorders>
              <w:top w:val="single" w:sz="8" w:space="0" w:color="AEAEAE"/>
              <w:left w:val="nil"/>
              <w:bottom w:val="single" w:sz="8" w:space="0" w:color="AEAEAE"/>
              <w:right w:val="nil"/>
            </w:tcBorders>
            <w:shd w:val="clear" w:color="auto" w:fill="E0E0E0"/>
          </w:tcPr>
          <w:p w14:paraId="579EE77F"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9F9FB"/>
          </w:tcPr>
          <w:p w14:paraId="0623D645"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29.219</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27DFD475"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194</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50E6599B"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.151</w:t>
            </w:r>
          </w:p>
        </w:tc>
        <w:tc>
          <w:tcPr>
            <w:tcW w:w="103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00865A1"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AEAEAE"/>
              <w:right w:val="nil"/>
            </w:tcBorders>
            <w:shd w:val="clear" w:color="auto" w:fill="F9F9FB"/>
            <w:vAlign w:val="center"/>
          </w:tcPr>
          <w:p w14:paraId="4D2F8E8E"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r>
      <w:tr w:rsidR="009655C4" w:rsidRPr="009655C4" w14:paraId="757A9E94" w14:textId="77777777" w:rsidTr="00A71B53">
        <w:trPr>
          <w:cantSplit/>
          <w:jc w:val="center"/>
        </w:trPr>
        <w:tc>
          <w:tcPr>
            <w:tcW w:w="736" w:type="dxa"/>
            <w:vMerge/>
            <w:tcBorders>
              <w:top w:val="single" w:sz="8" w:space="0" w:color="152935"/>
              <w:left w:val="nil"/>
              <w:bottom w:val="single" w:sz="8" w:space="0" w:color="152935"/>
              <w:right w:val="nil"/>
            </w:tcBorders>
            <w:shd w:val="clear" w:color="auto" w:fill="E0E0E0"/>
          </w:tcPr>
          <w:p w14:paraId="2FCC3FD0"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c>
          <w:tcPr>
            <w:tcW w:w="1292" w:type="dxa"/>
            <w:tcBorders>
              <w:top w:val="single" w:sz="8" w:space="0" w:color="AEAEAE"/>
              <w:left w:val="nil"/>
              <w:bottom w:val="single" w:sz="8" w:space="0" w:color="152935"/>
              <w:right w:val="nil"/>
            </w:tcBorders>
            <w:shd w:val="clear" w:color="auto" w:fill="E0E0E0"/>
          </w:tcPr>
          <w:p w14:paraId="49B8E661"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9F9FB"/>
          </w:tcPr>
          <w:p w14:paraId="556AEC95"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135.000</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0202E5B3"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195</w:t>
            </w:r>
          </w:p>
        </w:tc>
        <w:tc>
          <w:tcPr>
            <w:tcW w:w="14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432C823"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B34C4D3"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152935"/>
              <w:right w:val="nil"/>
            </w:tcBorders>
            <w:shd w:val="clear" w:color="auto" w:fill="F9F9FB"/>
            <w:vAlign w:val="center"/>
          </w:tcPr>
          <w:p w14:paraId="626FC8E3"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r>
      <w:tr w:rsidR="009655C4" w:rsidRPr="009655C4" w14:paraId="537F9AD7" w14:textId="77777777" w:rsidTr="00A71B53">
        <w:trPr>
          <w:cantSplit/>
          <w:jc w:val="center"/>
        </w:trPr>
        <w:tc>
          <w:tcPr>
            <w:tcW w:w="8009" w:type="dxa"/>
            <w:gridSpan w:val="7"/>
            <w:tcBorders>
              <w:top w:val="nil"/>
              <w:left w:val="nil"/>
              <w:bottom w:val="nil"/>
              <w:right w:val="nil"/>
            </w:tcBorders>
            <w:shd w:val="clear" w:color="auto" w:fill="FFFFFF"/>
          </w:tcPr>
          <w:p w14:paraId="7C22861A"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010205"/>
                <w:kern w:val="0"/>
                <w:sz w:val="18"/>
                <w:szCs w:val="18"/>
              </w:rPr>
            </w:pPr>
            <w:r w:rsidRPr="009655C4">
              <w:rPr>
                <w:rFonts w:ascii="Arial" w:hAnsi="Arial" w:cs="Arial"/>
                <w:color w:val="010205"/>
                <w:kern w:val="0"/>
                <w:sz w:val="18"/>
                <w:szCs w:val="18"/>
              </w:rPr>
              <w:t>a. Dependent Variable: Risk_Management_Effectiveness</w:t>
            </w:r>
          </w:p>
        </w:tc>
      </w:tr>
      <w:tr w:rsidR="009655C4" w:rsidRPr="009655C4" w14:paraId="56459D95" w14:textId="77777777" w:rsidTr="00A71B53">
        <w:trPr>
          <w:cantSplit/>
          <w:jc w:val="center"/>
        </w:trPr>
        <w:tc>
          <w:tcPr>
            <w:tcW w:w="8009" w:type="dxa"/>
            <w:gridSpan w:val="7"/>
            <w:tcBorders>
              <w:top w:val="nil"/>
              <w:left w:val="nil"/>
              <w:bottom w:val="nil"/>
              <w:right w:val="nil"/>
            </w:tcBorders>
            <w:shd w:val="clear" w:color="auto" w:fill="FFFFFF"/>
          </w:tcPr>
          <w:p w14:paraId="61640CA2"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010205"/>
                <w:kern w:val="0"/>
                <w:sz w:val="18"/>
                <w:szCs w:val="18"/>
              </w:rPr>
            </w:pPr>
            <w:r w:rsidRPr="009655C4">
              <w:rPr>
                <w:rFonts w:ascii="Arial" w:hAnsi="Arial" w:cs="Arial"/>
                <w:color w:val="010205"/>
                <w:kern w:val="0"/>
                <w:sz w:val="18"/>
                <w:szCs w:val="18"/>
              </w:rPr>
              <w:t>b. Predictors: (Constant), Information_Data</w:t>
            </w:r>
          </w:p>
        </w:tc>
      </w:tr>
    </w:tbl>
    <w:p w14:paraId="47BB4B33" w14:textId="77777777" w:rsidR="009655C4" w:rsidRPr="009655C4" w:rsidRDefault="009655C4" w:rsidP="009655C4">
      <w:pPr>
        <w:autoSpaceDE w:val="0"/>
        <w:autoSpaceDN w:val="0"/>
        <w:bidi w:val="0"/>
        <w:adjustRightInd w:val="0"/>
        <w:spacing w:after="0" w:line="400" w:lineRule="atLeast"/>
        <w:rPr>
          <w:rFonts w:ascii="Times New Roman" w:hAnsi="Times New Roman" w:cs="Times New Roman"/>
          <w:kern w:val="0"/>
          <w:sz w:val="24"/>
          <w:szCs w:val="24"/>
        </w:rPr>
      </w:pPr>
    </w:p>
    <w:p w14:paraId="7740B6D8" w14:textId="77777777" w:rsidR="009655C4" w:rsidRPr="009655C4" w:rsidRDefault="009655C4" w:rsidP="009655C4">
      <w:pPr>
        <w:autoSpaceDE w:val="0"/>
        <w:autoSpaceDN w:val="0"/>
        <w:bidi w:val="0"/>
        <w:adjustRightInd w:val="0"/>
        <w:spacing w:after="0" w:line="400" w:lineRule="atLeast"/>
        <w:rPr>
          <w:rFonts w:ascii="Times New Roman" w:hAnsi="Times New Roman" w:cs="Times New Roman"/>
          <w:kern w:val="0"/>
          <w:sz w:val="24"/>
          <w:szCs w:val="24"/>
        </w:rPr>
      </w:pPr>
    </w:p>
    <w:p w14:paraId="41FAB2BD" w14:textId="278E988B" w:rsidR="00A71B53" w:rsidRDefault="00A71B53" w:rsidP="00A71B53">
      <w:pPr>
        <w:pStyle w:val="ad"/>
      </w:pPr>
      <w:bookmarkStart w:id="205" w:name="_Toc214622031"/>
      <w:r>
        <w:t xml:space="preserve">Table </w:t>
      </w:r>
      <w:r>
        <w:fldChar w:fldCharType="begin"/>
      </w:r>
      <w:r>
        <w:instrText xml:space="preserve"> SEQ Table \* ARABIC </w:instrText>
      </w:r>
      <w:r>
        <w:fldChar w:fldCharType="separate"/>
      </w:r>
      <w:r w:rsidR="00CD4CCF">
        <w:t>25</w:t>
      </w:r>
      <w:r>
        <w:fldChar w:fldCharType="end"/>
      </w:r>
      <w:r>
        <w:t xml:space="preserve">: </w:t>
      </w:r>
      <w:r w:rsidRPr="008152EA">
        <w:t>Regression Coefficients for the Impact of Information Sharing &amp; Data Integration on Risk Management Effectiveness</w:t>
      </w:r>
      <w:bookmarkEnd w:id="205"/>
    </w:p>
    <w:tbl>
      <w:tblPr>
        <w:tblW w:w="8700" w:type="dxa"/>
        <w:tblLayout w:type="fixed"/>
        <w:tblCellMar>
          <w:left w:w="0" w:type="dxa"/>
          <w:right w:w="0" w:type="dxa"/>
        </w:tblCellMar>
        <w:tblLook w:val="0000" w:firstRow="0" w:lastRow="0" w:firstColumn="0" w:lastColumn="0" w:noHBand="0" w:noVBand="0"/>
      </w:tblPr>
      <w:tblGrid>
        <w:gridCol w:w="737"/>
        <w:gridCol w:w="1753"/>
        <w:gridCol w:w="1338"/>
        <w:gridCol w:w="1338"/>
        <w:gridCol w:w="1476"/>
        <w:gridCol w:w="1029"/>
        <w:gridCol w:w="1029"/>
      </w:tblGrid>
      <w:tr w:rsidR="009655C4" w:rsidRPr="009655C4" w14:paraId="68ABA543" w14:textId="77777777" w:rsidTr="00A71B53">
        <w:trPr>
          <w:cantSplit/>
        </w:trPr>
        <w:tc>
          <w:tcPr>
            <w:tcW w:w="8700" w:type="dxa"/>
            <w:gridSpan w:val="7"/>
            <w:tcBorders>
              <w:top w:val="nil"/>
              <w:left w:val="nil"/>
              <w:bottom w:val="nil"/>
              <w:right w:val="nil"/>
            </w:tcBorders>
            <w:shd w:val="clear" w:color="auto" w:fill="FFFFFF"/>
            <w:vAlign w:val="center"/>
          </w:tcPr>
          <w:p w14:paraId="08B37C13"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010205"/>
                <w:kern w:val="0"/>
              </w:rPr>
            </w:pPr>
            <w:r w:rsidRPr="009655C4">
              <w:rPr>
                <w:rFonts w:ascii="Arial" w:hAnsi="Arial" w:cs="Arial"/>
                <w:b/>
                <w:bCs/>
                <w:color w:val="010205"/>
                <w:kern w:val="0"/>
              </w:rPr>
              <w:t>Coefficients</w:t>
            </w:r>
            <w:r w:rsidRPr="009655C4">
              <w:rPr>
                <w:rFonts w:ascii="Arial" w:hAnsi="Arial" w:cs="Arial"/>
                <w:b/>
                <w:bCs/>
                <w:color w:val="010205"/>
                <w:kern w:val="0"/>
                <w:vertAlign w:val="superscript"/>
              </w:rPr>
              <w:t>a</w:t>
            </w:r>
          </w:p>
        </w:tc>
      </w:tr>
      <w:tr w:rsidR="009655C4" w:rsidRPr="009655C4" w14:paraId="78B9D448" w14:textId="77777777" w:rsidTr="00A71B53">
        <w:trPr>
          <w:cantSplit/>
        </w:trPr>
        <w:tc>
          <w:tcPr>
            <w:tcW w:w="2490" w:type="dxa"/>
            <w:gridSpan w:val="2"/>
            <w:vMerge w:val="restart"/>
            <w:tcBorders>
              <w:top w:val="nil"/>
              <w:left w:val="nil"/>
              <w:bottom w:val="nil"/>
              <w:right w:val="nil"/>
            </w:tcBorders>
            <w:shd w:val="clear" w:color="auto" w:fill="FFFFFF"/>
            <w:vAlign w:val="bottom"/>
          </w:tcPr>
          <w:p w14:paraId="1BEFFCAB"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Model</w:t>
            </w:r>
          </w:p>
        </w:tc>
        <w:tc>
          <w:tcPr>
            <w:tcW w:w="2676" w:type="dxa"/>
            <w:gridSpan w:val="2"/>
            <w:tcBorders>
              <w:top w:val="nil"/>
              <w:left w:val="nil"/>
              <w:bottom w:val="nil"/>
              <w:right w:val="single" w:sz="8" w:space="0" w:color="E0E0E0"/>
            </w:tcBorders>
            <w:shd w:val="clear" w:color="auto" w:fill="FFFFFF"/>
            <w:vAlign w:val="bottom"/>
          </w:tcPr>
          <w:p w14:paraId="60BCF33A"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14:paraId="4BCBE05F"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676B705B"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1FC236B7"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Sig.</w:t>
            </w:r>
          </w:p>
        </w:tc>
      </w:tr>
      <w:tr w:rsidR="009655C4" w:rsidRPr="009655C4" w14:paraId="2A8AA897" w14:textId="77777777" w:rsidTr="00A71B53">
        <w:trPr>
          <w:cantSplit/>
        </w:trPr>
        <w:tc>
          <w:tcPr>
            <w:tcW w:w="2490" w:type="dxa"/>
            <w:gridSpan w:val="2"/>
            <w:vMerge/>
            <w:tcBorders>
              <w:top w:val="nil"/>
              <w:left w:val="nil"/>
              <w:bottom w:val="nil"/>
              <w:right w:val="nil"/>
            </w:tcBorders>
            <w:shd w:val="clear" w:color="auto" w:fill="FFFFFF"/>
            <w:vAlign w:val="bottom"/>
          </w:tcPr>
          <w:p w14:paraId="0C11CB24" w14:textId="77777777" w:rsidR="009655C4" w:rsidRPr="009655C4" w:rsidRDefault="009655C4" w:rsidP="009655C4">
            <w:pPr>
              <w:autoSpaceDE w:val="0"/>
              <w:autoSpaceDN w:val="0"/>
              <w:bidi w:val="0"/>
              <w:adjustRightInd w:val="0"/>
              <w:spacing w:after="0" w:line="240" w:lineRule="auto"/>
              <w:rPr>
                <w:rFonts w:ascii="Arial" w:hAnsi="Arial" w:cs="Arial"/>
                <w:color w:val="264A60"/>
                <w:kern w:val="0"/>
                <w:sz w:val="18"/>
                <w:szCs w:val="18"/>
              </w:rPr>
            </w:pPr>
          </w:p>
        </w:tc>
        <w:tc>
          <w:tcPr>
            <w:tcW w:w="1338" w:type="dxa"/>
            <w:tcBorders>
              <w:top w:val="nil"/>
              <w:left w:val="nil"/>
              <w:bottom w:val="single" w:sz="8" w:space="0" w:color="152935"/>
              <w:right w:val="single" w:sz="8" w:space="0" w:color="E0E0E0"/>
            </w:tcBorders>
            <w:shd w:val="clear" w:color="auto" w:fill="FFFFFF"/>
            <w:vAlign w:val="bottom"/>
          </w:tcPr>
          <w:p w14:paraId="21AAD6A8"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14:paraId="31F9B5D0"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3C0AAAD" w14:textId="77777777" w:rsidR="009655C4" w:rsidRPr="009655C4" w:rsidRDefault="009655C4" w:rsidP="009655C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9655C4">
              <w:rPr>
                <w:rFonts w:ascii="Arial" w:hAnsi="Arial" w:cs="Arial"/>
                <w:color w:val="264A60"/>
                <w:kern w:val="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21609EF1" w14:textId="77777777" w:rsidR="009655C4" w:rsidRPr="009655C4" w:rsidRDefault="009655C4" w:rsidP="009655C4">
            <w:pPr>
              <w:autoSpaceDE w:val="0"/>
              <w:autoSpaceDN w:val="0"/>
              <w:bidi w:val="0"/>
              <w:adjustRightInd w:val="0"/>
              <w:spacing w:after="0" w:line="240" w:lineRule="auto"/>
              <w:rPr>
                <w:rFonts w:ascii="Arial" w:hAnsi="Arial" w:cs="Arial"/>
                <w:color w:val="264A60"/>
                <w:kern w:val="0"/>
                <w:sz w:val="18"/>
                <w:szCs w:val="18"/>
              </w:rPr>
            </w:pPr>
          </w:p>
        </w:tc>
        <w:tc>
          <w:tcPr>
            <w:tcW w:w="1029" w:type="dxa"/>
            <w:vMerge/>
            <w:tcBorders>
              <w:top w:val="nil"/>
              <w:left w:val="single" w:sz="8" w:space="0" w:color="E0E0E0"/>
              <w:bottom w:val="nil"/>
              <w:right w:val="nil"/>
            </w:tcBorders>
            <w:shd w:val="clear" w:color="auto" w:fill="FFFFFF"/>
            <w:vAlign w:val="bottom"/>
          </w:tcPr>
          <w:p w14:paraId="12BE5334" w14:textId="77777777" w:rsidR="009655C4" w:rsidRPr="009655C4" w:rsidRDefault="009655C4" w:rsidP="009655C4">
            <w:pPr>
              <w:autoSpaceDE w:val="0"/>
              <w:autoSpaceDN w:val="0"/>
              <w:bidi w:val="0"/>
              <w:adjustRightInd w:val="0"/>
              <w:spacing w:after="0" w:line="240" w:lineRule="auto"/>
              <w:rPr>
                <w:rFonts w:ascii="Arial" w:hAnsi="Arial" w:cs="Arial"/>
                <w:color w:val="264A60"/>
                <w:kern w:val="0"/>
                <w:sz w:val="18"/>
                <w:szCs w:val="18"/>
              </w:rPr>
            </w:pPr>
          </w:p>
        </w:tc>
      </w:tr>
      <w:tr w:rsidR="009655C4" w:rsidRPr="009655C4" w14:paraId="1055F7B0" w14:textId="77777777" w:rsidTr="00A71B53">
        <w:trPr>
          <w:cantSplit/>
        </w:trPr>
        <w:tc>
          <w:tcPr>
            <w:tcW w:w="737" w:type="dxa"/>
            <w:vMerge w:val="restart"/>
            <w:tcBorders>
              <w:top w:val="single" w:sz="8" w:space="0" w:color="152935"/>
              <w:left w:val="nil"/>
              <w:bottom w:val="single" w:sz="8" w:space="0" w:color="152935"/>
              <w:right w:val="nil"/>
            </w:tcBorders>
            <w:shd w:val="clear" w:color="auto" w:fill="E0E0E0"/>
          </w:tcPr>
          <w:p w14:paraId="24727343"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1</w:t>
            </w:r>
          </w:p>
        </w:tc>
        <w:tc>
          <w:tcPr>
            <w:tcW w:w="1753" w:type="dxa"/>
            <w:tcBorders>
              <w:top w:val="single" w:sz="8" w:space="0" w:color="152935"/>
              <w:left w:val="nil"/>
              <w:bottom w:val="single" w:sz="8" w:space="0" w:color="AEAEAE"/>
              <w:right w:val="nil"/>
            </w:tcBorders>
            <w:shd w:val="clear" w:color="auto" w:fill="E0E0E0"/>
          </w:tcPr>
          <w:p w14:paraId="55BC92FA"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(Constant)</w:t>
            </w:r>
          </w:p>
        </w:tc>
        <w:tc>
          <w:tcPr>
            <w:tcW w:w="1338" w:type="dxa"/>
            <w:tcBorders>
              <w:top w:val="single" w:sz="8" w:space="0" w:color="152935"/>
              <w:left w:val="nil"/>
              <w:bottom w:val="single" w:sz="8" w:space="0" w:color="AEAEAE"/>
              <w:right w:val="single" w:sz="8" w:space="0" w:color="E0E0E0"/>
            </w:tcBorders>
            <w:shd w:val="clear" w:color="auto" w:fill="F9F9FB"/>
          </w:tcPr>
          <w:p w14:paraId="3E5F5F28"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.182</w:t>
            </w:r>
          </w:p>
        </w:tc>
        <w:tc>
          <w:tcPr>
            <w:tcW w:w="1338" w:type="dxa"/>
            <w:tcBorders>
              <w:top w:val="single" w:sz="8" w:space="0" w:color="152935"/>
              <w:left w:val="single" w:sz="8" w:space="0" w:color="E0E0E0"/>
              <w:bottom w:val="single" w:sz="8" w:space="0" w:color="AEAEAE"/>
              <w:right w:val="single" w:sz="8" w:space="0" w:color="E0E0E0"/>
            </w:tcBorders>
            <w:shd w:val="clear" w:color="auto" w:fill="F9F9FB"/>
          </w:tcPr>
          <w:p w14:paraId="6BD24F4E"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.126</w:t>
            </w:r>
          </w:p>
        </w:tc>
        <w:tc>
          <w:tcPr>
            <w:tcW w:w="147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E395200" w14:textId="77777777" w:rsidR="009655C4" w:rsidRPr="009655C4" w:rsidRDefault="009655C4" w:rsidP="009655C4">
            <w:pPr>
              <w:autoSpaceDE w:val="0"/>
              <w:autoSpaceDN w:val="0"/>
              <w:bidi w:val="0"/>
              <w:adjustRightInd w:val="0"/>
              <w:spacing w:after="0" w:line="240" w:lineRule="auto"/>
              <w:rPr>
                <w:rFonts w:ascii="Times New Roman" w:hAnsi="Times New Roman" w:cs="Times New Roman"/>
                <w:kern w:val="0"/>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780BD524"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1.452</w:t>
            </w:r>
          </w:p>
        </w:tc>
        <w:tc>
          <w:tcPr>
            <w:tcW w:w="1029" w:type="dxa"/>
            <w:tcBorders>
              <w:top w:val="single" w:sz="8" w:space="0" w:color="152935"/>
              <w:left w:val="single" w:sz="8" w:space="0" w:color="E0E0E0"/>
              <w:bottom w:val="single" w:sz="8" w:space="0" w:color="AEAEAE"/>
              <w:right w:val="nil"/>
            </w:tcBorders>
            <w:shd w:val="clear" w:color="auto" w:fill="F9F9FB"/>
          </w:tcPr>
          <w:p w14:paraId="78FCABC1"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.148</w:t>
            </w:r>
          </w:p>
        </w:tc>
      </w:tr>
      <w:tr w:rsidR="009655C4" w:rsidRPr="009655C4" w14:paraId="56202226" w14:textId="77777777" w:rsidTr="00A71B53">
        <w:trPr>
          <w:cantSplit/>
        </w:trPr>
        <w:tc>
          <w:tcPr>
            <w:tcW w:w="737" w:type="dxa"/>
            <w:vMerge/>
            <w:tcBorders>
              <w:top w:val="single" w:sz="8" w:space="0" w:color="152935"/>
              <w:left w:val="nil"/>
              <w:bottom w:val="single" w:sz="8" w:space="0" w:color="152935"/>
              <w:right w:val="nil"/>
            </w:tcBorders>
            <w:shd w:val="clear" w:color="auto" w:fill="E0E0E0"/>
          </w:tcPr>
          <w:p w14:paraId="4D0BD60E" w14:textId="77777777" w:rsidR="009655C4" w:rsidRPr="009655C4" w:rsidRDefault="009655C4" w:rsidP="009655C4">
            <w:pPr>
              <w:autoSpaceDE w:val="0"/>
              <w:autoSpaceDN w:val="0"/>
              <w:bidi w:val="0"/>
              <w:adjustRightInd w:val="0"/>
              <w:spacing w:after="0" w:line="240" w:lineRule="auto"/>
              <w:rPr>
                <w:rFonts w:ascii="Arial" w:hAnsi="Arial" w:cs="Arial"/>
                <w:color w:val="010205"/>
                <w:kern w:val="0"/>
                <w:sz w:val="18"/>
                <w:szCs w:val="18"/>
              </w:rPr>
            </w:pPr>
          </w:p>
        </w:tc>
        <w:tc>
          <w:tcPr>
            <w:tcW w:w="1753" w:type="dxa"/>
            <w:tcBorders>
              <w:top w:val="single" w:sz="8" w:space="0" w:color="AEAEAE"/>
              <w:left w:val="nil"/>
              <w:bottom w:val="single" w:sz="8" w:space="0" w:color="152935"/>
              <w:right w:val="nil"/>
            </w:tcBorders>
            <w:shd w:val="clear" w:color="auto" w:fill="E0E0E0"/>
          </w:tcPr>
          <w:p w14:paraId="5A1FBCFD"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264A60"/>
                <w:kern w:val="0"/>
                <w:sz w:val="18"/>
                <w:szCs w:val="18"/>
              </w:rPr>
            </w:pPr>
            <w:r w:rsidRPr="009655C4">
              <w:rPr>
                <w:rFonts w:ascii="Arial" w:hAnsi="Arial" w:cs="Arial"/>
                <w:color w:val="264A60"/>
                <w:kern w:val="0"/>
                <w:sz w:val="18"/>
                <w:szCs w:val="18"/>
              </w:rPr>
              <w:t>Information_Data</w:t>
            </w:r>
          </w:p>
        </w:tc>
        <w:tc>
          <w:tcPr>
            <w:tcW w:w="1338" w:type="dxa"/>
            <w:tcBorders>
              <w:top w:val="single" w:sz="8" w:space="0" w:color="AEAEAE"/>
              <w:left w:val="nil"/>
              <w:bottom w:val="single" w:sz="8" w:space="0" w:color="152935"/>
              <w:right w:val="single" w:sz="8" w:space="0" w:color="E0E0E0"/>
            </w:tcBorders>
            <w:shd w:val="clear" w:color="auto" w:fill="F9F9FB"/>
          </w:tcPr>
          <w:p w14:paraId="0EA210F4"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.954</w:t>
            </w:r>
          </w:p>
        </w:tc>
        <w:tc>
          <w:tcPr>
            <w:tcW w:w="1338" w:type="dxa"/>
            <w:tcBorders>
              <w:top w:val="single" w:sz="8" w:space="0" w:color="AEAEAE"/>
              <w:left w:val="single" w:sz="8" w:space="0" w:color="E0E0E0"/>
              <w:bottom w:val="single" w:sz="8" w:space="0" w:color="152935"/>
              <w:right w:val="single" w:sz="8" w:space="0" w:color="E0E0E0"/>
            </w:tcBorders>
            <w:shd w:val="clear" w:color="auto" w:fill="F9F9FB"/>
          </w:tcPr>
          <w:p w14:paraId="7A710859"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.036</w:t>
            </w:r>
          </w:p>
        </w:tc>
        <w:tc>
          <w:tcPr>
            <w:tcW w:w="1476" w:type="dxa"/>
            <w:tcBorders>
              <w:top w:val="single" w:sz="8" w:space="0" w:color="AEAEAE"/>
              <w:left w:val="single" w:sz="8" w:space="0" w:color="E0E0E0"/>
              <w:bottom w:val="single" w:sz="8" w:space="0" w:color="152935"/>
              <w:right w:val="single" w:sz="8" w:space="0" w:color="E0E0E0"/>
            </w:tcBorders>
            <w:shd w:val="clear" w:color="auto" w:fill="F9F9FB"/>
          </w:tcPr>
          <w:p w14:paraId="5D5A48DF"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.885</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BAA8DAB"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26.502</w:t>
            </w:r>
          </w:p>
        </w:tc>
        <w:tc>
          <w:tcPr>
            <w:tcW w:w="1029" w:type="dxa"/>
            <w:tcBorders>
              <w:top w:val="single" w:sz="8" w:space="0" w:color="AEAEAE"/>
              <w:left w:val="single" w:sz="8" w:space="0" w:color="E0E0E0"/>
              <w:bottom w:val="single" w:sz="8" w:space="0" w:color="152935"/>
              <w:right w:val="nil"/>
            </w:tcBorders>
            <w:shd w:val="clear" w:color="auto" w:fill="F9F9FB"/>
          </w:tcPr>
          <w:p w14:paraId="0909C03A" w14:textId="77777777" w:rsidR="009655C4" w:rsidRPr="009655C4" w:rsidRDefault="009655C4" w:rsidP="009655C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9655C4">
              <w:rPr>
                <w:rFonts w:ascii="Arial" w:hAnsi="Arial" w:cs="Arial"/>
                <w:color w:val="010205"/>
                <w:kern w:val="0"/>
                <w:sz w:val="18"/>
                <w:szCs w:val="18"/>
              </w:rPr>
              <w:t>.000</w:t>
            </w:r>
          </w:p>
        </w:tc>
      </w:tr>
      <w:tr w:rsidR="009655C4" w:rsidRPr="009655C4" w14:paraId="67B35E4B" w14:textId="77777777" w:rsidTr="00A71B53">
        <w:trPr>
          <w:cantSplit/>
        </w:trPr>
        <w:tc>
          <w:tcPr>
            <w:tcW w:w="8700" w:type="dxa"/>
            <w:gridSpan w:val="7"/>
            <w:tcBorders>
              <w:top w:val="nil"/>
              <w:left w:val="nil"/>
              <w:bottom w:val="nil"/>
              <w:right w:val="nil"/>
            </w:tcBorders>
            <w:shd w:val="clear" w:color="auto" w:fill="FFFFFF"/>
          </w:tcPr>
          <w:p w14:paraId="29CAE4AC" w14:textId="77777777" w:rsidR="009655C4" w:rsidRPr="009655C4" w:rsidRDefault="009655C4" w:rsidP="009655C4">
            <w:pPr>
              <w:autoSpaceDE w:val="0"/>
              <w:autoSpaceDN w:val="0"/>
              <w:bidi w:val="0"/>
              <w:adjustRightInd w:val="0"/>
              <w:spacing w:after="0" w:line="320" w:lineRule="atLeast"/>
              <w:ind w:left="60" w:right="60"/>
              <w:rPr>
                <w:rFonts w:ascii="Arial" w:hAnsi="Arial" w:cs="Arial"/>
                <w:color w:val="010205"/>
                <w:kern w:val="0"/>
                <w:sz w:val="18"/>
                <w:szCs w:val="18"/>
              </w:rPr>
            </w:pPr>
            <w:r w:rsidRPr="009655C4">
              <w:rPr>
                <w:rFonts w:ascii="Arial" w:hAnsi="Arial" w:cs="Arial"/>
                <w:color w:val="010205"/>
                <w:kern w:val="0"/>
                <w:sz w:val="18"/>
                <w:szCs w:val="18"/>
              </w:rPr>
              <w:t>a. Dependent Variable: Risk_Management_Effectiveness</w:t>
            </w:r>
          </w:p>
        </w:tc>
      </w:tr>
    </w:tbl>
    <w:p w14:paraId="67354BD8" w14:textId="77777777" w:rsidR="009655C4" w:rsidRPr="009655C4" w:rsidRDefault="009655C4" w:rsidP="009655C4">
      <w:pPr>
        <w:autoSpaceDE w:val="0"/>
        <w:autoSpaceDN w:val="0"/>
        <w:bidi w:val="0"/>
        <w:adjustRightInd w:val="0"/>
        <w:spacing w:after="0" w:line="400" w:lineRule="atLeast"/>
        <w:rPr>
          <w:rFonts w:ascii="Times New Roman" w:hAnsi="Times New Roman" w:cs="Times New Roman"/>
          <w:kern w:val="0"/>
          <w:sz w:val="24"/>
          <w:szCs w:val="24"/>
        </w:rPr>
      </w:pPr>
    </w:p>
    <w:p w14:paraId="2EE91C1E" w14:textId="6ADE5992" w:rsidR="002A7418" w:rsidRPr="002A7418" w:rsidRDefault="008909A0" w:rsidP="002A7418">
      <w:pPr>
        <w:autoSpaceDE w:val="0"/>
        <w:autoSpaceDN w:val="0"/>
        <w:bidi w:val="0"/>
        <w:adjustRightInd w:val="0"/>
        <w:spacing w:after="0" w:line="400" w:lineRule="atLeast"/>
        <w:rPr>
          <w:rFonts w:ascii="Times New Roman" w:hAnsi="Times New Roman" w:cs="Times New Roman"/>
          <w:kern w:val="0"/>
          <w:sz w:val="24"/>
          <w:szCs w:val="24"/>
        </w:rPr>
      </w:pPr>
      <w:r>
        <w:rPr>
          <w:rFonts w:ascii="Times New Roman" w:hAnsi="Times New Roman" w:cs="Times New Roman"/>
          <w:noProof/>
          <w:sz w:val="24"/>
          <w:szCs w:val="24"/>
        </w:rPr>
        <mc:AlternateContent>
          <mc:Choice Requires="wpg">
            <w:drawing>
              <wp:inline distT="0" distB="0" distL="0" distR="0" wp14:anchorId="6F1F1E56" wp14:editId="1B21BE09">
                <wp:extent cx="5773733" cy="702860"/>
                <wp:effectExtent l="0" t="0" r="17780" b="21590"/>
                <wp:docPr id="19" name="Group 19"/>
                <wp:cNvGraphicFramePr/>
                <a:graphic xmlns:a="http://schemas.openxmlformats.org/drawingml/2006/main">
                  <a:graphicData uri="http://schemas.microsoft.com/office/word/2010/wordprocessingGroup">
                    <wpg:wgp>
                      <wpg:cNvGrpSpPr/>
                      <wpg:grpSpPr>
                        <a:xfrm>
                          <a:off x="0" y="0"/>
                          <a:ext cx="5773733" cy="702860"/>
                          <a:chOff x="0" y="0"/>
                          <a:chExt cx="6241564" cy="760219"/>
                        </a:xfrm>
                      </wpg:grpSpPr>
                      <wpg:grpSp>
                        <wpg:cNvPr id="20" name="Group 20"/>
                        <wpg:cNvGrpSpPr/>
                        <wpg:grpSpPr>
                          <a:xfrm>
                            <a:off x="0" y="42873"/>
                            <a:ext cx="6241564" cy="717346"/>
                            <a:chOff x="0" y="-194871"/>
                            <a:chExt cx="6241564" cy="717346"/>
                          </a:xfrm>
                        </wpg:grpSpPr>
                        <wps:wsp>
                          <wps:cNvPr id="21" name="Rectangle 21"/>
                          <wps:cNvSpPr/>
                          <wps:spPr>
                            <a:xfrm>
                              <a:off x="4065545" y="-194871"/>
                              <a:ext cx="2176019" cy="717346"/>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54C98FC5" w14:textId="7D5838AA" w:rsidR="008909A0" w:rsidRPr="00690E88" w:rsidRDefault="008909A0" w:rsidP="008909A0">
                                <w:pPr>
                                  <w:jc w:val="center"/>
                                  <w:rPr>
                                    <w:color w:val="000000" w:themeColor="text1"/>
                                  </w:rPr>
                                </w:pPr>
                                <w:r w:rsidRPr="008909A0">
                                  <w:rPr>
                                    <w:rFonts w:asciiTheme="majorBidi" w:hAnsiTheme="majorBidi" w:cstheme="majorBidi"/>
                                    <w:b/>
                                    <w:bCs/>
                                    <w:noProof/>
                                    <w:color w:val="000000" w:themeColor="text1"/>
                                  </w:rPr>
                                  <w:t>Functional relationship between Account Managers and Sales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H="1">
                              <a:off x="2337054" y="176022"/>
                              <a:ext cx="1531620" cy="9144"/>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wps:wsp>
                          <wps:cNvPr id="23" name="Rectangle 23"/>
                          <wps:cNvSpPr/>
                          <wps:spPr>
                            <a:xfrm>
                              <a:off x="0" y="-520"/>
                              <a:ext cx="2176017" cy="500854"/>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1E2B857A" w14:textId="77777777" w:rsidR="008909A0" w:rsidRPr="008909A0" w:rsidRDefault="008909A0" w:rsidP="008909A0">
                                <w:pPr>
                                  <w:jc w:val="center"/>
                                  <w:rPr>
                                    <w:rFonts w:asciiTheme="majorBidi" w:hAnsiTheme="majorBidi" w:cstheme="majorBidi"/>
                                    <w:b/>
                                    <w:bCs/>
                                    <w:noProof/>
                                    <w:color w:val="000000" w:themeColor="text1"/>
                                  </w:rPr>
                                </w:pPr>
                                <w:r w:rsidRPr="008909A0">
                                  <w:rPr>
                                    <w:rFonts w:asciiTheme="majorBidi" w:hAnsiTheme="majorBidi" w:cstheme="majorBidi"/>
                                    <w:b/>
                                    <w:bCs/>
                                    <w:noProof/>
                                    <w:color w:val="000000" w:themeColor="text1"/>
                                  </w:rPr>
                                  <w:t>Risk management effectiveness</w:t>
                                </w:r>
                              </w:p>
                              <w:p w14:paraId="552754AF" w14:textId="621A1885" w:rsidR="008909A0" w:rsidRPr="00690E88" w:rsidRDefault="008909A0" w:rsidP="008909A0">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 name="Rectangle 24"/>
                        <wps:cNvSpPr/>
                        <wps:spPr>
                          <a:xfrm>
                            <a:off x="2496312" y="0"/>
                            <a:ext cx="1224915" cy="356997"/>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59E54290" w14:textId="2CD615B4" w:rsidR="008909A0" w:rsidRPr="00690E88" w:rsidRDefault="00641475" w:rsidP="008909A0">
                              <w:pPr>
                                <w:autoSpaceDE w:val="0"/>
                                <w:autoSpaceDN w:val="0"/>
                                <w:adjustRightInd w:val="0"/>
                                <w:spacing w:line="400" w:lineRule="atLeast"/>
                                <w:rPr>
                                  <w:rFonts w:ascii="Times New Roman" w:hAnsi="Times New Roman" w:cs="Times New Roman"/>
                                  <w:b/>
                                  <w:bCs/>
                                  <w:color w:val="000000" w:themeColor="text1"/>
                                </w:rPr>
                              </w:pPr>
                              <m:oMathPara>
                                <m:oMath>
                                  <m:sSup>
                                    <m:sSupPr>
                                      <m:ctrlPr>
                                        <w:rPr>
                                          <w:rFonts w:ascii="Cambria Math" w:hAnsi="Cambria Math" w:cs="Times New Roman"/>
                                          <w:b/>
                                          <w:bCs/>
                                          <w:i/>
                                          <w:color w:val="000000" w:themeColor="text1"/>
                                        </w:rPr>
                                      </m:ctrlPr>
                                    </m:sSupPr>
                                    <m:e>
                                      <m:r>
                                        <m:rPr>
                                          <m:sty m:val="bi"/>
                                        </m:rPr>
                                        <w:rPr>
                                          <w:rFonts w:ascii="Cambria Math" w:hAnsi="Cambria Math" w:cs="Times New Roman"/>
                                          <w:color w:val="000000" w:themeColor="text1"/>
                                        </w:rPr>
                                        <m:t>R</m:t>
                                      </m:r>
                                    </m:e>
                                    <m:sup>
                                      <m:r>
                                        <m:rPr>
                                          <m:sty m:val="bi"/>
                                        </m:rPr>
                                        <w:rPr>
                                          <w:rFonts w:ascii="Cambria Math" w:hAnsi="Cambria Math" w:cs="Times New Roman"/>
                                          <w:color w:val="000000" w:themeColor="text1"/>
                                        </w:rPr>
                                        <m:t xml:space="preserve"> </m:t>
                                      </m:r>
                                    </m:sup>
                                  </m:sSup>
                                  <m:r>
                                    <m:rPr>
                                      <m:sty m:val="bi"/>
                                    </m:rPr>
                                    <w:rPr>
                                      <w:rFonts w:ascii="Cambria Math" w:hAnsi="Cambria Math" w:cs="Times New Roman"/>
                                      <w:color w:val="000000" w:themeColor="text1"/>
                                    </w:rPr>
                                    <m:t>=0.885</m:t>
                                  </m:r>
                                </m:oMath>
                              </m:oMathPara>
                            </w:p>
                            <w:p w14:paraId="4B376561" w14:textId="77777777" w:rsidR="008909A0" w:rsidRPr="00690E88" w:rsidRDefault="008909A0" w:rsidP="008909A0">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482596" y="352044"/>
                            <a:ext cx="1224915" cy="356997"/>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5425D08A" w14:textId="479BF331" w:rsidR="008909A0" w:rsidRPr="00690E88" w:rsidRDefault="00641475" w:rsidP="008909A0">
                              <w:pPr>
                                <w:autoSpaceDE w:val="0"/>
                                <w:autoSpaceDN w:val="0"/>
                                <w:adjustRightInd w:val="0"/>
                                <w:spacing w:line="400" w:lineRule="atLeast"/>
                                <w:rPr>
                                  <w:rFonts w:ascii="Times New Roman" w:hAnsi="Times New Roman" w:cs="Times New Roman"/>
                                  <w:b/>
                                  <w:bCs/>
                                  <w:color w:val="000000" w:themeColor="text1"/>
                                </w:rPr>
                              </w:pPr>
                              <m:oMathPara>
                                <m:oMath>
                                  <m:sSup>
                                    <m:sSupPr>
                                      <m:ctrlPr>
                                        <w:rPr>
                                          <w:rFonts w:ascii="Cambria Math" w:hAnsi="Cambria Math" w:cs="Times New Roman"/>
                                          <w:b/>
                                          <w:bCs/>
                                          <w:i/>
                                          <w:color w:val="000000" w:themeColor="text1"/>
                                        </w:rPr>
                                      </m:ctrlPr>
                                    </m:sSupPr>
                                    <m:e>
                                      <m:r>
                                        <m:rPr>
                                          <m:sty m:val="bi"/>
                                        </m:rPr>
                                        <w:rPr>
                                          <w:rFonts w:ascii="Cambria Math" w:hAnsi="Cambria Math" w:cs="Times New Roman"/>
                                          <w:color w:val="000000" w:themeColor="text1"/>
                                        </w:rPr>
                                        <m:t>R</m:t>
                                      </m:r>
                                    </m:e>
                                    <m:sup>
                                      <m:r>
                                        <m:rPr>
                                          <m:sty m:val="bi"/>
                                        </m:rPr>
                                        <w:rPr>
                                          <w:rFonts w:ascii="Cambria Math" w:hAnsi="Cambria Math" w:cs="Times New Roman"/>
                                          <w:color w:val="000000" w:themeColor="text1"/>
                                        </w:rPr>
                                        <m:t>2</m:t>
                                      </m:r>
                                    </m:sup>
                                  </m:sSup>
                                  <m:r>
                                    <m:rPr>
                                      <m:sty m:val="bi"/>
                                    </m:rPr>
                                    <w:rPr>
                                      <w:rFonts w:ascii="Cambria Math" w:hAnsi="Cambria Math" w:cs="Times New Roman"/>
                                      <w:color w:val="000000" w:themeColor="text1"/>
                                    </w:rPr>
                                    <m:t>=0.784</m:t>
                                  </m:r>
                                </m:oMath>
                              </m:oMathPara>
                            </w:p>
                            <w:p w14:paraId="49BE24DC" w14:textId="77777777" w:rsidR="008909A0" w:rsidRPr="00690E88" w:rsidRDefault="008909A0" w:rsidP="008909A0">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F1F1E56" id="Group 19" o:spid="_x0000_s1066" style="width:454.6pt;height:55.35pt;mso-position-horizontal-relative:char;mso-position-vertical-relative:line" coordsize="62415,7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">
                <v:group id="Group 20" o:spid="_x0000_s1067" style="position:absolute;top:428;width:62415;height:7174" coordorigin=",-1948" coordsize="6241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68" style="position:absolute;left:40655;top:-1948;width:21760;height:7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" filled="f" strokecolor="black [3213]" strokeweight=".5pt">
                    <v:textbox>
                      <w:txbxContent>
                        <w:p w14:paraId="54C98FC5" w14:textId="7D5838AA" w:rsidR="008909A0" w:rsidRPr="00690E88" w:rsidRDefault="008909A0" w:rsidP="008909A0">
                          <w:pPr>
                            <w:jc w:val="center"/>
                            <w:rPr>
                              <w:color w:val="000000" w:themeColor="text1"/>
                            </w:rPr>
                          </w:pPr>
                          <w:r w:rsidRPr="008909A0">
                            <w:rPr>
                              <w:rFonts w:asciiTheme="majorBidi" w:hAnsiTheme="majorBidi" w:cstheme="majorBidi"/>
                              <w:b/>
                              <w:bCs/>
                              <w:noProof/>
                              <w:color w:val="000000" w:themeColor="text1"/>
                            </w:rPr>
                            <w:t>Functional relationship between Account Managers and Sales Teams</w:t>
                          </w:r>
                        </w:p>
                      </w:txbxContent>
                    </v:textbox>
                  </v:rect>
                  <v:shape id="Straight Arrow Connector 22" o:spid="_x0000_s1069" type="#_x0000_t32" style="position:absolute;left:23370;top:1760;width:15316;height: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" strokecolor="black [3200]" strokeweight="1pt">
                    <v:stroke endarrow="block" joinstyle="miter"/>
                  </v:shape>
                  <v:rect id="Rectangle 23" o:spid="_x0000_s1070" style="position:absolute;top:-5;width:21760;height:5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" filled="f" strokecolor="black [3213]" strokeweight=".5pt">
                    <v:textbox>
                      <w:txbxContent>
                        <w:p w14:paraId="1E2B857A" w14:textId="77777777" w:rsidR="008909A0" w:rsidRPr="008909A0" w:rsidRDefault="008909A0" w:rsidP="008909A0">
                          <w:pPr>
                            <w:jc w:val="center"/>
                            <w:rPr>
                              <w:rFonts w:asciiTheme="majorBidi" w:hAnsiTheme="majorBidi" w:cstheme="majorBidi"/>
                              <w:b/>
                              <w:bCs/>
                              <w:noProof/>
                              <w:color w:val="000000" w:themeColor="text1"/>
                            </w:rPr>
                          </w:pPr>
                          <w:r w:rsidRPr="008909A0">
                            <w:rPr>
                              <w:rFonts w:asciiTheme="majorBidi" w:hAnsiTheme="majorBidi" w:cstheme="majorBidi"/>
                              <w:b/>
                              <w:bCs/>
                              <w:noProof/>
                              <w:color w:val="000000" w:themeColor="text1"/>
                            </w:rPr>
                            <w:t>Risk management effectiveness</w:t>
                          </w:r>
                        </w:p>
                        <w:p w14:paraId="552754AF" w14:textId="621A1885" w:rsidR="008909A0" w:rsidRPr="00690E88" w:rsidRDefault="008909A0" w:rsidP="008909A0">
                          <w:pPr>
                            <w:jc w:val="center"/>
                            <w:rPr>
                              <w:color w:val="000000" w:themeColor="text1"/>
                            </w:rPr>
                          </w:pPr>
                        </w:p>
                      </w:txbxContent>
                    </v:textbox>
                  </v:rect>
                </v:group>
                <v:rect id="Rectangle 24" o:spid="_x0000_s1071" style="position:absolute;left:24963;width:12249;height:3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" filled="f" stroked="f" strokeweight=".5pt">
                  <v:textbox>
                    <w:txbxContent>
                      <w:p w14:paraId="59E54290" w14:textId="2CD615B4" w:rsidR="008909A0" w:rsidRPr="00690E88" w:rsidRDefault="008909A0" w:rsidP="008909A0">
                        <w:pPr>
                          <w:autoSpaceDE w:val="0"/>
                          <w:autoSpaceDN w:val="0"/>
                          <w:adjustRightInd w:val="0"/>
                          <w:spacing w:line="400" w:lineRule="atLeast"/>
                          <w:rPr>
                            <w:rFonts w:ascii="Times New Roman" w:hAnsi="Times New Roman" w:cs="Times New Roman"/>
                            <w:b/>
                            <w:bCs/>
                            <w:color w:val="000000" w:themeColor="text1"/>
                          </w:rPr>
                        </w:pPr>
                        <m:oMathPara>
                          <m:oMath>
                            <m:sSup>
                              <m:sSupPr>
                                <m:ctrlPr>
                                  <w:rPr>
                                    <w:rFonts w:ascii="Cambria Math" w:hAnsi="Cambria Math" w:cs="Times New Roman"/>
                                    <w:b/>
                                    <w:bCs/>
                                    <w:i/>
                                    <w:color w:val="000000" w:themeColor="text1"/>
                                  </w:rPr>
                                </m:ctrlPr>
                              </m:sSupPr>
                              <m:e>
                                <m:r>
                                  <m:rPr>
                                    <m:sty m:val="bi"/>
                                  </m:rPr>
                                  <w:rPr>
                                    <w:rFonts w:ascii="Cambria Math" w:hAnsi="Cambria Math" w:cs="Times New Roman"/>
                                    <w:color w:val="000000" w:themeColor="text1"/>
                                  </w:rPr>
                                  <m:t>R</m:t>
                                </m:r>
                              </m:e>
                              <m:sup>
                                <m:r>
                                  <m:rPr>
                                    <m:sty m:val="bi"/>
                                  </m:rPr>
                                  <w:rPr>
                                    <w:rFonts w:ascii="Cambria Math" w:hAnsi="Cambria Math" w:cs="Times New Roman"/>
                                    <w:color w:val="000000" w:themeColor="text1"/>
                                  </w:rPr>
                                  <m:t xml:space="preserve"> </m:t>
                                </m:r>
                              </m:sup>
                            </m:sSup>
                            <m:r>
                              <m:rPr>
                                <m:sty m:val="bi"/>
                              </m:rPr>
                              <w:rPr>
                                <w:rFonts w:ascii="Cambria Math" w:hAnsi="Cambria Math" w:cs="Times New Roman"/>
                                <w:color w:val="000000" w:themeColor="text1"/>
                              </w:rPr>
                              <m:t>=0.</m:t>
                            </m:r>
                            <m:r>
                              <m:rPr>
                                <m:sty m:val="bi"/>
                              </m:rPr>
                              <w:rPr>
                                <w:rFonts w:ascii="Cambria Math" w:hAnsi="Cambria Math" w:cs="Times New Roman"/>
                                <w:color w:val="000000" w:themeColor="text1"/>
                              </w:rPr>
                              <m:t>885</m:t>
                            </m:r>
                          </m:oMath>
                        </m:oMathPara>
                      </w:p>
                      <w:p w14:paraId="4B376561" w14:textId="77777777" w:rsidR="008909A0" w:rsidRPr="00690E88" w:rsidRDefault="008909A0" w:rsidP="008909A0">
                        <w:pPr>
                          <w:jc w:val="center"/>
                          <w:rPr>
                            <w:color w:val="000000" w:themeColor="text1"/>
                            <w:sz w:val="16"/>
                            <w:szCs w:val="16"/>
                          </w:rPr>
                        </w:pPr>
                      </w:p>
                    </w:txbxContent>
                  </v:textbox>
                </v:rect>
                <v:rect id="Rectangle 25" o:spid="_x0000_s1072" style="position:absolute;left:24825;top:3520;width:12250;height:3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" filled="f" stroked="f" strokeweight=".5pt">
                  <v:textbox>
                    <w:txbxContent>
                      <w:p w14:paraId="5425D08A" w14:textId="479BF331" w:rsidR="008909A0" w:rsidRPr="00690E88" w:rsidRDefault="008909A0" w:rsidP="008909A0">
                        <w:pPr>
                          <w:autoSpaceDE w:val="0"/>
                          <w:autoSpaceDN w:val="0"/>
                          <w:adjustRightInd w:val="0"/>
                          <w:spacing w:line="400" w:lineRule="atLeast"/>
                          <w:rPr>
                            <w:rFonts w:ascii="Times New Roman" w:hAnsi="Times New Roman" w:cs="Times New Roman"/>
                            <w:b/>
                            <w:bCs/>
                            <w:color w:val="000000" w:themeColor="text1"/>
                          </w:rPr>
                        </w:pPr>
                        <m:oMathPara>
                          <m:oMath>
                            <m:sSup>
                              <m:sSupPr>
                                <m:ctrlPr>
                                  <w:rPr>
                                    <w:rFonts w:ascii="Cambria Math" w:hAnsi="Cambria Math" w:cs="Times New Roman"/>
                                    <w:b/>
                                    <w:bCs/>
                                    <w:i/>
                                    <w:color w:val="000000" w:themeColor="text1"/>
                                  </w:rPr>
                                </m:ctrlPr>
                              </m:sSupPr>
                              <m:e>
                                <m:r>
                                  <m:rPr>
                                    <m:sty m:val="bi"/>
                                  </m:rPr>
                                  <w:rPr>
                                    <w:rFonts w:ascii="Cambria Math" w:hAnsi="Cambria Math" w:cs="Times New Roman"/>
                                    <w:color w:val="000000" w:themeColor="text1"/>
                                  </w:rPr>
                                  <m:t>R</m:t>
                                </m:r>
                              </m:e>
                              <m:sup>
                                <m:r>
                                  <m:rPr>
                                    <m:sty m:val="bi"/>
                                  </m:rPr>
                                  <w:rPr>
                                    <w:rFonts w:ascii="Cambria Math" w:hAnsi="Cambria Math" w:cs="Times New Roman"/>
                                    <w:color w:val="000000" w:themeColor="text1"/>
                                  </w:rPr>
                                  <m:t>2</m:t>
                                </m:r>
                              </m:sup>
                            </m:sSup>
                            <m:r>
                              <m:rPr>
                                <m:sty m:val="bi"/>
                              </m:rPr>
                              <w:rPr>
                                <w:rFonts w:ascii="Cambria Math" w:hAnsi="Cambria Math" w:cs="Times New Roman"/>
                                <w:color w:val="000000" w:themeColor="text1"/>
                              </w:rPr>
                              <m:t>=0.</m:t>
                            </m:r>
                            <m:r>
                              <m:rPr>
                                <m:sty m:val="bi"/>
                              </m:rPr>
                              <w:rPr>
                                <w:rFonts w:ascii="Cambria Math" w:hAnsi="Cambria Math" w:cs="Times New Roman"/>
                                <w:color w:val="000000" w:themeColor="text1"/>
                              </w:rPr>
                              <m:t>784</m:t>
                            </m:r>
                          </m:oMath>
                        </m:oMathPara>
                      </w:p>
                      <w:p w14:paraId="49BE24DC" w14:textId="77777777" w:rsidR="008909A0" w:rsidRPr="00690E88" w:rsidRDefault="008909A0" w:rsidP="008909A0">
                        <w:pPr>
                          <w:jc w:val="center"/>
                          <w:rPr>
                            <w:color w:val="000000" w:themeColor="text1"/>
                            <w:sz w:val="16"/>
                            <w:szCs w:val="16"/>
                          </w:rPr>
                        </w:pPr>
                      </w:p>
                    </w:txbxContent>
                  </v:textbox>
                </v:rect>
                <w10:wrap anchorx="page"/>
                <w10:anchorlock/>
              </v:group>
            </w:pict>
          </mc:Fallback>
        </mc:AlternateContent>
      </w:r>
    </w:p>
    <w:p w14:paraId="2D9101C3" w14:textId="2EFD50F6" w:rsidR="00370164" w:rsidRDefault="00370164" w:rsidP="00370164">
      <w:pPr>
        <w:bidi w:val="0"/>
        <w:spacing w:after="120" w:line="276" w:lineRule="auto"/>
        <w:ind w:firstLine="284"/>
        <w:jc w:val="both"/>
        <w:rPr>
          <w:rFonts w:asciiTheme="majorBidi" w:hAnsiTheme="majorBidi" w:cstheme="majorBidi"/>
          <w:sz w:val="24"/>
          <w:szCs w:val="24"/>
        </w:rPr>
      </w:pPr>
    </w:p>
    <w:p w14:paraId="46010628" w14:textId="77777777" w:rsidR="00EA1F98" w:rsidRPr="00EA1F98" w:rsidRDefault="00EA1F98" w:rsidP="002E6F27">
      <w:pPr>
        <w:pStyle w:val="a5"/>
        <w:numPr>
          <w:ilvl w:val="0"/>
          <w:numId w:val="87"/>
        </w:numPr>
        <w:bidi w:val="0"/>
        <w:rPr>
          <w:rFonts w:asciiTheme="majorBidi" w:hAnsiTheme="majorBidi" w:cstheme="majorBidi"/>
          <w:sz w:val="24"/>
          <w:szCs w:val="24"/>
        </w:rPr>
      </w:pPr>
      <w:r w:rsidRPr="00EA1F98">
        <w:rPr>
          <w:rFonts w:asciiTheme="majorBidi" w:hAnsiTheme="majorBidi" w:cstheme="majorBidi"/>
          <w:sz w:val="24"/>
          <w:szCs w:val="24"/>
        </w:rPr>
        <w:t>From the tables:</w:t>
      </w:r>
    </w:p>
    <w:p w14:paraId="305612F6"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correlation coefficient (R) is 0.885, indicating a strong positive correlation between the independent variable (Functional relationship – Information Sharing &amp; Data Integration) and the dependent variable (Risk-management effectiveness).</w:t>
      </w:r>
    </w:p>
    <w:p w14:paraId="71222674"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coefficient of determination (R²) is 0.784, which means that 78.4% of the variation in risk-management effectiveness can be explained by variation in the functional relationship measure.</w:t>
      </w:r>
    </w:p>
    <w:p w14:paraId="462A2E18" w14:textId="77777777" w:rsidR="00EA1F98" w:rsidRPr="00EA1F98" w:rsidRDefault="00EA1F98" w:rsidP="002E6F27">
      <w:pPr>
        <w:pStyle w:val="a5"/>
        <w:numPr>
          <w:ilvl w:val="0"/>
          <w:numId w:val="87"/>
        </w:numPr>
        <w:bidi w:val="0"/>
        <w:rPr>
          <w:rFonts w:asciiTheme="majorBidi" w:hAnsiTheme="majorBidi" w:cstheme="majorBidi"/>
          <w:sz w:val="24"/>
          <w:szCs w:val="24"/>
        </w:rPr>
      </w:pPr>
      <w:r w:rsidRPr="00EA1F98">
        <w:rPr>
          <w:rFonts w:asciiTheme="majorBidi" w:hAnsiTheme="majorBidi" w:cstheme="majorBidi"/>
          <w:sz w:val="24"/>
          <w:szCs w:val="24"/>
        </w:rPr>
        <w:t>From the ANOVA table:</w:t>
      </w:r>
    </w:p>
    <w:p w14:paraId="5B373598"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significance value (Sig.) is 0.000, which is less than the standard significance level of 0.05. This indicates that the overall regression model is statistically significant, meaning the functional relationship has a significant impact on risk-management effectiveness.</w:t>
      </w:r>
    </w:p>
    <w:p w14:paraId="700FF11E"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F-statistic is 702.330, which is very high, further confirming the statistical significance of the regression model.</w:t>
      </w:r>
    </w:p>
    <w:p w14:paraId="2EA1F121" w14:textId="77777777" w:rsidR="00EA1F98" w:rsidRPr="00EA1F98" w:rsidRDefault="00EA1F98" w:rsidP="002E6F27">
      <w:pPr>
        <w:pStyle w:val="a5"/>
        <w:numPr>
          <w:ilvl w:val="0"/>
          <w:numId w:val="87"/>
        </w:numPr>
        <w:bidi w:val="0"/>
        <w:rPr>
          <w:rFonts w:asciiTheme="majorBidi" w:hAnsiTheme="majorBidi" w:cstheme="majorBidi"/>
          <w:sz w:val="24"/>
          <w:szCs w:val="24"/>
        </w:rPr>
      </w:pPr>
      <w:r w:rsidRPr="00EA1F98">
        <w:rPr>
          <w:rFonts w:asciiTheme="majorBidi" w:hAnsiTheme="majorBidi" w:cstheme="majorBidi"/>
          <w:sz w:val="24"/>
          <w:szCs w:val="24"/>
        </w:rPr>
        <w:t>From the Coefficients table:</w:t>
      </w:r>
    </w:p>
    <w:p w14:paraId="15AC41C1"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significance value (Sig.) for the functional relationship predictor is 0.000, which is less than 0.05. This means the predictor is a statistically significant determinant of risk-management effectiveness.</w:t>
      </w:r>
    </w:p>
    <w:p w14:paraId="0C633686"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unstandardized regression coefficient (B) is 0.954, indicating that a one-unit increase in information sharing &amp; data integration is associated with a 0.954-unit increase in risk-management effectiveness, holding other factors constant.</w:t>
      </w:r>
    </w:p>
    <w:p w14:paraId="552F6900"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standardized regression coefficient (Beta) is 0.885, which suggests that a one-standard-deviation increase in the predictor is associated with a 0.885-standard-deviation increase in risk-management effectiveness.</w:t>
      </w:r>
    </w:p>
    <w:p w14:paraId="16DC194B" w14:textId="77777777" w:rsidR="00EA1F98" w:rsidRPr="00EA1F98" w:rsidRDefault="00EA1F98" w:rsidP="002E6F27">
      <w:pPr>
        <w:pStyle w:val="a5"/>
        <w:numPr>
          <w:ilvl w:val="0"/>
          <w:numId w:val="86"/>
        </w:numPr>
        <w:bidi w:val="0"/>
        <w:jc w:val="both"/>
        <w:rPr>
          <w:rFonts w:asciiTheme="majorBidi" w:hAnsiTheme="majorBidi" w:cstheme="majorBidi"/>
          <w:sz w:val="24"/>
          <w:szCs w:val="24"/>
        </w:rPr>
      </w:pPr>
      <w:r w:rsidRPr="00EA1F98">
        <w:rPr>
          <w:rFonts w:asciiTheme="majorBidi" w:hAnsiTheme="majorBidi" w:cstheme="majorBidi"/>
          <w:sz w:val="24"/>
          <w:szCs w:val="24"/>
        </w:rPr>
        <w:t>The constant (B) is 0.182, representing the expected value of risk-management effectiveness when the predictor equals zero (not statistically significant, p = 0.148).</w:t>
      </w:r>
    </w:p>
    <w:p w14:paraId="1924B0B7" w14:textId="77777777" w:rsidR="00E46B9F" w:rsidRPr="00E46B9F" w:rsidRDefault="00EA1F98" w:rsidP="002E6F27">
      <w:pPr>
        <w:pStyle w:val="a5"/>
        <w:numPr>
          <w:ilvl w:val="0"/>
          <w:numId w:val="88"/>
        </w:numPr>
        <w:bidi w:val="0"/>
        <w:jc w:val="both"/>
        <w:rPr>
          <w:rFonts w:asciiTheme="majorBidi" w:hAnsiTheme="majorBidi" w:cstheme="majorBidi"/>
          <w:b/>
          <w:bCs/>
          <w:sz w:val="24"/>
          <w:szCs w:val="24"/>
        </w:rPr>
      </w:pPr>
      <w:r w:rsidRPr="00E46B9F">
        <w:rPr>
          <w:rFonts w:asciiTheme="majorBidi" w:hAnsiTheme="majorBidi" w:cstheme="majorBidi"/>
          <w:b/>
          <w:bCs/>
          <w:sz w:val="24"/>
          <w:szCs w:val="24"/>
        </w:rPr>
        <w:t xml:space="preserve">The key findings from this analysis are presented as follows </w:t>
      </w:r>
    </w:p>
    <w:p w14:paraId="3D7097C3" w14:textId="519EB58C" w:rsidR="00EA1F98" w:rsidRPr="00E46B9F" w:rsidRDefault="00EA1F98" w:rsidP="00E46B9F">
      <w:pPr>
        <w:bidi w:val="0"/>
        <w:jc w:val="both"/>
        <w:rPr>
          <w:rFonts w:asciiTheme="majorBidi" w:hAnsiTheme="majorBidi" w:cstheme="majorBidi"/>
          <w:sz w:val="24"/>
          <w:szCs w:val="24"/>
        </w:rPr>
      </w:pPr>
      <w:r w:rsidRPr="00E46B9F">
        <w:rPr>
          <w:rFonts w:asciiTheme="majorBidi" w:hAnsiTheme="majorBidi" w:cstheme="majorBidi"/>
          <w:sz w:val="24"/>
          <w:szCs w:val="24"/>
        </w:rPr>
        <w:t>First, the regression model is statistically significant, demonstrating that the functional relationship between account managers and sales teams has a material impact on risk-management effectiveness. Evidence from the ANOVA confirms this conclusion: the model yields F(1,194) = 702.330 with p &lt; 0.001, comfortably below the 0.05 threshold. This indicates that the predictor variable</w:t>
      </w:r>
      <w:r w:rsidR="00B03C22">
        <w:rPr>
          <w:rFonts w:asciiTheme="majorBidi" w:hAnsiTheme="majorBidi" w:cstheme="majorBidi"/>
          <w:sz w:val="24"/>
          <w:szCs w:val="24"/>
        </w:rPr>
        <w:t>-</w:t>
      </w:r>
      <w:r w:rsidRPr="00E46B9F">
        <w:rPr>
          <w:rFonts w:asciiTheme="majorBidi" w:hAnsiTheme="majorBidi" w:cstheme="majorBidi"/>
          <w:sz w:val="24"/>
          <w:szCs w:val="24"/>
        </w:rPr>
        <w:t>operationalized as information sharing and data integration within the AM–Sales interface</w:t>
      </w:r>
      <w:r w:rsidR="00B03C22">
        <w:rPr>
          <w:rFonts w:asciiTheme="majorBidi" w:hAnsiTheme="majorBidi" w:cstheme="majorBidi"/>
          <w:sz w:val="24"/>
          <w:szCs w:val="24"/>
        </w:rPr>
        <w:t>-</w:t>
      </w:r>
      <w:r w:rsidRPr="00E46B9F">
        <w:rPr>
          <w:rFonts w:asciiTheme="majorBidi" w:hAnsiTheme="majorBidi" w:cstheme="majorBidi"/>
          <w:sz w:val="24"/>
          <w:szCs w:val="24"/>
        </w:rPr>
        <w:t>explains a meaningful portion of the variance in the dependent construct and that the observed effect is highly unlikely to be due to chance.</w:t>
      </w:r>
    </w:p>
    <w:p w14:paraId="237AF52C" w14:textId="77777777" w:rsidR="00EA1F98" w:rsidRPr="00EA1F98" w:rsidRDefault="00EA1F98" w:rsidP="00EA1F98">
      <w:pPr>
        <w:bidi w:val="0"/>
        <w:jc w:val="both"/>
        <w:rPr>
          <w:rFonts w:asciiTheme="majorBidi" w:hAnsiTheme="majorBidi" w:cstheme="majorBidi"/>
          <w:sz w:val="24"/>
          <w:szCs w:val="24"/>
        </w:rPr>
      </w:pPr>
      <w:r w:rsidRPr="00EA1F98">
        <w:rPr>
          <w:rFonts w:asciiTheme="majorBidi" w:hAnsiTheme="majorBidi" w:cstheme="majorBidi"/>
          <w:sz w:val="24"/>
          <w:szCs w:val="24"/>
        </w:rPr>
        <w:t>Second, the strength of association between the constructs is substantial. The correlation coefficient (R) = 0.885 denotes a strong positive relationship, while the coefficient of determination (R²) = 0.784 indicates that 78.4% of the variability in overall risk-management effectiveness is explained by variation in the functional relationship measure. Practically, this is a large effect, suggesting that improvements in cross-team coordination and data integration are closely tied to better risk outcomes.</w:t>
      </w:r>
    </w:p>
    <w:p w14:paraId="3F1C70F3" w14:textId="77777777" w:rsidR="00EA1F98" w:rsidRPr="00EA1F98" w:rsidRDefault="00EA1F98" w:rsidP="00EA1F98">
      <w:pPr>
        <w:bidi w:val="0"/>
        <w:jc w:val="both"/>
        <w:rPr>
          <w:rFonts w:asciiTheme="majorBidi" w:hAnsiTheme="majorBidi" w:cstheme="majorBidi"/>
          <w:sz w:val="24"/>
          <w:szCs w:val="24"/>
        </w:rPr>
      </w:pPr>
      <w:r w:rsidRPr="00EA1F98">
        <w:rPr>
          <w:rFonts w:asciiTheme="majorBidi" w:hAnsiTheme="majorBidi" w:cstheme="majorBidi"/>
          <w:sz w:val="24"/>
          <w:szCs w:val="24"/>
        </w:rPr>
        <w:t>Third, the coefficients table shows that the predictor is both practically and statistically significant. The unstandardized coefficient (B) = 0.954 implies that a one-unit increase in information sharing and data integration is associated with a 0.954-unit increase in risk-management effectiveness, holding the intercept constant. The standardized coefficient (β) = 0.885 and t = 26.502 (p &lt; 0.001) further confirm the magnitude and reliability of this effect. The constant (B = 0.182) is not statistically significant (p = 0.148), indicating that baseline levels of the dependent variable are not meaningfully different from zero absent the predictor.</w:t>
      </w:r>
    </w:p>
    <w:p w14:paraId="4125FD8F" w14:textId="4BB31CD5" w:rsidR="00EA1F98" w:rsidRPr="00EA1F98" w:rsidRDefault="00EA1F98" w:rsidP="00EA1F98">
      <w:pPr>
        <w:bidi w:val="0"/>
        <w:jc w:val="both"/>
        <w:rPr>
          <w:rFonts w:asciiTheme="majorBidi" w:hAnsiTheme="majorBidi" w:cstheme="majorBidi"/>
          <w:sz w:val="24"/>
          <w:szCs w:val="24"/>
        </w:rPr>
      </w:pPr>
      <w:r w:rsidRPr="00EA1F98">
        <w:rPr>
          <w:rFonts w:asciiTheme="majorBidi" w:hAnsiTheme="majorBidi" w:cstheme="majorBidi"/>
          <w:sz w:val="24"/>
          <w:szCs w:val="24"/>
        </w:rPr>
        <w:t>Implications. For Al Rajhi Bank, these findings imply that strengthening AM–Sales data pipelines (accuracy, timeliness, and system integration) can yield measurable gains in early risk identification and onboarding quality, credit discipline and outcomes, liquidity/market-risk fit at origination, and operational resilience and third-party risk control</w:t>
      </w:r>
      <w:r w:rsidR="00B03C22">
        <w:rPr>
          <w:rFonts w:asciiTheme="majorBidi" w:hAnsiTheme="majorBidi" w:cstheme="majorBidi"/>
          <w:sz w:val="24"/>
          <w:szCs w:val="24"/>
        </w:rPr>
        <w:t>-</w:t>
      </w:r>
      <w:r w:rsidRPr="00EA1F98">
        <w:rPr>
          <w:rFonts w:asciiTheme="majorBidi" w:hAnsiTheme="majorBidi" w:cstheme="majorBidi"/>
          <w:sz w:val="24"/>
          <w:szCs w:val="24"/>
        </w:rPr>
        <w:t>thereby elevating enterprise-level risk-management performance.</w:t>
      </w:r>
    </w:p>
    <w:p w14:paraId="2175F2F3" w14:textId="77777777" w:rsidR="00E46B9F" w:rsidRDefault="00E46B9F" w:rsidP="00E46B9F">
      <w:pPr>
        <w:pStyle w:val="4"/>
      </w:pPr>
      <w:bookmarkStart w:id="206" w:name="_Toc214621206"/>
      <w:bookmarkStart w:id="207" w:name="_Hlk174784468"/>
      <w:r w:rsidRPr="00DF0722">
        <w:t>Results of the study's sub-hypotheses test:</w:t>
      </w:r>
      <w:bookmarkEnd w:id="206"/>
    </w:p>
    <w:bookmarkEnd w:id="207"/>
    <w:p w14:paraId="1E82B932" w14:textId="368EADF1" w:rsidR="00370164" w:rsidRDefault="00370164" w:rsidP="00EA1F98">
      <w:pPr>
        <w:bidi w:val="0"/>
        <w:jc w:val="both"/>
        <w:rPr>
          <w:rFonts w:asciiTheme="majorBidi" w:hAnsiTheme="majorBidi" w:cstheme="majorBidi"/>
          <w:sz w:val="24"/>
          <w:szCs w:val="24"/>
        </w:rPr>
      </w:pPr>
    </w:p>
    <w:p w14:paraId="0D39118B"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p w14:paraId="2A54AE2A" w14:textId="73BE4A0F" w:rsidR="00A71B53" w:rsidRDefault="00A71B53" w:rsidP="00A71B53">
      <w:pPr>
        <w:pStyle w:val="ad"/>
      </w:pPr>
      <w:bookmarkStart w:id="208" w:name="_Toc214622032"/>
      <w:r>
        <w:t xml:space="preserve">Table </w:t>
      </w:r>
      <w:r>
        <w:fldChar w:fldCharType="begin"/>
      </w:r>
      <w:r>
        <w:instrText xml:space="preserve"> SEQ Table \* ARABIC </w:instrText>
      </w:r>
      <w:r>
        <w:fldChar w:fldCharType="separate"/>
      </w:r>
      <w:r w:rsidR="00CD4CCF">
        <w:t>26</w:t>
      </w:r>
      <w:r>
        <w:fldChar w:fldCharType="end"/>
      </w:r>
      <w:r>
        <w:t xml:space="preserve">: </w:t>
      </w:r>
      <w:r w:rsidRPr="009C0FC4">
        <w:t>Model Summary for the Multiple Regression Model</w:t>
      </w:r>
      <w:bookmarkEnd w:id="208"/>
    </w:p>
    <w:tbl>
      <w:tblPr>
        <w:tblW w:w="5872" w:type="dxa"/>
        <w:jc w:val="center"/>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431A93" w:rsidRPr="00431A93" w14:paraId="2585C672" w14:textId="77777777" w:rsidTr="00A71B53">
        <w:trPr>
          <w:cantSplit/>
          <w:jc w:val="center"/>
        </w:trPr>
        <w:tc>
          <w:tcPr>
            <w:tcW w:w="5872" w:type="dxa"/>
            <w:gridSpan w:val="5"/>
            <w:tcBorders>
              <w:top w:val="nil"/>
              <w:left w:val="nil"/>
              <w:bottom w:val="nil"/>
              <w:right w:val="nil"/>
            </w:tcBorders>
            <w:shd w:val="clear" w:color="auto" w:fill="FFFFFF"/>
            <w:vAlign w:val="center"/>
          </w:tcPr>
          <w:p w14:paraId="6162C754"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010205"/>
                <w:kern w:val="0"/>
              </w:rPr>
            </w:pPr>
            <w:r w:rsidRPr="00431A93">
              <w:rPr>
                <w:rFonts w:ascii="Arial" w:hAnsi="Arial" w:cs="Arial"/>
                <w:b/>
                <w:bCs/>
                <w:color w:val="010205"/>
                <w:kern w:val="0"/>
              </w:rPr>
              <w:t>Model Summary</w:t>
            </w:r>
          </w:p>
        </w:tc>
      </w:tr>
      <w:tr w:rsidR="00431A93" w:rsidRPr="00431A93" w14:paraId="00625AFF" w14:textId="77777777" w:rsidTr="00A71B53">
        <w:trPr>
          <w:cantSplit/>
          <w:jc w:val="center"/>
        </w:trPr>
        <w:tc>
          <w:tcPr>
            <w:tcW w:w="798" w:type="dxa"/>
            <w:tcBorders>
              <w:top w:val="nil"/>
              <w:left w:val="nil"/>
              <w:bottom w:val="single" w:sz="8" w:space="0" w:color="152935"/>
              <w:right w:val="nil"/>
            </w:tcBorders>
            <w:shd w:val="clear" w:color="auto" w:fill="FFFFFF"/>
            <w:vAlign w:val="bottom"/>
          </w:tcPr>
          <w:p w14:paraId="181AD098"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57C10E24"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24485A64"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06C0639B"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1DB9EA68"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Std. Error of the Estimate</w:t>
            </w:r>
          </w:p>
        </w:tc>
      </w:tr>
      <w:tr w:rsidR="00431A93" w:rsidRPr="00431A93" w14:paraId="3420A8EE" w14:textId="77777777" w:rsidTr="00A71B53">
        <w:trPr>
          <w:cantSplit/>
          <w:jc w:val="center"/>
        </w:trPr>
        <w:tc>
          <w:tcPr>
            <w:tcW w:w="798" w:type="dxa"/>
            <w:tcBorders>
              <w:top w:val="single" w:sz="8" w:space="0" w:color="152935"/>
              <w:left w:val="nil"/>
              <w:bottom w:val="single" w:sz="8" w:space="0" w:color="152935"/>
              <w:right w:val="nil"/>
            </w:tcBorders>
            <w:shd w:val="clear" w:color="auto" w:fill="E0E0E0"/>
          </w:tcPr>
          <w:p w14:paraId="5849997D"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1</w:t>
            </w:r>
          </w:p>
        </w:tc>
        <w:tc>
          <w:tcPr>
            <w:tcW w:w="1030" w:type="dxa"/>
            <w:tcBorders>
              <w:top w:val="single" w:sz="8" w:space="0" w:color="152935"/>
              <w:left w:val="nil"/>
              <w:bottom w:val="single" w:sz="8" w:space="0" w:color="152935"/>
              <w:right w:val="single" w:sz="8" w:space="0" w:color="E0E0E0"/>
            </w:tcBorders>
            <w:shd w:val="clear" w:color="auto" w:fill="F9F9FB"/>
          </w:tcPr>
          <w:p w14:paraId="1A923ABD"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.903</w:t>
            </w:r>
            <w:r w:rsidRPr="00431A93">
              <w:rPr>
                <w:rFonts w:ascii="Arial" w:hAnsi="Arial" w:cs="Arial"/>
                <w:color w:val="010205"/>
                <w:kern w:val="0"/>
                <w:sz w:val="18"/>
                <w:szCs w:val="1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76E41CDA"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.815</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2833E03E"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.811</w:t>
            </w:r>
          </w:p>
        </w:tc>
        <w:tc>
          <w:tcPr>
            <w:tcW w:w="1476" w:type="dxa"/>
            <w:tcBorders>
              <w:top w:val="single" w:sz="8" w:space="0" w:color="152935"/>
              <w:left w:val="single" w:sz="8" w:space="0" w:color="E0E0E0"/>
              <w:bottom w:val="single" w:sz="8" w:space="0" w:color="152935"/>
              <w:right w:val="nil"/>
            </w:tcBorders>
            <w:shd w:val="clear" w:color="auto" w:fill="F9F9FB"/>
          </w:tcPr>
          <w:p w14:paraId="692E668A"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.361</w:t>
            </w:r>
          </w:p>
        </w:tc>
      </w:tr>
      <w:tr w:rsidR="00431A93" w:rsidRPr="00431A93" w14:paraId="0F80C8B8" w14:textId="77777777" w:rsidTr="00A71B53">
        <w:trPr>
          <w:cantSplit/>
          <w:jc w:val="center"/>
        </w:trPr>
        <w:tc>
          <w:tcPr>
            <w:tcW w:w="5872" w:type="dxa"/>
            <w:gridSpan w:val="5"/>
            <w:tcBorders>
              <w:top w:val="nil"/>
              <w:left w:val="nil"/>
              <w:bottom w:val="nil"/>
              <w:right w:val="nil"/>
            </w:tcBorders>
            <w:shd w:val="clear" w:color="auto" w:fill="FFFFFF"/>
          </w:tcPr>
          <w:p w14:paraId="63FD8268"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010205"/>
                <w:kern w:val="0"/>
                <w:sz w:val="18"/>
                <w:szCs w:val="18"/>
              </w:rPr>
            </w:pPr>
            <w:r w:rsidRPr="00431A93">
              <w:rPr>
                <w:rFonts w:ascii="Arial" w:hAnsi="Arial" w:cs="Arial"/>
                <w:color w:val="010205"/>
                <w:kern w:val="0"/>
                <w:sz w:val="18"/>
                <w:szCs w:val="18"/>
              </w:rPr>
              <w:t>a. Predictors: (Constant), Decision_Escalation, Goal_Incentive, Information_Data, Communication_Cadence</w:t>
            </w:r>
          </w:p>
        </w:tc>
      </w:tr>
    </w:tbl>
    <w:p w14:paraId="5AA0F4C3" w14:textId="77777777" w:rsidR="00431A93" w:rsidRPr="00431A93" w:rsidRDefault="00431A93" w:rsidP="00431A93">
      <w:pPr>
        <w:autoSpaceDE w:val="0"/>
        <w:autoSpaceDN w:val="0"/>
        <w:bidi w:val="0"/>
        <w:adjustRightInd w:val="0"/>
        <w:spacing w:after="0" w:line="400" w:lineRule="atLeast"/>
        <w:rPr>
          <w:rFonts w:ascii="Times New Roman" w:hAnsi="Times New Roman" w:cs="Times New Roman"/>
          <w:kern w:val="0"/>
          <w:sz w:val="24"/>
          <w:szCs w:val="24"/>
        </w:rPr>
      </w:pPr>
    </w:p>
    <w:p w14:paraId="6BDAC656" w14:textId="77777777" w:rsidR="00431A93" w:rsidRPr="00431A93" w:rsidRDefault="00431A93" w:rsidP="00431A93">
      <w:pPr>
        <w:autoSpaceDE w:val="0"/>
        <w:autoSpaceDN w:val="0"/>
        <w:bidi w:val="0"/>
        <w:adjustRightInd w:val="0"/>
        <w:spacing w:after="0" w:line="400" w:lineRule="atLeast"/>
        <w:rPr>
          <w:rFonts w:ascii="Times New Roman" w:hAnsi="Times New Roman" w:cs="Times New Roman"/>
          <w:kern w:val="0"/>
          <w:sz w:val="24"/>
          <w:szCs w:val="24"/>
        </w:rPr>
      </w:pPr>
    </w:p>
    <w:p w14:paraId="728ED23E" w14:textId="4A864A16" w:rsidR="00A71B53" w:rsidRDefault="00A71B53" w:rsidP="00A71B53">
      <w:pPr>
        <w:pStyle w:val="ad"/>
      </w:pPr>
      <w:bookmarkStart w:id="209" w:name="_Toc214622033"/>
      <w:r>
        <w:t xml:space="preserve">Table </w:t>
      </w:r>
      <w:r>
        <w:fldChar w:fldCharType="begin"/>
      </w:r>
      <w:r>
        <w:instrText xml:space="preserve"> SEQ Table \* ARABIC </w:instrText>
      </w:r>
      <w:r>
        <w:fldChar w:fldCharType="separate"/>
      </w:r>
      <w:r w:rsidR="00CD4CCF">
        <w:t>27</w:t>
      </w:r>
      <w:r>
        <w:fldChar w:fldCharType="end"/>
      </w:r>
      <w:r>
        <w:t xml:space="preserve">: </w:t>
      </w:r>
      <w:r w:rsidRPr="0047355A">
        <w:t>ANOVA Results for the Multiple Regression Model</w:t>
      </w:r>
      <w:bookmarkEnd w:id="209"/>
    </w:p>
    <w:tbl>
      <w:tblPr>
        <w:tblW w:w="8009" w:type="dxa"/>
        <w:jc w:val="center"/>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431A93" w:rsidRPr="00431A93" w14:paraId="36BAE4B7" w14:textId="77777777" w:rsidTr="00A71B53">
        <w:trPr>
          <w:cantSplit/>
          <w:jc w:val="center"/>
        </w:trPr>
        <w:tc>
          <w:tcPr>
            <w:tcW w:w="8009" w:type="dxa"/>
            <w:gridSpan w:val="7"/>
            <w:tcBorders>
              <w:top w:val="nil"/>
              <w:left w:val="nil"/>
              <w:bottom w:val="nil"/>
              <w:right w:val="nil"/>
            </w:tcBorders>
            <w:shd w:val="clear" w:color="auto" w:fill="FFFFFF"/>
            <w:vAlign w:val="center"/>
          </w:tcPr>
          <w:p w14:paraId="42F7C7DB"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010205"/>
                <w:kern w:val="0"/>
              </w:rPr>
            </w:pPr>
            <w:r w:rsidRPr="00431A93">
              <w:rPr>
                <w:rFonts w:ascii="Arial" w:hAnsi="Arial" w:cs="Arial"/>
                <w:b/>
                <w:bCs/>
                <w:color w:val="010205"/>
                <w:kern w:val="0"/>
              </w:rPr>
              <w:t>ANOVA</w:t>
            </w:r>
            <w:r w:rsidRPr="00431A93">
              <w:rPr>
                <w:rFonts w:ascii="Arial" w:hAnsi="Arial" w:cs="Arial"/>
                <w:b/>
                <w:bCs/>
                <w:color w:val="010205"/>
                <w:kern w:val="0"/>
                <w:vertAlign w:val="superscript"/>
              </w:rPr>
              <w:t>a</w:t>
            </w:r>
          </w:p>
        </w:tc>
      </w:tr>
      <w:tr w:rsidR="00431A93" w:rsidRPr="00431A93" w14:paraId="1E50504D" w14:textId="77777777" w:rsidTr="00A71B53">
        <w:trPr>
          <w:cantSplit/>
          <w:jc w:val="center"/>
        </w:trPr>
        <w:tc>
          <w:tcPr>
            <w:tcW w:w="2028" w:type="dxa"/>
            <w:gridSpan w:val="2"/>
            <w:tcBorders>
              <w:top w:val="nil"/>
              <w:left w:val="nil"/>
              <w:bottom w:val="single" w:sz="8" w:space="0" w:color="152935"/>
              <w:right w:val="nil"/>
            </w:tcBorders>
            <w:shd w:val="clear" w:color="auto" w:fill="FFFFFF"/>
            <w:vAlign w:val="bottom"/>
          </w:tcPr>
          <w:p w14:paraId="3AE51740"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01B9B2C4"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C0BCBBD"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7B93F6E3"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6736284"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43974C20"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Sig.</w:t>
            </w:r>
          </w:p>
        </w:tc>
      </w:tr>
      <w:tr w:rsidR="00431A93" w:rsidRPr="00431A93" w14:paraId="38F9143C" w14:textId="77777777" w:rsidTr="00A71B53">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0A256A4D"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1</w:t>
            </w:r>
          </w:p>
        </w:tc>
        <w:tc>
          <w:tcPr>
            <w:tcW w:w="1292" w:type="dxa"/>
            <w:tcBorders>
              <w:top w:val="single" w:sz="8" w:space="0" w:color="152935"/>
              <w:left w:val="nil"/>
              <w:bottom w:val="single" w:sz="8" w:space="0" w:color="AEAEAE"/>
              <w:right w:val="nil"/>
            </w:tcBorders>
            <w:shd w:val="clear" w:color="auto" w:fill="E0E0E0"/>
          </w:tcPr>
          <w:p w14:paraId="586BB4A8"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9F9FB"/>
          </w:tcPr>
          <w:p w14:paraId="36FE8313"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110.053</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5CF734E9"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4</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12B5B3A7"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27.513</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5FB9BB73"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210.646</w:t>
            </w:r>
          </w:p>
        </w:tc>
        <w:tc>
          <w:tcPr>
            <w:tcW w:w="1030" w:type="dxa"/>
            <w:tcBorders>
              <w:top w:val="single" w:sz="8" w:space="0" w:color="152935"/>
              <w:left w:val="single" w:sz="8" w:space="0" w:color="E0E0E0"/>
              <w:bottom w:val="single" w:sz="8" w:space="0" w:color="AEAEAE"/>
              <w:right w:val="nil"/>
            </w:tcBorders>
            <w:shd w:val="clear" w:color="auto" w:fill="F9F9FB"/>
          </w:tcPr>
          <w:p w14:paraId="735903F0"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.000</w:t>
            </w:r>
            <w:r w:rsidRPr="00431A93">
              <w:rPr>
                <w:rFonts w:ascii="Arial" w:hAnsi="Arial" w:cs="Arial"/>
                <w:color w:val="010205"/>
                <w:kern w:val="0"/>
                <w:sz w:val="18"/>
                <w:szCs w:val="18"/>
                <w:vertAlign w:val="superscript"/>
              </w:rPr>
              <w:t>b</w:t>
            </w:r>
          </w:p>
        </w:tc>
      </w:tr>
      <w:tr w:rsidR="00431A93" w:rsidRPr="00431A93" w14:paraId="7963DEE6" w14:textId="77777777" w:rsidTr="00A71B53">
        <w:trPr>
          <w:cantSplit/>
          <w:jc w:val="center"/>
        </w:trPr>
        <w:tc>
          <w:tcPr>
            <w:tcW w:w="736" w:type="dxa"/>
            <w:vMerge/>
            <w:tcBorders>
              <w:top w:val="single" w:sz="8" w:space="0" w:color="152935"/>
              <w:left w:val="nil"/>
              <w:bottom w:val="single" w:sz="8" w:space="0" w:color="152935"/>
              <w:right w:val="nil"/>
            </w:tcBorders>
            <w:shd w:val="clear" w:color="auto" w:fill="E0E0E0"/>
          </w:tcPr>
          <w:p w14:paraId="468A19FD" w14:textId="77777777" w:rsidR="00431A93" w:rsidRPr="00431A93" w:rsidRDefault="00431A93" w:rsidP="00431A93">
            <w:pPr>
              <w:autoSpaceDE w:val="0"/>
              <w:autoSpaceDN w:val="0"/>
              <w:bidi w:val="0"/>
              <w:adjustRightInd w:val="0"/>
              <w:spacing w:after="0" w:line="240" w:lineRule="auto"/>
              <w:rPr>
                <w:rFonts w:ascii="Arial" w:hAnsi="Arial" w:cs="Arial"/>
                <w:color w:val="010205"/>
                <w:kern w:val="0"/>
                <w:sz w:val="18"/>
                <w:szCs w:val="18"/>
              </w:rPr>
            </w:pPr>
          </w:p>
        </w:tc>
        <w:tc>
          <w:tcPr>
            <w:tcW w:w="1292" w:type="dxa"/>
            <w:tcBorders>
              <w:top w:val="single" w:sz="8" w:space="0" w:color="AEAEAE"/>
              <w:left w:val="nil"/>
              <w:bottom w:val="single" w:sz="8" w:space="0" w:color="AEAEAE"/>
              <w:right w:val="nil"/>
            </w:tcBorders>
            <w:shd w:val="clear" w:color="auto" w:fill="E0E0E0"/>
          </w:tcPr>
          <w:p w14:paraId="3B13D0BC"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9F9FB"/>
          </w:tcPr>
          <w:p w14:paraId="023B7D44"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24.947</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3F413953"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191</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4440F1A8"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.131</w:t>
            </w:r>
          </w:p>
        </w:tc>
        <w:tc>
          <w:tcPr>
            <w:tcW w:w="103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A8395F9"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AEAEAE"/>
              <w:right w:val="nil"/>
            </w:tcBorders>
            <w:shd w:val="clear" w:color="auto" w:fill="F9F9FB"/>
            <w:vAlign w:val="center"/>
          </w:tcPr>
          <w:p w14:paraId="751D200F"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r>
      <w:tr w:rsidR="00431A93" w:rsidRPr="00431A93" w14:paraId="5721C78D" w14:textId="77777777" w:rsidTr="00A71B53">
        <w:trPr>
          <w:cantSplit/>
          <w:jc w:val="center"/>
        </w:trPr>
        <w:tc>
          <w:tcPr>
            <w:tcW w:w="736" w:type="dxa"/>
            <w:vMerge/>
            <w:tcBorders>
              <w:top w:val="single" w:sz="8" w:space="0" w:color="152935"/>
              <w:left w:val="nil"/>
              <w:bottom w:val="single" w:sz="8" w:space="0" w:color="152935"/>
              <w:right w:val="nil"/>
            </w:tcBorders>
            <w:shd w:val="clear" w:color="auto" w:fill="E0E0E0"/>
          </w:tcPr>
          <w:p w14:paraId="076B1CB6"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c>
          <w:tcPr>
            <w:tcW w:w="1292" w:type="dxa"/>
            <w:tcBorders>
              <w:top w:val="single" w:sz="8" w:space="0" w:color="AEAEAE"/>
              <w:left w:val="nil"/>
              <w:bottom w:val="single" w:sz="8" w:space="0" w:color="152935"/>
              <w:right w:val="nil"/>
            </w:tcBorders>
            <w:shd w:val="clear" w:color="auto" w:fill="E0E0E0"/>
          </w:tcPr>
          <w:p w14:paraId="33392F09"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9F9FB"/>
          </w:tcPr>
          <w:p w14:paraId="33CE3999"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135.000</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09846772"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195</w:t>
            </w:r>
          </w:p>
        </w:tc>
        <w:tc>
          <w:tcPr>
            <w:tcW w:w="14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781311E"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2462848"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AEAEAE"/>
              <w:left w:val="single" w:sz="8" w:space="0" w:color="E0E0E0"/>
              <w:bottom w:val="single" w:sz="8" w:space="0" w:color="152935"/>
              <w:right w:val="nil"/>
            </w:tcBorders>
            <w:shd w:val="clear" w:color="auto" w:fill="F9F9FB"/>
            <w:vAlign w:val="center"/>
          </w:tcPr>
          <w:p w14:paraId="088450F0"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r>
      <w:tr w:rsidR="00431A93" w:rsidRPr="00431A93" w14:paraId="5444C38B" w14:textId="77777777" w:rsidTr="00A71B53">
        <w:trPr>
          <w:cantSplit/>
          <w:jc w:val="center"/>
        </w:trPr>
        <w:tc>
          <w:tcPr>
            <w:tcW w:w="8009" w:type="dxa"/>
            <w:gridSpan w:val="7"/>
            <w:tcBorders>
              <w:top w:val="nil"/>
              <w:left w:val="nil"/>
              <w:bottom w:val="nil"/>
              <w:right w:val="nil"/>
            </w:tcBorders>
            <w:shd w:val="clear" w:color="auto" w:fill="FFFFFF"/>
          </w:tcPr>
          <w:p w14:paraId="45F14730"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010205"/>
                <w:kern w:val="0"/>
                <w:sz w:val="18"/>
                <w:szCs w:val="18"/>
              </w:rPr>
            </w:pPr>
            <w:r w:rsidRPr="00431A93">
              <w:rPr>
                <w:rFonts w:ascii="Arial" w:hAnsi="Arial" w:cs="Arial"/>
                <w:color w:val="010205"/>
                <w:kern w:val="0"/>
                <w:sz w:val="18"/>
                <w:szCs w:val="18"/>
              </w:rPr>
              <w:t>a. Dependent Variable: Risk_Management_Effectiveness</w:t>
            </w:r>
          </w:p>
        </w:tc>
      </w:tr>
      <w:tr w:rsidR="00431A93" w:rsidRPr="00431A93" w14:paraId="6348CCF4" w14:textId="77777777" w:rsidTr="00A71B53">
        <w:trPr>
          <w:cantSplit/>
          <w:jc w:val="center"/>
        </w:trPr>
        <w:tc>
          <w:tcPr>
            <w:tcW w:w="8009" w:type="dxa"/>
            <w:gridSpan w:val="7"/>
            <w:tcBorders>
              <w:top w:val="nil"/>
              <w:left w:val="nil"/>
              <w:bottom w:val="nil"/>
              <w:right w:val="nil"/>
            </w:tcBorders>
            <w:shd w:val="clear" w:color="auto" w:fill="FFFFFF"/>
          </w:tcPr>
          <w:p w14:paraId="6D0E93CB"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010205"/>
                <w:kern w:val="0"/>
                <w:sz w:val="18"/>
                <w:szCs w:val="18"/>
              </w:rPr>
            </w:pPr>
            <w:r w:rsidRPr="00431A93">
              <w:rPr>
                <w:rFonts w:ascii="Arial" w:hAnsi="Arial" w:cs="Arial"/>
                <w:color w:val="010205"/>
                <w:kern w:val="0"/>
                <w:sz w:val="18"/>
                <w:szCs w:val="18"/>
              </w:rPr>
              <w:t>b. Predictors: (Constant), Decision_Escalation, Goal_Incentive, Information_Data, Communication_Cadence</w:t>
            </w:r>
          </w:p>
        </w:tc>
      </w:tr>
    </w:tbl>
    <w:p w14:paraId="7AEB905E" w14:textId="77777777" w:rsidR="00431A93" w:rsidRPr="00431A93" w:rsidRDefault="00431A93" w:rsidP="00431A93">
      <w:pPr>
        <w:autoSpaceDE w:val="0"/>
        <w:autoSpaceDN w:val="0"/>
        <w:bidi w:val="0"/>
        <w:adjustRightInd w:val="0"/>
        <w:spacing w:after="0" w:line="400" w:lineRule="atLeast"/>
        <w:rPr>
          <w:rFonts w:ascii="Times New Roman" w:hAnsi="Times New Roman" w:cs="Times New Roman"/>
          <w:kern w:val="0"/>
          <w:sz w:val="24"/>
          <w:szCs w:val="24"/>
        </w:rPr>
      </w:pPr>
    </w:p>
    <w:p w14:paraId="3A0E5D49" w14:textId="77777777" w:rsidR="00431A93" w:rsidRPr="00431A93" w:rsidRDefault="00431A93" w:rsidP="00431A93">
      <w:pPr>
        <w:autoSpaceDE w:val="0"/>
        <w:autoSpaceDN w:val="0"/>
        <w:bidi w:val="0"/>
        <w:adjustRightInd w:val="0"/>
        <w:spacing w:after="0" w:line="400" w:lineRule="atLeast"/>
        <w:rPr>
          <w:rFonts w:ascii="Times New Roman" w:hAnsi="Times New Roman" w:cs="Times New Roman"/>
          <w:kern w:val="0"/>
          <w:sz w:val="24"/>
          <w:szCs w:val="24"/>
        </w:rPr>
      </w:pPr>
    </w:p>
    <w:p w14:paraId="6A7309DA" w14:textId="316A953D" w:rsidR="002E6F27" w:rsidRDefault="002E6F27" w:rsidP="002E6F27">
      <w:pPr>
        <w:pStyle w:val="ad"/>
      </w:pPr>
      <w:bookmarkStart w:id="210" w:name="_Toc214622034"/>
      <w:r>
        <w:t xml:space="preserve">Table </w:t>
      </w:r>
      <w:r>
        <w:fldChar w:fldCharType="begin"/>
      </w:r>
      <w:r>
        <w:instrText xml:space="preserve"> SEQ Table \* ARABIC </w:instrText>
      </w:r>
      <w:r>
        <w:fldChar w:fldCharType="separate"/>
      </w:r>
      <w:r w:rsidR="00CD4CCF">
        <w:t>28</w:t>
      </w:r>
      <w:r>
        <w:fldChar w:fldCharType="end"/>
      </w:r>
      <w:r>
        <w:t xml:space="preserve">: </w:t>
      </w:r>
      <w:r w:rsidRPr="00D65E32">
        <w:t>Regression Coefficients for the Multiple Predictors of Risk Management Effectiveness</w:t>
      </w:r>
      <w:bookmarkEnd w:id="210"/>
    </w:p>
    <w:tbl>
      <w:tblPr>
        <w:tblW w:w="9408" w:type="dxa"/>
        <w:tblLayout w:type="fixed"/>
        <w:tblCellMar>
          <w:left w:w="0" w:type="dxa"/>
          <w:right w:w="0" w:type="dxa"/>
        </w:tblCellMar>
        <w:tblLook w:val="0000" w:firstRow="0" w:lastRow="0" w:firstColumn="0" w:lastColumn="0" w:noHBand="0" w:noVBand="0"/>
      </w:tblPr>
      <w:tblGrid>
        <w:gridCol w:w="736"/>
        <w:gridCol w:w="2460"/>
        <w:gridCol w:w="1338"/>
        <w:gridCol w:w="1338"/>
        <w:gridCol w:w="1476"/>
        <w:gridCol w:w="1030"/>
        <w:gridCol w:w="1030"/>
      </w:tblGrid>
      <w:tr w:rsidR="00431A93" w:rsidRPr="00431A93" w14:paraId="0C970E83" w14:textId="77777777" w:rsidTr="002E6F27">
        <w:trPr>
          <w:cantSplit/>
        </w:trPr>
        <w:tc>
          <w:tcPr>
            <w:tcW w:w="9408" w:type="dxa"/>
            <w:gridSpan w:val="7"/>
            <w:tcBorders>
              <w:top w:val="nil"/>
              <w:left w:val="nil"/>
              <w:bottom w:val="nil"/>
              <w:right w:val="nil"/>
            </w:tcBorders>
            <w:shd w:val="clear" w:color="auto" w:fill="FFFFFF"/>
            <w:vAlign w:val="center"/>
          </w:tcPr>
          <w:p w14:paraId="541D8C2A"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010205"/>
                <w:kern w:val="0"/>
              </w:rPr>
            </w:pPr>
            <w:r w:rsidRPr="00431A93">
              <w:rPr>
                <w:rFonts w:ascii="Arial" w:hAnsi="Arial" w:cs="Arial"/>
                <w:b/>
                <w:bCs/>
                <w:color w:val="010205"/>
                <w:kern w:val="0"/>
              </w:rPr>
              <w:t>Coefficients</w:t>
            </w:r>
            <w:r w:rsidRPr="00431A93">
              <w:rPr>
                <w:rFonts w:ascii="Arial" w:hAnsi="Arial" w:cs="Arial"/>
                <w:b/>
                <w:bCs/>
                <w:color w:val="010205"/>
                <w:kern w:val="0"/>
                <w:vertAlign w:val="superscript"/>
              </w:rPr>
              <w:t>a</w:t>
            </w:r>
          </w:p>
        </w:tc>
      </w:tr>
      <w:tr w:rsidR="00431A93" w:rsidRPr="00431A93" w14:paraId="24FB8F14" w14:textId="77777777" w:rsidTr="002E6F27">
        <w:trPr>
          <w:cantSplit/>
        </w:trPr>
        <w:tc>
          <w:tcPr>
            <w:tcW w:w="3196" w:type="dxa"/>
            <w:gridSpan w:val="2"/>
            <w:vMerge w:val="restart"/>
            <w:tcBorders>
              <w:top w:val="nil"/>
              <w:left w:val="nil"/>
              <w:bottom w:val="nil"/>
              <w:right w:val="nil"/>
            </w:tcBorders>
            <w:shd w:val="clear" w:color="auto" w:fill="FFFFFF"/>
            <w:vAlign w:val="bottom"/>
          </w:tcPr>
          <w:p w14:paraId="1A14769B"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Model</w:t>
            </w:r>
          </w:p>
        </w:tc>
        <w:tc>
          <w:tcPr>
            <w:tcW w:w="2676" w:type="dxa"/>
            <w:gridSpan w:val="2"/>
            <w:tcBorders>
              <w:top w:val="nil"/>
              <w:left w:val="nil"/>
              <w:bottom w:val="nil"/>
              <w:right w:val="single" w:sz="8" w:space="0" w:color="E0E0E0"/>
            </w:tcBorders>
            <w:shd w:val="clear" w:color="auto" w:fill="FFFFFF"/>
            <w:vAlign w:val="bottom"/>
          </w:tcPr>
          <w:p w14:paraId="1E16E8EF"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14:paraId="6FF2DD62"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14:paraId="5323DA28"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t</w:t>
            </w:r>
          </w:p>
        </w:tc>
        <w:tc>
          <w:tcPr>
            <w:tcW w:w="1030" w:type="dxa"/>
            <w:vMerge w:val="restart"/>
            <w:tcBorders>
              <w:top w:val="nil"/>
              <w:left w:val="single" w:sz="8" w:space="0" w:color="E0E0E0"/>
              <w:bottom w:val="nil"/>
              <w:right w:val="nil"/>
            </w:tcBorders>
            <w:shd w:val="clear" w:color="auto" w:fill="FFFFFF"/>
            <w:vAlign w:val="bottom"/>
          </w:tcPr>
          <w:p w14:paraId="21751D8E"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Sig.</w:t>
            </w:r>
          </w:p>
        </w:tc>
      </w:tr>
      <w:tr w:rsidR="00431A93" w:rsidRPr="00431A93" w14:paraId="32533E6A" w14:textId="77777777" w:rsidTr="002E6F27">
        <w:trPr>
          <w:cantSplit/>
        </w:trPr>
        <w:tc>
          <w:tcPr>
            <w:tcW w:w="3196" w:type="dxa"/>
            <w:gridSpan w:val="2"/>
            <w:vMerge/>
            <w:tcBorders>
              <w:top w:val="nil"/>
              <w:left w:val="nil"/>
              <w:bottom w:val="nil"/>
              <w:right w:val="nil"/>
            </w:tcBorders>
            <w:shd w:val="clear" w:color="auto" w:fill="FFFFFF"/>
            <w:vAlign w:val="bottom"/>
          </w:tcPr>
          <w:p w14:paraId="61ACB879" w14:textId="77777777" w:rsidR="00431A93" w:rsidRPr="00431A93" w:rsidRDefault="00431A93" w:rsidP="00431A93">
            <w:pPr>
              <w:autoSpaceDE w:val="0"/>
              <w:autoSpaceDN w:val="0"/>
              <w:bidi w:val="0"/>
              <w:adjustRightInd w:val="0"/>
              <w:spacing w:after="0" w:line="240" w:lineRule="auto"/>
              <w:rPr>
                <w:rFonts w:ascii="Arial" w:hAnsi="Arial" w:cs="Arial"/>
                <w:color w:val="264A60"/>
                <w:kern w:val="0"/>
                <w:sz w:val="18"/>
                <w:szCs w:val="18"/>
              </w:rPr>
            </w:pPr>
          </w:p>
        </w:tc>
        <w:tc>
          <w:tcPr>
            <w:tcW w:w="1338" w:type="dxa"/>
            <w:tcBorders>
              <w:top w:val="nil"/>
              <w:left w:val="nil"/>
              <w:bottom w:val="single" w:sz="8" w:space="0" w:color="152935"/>
              <w:right w:val="single" w:sz="8" w:space="0" w:color="E0E0E0"/>
            </w:tcBorders>
            <w:shd w:val="clear" w:color="auto" w:fill="FFFFFF"/>
            <w:vAlign w:val="bottom"/>
          </w:tcPr>
          <w:p w14:paraId="3A2DDB5D"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14:paraId="0C455DB9"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C293B00" w14:textId="77777777" w:rsidR="00431A93" w:rsidRPr="00431A93" w:rsidRDefault="00431A93" w:rsidP="00431A9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31A93">
              <w:rPr>
                <w:rFonts w:ascii="Arial" w:hAnsi="Arial" w:cs="Arial"/>
                <w:color w:val="264A60"/>
                <w:kern w:val="0"/>
                <w:sz w:val="18"/>
                <w:szCs w:val="18"/>
              </w:rPr>
              <w:t>Beta</w:t>
            </w:r>
          </w:p>
        </w:tc>
        <w:tc>
          <w:tcPr>
            <w:tcW w:w="1030" w:type="dxa"/>
            <w:vMerge/>
            <w:tcBorders>
              <w:top w:val="nil"/>
              <w:left w:val="single" w:sz="8" w:space="0" w:color="E0E0E0"/>
              <w:bottom w:val="nil"/>
              <w:right w:val="single" w:sz="8" w:space="0" w:color="E0E0E0"/>
            </w:tcBorders>
            <w:shd w:val="clear" w:color="auto" w:fill="FFFFFF"/>
            <w:vAlign w:val="bottom"/>
          </w:tcPr>
          <w:p w14:paraId="34C96311" w14:textId="77777777" w:rsidR="00431A93" w:rsidRPr="00431A93" w:rsidRDefault="00431A93" w:rsidP="00431A93">
            <w:pPr>
              <w:autoSpaceDE w:val="0"/>
              <w:autoSpaceDN w:val="0"/>
              <w:bidi w:val="0"/>
              <w:adjustRightInd w:val="0"/>
              <w:spacing w:after="0" w:line="240" w:lineRule="auto"/>
              <w:rPr>
                <w:rFonts w:ascii="Arial" w:hAnsi="Arial" w:cs="Arial"/>
                <w:color w:val="264A60"/>
                <w:kern w:val="0"/>
                <w:sz w:val="18"/>
                <w:szCs w:val="18"/>
              </w:rPr>
            </w:pPr>
          </w:p>
        </w:tc>
        <w:tc>
          <w:tcPr>
            <w:tcW w:w="1030" w:type="dxa"/>
            <w:vMerge/>
            <w:tcBorders>
              <w:top w:val="nil"/>
              <w:left w:val="single" w:sz="8" w:space="0" w:color="E0E0E0"/>
              <w:bottom w:val="nil"/>
              <w:right w:val="nil"/>
            </w:tcBorders>
            <w:shd w:val="clear" w:color="auto" w:fill="FFFFFF"/>
            <w:vAlign w:val="bottom"/>
          </w:tcPr>
          <w:p w14:paraId="2CEA4484" w14:textId="77777777" w:rsidR="00431A93" w:rsidRPr="00431A93" w:rsidRDefault="00431A93" w:rsidP="00431A93">
            <w:pPr>
              <w:autoSpaceDE w:val="0"/>
              <w:autoSpaceDN w:val="0"/>
              <w:bidi w:val="0"/>
              <w:adjustRightInd w:val="0"/>
              <w:spacing w:after="0" w:line="240" w:lineRule="auto"/>
              <w:rPr>
                <w:rFonts w:ascii="Arial" w:hAnsi="Arial" w:cs="Arial"/>
                <w:color w:val="264A60"/>
                <w:kern w:val="0"/>
                <w:sz w:val="18"/>
                <w:szCs w:val="18"/>
              </w:rPr>
            </w:pPr>
          </w:p>
        </w:tc>
      </w:tr>
      <w:tr w:rsidR="00431A93" w:rsidRPr="00431A93" w14:paraId="1C31F02C" w14:textId="77777777" w:rsidTr="002E6F27">
        <w:trPr>
          <w:cantSplit/>
        </w:trPr>
        <w:tc>
          <w:tcPr>
            <w:tcW w:w="736" w:type="dxa"/>
            <w:vMerge w:val="restart"/>
            <w:tcBorders>
              <w:top w:val="single" w:sz="8" w:space="0" w:color="152935"/>
              <w:left w:val="nil"/>
              <w:bottom w:val="single" w:sz="8" w:space="0" w:color="152935"/>
              <w:right w:val="nil"/>
            </w:tcBorders>
            <w:shd w:val="clear" w:color="auto" w:fill="E0E0E0"/>
          </w:tcPr>
          <w:p w14:paraId="3E8E46C5"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1</w:t>
            </w:r>
          </w:p>
        </w:tc>
        <w:tc>
          <w:tcPr>
            <w:tcW w:w="2460" w:type="dxa"/>
            <w:tcBorders>
              <w:top w:val="single" w:sz="8" w:space="0" w:color="152935"/>
              <w:left w:val="nil"/>
              <w:bottom w:val="single" w:sz="8" w:space="0" w:color="AEAEAE"/>
              <w:right w:val="nil"/>
            </w:tcBorders>
            <w:shd w:val="clear" w:color="auto" w:fill="E0E0E0"/>
          </w:tcPr>
          <w:p w14:paraId="733DBA5F"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(Constant)</w:t>
            </w:r>
          </w:p>
        </w:tc>
        <w:tc>
          <w:tcPr>
            <w:tcW w:w="1338" w:type="dxa"/>
            <w:tcBorders>
              <w:top w:val="single" w:sz="8" w:space="0" w:color="152935"/>
              <w:left w:val="nil"/>
              <w:bottom w:val="single" w:sz="8" w:space="0" w:color="AEAEAE"/>
              <w:right w:val="single" w:sz="8" w:space="0" w:color="E0E0E0"/>
            </w:tcBorders>
            <w:shd w:val="clear" w:color="auto" w:fill="F9F9FB"/>
          </w:tcPr>
          <w:p w14:paraId="2223C14E"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.097</w:t>
            </w:r>
          </w:p>
        </w:tc>
        <w:tc>
          <w:tcPr>
            <w:tcW w:w="1338" w:type="dxa"/>
            <w:tcBorders>
              <w:top w:val="single" w:sz="8" w:space="0" w:color="152935"/>
              <w:left w:val="single" w:sz="8" w:space="0" w:color="E0E0E0"/>
              <w:bottom w:val="single" w:sz="8" w:space="0" w:color="AEAEAE"/>
              <w:right w:val="single" w:sz="8" w:space="0" w:color="E0E0E0"/>
            </w:tcBorders>
            <w:shd w:val="clear" w:color="auto" w:fill="F9F9FB"/>
          </w:tcPr>
          <w:p w14:paraId="50BB8B4D"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.123</w:t>
            </w:r>
          </w:p>
        </w:tc>
        <w:tc>
          <w:tcPr>
            <w:tcW w:w="147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45DBEB21" w14:textId="77777777" w:rsidR="00431A93" w:rsidRPr="00431A93" w:rsidRDefault="00431A93" w:rsidP="00431A93">
            <w:pPr>
              <w:autoSpaceDE w:val="0"/>
              <w:autoSpaceDN w:val="0"/>
              <w:bidi w:val="0"/>
              <w:adjustRightInd w:val="0"/>
              <w:spacing w:after="0" w:line="240" w:lineRule="auto"/>
              <w:rPr>
                <w:rFonts w:ascii="Times New Roman" w:hAnsi="Times New Roman" w:cs="Times New Roman"/>
                <w:kern w:val="0"/>
                <w:sz w:val="24"/>
                <w:szCs w:val="24"/>
              </w:rPr>
            </w:pP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20D828E2"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.786</w:t>
            </w:r>
          </w:p>
        </w:tc>
        <w:tc>
          <w:tcPr>
            <w:tcW w:w="1030" w:type="dxa"/>
            <w:tcBorders>
              <w:top w:val="single" w:sz="8" w:space="0" w:color="152935"/>
              <w:left w:val="single" w:sz="8" w:space="0" w:color="E0E0E0"/>
              <w:bottom w:val="single" w:sz="8" w:space="0" w:color="AEAEAE"/>
              <w:right w:val="nil"/>
            </w:tcBorders>
            <w:shd w:val="clear" w:color="auto" w:fill="F9F9FB"/>
          </w:tcPr>
          <w:p w14:paraId="1FA51C0D"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.433</w:t>
            </w:r>
          </w:p>
        </w:tc>
      </w:tr>
      <w:tr w:rsidR="00431A93" w:rsidRPr="00431A93" w14:paraId="049FED81" w14:textId="77777777" w:rsidTr="002E6F27">
        <w:trPr>
          <w:cantSplit/>
        </w:trPr>
        <w:tc>
          <w:tcPr>
            <w:tcW w:w="736" w:type="dxa"/>
            <w:vMerge/>
            <w:tcBorders>
              <w:top w:val="single" w:sz="8" w:space="0" w:color="152935"/>
              <w:left w:val="nil"/>
              <w:bottom w:val="single" w:sz="8" w:space="0" w:color="152935"/>
              <w:right w:val="nil"/>
            </w:tcBorders>
            <w:shd w:val="clear" w:color="auto" w:fill="E0E0E0"/>
          </w:tcPr>
          <w:p w14:paraId="42D78C78" w14:textId="77777777" w:rsidR="00431A93" w:rsidRPr="00431A93" w:rsidRDefault="00431A93" w:rsidP="00431A93">
            <w:pPr>
              <w:autoSpaceDE w:val="0"/>
              <w:autoSpaceDN w:val="0"/>
              <w:bidi w:val="0"/>
              <w:adjustRightInd w:val="0"/>
              <w:spacing w:after="0" w:line="240" w:lineRule="auto"/>
              <w:rPr>
                <w:rFonts w:ascii="Arial" w:hAnsi="Arial" w:cs="Arial"/>
                <w:color w:val="010205"/>
                <w:kern w:val="0"/>
                <w:sz w:val="18"/>
                <w:szCs w:val="18"/>
              </w:rPr>
            </w:pPr>
          </w:p>
        </w:tc>
        <w:tc>
          <w:tcPr>
            <w:tcW w:w="2460" w:type="dxa"/>
            <w:tcBorders>
              <w:top w:val="single" w:sz="8" w:space="0" w:color="AEAEAE"/>
              <w:left w:val="nil"/>
              <w:bottom w:val="single" w:sz="8" w:space="0" w:color="AEAEAE"/>
              <w:right w:val="nil"/>
            </w:tcBorders>
            <w:shd w:val="clear" w:color="auto" w:fill="E0E0E0"/>
          </w:tcPr>
          <w:p w14:paraId="6234B22E"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Information_Data</w:t>
            </w:r>
          </w:p>
        </w:tc>
        <w:tc>
          <w:tcPr>
            <w:tcW w:w="1338" w:type="dxa"/>
            <w:tcBorders>
              <w:top w:val="single" w:sz="8" w:space="0" w:color="AEAEAE"/>
              <w:left w:val="nil"/>
              <w:bottom w:val="single" w:sz="8" w:space="0" w:color="AEAEAE"/>
              <w:right w:val="single" w:sz="8" w:space="0" w:color="E0E0E0"/>
            </w:tcBorders>
            <w:shd w:val="clear" w:color="auto" w:fill="F9F9FB"/>
          </w:tcPr>
          <w:p w14:paraId="1AA47FB5"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1.182</w:t>
            </w:r>
          </w:p>
        </w:tc>
        <w:tc>
          <w:tcPr>
            <w:tcW w:w="1338" w:type="dxa"/>
            <w:tcBorders>
              <w:top w:val="single" w:sz="8" w:space="0" w:color="AEAEAE"/>
              <w:left w:val="single" w:sz="8" w:space="0" w:color="E0E0E0"/>
              <w:bottom w:val="single" w:sz="8" w:space="0" w:color="AEAEAE"/>
              <w:right w:val="single" w:sz="8" w:space="0" w:color="E0E0E0"/>
            </w:tcBorders>
            <w:shd w:val="clear" w:color="auto" w:fill="F9F9FB"/>
          </w:tcPr>
          <w:p w14:paraId="33C3F2EF"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.077</w:t>
            </w:r>
          </w:p>
        </w:tc>
        <w:tc>
          <w:tcPr>
            <w:tcW w:w="1476" w:type="dxa"/>
            <w:tcBorders>
              <w:top w:val="single" w:sz="8" w:space="0" w:color="AEAEAE"/>
              <w:left w:val="single" w:sz="8" w:space="0" w:color="E0E0E0"/>
              <w:bottom w:val="single" w:sz="8" w:space="0" w:color="AEAEAE"/>
              <w:right w:val="single" w:sz="8" w:space="0" w:color="E0E0E0"/>
            </w:tcBorders>
            <w:shd w:val="clear" w:color="auto" w:fill="F9F9FB"/>
          </w:tcPr>
          <w:p w14:paraId="7F4B8CCB"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1.097</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10653D03"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15.334</w:t>
            </w:r>
          </w:p>
        </w:tc>
        <w:tc>
          <w:tcPr>
            <w:tcW w:w="1030" w:type="dxa"/>
            <w:tcBorders>
              <w:top w:val="single" w:sz="8" w:space="0" w:color="AEAEAE"/>
              <w:left w:val="single" w:sz="8" w:space="0" w:color="E0E0E0"/>
              <w:bottom w:val="single" w:sz="8" w:space="0" w:color="AEAEAE"/>
              <w:right w:val="nil"/>
            </w:tcBorders>
            <w:shd w:val="clear" w:color="auto" w:fill="F9F9FB"/>
          </w:tcPr>
          <w:p w14:paraId="16E259E9"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.000</w:t>
            </w:r>
          </w:p>
        </w:tc>
      </w:tr>
      <w:tr w:rsidR="00431A93" w:rsidRPr="00431A93" w14:paraId="6F548015" w14:textId="77777777" w:rsidTr="002E6F27">
        <w:trPr>
          <w:cantSplit/>
        </w:trPr>
        <w:tc>
          <w:tcPr>
            <w:tcW w:w="736" w:type="dxa"/>
            <w:vMerge/>
            <w:tcBorders>
              <w:top w:val="single" w:sz="8" w:space="0" w:color="152935"/>
              <w:left w:val="nil"/>
              <w:bottom w:val="single" w:sz="8" w:space="0" w:color="152935"/>
              <w:right w:val="nil"/>
            </w:tcBorders>
            <w:shd w:val="clear" w:color="auto" w:fill="E0E0E0"/>
          </w:tcPr>
          <w:p w14:paraId="066727A3" w14:textId="77777777" w:rsidR="00431A93" w:rsidRPr="00431A93" w:rsidRDefault="00431A93" w:rsidP="00431A93">
            <w:pPr>
              <w:autoSpaceDE w:val="0"/>
              <w:autoSpaceDN w:val="0"/>
              <w:bidi w:val="0"/>
              <w:adjustRightInd w:val="0"/>
              <w:spacing w:after="0" w:line="240" w:lineRule="auto"/>
              <w:rPr>
                <w:rFonts w:ascii="Arial" w:hAnsi="Arial" w:cs="Arial"/>
                <w:color w:val="010205"/>
                <w:kern w:val="0"/>
                <w:sz w:val="18"/>
                <w:szCs w:val="18"/>
              </w:rPr>
            </w:pPr>
          </w:p>
        </w:tc>
        <w:tc>
          <w:tcPr>
            <w:tcW w:w="2460" w:type="dxa"/>
            <w:tcBorders>
              <w:top w:val="single" w:sz="8" w:space="0" w:color="AEAEAE"/>
              <w:left w:val="nil"/>
              <w:bottom w:val="single" w:sz="8" w:space="0" w:color="AEAEAE"/>
              <w:right w:val="nil"/>
            </w:tcBorders>
            <w:shd w:val="clear" w:color="auto" w:fill="E0E0E0"/>
          </w:tcPr>
          <w:p w14:paraId="3E684D6A"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Communication_Cadence</w:t>
            </w:r>
          </w:p>
        </w:tc>
        <w:tc>
          <w:tcPr>
            <w:tcW w:w="1338" w:type="dxa"/>
            <w:tcBorders>
              <w:top w:val="single" w:sz="8" w:space="0" w:color="AEAEAE"/>
              <w:left w:val="nil"/>
              <w:bottom w:val="single" w:sz="8" w:space="0" w:color="AEAEAE"/>
              <w:right w:val="single" w:sz="8" w:space="0" w:color="E0E0E0"/>
            </w:tcBorders>
            <w:shd w:val="clear" w:color="auto" w:fill="F9F9FB"/>
          </w:tcPr>
          <w:p w14:paraId="426EB400"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-.296</w:t>
            </w:r>
          </w:p>
        </w:tc>
        <w:tc>
          <w:tcPr>
            <w:tcW w:w="1338" w:type="dxa"/>
            <w:tcBorders>
              <w:top w:val="single" w:sz="8" w:space="0" w:color="AEAEAE"/>
              <w:left w:val="single" w:sz="8" w:space="0" w:color="E0E0E0"/>
              <w:bottom w:val="single" w:sz="8" w:space="0" w:color="AEAEAE"/>
              <w:right w:val="single" w:sz="8" w:space="0" w:color="E0E0E0"/>
            </w:tcBorders>
            <w:shd w:val="clear" w:color="auto" w:fill="F9F9FB"/>
          </w:tcPr>
          <w:p w14:paraId="2BFC2B55"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.076</w:t>
            </w:r>
          </w:p>
        </w:tc>
        <w:tc>
          <w:tcPr>
            <w:tcW w:w="1476" w:type="dxa"/>
            <w:tcBorders>
              <w:top w:val="single" w:sz="8" w:space="0" w:color="AEAEAE"/>
              <w:left w:val="single" w:sz="8" w:space="0" w:color="E0E0E0"/>
              <w:bottom w:val="single" w:sz="8" w:space="0" w:color="AEAEAE"/>
              <w:right w:val="single" w:sz="8" w:space="0" w:color="E0E0E0"/>
            </w:tcBorders>
            <w:shd w:val="clear" w:color="auto" w:fill="F9F9FB"/>
          </w:tcPr>
          <w:p w14:paraId="041732BA"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-.305</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0901AAB1"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-3.896</w:t>
            </w:r>
          </w:p>
        </w:tc>
        <w:tc>
          <w:tcPr>
            <w:tcW w:w="1030" w:type="dxa"/>
            <w:tcBorders>
              <w:top w:val="single" w:sz="8" w:space="0" w:color="AEAEAE"/>
              <w:left w:val="single" w:sz="8" w:space="0" w:color="E0E0E0"/>
              <w:bottom w:val="single" w:sz="8" w:space="0" w:color="AEAEAE"/>
              <w:right w:val="nil"/>
            </w:tcBorders>
            <w:shd w:val="clear" w:color="auto" w:fill="F9F9FB"/>
          </w:tcPr>
          <w:p w14:paraId="1FFE06B8"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.000</w:t>
            </w:r>
          </w:p>
        </w:tc>
      </w:tr>
      <w:tr w:rsidR="00431A93" w:rsidRPr="00431A93" w14:paraId="7EDCCA8E" w14:textId="77777777" w:rsidTr="002E6F27">
        <w:trPr>
          <w:cantSplit/>
        </w:trPr>
        <w:tc>
          <w:tcPr>
            <w:tcW w:w="736" w:type="dxa"/>
            <w:vMerge/>
            <w:tcBorders>
              <w:top w:val="single" w:sz="8" w:space="0" w:color="152935"/>
              <w:left w:val="nil"/>
              <w:bottom w:val="single" w:sz="8" w:space="0" w:color="152935"/>
              <w:right w:val="nil"/>
            </w:tcBorders>
            <w:shd w:val="clear" w:color="auto" w:fill="E0E0E0"/>
          </w:tcPr>
          <w:p w14:paraId="17C28B29" w14:textId="77777777" w:rsidR="00431A93" w:rsidRPr="00431A93" w:rsidRDefault="00431A93" w:rsidP="00431A93">
            <w:pPr>
              <w:autoSpaceDE w:val="0"/>
              <w:autoSpaceDN w:val="0"/>
              <w:bidi w:val="0"/>
              <w:adjustRightInd w:val="0"/>
              <w:spacing w:after="0" w:line="240" w:lineRule="auto"/>
              <w:rPr>
                <w:rFonts w:ascii="Arial" w:hAnsi="Arial" w:cs="Arial"/>
                <w:color w:val="010205"/>
                <w:kern w:val="0"/>
                <w:sz w:val="18"/>
                <w:szCs w:val="18"/>
              </w:rPr>
            </w:pPr>
          </w:p>
        </w:tc>
        <w:tc>
          <w:tcPr>
            <w:tcW w:w="2460" w:type="dxa"/>
            <w:tcBorders>
              <w:top w:val="single" w:sz="8" w:space="0" w:color="AEAEAE"/>
              <w:left w:val="nil"/>
              <w:bottom w:val="single" w:sz="8" w:space="0" w:color="AEAEAE"/>
              <w:right w:val="nil"/>
            </w:tcBorders>
            <w:shd w:val="clear" w:color="auto" w:fill="E0E0E0"/>
          </w:tcPr>
          <w:p w14:paraId="1D615C2B"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Goal_Incentive</w:t>
            </w:r>
          </w:p>
        </w:tc>
        <w:tc>
          <w:tcPr>
            <w:tcW w:w="1338" w:type="dxa"/>
            <w:tcBorders>
              <w:top w:val="single" w:sz="8" w:space="0" w:color="AEAEAE"/>
              <w:left w:val="nil"/>
              <w:bottom w:val="single" w:sz="8" w:space="0" w:color="AEAEAE"/>
              <w:right w:val="single" w:sz="8" w:space="0" w:color="E0E0E0"/>
            </w:tcBorders>
            <w:shd w:val="clear" w:color="auto" w:fill="F9F9FB"/>
          </w:tcPr>
          <w:p w14:paraId="3B19A0E8"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.130</w:t>
            </w:r>
          </w:p>
        </w:tc>
        <w:tc>
          <w:tcPr>
            <w:tcW w:w="1338" w:type="dxa"/>
            <w:tcBorders>
              <w:top w:val="single" w:sz="8" w:space="0" w:color="AEAEAE"/>
              <w:left w:val="single" w:sz="8" w:space="0" w:color="E0E0E0"/>
              <w:bottom w:val="single" w:sz="8" w:space="0" w:color="AEAEAE"/>
              <w:right w:val="single" w:sz="8" w:space="0" w:color="E0E0E0"/>
            </w:tcBorders>
            <w:shd w:val="clear" w:color="auto" w:fill="F9F9FB"/>
          </w:tcPr>
          <w:p w14:paraId="613EC277"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.046</w:t>
            </w:r>
          </w:p>
        </w:tc>
        <w:tc>
          <w:tcPr>
            <w:tcW w:w="1476" w:type="dxa"/>
            <w:tcBorders>
              <w:top w:val="single" w:sz="8" w:space="0" w:color="AEAEAE"/>
              <w:left w:val="single" w:sz="8" w:space="0" w:color="E0E0E0"/>
              <w:bottom w:val="single" w:sz="8" w:space="0" w:color="AEAEAE"/>
              <w:right w:val="single" w:sz="8" w:space="0" w:color="E0E0E0"/>
            </w:tcBorders>
            <w:shd w:val="clear" w:color="auto" w:fill="F9F9FB"/>
          </w:tcPr>
          <w:p w14:paraId="3FB7356F"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.130</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7289B3DF"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2.807</w:t>
            </w:r>
          </w:p>
        </w:tc>
        <w:tc>
          <w:tcPr>
            <w:tcW w:w="1030" w:type="dxa"/>
            <w:tcBorders>
              <w:top w:val="single" w:sz="8" w:space="0" w:color="AEAEAE"/>
              <w:left w:val="single" w:sz="8" w:space="0" w:color="E0E0E0"/>
              <w:bottom w:val="single" w:sz="8" w:space="0" w:color="AEAEAE"/>
              <w:right w:val="nil"/>
            </w:tcBorders>
            <w:shd w:val="clear" w:color="auto" w:fill="F9F9FB"/>
          </w:tcPr>
          <w:p w14:paraId="27C655F8"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.006</w:t>
            </w:r>
          </w:p>
        </w:tc>
      </w:tr>
      <w:tr w:rsidR="00431A93" w:rsidRPr="00431A93" w14:paraId="5F0B311C" w14:textId="77777777" w:rsidTr="002E6F27">
        <w:trPr>
          <w:cantSplit/>
        </w:trPr>
        <w:tc>
          <w:tcPr>
            <w:tcW w:w="736" w:type="dxa"/>
            <w:vMerge/>
            <w:tcBorders>
              <w:top w:val="single" w:sz="8" w:space="0" w:color="152935"/>
              <w:left w:val="nil"/>
              <w:bottom w:val="single" w:sz="8" w:space="0" w:color="152935"/>
              <w:right w:val="nil"/>
            </w:tcBorders>
            <w:shd w:val="clear" w:color="auto" w:fill="E0E0E0"/>
          </w:tcPr>
          <w:p w14:paraId="7753A404" w14:textId="77777777" w:rsidR="00431A93" w:rsidRPr="00431A93" w:rsidRDefault="00431A93" w:rsidP="00431A93">
            <w:pPr>
              <w:autoSpaceDE w:val="0"/>
              <w:autoSpaceDN w:val="0"/>
              <w:bidi w:val="0"/>
              <w:adjustRightInd w:val="0"/>
              <w:spacing w:after="0" w:line="240" w:lineRule="auto"/>
              <w:rPr>
                <w:rFonts w:ascii="Arial" w:hAnsi="Arial" w:cs="Arial"/>
                <w:color w:val="010205"/>
                <w:kern w:val="0"/>
                <w:sz w:val="18"/>
                <w:szCs w:val="18"/>
              </w:rPr>
            </w:pPr>
          </w:p>
        </w:tc>
        <w:tc>
          <w:tcPr>
            <w:tcW w:w="2460" w:type="dxa"/>
            <w:tcBorders>
              <w:top w:val="single" w:sz="8" w:space="0" w:color="AEAEAE"/>
              <w:left w:val="nil"/>
              <w:bottom w:val="single" w:sz="8" w:space="0" w:color="152935"/>
              <w:right w:val="nil"/>
            </w:tcBorders>
            <w:shd w:val="clear" w:color="auto" w:fill="E0E0E0"/>
          </w:tcPr>
          <w:p w14:paraId="5EC82629"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264A60"/>
                <w:kern w:val="0"/>
                <w:sz w:val="18"/>
                <w:szCs w:val="18"/>
              </w:rPr>
            </w:pPr>
            <w:r w:rsidRPr="00431A93">
              <w:rPr>
                <w:rFonts w:ascii="Arial" w:hAnsi="Arial" w:cs="Arial"/>
                <w:color w:val="264A60"/>
                <w:kern w:val="0"/>
                <w:sz w:val="18"/>
                <w:szCs w:val="18"/>
              </w:rPr>
              <w:t>Decision_Escalation</w:t>
            </w:r>
          </w:p>
        </w:tc>
        <w:tc>
          <w:tcPr>
            <w:tcW w:w="1338" w:type="dxa"/>
            <w:tcBorders>
              <w:top w:val="single" w:sz="8" w:space="0" w:color="AEAEAE"/>
              <w:left w:val="nil"/>
              <w:bottom w:val="single" w:sz="8" w:space="0" w:color="152935"/>
              <w:right w:val="single" w:sz="8" w:space="0" w:color="E0E0E0"/>
            </w:tcBorders>
            <w:shd w:val="clear" w:color="auto" w:fill="F9F9FB"/>
          </w:tcPr>
          <w:p w14:paraId="3F6CE4B6"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-.047</w:t>
            </w:r>
          </w:p>
        </w:tc>
        <w:tc>
          <w:tcPr>
            <w:tcW w:w="1338" w:type="dxa"/>
            <w:tcBorders>
              <w:top w:val="single" w:sz="8" w:space="0" w:color="AEAEAE"/>
              <w:left w:val="single" w:sz="8" w:space="0" w:color="E0E0E0"/>
              <w:bottom w:val="single" w:sz="8" w:space="0" w:color="152935"/>
              <w:right w:val="single" w:sz="8" w:space="0" w:color="E0E0E0"/>
            </w:tcBorders>
            <w:shd w:val="clear" w:color="auto" w:fill="F9F9FB"/>
          </w:tcPr>
          <w:p w14:paraId="4F8EF095"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.052</w:t>
            </w:r>
          </w:p>
        </w:tc>
        <w:tc>
          <w:tcPr>
            <w:tcW w:w="1476" w:type="dxa"/>
            <w:tcBorders>
              <w:top w:val="single" w:sz="8" w:space="0" w:color="AEAEAE"/>
              <w:left w:val="single" w:sz="8" w:space="0" w:color="E0E0E0"/>
              <w:bottom w:val="single" w:sz="8" w:space="0" w:color="152935"/>
              <w:right w:val="single" w:sz="8" w:space="0" w:color="E0E0E0"/>
            </w:tcBorders>
            <w:shd w:val="clear" w:color="auto" w:fill="F9F9FB"/>
          </w:tcPr>
          <w:p w14:paraId="39B0757F"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-.051</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41985C28"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-.906</w:t>
            </w:r>
          </w:p>
        </w:tc>
        <w:tc>
          <w:tcPr>
            <w:tcW w:w="1030" w:type="dxa"/>
            <w:tcBorders>
              <w:top w:val="single" w:sz="8" w:space="0" w:color="AEAEAE"/>
              <w:left w:val="single" w:sz="8" w:space="0" w:color="E0E0E0"/>
              <w:bottom w:val="single" w:sz="8" w:space="0" w:color="152935"/>
              <w:right w:val="nil"/>
            </w:tcBorders>
            <w:shd w:val="clear" w:color="auto" w:fill="F9F9FB"/>
          </w:tcPr>
          <w:p w14:paraId="0D144E44" w14:textId="77777777" w:rsidR="00431A93" w:rsidRPr="00431A93" w:rsidRDefault="00431A93" w:rsidP="00431A9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31A93">
              <w:rPr>
                <w:rFonts w:ascii="Arial" w:hAnsi="Arial" w:cs="Arial"/>
                <w:color w:val="010205"/>
                <w:kern w:val="0"/>
                <w:sz w:val="18"/>
                <w:szCs w:val="18"/>
              </w:rPr>
              <w:t>.366</w:t>
            </w:r>
          </w:p>
        </w:tc>
      </w:tr>
      <w:tr w:rsidR="00431A93" w:rsidRPr="00431A93" w14:paraId="6EA32438" w14:textId="77777777" w:rsidTr="002E6F27">
        <w:trPr>
          <w:cantSplit/>
        </w:trPr>
        <w:tc>
          <w:tcPr>
            <w:tcW w:w="9408" w:type="dxa"/>
            <w:gridSpan w:val="7"/>
            <w:tcBorders>
              <w:top w:val="nil"/>
              <w:left w:val="nil"/>
              <w:bottom w:val="nil"/>
              <w:right w:val="nil"/>
            </w:tcBorders>
            <w:shd w:val="clear" w:color="auto" w:fill="FFFFFF"/>
          </w:tcPr>
          <w:p w14:paraId="4B67F808" w14:textId="77777777" w:rsidR="00431A93" w:rsidRPr="00431A93" w:rsidRDefault="00431A93" w:rsidP="00431A93">
            <w:pPr>
              <w:autoSpaceDE w:val="0"/>
              <w:autoSpaceDN w:val="0"/>
              <w:bidi w:val="0"/>
              <w:adjustRightInd w:val="0"/>
              <w:spacing w:after="0" w:line="320" w:lineRule="atLeast"/>
              <w:ind w:left="60" w:right="60"/>
              <w:rPr>
                <w:rFonts w:ascii="Arial" w:hAnsi="Arial" w:cs="Arial"/>
                <w:color w:val="010205"/>
                <w:kern w:val="0"/>
                <w:sz w:val="18"/>
                <w:szCs w:val="18"/>
              </w:rPr>
            </w:pPr>
            <w:r w:rsidRPr="00431A93">
              <w:rPr>
                <w:rFonts w:ascii="Arial" w:hAnsi="Arial" w:cs="Arial"/>
                <w:color w:val="010205"/>
                <w:kern w:val="0"/>
                <w:sz w:val="18"/>
                <w:szCs w:val="18"/>
              </w:rPr>
              <w:t>a. Dependent Variable: Risk_Management_Effectiveness</w:t>
            </w:r>
          </w:p>
        </w:tc>
      </w:tr>
    </w:tbl>
    <w:p w14:paraId="03B165F8" w14:textId="77777777" w:rsidR="00431A93" w:rsidRPr="00431A93" w:rsidRDefault="00431A93" w:rsidP="00431A93">
      <w:pPr>
        <w:autoSpaceDE w:val="0"/>
        <w:autoSpaceDN w:val="0"/>
        <w:bidi w:val="0"/>
        <w:adjustRightInd w:val="0"/>
        <w:spacing w:after="0" w:line="400" w:lineRule="atLeast"/>
        <w:rPr>
          <w:rFonts w:ascii="Times New Roman" w:hAnsi="Times New Roman" w:cs="Times New Roman"/>
          <w:kern w:val="0"/>
          <w:sz w:val="24"/>
          <w:szCs w:val="24"/>
        </w:rPr>
      </w:pPr>
    </w:p>
    <w:p w14:paraId="2D416922" w14:textId="6B06A292" w:rsidR="00370164" w:rsidRDefault="00E46B9F" w:rsidP="00370164">
      <w:pPr>
        <w:bidi w:val="0"/>
        <w:spacing w:after="120" w:line="276" w:lineRule="auto"/>
        <w:ind w:firstLine="284"/>
        <w:jc w:val="both"/>
        <w:rPr>
          <w:rFonts w:asciiTheme="majorBidi" w:hAnsiTheme="majorBidi" w:cstheme="majorBidi"/>
          <w:sz w:val="24"/>
          <w:szCs w:val="24"/>
        </w:rPr>
      </w:pPr>
      <w:r>
        <w:rPr>
          <w:rFonts w:ascii="Times New Roman" w:hAnsi="Times New Roman" w:cs="Times New Roman"/>
          <w:b/>
          <w:bCs/>
          <w:noProof/>
          <w:sz w:val="32"/>
          <w:szCs w:val="32"/>
          <w:rtl/>
          <w:lang w:val="ar-EG" w:bidi="ar-EG"/>
        </w:rPr>
        <mc:AlternateContent>
          <mc:Choice Requires="wpg">
            <w:drawing>
              <wp:inline distT="0" distB="0" distL="0" distR="0" wp14:anchorId="78979C11" wp14:editId="51B604E5">
                <wp:extent cx="5846877" cy="1806142"/>
                <wp:effectExtent l="0" t="0" r="20955" b="22860"/>
                <wp:docPr id="26" name="Group 26"/>
                <wp:cNvGraphicFramePr/>
                <a:graphic xmlns:a="http://schemas.openxmlformats.org/drawingml/2006/main">
                  <a:graphicData uri="http://schemas.microsoft.com/office/word/2010/wordprocessingGroup">
                    <wpg:wgp>
                      <wpg:cNvGrpSpPr/>
                      <wpg:grpSpPr>
                        <a:xfrm>
                          <a:off x="0" y="0"/>
                          <a:ext cx="5846877" cy="1806142"/>
                          <a:chOff x="-140680" y="-586152"/>
                          <a:chExt cx="6696546" cy="2068570"/>
                        </a:xfrm>
                      </wpg:grpSpPr>
                      <wps:wsp>
                        <wps:cNvPr id="27" name="Rectangle 27"/>
                        <wps:cNvSpPr/>
                        <wps:spPr>
                          <a:xfrm>
                            <a:off x="4371563" y="493716"/>
                            <a:ext cx="2176018" cy="340026"/>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62AB5456" w14:textId="2A2BEB39" w:rsidR="00E46B9F" w:rsidRPr="0001110B" w:rsidRDefault="0001110B" w:rsidP="0001110B">
                              <w:pPr>
                                <w:bidi w:val="0"/>
                                <w:rPr>
                                  <w:color w:val="000000" w:themeColor="text1"/>
                                  <w:sz w:val="18"/>
                                  <w:szCs w:val="18"/>
                                  <w:rtl/>
                                  <w:lang w:bidi="ar-EG"/>
                                </w:rPr>
                              </w:pPr>
                              <w:r w:rsidRPr="0001110B">
                                <w:rPr>
                                  <w:rFonts w:asciiTheme="majorBidi" w:hAnsiTheme="majorBidi" w:cstheme="majorBidi"/>
                                  <w:noProof/>
                                  <w:color w:val="000000" w:themeColor="text1"/>
                                  <w:sz w:val="18"/>
                                  <w:szCs w:val="18"/>
                                </w:rPr>
                                <w:t>Goal/KPI &amp; Incentive Alignment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 name="Group 28"/>
                        <wpg:cNvGrpSpPr/>
                        <wpg:grpSpPr>
                          <a:xfrm>
                            <a:off x="-140680" y="-586152"/>
                            <a:ext cx="6696546" cy="2068570"/>
                            <a:chOff x="-140691" y="-622781"/>
                            <a:chExt cx="6697063" cy="2068757"/>
                          </a:xfrm>
                        </wpg:grpSpPr>
                        <wpg:grpSp>
                          <wpg:cNvPr id="29" name="Group 29"/>
                          <wpg:cNvGrpSpPr/>
                          <wpg:grpSpPr>
                            <a:xfrm>
                              <a:off x="-140691" y="-143908"/>
                              <a:ext cx="6689481" cy="984658"/>
                              <a:chOff x="-497316" y="-681103"/>
                              <a:chExt cx="6689869" cy="998218"/>
                            </a:xfrm>
                          </wpg:grpSpPr>
                          <wps:wsp>
                            <wps:cNvPr id="30" name="Rectangle 30"/>
                            <wps:cNvSpPr/>
                            <wps:spPr>
                              <a:xfrm>
                                <a:off x="4016536" y="-681103"/>
                                <a:ext cx="2176017" cy="502459"/>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6C7E350F" w14:textId="1623E6F6" w:rsidR="00E46B9F" w:rsidRPr="00E46B9F" w:rsidRDefault="00E46B9F" w:rsidP="00E46B9F">
                                  <w:pPr>
                                    <w:bidi w:val="0"/>
                                    <w:jc w:val="center"/>
                                    <w:rPr>
                                      <w:color w:val="000000" w:themeColor="text1"/>
                                      <w:sz w:val="18"/>
                                      <w:szCs w:val="18"/>
                                    </w:rPr>
                                  </w:pPr>
                                  <w:r w:rsidRPr="00E46B9F">
                                    <w:rPr>
                                      <w:rFonts w:asciiTheme="majorBidi" w:hAnsiTheme="majorBidi" w:cs="Times New Roman"/>
                                      <w:noProof/>
                                      <w:color w:val="000000" w:themeColor="text1"/>
                                      <w:sz w:val="18"/>
                                      <w:szCs w:val="18"/>
                                      <w:rtl/>
                                    </w:rPr>
                                    <w:t xml:space="preserve">. </w:t>
                                  </w:r>
                                  <w:r w:rsidRPr="00E46B9F">
                                    <w:rPr>
                                      <w:rFonts w:asciiTheme="majorBidi" w:hAnsiTheme="majorBidi" w:cstheme="majorBidi"/>
                                      <w:noProof/>
                                      <w:color w:val="000000" w:themeColor="text1"/>
                                      <w:sz w:val="18"/>
                                      <w:szCs w:val="18"/>
                                    </w:rPr>
                                    <w:t>Information Sharing &amp; Data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Arrow Connector 31"/>
                            <wps:cNvCnPr>
                              <a:stCxn id="30" idx="1"/>
                              <a:endCxn id="678438240" idx="3"/>
                            </wps:cNvCnPr>
                            <wps:spPr>
                              <a:xfrm flipH="1">
                                <a:off x="1678701" y="-429874"/>
                                <a:ext cx="2337834" cy="316967"/>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wps:wsp>
                            <wps:cNvPr id="678438240" name="Rectangle 678438240"/>
                            <wps:cNvSpPr/>
                            <wps:spPr>
                              <a:xfrm>
                                <a:off x="-497316" y="-542928"/>
                                <a:ext cx="2176017" cy="860043"/>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17261C51" w14:textId="5BCF76A2" w:rsidR="00E46B9F" w:rsidRPr="00690E88" w:rsidRDefault="00E46B9F" w:rsidP="00E46B9F">
                                  <w:pPr>
                                    <w:jc w:val="center"/>
                                    <w:rPr>
                                      <w:color w:val="000000" w:themeColor="text1"/>
                                    </w:rPr>
                                  </w:pPr>
                                  <w:r w:rsidRPr="00E46B9F">
                                    <w:rPr>
                                      <w:rFonts w:asciiTheme="majorBidi" w:hAnsiTheme="majorBidi" w:cstheme="majorBidi"/>
                                      <w:b/>
                                      <w:bCs/>
                                      <w:noProof/>
                                      <w:color w:val="000000" w:themeColor="text1"/>
                                    </w:rPr>
                                    <w:t>Risk management 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78438241" name="Rectangle 678438241"/>
                          <wps:cNvSpPr/>
                          <wps:spPr>
                            <a:xfrm>
                              <a:off x="4372899" y="-601837"/>
                              <a:ext cx="2176018" cy="312644"/>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572F427A" w14:textId="38C223AD" w:rsidR="00E46B9F" w:rsidRPr="00E46B9F" w:rsidRDefault="00E46B9F" w:rsidP="00E46B9F">
                                <w:pPr>
                                  <w:bidi w:val="0"/>
                                  <w:jc w:val="center"/>
                                  <w:rPr>
                                    <w:color w:val="000000" w:themeColor="text1"/>
                                    <w:sz w:val="18"/>
                                    <w:szCs w:val="18"/>
                                  </w:rPr>
                                </w:pPr>
                                <w:r w:rsidRPr="00E46B9F">
                                  <w:rPr>
                                    <w:rFonts w:asciiTheme="majorBidi" w:hAnsiTheme="majorBidi" w:cstheme="majorBidi"/>
                                    <w:noProof/>
                                    <w:color w:val="000000" w:themeColor="text1"/>
                                    <w:sz w:val="18"/>
                                    <w:szCs w:val="18"/>
                                  </w:rPr>
                                  <w:t>Communication Quality &amp; Cadence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438242" name="Rectangle 678438242"/>
                          <wps:cNvSpPr/>
                          <wps:spPr>
                            <a:xfrm>
                              <a:off x="4380353" y="932069"/>
                              <a:ext cx="2176019" cy="513907"/>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txbx>
                            <w:txbxContent>
                              <w:p w14:paraId="2AB8FD44" w14:textId="267C88AF" w:rsidR="00E46B9F" w:rsidRPr="0001110B" w:rsidRDefault="0001110B" w:rsidP="0001110B">
                                <w:pPr>
                                  <w:bidi w:val="0"/>
                                  <w:jc w:val="center"/>
                                  <w:rPr>
                                    <w:color w:val="000000" w:themeColor="text1"/>
                                    <w:sz w:val="18"/>
                                    <w:szCs w:val="18"/>
                                  </w:rPr>
                                </w:pPr>
                                <w:r w:rsidRPr="0001110B">
                                  <w:rPr>
                                    <w:rFonts w:asciiTheme="majorBidi" w:hAnsiTheme="majorBidi" w:cstheme="majorBidi"/>
                                    <w:noProof/>
                                    <w:color w:val="000000" w:themeColor="text1"/>
                                    <w:sz w:val="18"/>
                                    <w:szCs w:val="18"/>
                                  </w:rPr>
                                  <w:t>Decision Rights &amp; Escalation Clarity (RACI)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438243" name="Straight Arrow Connector 678438243"/>
                          <wps:cNvCnPr>
                            <a:stCxn id="678438241" idx="1"/>
                          </wps:cNvCnPr>
                          <wps:spPr>
                            <a:xfrm flipH="1">
                              <a:off x="2035040" y="-445544"/>
                              <a:ext cx="2337526" cy="484626"/>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wps:wsp>
                          <wps:cNvPr id="678438244" name="Straight Arrow Connector 678438244"/>
                          <wps:cNvCnPr>
                            <a:stCxn id="678438242" idx="1"/>
                          </wps:cNvCnPr>
                          <wps:spPr>
                            <a:xfrm flipH="1" flipV="1">
                              <a:off x="2133803" y="851954"/>
                              <a:ext cx="2246216" cy="336736"/>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wps:wsp>
                          <wps:cNvPr id="678438245" name="Straight Arrow Connector 678438245"/>
                          <wps:cNvCnPr>
                            <a:stCxn id="27" idx="1"/>
                            <a:endCxn id="678438240" idx="3"/>
                          </wps:cNvCnPr>
                          <wps:spPr>
                            <a:xfrm flipH="1" flipV="1">
                              <a:off x="2035200" y="416570"/>
                              <a:ext cx="2336700" cy="210644"/>
                            </a:xfrm>
                            <a:prstGeom prst="straightConnector1">
                              <a:avLst/>
                            </a:prstGeom>
                            <a:ln>
                              <a:tailEnd type="triangle"/>
                            </a:ln>
                            <a:effectLst/>
                          </wps:spPr>
                          <wps:style>
                            <a:lnRef idx="2">
                              <a:schemeClr val="dk1"/>
                            </a:lnRef>
                            <a:fillRef idx="0">
                              <a:schemeClr val="dk1"/>
                            </a:fillRef>
                            <a:effectRef idx="1">
                              <a:schemeClr val="dk1"/>
                            </a:effectRef>
                            <a:fontRef idx="minor">
                              <a:schemeClr val="tx1"/>
                            </a:fontRef>
                          </wps:style>
                          <wps:bodyPr/>
                        </wps:wsp>
                        <wps:wsp>
                          <wps:cNvPr id="678438246" name="Rectangle 678438246"/>
                          <wps:cNvSpPr/>
                          <wps:spPr>
                            <a:xfrm>
                              <a:off x="3623847" y="-622781"/>
                              <a:ext cx="461771" cy="392853"/>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3C9FA8B7" w14:textId="77777777" w:rsidR="00E46B9F" w:rsidRPr="00CD441A" w:rsidRDefault="00E46B9F" w:rsidP="00E46B9F">
                                <w:pPr>
                                  <w:jc w:val="center"/>
                                  <w:rPr>
                                    <w:color w:val="000000" w:themeColor="text1"/>
                                    <w:rtl/>
                                    <w:lang w:bidi="ar-EG"/>
                                  </w:rPr>
                                </w:pPr>
                                <w:r>
                                  <w:rPr>
                                    <w:rFonts w:asciiTheme="majorBidi" w:hAnsiTheme="majorBidi" w:cstheme="majorBidi"/>
                                    <w:b/>
                                    <w:bCs/>
                                    <w:noProof/>
                                    <w:color w:val="000000" w:themeColor="text1"/>
                                    <w:lang w:bidi="ar-EG"/>
                                  </w:rPr>
                                  <w:t>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438248" name="Rectangle 678438248"/>
                          <wps:cNvSpPr/>
                          <wps:spPr>
                            <a:xfrm>
                              <a:off x="3734613" y="-157027"/>
                              <a:ext cx="461771" cy="392853"/>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42C0DA20" w14:textId="77777777" w:rsidR="00E46B9F" w:rsidRPr="00CD441A" w:rsidRDefault="00E46B9F" w:rsidP="00E46B9F">
                                <w:pPr>
                                  <w:jc w:val="center"/>
                                  <w:rPr>
                                    <w:color w:val="000000" w:themeColor="text1"/>
                                    <w:rtl/>
                                    <w:lang w:bidi="ar-EG"/>
                                  </w:rPr>
                                </w:pPr>
                                <w:r>
                                  <w:rPr>
                                    <w:rFonts w:asciiTheme="majorBidi" w:hAnsiTheme="majorBidi" w:cstheme="majorBidi"/>
                                    <w:b/>
                                    <w:bCs/>
                                    <w:noProof/>
                                    <w:color w:val="000000" w:themeColor="text1"/>
                                    <w:lang w:bidi="ar-EG"/>
                                  </w:rPr>
                                  <w:t>Hb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438249" name="Rectangle 678438249"/>
                          <wps:cNvSpPr/>
                          <wps:spPr>
                            <a:xfrm>
                              <a:off x="3812048" y="303268"/>
                              <a:ext cx="461771" cy="392853"/>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0073D59F" w14:textId="77777777" w:rsidR="00E46B9F" w:rsidRPr="00CD441A" w:rsidRDefault="00E46B9F" w:rsidP="00E46B9F">
                                <w:pPr>
                                  <w:jc w:val="center"/>
                                  <w:rPr>
                                    <w:color w:val="000000" w:themeColor="text1"/>
                                    <w:lang w:bidi="ar-EG"/>
                                  </w:rPr>
                                </w:pPr>
                                <w:r>
                                  <w:rPr>
                                    <w:rFonts w:asciiTheme="majorBidi" w:hAnsiTheme="majorBidi" w:cstheme="majorBidi"/>
                                    <w:b/>
                                    <w:bCs/>
                                    <w:noProof/>
                                    <w:color w:val="000000" w:themeColor="text1"/>
                                    <w:lang w:bidi="ar-EG"/>
                                  </w:rPr>
                                  <w:t>Hc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438250" name="Rectangle 678438250"/>
                          <wps:cNvSpPr/>
                          <wps:spPr>
                            <a:xfrm>
                              <a:off x="3734614" y="775823"/>
                              <a:ext cx="461771" cy="392853"/>
                            </a:xfrm>
                            <a:prstGeom prst="rect">
                              <a:avLst/>
                            </a:prstGeom>
                            <a:noFill/>
                            <a:ln>
                              <a:noFill/>
                            </a:ln>
                            <a:effectLst/>
                          </wps:spPr>
                          <wps:style>
                            <a:lnRef idx="1">
                              <a:schemeClr val="accent1"/>
                            </a:lnRef>
                            <a:fillRef idx="3">
                              <a:schemeClr val="accent1"/>
                            </a:fillRef>
                            <a:effectRef idx="2">
                              <a:schemeClr val="accent1"/>
                            </a:effectRef>
                            <a:fontRef idx="minor">
                              <a:schemeClr val="lt1"/>
                            </a:fontRef>
                          </wps:style>
                          <wps:txbx>
                            <w:txbxContent>
                              <w:p w14:paraId="2C5C0C0F" w14:textId="77777777" w:rsidR="00E46B9F" w:rsidRPr="00CD441A" w:rsidRDefault="00E46B9F" w:rsidP="00E46B9F">
                                <w:pPr>
                                  <w:jc w:val="center"/>
                                  <w:rPr>
                                    <w:color w:val="000000" w:themeColor="text1"/>
                                    <w:lang w:bidi="ar-EG"/>
                                  </w:rPr>
                                </w:pPr>
                                <w:r>
                                  <w:rPr>
                                    <w:rFonts w:asciiTheme="majorBidi" w:hAnsiTheme="majorBidi" w:cstheme="majorBidi"/>
                                    <w:b/>
                                    <w:bCs/>
                                    <w:noProof/>
                                    <w:color w:val="000000" w:themeColor="text1"/>
                                    <w:lang w:bidi="ar-EG"/>
                                  </w:rPr>
                                  <w:t>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78979C11" id="Group 26" o:spid="_x0000_s1073" style="width:460.4pt;height:142.2pt;mso-position-horizontal-relative:char;mso-position-vertical-relative:line" coordorigin="-1406,-5861" coordsize="66965,20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">
                <v:rect id="Rectangle 27" o:spid="_x0000_s1074" style="position:absolute;left:43715;top:4937;width:21760;height:3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" filled="f" strokecolor="black [3213]" strokeweight=".5pt">
                  <v:textbox>
                    <w:txbxContent>
                      <w:p w14:paraId="62AB5456" w14:textId="2A2BEB39" w:rsidR="00E46B9F" w:rsidRPr="0001110B" w:rsidRDefault="0001110B" w:rsidP="0001110B">
                        <w:pPr>
                          <w:bidi w:val="0"/>
                          <w:rPr>
                            <w:rFonts w:hint="cs"/>
                            <w:color w:val="000000" w:themeColor="text1"/>
                            <w:sz w:val="18"/>
                            <w:szCs w:val="18"/>
                            <w:rtl/>
                            <w:lang w:bidi="ar-EG"/>
                          </w:rPr>
                        </w:pPr>
                        <w:r w:rsidRPr="0001110B">
                          <w:rPr>
                            <w:rFonts w:asciiTheme="majorBidi" w:hAnsiTheme="majorBidi" w:cstheme="majorBidi"/>
                            <w:noProof/>
                            <w:color w:val="000000" w:themeColor="text1"/>
                            <w:sz w:val="18"/>
                            <w:szCs w:val="18"/>
                          </w:rPr>
                          <w:t>Goal/KPI &amp; Incentive Alignment</w:t>
                        </w:r>
                      </w:p>
                    </w:txbxContent>
                  </v:textbox>
                </v:rect>
                <v:group id="_x0000_s1075" style="position:absolute;left:-1406;top:-5861;width:66964;height:20685" coordorigin="-1406,-6227" coordsize="66970,2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9" o:spid="_x0000_s1076" style="position:absolute;left:-1406;top:-1439;width:66893;height:9846" coordorigin="-4973,-6811" coordsize="66898,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77" style="position:absolute;left:40165;top:-6811;width:21760;height: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" filled="f" strokecolor="black [3213]" strokeweight=".5pt">
                      <v:textbox>
                        <w:txbxContent>
                          <w:p w14:paraId="6C7E350F" w14:textId="1623E6F6" w:rsidR="00E46B9F" w:rsidRPr="00E46B9F" w:rsidRDefault="00E46B9F" w:rsidP="00E46B9F">
                            <w:pPr>
                              <w:bidi w:val="0"/>
                              <w:jc w:val="center"/>
                              <w:rPr>
                                <w:color w:val="000000" w:themeColor="text1"/>
                                <w:sz w:val="18"/>
                                <w:szCs w:val="18"/>
                              </w:rPr>
                            </w:pPr>
                            <w:r w:rsidRPr="00E46B9F">
                              <w:rPr>
                                <w:rFonts w:asciiTheme="majorBidi" w:hAnsiTheme="majorBidi" w:cs="Times New Roman"/>
                                <w:noProof/>
                                <w:color w:val="000000" w:themeColor="text1"/>
                                <w:sz w:val="18"/>
                                <w:szCs w:val="18"/>
                                <w:rtl/>
                              </w:rPr>
                              <w:t xml:space="preserve">. </w:t>
                            </w:r>
                            <w:r w:rsidRPr="00E46B9F">
                              <w:rPr>
                                <w:rFonts w:asciiTheme="majorBidi" w:hAnsiTheme="majorBidi" w:cstheme="majorBidi"/>
                                <w:noProof/>
                                <w:color w:val="000000" w:themeColor="text1"/>
                                <w:sz w:val="18"/>
                                <w:szCs w:val="18"/>
                              </w:rPr>
                              <w:t>Information Sharing &amp; Data Integration</w:t>
                            </w:r>
                          </w:p>
                        </w:txbxContent>
                      </v:textbox>
                    </v:rect>
                    <v:shape id="Straight Arrow Connector 31" o:spid="_x0000_s1078" type="#_x0000_t32" style="position:absolute;left:16787;top:-4298;width:23378;height:31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" strokecolor="black [3200]" strokeweight="1pt">
                      <v:stroke endarrow="block" joinstyle="miter"/>
                    </v:shape>
                    <v:rect id="Rectangle 678438240" o:spid="_x0000_s1079" style="position:absolute;left:-4973;top:-5429;width:21760;height:8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" filled="f" strokecolor="black [3213]" strokeweight=".5pt">
                      <v:textbox>
                        <w:txbxContent>
                          <w:p w14:paraId="17261C51" w14:textId="5BCF76A2" w:rsidR="00E46B9F" w:rsidRPr="00690E88" w:rsidRDefault="00E46B9F" w:rsidP="00E46B9F">
                            <w:pPr>
                              <w:jc w:val="center"/>
                              <w:rPr>
                                <w:color w:val="000000" w:themeColor="text1"/>
                              </w:rPr>
                            </w:pPr>
                            <w:r w:rsidRPr="00E46B9F">
                              <w:rPr>
                                <w:rFonts w:asciiTheme="majorBidi" w:hAnsiTheme="majorBidi" w:cstheme="majorBidi"/>
                                <w:b/>
                                <w:bCs/>
                                <w:noProof/>
                                <w:color w:val="000000" w:themeColor="text1"/>
                              </w:rPr>
                              <w:t>Risk management effectiveness</w:t>
                            </w:r>
                          </w:p>
                        </w:txbxContent>
                      </v:textbox>
                    </v:rect>
                  </v:group>
                  <v:rect id="Rectangle 678438241" o:spid="_x0000_s1080" style="position:absolute;left:43728;top:-6018;width:21761;height:3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" filled="f" strokecolor="black [3213]" strokeweight=".5pt">
                    <v:textbox>
                      <w:txbxContent>
                        <w:p w14:paraId="572F427A" w14:textId="38C223AD" w:rsidR="00E46B9F" w:rsidRPr="00E46B9F" w:rsidRDefault="00E46B9F" w:rsidP="00E46B9F">
                          <w:pPr>
                            <w:bidi w:val="0"/>
                            <w:jc w:val="center"/>
                            <w:rPr>
                              <w:color w:val="000000" w:themeColor="text1"/>
                              <w:sz w:val="18"/>
                              <w:szCs w:val="18"/>
                            </w:rPr>
                          </w:pPr>
                          <w:r w:rsidRPr="00E46B9F">
                            <w:rPr>
                              <w:rFonts w:asciiTheme="majorBidi" w:hAnsiTheme="majorBidi" w:cstheme="majorBidi"/>
                              <w:noProof/>
                              <w:color w:val="000000" w:themeColor="text1"/>
                              <w:sz w:val="18"/>
                              <w:szCs w:val="18"/>
                            </w:rPr>
                            <w:t>Communication Quality &amp; Cadence</w:t>
                          </w:r>
                        </w:p>
                      </w:txbxContent>
                    </v:textbox>
                  </v:rect>
                  <v:rect id="Rectangle 678438242" o:spid="_x0000_s1081" style="position:absolute;left:43803;top:9320;width:21760;height:5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" filled="f" strokecolor="black [3213]" strokeweight=".5pt">
                    <v:textbox>
                      <w:txbxContent>
                        <w:p w14:paraId="2AB8FD44" w14:textId="267C88AF" w:rsidR="00E46B9F" w:rsidRPr="0001110B" w:rsidRDefault="0001110B" w:rsidP="0001110B">
                          <w:pPr>
                            <w:bidi w:val="0"/>
                            <w:jc w:val="center"/>
                            <w:rPr>
                              <w:color w:val="000000" w:themeColor="text1"/>
                              <w:sz w:val="18"/>
                              <w:szCs w:val="18"/>
                            </w:rPr>
                          </w:pPr>
                          <w:r w:rsidRPr="0001110B">
                            <w:rPr>
                              <w:rFonts w:asciiTheme="majorBidi" w:hAnsiTheme="majorBidi" w:cstheme="majorBidi"/>
                              <w:noProof/>
                              <w:color w:val="000000" w:themeColor="text1"/>
                              <w:sz w:val="18"/>
                              <w:szCs w:val="18"/>
                            </w:rPr>
                            <w:t>Decision Rights &amp; Escalation Clarity (RACI)</w:t>
                          </w:r>
                        </w:p>
                      </w:txbxContent>
                    </v:textbox>
                  </v:rect>
                  <v:shape id="Straight Arrow Connector 678438243" o:spid="_x0000_s1082" type="#_x0000_t32" style="position:absolute;left:20350;top:-4455;width:23375;height:4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" strokecolor="black [3200]" strokeweight="1pt">
                    <v:stroke endarrow="block" joinstyle="miter"/>
                  </v:shape>
                  <v:shape id="Straight Arrow Connector 678438244" o:spid="_x0000_s1083" type="#_x0000_t32" style="position:absolute;left:21338;top:8519;width:22462;height:33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" strokecolor="black [3200]" strokeweight="1pt">
                    <v:stroke endarrow="block" joinstyle="miter"/>
                  </v:shape>
                  <v:shape id="Straight Arrow Connector 678438245" o:spid="_x0000_s1084" type="#_x0000_t32" style="position:absolute;left:20352;top:4165;width:23367;height:210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" strokecolor="black [3200]" strokeweight="1pt">
                    <v:stroke endarrow="block" joinstyle="miter"/>
                  </v:shape>
                  <v:rect id="Rectangle 678438246" o:spid="_x0000_s1085" style="position:absolute;left:36238;top:-6227;width:4618;height: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" filled="f" stroked="f" strokeweight=".5pt">
                    <v:textbox>
                      <w:txbxContent>
                        <w:p w14:paraId="3C9FA8B7" w14:textId="77777777" w:rsidR="00E46B9F" w:rsidRPr="00CD441A" w:rsidRDefault="00E46B9F" w:rsidP="00E46B9F">
                          <w:pPr>
                            <w:jc w:val="center"/>
                            <w:rPr>
                              <w:rFonts w:hint="cs"/>
                              <w:color w:val="000000" w:themeColor="text1"/>
                              <w:rtl/>
                              <w:lang w:bidi="ar-EG"/>
                            </w:rPr>
                          </w:pPr>
                          <w:r>
                            <w:rPr>
                              <w:rFonts w:asciiTheme="majorBidi" w:hAnsiTheme="majorBidi" w:cstheme="majorBidi"/>
                              <w:b/>
                              <w:bCs/>
                              <w:noProof/>
                              <w:color w:val="000000" w:themeColor="text1"/>
                              <w:lang w:bidi="ar-EG"/>
                            </w:rPr>
                            <w:t>Ha</w:t>
                          </w:r>
                        </w:p>
                      </w:txbxContent>
                    </v:textbox>
                  </v:rect>
                  <v:rect id="Rectangle 678438248" o:spid="_x0000_s1086" style="position:absolute;left:37346;top:-1570;width:4617;height: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" filled="f" stroked="f" strokeweight=".5pt">
                    <v:textbox>
                      <w:txbxContent>
                        <w:p w14:paraId="42C0DA20" w14:textId="77777777" w:rsidR="00E46B9F" w:rsidRPr="00CD441A" w:rsidRDefault="00E46B9F" w:rsidP="00E46B9F">
                          <w:pPr>
                            <w:jc w:val="center"/>
                            <w:rPr>
                              <w:rFonts w:hint="cs"/>
                              <w:color w:val="000000" w:themeColor="text1"/>
                              <w:rtl/>
                              <w:lang w:bidi="ar-EG"/>
                            </w:rPr>
                          </w:pPr>
                          <w:r>
                            <w:rPr>
                              <w:rFonts w:asciiTheme="majorBidi" w:hAnsiTheme="majorBidi" w:cstheme="majorBidi"/>
                              <w:b/>
                              <w:bCs/>
                              <w:noProof/>
                              <w:color w:val="000000" w:themeColor="text1"/>
                              <w:lang w:bidi="ar-EG"/>
                            </w:rPr>
                            <w:t>Hb</w:t>
                          </w:r>
                        </w:p>
                      </w:txbxContent>
                    </v:textbox>
                  </v:rect>
                  <v:rect id="Rectangle 678438249" o:spid="_x0000_s1087" style="position:absolute;left:38120;top:3032;width:4618;height:39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" filled="f" stroked="f" strokeweight=".5pt">
                    <v:textbox>
                      <w:txbxContent>
                        <w:p w14:paraId="0073D59F" w14:textId="77777777" w:rsidR="00E46B9F" w:rsidRPr="00CD441A" w:rsidRDefault="00E46B9F" w:rsidP="00E46B9F">
                          <w:pPr>
                            <w:jc w:val="center"/>
                            <w:rPr>
                              <w:color w:val="000000" w:themeColor="text1"/>
                              <w:lang w:bidi="ar-EG"/>
                            </w:rPr>
                          </w:pPr>
                          <w:r>
                            <w:rPr>
                              <w:rFonts w:asciiTheme="majorBidi" w:hAnsiTheme="majorBidi" w:cstheme="majorBidi"/>
                              <w:b/>
                              <w:bCs/>
                              <w:noProof/>
                              <w:color w:val="000000" w:themeColor="text1"/>
                              <w:lang w:bidi="ar-EG"/>
                            </w:rPr>
                            <w:t>Hc</w:t>
                          </w:r>
                        </w:p>
                      </w:txbxContent>
                    </v:textbox>
                  </v:rect>
                  <v:rect id="Rectangle 678438250" o:spid="_x0000_s1088" style="position:absolute;left:37346;top:7758;width:4617;height: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" filled="f" stroked="f" strokeweight=".5pt">
                    <v:textbox>
                      <w:txbxContent>
                        <w:p w14:paraId="2C5C0C0F" w14:textId="77777777" w:rsidR="00E46B9F" w:rsidRPr="00CD441A" w:rsidRDefault="00E46B9F" w:rsidP="00E46B9F">
                          <w:pPr>
                            <w:jc w:val="center"/>
                            <w:rPr>
                              <w:color w:val="000000" w:themeColor="text1"/>
                              <w:lang w:bidi="ar-EG"/>
                            </w:rPr>
                          </w:pPr>
                          <w:r>
                            <w:rPr>
                              <w:rFonts w:asciiTheme="majorBidi" w:hAnsiTheme="majorBidi" w:cstheme="majorBidi"/>
                              <w:b/>
                              <w:bCs/>
                              <w:noProof/>
                              <w:color w:val="000000" w:themeColor="text1"/>
                              <w:lang w:bidi="ar-EG"/>
                            </w:rPr>
                            <w:t>Hd</w:t>
                          </w:r>
                        </w:p>
                      </w:txbxContent>
                    </v:textbox>
                  </v:rect>
                </v:group>
                <w10:wrap anchorx="page"/>
                <w10:anchorlock/>
              </v:group>
            </w:pict>
          </mc:Fallback>
        </mc:AlternateContent>
      </w:r>
    </w:p>
    <w:p w14:paraId="434F68F5" w14:textId="587A6223" w:rsidR="00370164" w:rsidRPr="00431A93" w:rsidRDefault="00370164" w:rsidP="00370164">
      <w:pPr>
        <w:bidi w:val="0"/>
        <w:spacing w:after="120" w:line="276" w:lineRule="auto"/>
        <w:ind w:firstLine="284"/>
        <w:jc w:val="both"/>
        <w:rPr>
          <w:rFonts w:asciiTheme="majorBidi" w:hAnsiTheme="majorBidi" w:cstheme="majorBidi"/>
          <w:sz w:val="24"/>
          <w:szCs w:val="24"/>
        </w:rPr>
      </w:pPr>
    </w:p>
    <w:p w14:paraId="7B167BD9" w14:textId="77777777"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The multiple-regression model that combines the four dimensions of the AM–Sales relationship explains a very large share of the variance in Risk-Management Effectiveness. The model statistics (R = 0.903, R² = 0.815, Adjusted R² = 0.811; F(4,191) = 210.646, p &lt; .001; SE = .361) indicate outstanding fit and predictive power. In practical terms, more than four-fifths of the differences in risk outcomes across respondents are accounted for by how well account managers and sales teams coordinate along these four levers.</w:t>
      </w:r>
    </w:p>
    <w:p w14:paraId="289A37A2" w14:textId="77777777"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Among the predictors, Information Sharing &amp; Data Integration clearly dominates (B = 1.182, β = 1.097, t = 15.334, p &lt; .001). Substantively, a one-unit improvement on this scale is associated with a 1.18-unit rise in overall risk effectiveness, holding the other factors constant. This is a large effect and makes intuitive sense: when customer and deal data are accurate, timely, and unified across systems, frontline decisions at origination reflect the true risk profile, enabling earlier flags, tighter pricing/tenor choices, and fewer downstream surprises.</w:t>
      </w:r>
    </w:p>
    <w:p w14:paraId="3F5508CF" w14:textId="77777777"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Goal/KPI &amp; Incentive Alignment is also a significant positive driver (B = 0.130, β = 0.130, p = .006). Though the coefficient is smaller, it signals that shared targets and complementary incentives matter: when AMs and Sales win or lose together on risk-aware KPIs (e.g., EWS coverage, first-time-right onboarding, policy overrides, covenant performance), behavior aligns and discipline improves.</w:t>
      </w:r>
    </w:p>
    <w:p w14:paraId="3C3FC790" w14:textId="2F23002C"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The most counterintuitive result is the negative and significant coefficient for Communication Quality &amp; Cadence (B = −0.296, β = −0.305, p &lt; .001) after controlling for the other three variables. Two explanations are plausible. First, a suppression/specification effect: once the “hard” elements (data integration and KPI alignment) are in the model, the residual variance captured by “communication cadence” may reflect firefighting conversations triggered by problematic cases</w:t>
      </w:r>
      <w:r w:rsidR="00B03C22">
        <w:rPr>
          <w:rFonts w:asciiTheme="majorBidi" w:hAnsiTheme="majorBidi" w:cstheme="majorBidi"/>
          <w:sz w:val="24"/>
          <w:szCs w:val="24"/>
        </w:rPr>
        <w:t>-</w:t>
      </w:r>
      <w:r w:rsidRPr="00431A93">
        <w:rPr>
          <w:rFonts w:asciiTheme="majorBidi" w:hAnsiTheme="majorBidi" w:cstheme="majorBidi"/>
          <w:sz w:val="24"/>
          <w:szCs w:val="24"/>
        </w:rPr>
        <w:t>so higher cadence coincides with worse risk environments. Second, overlap and multicollinearity between soft and hard coordination could be altering signs. This calls for diagnostics (VIF/tolerance), partial correlations, and perhaps re-specifying the construct to emphasize communication quality (actionability, SLA adherence, decision latency) more than mere frequency.</w:t>
      </w:r>
    </w:p>
    <w:p w14:paraId="75D7BB65" w14:textId="2B559628"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Decision Rights &amp; Escalation Clarity (RACI) shows a small, non-significant effect (B = −0.047, β = −0.051, p = .366). Non-significance does not imply irrelevance; it may indicate that RACI’s contribution is indirect or contingent. Two useful follow-ups: (1) split the measure into ex-ante clarity (who decides) versus ex-post execution (how escalations work in practice); (2) test interactions</w:t>
      </w:r>
      <w:r w:rsidR="00B03C22">
        <w:rPr>
          <w:rFonts w:asciiTheme="majorBidi" w:hAnsiTheme="majorBidi" w:cstheme="majorBidi"/>
          <w:sz w:val="24"/>
          <w:szCs w:val="24"/>
        </w:rPr>
        <w:t>-</w:t>
      </w:r>
      <w:r w:rsidRPr="00431A93">
        <w:rPr>
          <w:rFonts w:asciiTheme="majorBidi" w:hAnsiTheme="majorBidi" w:cstheme="majorBidi"/>
          <w:sz w:val="24"/>
          <w:szCs w:val="24"/>
        </w:rPr>
        <w:t>RACI could matter most when data integration is weak or when KPI alignment is partial.</w:t>
      </w:r>
    </w:p>
    <w:p w14:paraId="703D1AF5" w14:textId="77777777" w:rsidR="00431A93" w:rsidRPr="00431A93" w:rsidRDefault="00431A93" w:rsidP="00431A93">
      <w:pPr>
        <w:bidi w:val="0"/>
        <w:jc w:val="both"/>
        <w:rPr>
          <w:rFonts w:asciiTheme="majorBidi" w:hAnsiTheme="majorBidi" w:cstheme="majorBidi"/>
          <w:sz w:val="24"/>
          <w:szCs w:val="24"/>
        </w:rPr>
      </w:pPr>
      <w:r w:rsidRPr="00431A93">
        <w:rPr>
          <w:rFonts w:asciiTheme="majorBidi" w:hAnsiTheme="majorBidi" w:cstheme="majorBidi"/>
          <w:sz w:val="24"/>
          <w:szCs w:val="24"/>
        </w:rPr>
        <w:t>From a managerial stance for Al Rajhi Bank, the results point to a prioritized sequence:</w:t>
      </w:r>
    </w:p>
    <w:p w14:paraId="73402036" w14:textId="77777777" w:rsidR="00431A93" w:rsidRPr="00431A93" w:rsidRDefault="00431A93" w:rsidP="002E6F27">
      <w:pPr>
        <w:numPr>
          <w:ilvl w:val="0"/>
          <w:numId w:val="8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31A93">
        <w:rPr>
          <w:rFonts w:ascii="Times New Roman" w:eastAsia="Times New Roman" w:hAnsi="Times New Roman" w:cs="Times New Roman"/>
          <w:kern w:val="0"/>
          <w:sz w:val="24"/>
          <w:szCs w:val="24"/>
          <w14:ligatures w14:val="none"/>
        </w:rPr>
        <w:t>Institutionalize data integration at the frontline. Ensure complete, reconciled, timely deal/party data shared across AMs, Sales, and Risk; standardize templates, enforce lineage and quality checks, and automate handoffs into approvals.</w:t>
      </w:r>
    </w:p>
    <w:p w14:paraId="7E20B784" w14:textId="77777777" w:rsidR="00431A93" w:rsidRPr="00431A93" w:rsidRDefault="00431A93" w:rsidP="002E6F27">
      <w:pPr>
        <w:numPr>
          <w:ilvl w:val="0"/>
          <w:numId w:val="8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31A93">
        <w:rPr>
          <w:rFonts w:ascii="Times New Roman" w:eastAsia="Times New Roman" w:hAnsi="Times New Roman" w:cs="Times New Roman"/>
          <w:kern w:val="0"/>
          <w:sz w:val="24"/>
          <w:szCs w:val="24"/>
          <w14:ligatures w14:val="none"/>
        </w:rPr>
        <w:t>Couple KPIs and incentives. Mirror risk-aware metrics across teams (pricing vs. funding cost, tenor/collateral discipline, onboarding/KYC quality, EWS adherence) and tie pay/recognition to shared outcomes.</w:t>
      </w:r>
    </w:p>
    <w:p w14:paraId="482D458E" w14:textId="77777777" w:rsidR="00431A93" w:rsidRPr="00431A93" w:rsidRDefault="00431A93" w:rsidP="002E6F27">
      <w:pPr>
        <w:numPr>
          <w:ilvl w:val="0"/>
          <w:numId w:val="8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31A93">
        <w:rPr>
          <w:rFonts w:ascii="Times New Roman" w:eastAsia="Times New Roman" w:hAnsi="Times New Roman" w:cs="Times New Roman"/>
          <w:kern w:val="0"/>
          <w:sz w:val="24"/>
          <w:szCs w:val="24"/>
          <w14:ligatures w14:val="none"/>
        </w:rPr>
        <w:t>Re-engineer communication. Shift from “more meetings” to better information: shorter decision latency, clear owners, and closed-loop actions; monitor whether high cadence is signaling unresolved systemic issues.</w:t>
      </w:r>
    </w:p>
    <w:p w14:paraId="0BD22325" w14:textId="77777777" w:rsidR="00431A93" w:rsidRPr="00431A93" w:rsidRDefault="00431A93" w:rsidP="002E6F27">
      <w:pPr>
        <w:numPr>
          <w:ilvl w:val="0"/>
          <w:numId w:val="89"/>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31A93">
        <w:rPr>
          <w:rFonts w:ascii="Times New Roman" w:eastAsia="Times New Roman" w:hAnsi="Times New Roman" w:cs="Times New Roman"/>
          <w:kern w:val="0"/>
          <w:sz w:val="24"/>
          <w:szCs w:val="24"/>
          <w14:ligatures w14:val="none"/>
        </w:rPr>
        <w:t>Refine RACI. Map real decision paths on high-value product lines and test where clarifying rights removes bottlenecks; pilot threshold-based escalations with time-bound SLAs.</w:t>
      </w:r>
    </w:p>
    <w:p w14:paraId="179AEBA8" w14:textId="77777777" w:rsidR="00431A93" w:rsidRPr="00431A93" w:rsidRDefault="00431A93" w:rsidP="00431A93">
      <w:pPr>
        <w:bidi w:val="0"/>
        <w:jc w:val="both"/>
        <w:rPr>
          <w:rFonts w:asciiTheme="majorBidi" w:hAnsiTheme="majorBidi" w:cstheme="majorBidi"/>
          <w:sz w:val="24"/>
          <w:szCs w:val="24"/>
        </w:rPr>
      </w:pPr>
      <w:r w:rsidRPr="00431A93">
        <w:rPr>
          <w:rFonts w:ascii="Times New Roman" w:eastAsia="Times New Roman" w:hAnsi="Times New Roman" w:cs="Times New Roman"/>
          <w:kern w:val="0"/>
          <w:sz w:val="24"/>
          <w:szCs w:val="24"/>
          <w14:ligatures w14:val="none"/>
        </w:rPr>
        <w:t xml:space="preserve">Finally, strengthen robustness: report residual normality and homoscedasticity checks, add </w:t>
      </w:r>
      <w:r w:rsidRPr="00431A93">
        <w:rPr>
          <w:rFonts w:asciiTheme="majorBidi" w:hAnsiTheme="majorBidi" w:cstheme="majorBidi"/>
          <w:sz w:val="24"/>
          <w:szCs w:val="24"/>
        </w:rPr>
        <w:t>multicollinearity diagnostics, and validate stability via bootstrapping or k-fold cross-validation. Overall, the evidence is clear: data integration is the pivotal lever, KPI alignment adds meaningful lift, and communication and RACI require sharper instrumentation to unlock their full risk-performance value.</w:t>
      </w:r>
    </w:p>
    <w:p w14:paraId="3BDDD33B" w14:textId="77777777" w:rsidR="00D5598F" w:rsidRPr="00D5598F" w:rsidRDefault="00D5598F" w:rsidP="002E6F27">
      <w:pPr>
        <w:pStyle w:val="a5"/>
        <w:numPr>
          <w:ilvl w:val="0"/>
          <w:numId w:val="91"/>
        </w:numPr>
        <w:bidi w:val="0"/>
        <w:jc w:val="both"/>
        <w:rPr>
          <w:rFonts w:ascii="Times New Roman" w:eastAsia="Times New Roman" w:hAnsi="Times New Roman" w:cs="Times New Roman"/>
          <w:b/>
          <w:bCs/>
          <w:kern w:val="0"/>
          <w:sz w:val="24"/>
          <w:szCs w:val="24"/>
          <w14:ligatures w14:val="none"/>
        </w:rPr>
      </w:pPr>
      <w:r w:rsidRPr="00D5598F">
        <w:rPr>
          <w:rFonts w:ascii="Times New Roman" w:eastAsia="Times New Roman" w:hAnsi="Times New Roman" w:cs="Times New Roman"/>
          <w:b/>
          <w:bCs/>
          <w:kern w:val="0"/>
          <w:sz w:val="24"/>
          <w:szCs w:val="24"/>
          <w14:ligatures w14:val="none"/>
        </w:rPr>
        <w:t>The key findings from this analysis are:</w:t>
      </w:r>
    </w:p>
    <w:p w14:paraId="47FD58DF" w14:textId="77777777" w:rsidR="00D5598F" w:rsidRPr="00D5598F" w:rsidRDefault="00D5598F" w:rsidP="002E6F27">
      <w:pPr>
        <w:numPr>
          <w:ilvl w:val="0"/>
          <w:numId w:val="90"/>
        </w:numPr>
        <w:bidi w:val="0"/>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598F">
        <w:rPr>
          <w:rFonts w:ascii="Times New Roman" w:eastAsia="Times New Roman" w:hAnsi="Times New Roman" w:cs="Times New Roman"/>
          <w:kern w:val="0"/>
          <w:sz w:val="24"/>
          <w:szCs w:val="24"/>
          <w14:ligatures w14:val="none"/>
        </w:rPr>
        <w:t>Model significance and strength. The multiple-regression model is statistically significant and shows excellent explanatory power: R = 0.903, R² = 0.815 (Adjusted R² = 0.811), F(4,191) = 210.646, p = 0.000. In total, 81.5% of the variance in Risk-Management Effectiveness is explained by the four dimensions of the functional relationship.</w:t>
      </w:r>
    </w:p>
    <w:p w14:paraId="5D474611" w14:textId="77777777" w:rsidR="00D5598F" w:rsidRPr="00D5598F" w:rsidRDefault="00D5598F" w:rsidP="002E6F27">
      <w:pPr>
        <w:numPr>
          <w:ilvl w:val="0"/>
          <w:numId w:val="90"/>
        </w:numPr>
        <w:bidi w:val="0"/>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598F">
        <w:rPr>
          <w:rFonts w:ascii="Times New Roman" w:eastAsia="Times New Roman" w:hAnsi="Times New Roman" w:cs="Times New Roman"/>
          <w:kern w:val="0"/>
          <w:sz w:val="24"/>
          <w:szCs w:val="24"/>
          <w14:ligatures w14:val="none"/>
        </w:rPr>
        <w:t>Dominant positive driver. Information Sharing &amp; Data Integration is the strongest predictor (B = 1.182, β = 1.097, t = 15.334, p = 0.000). A one-unit increase on this dimension is associated with a +1.182 unit improvement in risk-management effectiveness, holding other factors constant.</w:t>
      </w:r>
    </w:p>
    <w:p w14:paraId="1257D8F7" w14:textId="77777777" w:rsidR="00D5598F" w:rsidRPr="00D5598F" w:rsidRDefault="00D5598F" w:rsidP="002E6F27">
      <w:pPr>
        <w:numPr>
          <w:ilvl w:val="0"/>
          <w:numId w:val="90"/>
        </w:numPr>
        <w:bidi w:val="0"/>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598F">
        <w:rPr>
          <w:rFonts w:ascii="Times New Roman" w:eastAsia="Times New Roman" w:hAnsi="Times New Roman" w:cs="Times New Roman"/>
          <w:kern w:val="0"/>
          <w:sz w:val="24"/>
          <w:szCs w:val="24"/>
          <w14:ligatures w14:val="none"/>
        </w:rPr>
        <w:t>Additional significant lever. Goal/KPI &amp; Incentive Alignment also has a positive, statistically significant effect (B = 0.130, β = 0.130, t = 2.807, p = 0.006), indicating that aligned targets and rewards contribute to better risk outcomes.</w:t>
      </w:r>
    </w:p>
    <w:p w14:paraId="4F2B2697" w14:textId="6AAEBBB6" w:rsidR="00D5598F" w:rsidRPr="00D5598F" w:rsidRDefault="00D5598F" w:rsidP="002E6F27">
      <w:pPr>
        <w:numPr>
          <w:ilvl w:val="0"/>
          <w:numId w:val="90"/>
        </w:numPr>
        <w:bidi w:val="0"/>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598F">
        <w:rPr>
          <w:rFonts w:ascii="Times New Roman" w:eastAsia="Times New Roman" w:hAnsi="Times New Roman" w:cs="Times New Roman"/>
          <w:kern w:val="0"/>
          <w:sz w:val="24"/>
          <w:szCs w:val="24"/>
          <w14:ligatures w14:val="none"/>
        </w:rPr>
        <w:t>Negative, yet significant, effect. Communication Quality &amp; Cadence enters the model with a negative coefficient (B = −0.296, β = −0.305, t = −3.896, p = 0.000), suggesting that</w:t>
      </w:r>
      <w:r w:rsidR="00B03C22">
        <w:rPr>
          <w:rFonts w:ascii="Times New Roman" w:eastAsia="Times New Roman" w:hAnsi="Times New Roman" w:cs="Times New Roman"/>
          <w:kern w:val="0"/>
          <w:sz w:val="24"/>
          <w:szCs w:val="24"/>
          <w14:ligatures w14:val="none"/>
        </w:rPr>
        <w:t>-</w:t>
      </w:r>
      <w:r w:rsidRPr="00D5598F">
        <w:rPr>
          <w:rFonts w:ascii="Times New Roman" w:eastAsia="Times New Roman" w:hAnsi="Times New Roman" w:cs="Times New Roman"/>
          <w:kern w:val="0"/>
          <w:sz w:val="24"/>
          <w:szCs w:val="24"/>
          <w14:ligatures w14:val="none"/>
        </w:rPr>
        <w:t>once data integration and KPI alignment are controlled</w:t>
      </w:r>
      <w:r w:rsidR="00B03C22">
        <w:rPr>
          <w:rFonts w:ascii="Times New Roman" w:eastAsia="Times New Roman" w:hAnsi="Times New Roman" w:cs="Times New Roman"/>
          <w:kern w:val="0"/>
          <w:sz w:val="24"/>
          <w:szCs w:val="24"/>
          <w14:ligatures w14:val="none"/>
        </w:rPr>
        <w:t>-</w:t>
      </w:r>
      <w:r w:rsidRPr="00D5598F">
        <w:rPr>
          <w:rFonts w:ascii="Times New Roman" w:eastAsia="Times New Roman" w:hAnsi="Times New Roman" w:cs="Times New Roman"/>
          <w:kern w:val="0"/>
          <w:sz w:val="24"/>
          <w:szCs w:val="24"/>
          <w14:ligatures w14:val="none"/>
        </w:rPr>
        <w:t>higher cadence may reflect reactive communication linked to riskier cases.</w:t>
      </w:r>
    </w:p>
    <w:p w14:paraId="457444CC" w14:textId="77777777" w:rsidR="00D5598F" w:rsidRPr="00D5598F" w:rsidRDefault="00D5598F" w:rsidP="002E6F27">
      <w:pPr>
        <w:numPr>
          <w:ilvl w:val="0"/>
          <w:numId w:val="90"/>
        </w:numPr>
        <w:bidi w:val="0"/>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598F">
        <w:rPr>
          <w:rFonts w:ascii="Times New Roman" w:eastAsia="Times New Roman" w:hAnsi="Times New Roman" w:cs="Times New Roman"/>
          <w:kern w:val="0"/>
          <w:sz w:val="24"/>
          <w:szCs w:val="24"/>
          <w14:ligatures w14:val="none"/>
        </w:rPr>
        <w:t>Non-significant dimension. Decision Rights &amp; Escalation Clarity (RACI) is not a significant predictor in this specification (B = −0.047, β = −0.051, t = −0.906, p = 0.366).</w:t>
      </w:r>
    </w:p>
    <w:p w14:paraId="7D6F436F" w14:textId="16410750" w:rsidR="00E769E7" w:rsidRDefault="00E769E7" w:rsidP="00E769E7">
      <w:pPr>
        <w:pStyle w:val="2"/>
      </w:pPr>
      <w:bookmarkStart w:id="211" w:name="_Toc214621207"/>
      <w:r w:rsidRPr="00E769E7">
        <w:t>Conclusion</w:t>
      </w:r>
      <w:bookmarkEnd w:id="211"/>
    </w:p>
    <w:p w14:paraId="1BE12587" w14:textId="15A531AC" w:rsidR="00E769E7" w:rsidRPr="00E769E7" w:rsidRDefault="00E769E7" w:rsidP="00E769E7">
      <w:pPr>
        <w:bidi w:val="0"/>
        <w:jc w:val="both"/>
        <w:rPr>
          <w:rFonts w:asciiTheme="majorBidi" w:hAnsiTheme="majorBidi" w:cstheme="majorBidi"/>
          <w:sz w:val="24"/>
          <w:szCs w:val="24"/>
        </w:rPr>
      </w:pPr>
      <w:r w:rsidRPr="00E769E7">
        <w:rPr>
          <w:rFonts w:asciiTheme="majorBidi" w:hAnsiTheme="majorBidi" w:cstheme="majorBidi"/>
          <w:sz w:val="24"/>
          <w:szCs w:val="24"/>
        </w:rPr>
        <w:t>This chapter presented the statistical analysis and findings for the study’s constructs and hypotheses. Evidence from validity and reliability tests confirmed a sound measurement model: factor solutions were stable, communalities were high, average variance extracted exceeded accepted benchmarks in the retained structures, and internal consistency (Cronbach’s Alpha) was excellent for both constructs. Descriptive statistics indicated generally favorable perceptions toward the functional relationship between account managers and sales teams and toward risk-management effectiveness across early-risk identification, credit discipline, liquidity/market-risk fit at origination, and operational resilience.</w:t>
      </w:r>
    </w:p>
    <w:p w14:paraId="276961C5" w14:textId="6F242F45" w:rsidR="00E769E7" w:rsidRPr="00E769E7" w:rsidRDefault="00E769E7" w:rsidP="00E769E7">
      <w:pPr>
        <w:bidi w:val="0"/>
        <w:jc w:val="both"/>
        <w:rPr>
          <w:rFonts w:asciiTheme="majorBidi" w:hAnsiTheme="majorBidi" w:cstheme="majorBidi"/>
          <w:sz w:val="24"/>
          <w:szCs w:val="24"/>
        </w:rPr>
      </w:pPr>
      <w:r w:rsidRPr="00E769E7">
        <w:rPr>
          <w:rFonts w:asciiTheme="majorBidi" w:hAnsiTheme="majorBidi" w:cstheme="majorBidi"/>
          <w:sz w:val="24"/>
          <w:szCs w:val="24"/>
        </w:rPr>
        <w:t>Hypothesis testing yielded clear results. The main hypothesis</w:t>
      </w:r>
      <w:r w:rsidR="00B03C22">
        <w:rPr>
          <w:rFonts w:asciiTheme="majorBidi" w:hAnsiTheme="majorBidi" w:cstheme="majorBidi"/>
          <w:sz w:val="24"/>
          <w:szCs w:val="24"/>
        </w:rPr>
        <w:t>-</w:t>
      </w:r>
      <w:r w:rsidRPr="00E769E7">
        <w:rPr>
          <w:rFonts w:asciiTheme="majorBidi" w:hAnsiTheme="majorBidi" w:cstheme="majorBidi"/>
          <w:sz w:val="24"/>
          <w:szCs w:val="24"/>
        </w:rPr>
        <w:t>linking the functional relationship to risk-management effectiveness</w:t>
      </w:r>
      <w:r w:rsidR="00B03C22">
        <w:rPr>
          <w:rFonts w:asciiTheme="majorBidi" w:hAnsiTheme="majorBidi" w:cstheme="majorBidi"/>
          <w:sz w:val="24"/>
          <w:szCs w:val="24"/>
        </w:rPr>
        <w:t>-</w:t>
      </w:r>
      <w:r w:rsidRPr="00E769E7">
        <w:rPr>
          <w:rFonts w:asciiTheme="majorBidi" w:hAnsiTheme="majorBidi" w:cstheme="majorBidi"/>
          <w:sz w:val="24"/>
          <w:szCs w:val="24"/>
        </w:rPr>
        <w:t>was strongly supported by simple linear regression, showing a large, positive, and statistically significant association with substantial explained variance. The multiple-regression model that decomposed the functional relationship into its four dimensions demonstrated high explanatory power. Information Sharing &amp; Data Integration emerged as the dominant positive driver, Goal/KPI &amp; Incentive Alignment added a smaller but significant contribution, Decision Rights &amp; Escalation Clarity did not attain significance in the presence of the other levers, and Communication Quality &amp; Cadence exhibited a negative coefficient once “hard” coordination mechanisms were controlled, suggesting specification or overlap effects that merit managerial attention.</w:t>
      </w:r>
    </w:p>
    <w:p w14:paraId="10D87F1D" w14:textId="77777777" w:rsidR="00E769E7" w:rsidRPr="00E769E7" w:rsidRDefault="00E769E7" w:rsidP="00E769E7">
      <w:pPr>
        <w:bidi w:val="0"/>
        <w:jc w:val="both"/>
        <w:rPr>
          <w:rFonts w:asciiTheme="majorBidi" w:hAnsiTheme="majorBidi" w:cstheme="majorBidi"/>
          <w:sz w:val="24"/>
          <w:szCs w:val="24"/>
        </w:rPr>
      </w:pPr>
      <w:r w:rsidRPr="00E769E7">
        <w:rPr>
          <w:rFonts w:asciiTheme="majorBidi" w:hAnsiTheme="majorBidi" w:cstheme="majorBidi"/>
          <w:sz w:val="24"/>
          <w:szCs w:val="24"/>
        </w:rPr>
        <w:t>Diagnostic checks supported model adequacy and the appropriateness of the data for multivariate analysis. Taken together, the findings indicate that strengthening data integration at the AM–Sales interface and tightening KPI/incentive coupling are the most reliable pathways to lift risk performance, while communication routines and decision-rights design require sharper instrumentation and targeted process redesign. These empirical insights set the stage for the next chapter, which translates the results into practical recommendations, discusses theoretical implications, and outlines avenues for future research.</w:t>
      </w:r>
    </w:p>
    <w:p w14:paraId="5F1983A7" w14:textId="70DC84C4" w:rsidR="00370164" w:rsidRDefault="00370164" w:rsidP="00431A93">
      <w:pPr>
        <w:bidi w:val="0"/>
        <w:jc w:val="both"/>
        <w:rPr>
          <w:rFonts w:asciiTheme="majorBidi" w:hAnsiTheme="majorBidi" w:cstheme="majorBidi"/>
          <w:sz w:val="24"/>
          <w:szCs w:val="24"/>
        </w:rPr>
      </w:pPr>
    </w:p>
    <w:p w14:paraId="56DE5102" w14:textId="29D692AB" w:rsidR="00370164" w:rsidRDefault="00370164" w:rsidP="00431A93">
      <w:pPr>
        <w:bidi w:val="0"/>
        <w:jc w:val="both"/>
        <w:rPr>
          <w:rFonts w:asciiTheme="majorBidi" w:hAnsiTheme="majorBidi" w:cstheme="majorBidi"/>
          <w:sz w:val="24"/>
          <w:szCs w:val="24"/>
        </w:rPr>
      </w:pPr>
    </w:p>
    <w:p w14:paraId="27C574E7" w14:textId="5D228008" w:rsidR="00370164" w:rsidRDefault="00370164" w:rsidP="00370164">
      <w:pPr>
        <w:bidi w:val="0"/>
        <w:spacing w:after="120" w:line="276" w:lineRule="auto"/>
        <w:ind w:firstLine="284"/>
        <w:jc w:val="both"/>
        <w:rPr>
          <w:rFonts w:asciiTheme="majorBidi" w:hAnsiTheme="majorBidi" w:cstheme="majorBidi"/>
          <w:sz w:val="24"/>
          <w:szCs w:val="24"/>
        </w:rPr>
      </w:pPr>
    </w:p>
    <w:p w14:paraId="0F96A301" w14:textId="20F806A7" w:rsidR="00370164" w:rsidRDefault="00370164" w:rsidP="00370164">
      <w:pPr>
        <w:bidi w:val="0"/>
        <w:spacing w:after="120" w:line="276" w:lineRule="auto"/>
        <w:ind w:firstLine="284"/>
        <w:jc w:val="both"/>
        <w:rPr>
          <w:rFonts w:asciiTheme="majorBidi" w:hAnsiTheme="majorBidi" w:cstheme="majorBidi"/>
          <w:sz w:val="24"/>
          <w:szCs w:val="24"/>
        </w:rPr>
      </w:pPr>
    </w:p>
    <w:p w14:paraId="6623EB5D" w14:textId="0B093F8E" w:rsidR="00370164" w:rsidRDefault="00370164" w:rsidP="00370164">
      <w:pPr>
        <w:bidi w:val="0"/>
        <w:spacing w:after="120" w:line="276" w:lineRule="auto"/>
        <w:ind w:firstLine="284"/>
        <w:jc w:val="both"/>
        <w:rPr>
          <w:rFonts w:asciiTheme="majorBidi" w:hAnsiTheme="majorBidi" w:cstheme="majorBidi"/>
          <w:sz w:val="24"/>
          <w:szCs w:val="24"/>
        </w:rPr>
      </w:pPr>
    </w:p>
    <w:p w14:paraId="7CD7EC38" w14:textId="028E250C" w:rsidR="00370164" w:rsidRDefault="00370164" w:rsidP="00370164">
      <w:pPr>
        <w:bidi w:val="0"/>
        <w:spacing w:after="120" w:line="276" w:lineRule="auto"/>
        <w:ind w:firstLine="284"/>
        <w:jc w:val="both"/>
        <w:rPr>
          <w:rFonts w:asciiTheme="majorBidi" w:hAnsiTheme="majorBidi" w:cstheme="majorBidi"/>
          <w:sz w:val="24"/>
          <w:szCs w:val="24"/>
        </w:rPr>
      </w:pPr>
    </w:p>
    <w:p w14:paraId="222FE4D9" w14:textId="226B281C" w:rsidR="00370164" w:rsidRDefault="00370164" w:rsidP="00370164">
      <w:pPr>
        <w:bidi w:val="0"/>
        <w:spacing w:after="120" w:line="276" w:lineRule="auto"/>
        <w:ind w:firstLine="284"/>
        <w:jc w:val="both"/>
        <w:rPr>
          <w:rFonts w:asciiTheme="majorBidi" w:hAnsiTheme="majorBidi" w:cstheme="majorBidi"/>
          <w:sz w:val="24"/>
          <w:szCs w:val="24"/>
        </w:rPr>
      </w:pPr>
    </w:p>
    <w:p w14:paraId="03EE8B66" w14:textId="716677A2" w:rsidR="00370164" w:rsidRDefault="00370164" w:rsidP="00370164">
      <w:pPr>
        <w:bidi w:val="0"/>
        <w:spacing w:after="120" w:line="276" w:lineRule="auto"/>
        <w:ind w:firstLine="284"/>
        <w:jc w:val="both"/>
        <w:rPr>
          <w:rFonts w:asciiTheme="majorBidi" w:hAnsiTheme="majorBidi" w:cstheme="majorBidi"/>
          <w:sz w:val="24"/>
          <w:szCs w:val="24"/>
        </w:rPr>
      </w:pPr>
    </w:p>
    <w:p w14:paraId="030868CF" w14:textId="74A9707D" w:rsidR="00370164" w:rsidRDefault="00370164" w:rsidP="00370164">
      <w:pPr>
        <w:bidi w:val="0"/>
        <w:spacing w:after="120" w:line="276" w:lineRule="auto"/>
        <w:ind w:firstLine="284"/>
        <w:jc w:val="both"/>
        <w:rPr>
          <w:rFonts w:asciiTheme="majorBidi" w:hAnsiTheme="majorBidi" w:cstheme="majorBidi"/>
          <w:sz w:val="24"/>
          <w:szCs w:val="24"/>
        </w:rPr>
      </w:pPr>
    </w:p>
    <w:p w14:paraId="234D5A75" w14:textId="69940C66" w:rsidR="00370164" w:rsidRDefault="00370164" w:rsidP="00370164">
      <w:pPr>
        <w:bidi w:val="0"/>
        <w:spacing w:after="120" w:line="276" w:lineRule="auto"/>
        <w:ind w:firstLine="284"/>
        <w:jc w:val="both"/>
        <w:rPr>
          <w:rFonts w:asciiTheme="majorBidi" w:hAnsiTheme="majorBidi" w:cstheme="majorBidi"/>
          <w:sz w:val="24"/>
          <w:szCs w:val="24"/>
        </w:rPr>
      </w:pPr>
    </w:p>
    <w:p w14:paraId="6FAC9359" w14:textId="4A9DA58F" w:rsidR="00370164" w:rsidRDefault="00370164" w:rsidP="00370164">
      <w:pPr>
        <w:bidi w:val="0"/>
        <w:spacing w:after="120" w:line="276" w:lineRule="auto"/>
        <w:ind w:firstLine="284"/>
        <w:jc w:val="both"/>
        <w:rPr>
          <w:rFonts w:asciiTheme="majorBidi" w:hAnsiTheme="majorBidi" w:cstheme="majorBidi"/>
          <w:sz w:val="24"/>
          <w:szCs w:val="24"/>
        </w:rPr>
      </w:pPr>
    </w:p>
    <w:p w14:paraId="1CE52BE7" w14:textId="1ED2054D" w:rsidR="00370164" w:rsidRDefault="00370164" w:rsidP="00370164">
      <w:pPr>
        <w:bidi w:val="0"/>
        <w:spacing w:after="120" w:line="276" w:lineRule="auto"/>
        <w:ind w:firstLine="284"/>
        <w:jc w:val="both"/>
        <w:rPr>
          <w:rFonts w:asciiTheme="majorBidi" w:hAnsiTheme="majorBidi" w:cstheme="majorBidi"/>
          <w:sz w:val="24"/>
          <w:szCs w:val="24"/>
        </w:rPr>
      </w:pPr>
    </w:p>
    <w:p w14:paraId="49E1EA4D" w14:textId="5E6977ED" w:rsidR="00E769E7" w:rsidRDefault="00E769E7" w:rsidP="00E769E7">
      <w:pPr>
        <w:pStyle w:val="af"/>
        <w:spacing w:before="284"/>
        <w:rPr>
          <w:sz w:val="40"/>
        </w:rPr>
      </w:pPr>
    </w:p>
    <w:p w14:paraId="0F2AAE72" w14:textId="69DBA27B" w:rsidR="002E6F27" w:rsidRDefault="002E6F27" w:rsidP="00E769E7">
      <w:pPr>
        <w:pStyle w:val="af"/>
        <w:spacing w:before="284"/>
        <w:rPr>
          <w:sz w:val="40"/>
        </w:rPr>
      </w:pPr>
    </w:p>
    <w:p w14:paraId="29F52D8A" w14:textId="4C33A606" w:rsidR="002E6F27" w:rsidRDefault="002E6F27" w:rsidP="00E769E7">
      <w:pPr>
        <w:pStyle w:val="af"/>
        <w:spacing w:before="284"/>
        <w:rPr>
          <w:sz w:val="40"/>
        </w:rPr>
      </w:pPr>
    </w:p>
    <w:p w14:paraId="74751369" w14:textId="4705B80A" w:rsidR="002E6F27" w:rsidRDefault="002E6F27" w:rsidP="00E769E7">
      <w:pPr>
        <w:pStyle w:val="af"/>
        <w:spacing w:before="284"/>
        <w:rPr>
          <w:sz w:val="40"/>
        </w:rPr>
      </w:pPr>
    </w:p>
    <w:p w14:paraId="41722A21" w14:textId="03930719" w:rsidR="002E6F27" w:rsidRDefault="002E6F27" w:rsidP="00E769E7">
      <w:pPr>
        <w:pStyle w:val="af"/>
        <w:spacing w:before="284"/>
        <w:rPr>
          <w:sz w:val="40"/>
        </w:rPr>
      </w:pPr>
    </w:p>
    <w:p w14:paraId="3A83EF52" w14:textId="571260F1" w:rsidR="002E6F27" w:rsidRDefault="002E6F27" w:rsidP="00E769E7">
      <w:pPr>
        <w:pStyle w:val="af"/>
        <w:spacing w:before="284"/>
        <w:rPr>
          <w:sz w:val="40"/>
        </w:rPr>
      </w:pPr>
    </w:p>
    <w:p w14:paraId="771DE134" w14:textId="61847AFC" w:rsidR="002E6F27" w:rsidRDefault="002E6F27" w:rsidP="00E769E7">
      <w:pPr>
        <w:pStyle w:val="af"/>
        <w:spacing w:before="284"/>
        <w:rPr>
          <w:sz w:val="40"/>
        </w:rPr>
      </w:pPr>
    </w:p>
    <w:p w14:paraId="326F0292" w14:textId="3C467471" w:rsidR="002E6F27" w:rsidRDefault="002E6F27" w:rsidP="00E769E7">
      <w:pPr>
        <w:pStyle w:val="af"/>
        <w:spacing w:before="284"/>
        <w:rPr>
          <w:sz w:val="40"/>
        </w:rPr>
      </w:pPr>
    </w:p>
    <w:p w14:paraId="75EDF1FB" w14:textId="551C0995" w:rsidR="002E6F27" w:rsidRDefault="002E6F27" w:rsidP="00E769E7">
      <w:pPr>
        <w:pStyle w:val="af"/>
        <w:spacing w:before="284"/>
        <w:rPr>
          <w:sz w:val="40"/>
        </w:rPr>
      </w:pPr>
    </w:p>
    <w:p w14:paraId="2FA879B6" w14:textId="77777777" w:rsidR="002E6F27" w:rsidRDefault="002E6F27" w:rsidP="00E769E7">
      <w:pPr>
        <w:pStyle w:val="af"/>
        <w:spacing w:before="284"/>
        <w:rPr>
          <w:sz w:val="40"/>
        </w:rPr>
      </w:pPr>
    </w:p>
    <w:p w14:paraId="7AE67A0A" w14:textId="17DBA819" w:rsidR="00E769E7" w:rsidRPr="00E769E7" w:rsidRDefault="00E769E7" w:rsidP="004A51C2">
      <w:pPr>
        <w:pStyle w:val="1"/>
      </w:pPr>
      <w:bookmarkStart w:id="212" w:name="_bookmark39"/>
      <w:bookmarkStart w:id="213" w:name="_Toc174813438"/>
      <w:bookmarkStart w:id="214" w:name="_Toc214621208"/>
      <w:bookmarkEnd w:id="212"/>
      <w:r w:rsidRPr="00E769E7">
        <w:t>Ch. 5: Research limitations, Recommendations &amp; Conclusion</w:t>
      </w:r>
      <w:bookmarkEnd w:id="213"/>
      <w:bookmarkEnd w:id="214"/>
    </w:p>
    <w:p w14:paraId="3EAA8A40" w14:textId="2F868B13" w:rsidR="002E6F27" w:rsidRDefault="002E6F27" w:rsidP="002E6F27">
      <w:pPr>
        <w:bidi w:val="0"/>
      </w:pPr>
      <w:bookmarkStart w:id="215" w:name="_Toc174813439"/>
      <w:bookmarkStart w:id="216" w:name="_Toc214621209"/>
    </w:p>
    <w:p w14:paraId="579218DD" w14:textId="1AD0C2A2" w:rsidR="002E6F27" w:rsidRDefault="002E6F27" w:rsidP="002E6F27">
      <w:pPr>
        <w:bidi w:val="0"/>
      </w:pPr>
    </w:p>
    <w:p w14:paraId="55C78D5A" w14:textId="74C0C4F6" w:rsidR="002E6F27" w:rsidRDefault="002E6F27" w:rsidP="002E6F27">
      <w:pPr>
        <w:bidi w:val="0"/>
      </w:pPr>
    </w:p>
    <w:p w14:paraId="22511086" w14:textId="1AF3A199" w:rsidR="002E6F27" w:rsidRDefault="002E6F27" w:rsidP="002E6F27">
      <w:pPr>
        <w:bidi w:val="0"/>
      </w:pPr>
    </w:p>
    <w:p w14:paraId="0F8B37E9" w14:textId="6AECAA80" w:rsidR="002E6F27" w:rsidRDefault="002E6F27" w:rsidP="002E6F27">
      <w:pPr>
        <w:bidi w:val="0"/>
      </w:pPr>
    </w:p>
    <w:p w14:paraId="1455EDEF" w14:textId="3F959FFF" w:rsidR="002E6F27" w:rsidRDefault="002E6F27" w:rsidP="002E6F27">
      <w:pPr>
        <w:bidi w:val="0"/>
      </w:pPr>
    </w:p>
    <w:p w14:paraId="6A27DFFD" w14:textId="16C8CB66" w:rsidR="002E6F27" w:rsidRDefault="002E6F27" w:rsidP="002E6F27">
      <w:pPr>
        <w:bidi w:val="0"/>
      </w:pPr>
    </w:p>
    <w:p w14:paraId="302FBD68" w14:textId="3281FED9" w:rsidR="002E6F27" w:rsidRDefault="002E6F27" w:rsidP="002E6F27">
      <w:pPr>
        <w:bidi w:val="0"/>
      </w:pPr>
    </w:p>
    <w:p w14:paraId="401A89EC" w14:textId="5529FA53" w:rsidR="002E6F27" w:rsidRDefault="002E6F27" w:rsidP="002E6F27">
      <w:pPr>
        <w:bidi w:val="0"/>
      </w:pPr>
    </w:p>
    <w:p w14:paraId="467528F4" w14:textId="17B0FA93" w:rsidR="002E6F27" w:rsidRDefault="002E6F27" w:rsidP="002E6F27">
      <w:pPr>
        <w:bidi w:val="0"/>
      </w:pPr>
    </w:p>
    <w:p w14:paraId="7B899C63" w14:textId="69416AA3" w:rsidR="002E6F27" w:rsidRDefault="002E6F27" w:rsidP="002E6F27">
      <w:pPr>
        <w:bidi w:val="0"/>
      </w:pPr>
    </w:p>
    <w:p w14:paraId="0DA4E5FB" w14:textId="0A177DD7" w:rsidR="002E6F27" w:rsidRDefault="002E6F27" w:rsidP="002E6F27">
      <w:pPr>
        <w:bidi w:val="0"/>
      </w:pPr>
    </w:p>
    <w:p w14:paraId="5DCE3FF3" w14:textId="77777777" w:rsidR="002E6F27" w:rsidRDefault="002E6F27" w:rsidP="002E6F27">
      <w:pPr>
        <w:bidi w:val="0"/>
      </w:pPr>
    </w:p>
    <w:p w14:paraId="352D5FFB" w14:textId="69856CC4" w:rsidR="00E769E7" w:rsidRPr="00E769E7" w:rsidRDefault="00E769E7" w:rsidP="00E769E7">
      <w:pPr>
        <w:pStyle w:val="2"/>
      </w:pPr>
      <w:r w:rsidRPr="00E769E7">
        <w:t>Introduction</w:t>
      </w:r>
      <w:bookmarkEnd w:id="215"/>
      <w:bookmarkEnd w:id="216"/>
    </w:p>
    <w:p w14:paraId="28C7E38C" w14:textId="77777777" w:rsidR="00E769E7" w:rsidRPr="00EF203D" w:rsidRDefault="00E769E7" w:rsidP="00EF203D">
      <w:pPr>
        <w:bidi w:val="0"/>
        <w:jc w:val="both"/>
        <w:rPr>
          <w:rFonts w:asciiTheme="majorBidi" w:hAnsiTheme="majorBidi" w:cstheme="majorBidi"/>
          <w:sz w:val="24"/>
          <w:szCs w:val="24"/>
        </w:rPr>
      </w:pPr>
      <w:r w:rsidRPr="00EF203D">
        <w:rPr>
          <w:rFonts w:asciiTheme="majorBidi" w:hAnsiTheme="majorBidi" w:cstheme="majorBidi"/>
          <w:sz w:val="24"/>
          <w:szCs w:val="24"/>
        </w:rPr>
        <w:t>This chapter deals with the theoretical contribution and practical applications of the study, in addition to the study’s limitations, recommendations, future studies and conclusion, as follows:</w:t>
      </w:r>
    </w:p>
    <w:p w14:paraId="6273FDC2" w14:textId="782193EF"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This chapter synthesizes the study’s contributions and practice-oriented implications, then articulates its limitations, directions for future research, and a closing conclusion. The study examined how the functional relationship between Account Managers (AMs) and Sales Teams</w:t>
      </w:r>
      <w:r w:rsidR="00B03C22">
        <w:rPr>
          <w:rFonts w:asciiTheme="majorBidi" w:hAnsiTheme="majorBidi" w:cstheme="majorBidi"/>
          <w:sz w:val="24"/>
          <w:szCs w:val="24"/>
        </w:rPr>
        <w:t>-</w:t>
      </w:r>
      <w:r w:rsidRPr="00EF203D">
        <w:rPr>
          <w:rFonts w:asciiTheme="majorBidi" w:hAnsiTheme="majorBidi" w:cstheme="majorBidi"/>
          <w:sz w:val="24"/>
          <w:szCs w:val="24"/>
        </w:rPr>
        <w:t>captured through four dimensions (Communication Quality &amp; Cadence, Information Sharing &amp; Data Integration, Goal/KPI &amp; Incentive Alignment, and Decision Rights &amp; Escalation Clarity)</w:t>
      </w:r>
      <w:r w:rsidR="00B03C22">
        <w:rPr>
          <w:rFonts w:asciiTheme="majorBidi" w:hAnsiTheme="majorBidi" w:cstheme="majorBidi"/>
          <w:sz w:val="24"/>
          <w:szCs w:val="24"/>
        </w:rPr>
        <w:t>-</w:t>
      </w:r>
      <w:r w:rsidRPr="00EF203D">
        <w:rPr>
          <w:rFonts w:asciiTheme="majorBidi" w:hAnsiTheme="majorBidi" w:cstheme="majorBidi"/>
          <w:sz w:val="24"/>
          <w:szCs w:val="24"/>
        </w:rPr>
        <w:t>relates to Risk-Management Effectiveness at Al Rajhi Bank in Riyadh. Building on the validated measurement model and the strong empirical results reported in Chapter 4, we translate evidence into theory refinement and managerial action, while acknowledging boundary conditions that should frame interpretation and guide subsequent work.</w:t>
      </w:r>
    </w:p>
    <w:p w14:paraId="6638DEF2" w14:textId="3DC478C5" w:rsidR="00EF203D" w:rsidRPr="00EF203D" w:rsidRDefault="00EF203D" w:rsidP="00EF203D">
      <w:pPr>
        <w:pStyle w:val="3"/>
      </w:pPr>
      <w:bookmarkStart w:id="217" w:name="_Toc214621210"/>
      <w:r w:rsidRPr="00EF203D">
        <w:t>Theoretical Contribution &amp; Practical Implications</w:t>
      </w:r>
      <w:bookmarkEnd w:id="217"/>
    </w:p>
    <w:p w14:paraId="07294567" w14:textId="77777777" w:rsidR="00EF203D" w:rsidRDefault="00EF203D" w:rsidP="002E6F27">
      <w:pPr>
        <w:pStyle w:val="a5"/>
        <w:numPr>
          <w:ilvl w:val="0"/>
          <w:numId w:val="92"/>
        </w:numPr>
        <w:bidi w:val="0"/>
        <w:jc w:val="both"/>
        <w:rPr>
          <w:rFonts w:asciiTheme="majorBidi" w:hAnsiTheme="majorBidi" w:cstheme="majorBidi"/>
          <w:sz w:val="24"/>
          <w:szCs w:val="24"/>
        </w:rPr>
      </w:pPr>
      <w:r w:rsidRPr="00EF203D">
        <w:rPr>
          <w:rFonts w:asciiTheme="majorBidi" w:hAnsiTheme="majorBidi" w:cstheme="majorBidi"/>
          <w:sz w:val="24"/>
          <w:szCs w:val="24"/>
        </w:rPr>
        <w:t>Theoretical contribution.</w:t>
      </w:r>
    </w:p>
    <w:p w14:paraId="7BC982C8" w14:textId="77777777" w:rsid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 xml:space="preserve">This research advances cross-functional and risk-governance literatures by: </w:t>
      </w:r>
    </w:p>
    <w:p w14:paraId="4F0FF090" w14:textId="77777777" w:rsidR="00EF203D" w:rsidRDefault="00EF203D" w:rsidP="00EF203D">
      <w:pPr>
        <w:bidi w:val="0"/>
        <w:ind w:left="567" w:hanging="283"/>
        <w:jc w:val="both"/>
        <w:rPr>
          <w:rFonts w:asciiTheme="majorBidi" w:hAnsiTheme="majorBidi" w:cstheme="majorBidi"/>
          <w:sz w:val="24"/>
          <w:szCs w:val="24"/>
        </w:rPr>
      </w:pPr>
      <w:r w:rsidRPr="00EF203D">
        <w:rPr>
          <w:rFonts w:asciiTheme="majorBidi" w:hAnsiTheme="majorBidi" w:cstheme="majorBidi"/>
          <w:sz w:val="24"/>
          <w:szCs w:val="24"/>
        </w:rPr>
        <w:t xml:space="preserve">(1) formalizing AM–Sales integration as a multi-dimensional construct tightly coupled to frontline risk outcomes; </w:t>
      </w:r>
    </w:p>
    <w:p w14:paraId="423F0814" w14:textId="77777777" w:rsidR="00EF203D" w:rsidRDefault="00EF203D" w:rsidP="00EF203D">
      <w:pPr>
        <w:bidi w:val="0"/>
        <w:ind w:left="567" w:hanging="283"/>
        <w:jc w:val="both"/>
        <w:rPr>
          <w:rFonts w:asciiTheme="majorBidi" w:hAnsiTheme="majorBidi" w:cstheme="majorBidi"/>
          <w:sz w:val="24"/>
          <w:szCs w:val="24"/>
        </w:rPr>
      </w:pPr>
      <w:r w:rsidRPr="00EF203D">
        <w:rPr>
          <w:rFonts w:asciiTheme="majorBidi" w:hAnsiTheme="majorBidi" w:cstheme="majorBidi"/>
          <w:sz w:val="24"/>
          <w:szCs w:val="24"/>
        </w:rPr>
        <w:t>(2) empirically separating “hard” coordination mechanisms (Information/Data integration and KPI/Incentive alignment) from “soft” mechanisms (Communication cadence and RACI clarity), allowing a more nuanced understanding of how collaborative routines travel into risk performance</w:t>
      </w:r>
      <w:r>
        <w:rPr>
          <w:rFonts w:asciiTheme="majorBidi" w:hAnsiTheme="majorBidi" w:cstheme="majorBidi"/>
          <w:sz w:val="24"/>
          <w:szCs w:val="24"/>
        </w:rPr>
        <w:t>.</w:t>
      </w:r>
    </w:p>
    <w:p w14:paraId="4DE6E08F" w14:textId="030F5DBE" w:rsidR="00EF203D" w:rsidRDefault="00EF203D" w:rsidP="00EF203D">
      <w:pPr>
        <w:bidi w:val="0"/>
        <w:ind w:left="567" w:hanging="283"/>
        <w:jc w:val="both"/>
        <w:rPr>
          <w:rFonts w:asciiTheme="majorBidi" w:hAnsiTheme="majorBidi" w:cstheme="majorBidi"/>
          <w:sz w:val="24"/>
          <w:szCs w:val="24"/>
        </w:rPr>
      </w:pPr>
      <w:r w:rsidRPr="00EF203D">
        <w:rPr>
          <w:rFonts w:asciiTheme="majorBidi" w:hAnsiTheme="majorBidi" w:cstheme="majorBidi"/>
          <w:sz w:val="24"/>
          <w:szCs w:val="24"/>
        </w:rPr>
        <w:t xml:space="preserve"> (3) demonstrating that the pathway from AM–Sales collaboration to risk outcomes is not uniform</w:t>
      </w:r>
      <w:r w:rsidR="00B03C22">
        <w:rPr>
          <w:rFonts w:asciiTheme="majorBidi" w:hAnsiTheme="majorBidi" w:cstheme="majorBidi"/>
          <w:sz w:val="24"/>
          <w:szCs w:val="24"/>
        </w:rPr>
        <w:t>-</w:t>
      </w:r>
      <w:r w:rsidRPr="00EF203D">
        <w:rPr>
          <w:rFonts w:asciiTheme="majorBidi" w:hAnsiTheme="majorBidi" w:cstheme="majorBidi"/>
          <w:sz w:val="24"/>
          <w:szCs w:val="24"/>
        </w:rPr>
        <w:t xml:space="preserve">some levers show consistently strong, </w:t>
      </w:r>
    </w:p>
    <w:p w14:paraId="2ECDE0E7" w14:textId="0725BD96"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direct effects (especially data integration), while others appear contingent or overlapping (communication cadence and RACI). The pattern of results encourages theoretical models that treat data integration as a first-order enabler and position incentives/KPIs as alignment amplifiers, with communication and decision rights operating as moderators or mediators rather than stand-alone drivers.</w:t>
      </w:r>
    </w:p>
    <w:p w14:paraId="2B39C27B" w14:textId="77777777"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Practical implications (for banks with similar operating contexts).</w:t>
      </w:r>
    </w:p>
    <w:p w14:paraId="61E6A3E0"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Make data integration a frontline asset. Unified, timely, accurate customer and deal data across AMs, Sales, and Risk materially improves early-risk identification, pricing/tenor discipline, and downstream control quality.</w:t>
      </w:r>
    </w:p>
    <w:p w14:paraId="6829B53E"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Couple KPIs and incentives across functions. When AMs and Sales share risk-aware targets (e.g., EWS coverage, first-time-right onboarding, policy-override discipline) and are jointly rewarded, collaboration becomes default rather than discretionary.</w:t>
      </w:r>
    </w:p>
    <w:p w14:paraId="231B08CE"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Re-engineer communication toward decision latency and actionability. Mere frequency of exchanges is insufficient; communication should compress decision time, clarify ownership, and close loops reliably.</w:t>
      </w:r>
    </w:p>
    <w:p w14:paraId="5F2D9549"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Refine decision rights and escalations. Clear, threshold-based RACI with time-bound service levels reduces ambiguity at origination, especially for higher-risk or complex products.</w:t>
      </w:r>
    </w:p>
    <w:p w14:paraId="72C4F22D"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Focus on “fit to portfolio.” The same integration lever may yield different risk benefits across sub-portfolios (e.g., retail vs. corporate; murabaha vs. ijara). Prioritize where coordination frictions are most costly.</w:t>
      </w:r>
    </w:p>
    <w:p w14:paraId="6CDFE83B" w14:textId="3A2382E3" w:rsidR="00EF203D" w:rsidRDefault="00EF203D" w:rsidP="00EF203D">
      <w:pPr>
        <w:pStyle w:val="3"/>
      </w:pPr>
      <w:bookmarkStart w:id="218" w:name="_Toc214621211"/>
      <w:r>
        <w:t>Research Limitations &amp; Future Research</w:t>
      </w:r>
      <w:bookmarkEnd w:id="218"/>
    </w:p>
    <w:p w14:paraId="64DD16B8" w14:textId="77777777"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b/>
          <w:bCs/>
          <w:sz w:val="24"/>
          <w:szCs w:val="24"/>
        </w:rPr>
        <w:t>Research limitations</w:t>
      </w:r>
    </w:p>
    <w:p w14:paraId="10BD7148"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Methodological (cross-sectional design).</w:t>
      </w:r>
      <w:r w:rsidRPr="00EF203D">
        <w:rPr>
          <w:rFonts w:asciiTheme="majorBidi" w:hAnsiTheme="majorBidi" w:cstheme="majorBidi"/>
          <w:sz w:val="24"/>
          <w:szCs w:val="24"/>
        </w:rPr>
        <w:br/>
        <w:t>The study provides a high-resolution snapshot but cannot establish temporal precedence or capture learning effects as integration practices mature. Causality is inferred from theory and statistical patterns, not demonstrated over time.</w:t>
      </w:r>
    </w:p>
    <w:p w14:paraId="4EAF81DD"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Scope and setting (single institution, single city).</w:t>
      </w:r>
      <w:r w:rsidRPr="00EF203D">
        <w:rPr>
          <w:rFonts w:asciiTheme="majorBidi" w:hAnsiTheme="majorBidi" w:cstheme="majorBidi"/>
          <w:sz w:val="24"/>
          <w:szCs w:val="24"/>
        </w:rPr>
        <w:br/>
        <w:t>Focusing on Al Rajhi Bank in Riyadh improves internal coherence and contextual realism but may constrain generalizability across regions, regulatory environments, or distinct product mixes. Results should be transferred with care and calibrated to local constraints.</w:t>
      </w:r>
    </w:p>
    <w:p w14:paraId="3E15E9A8"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Measurement (self-report perceptions).</w:t>
      </w:r>
      <w:r w:rsidRPr="00EF203D">
        <w:rPr>
          <w:rFonts w:asciiTheme="majorBidi" w:hAnsiTheme="majorBidi" w:cstheme="majorBidi"/>
          <w:sz w:val="24"/>
          <w:szCs w:val="24"/>
        </w:rPr>
        <w:br/>
        <w:t>Primary data rely on respondents’ perceptions. Although instrument validity and reliability were strong, common-method and social-desirability biases cannot be fully excluded. Objective outcomes (e.g., override rates, time-to-approval, EWS trigger performance, covenant breaches) were not jointly modeled with perceptions.</w:t>
      </w:r>
    </w:p>
    <w:p w14:paraId="69B19ADC"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Construct specification and overlap.</w:t>
      </w:r>
      <w:r w:rsidRPr="00EF203D">
        <w:rPr>
          <w:rFonts w:asciiTheme="majorBidi" w:hAnsiTheme="majorBidi" w:cstheme="majorBidi"/>
          <w:sz w:val="24"/>
          <w:szCs w:val="24"/>
        </w:rPr>
        <w:br/>
        <w:t>Communication cadence and RACI clarity may share variance with data integration and KPI alignment. The negative coefficient for communication (in multivariate models) suggests possible suppression or conditional effects. More granular items (e.g., decision latency, SLA compliance, escalation effectiveness) could sharpen the constructs.</w:t>
      </w:r>
    </w:p>
    <w:p w14:paraId="5D8ED90A"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Model parsimony and omitted contingencies.</w:t>
      </w:r>
      <w:r w:rsidRPr="00EF203D">
        <w:rPr>
          <w:rFonts w:asciiTheme="majorBidi" w:hAnsiTheme="majorBidi" w:cstheme="majorBidi"/>
          <w:sz w:val="24"/>
          <w:szCs w:val="24"/>
        </w:rPr>
        <w:br/>
        <w:t>Potential moderators such as product type, client segment, macro-market conditions, and digitization level were not explicitly tested. Non-linearities and interactions among the four dimensions were beyond scope.</w:t>
      </w:r>
    </w:p>
    <w:p w14:paraId="4C293CC8"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Statistical robustness checks.</w:t>
      </w:r>
      <w:r w:rsidRPr="00EF203D">
        <w:rPr>
          <w:rFonts w:asciiTheme="majorBidi" w:hAnsiTheme="majorBidi" w:cstheme="majorBidi"/>
          <w:sz w:val="24"/>
          <w:szCs w:val="24"/>
        </w:rPr>
        <w:br/>
        <w:t>While diagnostics supported model adequacy, additional robustness (e.g., bootstrapping, k-fold cross-validation, common-method bias tests beyond design remedies) would strengthen confidence in the precision of coefficients.</w:t>
      </w:r>
    </w:p>
    <w:p w14:paraId="650DB0ED" w14:textId="77777777" w:rsidR="00EF203D" w:rsidRPr="00EF203D" w:rsidRDefault="00EF203D" w:rsidP="00EF203D">
      <w:pPr>
        <w:bidi w:val="0"/>
        <w:jc w:val="both"/>
        <w:rPr>
          <w:rFonts w:asciiTheme="majorBidi" w:hAnsiTheme="majorBidi" w:cstheme="majorBidi"/>
          <w:b/>
          <w:bCs/>
          <w:sz w:val="24"/>
          <w:szCs w:val="24"/>
        </w:rPr>
      </w:pPr>
      <w:r w:rsidRPr="00EF203D">
        <w:rPr>
          <w:rFonts w:asciiTheme="majorBidi" w:hAnsiTheme="majorBidi" w:cstheme="majorBidi"/>
          <w:sz w:val="24"/>
          <w:szCs w:val="24"/>
        </w:rPr>
        <w:t>Future research recommendations</w:t>
      </w:r>
    </w:p>
    <w:p w14:paraId="59495FFE"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Adopt longitudinal or panel designs.</w:t>
      </w:r>
      <w:r w:rsidRPr="00EF203D">
        <w:rPr>
          <w:rFonts w:asciiTheme="majorBidi" w:hAnsiTheme="majorBidi" w:cstheme="majorBidi"/>
          <w:sz w:val="24"/>
          <w:szCs w:val="24"/>
        </w:rPr>
        <w:br/>
        <w:t>Track the same teams over time to test whether improvements in data integration precede measurable gains in risk outcomes, and to quantify persistence of effects.</w:t>
      </w:r>
    </w:p>
    <w:p w14:paraId="6EF482B0"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Integrate objective performance data.</w:t>
      </w:r>
      <w:r w:rsidRPr="00EF203D">
        <w:rPr>
          <w:rFonts w:asciiTheme="majorBidi" w:hAnsiTheme="majorBidi" w:cstheme="majorBidi"/>
          <w:sz w:val="24"/>
          <w:szCs w:val="24"/>
        </w:rPr>
        <w:br/>
        <w:t>Combine surveys with operational and audit indicators (EWS hit rates, override frequency and severity, NPL transitions, covenant performance, incident MTTR) to triangulate findings and mitigate self-report bias.</w:t>
      </w:r>
    </w:p>
    <w:p w14:paraId="35469DF6"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Replicate across branches, banks, and geographies.</w:t>
      </w:r>
      <w:r w:rsidRPr="00EF203D">
        <w:rPr>
          <w:rFonts w:asciiTheme="majorBidi" w:hAnsiTheme="majorBidi" w:cstheme="majorBidi"/>
          <w:sz w:val="24"/>
          <w:szCs w:val="24"/>
        </w:rPr>
        <w:br/>
        <w:t>Multi-site studies can identify boundary conditions and external validity, accounting for regulatory intensity, product architecture, and technology adoption.</w:t>
      </w:r>
    </w:p>
    <w:p w14:paraId="7126C24D"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Model interactions and thresholds.</w:t>
      </w:r>
      <w:r w:rsidRPr="00EF203D">
        <w:rPr>
          <w:rFonts w:asciiTheme="majorBidi" w:hAnsiTheme="majorBidi" w:cstheme="majorBidi"/>
          <w:sz w:val="24"/>
          <w:szCs w:val="24"/>
        </w:rPr>
        <w:br/>
        <w:t>Test whether RACI clarity matters most when data integration is weak, or whether communication quality only adds value above a minimum data-quality threshold. Explore non-linear effects (diminishing returns at high integration).</w:t>
      </w:r>
    </w:p>
    <w:p w14:paraId="76F8FF4D"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Refine constructs with qualitative depth.</w:t>
      </w:r>
      <w:r w:rsidRPr="00EF203D">
        <w:rPr>
          <w:rFonts w:asciiTheme="majorBidi" w:hAnsiTheme="majorBidi" w:cstheme="majorBidi"/>
          <w:sz w:val="24"/>
          <w:szCs w:val="24"/>
        </w:rPr>
        <w:br/>
        <w:t>Interviews and focus groups can unpack “communication quality” (content, timing, decision ownership) and distinguish ex-ante authority clarity from ex-post escalation execution. Findings can feed back into more discriminating scales.</w:t>
      </w:r>
    </w:p>
    <w:p w14:paraId="49672C93"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Sub-portfolio analytics.</w:t>
      </w:r>
      <w:r w:rsidRPr="00EF203D">
        <w:rPr>
          <w:rFonts w:asciiTheme="majorBidi" w:hAnsiTheme="majorBidi" w:cstheme="majorBidi"/>
          <w:sz w:val="24"/>
          <w:szCs w:val="24"/>
        </w:rPr>
        <w:br/>
        <w:t>Estimate effects within specific product lines (e.g., SME, corporate, retail) to locate the highest marginal return from integration investments and to tailor operating playbooks.</w:t>
      </w:r>
    </w:p>
    <w:p w14:paraId="1625EA22" w14:textId="77777777" w:rsidR="00EF203D" w:rsidRPr="00EF203D" w:rsidRDefault="00EF203D" w:rsidP="002E6F27">
      <w:pPr>
        <w:pStyle w:val="a5"/>
        <w:numPr>
          <w:ilvl w:val="0"/>
          <w:numId w:val="93"/>
        </w:numPr>
        <w:bidi w:val="0"/>
        <w:jc w:val="both"/>
        <w:rPr>
          <w:rFonts w:asciiTheme="majorBidi" w:hAnsiTheme="majorBidi" w:cstheme="majorBidi"/>
          <w:sz w:val="24"/>
          <w:szCs w:val="24"/>
        </w:rPr>
      </w:pPr>
      <w:r w:rsidRPr="00EF203D">
        <w:rPr>
          <w:rFonts w:asciiTheme="majorBidi" w:hAnsiTheme="majorBidi" w:cstheme="majorBidi"/>
          <w:sz w:val="24"/>
          <w:szCs w:val="24"/>
        </w:rPr>
        <w:t>Capability sequencing and change management.</w:t>
      </w:r>
      <w:r w:rsidRPr="00EF203D">
        <w:rPr>
          <w:rFonts w:asciiTheme="majorBidi" w:hAnsiTheme="majorBidi" w:cstheme="majorBidi"/>
          <w:sz w:val="24"/>
          <w:szCs w:val="24"/>
        </w:rPr>
        <w:br/>
        <w:t>Study how banks should phase capability building (data → incentives → communication → RACI) and which enablers (training, tooling, governance) accelerate adoption and stickiness.</w:t>
      </w:r>
    </w:p>
    <w:p w14:paraId="0C772DC0" w14:textId="5C427624" w:rsidR="00EF203D" w:rsidRDefault="00EF203D" w:rsidP="00EF203D">
      <w:pPr>
        <w:pStyle w:val="3"/>
      </w:pPr>
      <w:bookmarkStart w:id="219" w:name="_Toc214621212"/>
      <w:r>
        <w:t>Research Recommendations (Managerial)</w:t>
      </w:r>
      <w:bookmarkEnd w:id="219"/>
    </w:p>
    <w:p w14:paraId="5322E0B0" w14:textId="77777777"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Based on the empirical results and limitations, we propose the following action agenda for institutions seeking to enhance risk-management effectiveness via AM–Sales integration:</w:t>
      </w:r>
    </w:p>
    <w:p w14:paraId="7C1293C7"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Pr>
          <w:rStyle w:val="a7"/>
        </w:rPr>
        <w:t>Establish a single source of truth at origination.</w:t>
      </w:r>
      <w:r>
        <w:br/>
      </w:r>
      <w:r w:rsidRPr="00EF203D">
        <w:rPr>
          <w:rFonts w:asciiTheme="majorBidi" w:hAnsiTheme="majorBidi" w:cstheme="majorBidi"/>
          <w:sz w:val="24"/>
          <w:szCs w:val="24"/>
        </w:rPr>
        <w:t>Standardize intake templates, automate data validation and reconciliation, enforce lineage, and provide shared real-time access for AMs, Sales, and Risk. Prioritize critical fields that drive pricing, tenor, collateral, and EWS logic.</w:t>
      </w:r>
    </w:p>
    <w:p w14:paraId="6FBC434F"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Align KPIs and incentives end-to-end.</w:t>
      </w:r>
      <w:r w:rsidRPr="00EF203D">
        <w:rPr>
          <w:rFonts w:asciiTheme="majorBidi" w:hAnsiTheme="majorBidi" w:cstheme="majorBidi"/>
          <w:sz w:val="24"/>
          <w:szCs w:val="24"/>
        </w:rPr>
        <w:br/>
        <w:t>Mirror risk-aware metrics across teams: first-time-right onboarding, document completeness, policy override rates, EWS coverage and timeliness, post-approval covenant adherence. Tie recognition and rewards to joint outcomes to reduce goal conflict.</w:t>
      </w:r>
    </w:p>
    <w:p w14:paraId="246F1E05"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Reduce decision latency through structured communication.</w:t>
      </w:r>
      <w:r w:rsidRPr="00EF203D">
        <w:rPr>
          <w:rFonts w:asciiTheme="majorBidi" w:hAnsiTheme="majorBidi" w:cstheme="majorBidi"/>
          <w:sz w:val="24"/>
          <w:szCs w:val="24"/>
        </w:rPr>
        <w:br/>
        <w:t>Replace meeting frequency with measurable service levels: who decides, by when, on what information set. Use lightweight decision records to ensure traceability and faster escalations.</w:t>
      </w:r>
    </w:p>
    <w:p w14:paraId="55DF6415"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Clarify decision rights and escalation thresholds.</w:t>
      </w:r>
      <w:r w:rsidRPr="00EF203D">
        <w:rPr>
          <w:rFonts w:asciiTheme="majorBidi" w:hAnsiTheme="majorBidi" w:cstheme="majorBidi"/>
          <w:sz w:val="24"/>
          <w:szCs w:val="24"/>
        </w:rPr>
        <w:br/>
        <w:t>Map actual decision paths vs. intended RACI for high-value products. Set clear thresholds for when and how to escalate, with time-bound SLAs and accountability for closure.</w:t>
      </w:r>
    </w:p>
    <w:p w14:paraId="760F514B"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Instrument the system with dashboards.</w:t>
      </w:r>
      <w:r w:rsidRPr="00EF203D">
        <w:rPr>
          <w:rFonts w:asciiTheme="majorBidi" w:hAnsiTheme="majorBidi" w:cstheme="majorBidi"/>
          <w:sz w:val="24"/>
          <w:szCs w:val="24"/>
        </w:rPr>
        <w:br/>
        <w:t>Track data-quality defects, decision times, overrides, EWS missed/late alerts, and incident remediation cycles. Review monthly at the AM–Sales–Risk interface and run quarterly retrospectives to institutionalize learning.</w:t>
      </w:r>
    </w:p>
    <w:p w14:paraId="44AE9804"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Targeted enablement and change management.</w:t>
      </w:r>
      <w:r w:rsidRPr="00EF203D">
        <w:rPr>
          <w:rFonts w:asciiTheme="majorBidi" w:hAnsiTheme="majorBidi" w:cstheme="majorBidi"/>
          <w:sz w:val="24"/>
          <w:szCs w:val="24"/>
        </w:rPr>
        <w:br/>
        <w:t>Provide role-specific training (AMs, Sales Officers, Risk Analysts) focusing on the data elements that alter decisions, the KPIs that matter, and the behaviors that reduce friction. Pair training with coaching on live cases to embed habits.</w:t>
      </w:r>
    </w:p>
    <w:p w14:paraId="790AAF56" w14:textId="77777777" w:rsidR="00EF203D" w:rsidRPr="00EF203D" w:rsidRDefault="00EF203D" w:rsidP="002E6F27">
      <w:pPr>
        <w:pStyle w:val="a5"/>
        <w:numPr>
          <w:ilvl w:val="0"/>
          <w:numId w:val="94"/>
        </w:numPr>
        <w:bidi w:val="0"/>
        <w:jc w:val="both"/>
        <w:rPr>
          <w:rFonts w:asciiTheme="majorBidi" w:hAnsiTheme="majorBidi" w:cstheme="majorBidi"/>
          <w:sz w:val="24"/>
          <w:szCs w:val="24"/>
        </w:rPr>
      </w:pPr>
      <w:r w:rsidRPr="00EF203D">
        <w:rPr>
          <w:rFonts w:asciiTheme="majorBidi" w:hAnsiTheme="majorBidi" w:cstheme="majorBidi"/>
          <w:sz w:val="24"/>
          <w:szCs w:val="24"/>
        </w:rPr>
        <w:t>Pilot, measure, scale.</w:t>
      </w:r>
      <w:r w:rsidRPr="00EF203D">
        <w:rPr>
          <w:rFonts w:asciiTheme="majorBidi" w:hAnsiTheme="majorBidi" w:cstheme="majorBidi"/>
          <w:sz w:val="24"/>
          <w:szCs w:val="24"/>
        </w:rPr>
        <w:br/>
        <w:t>Start with a priority segment, apply the playbook (data integration + KPI coupling + decision SLAs), measure risk outcomes, then scale across portfolios. Use controlled roll-outs to isolate impact.</w:t>
      </w:r>
    </w:p>
    <w:p w14:paraId="467ABFDB" w14:textId="0A74C5CB" w:rsidR="00EF203D" w:rsidRDefault="00EF203D" w:rsidP="00EF203D">
      <w:pPr>
        <w:pStyle w:val="3"/>
      </w:pPr>
      <w:bookmarkStart w:id="220" w:name="_Toc214621213"/>
      <w:r>
        <w:t>Conclusion</w:t>
      </w:r>
      <w:bookmarkEnd w:id="220"/>
    </w:p>
    <w:p w14:paraId="6E1F1703" w14:textId="107738DB"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This study set out to examine whether</w:t>
      </w:r>
      <w:r w:rsidR="00B03C22">
        <w:rPr>
          <w:rFonts w:asciiTheme="majorBidi" w:hAnsiTheme="majorBidi" w:cstheme="majorBidi"/>
          <w:sz w:val="24"/>
          <w:szCs w:val="24"/>
        </w:rPr>
        <w:t>-</w:t>
      </w:r>
      <w:r w:rsidRPr="00EF203D">
        <w:rPr>
          <w:rFonts w:asciiTheme="majorBidi" w:hAnsiTheme="majorBidi" w:cstheme="majorBidi"/>
          <w:sz w:val="24"/>
          <w:szCs w:val="24"/>
        </w:rPr>
        <w:t>and how</w:t>
      </w:r>
      <w:r w:rsidR="00B03C22">
        <w:rPr>
          <w:rFonts w:asciiTheme="majorBidi" w:hAnsiTheme="majorBidi" w:cstheme="majorBidi"/>
          <w:sz w:val="24"/>
          <w:szCs w:val="24"/>
        </w:rPr>
        <w:t>-</w:t>
      </w:r>
      <w:r w:rsidRPr="00EF203D">
        <w:rPr>
          <w:rFonts w:asciiTheme="majorBidi" w:hAnsiTheme="majorBidi" w:cstheme="majorBidi"/>
          <w:sz w:val="24"/>
          <w:szCs w:val="24"/>
        </w:rPr>
        <w:t>the functional relationship between AMs and Sales Teams enhances risk-management effectiveness. The evidence is clear: stronger Information Sharing &amp; Data Integration is the most reliable lever, while Goal/KPI &amp; Incentive Alignment provides additional lift. Communication cadence and RACI clarity appear context-dependent and require sharper instrumentation or may operate through interactions with the “hard” coordination mechanisms. Beyond statistical significance, the results translate into practical priorities: invest first in data integration at origination, couple incentives to risk-aware KPIs, compress decision latency with structured communication, and refine decision rights where they remove bottlenecks at the point of risk.</w:t>
      </w:r>
    </w:p>
    <w:p w14:paraId="39C2C1DB" w14:textId="345758F2" w:rsidR="00EF203D" w:rsidRPr="00EF203D" w:rsidRDefault="00EF203D" w:rsidP="00EF203D">
      <w:pPr>
        <w:bidi w:val="0"/>
        <w:jc w:val="both"/>
        <w:rPr>
          <w:rFonts w:asciiTheme="majorBidi" w:hAnsiTheme="majorBidi" w:cstheme="majorBidi"/>
          <w:sz w:val="24"/>
          <w:szCs w:val="24"/>
        </w:rPr>
      </w:pPr>
      <w:r w:rsidRPr="00EF203D">
        <w:rPr>
          <w:rFonts w:asciiTheme="majorBidi" w:hAnsiTheme="majorBidi" w:cstheme="majorBidi"/>
          <w:sz w:val="24"/>
          <w:szCs w:val="24"/>
        </w:rPr>
        <w:t>At the same time, the study’s cross-sectional, single-institution design, reliance on self-reports, and construct overlap caution against over-generalization. Future longitudinal, multi-site, and mixed-methods research</w:t>
      </w:r>
      <w:r w:rsidR="00B03C22">
        <w:rPr>
          <w:rFonts w:asciiTheme="majorBidi" w:hAnsiTheme="majorBidi" w:cstheme="majorBidi"/>
          <w:sz w:val="24"/>
          <w:szCs w:val="24"/>
        </w:rPr>
        <w:t>-</w:t>
      </w:r>
      <w:r w:rsidRPr="00EF203D">
        <w:rPr>
          <w:rFonts w:asciiTheme="majorBidi" w:hAnsiTheme="majorBidi" w:cstheme="majorBidi"/>
          <w:sz w:val="24"/>
          <w:szCs w:val="24"/>
        </w:rPr>
        <w:t>linking perceptions to objective control outcomes</w:t>
      </w:r>
      <w:r w:rsidR="00B03C22">
        <w:rPr>
          <w:rFonts w:asciiTheme="majorBidi" w:hAnsiTheme="majorBidi" w:cstheme="majorBidi"/>
          <w:sz w:val="24"/>
          <w:szCs w:val="24"/>
        </w:rPr>
        <w:t>-</w:t>
      </w:r>
      <w:r w:rsidRPr="00EF203D">
        <w:rPr>
          <w:rFonts w:asciiTheme="majorBidi" w:hAnsiTheme="majorBidi" w:cstheme="majorBidi"/>
          <w:sz w:val="24"/>
          <w:szCs w:val="24"/>
        </w:rPr>
        <w:t>will deepen understanding and sharpen prescriptions. For banks intent on improving early-risk identification, credit discipline, liquidity/market-risk fit, and operational resilience, the path forward is actionable: build the data backbone, align incentives, and redesign collaboration around faster, better, risk-aware decisions.</w:t>
      </w:r>
    </w:p>
    <w:p w14:paraId="61244F7C" w14:textId="77777777" w:rsidR="00E769E7" w:rsidRPr="00EF203D" w:rsidRDefault="00E769E7" w:rsidP="00E769E7">
      <w:pPr>
        <w:bidi w:val="0"/>
        <w:jc w:val="both"/>
        <w:rPr>
          <w:rFonts w:asciiTheme="majorBidi" w:hAnsiTheme="majorBidi" w:cstheme="majorBidi"/>
          <w:sz w:val="24"/>
          <w:szCs w:val="24"/>
        </w:rPr>
      </w:pPr>
    </w:p>
    <w:p w14:paraId="490A2302" w14:textId="77777777" w:rsidR="00E769E7" w:rsidRPr="00EF203D" w:rsidRDefault="00E769E7" w:rsidP="00E769E7">
      <w:pPr>
        <w:bidi w:val="0"/>
        <w:jc w:val="both"/>
        <w:rPr>
          <w:rFonts w:asciiTheme="majorBidi" w:hAnsiTheme="majorBidi" w:cstheme="majorBidi"/>
          <w:sz w:val="24"/>
          <w:szCs w:val="24"/>
          <w:rtl/>
        </w:rPr>
      </w:pPr>
    </w:p>
    <w:p w14:paraId="6B803E24" w14:textId="31DCEC1B" w:rsidR="00370164" w:rsidRPr="00E769E7" w:rsidRDefault="00370164" w:rsidP="00E769E7">
      <w:pPr>
        <w:bidi w:val="0"/>
        <w:jc w:val="both"/>
        <w:rPr>
          <w:rFonts w:asciiTheme="majorBidi" w:hAnsiTheme="majorBidi" w:cstheme="majorBidi"/>
          <w:sz w:val="24"/>
          <w:szCs w:val="24"/>
        </w:rPr>
      </w:pPr>
    </w:p>
    <w:p w14:paraId="035A998F" w14:textId="45C1BCF2" w:rsidR="00370164" w:rsidRDefault="00370164" w:rsidP="00E769E7">
      <w:pPr>
        <w:bidi w:val="0"/>
        <w:jc w:val="both"/>
        <w:rPr>
          <w:rFonts w:asciiTheme="majorBidi" w:hAnsiTheme="majorBidi" w:cstheme="majorBidi"/>
          <w:sz w:val="24"/>
          <w:szCs w:val="24"/>
        </w:rPr>
      </w:pPr>
    </w:p>
    <w:p w14:paraId="347A5A05" w14:textId="54DC3DF1" w:rsidR="00370164" w:rsidRDefault="00370164" w:rsidP="00E769E7">
      <w:pPr>
        <w:bidi w:val="0"/>
        <w:jc w:val="both"/>
        <w:rPr>
          <w:rFonts w:asciiTheme="majorBidi" w:hAnsiTheme="majorBidi" w:cstheme="majorBidi"/>
          <w:sz w:val="24"/>
          <w:szCs w:val="24"/>
        </w:rPr>
      </w:pPr>
    </w:p>
    <w:p w14:paraId="2041355F" w14:textId="00A949CB" w:rsidR="00370164" w:rsidRDefault="00370164" w:rsidP="00370164">
      <w:pPr>
        <w:bidi w:val="0"/>
        <w:spacing w:after="120" w:line="276" w:lineRule="auto"/>
        <w:ind w:firstLine="284"/>
        <w:jc w:val="both"/>
        <w:rPr>
          <w:rFonts w:asciiTheme="majorBidi" w:hAnsiTheme="majorBidi" w:cstheme="majorBidi"/>
          <w:sz w:val="24"/>
          <w:szCs w:val="24"/>
        </w:rPr>
      </w:pPr>
    </w:p>
    <w:p w14:paraId="7980A0C6" w14:textId="56A4B654" w:rsidR="00370164" w:rsidRDefault="00370164" w:rsidP="00370164">
      <w:pPr>
        <w:bidi w:val="0"/>
        <w:spacing w:after="120" w:line="276" w:lineRule="auto"/>
        <w:ind w:firstLine="284"/>
        <w:jc w:val="both"/>
        <w:rPr>
          <w:rFonts w:asciiTheme="majorBidi" w:hAnsiTheme="majorBidi" w:cstheme="majorBidi"/>
          <w:sz w:val="24"/>
          <w:szCs w:val="24"/>
        </w:rPr>
      </w:pPr>
    </w:p>
    <w:p w14:paraId="07F39733" w14:textId="26FC3B79" w:rsidR="00370164" w:rsidRDefault="00370164" w:rsidP="00370164">
      <w:pPr>
        <w:bidi w:val="0"/>
        <w:spacing w:after="120" w:line="276" w:lineRule="auto"/>
        <w:ind w:firstLine="284"/>
        <w:jc w:val="both"/>
        <w:rPr>
          <w:rFonts w:asciiTheme="majorBidi" w:hAnsiTheme="majorBidi" w:cstheme="majorBidi"/>
          <w:sz w:val="24"/>
          <w:szCs w:val="24"/>
        </w:rPr>
      </w:pPr>
    </w:p>
    <w:p w14:paraId="3582506C" w14:textId="6354134D" w:rsidR="00370164" w:rsidRDefault="00370164" w:rsidP="00370164">
      <w:pPr>
        <w:bidi w:val="0"/>
        <w:spacing w:after="120" w:line="276" w:lineRule="auto"/>
        <w:ind w:firstLine="284"/>
        <w:jc w:val="both"/>
        <w:rPr>
          <w:rFonts w:asciiTheme="majorBidi" w:hAnsiTheme="majorBidi" w:cstheme="majorBidi"/>
          <w:sz w:val="24"/>
          <w:szCs w:val="24"/>
        </w:rPr>
      </w:pPr>
    </w:p>
    <w:p w14:paraId="2B756989" w14:textId="525E6A36" w:rsidR="00370164" w:rsidRDefault="00370164" w:rsidP="00370164">
      <w:pPr>
        <w:bidi w:val="0"/>
        <w:spacing w:after="120" w:line="276" w:lineRule="auto"/>
        <w:ind w:firstLine="284"/>
        <w:jc w:val="both"/>
        <w:rPr>
          <w:rFonts w:asciiTheme="majorBidi" w:hAnsiTheme="majorBidi" w:cstheme="majorBidi"/>
          <w:sz w:val="24"/>
          <w:szCs w:val="24"/>
        </w:rPr>
      </w:pPr>
    </w:p>
    <w:p w14:paraId="0B1D715D" w14:textId="0392A4CD" w:rsidR="00370164" w:rsidRDefault="00370164" w:rsidP="00370164">
      <w:pPr>
        <w:bidi w:val="0"/>
        <w:spacing w:after="120" w:line="276" w:lineRule="auto"/>
        <w:ind w:firstLine="284"/>
        <w:jc w:val="both"/>
        <w:rPr>
          <w:rFonts w:asciiTheme="majorBidi" w:hAnsiTheme="majorBidi" w:cstheme="majorBidi"/>
          <w:sz w:val="24"/>
          <w:szCs w:val="24"/>
        </w:rPr>
      </w:pPr>
    </w:p>
    <w:p w14:paraId="2BC8FFCD" w14:textId="590A1F35" w:rsidR="00370164" w:rsidRDefault="00370164" w:rsidP="00370164">
      <w:pPr>
        <w:bidi w:val="0"/>
        <w:spacing w:after="120" w:line="276" w:lineRule="auto"/>
        <w:ind w:firstLine="284"/>
        <w:jc w:val="both"/>
        <w:rPr>
          <w:rFonts w:asciiTheme="majorBidi" w:hAnsiTheme="majorBidi" w:cstheme="majorBidi"/>
          <w:sz w:val="24"/>
          <w:szCs w:val="24"/>
        </w:rPr>
      </w:pPr>
    </w:p>
    <w:p w14:paraId="745C15E2" w14:textId="0BC072F2" w:rsidR="00370164" w:rsidRDefault="00370164" w:rsidP="00370164">
      <w:pPr>
        <w:bidi w:val="0"/>
        <w:spacing w:after="120" w:line="276" w:lineRule="auto"/>
        <w:ind w:firstLine="284"/>
        <w:jc w:val="both"/>
        <w:rPr>
          <w:rFonts w:asciiTheme="majorBidi" w:hAnsiTheme="majorBidi" w:cstheme="majorBidi"/>
          <w:sz w:val="24"/>
          <w:szCs w:val="24"/>
        </w:rPr>
      </w:pPr>
    </w:p>
    <w:p w14:paraId="71065A7E" w14:textId="1BCA96E7" w:rsidR="00370164" w:rsidRDefault="00370164" w:rsidP="00370164">
      <w:pPr>
        <w:bidi w:val="0"/>
        <w:spacing w:after="120" w:line="276" w:lineRule="auto"/>
        <w:ind w:firstLine="284"/>
        <w:jc w:val="both"/>
        <w:rPr>
          <w:rFonts w:asciiTheme="majorBidi" w:hAnsiTheme="majorBidi" w:cstheme="majorBidi"/>
          <w:sz w:val="24"/>
          <w:szCs w:val="24"/>
        </w:rPr>
      </w:pPr>
    </w:p>
    <w:p w14:paraId="460BCA99" w14:textId="4D682FA4" w:rsidR="00370164" w:rsidRDefault="00370164" w:rsidP="00370164">
      <w:pPr>
        <w:bidi w:val="0"/>
        <w:spacing w:after="120" w:line="276" w:lineRule="auto"/>
        <w:ind w:firstLine="284"/>
        <w:jc w:val="both"/>
        <w:rPr>
          <w:rFonts w:asciiTheme="majorBidi" w:hAnsiTheme="majorBidi" w:cstheme="majorBidi"/>
          <w:sz w:val="24"/>
          <w:szCs w:val="24"/>
        </w:rPr>
      </w:pPr>
    </w:p>
    <w:p w14:paraId="30F87B2C" w14:textId="77777777" w:rsidR="00370164" w:rsidRPr="00A94C60" w:rsidRDefault="00370164" w:rsidP="00370164">
      <w:pPr>
        <w:bidi w:val="0"/>
        <w:spacing w:after="120" w:line="276" w:lineRule="auto"/>
        <w:ind w:firstLine="284"/>
        <w:jc w:val="both"/>
        <w:rPr>
          <w:rFonts w:asciiTheme="majorBidi" w:hAnsiTheme="majorBidi" w:cstheme="majorBidi"/>
          <w:sz w:val="24"/>
          <w:szCs w:val="24"/>
        </w:rPr>
      </w:pPr>
    </w:p>
    <w:p w14:paraId="451F8475" w14:textId="65294B7A" w:rsidR="00B03044" w:rsidRPr="00A94C60" w:rsidRDefault="00B03044" w:rsidP="00A94C60">
      <w:pPr>
        <w:bidi w:val="0"/>
        <w:spacing w:after="120" w:line="276" w:lineRule="auto"/>
        <w:ind w:firstLine="284"/>
        <w:jc w:val="both"/>
        <w:rPr>
          <w:rFonts w:asciiTheme="majorBidi" w:hAnsiTheme="majorBidi" w:cstheme="majorBidi"/>
          <w:sz w:val="24"/>
          <w:szCs w:val="24"/>
        </w:rPr>
      </w:pPr>
    </w:p>
    <w:p w14:paraId="7C417264" w14:textId="75CE55D2" w:rsidR="00B03044" w:rsidRPr="00A94C60" w:rsidRDefault="00B03044" w:rsidP="00A94C60">
      <w:pPr>
        <w:bidi w:val="0"/>
        <w:spacing w:after="120" w:line="276" w:lineRule="auto"/>
        <w:ind w:firstLine="284"/>
        <w:jc w:val="both"/>
        <w:rPr>
          <w:rFonts w:asciiTheme="majorBidi" w:hAnsiTheme="majorBidi" w:cstheme="majorBidi"/>
          <w:sz w:val="24"/>
          <w:szCs w:val="24"/>
        </w:rPr>
      </w:pPr>
    </w:p>
    <w:p w14:paraId="07BF3DEC" w14:textId="77777777" w:rsidR="00B03044" w:rsidRPr="00A94C60" w:rsidRDefault="00B03044" w:rsidP="00A94C60">
      <w:pPr>
        <w:bidi w:val="0"/>
        <w:spacing w:after="120" w:line="276" w:lineRule="auto"/>
        <w:ind w:firstLine="284"/>
        <w:jc w:val="both"/>
        <w:rPr>
          <w:rFonts w:asciiTheme="majorBidi" w:hAnsiTheme="majorBidi" w:cstheme="majorBidi"/>
          <w:sz w:val="24"/>
          <w:szCs w:val="24"/>
        </w:rPr>
      </w:pPr>
    </w:p>
    <w:p w14:paraId="5C5DC85E" w14:textId="47B9B4B9" w:rsidR="000C29EE" w:rsidRPr="0063104A" w:rsidRDefault="000C29EE" w:rsidP="0063104A">
      <w:pPr>
        <w:bidi w:val="0"/>
        <w:spacing w:after="120" w:line="276" w:lineRule="auto"/>
        <w:ind w:firstLine="284"/>
        <w:jc w:val="both"/>
        <w:rPr>
          <w:rFonts w:asciiTheme="majorBidi" w:hAnsiTheme="majorBidi" w:cstheme="majorBidi"/>
          <w:sz w:val="24"/>
          <w:szCs w:val="24"/>
        </w:rPr>
      </w:pPr>
    </w:p>
    <w:p w14:paraId="75C3FCF7" w14:textId="5ACED41C" w:rsidR="00F91DB2" w:rsidRPr="00BA3C3F" w:rsidRDefault="00F0433A" w:rsidP="004A51C2">
      <w:pPr>
        <w:pStyle w:val="1"/>
        <w:rPr>
          <w:rtl/>
        </w:rPr>
      </w:pPr>
      <w:bookmarkStart w:id="221" w:name="_Toc203237254"/>
      <w:bookmarkStart w:id="222" w:name="_Toc214621214"/>
      <w:r w:rsidRPr="00BA3C3F">
        <w:t>References</w:t>
      </w:r>
      <w:bookmarkEnd w:id="221"/>
      <w:bookmarkEnd w:id="222"/>
    </w:p>
    <w:p w14:paraId="40051B84"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Al Hammadi, M. A. A. A. (2025). </w:t>
      </w:r>
      <w:r w:rsidRPr="002E6F27">
        <w:rPr>
          <w:rFonts w:asciiTheme="majorBidi" w:hAnsiTheme="majorBidi" w:cstheme="majorBidi"/>
          <w:i/>
          <w:iCs/>
          <w:sz w:val="24"/>
          <w:szCs w:val="24"/>
        </w:rPr>
        <w:t>Risk management in Islamic banking: Exploring financial technologies, credit scoring, and liquidity practices in the UAE</w:t>
      </w:r>
      <w:r w:rsidRPr="002E6F27">
        <w:rPr>
          <w:rFonts w:asciiTheme="majorBidi" w:hAnsiTheme="majorBidi" w:cstheme="majorBidi"/>
          <w:sz w:val="24"/>
          <w:szCs w:val="24"/>
        </w:rPr>
        <w:t xml:space="preserve"> [Doctoral dissertation, University of Cordoba]. UCOPress.</w:t>
      </w:r>
    </w:p>
    <w:p w14:paraId="1EFD791D"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U.S. Department of the Treasury. (2023). </w:t>
      </w:r>
      <w:r w:rsidRPr="002E6F27">
        <w:rPr>
          <w:rFonts w:asciiTheme="majorBidi" w:hAnsiTheme="majorBidi" w:cstheme="majorBidi"/>
          <w:i/>
          <w:iCs/>
          <w:sz w:val="24"/>
          <w:szCs w:val="24"/>
        </w:rPr>
        <w:t>Fintech and digital assets: Implications for financial stability</w:t>
      </w:r>
      <w:r w:rsidRPr="002E6F27">
        <w:rPr>
          <w:rFonts w:asciiTheme="majorBidi" w:hAnsiTheme="majorBidi" w:cstheme="majorBidi"/>
          <w:sz w:val="24"/>
          <w:szCs w:val="24"/>
        </w:rPr>
        <w:t>.</w:t>
      </w:r>
    </w:p>
    <w:p w14:paraId="7D1BFF0F"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Al Rajhi Bank. (2023). </w:t>
      </w:r>
      <w:r w:rsidRPr="002E6F27">
        <w:rPr>
          <w:rFonts w:asciiTheme="majorBidi" w:hAnsiTheme="majorBidi" w:cstheme="majorBidi"/>
          <w:i/>
          <w:iCs/>
          <w:sz w:val="24"/>
          <w:szCs w:val="24"/>
        </w:rPr>
        <w:t>Annual report 2023</w:t>
      </w:r>
      <w:r w:rsidRPr="002E6F27">
        <w:rPr>
          <w:rFonts w:asciiTheme="majorBidi" w:hAnsiTheme="majorBidi" w:cstheme="majorBidi"/>
          <w:sz w:val="24"/>
          <w:szCs w:val="24"/>
        </w:rPr>
        <w:t>. Al Rajhi Bank.</w:t>
      </w:r>
    </w:p>
    <w:p w14:paraId="3614E520" w14:textId="5C71E36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Financial Stability Board. (2023). </w:t>
      </w:r>
      <w:r w:rsidRPr="002E6F27">
        <w:rPr>
          <w:rFonts w:asciiTheme="majorBidi" w:hAnsiTheme="majorBidi" w:cstheme="majorBidi"/>
          <w:i/>
          <w:iCs/>
          <w:sz w:val="24"/>
          <w:szCs w:val="24"/>
        </w:rPr>
        <w:t>Enhancing thirdparty risk management and oversight: A toolkit for financial institutions and supervisors</w:t>
      </w:r>
      <w:r w:rsidRPr="002E6F27">
        <w:rPr>
          <w:rFonts w:asciiTheme="majorBidi" w:hAnsiTheme="majorBidi" w:cstheme="majorBidi"/>
          <w:sz w:val="24"/>
          <w:szCs w:val="24"/>
        </w:rPr>
        <w:t>.</w:t>
      </w:r>
    </w:p>
    <w:p w14:paraId="5AA6CE12" w14:textId="182DCB6D"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Organization for Economic Cooperation and Development. (2022). </w:t>
      </w:r>
      <w:r w:rsidRPr="002E6F27">
        <w:rPr>
          <w:rFonts w:asciiTheme="majorBidi" w:hAnsiTheme="majorBidi" w:cstheme="majorBidi"/>
          <w:i/>
          <w:iCs/>
          <w:sz w:val="24"/>
          <w:szCs w:val="24"/>
        </w:rPr>
        <w:t>Digital transformation in financial markets</w:t>
      </w:r>
      <w:r w:rsidRPr="002E6F27">
        <w:rPr>
          <w:rFonts w:asciiTheme="majorBidi" w:hAnsiTheme="majorBidi" w:cstheme="majorBidi"/>
          <w:sz w:val="24"/>
          <w:szCs w:val="24"/>
        </w:rPr>
        <w:t>. OECD Publishing.</w:t>
      </w:r>
    </w:p>
    <w:p w14:paraId="4C3C7363"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Bank for International Settlements. (2023, June). </w:t>
      </w:r>
      <w:r w:rsidRPr="002E6F27">
        <w:rPr>
          <w:rFonts w:asciiTheme="majorBidi" w:hAnsiTheme="majorBidi" w:cstheme="majorBidi"/>
          <w:i/>
          <w:iCs/>
          <w:sz w:val="24"/>
          <w:szCs w:val="24"/>
        </w:rPr>
        <w:t>Basel III: The liquidity coverage ratio and liquidity risk monitoring tools</w:t>
      </w:r>
      <w:r w:rsidRPr="002E6F27">
        <w:rPr>
          <w:rFonts w:asciiTheme="majorBidi" w:hAnsiTheme="majorBidi" w:cstheme="majorBidi"/>
          <w:sz w:val="24"/>
          <w:szCs w:val="24"/>
        </w:rPr>
        <w:t>.</w:t>
      </w:r>
    </w:p>
    <w:p w14:paraId="4623778E"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International Monetary Fund. (2023). </w:t>
      </w:r>
      <w:r w:rsidRPr="002E6F27">
        <w:rPr>
          <w:rFonts w:asciiTheme="majorBidi" w:hAnsiTheme="majorBidi" w:cstheme="majorBidi"/>
          <w:i/>
          <w:iCs/>
          <w:sz w:val="24"/>
          <w:szCs w:val="24"/>
        </w:rPr>
        <w:t>Global financial stability report: October 2023</w:t>
      </w:r>
      <w:r w:rsidRPr="002E6F27">
        <w:rPr>
          <w:rFonts w:asciiTheme="majorBidi" w:hAnsiTheme="majorBidi" w:cstheme="majorBidi"/>
          <w:sz w:val="24"/>
          <w:szCs w:val="24"/>
        </w:rPr>
        <w:t>.</w:t>
      </w:r>
    </w:p>
    <w:p w14:paraId="59AE4D37"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World Bank. (2024). </w:t>
      </w:r>
      <w:r w:rsidRPr="002E6F27">
        <w:rPr>
          <w:rFonts w:asciiTheme="majorBidi" w:hAnsiTheme="majorBidi" w:cstheme="majorBidi"/>
          <w:i/>
          <w:iCs/>
          <w:sz w:val="24"/>
          <w:szCs w:val="24"/>
        </w:rPr>
        <w:t>World development report 2024: Breaking the cycle of fragility</w:t>
      </w:r>
      <w:r w:rsidRPr="002E6F27">
        <w:rPr>
          <w:rFonts w:asciiTheme="majorBidi" w:hAnsiTheme="majorBidi" w:cstheme="majorBidi"/>
          <w:sz w:val="24"/>
          <w:szCs w:val="24"/>
        </w:rPr>
        <w:t>.</w:t>
      </w:r>
    </w:p>
    <w:p w14:paraId="0ED50D87"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Board of Governors of the Federal Reserve System, Federal Deposit Insurance Corporation, &amp; Office of the Comptroller of the Currency. (2024, July 25). </w:t>
      </w:r>
      <w:r w:rsidRPr="002E6F27">
        <w:rPr>
          <w:rFonts w:asciiTheme="majorBidi" w:hAnsiTheme="majorBidi" w:cstheme="majorBidi"/>
          <w:i/>
          <w:iCs/>
          <w:sz w:val="24"/>
          <w:szCs w:val="24"/>
        </w:rPr>
        <w:t>Joint statement on banks’ arrangements with third parties to deliver bank deposit products and services</w:t>
      </w:r>
      <w:r w:rsidRPr="002E6F27">
        <w:rPr>
          <w:rFonts w:asciiTheme="majorBidi" w:hAnsiTheme="majorBidi" w:cstheme="majorBidi"/>
          <w:sz w:val="24"/>
          <w:szCs w:val="24"/>
        </w:rPr>
        <w:t>.</w:t>
      </w:r>
    </w:p>
    <w:p w14:paraId="1E749FA7"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Islamic Financial Services Board. (2024). </w:t>
      </w:r>
      <w:r w:rsidRPr="002E6F27">
        <w:rPr>
          <w:rFonts w:asciiTheme="majorBidi" w:hAnsiTheme="majorBidi" w:cstheme="majorBidi"/>
          <w:i/>
          <w:iCs/>
          <w:sz w:val="24"/>
          <w:szCs w:val="24"/>
        </w:rPr>
        <w:t>Islamic financial services industry stability report 2024</w:t>
      </w:r>
      <w:r w:rsidRPr="002E6F27">
        <w:rPr>
          <w:rFonts w:asciiTheme="majorBidi" w:hAnsiTheme="majorBidi" w:cstheme="majorBidi"/>
          <w:sz w:val="24"/>
          <w:szCs w:val="24"/>
        </w:rPr>
        <w:t>. Kuala Lumpur, Malaysia.</w:t>
      </w:r>
    </w:p>
    <w:p w14:paraId="7B1D9890"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Thomas, L., &amp; Morris, D. (2021). Sales and risk alignment in financial institutions. </w:t>
      </w:r>
      <w:r w:rsidRPr="002E6F27">
        <w:rPr>
          <w:rFonts w:asciiTheme="majorBidi" w:hAnsiTheme="majorBidi" w:cstheme="majorBidi"/>
          <w:i/>
          <w:iCs/>
          <w:sz w:val="24"/>
          <w:szCs w:val="24"/>
        </w:rPr>
        <w:t>Harvard Business Review</w:t>
      </w:r>
      <w:r w:rsidRPr="002E6F27">
        <w:rPr>
          <w:rFonts w:asciiTheme="majorBidi" w:hAnsiTheme="majorBidi" w:cstheme="majorBidi"/>
          <w:sz w:val="24"/>
          <w:szCs w:val="24"/>
        </w:rPr>
        <w:t>.</w:t>
      </w:r>
    </w:p>
    <w:p w14:paraId="3972D6C8"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International Finance Corporation. (2023). </w:t>
      </w:r>
      <w:r w:rsidRPr="002E6F27">
        <w:rPr>
          <w:rFonts w:asciiTheme="majorBidi" w:hAnsiTheme="majorBidi" w:cstheme="majorBidi"/>
          <w:i/>
          <w:iCs/>
          <w:sz w:val="24"/>
          <w:szCs w:val="24"/>
        </w:rPr>
        <w:t>IFC Annual Report 2023: Investing for Impact</w:t>
      </w:r>
      <w:r w:rsidRPr="002E6F27">
        <w:rPr>
          <w:rFonts w:asciiTheme="majorBidi" w:hAnsiTheme="majorBidi" w:cstheme="majorBidi"/>
          <w:sz w:val="24"/>
          <w:szCs w:val="24"/>
        </w:rPr>
        <w:t>. World Bank Group.</w:t>
      </w:r>
    </w:p>
    <w:p w14:paraId="05A683E9" w14:textId="77777777" w:rsidR="00B4369D" w:rsidRPr="002E6F27" w:rsidRDefault="00B4369D" w:rsidP="002E6F27">
      <w:pPr>
        <w:bidi w:val="0"/>
        <w:spacing w:line="360" w:lineRule="auto"/>
        <w:ind w:left="567" w:hanging="567"/>
        <w:jc w:val="both"/>
        <w:rPr>
          <w:rFonts w:asciiTheme="majorBidi" w:hAnsiTheme="majorBidi" w:cstheme="majorBidi"/>
          <w:sz w:val="24"/>
          <w:szCs w:val="24"/>
        </w:rPr>
      </w:pPr>
      <w:r w:rsidRPr="002E6F27">
        <w:rPr>
          <w:rFonts w:asciiTheme="majorBidi" w:hAnsiTheme="majorBidi" w:cstheme="majorBidi"/>
          <w:sz w:val="24"/>
          <w:szCs w:val="24"/>
        </w:rPr>
        <w:t xml:space="preserve">Saudi Central Bank (SAMA). (2023). </w:t>
      </w:r>
      <w:r w:rsidRPr="002E6F27">
        <w:rPr>
          <w:rFonts w:asciiTheme="majorBidi" w:hAnsiTheme="majorBidi" w:cstheme="majorBidi"/>
          <w:i/>
          <w:iCs/>
          <w:sz w:val="24"/>
          <w:szCs w:val="24"/>
        </w:rPr>
        <w:t>Financial Stability Report 2023</w:t>
      </w:r>
      <w:r w:rsidRPr="002E6F27">
        <w:rPr>
          <w:rFonts w:asciiTheme="majorBidi" w:hAnsiTheme="majorBidi" w:cstheme="majorBidi"/>
          <w:sz w:val="24"/>
          <w:szCs w:val="24"/>
        </w:rPr>
        <w:t>. Riyadh, Saudi Arabia.</w:t>
      </w:r>
    </w:p>
    <w:p w14:paraId="2EFC1086"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Wettergren, J. F. (2015). </w:t>
      </w:r>
      <w:r w:rsidRPr="002E6F27">
        <w:rPr>
          <w:rFonts w:ascii="Times New Roman" w:eastAsia="Times New Roman" w:hAnsi="Times New Roman" w:cs="Times New Roman"/>
          <w:i/>
          <w:iCs/>
          <w:kern w:val="0"/>
          <w:sz w:val="24"/>
          <w:szCs w:val="24"/>
          <w14:ligatures w14:val="none"/>
        </w:rPr>
        <w:t>External assessment of Norges Bank’s work on financial stability</w:t>
      </w:r>
      <w:r w:rsidRPr="002E6F27">
        <w:rPr>
          <w:rFonts w:ascii="Times New Roman" w:eastAsia="Times New Roman" w:hAnsi="Times New Roman" w:cs="Times New Roman"/>
          <w:kern w:val="0"/>
          <w:sz w:val="24"/>
          <w:szCs w:val="24"/>
          <w14:ligatures w14:val="none"/>
        </w:rPr>
        <w:t xml:space="preserve">. Norges Bank. </w:t>
      </w:r>
    </w:p>
    <w:p w14:paraId="4260A5CD"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Basel Committee on Banking Supervision. (2010). </w:t>
      </w:r>
      <w:r w:rsidRPr="002E6F27">
        <w:rPr>
          <w:rFonts w:ascii="Times New Roman" w:eastAsia="Times New Roman" w:hAnsi="Times New Roman" w:cs="Times New Roman"/>
          <w:i/>
          <w:iCs/>
          <w:kern w:val="0"/>
          <w:sz w:val="24"/>
          <w:szCs w:val="24"/>
          <w14:ligatures w14:val="none"/>
        </w:rPr>
        <w:t>Range of methodologies for risk and performance alignment of remuneration</w:t>
      </w:r>
      <w:r w:rsidRPr="002E6F27">
        <w:rPr>
          <w:rFonts w:ascii="Times New Roman" w:eastAsia="Times New Roman" w:hAnsi="Times New Roman" w:cs="Times New Roman"/>
          <w:kern w:val="0"/>
          <w:sz w:val="24"/>
          <w:szCs w:val="24"/>
          <w14:ligatures w14:val="none"/>
        </w:rPr>
        <w:t>. Bank for International Settlements.</w:t>
      </w:r>
    </w:p>
    <w:p w14:paraId="10C59333"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Office of the Comptroller of the Currency. (2021). </w:t>
      </w:r>
      <w:r w:rsidRPr="002E6F27">
        <w:rPr>
          <w:rFonts w:ascii="Times New Roman" w:eastAsia="Times New Roman" w:hAnsi="Times New Roman" w:cs="Times New Roman"/>
          <w:i/>
          <w:iCs/>
          <w:kern w:val="0"/>
          <w:sz w:val="24"/>
          <w:szCs w:val="24"/>
          <w14:ligatures w14:val="none"/>
        </w:rPr>
        <w:t>Comptroller’s Handbook: Model risk management</w:t>
      </w:r>
      <w:r w:rsidRPr="002E6F27">
        <w:rPr>
          <w:rFonts w:ascii="Times New Roman" w:eastAsia="Times New Roman" w:hAnsi="Times New Roman" w:cs="Times New Roman"/>
          <w:kern w:val="0"/>
          <w:sz w:val="24"/>
          <w:szCs w:val="24"/>
          <w14:ligatures w14:val="none"/>
        </w:rPr>
        <w:t>. U.S. Department of the Treasury.</w:t>
      </w:r>
    </w:p>
    <w:p w14:paraId="06ACCA52"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Central Bank of Kenya. (2013). </w:t>
      </w:r>
      <w:r w:rsidRPr="002E6F27">
        <w:rPr>
          <w:rFonts w:ascii="Times New Roman" w:eastAsia="Times New Roman" w:hAnsi="Times New Roman" w:cs="Times New Roman"/>
          <w:i/>
          <w:iCs/>
          <w:kern w:val="0"/>
          <w:sz w:val="24"/>
          <w:szCs w:val="24"/>
          <w14:ligatures w14:val="none"/>
        </w:rPr>
        <w:t>Risk management guidelines</w:t>
      </w:r>
      <w:r w:rsidRPr="002E6F27">
        <w:rPr>
          <w:rFonts w:ascii="Times New Roman" w:eastAsia="Times New Roman" w:hAnsi="Times New Roman" w:cs="Times New Roman"/>
          <w:kern w:val="0"/>
          <w:sz w:val="24"/>
          <w:szCs w:val="24"/>
          <w14:ligatures w14:val="none"/>
        </w:rPr>
        <w:t>. Central Bank of Kenya.</w:t>
      </w:r>
    </w:p>
    <w:p w14:paraId="2DDA6782"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Boon-itt, S. (2011). Achieving product quality performance: The roles of supply chain integration and information technology. </w:t>
      </w:r>
      <w:r w:rsidRPr="002E6F27">
        <w:rPr>
          <w:rFonts w:ascii="Times New Roman" w:eastAsia="Times New Roman" w:hAnsi="Times New Roman" w:cs="Times New Roman"/>
          <w:i/>
          <w:iCs/>
          <w:kern w:val="0"/>
          <w:sz w:val="24"/>
          <w:szCs w:val="24"/>
          <w14:ligatures w14:val="none"/>
        </w:rPr>
        <w:t>International Journal of Innovation, Management and Technology, 2</w:t>
      </w:r>
      <w:r w:rsidRPr="002E6F27">
        <w:rPr>
          <w:rFonts w:ascii="Times New Roman" w:eastAsia="Times New Roman" w:hAnsi="Times New Roman" w:cs="Times New Roman"/>
          <w:kern w:val="0"/>
          <w:sz w:val="24"/>
          <w:szCs w:val="24"/>
          <w14:ligatures w14:val="none"/>
        </w:rPr>
        <w:t xml:space="preserve">(5), 373–379. </w:t>
      </w:r>
    </w:p>
    <w:p w14:paraId="589C0D3C"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Ekedahl, Z., Lindholm, F., &amp; Yilmaz, F. (2024). </w:t>
      </w:r>
      <w:r w:rsidRPr="002E6F27">
        <w:rPr>
          <w:rFonts w:ascii="Times New Roman" w:eastAsia="Times New Roman" w:hAnsi="Times New Roman" w:cs="Times New Roman"/>
          <w:i/>
          <w:iCs/>
          <w:kern w:val="0"/>
          <w:sz w:val="24"/>
          <w:szCs w:val="24"/>
          <w14:ligatures w14:val="none"/>
        </w:rPr>
        <w:t>Navigating success factors in organizational integration and synergy creation in cross-border mergers &amp; acquisitions: A systematic literature review</w:t>
      </w:r>
      <w:r w:rsidRPr="002E6F27">
        <w:rPr>
          <w:rFonts w:ascii="Times New Roman" w:eastAsia="Times New Roman" w:hAnsi="Times New Roman" w:cs="Times New Roman"/>
          <w:kern w:val="0"/>
          <w:sz w:val="24"/>
          <w:szCs w:val="24"/>
          <w14:ligatures w14:val="none"/>
        </w:rPr>
        <w:t xml:space="preserve"> (Bachelor’s thesis). Örebro School of Business. </w:t>
      </w:r>
    </w:p>
    <w:p w14:paraId="2F8CFBCE"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Dietrich, P. (2007). </w:t>
      </w:r>
      <w:r w:rsidRPr="002E6F27">
        <w:rPr>
          <w:rFonts w:ascii="Times New Roman" w:eastAsia="Times New Roman" w:hAnsi="Times New Roman" w:cs="Times New Roman"/>
          <w:i/>
          <w:iCs/>
          <w:kern w:val="0"/>
          <w:sz w:val="24"/>
          <w:szCs w:val="24"/>
          <w14:ligatures w14:val="none"/>
        </w:rPr>
        <w:t>Coordination strategies in organizational development programs</w:t>
      </w:r>
      <w:r w:rsidRPr="002E6F27">
        <w:rPr>
          <w:rFonts w:ascii="Times New Roman" w:eastAsia="Times New Roman" w:hAnsi="Times New Roman" w:cs="Times New Roman"/>
          <w:kern w:val="0"/>
          <w:sz w:val="24"/>
          <w:szCs w:val="24"/>
          <w14:ligatures w14:val="none"/>
        </w:rPr>
        <w:t xml:space="preserve"> (Doctoral dissertation, Helsinki University of Technology). Helsinki University of Technology. </w:t>
      </w:r>
    </w:p>
    <w:p w14:paraId="24CF06C0"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Al Hammadi, M. A. H., Jiménez-Díaz-Roldán, J. A., Mohamed, O. A. M., Ishfaq, A., &amp; Valdés-Romero, Á. (2024). Islamic financing and risk management: A systematic literature review. </w:t>
      </w:r>
      <w:r w:rsidRPr="002E6F27">
        <w:rPr>
          <w:rFonts w:ascii="Times New Roman" w:eastAsia="Times New Roman" w:hAnsi="Times New Roman" w:cs="Times New Roman"/>
          <w:i/>
          <w:iCs/>
          <w:kern w:val="0"/>
          <w:sz w:val="24"/>
          <w:szCs w:val="24"/>
          <w14:ligatures w14:val="none"/>
        </w:rPr>
        <w:t>Risks, 12</w:t>
      </w:r>
      <w:r w:rsidRPr="002E6F27">
        <w:rPr>
          <w:rFonts w:ascii="Times New Roman" w:eastAsia="Times New Roman" w:hAnsi="Times New Roman" w:cs="Times New Roman"/>
          <w:kern w:val="0"/>
          <w:sz w:val="24"/>
          <w:szCs w:val="24"/>
          <w14:ligatures w14:val="none"/>
        </w:rPr>
        <w:t>(1), 17.</w:t>
      </w:r>
    </w:p>
    <w:p w14:paraId="3542B16B"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Risk management practices in Islamic banks in Pakistan. (2024). </w:t>
      </w:r>
      <w:r w:rsidRPr="002E6F27">
        <w:rPr>
          <w:rFonts w:ascii="Times New Roman" w:eastAsia="Times New Roman" w:hAnsi="Times New Roman" w:cs="Times New Roman"/>
          <w:i/>
          <w:iCs/>
          <w:kern w:val="0"/>
          <w:sz w:val="24"/>
          <w:szCs w:val="24"/>
          <w14:ligatures w14:val="none"/>
        </w:rPr>
        <w:t>Journal of Islamic Business &amp; Management, 14</w:t>
      </w:r>
      <w:r w:rsidRPr="002E6F27">
        <w:rPr>
          <w:rFonts w:ascii="Times New Roman" w:eastAsia="Times New Roman" w:hAnsi="Times New Roman" w:cs="Times New Roman"/>
          <w:kern w:val="0"/>
          <w:sz w:val="24"/>
          <w:szCs w:val="24"/>
          <w14:ligatures w14:val="none"/>
        </w:rPr>
        <w:t>(1), 33–48.</w:t>
      </w:r>
    </w:p>
    <w:p w14:paraId="5A9D1C27" w14:textId="77777777" w:rsidR="006620DA" w:rsidRPr="002E6F27" w:rsidRDefault="006620DA"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The role of internal audit in corporate governance and risk management. (2024). </w:t>
      </w:r>
      <w:r w:rsidRPr="002E6F27">
        <w:rPr>
          <w:rFonts w:ascii="Times New Roman" w:eastAsia="Times New Roman" w:hAnsi="Times New Roman" w:cs="Times New Roman"/>
          <w:i/>
          <w:iCs/>
          <w:kern w:val="0"/>
          <w:sz w:val="24"/>
          <w:szCs w:val="24"/>
          <w14:ligatures w14:val="none"/>
        </w:rPr>
        <w:t>International Journal for Multidisciplinary Research (IJFMR), 6</w:t>
      </w:r>
      <w:r w:rsidRPr="002E6F27">
        <w:rPr>
          <w:rFonts w:ascii="Times New Roman" w:eastAsia="Times New Roman" w:hAnsi="Times New Roman" w:cs="Times New Roman"/>
          <w:kern w:val="0"/>
          <w:sz w:val="24"/>
          <w:szCs w:val="24"/>
          <w14:ligatures w14:val="none"/>
        </w:rPr>
        <w:t>(5), 1–12.</w:t>
      </w:r>
    </w:p>
    <w:p w14:paraId="0E7A012D" w14:textId="225EDAC9" w:rsidR="006620DA" w:rsidRPr="002E6F27" w:rsidRDefault="006620DA" w:rsidP="002E6F27">
      <w:pPr>
        <w:pStyle w:val="a6"/>
        <w:ind w:left="567" w:hanging="567"/>
        <w:jc w:val="both"/>
        <w:rPr>
          <w:rStyle w:val="relative"/>
        </w:rPr>
      </w:pPr>
      <w:r w:rsidRPr="002E6F27">
        <w:t xml:space="preserve">European Bank for Reconstruction and Development. (2025). </w:t>
      </w:r>
      <w:r w:rsidRPr="002E6F27">
        <w:rPr>
          <w:rStyle w:val="ab"/>
        </w:rPr>
        <w:t>Climate transition of the financial sector 2025</w:t>
      </w:r>
      <w:r w:rsidRPr="002E6F27">
        <w:t xml:space="preserve">. EBRD. </w:t>
      </w:r>
    </w:p>
    <w:p w14:paraId="06C06157" w14:textId="2BFC1D86" w:rsidR="006620DA" w:rsidRPr="002E6F27" w:rsidRDefault="006620DA" w:rsidP="002E6F27">
      <w:pPr>
        <w:pStyle w:val="a6"/>
        <w:ind w:left="567" w:hanging="567"/>
        <w:jc w:val="both"/>
        <w:rPr>
          <w:rStyle w:val="relative"/>
        </w:rPr>
      </w:pPr>
      <w:r w:rsidRPr="002E6F27">
        <w:t xml:space="preserve">van Greuning, H., &amp; Iqbal, Z. (2008). </w:t>
      </w:r>
      <w:r w:rsidRPr="002E6F27">
        <w:rPr>
          <w:rStyle w:val="ab"/>
        </w:rPr>
        <w:t>Risk analysis for Islamic banks</w:t>
      </w:r>
      <w:r w:rsidRPr="002E6F27">
        <w:t xml:space="preserve">. Washington, DC: The World Bank. https://doi.org/10.1596/978-0-8213-7141-1 </w:t>
      </w:r>
    </w:p>
    <w:p w14:paraId="7AA7B7B6" w14:textId="0205629E" w:rsidR="006620DA" w:rsidRPr="002E6F27" w:rsidRDefault="006620DA" w:rsidP="002E6F27">
      <w:pPr>
        <w:pStyle w:val="a6"/>
        <w:ind w:left="567" w:hanging="567"/>
        <w:jc w:val="both"/>
      </w:pPr>
      <w:r w:rsidRPr="002E6F27">
        <w:t xml:space="preserve">van Greuning, H., &amp; Brajovic Bratanovic, S. (2020). </w:t>
      </w:r>
      <w:r w:rsidRPr="002E6F27">
        <w:rPr>
          <w:rStyle w:val="ab"/>
        </w:rPr>
        <w:t>Analyzing banking risk: A framework for assessing corporate governance and risk management</w:t>
      </w:r>
      <w:r w:rsidRPr="002E6F27">
        <w:t xml:space="preserve"> (4th ed.). Washington, DC: The World Bank. https://doi.org/10.1596/978-1-4648-1446-4 </w:t>
      </w:r>
    </w:p>
    <w:p w14:paraId="2C50DB80" w14:textId="77777777" w:rsidR="005811D8" w:rsidRPr="002E6F27" w:rsidRDefault="005811D8" w:rsidP="002E6F27">
      <w:pPr>
        <w:pStyle w:val="a6"/>
        <w:ind w:left="567" w:hanging="567"/>
        <w:jc w:val="both"/>
      </w:pPr>
      <w:r w:rsidRPr="002E6F27">
        <w:t xml:space="preserve">Egyptian Banking Institute. (2024, January). </w:t>
      </w:r>
      <w:r w:rsidRPr="002E6F27">
        <w:rPr>
          <w:rStyle w:val="ab"/>
        </w:rPr>
        <w:t>Early warning signals for distressed SMEs</w:t>
      </w:r>
      <w:r w:rsidRPr="002E6F27">
        <w:t xml:space="preserve"> [Training programme handbook]. Cairo, Egypt: Egyptian Banking Institute.</w:t>
      </w:r>
    </w:p>
    <w:p w14:paraId="49DD796F" w14:textId="237F2A93" w:rsidR="005811D8" w:rsidRPr="002E6F27" w:rsidRDefault="005811D8" w:rsidP="002E6F27">
      <w:pPr>
        <w:pStyle w:val="a6"/>
        <w:ind w:left="567" w:hanging="567"/>
        <w:jc w:val="both"/>
        <w:rPr>
          <w:rStyle w:val="relative"/>
        </w:rPr>
      </w:pPr>
      <w:r w:rsidRPr="002E6F27">
        <w:t xml:space="preserve">Financial Stability Board. (2019, December 9). </w:t>
      </w:r>
      <w:r w:rsidRPr="002E6F27">
        <w:rPr>
          <w:rStyle w:val="ab"/>
        </w:rPr>
        <w:t>Third-party dependencies in cloud services: Considerations on financial stability implications</w:t>
      </w:r>
      <w:r w:rsidRPr="002E6F27">
        <w:t xml:space="preserve">. Basel, Switzerland: FSB. </w:t>
      </w:r>
    </w:p>
    <w:p w14:paraId="1D7B6928" w14:textId="28A38056" w:rsidR="005811D8" w:rsidRPr="002E6F27" w:rsidRDefault="005811D8" w:rsidP="002E6F27">
      <w:pPr>
        <w:pStyle w:val="a6"/>
        <w:ind w:left="567" w:hanging="567"/>
        <w:jc w:val="both"/>
        <w:rPr>
          <w:rStyle w:val="relative"/>
        </w:rPr>
      </w:pPr>
      <w:r w:rsidRPr="002E6F27">
        <w:t xml:space="preserve">Basel Committee on Banking Supervision. (2013, January). </w:t>
      </w:r>
      <w:r w:rsidRPr="002E6F27">
        <w:rPr>
          <w:rStyle w:val="ab"/>
        </w:rPr>
        <w:t>Basel III: The Liquidity Coverage Ratio and liquidity risk monitoring tools</w:t>
      </w:r>
      <w:r w:rsidRPr="002E6F27">
        <w:t xml:space="preserve">. Bank for International </w:t>
      </w:r>
    </w:p>
    <w:p w14:paraId="52A822A3" w14:textId="6091203E" w:rsidR="005811D8" w:rsidRPr="002E6F27" w:rsidRDefault="005811D8" w:rsidP="002E6F27">
      <w:pPr>
        <w:pStyle w:val="a6"/>
        <w:ind w:left="567" w:hanging="567"/>
        <w:jc w:val="both"/>
        <w:rPr>
          <w:rStyle w:val="relative"/>
        </w:rPr>
      </w:pPr>
      <w:r w:rsidRPr="002E6F27">
        <w:t xml:space="preserve">Sulub, Y. A., &amp; Haron, R. (2024). Shariah governance for Islamic financial institutions: Lessons from Malaysia. </w:t>
      </w:r>
      <w:r w:rsidRPr="002E6F27">
        <w:rPr>
          <w:rStyle w:val="ab"/>
        </w:rPr>
        <w:t>South East Asia Journal of Contemporary Business, Economics and Law, 33</w:t>
      </w:r>
      <w:r w:rsidRPr="002E6F27">
        <w:t xml:space="preserve">(1), 75–86. </w:t>
      </w:r>
    </w:p>
    <w:p w14:paraId="65B92253" w14:textId="3A8ED85E" w:rsidR="005811D8" w:rsidRPr="002E6F27" w:rsidRDefault="005811D8" w:rsidP="002E6F27">
      <w:pPr>
        <w:pStyle w:val="a6"/>
        <w:ind w:left="567" w:hanging="567"/>
        <w:jc w:val="both"/>
        <w:rPr>
          <w:rStyle w:val="relative"/>
        </w:rPr>
      </w:pPr>
      <w:r w:rsidRPr="002E6F27">
        <w:t xml:space="preserve">Basel Committee on Banking Supervision. (2024, July). </w:t>
      </w:r>
      <w:r w:rsidRPr="002E6F27">
        <w:rPr>
          <w:rStyle w:val="ab"/>
        </w:rPr>
        <w:t>Principles for the sound management of third-party risk</w:t>
      </w:r>
      <w:r w:rsidRPr="002E6F27">
        <w:t xml:space="preserve"> (Consultative document). Bank for International Settlements. </w:t>
      </w:r>
    </w:p>
    <w:p w14:paraId="216B7964" w14:textId="150F72EE" w:rsidR="005811D8" w:rsidRPr="002E6F27" w:rsidRDefault="005811D8" w:rsidP="002E6F27">
      <w:pPr>
        <w:pStyle w:val="a6"/>
        <w:ind w:left="567" w:hanging="567"/>
        <w:jc w:val="both"/>
        <w:rPr>
          <w:rStyle w:val="relative"/>
        </w:rPr>
      </w:pPr>
      <w:r w:rsidRPr="002E6F27">
        <w:t xml:space="preserve">Shrestha, S., Parajuli, S., &amp; Paudel, U. R. (2019). Communication in banking sector: A systematic review. </w:t>
      </w:r>
      <w:r w:rsidRPr="002E6F27">
        <w:rPr>
          <w:rStyle w:val="ab"/>
        </w:rPr>
        <w:t>Quest Journal of Management and Social Sciences, 1</w:t>
      </w:r>
      <w:r w:rsidRPr="002E6F27">
        <w:t xml:space="preserve">(2), 272–284. https://doi.org/10.3126/qjmss.v1i2.27445 </w:t>
      </w:r>
    </w:p>
    <w:p w14:paraId="54EC1466" w14:textId="2A5782CD" w:rsidR="005811D8" w:rsidRPr="002E6F27" w:rsidRDefault="005811D8" w:rsidP="002E6F27">
      <w:pPr>
        <w:pStyle w:val="a6"/>
        <w:ind w:left="567" w:hanging="567"/>
        <w:jc w:val="both"/>
        <w:rPr>
          <w:rStyle w:val="relative"/>
        </w:rPr>
      </w:pPr>
      <w:r w:rsidRPr="002E6F27">
        <w:t xml:space="preserve">Abdel Megeid, N. S. (2017). Liquidity risk management: Conventional versus Islamic banking system in Egypt. </w:t>
      </w:r>
      <w:r w:rsidRPr="002E6F27">
        <w:rPr>
          <w:rStyle w:val="ab"/>
        </w:rPr>
        <w:t>Journal of Islamic Accounting and Business Research, 8</w:t>
      </w:r>
      <w:r w:rsidRPr="002E6F27">
        <w:t xml:space="preserve">(1), 100–128. </w:t>
      </w:r>
    </w:p>
    <w:p w14:paraId="072E3E60" w14:textId="539B8959" w:rsidR="005811D8" w:rsidRPr="002E6F27" w:rsidRDefault="005811D8" w:rsidP="002E6F27">
      <w:pPr>
        <w:pStyle w:val="a6"/>
        <w:ind w:left="567" w:hanging="567"/>
        <w:jc w:val="both"/>
        <w:rPr>
          <w:rStyle w:val="relative"/>
        </w:rPr>
      </w:pPr>
      <w:r w:rsidRPr="002E6F27">
        <w:t xml:space="preserve">Keshavarz, A. R., &amp; Gölgeci, İ. (2023). The value of the sales function: A multilevel examination of the effect of strategic marketing ambidexterity and industry contingencies. </w:t>
      </w:r>
      <w:r w:rsidRPr="002E6F27">
        <w:rPr>
          <w:rStyle w:val="ab"/>
        </w:rPr>
        <w:t>Journal of Business Research, 156</w:t>
      </w:r>
      <w:r w:rsidRPr="002E6F27">
        <w:t xml:space="preserve">, 113545. </w:t>
      </w:r>
    </w:p>
    <w:p w14:paraId="0027D2F1" w14:textId="3BC4A925" w:rsidR="005811D8" w:rsidRPr="002E6F27" w:rsidRDefault="005811D8" w:rsidP="002E6F27">
      <w:pPr>
        <w:pStyle w:val="a6"/>
        <w:ind w:left="567" w:hanging="567"/>
        <w:jc w:val="both"/>
        <w:rPr>
          <w:rStyle w:val="relative"/>
        </w:rPr>
      </w:pPr>
      <w:r w:rsidRPr="002E6F27">
        <w:t xml:space="preserve">Wilson, A., &amp; Smyth, B. (2024, April). </w:t>
      </w:r>
      <w:r w:rsidRPr="002E6F27">
        <w:rPr>
          <w:rStyle w:val="ab"/>
        </w:rPr>
        <w:t>The road to banking resiliency and adaptation: Early warning systems and scenario analysis</w:t>
      </w:r>
      <w:r w:rsidRPr="002E6F27">
        <w:t xml:space="preserve"> (White paper). Moody’s Analytics. </w:t>
      </w:r>
    </w:p>
    <w:p w14:paraId="706812D5" w14:textId="0299D320" w:rsidR="005811D8" w:rsidRPr="002E6F27" w:rsidRDefault="005811D8" w:rsidP="002E6F27">
      <w:pPr>
        <w:pStyle w:val="a6"/>
        <w:ind w:left="567" w:hanging="567"/>
        <w:jc w:val="both"/>
        <w:rPr>
          <w:rStyle w:val="relative"/>
        </w:rPr>
      </w:pPr>
      <w:r w:rsidRPr="002E6F27">
        <w:t xml:space="preserve">Financial Stability Board. (2023, June 22). </w:t>
      </w:r>
      <w:r w:rsidRPr="002E6F27">
        <w:rPr>
          <w:rStyle w:val="ab"/>
        </w:rPr>
        <w:t>Enhancing third-party risk management and oversight: A toolkit for financial institutions and financial authorities</w:t>
      </w:r>
      <w:r w:rsidRPr="002E6F27">
        <w:t xml:space="preserve"> (Consultative document). FSB. </w:t>
      </w:r>
    </w:p>
    <w:p w14:paraId="2D023F3A" w14:textId="290CD11B" w:rsidR="00062A06" w:rsidRPr="002E6F27" w:rsidRDefault="00062A06" w:rsidP="002E6F27">
      <w:pPr>
        <w:pStyle w:val="a6"/>
        <w:ind w:left="567" w:hanging="567"/>
        <w:jc w:val="both"/>
        <w:rPr>
          <w:rStyle w:val="relative"/>
        </w:rPr>
      </w:pPr>
      <w:r w:rsidRPr="002E6F27">
        <w:t xml:space="preserve">Lang, J. H., Peltonen, T. A., &amp; Sarlin, P. (2018, October). </w:t>
      </w:r>
      <w:r w:rsidRPr="002E6F27">
        <w:rPr>
          <w:rStyle w:val="ab"/>
        </w:rPr>
        <w:t>A framework for early-warning modeling with an application to banks</w:t>
      </w:r>
      <w:r w:rsidRPr="002E6F27">
        <w:t xml:space="preserve"> (ECB Working Paper Series No. 2182). European Central Bank. </w:t>
      </w:r>
    </w:p>
    <w:p w14:paraId="21755B78" w14:textId="2C613A78" w:rsidR="00062A06" w:rsidRPr="002E6F27" w:rsidRDefault="00062A06" w:rsidP="002E6F27">
      <w:pPr>
        <w:pStyle w:val="a6"/>
        <w:ind w:left="567" w:hanging="567"/>
        <w:jc w:val="both"/>
        <w:rPr>
          <w:rStyle w:val="relative"/>
        </w:rPr>
      </w:pPr>
      <w:r w:rsidRPr="002E6F27">
        <w:t xml:space="preserve">International Monetary Fund. (2023, October). </w:t>
      </w:r>
      <w:r w:rsidRPr="002E6F27">
        <w:rPr>
          <w:rStyle w:val="ab"/>
        </w:rPr>
        <w:t>Global Financial Stability Report: Soft landing or abrupt awakening?</w:t>
      </w:r>
      <w:r w:rsidRPr="002E6F27">
        <w:t xml:space="preserve"> (Chapter 1). IMF. </w:t>
      </w:r>
    </w:p>
    <w:p w14:paraId="5567FD55" w14:textId="6C69A80F" w:rsidR="00062A06" w:rsidRPr="002E6F27" w:rsidRDefault="00062A06" w:rsidP="002E6F27">
      <w:pPr>
        <w:pStyle w:val="a6"/>
        <w:ind w:left="567" w:hanging="567"/>
        <w:jc w:val="both"/>
        <w:rPr>
          <w:rStyle w:val="relative"/>
        </w:rPr>
      </w:pPr>
      <w:r w:rsidRPr="002E6F27">
        <w:t xml:space="preserve">KPMG Central Services. (2025). </w:t>
      </w:r>
      <w:r w:rsidRPr="002E6F27">
        <w:rPr>
          <w:rStyle w:val="ab"/>
        </w:rPr>
        <w:t>Defining roles and responsibilities across the first, second, and third lines with limited resources</w:t>
      </w:r>
      <w:r w:rsidRPr="002E6F27">
        <w:t xml:space="preserve">. KPMG. </w:t>
      </w:r>
    </w:p>
    <w:p w14:paraId="5B3FB84F" w14:textId="02F78302" w:rsidR="00062A06" w:rsidRPr="002E6F27" w:rsidRDefault="00062A06" w:rsidP="002E6F27">
      <w:pPr>
        <w:pStyle w:val="a6"/>
        <w:ind w:left="567" w:hanging="567"/>
        <w:jc w:val="both"/>
        <w:rPr>
          <w:rStyle w:val="relative"/>
        </w:rPr>
      </w:pPr>
      <w:r w:rsidRPr="002E6F27">
        <w:t xml:space="preserve">State Bank of Pakistan. (2024). </w:t>
      </w:r>
      <w:r w:rsidRPr="002E6F27">
        <w:rPr>
          <w:rStyle w:val="ab"/>
        </w:rPr>
        <w:t>Shariah Governance Framework for Islamic Banking Institutions</w:t>
      </w:r>
      <w:r w:rsidRPr="002E6F27">
        <w:t xml:space="preserve"> (effective January 1, 2025). Islamic Finance Policy Department, SBP. </w:t>
      </w:r>
    </w:p>
    <w:p w14:paraId="1993D435" w14:textId="343F7EFD" w:rsidR="00062A06" w:rsidRPr="002E6F27" w:rsidRDefault="00062A06" w:rsidP="002E6F27">
      <w:pPr>
        <w:pStyle w:val="a6"/>
        <w:ind w:left="567" w:hanging="567"/>
        <w:jc w:val="both"/>
        <w:rPr>
          <w:rStyle w:val="relative"/>
        </w:rPr>
      </w:pPr>
      <w:r w:rsidRPr="002E6F27">
        <w:t xml:space="preserve">Habel, J., Alavi, S., &amp; Heinitz, N. (2023). A theory of predictive sales analytics adoption. </w:t>
      </w:r>
      <w:r w:rsidRPr="002E6F27">
        <w:rPr>
          <w:rStyle w:val="ab"/>
        </w:rPr>
        <w:t>AMS Review, 13</w:t>
      </w:r>
      <w:r w:rsidRPr="002E6F27">
        <w:t xml:space="preserve">(1), 34–54. </w:t>
      </w:r>
    </w:p>
    <w:p w14:paraId="5740AD99" w14:textId="77777777" w:rsidR="00062A06" w:rsidRPr="002E6F27" w:rsidRDefault="00062A06" w:rsidP="002E6F27">
      <w:pPr>
        <w:pStyle w:val="not-prose"/>
        <w:ind w:left="567" w:hanging="567"/>
        <w:jc w:val="both"/>
      </w:pPr>
      <w:r w:rsidRPr="002E6F27">
        <w:t>IFSB-Stability-Report-2024-8</w:t>
      </w:r>
    </w:p>
    <w:p w14:paraId="6750B732" w14:textId="6A8CBD1A" w:rsidR="00062A06" w:rsidRPr="002E6F27" w:rsidRDefault="00062A06" w:rsidP="002E6F27">
      <w:pPr>
        <w:pStyle w:val="a6"/>
        <w:ind w:left="567" w:hanging="567"/>
        <w:jc w:val="both"/>
        <w:rPr>
          <w:rStyle w:val="relative"/>
        </w:rPr>
      </w:pPr>
      <w:r w:rsidRPr="002E6F27">
        <w:t xml:space="preserve">Islamic Financial Services Board. (2024, September). </w:t>
      </w:r>
      <w:r w:rsidRPr="002E6F27">
        <w:rPr>
          <w:rStyle w:val="ab"/>
        </w:rPr>
        <w:t>Islamic Financial Services Industry Stability Report</w:t>
      </w:r>
      <w:r w:rsidRPr="002E6F27">
        <w:t xml:space="preserve">. Kuala Lumpur, Malaysia: IFSB. </w:t>
      </w:r>
    </w:p>
    <w:p w14:paraId="3AC3FC6F" w14:textId="0AF816BB" w:rsidR="00062A06" w:rsidRPr="002E6F27" w:rsidRDefault="00062A06" w:rsidP="002E6F27">
      <w:pPr>
        <w:pStyle w:val="a6"/>
        <w:ind w:left="567" w:hanging="567"/>
        <w:jc w:val="both"/>
        <w:rPr>
          <w:rStyle w:val="relative"/>
        </w:rPr>
      </w:pPr>
      <w:r w:rsidRPr="002E6F27">
        <w:t xml:space="preserve">van Greuning, H., &amp; Iqbal, Z. (2008). </w:t>
      </w:r>
      <w:r w:rsidRPr="002E6F27">
        <w:rPr>
          <w:rStyle w:val="ab"/>
        </w:rPr>
        <w:t>Risk analysis for Islamic banks</w:t>
      </w:r>
      <w:r w:rsidRPr="002E6F27">
        <w:t xml:space="preserve">. Washington, DC: The World Bank. </w:t>
      </w:r>
    </w:p>
    <w:p w14:paraId="2C327B0C" w14:textId="358358F2" w:rsidR="00062A06" w:rsidRPr="002E6F27" w:rsidRDefault="00062A06" w:rsidP="002E6F27">
      <w:pPr>
        <w:pStyle w:val="a6"/>
        <w:ind w:left="567" w:hanging="567"/>
        <w:jc w:val="both"/>
        <w:rPr>
          <w:rStyle w:val="relative"/>
        </w:rPr>
      </w:pPr>
      <w:r w:rsidRPr="002E6F27">
        <w:t xml:space="preserve">Riaz, B., &amp; Younas, Z. (2024). </w:t>
      </w:r>
      <w:r w:rsidRPr="002E6F27">
        <w:rPr>
          <w:rStyle w:val="ab"/>
        </w:rPr>
        <w:t>Investigating the impact of DORA regulations on third-party risk management in the Swedish financial sector</w:t>
      </w:r>
      <w:r w:rsidRPr="002E6F27">
        <w:t xml:space="preserve"> (Master’s thesis). Department of Computer and Systems Sciences, Stockholm University. </w:t>
      </w:r>
    </w:p>
    <w:p w14:paraId="55CAA1BF" w14:textId="58D9C5BA" w:rsidR="00062A06" w:rsidRPr="002E6F27" w:rsidRDefault="00062A06" w:rsidP="002E6F27">
      <w:pPr>
        <w:pStyle w:val="a6"/>
        <w:ind w:left="567" w:hanging="567"/>
        <w:jc w:val="both"/>
        <w:rPr>
          <w:rStyle w:val="relative"/>
        </w:rPr>
      </w:pPr>
      <w:r w:rsidRPr="002E6F27">
        <w:t xml:space="preserve">McKinsey &amp; Company. (2020, June). </w:t>
      </w:r>
      <w:r w:rsidRPr="002E6F27">
        <w:rPr>
          <w:rStyle w:val="ab"/>
        </w:rPr>
        <w:t>McKinsey on Risk</w:t>
      </w:r>
      <w:r w:rsidRPr="002E6F27">
        <w:t xml:space="preserve"> (No. 9): New risk challenges and enduring themes for the return. McKinsey &amp; Company. </w:t>
      </w:r>
    </w:p>
    <w:p w14:paraId="36F7AAE3" w14:textId="73BDF12A" w:rsidR="00062A06" w:rsidRPr="002E6F27" w:rsidRDefault="00062A06" w:rsidP="002E6F27">
      <w:pPr>
        <w:pStyle w:val="a6"/>
        <w:ind w:left="567" w:hanging="567"/>
        <w:jc w:val="both"/>
        <w:rPr>
          <w:rStyle w:val="relative"/>
        </w:rPr>
      </w:pPr>
      <w:r w:rsidRPr="002E6F27">
        <w:t xml:space="preserve">Eissa, O. M. S., &amp; Srour, H. M. (2022, May). The relationship between risk assessment and the financial performance of the firms in Egypt during COVID-19. In </w:t>
      </w:r>
      <w:r w:rsidRPr="002E6F27">
        <w:rPr>
          <w:rStyle w:val="ab"/>
        </w:rPr>
        <w:t>Proceedings of the Sixth Scientific Conference of the Faculty of Commerce</w:t>
      </w:r>
      <w:r w:rsidRPr="002E6F27">
        <w:t xml:space="preserve"> (Special Issue), 62–116. </w:t>
      </w:r>
    </w:p>
    <w:p w14:paraId="5ECEA588" w14:textId="7ABA516E" w:rsidR="00062A06" w:rsidRPr="002E6F27" w:rsidRDefault="00062A06" w:rsidP="002E6F27">
      <w:pPr>
        <w:pStyle w:val="a6"/>
        <w:ind w:left="567" w:hanging="567"/>
        <w:jc w:val="both"/>
        <w:rPr>
          <w:rStyle w:val="relative"/>
          <w:rFonts w:eastAsiaTheme="majorEastAsia"/>
        </w:rPr>
      </w:pPr>
      <w:r w:rsidRPr="002E6F27">
        <w:t xml:space="preserve">Oet, M. V., Bianco, T., Gramlich, D., &amp; Ong, S. J. (2013). SAFE: An early warning system for systemic banking risk. </w:t>
      </w:r>
      <w:r w:rsidRPr="002E6F27">
        <w:rPr>
          <w:rStyle w:val="ab"/>
        </w:rPr>
        <w:t>Journal of Banking &amp; Finance</w:t>
      </w:r>
      <w:r w:rsidRPr="002E6F27">
        <w:t xml:space="preserve">, advance online publication. </w:t>
      </w:r>
    </w:p>
    <w:p w14:paraId="009F1731" w14:textId="7A125E90" w:rsidR="00062A06" w:rsidRPr="002E6F27" w:rsidRDefault="00062A06" w:rsidP="002E6F27">
      <w:pPr>
        <w:pStyle w:val="a6"/>
        <w:ind w:left="567" w:hanging="567"/>
        <w:jc w:val="both"/>
        <w:rPr>
          <w:rStyle w:val="relative"/>
          <w:rFonts w:eastAsiaTheme="majorEastAsia"/>
        </w:rPr>
      </w:pPr>
      <w:r w:rsidRPr="002E6F27">
        <w:t xml:space="preserve">Central Bank of the UAE. (2023). </w:t>
      </w:r>
      <w:r w:rsidRPr="002E6F27">
        <w:rPr>
          <w:rStyle w:val="ab"/>
        </w:rPr>
        <w:t>Financial Stability Report 2023</w:t>
      </w:r>
      <w:r w:rsidRPr="002E6F27">
        <w:t xml:space="preserve">. Abu Dhabi: Central Bank of the UAE. </w:t>
      </w:r>
    </w:p>
    <w:p w14:paraId="041F2C65" w14:textId="0E20DF7A" w:rsidR="00062A06" w:rsidRPr="002E6F27" w:rsidRDefault="00062A06" w:rsidP="002E6F27">
      <w:pPr>
        <w:pStyle w:val="a6"/>
        <w:ind w:left="567" w:hanging="567"/>
        <w:jc w:val="both"/>
        <w:rPr>
          <w:rStyle w:val="relative"/>
          <w:rFonts w:eastAsiaTheme="majorEastAsia"/>
        </w:rPr>
      </w:pPr>
      <w:r w:rsidRPr="002E6F27">
        <w:t xml:space="preserve">Saudi Central Bank (SAMA). (2023). </w:t>
      </w:r>
      <w:r w:rsidRPr="002E6F27">
        <w:rPr>
          <w:rStyle w:val="ab"/>
        </w:rPr>
        <w:t>Financial Stability Report 2023</w:t>
      </w:r>
      <w:r w:rsidRPr="002E6F27">
        <w:t xml:space="preserve">. Riyadh: Saudi Central Bank. </w:t>
      </w:r>
    </w:p>
    <w:p w14:paraId="44EB990C"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Bank for International Settlements. (2013). </w:t>
      </w:r>
      <w:r w:rsidRPr="002E6F27">
        <w:rPr>
          <w:rFonts w:ascii="Times New Roman" w:eastAsia="Times New Roman" w:hAnsi="Times New Roman" w:cs="Times New Roman"/>
          <w:i/>
          <w:iCs/>
          <w:kern w:val="0"/>
          <w:sz w:val="24"/>
          <w:szCs w:val="24"/>
          <w14:ligatures w14:val="none"/>
        </w:rPr>
        <w:t>Basel III: The Liquidity Coverage Ratio and liquidity risk monitoring tools</w:t>
      </w:r>
      <w:r w:rsidRPr="002E6F27">
        <w:rPr>
          <w:rFonts w:ascii="Times New Roman" w:eastAsia="Times New Roman" w:hAnsi="Times New Roman" w:cs="Times New Roman"/>
          <w:kern w:val="0"/>
          <w:sz w:val="24"/>
          <w:szCs w:val="24"/>
          <w14:ligatures w14:val="none"/>
        </w:rPr>
        <w:t xml:space="preserve"> (BCBS 238). Basel: BIS.</w:t>
      </w:r>
    </w:p>
    <w:p w14:paraId="1D5B2F83"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Financial Stability Board. (2023). </w:t>
      </w:r>
      <w:r w:rsidRPr="002E6F27">
        <w:rPr>
          <w:rFonts w:ascii="Times New Roman" w:eastAsia="Times New Roman" w:hAnsi="Times New Roman" w:cs="Times New Roman"/>
          <w:i/>
          <w:iCs/>
          <w:kern w:val="0"/>
          <w:sz w:val="24"/>
          <w:szCs w:val="24"/>
          <w14:ligatures w14:val="none"/>
        </w:rPr>
        <w:t>Enhancing third-party risk management and oversight: A toolkit for financial institutions and supervisors</w:t>
      </w:r>
      <w:r w:rsidRPr="002E6F27">
        <w:rPr>
          <w:rFonts w:ascii="Times New Roman" w:eastAsia="Times New Roman" w:hAnsi="Times New Roman" w:cs="Times New Roman"/>
          <w:kern w:val="0"/>
          <w:sz w:val="24"/>
          <w:szCs w:val="24"/>
          <w14:ligatures w14:val="none"/>
        </w:rPr>
        <w:t>. Basel: FSB.</w:t>
      </w:r>
    </w:p>
    <w:p w14:paraId="4E3A7960"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International Monetary Fund. (2023). </w:t>
      </w:r>
      <w:r w:rsidRPr="002E6F27">
        <w:rPr>
          <w:rFonts w:ascii="Times New Roman" w:eastAsia="Times New Roman" w:hAnsi="Times New Roman" w:cs="Times New Roman"/>
          <w:i/>
          <w:iCs/>
          <w:kern w:val="0"/>
          <w:sz w:val="24"/>
          <w:szCs w:val="24"/>
          <w14:ligatures w14:val="none"/>
        </w:rPr>
        <w:t>Global Financial Stability Report: October 2023</w:t>
      </w:r>
      <w:r w:rsidRPr="002E6F27">
        <w:rPr>
          <w:rFonts w:ascii="Times New Roman" w:eastAsia="Times New Roman" w:hAnsi="Times New Roman" w:cs="Times New Roman"/>
          <w:kern w:val="0"/>
          <w:sz w:val="24"/>
          <w:szCs w:val="24"/>
          <w14:ligatures w14:val="none"/>
        </w:rPr>
        <w:t>. Washington, DC: IMF.</w:t>
      </w:r>
    </w:p>
    <w:p w14:paraId="344F27F9"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Islamic Financial Services Board. (2024). </w:t>
      </w:r>
      <w:r w:rsidRPr="002E6F27">
        <w:rPr>
          <w:rFonts w:ascii="Times New Roman" w:eastAsia="Times New Roman" w:hAnsi="Times New Roman" w:cs="Times New Roman"/>
          <w:i/>
          <w:iCs/>
          <w:kern w:val="0"/>
          <w:sz w:val="24"/>
          <w:szCs w:val="24"/>
          <w14:ligatures w14:val="none"/>
        </w:rPr>
        <w:t>Islamic Financial Services Industry Stability Report 2024</w:t>
      </w:r>
      <w:r w:rsidRPr="002E6F27">
        <w:rPr>
          <w:rFonts w:ascii="Times New Roman" w:eastAsia="Times New Roman" w:hAnsi="Times New Roman" w:cs="Times New Roman"/>
          <w:kern w:val="0"/>
          <w:sz w:val="24"/>
          <w:szCs w:val="24"/>
          <w14:ligatures w14:val="none"/>
        </w:rPr>
        <w:t>. Kuala Lumpur: IFSB.</w:t>
      </w:r>
    </w:p>
    <w:p w14:paraId="5BBD5BF7"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OECD. (2022). </w:t>
      </w:r>
      <w:r w:rsidRPr="002E6F27">
        <w:rPr>
          <w:rFonts w:ascii="Times New Roman" w:eastAsia="Times New Roman" w:hAnsi="Times New Roman" w:cs="Times New Roman"/>
          <w:i/>
          <w:iCs/>
          <w:kern w:val="0"/>
          <w:sz w:val="24"/>
          <w:szCs w:val="24"/>
          <w14:ligatures w14:val="none"/>
        </w:rPr>
        <w:t>Digital transformation in financial markets</w:t>
      </w:r>
      <w:r w:rsidRPr="002E6F27">
        <w:rPr>
          <w:rFonts w:ascii="Times New Roman" w:eastAsia="Times New Roman" w:hAnsi="Times New Roman" w:cs="Times New Roman"/>
          <w:kern w:val="0"/>
          <w:sz w:val="24"/>
          <w:szCs w:val="24"/>
          <w14:ligatures w14:val="none"/>
        </w:rPr>
        <w:t>. Paris: OECD Publishing.</w:t>
      </w:r>
    </w:p>
    <w:p w14:paraId="0A7DEAC6"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Saudi Central Bank (SAMA). (2023). </w:t>
      </w:r>
      <w:r w:rsidRPr="002E6F27">
        <w:rPr>
          <w:rFonts w:ascii="Times New Roman" w:eastAsia="Times New Roman" w:hAnsi="Times New Roman" w:cs="Times New Roman"/>
          <w:i/>
          <w:iCs/>
          <w:kern w:val="0"/>
          <w:sz w:val="24"/>
          <w:szCs w:val="24"/>
          <w14:ligatures w14:val="none"/>
        </w:rPr>
        <w:t>Financial Stability Report 2023</w:t>
      </w:r>
      <w:r w:rsidRPr="002E6F27">
        <w:rPr>
          <w:rFonts w:ascii="Times New Roman" w:eastAsia="Times New Roman" w:hAnsi="Times New Roman" w:cs="Times New Roman"/>
          <w:kern w:val="0"/>
          <w:sz w:val="24"/>
          <w:szCs w:val="24"/>
          <w14:ligatures w14:val="none"/>
        </w:rPr>
        <w:t>. Riyadh: SAMA.</w:t>
      </w:r>
    </w:p>
    <w:p w14:paraId="1BA471D1" w14:textId="77777777" w:rsidR="0035748F" w:rsidRPr="002E6F27" w:rsidRDefault="0035748F"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(Optional, for UAE row support) Central Bank of the UAE. (2023). </w:t>
      </w:r>
      <w:r w:rsidRPr="002E6F27">
        <w:rPr>
          <w:rFonts w:ascii="Times New Roman" w:eastAsia="Times New Roman" w:hAnsi="Times New Roman" w:cs="Times New Roman"/>
          <w:i/>
          <w:iCs/>
          <w:kern w:val="0"/>
          <w:sz w:val="24"/>
          <w:szCs w:val="24"/>
          <w14:ligatures w14:val="none"/>
        </w:rPr>
        <w:t>Financial Stability Report 2023</w:t>
      </w:r>
      <w:r w:rsidRPr="002E6F27">
        <w:rPr>
          <w:rFonts w:ascii="Times New Roman" w:eastAsia="Times New Roman" w:hAnsi="Times New Roman" w:cs="Times New Roman"/>
          <w:kern w:val="0"/>
          <w:sz w:val="24"/>
          <w:szCs w:val="24"/>
          <w14:ligatures w14:val="none"/>
        </w:rPr>
        <w:t>. Abu Dhabi: CBUAE.</w:t>
      </w:r>
    </w:p>
    <w:p w14:paraId="77CE692A"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Bank for International Settlements (Basel Committee on Banking Supervision). (2013). </w:t>
      </w:r>
      <w:r w:rsidRPr="002E6F27">
        <w:rPr>
          <w:rFonts w:ascii="Times New Roman" w:eastAsia="Times New Roman" w:hAnsi="Times New Roman" w:cs="Times New Roman"/>
          <w:i/>
          <w:iCs/>
          <w:kern w:val="0"/>
          <w:sz w:val="24"/>
          <w:szCs w:val="24"/>
          <w14:ligatures w14:val="none"/>
        </w:rPr>
        <w:t>Basel III: The Liquidity Coverage Ratio and liquidity risk monitoring tools</w:t>
      </w:r>
      <w:r w:rsidRPr="002E6F27">
        <w:rPr>
          <w:rFonts w:ascii="Times New Roman" w:eastAsia="Times New Roman" w:hAnsi="Times New Roman" w:cs="Times New Roman"/>
          <w:kern w:val="0"/>
          <w:sz w:val="24"/>
          <w:szCs w:val="24"/>
          <w14:ligatures w14:val="none"/>
        </w:rPr>
        <w:t xml:space="preserve"> (BCBS 238). Basel, Switzerland: BIS.</w:t>
      </w:r>
    </w:p>
    <w:p w14:paraId="44A558A2"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Financial Stability Board. (2023). </w:t>
      </w:r>
      <w:r w:rsidRPr="002E6F27">
        <w:rPr>
          <w:rFonts w:ascii="Times New Roman" w:eastAsia="Times New Roman" w:hAnsi="Times New Roman" w:cs="Times New Roman"/>
          <w:i/>
          <w:iCs/>
          <w:kern w:val="0"/>
          <w:sz w:val="24"/>
          <w:szCs w:val="24"/>
          <w14:ligatures w14:val="none"/>
        </w:rPr>
        <w:t>Enhancing third-party risk management and oversight: A toolkit for financial institutions and supervisors</w:t>
      </w:r>
      <w:r w:rsidRPr="002E6F27">
        <w:rPr>
          <w:rFonts w:ascii="Times New Roman" w:eastAsia="Times New Roman" w:hAnsi="Times New Roman" w:cs="Times New Roman"/>
          <w:kern w:val="0"/>
          <w:sz w:val="24"/>
          <w:szCs w:val="24"/>
          <w14:ligatures w14:val="none"/>
        </w:rPr>
        <w:t>. Basel, Switzerland: FSB.</w:t>
      </w:r>
    </w:p>
    <w:p w14:paraId="164619BE"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International Monetary Fund. (2023). </w:t>
      </w:r>
      <w:r w:rsidRPr="002E6F27">
        <w:rPr>
          <w:rFonts w:ascii="Times New Roman" w:eastAsia="Times New Roman" w:hAnsi="Times New Roman" w:cs="Times New Roman"/>
          <w:i/>
          <w:iCs/>
          <w:kern w:val="0"/>
          <w:sz w:val="24"/>
          <w:szCs w:val="24"/>
          <w14:ligatures w14:val="none"/>
        </w:rPr>
        <w:t>Global Financial Stability Report: October 2023</w:t>
      </w:r>
      <w:r w:rsidRPr="002E6F27">
        <w:rPr>
          <w:rFonts w:ascii="Times New Roman" w:eastAsia="Times New Roman" w:hAnsi="Times New Roman" w:cs="Times New Roman"/>
          <w:kern w:val="0"/>
          <w:sz w:val="24"/>
          <w:szCs w:val="24"/>
          <w14:ligatures w14:val="none"/>
        </w:rPr>
        <w:t>. Washington, DC: IMF.</w:t>
      </w:r>
    </w:p>
    <w:p w14:paraId="1A564E2A"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Islamic Financial Services Board. (2024). </w:t>
      </w:r>
      <w:r w:rsidRPr="002E6F27">
        <w:rPr>
          <w:rFonts w:ascii="Times New Roman" w:eastAsia="Times New Roman" w:hAnsi="Times New Roman" w:cs="Times New Roman"/>
          <w:i/>
          <w:iCs/>
          <w:kern w:val="0"/>
          <w:sz w:val="24"/>
          <w:szCs w:val="24"/>
          <w14:ligatures w14:val="none"/>
        </w:rPr>
        <w:t>Islamic Financial Services Industry Stability Report 2024</w:t>
      </w:r>
      <w:r w:rsidRPr="002E6F27">
        <w:rPr>
          <w:rFonts w:ascii="Times New Roman" w:eastAsia="Times New Roman" w:hAnsi="Times New Roman" w:cs="Times New Roman"/>
          <w:kern w:val="0"/>
          <w:sz w:val="24"/>
          <w:szCs w:val="24"/>
          <w14:ligatures w14:val="none"/>
        </w:rPr>
        <w:t>. Kuala Lumpur, Malaysia: IFSB.</w:t>
      </w:r>
    </w:p>
    <w:p w14:paraId="7C016750"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OECD. (2022). </w:t>
      </w:r>
      <w:r w:rsidRPr="002E6F27">
        <w:rPr>
          <w:rFonts w:ascii="Times New Roman" w:eastAsia="Times New Roman" w:hAnsi="Times New Roman" w:cs="Times New Roman"/>
          <w:i/>
          <w:iCs/>
          <w:kern w:val="0"/>
          <w:sz w:val="24"/>
          <w:szCs w:val="24"/>
          <w14:ligatures w14:val="none"/>
        </w:rPr>
        <w:t>Digital transformation in financial markets</w:t>
      </w:r>
      <w:r w:rsidRPr="002E6F27">
        <w:rPr>
          <w:rFonts w:ascii="Times New Roman" w:eastAsia="Times New Roman" w:hAnsi="Times New Roman" w:cs="Times New Roman"/>
          <w:kern w:val="0"/>
          <w:sz w:val="24"/>
          <w:szCs w:val="24"/>
          <w14:ligatures w14:val="none"/>
        </w:rPr>
        <w:t>. Paris, France: OECD Publishing.</w:t>
      </w:r>
    </w:p>
    <w:p w14:paraId="5CE561E5"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 xml:space="preserve">Saudi Central Bank (SAMA). (2023). </w:t>
      </w:r>
      <w:r w:rsidRPr="002E6F27">
        <w:rPr>
          <w:rFonts w:ascii="Times New Roman" w:eastAsia="Times New Roman" w:hAnsi="Times New Roman" w:cs="Times New Roman"/>
          <w:i/>
          <w:iCs/>
          <w:kern w:val="0"/>
          <w:sz w:val="24"/>
          <w:szCs w:val="24"/>
          <w14:ligatures w14:val="none"/>
        </w:rPr>
        <w:t>Financial Stability Report 2023</w:t>
      </w:r>
      <w:r w:rsidRPr="002E6F27">
        <w:rPr>
          <w:rFonts w:ascii="Times New Roman" w:eastAsia="Times New Roman" w:hAnsi="Times New Roman" w:cs="Times New Roman"/>
          <w:kern w:val="0"/>
          <w:sz w:val="24"/>
          <w:szCs w:val="24"/>
          <w14:ligatures w14:val="none"/>
        </w:rPr>
        <w:t>. Riyadh, Saudi Arabia: SAMA.</w:t>
      </w:r>
    </w:p>
    <w:p w14:paraId="66E97584" w14:textId="77777777" w:rsidR="006D521B" w:rsidRPr="002E6F27" w:rsidRDefault="006D521B"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Central Bank of the United Arab Emirates. (2023). Financial Stability Report 2023. Abu Dhabi, United Arab Emirates: CBUAE.</w:t>
      </w:r>
    </w:p>
    <w:p w14:paraId="371EF1EE" w14:textId="1D380C45" w:rsidR="001E0171" w:rsidRPr="002E6F27" w:rsidRDefault="001E0171"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Imtiaz, M., Hamid, A. B. A., Nadarajah, D., Mehmood, S. A., &amp; Ahmad, M. K. (2023). Enhancing SMEs performance through supply chain collaboration and moderation of supply chain technology implementation. Brazilian Journal of Operations &amp; Production Management, 20(2), e20231494</w:t>
      </w:r>
      <w:r w:rsidRPr="002E6F27">
        <w:rPr>
          <w:rFonts w:ascii="Times New Roman" w:eastAsia="Times New Roman" w:hAnsi="Times New Roman" w:cs="Times New Roman"/>
          <w:kern w:val="0"/>
          <w:sz w:val="24"/>
          <w:szCs w:val="24"/>
          <w:rtl/>
          <w14:ligatures w14:val="none"/>
        </w:rPr>
        <w:t>.</w:t>
      </w:r>
    </w:p>
    <w:p w14:paraId="3A5DE381" w14:textId="77777777" w:rsidR="002375E2" w:rsidRPr="002E6F27" w:rsidRDefault="001E0171"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14:ligatures w14:val="none"/>
        </w:rPr>
      </w:pPr>
      <w:r w:rsidRPr="002E6F27">
        <w:rPr>
          <w:rFonts w:ascii="Times New Roman" w:eastAsia="Times New Roman" w:hAnsi="Times New Roman" w:cs="Times New Roman"/>
          <w:kern w:val="0"/>
          <w:sz w:val="24"/>
          <w:szCs w:val="24"/>
          <w14:ligatures w14:val="none"/>
        </w:rPr>
        <w:t>Narayanan, S., Narasimhan, R., &amp; Schoenherr, T. (2015). Assessing the contingent effects of collaboration on agility performance in buyer–supplier relationships. Journal of Operations Management, 33–34, 140–154.</w:t>
      </w:r>
    </w:p>
    <w:p w14:paraId="6120AD29" w14:textId="6CA96A3F" w:rsidR="00D22171" w:rsidRPr="002E6F27" w:rsidRDefault="002375E2"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rtl/>
          <w14:ligatures w14:val="none"/>
        </w:rPr>
      </w:pPr>
      <w:r w:rsidRPr="002E6F27">
        <w:rPr>
          <w:rFonts w:ascii="Times New Roman" w:eastAsia="Times New Roman" w:hAnsi="Times New Roman" w:cs="Times New Roman"/>
          <w:kern w:val="0"/>
          <w:sz w:val="24"/>
          <w:szCs w:val="24"/>
          <w14:ligatures w14:val="none"/>
        </w:rPr>
        <w:t xml:space="preserve">Al Hammadi, M., Jimber-Del Río, J. A., Ochoa-Rico, M. S., Montero, O. A., &amp; Vergara-Romero, A. (2024). </w:t>
      </w:r>
      <w:r w:rsidRPr="002E6F27">
        <w:rPr>
          <w:rFonts w:ascii="Times New Roman" w:eastAsia="Times New Roman" w:hAnsi="Times New Roman" w:cs="Times New Roman"/>
          <w:i/>
          <w:iCs/>
          <w:kern w:val="0"/>
          <w:sz w:val="24"/>
          <w:szCs w:val="24"/>
          <w14:ligatures w14:val="none"/>
        </w:rPr>
        <w:t>Risk Management in Islamic Banking: The Impact of Financial Technologies through Empirical Insights from the UAE</w:t>
      </w:r>
      <w:r w:rsidRPr="002E6F27">
        <w:rPr>
          <w:rFonts w:ascii="Times New Roman" w:eastAsia="Times New Roman" w:hAnsi="Times New Roman" w:cs="Times New Roman"/>
          <w:kern w:val="0"/>
          <w:sz w:val="24"/>
          <w:szCs w:val="24"/>
          <w14:ligatures w14:val="none"/>
        </w:rPr>
        <w:t>. Risks, 12(2), 17.</w:t>
      </w:r>
    </w:p>
    <w:p w14:paraId="3B433504" w14:textId="4F34353A" w:rsidR="00D22171" w:rsidRPr="002375E2" w:rsidRDefault="002375E2" w:rsidP="002E6F27">
      <w:pPr>
        <w:bidi w:val="0"/>
        <w:spacing w:before="100" w:beforeAutospacing="1" w:after="100" w:afterAutospacing="1" w:line="240" w:lineRule="auto"/>
        <w:ind w:left="567" w:hanging="567"/>
        <w:jc w:val="both"/>
        <w:rPr>
          <w:rFonts w:ascii="Times New Roman" w:eastAsia="Times New Roman" w:hAnsi="Times New Roman" w:cs="Times New Roman"/>
          <w:kern w:val="0"/>
          <w:sz w:val="24"/>
          <w:szCs w:val="24"/>
          <w:rtl/>
          <w14:ligatures w14:val="none"/>
        </w:rPr>
      </w:pPr>
      <w:r w:rsidRPr="002E6F27">
        <w:rPr>
          <w:rFonts w:ascii="Times New Roman" w:eastAsia="Times New Roman" w:hAnsi="Times New Roman" w:cs="Times New Roman"/>
          <w:kern w:val="0"/>
          <w:sz w:val="24"/>
          <w:szCs w:val="24"/>
          <w14:ligatures w14:val="none"/>
        </w:rPr>
        <w:t xml:space="preserve">Abdulla, H., &amp; Elshandidy, T. (2023). </w:t>
      </w:r>
      <w:r w:rsidRPr="002E6F27">
        <w:rPr>
          <w:rFonts w:ascii="Times New Roman" w:eastAsia="Times New Roman" w:hAnsi="Times New Roman" w:cs="Times New Roman"/>
          <w:i/>
          <w:iCs/>
          <w:kern w:val="0"/>
          <w:sz w:val="24"/>
          <w:szCs w:val="24"/>
          <w14:ligatures w14:val="none"/>
        </w:rPr>
        <w:t>Do governance factors affect the effectiveness of risk management disclosure in UAE banks?</w:t>
      </w:r>
      <w:r w:rsidRPr="002E6F27">
        <w:rPr>
          <w:rFonts w:ascii="Times New Roman" w:eastAsia="Times New Roman" w:hAnsi="Times New Roman" w:cs="Times New Roman"/>
          <w:kern w:val="0"/>
          <w:sz w:val="24"/>
          <w:szCs w:val="24"/>
          <w14:ligatures w14:val="none"/>
        </w:rPr>
        <w:t xml:space="preserve"> Cogent Business &amp; Management,</w:t>
      </w:r>
      <w:r w:rsidRPr="002375E2">
        <w:rPr>
          <w:rFonts w:ascii="Times New Roman" w:eastAsia="Times New Roman" w:hAnsi="Times New Roman" w:cs="Times New Roman"/>
          <w:kern w:val="0"/>
          <w:sz w:val="24"/>
          <w:szCs w:val="24"/>
          <w14:ligatures w14:val="none"/>
        </w:rPr>
        <w:t xml:space="preserve"> 10(2), 2238394.</w:t>
      </w:r>
    </w:p>
    <w:p w14:paraId="1FAA6AA5" w14:textId="77777777" w:rsidR="00D22171" w:rsidRPr="00B3135B" w:rsidRDefault="00D22171" w:rsidP="006C35BA">
      <w:pPr>
        <w:bidi w:val="0"/>
        <w:spacing w:line="360" w:lineRule="auto"/>
        <w:rPr>
          <w:rFonts w:asciiTheme="majorBidi" w:hAnsiTheme="majorBidi" w:cstheme="majorBidi"/>
          <w:sz w:val="24"/>
          <w:szCs w:val="24"/>
          <w:u w:val="single"/>
          <w:rtl/>
        </w:rPr>
      </w:pPr>
    </w:p>
    <w:p w14:paraId="4999660B" w14:textId="77777777" w:rsidR="00D22171" w:rsidRPr="00B3135B" w:rsidRDefault="00D22171" w:rsidP="006C35BA">
      <w:pPr>
        <w:bidi w:val="0"/>
        <w:spacing w:line="360" w:lineRule="auto"/>
        <w:rPr>
          <w:rFonts w:asciiTheme="majorBidi" w:hAnsiTheme="majorBidi" w:cstheme="majorBidi"/>
          <w:sz w:val="24"/>
          <w:szCs w:val="24"/>
          <w:u w:val="single"/>
          <w:rtl/>
        </w:rPr>
      </w:pPr>
    </w:p>
    <w:p w14:paraId="38A5AC74" w14:textId="77777777" w:rsidR="00D22171" w:rsidRPr="00B3135B" w:rsidRDefault="00D22171" w:rsidP="006C35BA">
      <w:pPr>
        <w:bidi w:val="0"/>
        <w:spacing w:line="360" w:lineRule="auto"/>
        <w:rPr>
          <w:rFonts w:asciiTheme="majorBidi" w:hAnsiTheme="majorBidi" w:cstheme="majorBidi"/>
          <w:sz w:val="24"/>
          <w:szCs w:val="24"/>
          <w:u w:val="single"/>
          <w:rtl/>
        </w:rPr>
      </w:pPr>
    </w:p>
    <w:p w14:paraId="0C0657A4" w14:textId="77777777" w:rsidR="00D22171" w:rsidRPr="00B3135B" w:rsidRDefault="00D22171" w:rsidP="006C35BA">
      <w:pPr>
        <w:bidi w:val="0"/>
        <w:spacing w:line="360" w:lineRule="auto"/>
        <w:rPr>
          <w:rFonts w:asciiTheme="majorBidi" w:hAnsiTheme="majorBidi" w:cstheme="majorBidi"/>
          <w:sz w:val="24"/>
          <w:szCs w:val="24"/>
          <w:u w:val="single"/>
          <w:rtl/>
        </w:rPr>
      </w:pPr>
    </w:p>
    <w:p w14:paraId="087003BA" w14:textId="38F343D5" w:rsidR="00D22171" w:rsidRDefault="00D22171" w:rsidP="006C35BA">
      <w:pPr>
        <w:bidi w:val="0"/>
        <w:spacing w:line="360" w:lineRule="auto"/>
        <w:rPr>
          <w:rFonts w:asciiTheme="majorBidi" w:hAnsiTheme="majorBidi" w:cstheme="majorBidi"/>
          <w:sz w:val="24"/>
          <w:szCs w:val="24"/>
          <w:u w:val="single"/>
        </w:rPr>
      </w:pPr>
    </w:p>
    <w:p w14:paraId="677E0DD4" w14:textId="4A9B61C3" w:rsidR="002E6F27" w:rsidRDefault="002E6F27" w:rsidP="002E6F27">
      <w:pPr>
        <w:bidi w:val="0"/>
        <w:spacing w:line="360" w:lineRule="auto"/>
        <w:rPr>
          <w:rFonts w:asciiTheme="majorBidi" w:hAnsiTheme="majorBidi" w:cstheme="majorBidi"/>
          <w:sz w:val="24"/>
          <w:szCs w:val="24"/>
          <w:u w:val="single"/>
        </w:rPr>
      </w:pPr>
    </w:p>
    <w:p w14:paraId="46025992" w14:textId="633306CF" w:rsidR="002E6F27" w:rsidRDefault="002E6F27" w:rsidP="002E6F27">
      <w:pPr>
        <w:bidi w:val="0"/>
        <w:spacing w:line="360" w:lineRule="auto"/>
        <w:rPr>
          <w:rFonts w:asciiTheme="majorBidi" w:hAnsiTheme="majorBidi" w:cstheme="majorBidi"/>
          <w:sz w:val="24"/>
          <w:szCs w:val="24"/>
          <w:u w:val="single"/>
        </w:rPr>
      </w:pPr>
    </w:p>
    <w:p w14:paraId="37992C0F" w14:textId="0A3C14C4" w:rsidR="002E6F27" w:rsidRDefault="002E6F27" w:rsidP="002E6F27">
      <w:pPr>
        <w:bidi w:val="0"/>
        <w:spacing w:line="360" w:lineRule="auto"/>
        <w:rPr>
          <w:rFonts w:asciiTheme="majorBidi" w:hAnsiTheme="majorBidi" w:cstheme="majorBidi"/>
          <w:sz w:val="24"/>
          <w:szCs w:val="24"/>
          <w:u w:val="single"/>
        </w:rPr>
      </w:pPr>
    </w:p>
    <w:p w14:paraId="3DF56A76" w14:textId="0B0200BF" w:rsidR="002E6F27" w:rsidRDefault="002E6F27" w:rsidP="002E6F27">
      <w:pPr>
        <w:bidi w:val="0"/>
        <w:spacing w:line="360" w:lineRule="auto"/>
        <w:rPr>
          <w:rFonts w:asciiTheme="majorBidi" w:hAnsiTheme="majorBidi" w:cstheme="majorBidi"/>
          <w:sz w:val="24"/>
          <w:szCs w:val="24"/>
          <w:u w:val="single"/>
        </w:rPr>
      </w:pPr>
    </w:p>
    <w:p w14:paraId="66E344A0" w14:textId="37CC9288" w:rsidR="002E6F27" w:rsidRDefault="002E6F27" w:rsidP="002E6F27">
      <w:pPr>
        <w:bidi w:val="0"/>
        <w:spacing w:line="360" w:lineRule="auto"/>
        <w:rPr>
          <w:rFonts w:asciiTheme="majorBidi" w:hAnsiTheme="majorBidi" w:cstheme="majorBidi"/>
          <w:sz w:val="24"/>
          <w:szCs w:val="24"/>
          <w:u w:val="single"/>
        </w:rPr>
      </w:pPr>
    </w:p>
    <w:p w14:paraId="3E1E2E2B" w14:textId="26DDFB65" w:rsidR="002E6F27" w:rsidRDefault="002E6F27" w:rsidP="002E6F27">
      <w:pPr>
        <w:bidi w:val="0"/>
        <w:spacing w:line="360" w:lineRule="auto"/>
        <w:rPr>
          <w:rFonts w:asciiTheme="majorBidi" w:hAnsiTheme="majorBidi" w:cstheme="majorBidi"/>
          <w:sz w:val="24"/>
          <w:szCs w:val="24"/>
          <w:u w:val="single"/>
        </w:rPr>
      </w:pPr>
    </w:p>
    <w:p w14:paraId="0F6968F0" w14:textId="77777777" w:rsidR="002E6F27" w:rsidRPr="00B3135B" w:rsidRDefault="002E6F27" w:rsidP="002E6F27">
      <w:pPr>
        <w:bidi w:val="0"/>
        <w:spacing w:line="360" w:lineRule="auto"/>
        <w:rPr>
          <w:rFonts w:asciiTheme="majorBidi" w:hAnsiTheme="majorBidi" w:cstheme="majorBidi"/>
          <w:sz w:val="24"/>
          <w:szCs w:val="24"/>
          <w:u w:val="single"/>
          <w:rtl/>
        </w:rPr>
      </w:pPr>
    </w:p>
    <w:p w14:paraId="0E851780" w14:textId="77777777" w:rsidR="00D22171" w:rsidRPr="00B3135B" w:rsidRDefault="00D22171" w:rsidP="006C35BA">
      <w:pPr>
        <w:bidi w:val="0"/>
        <w:spacing w:line="360" w:lineRule="auto"/>
        <w:rPr>
          <w:rFonts w:asciiTheme="majorBidi" w:hAnsiTheme="majorBidi" w:cstheme="majorBidi"/>
          <w:sz w:val="24"/>
          <w:szCs w:val="24"/>
          <w:u w:val="single"/>
          <w:rtl/>
        </w:rPr>
      </w:pPr>
    </w:p>
    <w:p w14:paraId="41DB754C" w14:textId="4E5C3BBD" w:rsidR="00D22171" w:rsidRDefault="00D22171" w:rsidP="006C35BA">
      <w:pPr>
        <w:bidi w:val="0"/>
        <w:spacing w:line="360" w:lineRule="auto"/>
        <w:rPr>
          <w:rFonts w:asciiTheme="majorBidi" w:hAnsiTheme="majorBidi" w:cstheme="majorBidi"/>
          <w:sz w:val="24"/>
          <w:szCs w:val="24"/>
          <w:u w:val="single"/>
        </w:rPr>
      </w:pPr>
    </w:p>
    <w:p w14:paraId="436C8E76" w14:textId="36A225AD" w:rsidR="002E6F27" w:rsidRDefault="002E6F27" w:rsidP="002E6F27">
      <w:pPr>
        <w:bidi w:val="0"/>
        <w:spacing w:line="360" w:lineRule="auto"/>
        <w:rPr>
          <w:rFonts w:asciiTheme="majorBidi" w:hAnsiTheme="majorBidi" w:cstheme="majorBidi"/>
          <w:sz w:val="24"/>
          <w:szCs w:val="24"/>
          <w:u w:val="single"/>
        </w:rPr>
      </w:pPr>
    </w:p>
    <w:p w14:paraId="058C2B67" w14:textId="6D69C1D1" w:rsidR="002E6F27" w:rsidRDefault="002E6F27" w:rsidP="002E6F27">
      <w:pPr>
        <w:bidi w:val="0"/>
        <w:spacing w:line="360" w:lineRule="auto"/>
        <w:rPr>
          <w:rFonts w:asciiTheme="majorBidi" w:hAnsiTheme="majorBidi" w:cstheme="majorBidi"/>
          <w:sz w:val="24"/>
          <w:szCs w:val="24"/>
          <w:u w:val="single"/>
        </w:rPr>
      </w:pPr>
    </w:p>
    <w:p w14:paraId="0D3D5FFF" w14:textId="77777777" w:rsidR="002E6F27" w:rsidRPr="00B3135B" w:rsidRDefault="002E6F27" w:rsidP="002E6F27">
      <w:pPr>
        <w:bidi w:val="0"/>
        <w:spacing w:line="360" w:lineRule="auto"/>
        <w:rPr>
          <w:rFonts w:asciiTheme="majorBidi" w:hAnsiTheme="majorBidi" w:cstheme="majorBidi"/>
          <w:sz w:val="24"/>
          <w:szCs w:val="24"/>
          <w:u w:val="single"/>
          <w:rtl/>
        </w:rPr>
      </w:pPr>
    </w:p>
    <w:p w14:paraId="38BDE53D" w14:textId="77777777" w:rsidR="004A51C2" w:rsidRPr="004A51C2" w:rsidRDefault="004A51C2" w:rsidP="004A51C2">
      <w:pPr>
        <w:pStyle w:val="1"/>
      </w:pPr>
      <w:bookmarkStart w:id="223" w:name="_Toc174813444"/>
      <w:bookmarkStart w:id="224" w:name="_Toc214621215"/>
      <w:r w:rsidRPr="004A51C2">
        <w:t>Appendix</w:t>
      </w:r>
      <w:bookmarkEnd w:id="223"/>
      <w:bookmarkEnd w:id="224"/>
    </w:p>
    <w:p w14:paraId="35AC8388" w14:textId="77777777" w:rsidR="004A51C2" w:rsidRDefault="004A51C2" w:rsidP="004A51C2">
      <w:pPr>
        <w:bidi w:val="0"/>
        <w:spacing w:after="120" w:line="276" w:lineRule="auto"/>
        <w:jc w:val="center"/>
        <w:rPr>
          <w:rFonts w:asciiTheme="majorBidi" w:hAnsiTheme="majorBidi" w:cstheme="majorBidi"/>
          <w:b/>
          <w:bCs/>
          <w:sz w:val="36"/>
          <w:szCs w:val="36"/>
        </w:rPr>
      </w:pPr>
      <w:r w:rsidRPr="004A51C2">
        <w:rPr>
          <w:rFonts w:asciiTheme="majorBidi" w:hAnsiTheme="majorBidi" w:cstheme="majorBidi"/>
          <w:b/>
          <w:bCs/>
          <w:sz w:val="36"/>
          <w:szCs w:val="36"/>
        </w:rPr>
        <w:t>The Impact of the Functional Relationship Between Account Managers and Sales Teams on Enhancing Risk-Management Effectiveness:</w:t>
      </w:r>
    </w:p>
    <w:p w14:paraId="30DED409" w14:textId="7286BA78" w:rsidR="004A51C2" w:rsidRPr="004A51C2" w:rsidRDefault="004A51C2" w:rsidP="004A51C2">
      <w:pPr>
        <w:bidi w:val="0"/>
        <w:spacing w:after="120" w:line="276" w:lineRule="auto"/>
        <w:jc w:val="center"/>
        <w:rPr>
          <w:rFonts w:asciiTheme="majorBidi" w:hAnsiTheme="majorBidi" w:cstheme="majorBidi"/>
          <w:b/>
          <w:bCs/>
          <w:sz w:val="36"/>
          <w:szCs w:val="36"/>
        </w:rPr>
      </w:pPr>
      <w:r w:rsidRPr="004A51C2">
        <w:rPr>
          <w:rFonts w:asciiTheme="majorBidi" w:hAnsiTheme="majorBidi" w:cstheme="majorBidi"/>
          <w:b/>
          <w:bCs/>
          <w:sz w:val="36"/>
          <w:szCs w:val="36"/>
        </w:rPr>
        <w:t>A Case Study of Al Rajhi Bank, Riyadh, Saudi Arabia</w:t>
      </w:r>
    </w:p>
    <w:p w14:paraId="6F792DBD" w14:textId="77777777" w:rsidR="004A51C2" w:rsidRPr="004A51C2" w:rsidRDefault="004A51C2" w:rsidP="004A51C2">
      <w:pPr>
        <w:bidi w:val="0"/>
        <w:spacing w:after="120" w:line="276" w:lineRule="auto"/>
        <w:ind w:firstLine="284"/>
        <w:jc w:val="both"/>
        <w:rPr>
          <w:rFonts w:asciiTheme="majorBidi" w:hAnsiTheme="majorBidi" w:cstheme="majorBidi"/>
          <w:sz w:val="28"/>
          <w:szCs w:val="28"/>
        </w:rPr>
      </w:pPr>
      <w:r w:rsidRPr="004A51C2">
        <w:rPr>
          <w:rFonts w:asciiTheme="majorBidi" w:hAnsiTheme="majorBidi" w:cstheme="majorBidi"/>
          <w:sz w:val="28"/>
          <w:szCs w:val="28"/>
        </w:rPr>
        <w:t>Dear Participant,</w:t>
      </w:r>
    </w:p>
    <w:p w14:paraId="16DCAF03" w14:textId="77777777" w:rsidR="004A51C2" w:rsidRPr="004A51C2" w:rsidRDefault="004A51C2" w:rsidP="004A51C2">
      <w:pPr>
        <w:bidi w:val="0"/>
        <w:spacing w:after="120" w:line="276" w:lineRule="auto"/>
        <w:ind w:firstLine="284"/>
        <w:jc w:val="both"/>
        <w:rPr>
          <w:rFonts w:asciiTheme="majorBidi" w:hAnsiTheme="majorBidi" w:cstheme="majorBidi"/>
          <w:sz w:val="28"/>
          <w:szCs w:val="28"/>
        </w:rPr>
      </w:pPr>
      <w:r w:rsidRPr="004A51C2">
        <w:rPr>
          <w:rFonts w:asciiTheme="majorBidi" w:hAnsiTheme="majorBidi" w:cstheme="majorBidi"/>
          <w:sz w:val="28"/>
          <w:szCs w:val="28"/>
        </w:rPr>
        <w:t>Thank you for taking the time to complete this survey. This questionnaire is part of an academic research study examining how the functional relationship between Account Managers (AMs) and Sales Teams—including communication cadence, information sharing and data integration, goal/KPI and incentive alignment, and decision rights/escalation clarity—impacts risk-management effectiveness at Al Rajhi Bank in Riyadh, Saudi Arabia.</w:t>
      </w:r>
    </w:p>
    <w:p w14:paraId="2B32C99A" w14:textId="77777777" w:rsidR="004A51C2" w:rsidRPr="004A51C2" w:rsidRDefault="004A51C2" w:rsidP="004A51C2">
      <w:pPr>
        <w:bidi w:val="0"/>
        <w:spacing w:after="120" w:line="276" w:lineRule="auto"/>
        <w:ind w:firstLine="284"/>
        <w:jc w:val="both"/>
        <w:rPr>
          <w:rFonts w:asciiTheme="majorBidi" w:hAnsiTheme="majorBidi" w:cstheme="majorBidi"/>
          <w:sz w:val="28"/>
          <w:szCs w:val="28"/>
        </w:rPr>
      </w:pPr>
      <w:r w:rsidRPr="004A51C2">
        <w:rPr>
          <w:rFonts w:asciiTheme="majorBidi" w:hAnsiTheme="majorBidi" w:cstheme="majorBidi"/>
          <w:sz w:val="28"/>
          <w:szCs w:val="28"/>
        </w:rPr>
        <w:t>Your participation is voluntary, and your responses will be treated with strict confidentiality and used for academic purposes only. The survey should take approximately 10–15 minutes to complete.</w:t>
      </w:r>
    </w:p>
    <w:p w14:paraId="566CE5AC" w14:textId="77777777" w:rsidR="004A51C2" w:rsidRPr="004A51C2" w:rsidRDefault="004A51C2" w:rsidP="004A51C2">
      <w:pPr>
        <w:bidi w:val="0"/>
        <w:spacing w:after="120" w:line="276" w:lineRule="auto"/>
        <w:ind w:firstLine="284"/>
        <w:jc w:val="both"/>
        <w:rPr>
          <w:rFonts w:asciiTheme="majorBidi" w:hAnsiTheme="majorBidi" w:cstheme="majorBidi"/>
          <w:sz w:val="28"/>
          <w:szCs w:val="28"/>
        </w:rPr>
      </w:pPr>
      <w:r w:rsidRPr="004A51C2">
        <w:rPr>
          <w:rFonts w:asciiTheme="majorBidi" w:hAnsiTheme="majorBidi" w:cstheme="majorBidi"/>
          <w:sz w:val="28"/>
          <w:szCs w:val="28"/>
        </w:rPr>
        <w:t>The data collected will help us better understand how cross-functional coordination at origination relates to early risk identification and onboarding quality, credit discipline and outcomes, liquidity/market-risk fit at origination, and operational resilience/third-party risk control. The findings may offer practical insights to improve collaboration between AMs and Sales and to strengthen risk-management practices within the banking sector.</w:t>
      </w:r>
    </w:p>
    <w:p w14:paraId="2AB3D153" w14:textId="77777777" w:rsidR="004A51C2" w:rsidRPr="004A51C2" w:rsidRDefault="004A51C2" w:rsidP="004A51C2">
      <w:pPr>
        <w:bidi w:val="0"/>
        <w:spacing w:after="120" w:line="276" w:lineRule="auto"/>
        <w:ind w:firstLine="284"/>
        <w:jc w:val="center"/>
        <w:rPr>
          <w:rFonts w:asciiTheme="majorBidi" w:hAnsiTheme="majorBidi" w:cstheme="majorBidi"/>
          <w:sz w:val="28"/>
          <w:szCs w:val="28"/>
        </w:rPr>
      </w:pPr>
      <w:r w:rsidRPr="004A51C2">
        <w:rPr>
          <w:rFonts w:asciiTheme="majorBidi" w:hAnsiTheme="majorBidi" w:cstheme="majorBidi"/>
          <w:sz w:val="28"/>
          <w:szCs w:val="28"/>
        </w:rPr>
        <w:t>We appreciate your valuable time and contribution.</w:t>
      </w:r>
    </w:p>
    <w:p w14:paraId="091DC0B2" w14:textId="36096DF0" w:rsidR="004A51C2" w:rsidRDefault="004A51C2" w:rsidP="004A51C2">
      <w:pPr>
        <w:bidi w:val="0"/>
        <w:spacing w:after="120" w:line="276" w:lineRule="auto"/>
        <w:ind w:firstLine="284"/>
        <w:jc w:val="center"/>
        <w:rPr>
          <w:rFonts w:asciiTheme="majorBidi" w:hAnsiTheme="majorBidi" w:cstheme="majorBidi"/>
          <w:sz w:val="28"/>
          <w:szCs w:val="28"/>
        </w:rPr>
      </w:pPr>
      <w:r w:rsidRPr="004A51C2">
        <w:rPr>
          <w:rFonts w:asciiTheme="majorBidi" w:hAnsiTheme="majorBidi" w:cstheme="majorBidi"/>
          <w:sz w:val="28"/>
          <w:szCs w:val="28"/>
        </w:rPr>
        <w:t>With sincere thanks,</w:t>
      </w:r>
    </w:p>
    <w:p w14:paraId="22CB537A" w14:textId="77777777" w:rsidR="004A51C2" w:rsidRDefault="004A51C2" w:rsidP="004A51C2">
      <w:pPr>
        <w:bidi w:val="0"/>
        <w:spacing w:after="120" w:line="276" w:lineRule="auto"/>
        <w:ind w:firstLine="284"/>
        <w:jc w:val="center"/>
        <w:rPr>
          <w:rFonts w:asciiTheme="majorBidi" w:hAnsiTheme="majorBidi" w:cstheme="majorBidi"/>
          <w:sz w:val="28"/>
          <w:szCs w:val="28"/>
        </w:rPr>
      </w:pPr>
    </w:p>
    <w:p w14:paraId="09763C94" w14:textId="6D4E2724" w:rsidR="004A51C2" w:rsidRDefault="004A51C2" w:rsidP="004A51C2">
      <w:pPr>
        <w:bidi w:val="0"/>
        <w:ind w:left="125"/>
        <w:jc w:val="center"/>
        <w:rPr>
          <w:rFonts w:asciiTheme="majorBidi" w:hAnsiTheme="majorBidi" w:cstheme="majorBidi"/>
          <w:sz w:val="36"/>
        </w:rPr>
      </w:pPr>
      <w:r w:rsidRPr="004A51C2">
        <w:rPr>
          <w:rFonts w:asciiTheme="majorBidi" w:hAnsiTheme="majorBidi" w:cstheme="majorBidi"/>
          <w:sz w:val="28"/>
          <w:szCs w:val="28"/>
        </w:rPr>
        <w:t>Researcher:</w:t>
      </w:r>
      <w:r w:rsidRPr="004A51C2">
        <w:rPr>
          <w:rFonts w:asciiTheme="majorBidi" w:hAnsiTheme="majorBidi" w:cstheme="majorBidi"/>
          <w:sz w:val="28"/>
          <w:szCs w:val="28"/>
        </w:rPr>
        <w:br/>
      </w:r>
      <w:r w:rsidRPr="000C29EE">
        <w:rPr>
          <w:rFonts w:asciiTheme="majorBidi" w:hAnsiTheme="majorBidi" w:cstheme="majorBidi"/>
          <w:sz w:val="36"/>
        </w:rPr>
        <w:t>Mubarak AlQahtani</w:t>
      </w:r>
    </w:p>
    <w:p w14:paraId="0A58354F" w14:textId="01517559" w:rsidR="004A51C2" w:rsidRPr="004A51C2" w:rsidRDefault="004A51C2" w:rsidP="004A51C2">
      <w:pPr>
        <w:bidi w:val="0"/>
        <w:spacing w:after="120" w:line="276" w:lineRule="auto"/>
        <w:ind w:firstLine="284"/>
        <w:jc w:val="center"/>
        <w:rPr>
          <w:rFonts w:asciiTheme="majorBidi" w:hAnsiTheme="majorBidi" w:cstheme="majorBidi"/>
          <w:sz w:val="40"/>
          <w:szCs w:val="24"/>
        </w:rPr>
      </w:pPr>
      <w:r w:rsidRPr="004A51C2">
        <w:rPr>
          <w:rFonts w:asciiTheme="majorBidi" w:hAnsiTheme="majorBidi" w:cstheme="majorBidi"/>
          <w:sz w:val="32"/>
          <w:szCs w:val="32"/>
        </w:rPr>
        <w:t>Supervisors:</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A51C2" w:rsidRPr="004A51C2" w14:paraId="0712F514" w14:textId="77777777" w:rsidTr="004A51C2">
        <w:tc>
          <w:tcPr>
            <w:tcW w:w="4530" w:type="dxa"/>
          </w:tcPr>
          <w:p w14:paraId="748452C0" w14:textId="58C7191E" w:rsidR="004A51C2" w:rsidRPr="004A51C2" w:rsidRDefault="004A51C2" w:rsidP="004A51C2">
            <w:pPr>
              <w:bidi w:val="0"/>
              <w:spacing w:after="120" w:line="276" w:lineRule="auto"/>
              <w:jc w:val="center"/>
              <w:rPr>
                <w:rFonts w:asciiTheme="majorBidi" w:hAnsiTheme="majorBidi" w:cstheme="majorBidi"/>
                <w:b/>
                <w:bCs/>
                <w:sz w:val="32"/>
                <w:szCs w:val="32"/>
              </w:rPr>
            </w:pPr>
            <w:r w:rsidRPr="004A51C2">
              <w:rPr>
                <w:rFonts w:asciiTheme="majorBidi" w:hAnsiTheme="majorBidi" w:cstheme="majorBidi"/>
                <w:b/>
                <w:bCs/>
                <w:sz w:val="32"/>
                <w:szCs w:val="32"/>
              </w:rPr>
              <w:t>Dr. Faisal Abdul Hamid</w:t>
            </w:r>
          </w:p>
        </w:tc>
        <w:tc>
          <w:tcPr>
            <w:tcW w:w="4531" w:type="dxa"/>
          </w:tcPr>
          <w:p w14:paraId="1367902E" w14:textId="49F1A9C7" w:rsidR="004A51C2" w:rsidRPr="004A51C2" w:rsidRDefault="004A51C2" w:rsidP="004A51C2">
            <w:pPr>
              <w:bidi w:val="0"/>
              <w:spacing w:after="120" w:line="276" w:lineRule="auto"/>
              <w:ind w:firstLine="284"/>
              <w:jc w:val="center"/>
              <w:rPr>
                <w:rFonts w:asciiTheme="majorBidi" w:hAnsiTheme="majorBidi" w:cstheme="majorBidi"/>
                <w:b/>
                <w:bCs/>
                <w:sz w:val="32"/>
                <w:szCs w:val="32"/>
              </w:rPr>
            </w:pPr>
            <w:r w:rsidRPr="004A51C2">
              <w:rPr>
                <w:rFonts w:asciiTheme="majorBidi" w:hAnsiTheme="majorBidi" w:cstheme="majorBidi"/>
                <w:b/>
                <w:bCs/>
                <w:sz w:val="32"/>
                <w:szCs w:val="32"/>
              </w:rPr>
              <w:t>Dr. Fayez Jrad</w:t>
            </w:r>
          </w:p>
        </w:tc>
      </w:tr>
    </w:tbl>
    <w:p w14:paraId="2EF85F8C" w14:textId="77777777" w:rsidR="004A51C2" w:rsidRDefault="004A51C2" w:rsidP="004A51C2">
      <w:pPr>
        <w:bidi w:val="0"/>
        <w:spacing w:after="120" w:line="276" w:lineRule="auto"/>
        <w:ind w:firstLine="284"/>
        <w:jc w:val="center"/>
        <w:rPr>
          <w:rFonts w:asciiTheme="majorBidi" w:hAnsiTheme="majorBidi" w:cstheme="majorBidi"/>
          <w:sz w:val="28"/>
          <w:szCs w:val="28"/>
        </w:rPr>
      </w:pPr>
    </w:p>
    <w:p w14:paraId="6CC338F6" w14:textId="77777777" w:rsidR="004A51C2" w:rsidRPr="004A51C2" w:rsidRDefault="004A51C2" w:rsidP="004A51C2">
      <w:pPr>
        <w:bidi w:val="0"/>
        <w:spacing w:after="120" w:line="276" w:lineRule="auto"/>
        <w:jc w:val="center"/>
        <w:rPr>
          <w:rFonts w:asciiTheme="majorBidi" w:hAnsiTheme="majorBidi" w:cstheme="majorBidi"/>
          <w:sz w:val="28"/>
          <w:szCs w:val="28"/>
        </w:rPr>
      </w:pPr>
      <w:r w:rsidRPr="004A51C2">
        <w:rPr>
          <w:rFonts w:asciiTheme="majorBidi" w:hAnsiTheme="majorBidi" w:cstheme="majorBidi"/>
          <w:sz w:val="28"/>
          <w:szCs w:val="28"/>
        </w:rPr>
        <w:t>Faculty of management- Midocean University</w:t>
      </w:r>
    </w:p>
    <w:p w14:paraId="186D2C48" w14:textId="30F4CADE" w:rsidR="004A51C2" w:rsidRPr="004A51C2" w:rsidRDefault="004A51C2" w:rsidP="004A51C2">
      <w:pPr>
        <w:bidi w:val="0"/>
        <w:spacing w:after="120" w:line="276" w:lineRule="auto"/>
        <w:jc w:val="center"/>
        <w:rPr>
          <w:rFonts w:asciiTheme="majorBidi" w:hAnsiTheme="majorBidi" w:cstheme="majorBidi"/>
          <w:sz w:val="28"/>
          <w:szCs w:val="28"/>
        </w:rPr>
      </w:pPr>
      <w:r>
        <w:rPr>
          <w:rFonts w:asciiTheme="majorBidi" w:hAnsiTheme="majorBidi" w:cstheme="majorBidi"/>
          <w:sz w:val="28"/>
          <w:szCs w:val="28"/>
        </w:rPr>
        <w:t>2025</w:t>
      </w:r>
    </w:p>
    <w:p w14:paraId="7E2F8219" w14:textId="77777777" w:rsidR="004A51C2" w:rsidRDefault="004A51C2" w:rsidP="004A51C2">
      <w:pPr>
        <w:bidi w:val="0"/>
        <w:spacing w:line="360" w:lineRule="auto"/>
        <w:rPr>
          <w:rFonts w:asciiTheme="majorBidi" w:hAnsiTheme="majorBidi" w:cstheme="majorBidi"/>
          <w:b/>
          <w:bCs/>
          <w:sz w:val="24"/>
          <w:szCs w:val="24"/>
        </w:rPr>
      </w:pPr>
    </w:p>
    <w:p w14:paraId="1D965182" w14:textId="074CD71E" w:rsidR="00661A7B" w:rsidRDefault="00661A7B" w:rsidP="00661A7B">
      <w:pPr>
        <w:pStyle w:val="ad"/>
      </w:pPr>
      <w:bookmarkStart w:id="225" w:name="_Toc214622035"/>
      <w:r>
        <w:t xml:space="preserve">Table </w:t>
      </w:r>
      <w:r>
        <w:fldChar w:fldCharType="begin"/>
      </w:r>
      <w:r>
        <w:instrText xml:space="preserve"> SEQ Table \* ARABIC </w:instrText>
      </w:r>
      <w:r>
        <w:fldChar w:fldCharType="separate"/>
      </w:r>
      <w:r w:rsidR="00CD4CCF">
        <w:t>29</w:t>
      </w:r>
      <w:r>
        <w:fldChar w:fldCharType="end"/>
      </w:r>
      <w:r>
        <w:t xml:space="preserve">: </w:t>
      </w:r>
      <w:r w:rsidRPr="00E340E9">
        <w:t>Study Variables, Dimensions</w:t>
      </w:r>
      <w:bookmarkEnd w:id="2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5"/>
        <w:gridCol w:w="3496"/>
        <w:gridCol w:w="1350"/>
        <w:gridCol w:w="2120"/>
      </w:tblGrid>
      <w:tr w:rsidR="001840E9" w:rsidRPr="001840E9" w14:paraId="1905B307" w14:textId="77777777" w:rsidTr="00661A7B">
        <w:trPr>
          <w:trHeight w:val="20"/>
        </w:trPr>
        <w:tc>
          <w:tcPr>
            <w:tcW w:w="0" w:type="auto"/>
            <w:shd w:val="clear" w:color="auto" w:fill="F2F2F2" w:themeFill="background1" w:themeFillShade="F2"/>
            <w:vAlign w:val="center"/>
            <w:hideMark/>
          </w:tcPr>
          <w:p w14:paraId="45F23A53" w14:textId="77777777" w:rsidR="001840E9" w:rsidRPr="001840E9" w:rsidRDefault="001840E9" w:rsidP="001840E9">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840E9">
              <w:rPr>
                <w:rFonts w:asciiTheme="majorBidi" w:eastAsia="Times New Roman" w:hAnsiTheme="majorBidi" w:cstheme="majorBidi"/>
                <w:b/>
                <w:bCs/>
                <w:color w:val="000000"/>
                <w:kern w:val="0"/>
                <w:sz w:val="24"/>
                <w:szCs w:val="24"/>
                <w14:ligatures w14:val="none"/>
              </w:rPr>
              <w:t>Variable</w:t>
            </w:r>
          </w:p>
        </w:tc>
        <w:tc>
          <w:tcPr>
            <w:tcW w:w="3496" w:type="dxa"/>
            <w:shd w:val="clear" w:color="auto" w:fill="F2F2F2" w:themeFill="background1" w:themeFillShade="F2"/>
            <w:vAlign w:val="center"/>
            <w:hideMark/>
          </w:tcPr>
          <w:p w14:paraId="78B46C19" w14:textId="77777777" w:rsidR="001840E9" w:rsidRPr="001840E9" w:rsidRDefault="001840E9" w:rsidP="001840E9">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840E9">
              <w:rPr>
                <w:rFonts w:asciiTheme="majorBidi" w:eastAsia="Times New Roman" w:hAnsiTheme="majorBidi" w:cstheme="majorBidi"/>
                <w:b/>
                <w:bCs/>
                <w:color w:val="000000"/>
                <w:kern w:val="0"/>
                <w:sz w:val="24"/>
                <w:szCs w:val="24"/>
                <w14:ligatures w14:val="none"/>
              </w:rPr>
              <w:t>Variable Dimensions</w:t>
            </w:r>
          </w:p>
        </w:tc>
        <w:tc>
          <w:tcPr>
            <w:tcW w:w="1350" w:type="dxa"/>
            <w:shd w:val="clear" w:color="auto" w:fill="F2F2F2" w:themeFill="background1" w:themeFillShade="F2"/>
            <w:vAlign w:val="center"/>
            <w:hideMark/>
          </w:tcPr>
          <w:p w14:paraId="3CA3F524" w14:textId="77777777" w:rsidR="001840E9" w:rsidRPr="001840E9" w:rsidRDefault="001840E9" w:rsidP="001840E9">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840E9">
              <w:rPr>
                <w:rFonts w:asciiTheme="majorBidi" w:eastAsia="Times New Roman" w:hAnsiTheme="majorBidi" w:cstheme="majorBidi"/>
                <w:b/>
                <w:bCs/>
                <w:color w:val="000000"/>
                <w:kern w:val="0"/>
                <w:sz w:val="24"/>
                <w:szCs w:val="24"/>
                <w14:ligatures w14:val="none"/>
              </w:rPr>
              <w:t>Number of Statements</w:t>
            </w:r>
          </w:p>
        </w:tc>
        <w:tc>
          <w:tcPr>
            <w:tcW w:w="2120" w:type="dxa"/>
            <w:shd w:val="clear" w:color="auto" w:fill="F2F2F2" w:themeFill="background1" w:themeFillShade="F2"/>
            <w:vAlign w:val="center"/>
            <w:hideMark/>
          </w:tcPr>
          <w:p w14:paraId="79003BDE" w14:textId="77777777" w:rsidR="001840E9" w:rsidRPr="001840E9" w:rsidRDefault="001840E9" w:rsidP="001840E9">
            <w:pPr>
              <w:bidi w:val="0"/>
              <w:spacing w:after="0" w:line="240" w:lineRule="auto"/>
              <w:jc w:val="center"/>
              <w:rPr>
                <w:rFonts w:asciiTheme="majorBidi" w:eastAsia="Times New Roman" w:hAnsiTheme="majorBidi" w:cstheme="majorBidi"/>
                <w:b/>
                <w:bCs/>
                <w:color w:val="000000"/>
                <w:kern w:val="0"/>
                <w:sz w:val="24"/>
                <w:szCs w:val="24"/>
                <w14:ligatures w14:val="none"/>
              </w:rPr>
            </w:pPr>
            <w:r w:rsidRPr="001840E9">
              <w:rPr>
                <w:rFonts w:asciiTheme="majorBidi" w:eastAsia="Times New Roman" w:hAnsiTheme="majorBidi" w:cstheme="majorBidi"/>
                <w:b/>
                <w:bCs/>
                <w:color w:val="000000"/>
                <w:kern w:val="0"/>
                <w:sz w:val="24"/>
                <w:szCs w:val="24"/>
                <w14:ligatures w14:val="none"/>
              </w:rPr>
              <w:t>Source</w:t>
            </w:r>
          </w:p>
        </w:tc>
      </w:tr>
      <w:tr w:rsidR="00661A7B" w:rsidRPr="001840E9" w14:paraId="337EADDB" w14:textId="77777777" w:rsidTr="00661A7B">
        <w:trPr>
          <w:trHeight w:val="20"/>
        </w:trPr>
        <w:tc>
          <w:tcPr>
            <w:tcW w:w="0" w:type="auto"/>
            <w:vAlign w:val="center"/>
            <w:hideMark/>
          </w:tcPr>
          <w:p w14:paraId="0AB1E54B" w14:textId="77777777" w:rsidR="00661A7B" w:rsidRPr="001840E9" w:rsidRDefault="00661A7B" w:rsidP="00661A7B">
            <w:pPr>
              <w:bidi w:val="0"/>
              <w:spacing w:after="0" w:line="240" w:lineRule="auto"/>
              <w:jc w:val="center"/>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Functional Relationship Between Account Managers and Sales Teams</w:t>
            </w:r>
          </w:p>
        </w:tc>
        <w:tc>
          <w:tcPr>
            <w:tcW w:w="3496" w:type="dxa"/>
            <w:vAlign w:val="center"/>
            <w:hideMark/>
          </w:tcPr>
          <w:p w14:paraId="3BBD75AE" w14:textId="05438FB3"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1. Communication Quality &amp; Cadence</w:t>
            </w:r>
          </w:p>
          <w:p w14:paraId="51D8F684" w14:textId="0BEC84BF"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2. Information Sharing &amp; Data Integration</w:t>
            </w:r>
          </w:p>
          <w:p w14:paraId="4789EFF0" w14:textId="0BAD4824"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3. Goal/KPI &amp; Incentive Alignment</w:t>
            </w:r>
          </w:p>
          <w:p w14:paraId="65B6283D" w14:textId="0B75F6CE"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4. Decision Rights &amp; Escalation Clarity (RACI)</w:t>
            </w:r>
          </w:p>
        </w:tc>
        <w:tc>
          <w:tcPr>
            <w:tcW w:w="1350" w:type="dxa"/>
            <w:vAlign w:val="center"/>
            <w:hideMark/>
          </w:tcPr>
          <w:p w14:paraId="18329CA1" w14:textId="77777777" w:rsidR="00661A7B" w:rsidRPr="001840E9" w:rsidRDefault="00661A7B" w:rsidP="00661A7B">
            <w:pPr>
              <w:bidi w:val="0"/>
              <w:spacing w:after="0" w:line="240" w:lineRule="auto"/>
              <w:jc w:val="center"/>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1–8</w:t>
            </w:r>
          </w:p>
        </w:tc>
        <w:tc>
          <w:tcPr>
            <w:tcW w:w="2120" w:type="dxa"/>
            <w:vAlign w:val="center"/>
            <w:hideMark/>
          </w:tcPr>
          <w:p w14:paraId="183FF5D9" w14:textId="77777777" w:rsidR="00661A7B" w:rsidRDefault="00661A7B" w:rsidP="002E6F27">
            <w:pPr>
              <w:pStyle w:val="a5"/>
              <w:numPr>
                <w:ilvl w:val="0"/>
                <w:numId w:val="67"/>
              </w:numPr>
              <w:bidi w:val="0"/>
              <w:spacing w:after="0" w:line="240" w:lineRule="auto"/>
              <w:ind w:left="388"/>
              <w:rPr>
                <w:rFonts w:asciiTheme="majorBidi" w:eastAsia="Calibri" w:hAnsiTheme="majorBidi" w:cstheme="majorBidi"/>
                <w:sz w:val="24"/>
                <w:szCs w:val="24"/>
                <w:lang w:bidi="ar-EG"/>
              </w:rPr>
            </w:pPr>
            <w:r w:rsidRPr="00661A7B">
              <w:rPr>
                <w:rFonts w:asciiTheme="majorBidi" w:eastAsia="Calibri" w:hAnsiTheme="majorBidi" w:cstheme="majorBidi"/>
                <w:sz w:val="24"/>
                <w:szCs w:val="24"/>
                <w:lang w:bidi="ar-EG"/>
              </w:rPr>
              <w:t>Imtiaz et al., 2023</w:t>
            </w:r>
          </w:p>
          <w:p w14:paraId="68AF989D" w14:textId="14944C4E" w:rsidR="00661A7B" w:rsidRPr="00661A7B" w:rsidRDefault="00661A7B" w:rsidP="002E6F27">
            <w:pPr>
              <w:pStyle w:val="a5"/>
              <w:numPr>
                <w:ilvl w:val="0"/>
                <w:numId w:val="67"/>
              </w:numPr>
              <w:bidi w:val="0"/>
              <w:spacing w:after="0" w:line="240" w:lineRule="auto"/>
              <w:ind w:left="388"/>
              <w:rPr>
                <w:rFonts w:asciiTheme="majorBidi" w:eastAsia="Calibri" w:hAnsiTheme="majorBidi" w:cstheme="majorBidi"/>
                <w:sz w:val="24"/>
                <w:szCs w:val="24"/>
                <w:lang w:bidi="ar-EG"/>
              </w:rPr>
            </w:pPr>
            <w:r w:rsidRPr="00661A7B">
              <w:rPr>
                <w:rFonts w:asciiTheme="majorBidi" w:eastAsia="Calibri" w:hAnsiTheme="majorBidi" w:cstheme="majorBidi"/>
                <w:sz w:val="24"/>
                <w:szCs w:val="24"/>
                <w:lang w:bidi="ar-EG"/>
              </w:rPr>
              <w:t>Narayanan et al., 2015</w:t>
            </w:r>
          </w:p>
        </w:tc>
      </w:tr>
      <w:tr w:rsidR="00661A7B" w:rsidRPr="001840E9" w14:paraId="79ED2A2E" w14:textId="77777777" w:rsidTr="00661A7B">
        <w:trPr>
          <w:trHeight w:val="20"/>
        </w:trPr>
        <w:tc>
          <w:tcPr>
            <w:tcW w:w="0" w:type="auto"/>
            <w:vAlign w:val="center"/>
            <w:hideMark/>
          </w:tcPr>
          <w:p w14:paraId="1DE076D7" w14:textId="77777777" w:rsidR="00661A7B" w:rsidRPr="001840E9" w:rsidRDefault="00661A7B" w:rsidP="00661A7B">
            <w:pPr>
              <w:bidi w:val="0"/>
              <w:spacing w:after="0" w:line="240" w:lineRule="auto"/>
              <w:jc w:val="center"/>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Risk Management Effectiveness</w:t>
            </w:r>
          </w:p>
        </w:tc>
        <w:tc>
          <w:tcPr>
            <w:tcW w:w="3496" w:type="dxa"/>
            <w:vAlign w:val="center"/>
            <w:hideMark/>
          </w:tcPr>
          <w:p w14:paraId="2AC78B2F" w14:textId="11B53BC3"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1. Early Risk Identification &amp; Onboarding Quality</w:t>
            </w:r>
          </w:p>
          <w:p w14:paraId="025EDBC1" w14:textId="70C26188"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2. Credit Discipline &amp; Outcomes</w:t>
            </w:r>
          </w:p>
          <w:p w14:paraId="6E55FBED" w14:textId="6C24995C"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3. Liquidity &amp; Market-Risk Fit at Origination</w:t>
            </w:r>
          </w:p>
          <w:p w14:paraId="473BC622" w14:textId="0C21235A" w:rsidR="00661A7B" w:rsidRPr="001840E9" w:rsidRDefault="00661A7B" w:rsidP="00661A7B">
            <w:pPr>
              <w:bidi w:val="0"/>
              <w:spacing w:after="0" w:line="240" w:lineRule="auto"/>
              <w:ind w:left="266" w:hanging="266"/>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4. Operational Resilience &amp; Third-Party Risk Control</w:t>
            </w:r>
          </w:p>
        </w:tc>
        <w:tc>
          <w:tcPr>
            <w:tcW w:w="1350" w:type="dxa"/>
            <w:vAlign w:val="center"/>
            <w:hideMark/>
          </w:tcPr>
          <w:p w14:paraId="5B2CF0C0" w14:textId="77777777" w:rsidR="00661A7B" w:rsidRPr="001840E9" w:rsidRDefault="00661A7B" w:rsidP="00661A7B">
            <w:pPr>
              <w:bidi w:val="0"/>
              <w:spacing w:after="0" w:line="240" w:lineRule="auto"/>
              <w:jc w:val="center"/>
              <w:rPr>
                <w:rFonts w:asciiTheme="majorBidi" w:eastAsia="Times New Roman" w:hAnsiTheme="majorBidi" w:cstheme="majorBidi"/>
                <w:color w:val="000000"/>
                <w:kern w:val="0"/>
                <w:sz w:val="24"/>
                <w:szCs w:val="24"/>
                <w14:ligatures w14:val="none"/>
              </w:rPr>
            </w:pPr>
            <w:r w:rsidRPr="001840E9">
              <w:rPr>
                <w:rFonts w:asciiTheme="majorBidi" w:eastAsia="Times New Roman" w:hAnsiTheme="majorBidi" w:cstheme="majorBidi"/>
                <w:color w:val="000000"/>
                <w:kern w:val="0"/>
                <w:sz w:val="24"/>
                <w:szCs w:val="24"/>
                <w14:ligatures w14:val="none"/>
              </w:rPr>
              <w:t>9–16</w:t>
            </w:r>
          </w:p>
        </w:tc>
        <w:tc>
          <w:tcPr>
            <w:tcW w:w="2120" w:type="dxa"/>
            <w:vAlign w:val="center"/>
            <w:hideMark/>
          </w:tcPr>
          <w:p w14:paraId="6076F437" w14:textId="77777777" w:rsidR="00661A7B" w:rsidRPr="00661A7B" w:rsidRDefault="00661A7B" w:rsidP="002E6F27">
            <w:pPr>
              <w:pStyle w:val="a5"/>
              <w:numPr>
                <w:ilvl w:val="0"/>
                <w:numId w:val="65"/>
              </w:numPr>
              <w:bidi w:val="0"/>
              <w:spacing w:after="0" w:line="240" w:lineRule="auto"/>
              <w:ind w:left="317"/>
              <w:rPr>
                <w:rFonts w:asciiTheme="majorBidi" w:eastAsia="Times New Roman" w:hAnsiTheme="majorBidi" w:cstheme="majorBidi"/>
                <w:color w:val="000000"/>
                <w:kern w:val="0"/>
                <w:sz w:val="24"/>
                <w:szCs w:val="24"/>
                <w:u w:val="single"/>
                <w14:ligatures w14:val="none"/>
              </w:rPr>
            </w:pPr>
            <w:r w:rsidRPr="00661A7B">
              <w:rPr>
                <w:rFonts w:asciiTheme="majorBidi" w:eastAsia="Times New Roman" w:hAnsiTheme="majorBidi" w:cstheme="majorBidi"/>
                <w:color w:val="000000"/>
                <w:kern w:val="0"/>
                <w:sz w:val="24"/>
                <w:szCs w:val="24"/>
                <w:u w:val="single"/>
                <w14:ligatures w14:val="none"/>
              </w:rPr>
              <w:t>Al Hammadi et al., 2024</w:t>
            </w:r>
          </w:p>
          <w:p w14:paraId="4E83D226" w14:textId="77777777" w:rsidR="00661A7B" w:rsidRPr="00661A7B" w:rsidRDefault="00661A7B" w:rsidP="002E6F27">
            <w:pPr>
              <w:pStyle w:val="a5"/>
              <w:numPr>
                <w:ilvl w:val="0"/>
                <w:numId w:val="65"/>
              </w:numPr>
              <w:bidi w:val="0"/>
              <w:spacing w:after="0" w:line="240" w:lineRule="auto"/>
              <w:ind w:left="317"/>
              <w:rPr>
                <w:rFonts w:asciiTheme="majorBidi" w:eastAsia="Times New Roman" w:hAnsiTheme="majorBidi" w:cstheme="majorBidi"/>
                <w:color w:val="000000"/>
                <w:kern w:val="0"/>
                <w:sz w:val="24"/>
                <w:szCs w:val="24"/>
                <w:u w:val="single"/>
                <w14:ligatures w14:val="none"/>
              </w:rPr>
            </w:pPr>
            <w:r w:rsidRPr="00661A7B">
              <w:rPr>
                <w:rFonts w:asciiTheme="majorBidi" w:eastAsia="Times New Roman" w:hAnsiTheme="majorBidi" w:cstheme="majorBidi"/>
                <w:color w:val="000000"/>
                <w:kern w:val="0"/>
                <w:sz w:val="24"/>
                <w:szCs w:val="24"/>
                <w:u w:val="single"/>
                <w14:ligatures w14:val="none"/>
              </w:rPr>
              <w:t>Abdulla &amp; Elshandidy, 2023</w:t>
            </w:r>
          </w:p>
          <w:p w14:paraId="661CCCE4" w14:textId="3D5E29D0" w:rsidR="00661A7B" w:rsidRPr="001840E9" w:rsidRDefault="00661A7B" w:rsidP="00661A7B">
            <w:pPr>
              <w:bidi w:val="0"/>
              <w:spacing w:after="0" w:line="240" w:lineRule="auto"/>
              <w:jc w:val="center"/>
              <w:rPr>
                <w:rFonts w:asciiTheme="majorBidi" w:eastAsia="Times New Roman" w:hAnsiTheme="majorBidi" w:cstheme="majorBidi"/>
                <w:color w:val="000000"/>
                <w:kern w:val="0"/>
                <w:sz w:val="24"/>
                <w:szCs w:val="24"/>
                <w14:ligatures w14:val="none"/>
              </w:rPr>
            </w:pPr>
          </w:p>
        </w:tc>
      </w:tr>
    </w:tbl>
    <w:p w14:paraId="0EACDA04" w14:textId="18348693" w:rsidR="00552E44" w:rsidRDefault="00552E44" w:rsidP="00552E44">
      <w:pPr>
        <w:bidi w:val="0"/>
        <w:spacing w:line="360" w:lineRule="auto"/>
        <w:rPr>
          <w:rFonts w:asciiTheme="majorBidi" w:hAnsiTheme="majorBidi" w:cstheme="majorBidi"/>
          <w:b/>
          <w:bCs/>
          <w:sz w:val="24"/>
          <w:szCs w:val="24"/>
        </w:rPr>
      </w:pPr>
    </w:p>
    <w:p w14:paraId="06A8EF17" w14:textId="08FDB286" w:rsidR="00552E44" w:rsidRPr="00200715" w:rsidRDefault="00200715" w:rsidP="002E6F27">
      <w:pPr>
        <w:pStyle w:val="a6"/>
        <w:numPr>
          <w:ilvl w:val="0"/>
          <w:numId w:val="56"/>
        </w:numPr>
        <w:shd w:val="clear" w:color="auto" w:fill="FFFFFF"/>
        <w:spacing w:line="360" w:lineRule="auto"/>
        <w:rPr>
          <w:rFonts w:asciiTheme="majorBidi" w:hAnsiTheme="majorBidi" w:cstheme="majorBidi"/>
          <w:b/>
          <w:bCs/>
          <w:color w:val="202124"/>
          <w:sz w:val="28"/>
          <w:szCs w:val="28"/>
        </w:rPr>
      </w:pPr>
      <w:bookmarkStart w:id="226" w:name="_Hlk172914676"/>
      <w:r w:rsidRPr="00855B76">
        <w:rPr>
          <w:rFonts w:asciiTheme="majorBidi" w:hAnsiTheme="majorBidi" w:cstheme="majorBidi"/>
          <w:b/>
          <w:bCs/>
          <w:color w:val="202124"/>
          <w:sz w:val="28"/>
          <w:szCs w:val="28"/>
        </w:rPr>
        <w:t>Personal Information</w:t>
      </w:r>
      <w:bookmarkEnd w:id="226"/>
      <w:r w:rsidRPr="00855B76">
        <w:rPr>
          <w:rFonts w:asciiTheme="majorBidi" w:hAnsiTheme="majorBidi" w:cstheme="majorBidi"/>
          <w:b/>
          <w:bCs/>
          <w:color w:val="202124"/>
          <w:sz w:val="28"/>
          <w:szCs w:val="28"/>
        </w:rPr>
        <w:t>:</w:t>
      </w:r>
    </w:p>
    <w:tbl>
      <w:tblPr>
        <w:tblStyle w:val="ae"/>
        <w:tblW w:w="5552" w:type="pct"/>
        <w:tblLayout w:type="fixed"/>
        <w:tblLook w:val="04A0" w:firstRow="1" w:lastRow="0" w:firstColumn="1" w:lastColumn="0" w:noHBand="0" w:noVBand="1"/>
      </w:tblPr>
      <w:tblGrid>
        <w:gridCol w:w="1980"/>
        <w:gridCol w:w="1841"/>
        <w:gridCol w:w="497"/>
        <w:gridCol w:w="1759"/>
        <w:gridCol w:w="1841"/>
        <w:gridCol w:w="1284"/>
        <w:gridCol w:w="859"/>
      </w:tblGrid>
      <w:tr w:rsidR="00F21303" w:rsidRPr="00F14A9C" w14:paraId="64BB357B" w14:textId="77777777" w:rsidTr="00EC6407">
        <w:trPr>
          <w:trHeight w:val="567"/>
        </w:trPr>
        <w:tc>
          <w:tcPr>
            <w:tcW w:w="5000" w:type="pct"/>
            <w:gridSpan w:val="7"/>
          </w:tcPr>
          <w:p w14:paraId="2D4FAD61" w14:textId="26F14F44" w:rsidR="00F21303" w:rsidRPr="00F14A9C" w:rsidRDefault="00F21303"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What is your gender?</w:t>
            </w:r>
          </w:p>
        </w:tc>
      </w:tr>
      <w:tr w:rsidR="00EC6407" w:rsidRPr="00F14A9C" w14:paraId="7C0208F2" w14:textId="77777777" w:rsidTr="00EC6407">
        <w:trPr>
          <w:trHeight w:val="567"/>
        </w:trPr>
        <w:tc>
          <w:tcPr>
            <w:tcW w:w="2146" w:type="pct"/>
            <w:gridSpan w:val="3"/>
          </w:tcPr>
          <w:p w14:paraId="138B8D85" w14:textId="1D4AAD06" w:rsidR="00F21303" w:rsidRPr="00F14A9C" w:rsidRDefault="00F21303"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Male</w:t>
            </w:r>
          </w:p>
        </w:tc>
        <w:tc>
          <w:tcPr>
            <w:tcW w:w="2854" w:type="pct"/>
            <w:gridSpan w:val="4"/>
          </w:tcPr>
          <w:p w14:paraId="0860935D" w14:textId="443E0ED1" w:rsidR="00F21303" w:rsidRPr="00F14A9C" w:rsidRDefault="00F21303"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Female</w:t>
            </w:r>
          </w:p>
        </w:tc>
      </w:tr>
      <w:tr w:rsidR="00F21303" w:rsidRPr="00F14A9C" w14:paraId="3B7C41A5" w14:textId="77777777" w:rsidTr="00EC6407">
        <w:trPr>
          <w:trHeight w:val="567"/>
        </w:trPr>
        <w:tc>
          <w:tcPr>
            <w:tcW w:w="5000" w:type="pct"/>
            <w:gridSpan w:val="7"/>
          </w:tcPr>
          <w:p w14:paraId="67978954" w14:textId="44C967A1" w:rsidR="00F21303" w:rsidRPr="00F14A9C" w:rsidRDefault="00F21303"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What is your age group?</w:t>
            </w:r>
          </w:p>
        </w:tc>
      </w:tr>
      <w:tr w:rsidR="00EC6407" w:rsidRPr="00F14A9C" w14:paraId="6645B288" w14:textId="77777777" w:rsidTr="00EC6407">
        <w:trPr>
          <w:trHeight w:val="567"/>
        </w:trPr>
        <w:tc>
          <w:tcPr>
            <w:tcW w:w="984" w:type="pct"/>
          </w:tcPr>
          <w:p w14:paraId="28EF2086" w14:textId="4C241D3D"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18–25 years</w:t>
            </w:r>
          </w:p>
        </w:tc>
        <w:tc>
          <w:tcPr>
            <w:tcW w:w="915" w:type="pct"/>
          </w:tcPr>
          <w:p w14:paraId="78BF7663" w14:textId="2E43DDF2"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26–35 years</w:t>
            </w:r>
          </w:p>
        </w:tc>
        <w:tc>
          <w:tcPr>
            <w:tcW w:w="1121" w:type="pct"/>
            <w:gridSpan w:val="2"/>
          </w:tcPr>
          <w:p w14:paraId="642DBFA1" w14:textId="3E2079E6"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36–45 years</w:t>
            </w:r>
          </w:p>
        </w:tc>
        <w:tc>
          <w:tcPr>
            <w:tcW w:w="915" w:type="pct"/>
          </w:tcPr>
          <w:p w14:paraId="4A1D7381" w14:textId="43098F17"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46–55 years</w:t>
            </w:r>
          </w:p>
        </w:tc>
        <w:tc>
          <w:tcPr>
            <w:tcW w:w="1065" w:type="pct"/>
            <w:gridSpan w:val="2"/>
          </w:tcPr>
          <w:p w14:paraId="0127932C" w14:textId="24DD707E"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56 years or older</w:t>
            </w:r>
          </w:p>
        </w:tc>
      </w:tr>
      <w:tr w:rsidR="00F14A9C" w:rsidRPr="00F14A9C" w14:paraId="0F1FE077" w14:textId="77777777" w:rsidTr="00EC6407">
        <w:trPr>
          <w:trHeight w:val="567"/>
        </w:trPr>
        <w:tc>
          <w:tcPr>
            <w:tcW w:w="5000" w:type="pct"/>
            <w:gridSpan w:val="7"/>
          </w:tcPr>
          <w:p w14:paraId="3CF7F286" w14:textId="329D0CB6"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What is your highest level of education?</w:t>
            </w:r>
          </w:p>
        </w:tc>
      </w:tr>
      <w:tr w:rsidR="00EC6407" w:rsidRPr="00F14A9C" w14:paraId="136F799D" w14:textId="77777777" w:rsidTr="00EC6407">
        <w:trPr>
          <w:trHeight w:val="567"/>
        </w:trPr>
        <w:tc>
          <w:tcPr>
            <w:tcW w:w="984" w:type="pct"/>
          </w:tcPr>
          <w:p w14:paraId="54F2EA47" w14:textId="0DCEF92A"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High school diploma or equivalent</w:t>
            </w:r>
          </w:p>
        </w:tc>
        <w:tc>
          <w:tcPr>
            <w:tcW w:w="915" w:type="pct"/>
          </w:tcPr>
          <w:p w14:paraId="061296B7" w14:textId="36760F36"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Bachelor’s degree</w:t>
            </w:r>
          </w:p>
        </w:tc>
        <w:tc>
          <w:tcPr>
            <w:tcW w:w="1121" w:type="pct"/>
            <w:gridSpan w:val="2"/>
          </w:tcPr>
          <w:p w14:paraId="122C93B2" w14:textId="6CA7993D"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Master’s degree</w:t>
            </w:r>
          </w:p>
        </w:tc>
        <w:tc>
          <w:tcPr>
            <w:tcW w:w="915" w:type="pct"/>
          </w:tcPr>
          <w:p w14:paraId="532AC364" w14:textId="214FB592"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Doctoral degree</w:t>
            </w:r>
          </w:p>
        </w:tc>
        <w:tc>
          <w:tcPr>
            <w:tcW w:w="1065" w:type="pct"/>
            <w:gridSpan w:val="2"/>
          </w:tcPr>
          <w:p w14:paraId="050106D3" w14:textId="22369731"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Other</w:t>
            </w:r>
          </w:p>
        </w:tc>
      </w:tr>
      <w:tr w:rsidR="00F14A9C" w:rsidRPr="00F14A9C" w14:paraId="4AC13863" w14:textId="77777777" w:rsidTr="00EC6407">
        <w:trPr>
          <w:trHeight w:val="567"/>
        </w:trPr>
        <w:tc>
          <w:tcPr>
            <w:tcW w:w="5000" w:type="pct"/>
            <w:gridSpan w:val="7"/>
          </w:tcPr>
          <w:p w14:paraId="0422EBEB" w14:textId="3BD64AF5"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How long have you been employed at Al Rajhi Bank?</w:t>
            </w:r>
          </w:p>
        </w:tc>
      </w:tr>
      <w:tr w:rsidR="00EC6407" w:rsidRPr="00F14A9C" w14:paraId="370D9B93" w14:textId="77777777" w:rsidTr="00EC6407">
        <w:trPr>
          <w:trHeight w:val="567"/>
        </w:trPr>
        <w:tc>
          <w:tcPr>
            <w:tcW w:w="984" w:type="pct"/>
          </w:tcPr>
          <w:p w14:paraId="719D19A2" w14:textId="34C919BE"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Less than 1 year</w:t>
            </w:r>
          </w:p>
        </w:tc>
        <w:tc>
          <w:tcPr>
            <w:tcW w:w="915" w:type="pct"/>
          </w:tcPr>
          <w:p w14:paraId="32ED5CBB" w14:textId="61B06B5A"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1–3 years</w:t>
            </w:r>
          </w:p>
        </w:tc>
        <w:tc>
          <w:tcPr>
            <w:tcW w:w="1121" w:type="pct"/>
            <w:gridSpan w:val="2"/>
          </w:tcPr>
          <w:p w14:paraId="570B3598" w14:textId="42209B2F"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4–6 years</w:t>
            </w:r>
          </w:p>
        </w:tc>
        <w:tc>
          <w:tcPr>
            <w:tcW w:w="915" w:type="pct"/>
          </w:tcPr>
          <w:p w14:paraId="6413E2E1" w14:textId="07DB06E2"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7–10 years</w:t>
            </w:r>
          </w:p>
        </w:tc>
        <w:tc>
          <w:tcPr>
            <w:tcW w:w="1065" w:type="pct"/>
            <w:gridSpan w:val="2"/>
          </w:tcPr>
          <w:p w14:paraId="49254D27" w14:textId="37C6E764"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More than 10 years</w:t>
            </w:r>
          </w:p>
        </w:tc>
      </w:tr>
      <w:tr w:rsidR="00F14A9C" w:rsidRPr="00F14A9C" w14:paraId="55B5B918" w14:textId="77777777" w:rsidTr="00EC6407">
        <w:trPr>
          <w:trHeight w:val="567"/>
        </w:trPr>
        <w:tc>
          <w:tcPr>
            <w:tcW w:w="5000" w:type="pct"/>
            <w:gridSpan w:val="7"/>
          </w:tcPr>
          <w:p w14:paraId="7C43F25C" w14:textId="034189EA"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What is your current job level?</w:t>
            </w:r>
          </w:p>
        </w:tc>
      </w:tr>
      <w:tr w:rsidR="00EC6407" w:rsidRPr="00F14A9C" w14:paraId="18CB47E3" w14:textId="77777777" w:rsidTr="00EC6407">
        <w:trPr>
          <w:trHeight w:val="567"/>
        </w:trPr>
        <w:tc>
          <w:tcPr>
            <w:tcW w:w="984" w:type="pct"/>
          </w:tcPr>
          <w:p w14:paraId="378AA95B" w14:textId="54CDE6CC"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Entry-level</w:t>
            </w:r>
          </w:p>
        </w:tc>
        <w:tc>
          <w:tcPr>
            <w:tcW w:w="915" w:type="pct"/>
          </w:tcPr>
          <w:p w14:paraId="5D8FE784" w14:textId="246929F3"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Mid-level</w:t>
            </w:r>
          </w:p>
        </w:tc>
        <w:tc>
          <w:tcPr>
            <w:tcW w:w="1121" w:type="pct"/>
            <w:gridSpan w:val="2"/>
          </w:tcPr>
          <w:p w14:paraId="74B19C86" w14:textId="22BF68B5"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Senior-level</w:t>
            </w:r>
          </w:p>
        </w:tc>
        <w:tc>
          <w:tcPr>
            <w:tcW w:w="915" w:type="pct"/>
          </w:tcPr>
          <w:p w14:paraId="5CCEBE42" w14:textId="722661FC"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Management</w:t>
            </w:r>
          </w:p>
        </w:tc>
        <w:tc>
          <w:tcPr>
            <w:tcW w:w="638" w:type="pct"/>
          </w:tcPr>
          <w:p w14:paraId="0265D44E" w14:textId="0DA1B301"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Executive</w:t>
            </w:r>
          </w:p>
        </w:tc>
        <w:tc>
          <w:tcPr>
            <w:tcW w:w="427" w:type="pct"/>
          </w:tcPr>
          <w:p w14:paraId="70C03557" w14:textId="241C352D" w:rsidR="00F14A9C" w:rsidRPr="00F14A9C" w:rsidRDefault="00E45EED" w:rsidP="00552E44">
            <w:pPr>
              <w:bidi w:val="0"/>
              <w:spacing w:line="360" w:lineRule="auto"/>
              <w:rPr>
                <w:rFonts w:asciiTheme="majorBidi" w:hAnsiTheme="majorBidi" w:cstheme="majorBidi"/>
                <w:sz w:val="24"/>
                <w:szCs w:val="24"/>
              </w:rPr>
            </w:pPr>
            <w:r>
              <w:rPr>
                <w:rFonts w:asciiTheme="majorBidi" w:hAnsiTheme="majorBidi" w:cstheme="majorBidi"/>
                <w:sz w:val="24"/>
                <w:szCs w:val="24"/>
              </w:rPr>
              <w:t>Other</w:t>
            </w:r>
          </w:p>
        </w:tc>
      </w:tr>
      <w:tr w:rsidR="00F14A9C" w:rsidRPr="00F14A9C" w14:paraId="5F179681" w14:textId="77777777" w:rsidTr="00EC6407">
        <w:trPr>
          <w:trHeight w:val="567"/>
        </w:trPr>
        <w:tc>
          <w:tcPr>
            <w:tcW w:w="5000" w:type="pct"/>
            <w:gridSpan w:val="7"/>
          </w:tcPr>
          <w:p w14:paraId="5C525F1C" w14:textId="5CEB14A3" w:rsidR="00F14A9C" w:rsidRPr="00F14A9C" w:rsidRDefault="00F14A9C" w:rsidP="00552E44">
            <w:pPr>
              <w:bidi w:val="0"/>
              <w:spacing w:line="360" w:lineRule="auto"/>
              <w:rPr>
                <w:rFonts w:asciiTheme="majorBidi" w:hAnsiTheme="majorBidi" w:cstheme="majorBidi"/>
                <w:sz w:val="24"/>
                <w:szCs w:val="24"/>
              </w:rPr>
            </w:pPr>
            <w:r w:rsidRPr="00F14A9C">
              <w:rPr>
                <w:rFonts w:asciiTheme="majorBidi" w:hAnsiTheme="majorBidi" w:cstheme="majorBidi"/>
                <w:sz w:val="24"/>
                <w:szCs w:val="24"/>
              </w:rPr>
              <w:t>Which department do you currently work in?</w:t>
            </w:r>
          </w:p>
        </w:tc>
      </w:tr>
      <w:tr w:rsidR="00EC6407" w:rsidRPr="00F14A9C" w14:paraId="049FA8B2" w14:textId="77777777" w:rsidTr="00EC6407">
        <w:trPr>
          <w:trHeight w:val="567"/>
        </w:trPr>
        <w:tc>
          <w:tcPr>
            <w:tcW w:w="984" w:type="pct"/>
          </w:tcPr>
          <w:p w14:paraId="26F5AAD5" w14:textId="3EEE1FFD" w:rsidR="00EC6407" w:rsidRPr="00F14A9C" w:rsidRDefault="00EC6407" w:rsidP="00552E44">
            <w:pPr>
              <w:bidi w:val="0"/>
              <w:spacing w:line="360" w:lineRule="auto"/>
              <w:rPr>
                <w:rFonts w:asciiTheme="majorBidi" w:hAnsiTheme="majorBidi" w:cstheme="majorBidi"/>
                <w:sz w:val="24"/>
                <w:szCs w:val="24"/>
              </w:rPr>
            </w:pPr>
            <w:r w:rsidRPr="00EC6407">
              <w:rPr>
                <w:rFonts w:asciiTheme="majorBidi" w:hAnsiTheme="majorBidi" w:cstheme="majorBidi"/>
                <w:sz w:val="24"/>
                <w:szCs w:val="24"/>
              </w:rPr>
              <w:t>Account Management / Sales</w:t>
            </w:r>
          </w:p>
        </w:tc>
        <w:tc>
          <w:tcPr>
            <w:tcW w:w="915" w:type="pct"/>
          </w:tcPr>
          <w:p w14:paraId="39A76A4C" w14:textId="07AB4B8D" w:rsidR="00EC6407" w:rsidRPr="00F14A9C" w:rsidRDefault="00EC6407" w:rsidP="00552E44">
            <w:pPr>
              <w:bidi w:val="0"/>
              <w:spacing w:line="360" w:lineRule="auto"/>
              <w:rPr>
                <w:rFonts w:asciiTheme="majorBidi" w:hAnsiTheme="majorBidi" w:cstheme="majorBidi"/>
                <w:sz w:val="24"/>
                <w:szCs w:val="24"/>
              </w:rPr>
            </w:pPr>
            <w:r w:rsidRPr="00EC6407">
              <w:rPr>
                <w:rFonts w:asciiTheme="majorBidi" w:hAnsiTheme="majorBidi" w:cstheme="majorBidi"/>
                <w:sz w:val="24"/>
                <w:szCs w:val="24"/>
              </w:rPr>
              <w:t>Risk Management / Compliance</w:t>
            </w:r>
          </w:p>
        </w:tc>
        <w:tc>
          <w:tcPr>
            <w:tcW w:w="1121" w:type="pct"/>
            <w:gridSpan w:val="2"/>
          </w:tcPr>
          <w:p w14:paraId="66A5B2EF" w14:textId="70BF5D0C" w:rsidR="00EC6407" w:rsidRPr="00F14A9C" w:rsidRDefault="00EC6407" w:rsidP="00552E44">
            <w:pPr>
              <w:bidi w:val="0"/>
              <w:spacing w:line="360" w:lineRule="auto"/>
              <w:rPr>
                <w:rFonts w:asciiTheme="majorBidi" w:hAnsiTheme="majorBidi" w:cstheme="majorBidi"/>
                <w:sz w:val="24"/>
                <w:szCs w:val="24"/>
              </w:rPr>
            </w:pPr>
            <w:r w:rsidRPr="00EC6407">
              <w:rPr>
                <w:rFonts w:asciiTheme="majorBidi" w:hAnsiTheme="majorBidi" w:cstheme="majorBidi"/>
                <w:sz w:val="24"/>
                <w:szCs w:val="24"/>
              </w:rPr>
              <w:t>Operations</w:t>
            </w:r>
          </w:p>
        </w:tc>
        <w:tc>
          <w:tcPr>
            <w:tcW w:w="915" w:type="pct"/>
          </w:tcPr>
          <w:p w14:paraId="7DCE660B" w14:textId="58F8E38D" w:rsidR="00EC6407" w:rsidRPr="00F14A9C" w:rsidRDefault="00EC6407" w:rsidP="00552E44">
            <w:pPr>
              <w:bidi w:val="0"/>
              <w:spacing w:line="360" w:lineRule="auto"/>
              <w:rPr>
                <w:rFonts w:asciiTheme="majorBidi" w:hAnsiTheme="majorBidi" w:cstheme="majorBidi"/>
                <w:sz w:val="24"/>
                <w:szCs w:val="24"/>
              </w:rPr>
            </w:pPr>
            <w:r w:rsidRPr="00EC6407">
              <w:rPr>
                <w:rFonts w:asciiTheme="majorBidi" w:hAnsiTheme="majorBidi" w:cstheme="majorBidi"/>
                <w:sz w:val="24"/>
                <w:szCs w:val="24"/>
              </w:rPr>
              <w:t>IT / Technology</w:t>
            </w:r>
          </w:p>
        </w:tc>
        <w:tc>
          <w:tcPr>
            <w:tcW w:w="1065" w:type="pct"/>
            <w:gridSpan w:val="2"/>
          </w:tcPr>
          <w:p w14:paraId="3AA621C7" w14:textId="4095E524" w:rsidR="00EC6407" w:rsidRPr="00F14A9C" w:rsidRDefault="00EC6407" w:rsidP="00552E44">
            <w:pPr>
              <w:bidi w:val="0"/>
              <w:spacing w:line="360" w:lineRule="auto"/>
              <w:rPr>
                <w:rFonts w:asciiTheme="majorBidi" w:hAnsiTheme="majorBidi" w:cstheme="majorBidi"/>
                <w:sz w:val="24"/>
                <w:szCs w:val="24"/>
              </w:rPr>
            </w:pPr>
            <w:r w:rsidRPr="00EC6407">
              <w:rPr>
                <w:rFonts w:asciiTheme="majorBidi" w:hAnsiTheme="majorBidi" w:cstheme="majorBidi"/>
                <w:sz w:val="24"/>
                <w:szCs w:val="24"/>
              </w:rPr>
              <w:t>Finance / Other</w:t>
            </w:r>
          </w:p>
        </w:tc>
      </w:tr>
    </w:tbl>
    <w:p w14:paraId="6C2FC40D" w14:textId="77777777" w:rsidR="00200715" w:rsidRPr="00200715" w:rsidRDefault="00200715" w:rsidP="002E6F27">
      <w:pPr>
        <w:pStyle w:val="a5"/>
        <w:numPr>
          <w:ilvl w:val="0"/>
          <w:numId w:val="55"/>
        </w:numPr>
        <w:bidi w:val="0"/>
        <w:spacing w:after="120" w:line="276" w:lineRule="auto"/>
        <w:jc w:val="both"/>
        <w:rPr>
          <w:rFonts w:asciiTheme="majorBidi" w:eastAsia="Times New Roman" w:hAnsiTheme="majorBidi" w:cstheme="majorBidi"/>
          <w:b/>
          <w:bCs/>
          <w:color w:val="202124"/>
          <w:kern w:val="0"/>
          <w:sz w:val="28"/>
          <w:szCs w:val="28"/>
          <w14:ligatures w14:val="none"/>
        </w:rPr>
      </w:pPr>
      <w:r w:rsidRPr="00200715">
        <w:rPr>
          <w:rFonts w:asciiTheme="majorBidi" w:eastAsia="Times New Roman" w:hAnsiTheme="majorBidi" w:cstheme="majorBidi"/>
          <w:b/>
          <w:bCs/>
          <w:color w:val="202124"/>
          <w:kern w:val="0"/>
          <w:sz w:val="28"/>
          <w:szCs w:val="28"/>
          <w14:ligatures w14:val="none"/>
        </w:rPr>
        <w:t>Functional Relationship Between Account Managers and Sales Teams (Independent variable)</w:t>
      </w:r>
    </w:p>
    <w:p w14:paraId="00250819" w14:textId="66D05D6F" w:rsidR="00EC6407" w:rsidRPr="00200715" w:rsidRDefault="00200715" w:rsidP="00200715">
      <w:pPr>
        <w:bidi w:val="0"/>
        <w:spacing w:after="120" w:line="276" w:lineRule="auto"/>
        <w:ind w:firstLine="284"/>
        <w:jc w:val="both"/>
        <w:rPr>
          <w:rFonts w:asciiTheme="majorBidi" w:hAnsiTheme="majorBidi" w:cstheme="majorBidi"/>
          <w:sz w:val="24"/>
          <w:szCs w:val="24"/>
        </w:rPr>
      </w:pPr>
      <w:r w:rsidRPr="00E77952">
        <w:rPr>
          <w:rFonts w:asciiTheme="majorBidi" w:hAnsiTheme="majorBidi" w:cstheme="majorBidi"/>
          <w:sz w:val="24"/>
          <w:szCs w:val="24"/>
        </w:rPr>
        <w:t>This construct captures how effectively Account Managers (AMs) and Sales Teams coordinate to win and service clients within Al Rajhi Bank. It reflects the quality, frequency, and structure of their interaction, the robustness of shared data flows, the alignment of performance targets and incentives, and the clarity of decision rights and escalation paths (e.g., RACI-style responsibility mapping). Strong AM–Sales “functional fit” should reduce ambiguity, speed risk-aware decisions, and improve end-to-end client handling.</w:t>
      </w:r>
    </w:p>
    <w:tbl>
      <w:tblPr>
        <w:tblStyle w:val="ae"/>
        <w:tblW w:w="0" w:type="auto"/>
        <w:tblLook w:val="04A0" w:firstRow="1" w:lastRow="0" w:firstColumn="1" w:lastColumn="0" w:noHBand="0" w:noVBand="1"/>
      </w:tblPr>
      <w:tblGrid>
        <w:gridCol w:w="570"/>
        <w:gridCol w:w="3510"/>
        <w:gridCol w:w="1081"/>
        <w:gridCol w:w="1069"/>
        <w:gridCol w:w="978"/>
        <w:gridCol w:w="810"/>
        <w:gridCol w:w="1043"/>
      </w:tblGrid>
      <w:tr w:rsidR="00A16F06" w:rsidRPr="00855B76" w14:paraId="7A6D00CC" w14:textId="77777777" w:rsidTr="00200715">
        <w:tc>
          <w:tcPr>
            <w:tcW w:w="570" w:type="dxa"/>
          </w:tcPr>
          <w:p w14:paraId="412274A2"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No.</w:t>
            </w:r>
          </w:p>
        </w:tc>
        <w:tc>
          <w:tcPr>
            <w:tcW w:w="3510" w:type="dxa"/>
          </w:tcPr>
          <w:p w14:paraId="61E15267"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Statement</w:t>
            </w:r>
          </w:p>
        </w:tc>
        <w:tc>
          <w:tcPr>
            <w:tcW w:w="1081" w:type="dxa"/>
          </w:tcPr>
          <w:p w14:paraId="1C23144F"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Strongly Disagree</w:t>
            </w:r>
          </w:p>
        </w:tc>
        <w:tc>
          <w:tcPr>
            <w:tcW w:w="1069" w:type="dxa"/>
          </w:tcPr>
          <w:p w14:paraId="08CEDAD7"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Disagree</w:t>
            </w:r>
          </w:p>
        </w:tc>
        <w:tc>
          <w:tcPr>
            <w:tcW w:w="978" w:type="dxa"/>
          </w:tcPr>
          <w:p w14:paraId="02AE302B"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Neutral</w:t>
            </w:r>
          </w:p>
        </w:tc>
        <w:tc>
          <w:tcPr>
            <w:tcW w:w="810" w:type="dxa"/>
          </w:tcPr>
          <w:p w14:paraId="6F7A8EBA"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Agree</w:t>
            </w:r>
          </w:p>
        </w:tc>
        <w:tc>
          <w:tcPr>
            <w:tcW w:w="1043" w:type="dxa"/>
          </w:tcPr>
          <w:p w14:paraId="4BC25CC0"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Strongly Agree</w:t>
            </w:r>
          </w:p>
        </w:tc>
      </w:tr>
      <w:tr w:rsidR="00A16F06" w:rsidRPr="00855B76" w14:paraId="080E9155" w14:textId="77777777" w:rsidTr="00200715">
        <w:tc>
          <w:tcPr>
            <w:tcW w:w="9061" w:type="dxa"/>
            <w:gridSpan w:val="7"/>
          </w:tcPr>
          <w:p w14:paraId="42C48427" w14:textId="77777777" w:rsidR="00A16F06" w:rsidRPr="00855B76" w:rsidRDefault="00A16F06" w:rsidP="002E6F27">
            <w:pPr>
              <w:pStyle w:val="a5"/>
              <w:numPr>
                <w:ilvl w:val="0"/>
                <w:numId w:val="54"/>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Communication Quality &amp; Cadence</w:t>
            </w:r>
          </w:p>
        </w:tc>
      </w:tr>
      <w:tr w:rsidR="00A16F06" w:rsidRPr="00855B76" w14:paraId="0BDD1B7C" w14:textId="77777777" w:rsidTr="00200715">
        <w:tc>
          <w:tcPr>
            <w:tcW w:w="570" w:type="dxa"/>
          </w:tcPr>
          <w:p w14:paraId="31EA1018"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1.</w:t>
            </w:r>
          </w:p>
        </w:tc>
        <w:tc>
          <w:tcPr>
            <w:tcW w:w="3510" w:type="dxa"/>
          </w:tcPr>
          <w:p w14:paraId="7B78349E"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The communication between account managers and sales teams is clear and timely.</w:t>
            </w:r>
          </w:p>
        </w:tc>
        <w:tc>
          <w:tcPr>
            <w:tcW w:w="1081" w:type="dxa"/>
          </w:tcPr>
          <w:p w14:paraId="4D8791AD"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64EC727C"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5DF0FAAD"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00CDB3D1"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6E77FACA"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327F8A54" w14:textId="77777777" w:rsidTr="00200715">
        <w:tc>
          <w:tcPr>
            <w:tcW w:w="570" w:type="dxa"/>
          </w:tcPr>
          <w:p w14:paraId="3C742C0E"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2.</w:t>
            </w:r>
          </w:p>
        </w:tc>
        <w:tc>
          <w:tcPr>
            <w:tcW w:w="3510" w:type="dxa"/>
          </w:tcPr>
          <w:p w14:paraId="4FCADDEA"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The frequency of communication between both teams is sufficient to support daily operations.</w:t>
            </w:r>
          </w:p>
        </w:tc>
        <w:tc>
          <w:tcPr>
            <w:tcW w:w="1081" w:type="dxa"/>
          </w:tcPr>
          <w:p w14:paraId="34B04921"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69F238C6"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0C78F034"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16A3C06D"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2319DEA8"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7F483B5D" w14:textId="77777777" w:rsidTr="00200715">
        <w:tc>
          <w:tcPr>
            <w:tcW w:w="9061" w:type="dxa"/>
            <w:gridSpan w:val="7"/>
          </w:tcPr>
          <w:p w14:paraId="61EA944D" w14:textId="77777777" w:rsidR="00A16F06" w:rsidRPr="00855B76" w:rsidRDefault="00A16F06" w:rsidP="002E6F27">
            <w:pPr>
              <w:pStyle w:val="a5"/>
              <w:numPr>
                <w:ilvl w:val="0"/>
                <w:numId w:val="54"/>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Information Sharing &amp; Data Integration</w:t>
            </w:r>
          </w:p>
        </w:tc>
      </w:tr>
      <w:tr w:rsidR="00A16F06" w:rsidRPr="00855B76" w14:paraId="351E57A0" w14:textId="77777777" w:rsidTr="00200715">
        <w:tc>
          <w:tcPr>
            <w:tcW w:w="570" w:type="dxa"/>
          </w:tcPr>
          <w:p w14:paraId="111A667C"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3.</w:t>
            </w:r>
          </w:p>
        </w:tc>
        <w:tc>
          <w:tcPr>
            <w:tcW w:w="3510" w:type="dxa"/>
          </w:tcPr>
          <w:p w14:paraId="3CDA54BA"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Relevant customer and deal information is shared accurately between account managers and sales teams.</w:t>
            </w:r>
          </w:p>
        </w:tc>
        <w:tc>
          <w:tcPr>
            <w:tcW w:w="1081" w:type="dxa"/>
          </w:tcPr>
          <w:p w14:paraId="1EF12775"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24837CB6"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63541759"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2C10AB3E"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1686314F"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50C1A140" w14:textId="77777777" w:rsidTr="00200715">
        <w:tc>
          <w:tcPr>
            <w:tcW w:w="570" w:type="dxa"/>
          </w:tcPr>
          <w:p w14:paraId="68146A3E"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4.</w:t>
            </w:r>
          </w:p>
        </w:tc>
        <w:tc>
          <w:tcPr>
            <w:tcW w:w="3510" w:type="dxa"/>
          </w:tcPr>
          <w:p w14:paraId="723CB38C"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Our systems and tools enable effective data integration between both teams.</w:t>
            </w:r>
          </w:p>
        </w:tc>
        <w:tc>
          <w:tcPr>
            <w:tcW w:w="1081" w:type="dxa"/>
          </w:tcPr>
          <w:p w14:paraId="1DC0F8B3"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0F11A1CE"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327906D9"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68087059"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26CAE50B"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41EA59A4" w14:textId="77777777" w:rsidTr="00200715">
        <w:trPr>
          <w:trHeight w:val="132"/>
        </w:trPr>
        <w:tc>
          <w:tcPr>
            <w:tcW w:w="9061" w:type="dxa"/>
            <w:gridSpan w:val="7"/>
          </w:tcPr>
          <w:p w14:paraId="2F53EE51" w14:textId="77777777" w:rsidR="00A16F06" w:rsidRPr="00855B76" w:rsidRDefault="00A16F06" w:rsidP="002E6F27">
            <w:pPr>
              <w:pStyle w:val="a5"/>
              <w:numPr>
                <w:ilvl w:val="0"/>
                <w:numId w:val="54"/>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Goal/KPI &amp; Incentive Alignment</w:t>
            </w:r>
          </w:p>
        </w:tc>
      </w:tr>
      <w:tr w:rsidR="00A16F06" w:rsidRPr="00855B76" w14:paraId="764A8333" w14:textId="77777777" w:rsidTr="00200715">
        <w:tc>
          <w:tcPr>
            <w:tcW w:w="570" w:type="dxa"/>
          </w:tcPr>
          <w:p w14:paraId="567DB59A"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5.</w:t>
            </w:r>
          </w:p>
        </w:tc>
        <w:tc>
          <w:tcPr>
            <w:tcW w:w="3510" w:type="dxa"/>
          </w:tcPr>
          <w:p w14:paraId="2FACCAA9"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Account managers and sales teams have aligned goals and KPIs that support joint performance.</w:t>
            </w:r>
          </w:p>
        </w:tc>
        <w:tc>
          <w:tcPr>
            <w:tcW w:w="1081" w:type="dxa"/>
          </w:tcPr>
          <w:p w14:paraId="12E77696"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54BD0D04"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73A938F4"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3DFAD510"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5ACC9A5B"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3F643067" w14:textId="77777777" w:rsidTr="00200715">
        <w:tc>
          <w:tcPr>
            <w:tcW w:w="570" w:type="dxa"/>
          </w:tcPr>
          <w:p w14:paraId="23983C2E"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6.</w:t>
            </w:r>
          </w:p>
        </w:tc>
        <w:tc>
          <w:tcPr>
            <w:tcW w:w="3510" w:type="dxa"/>
          </w:tcPr>
          <w:p w14:paraId="224985E8"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Incentives for both teams motivate collaboration and shared responsibility.</w:t>
            </w:r>
          </w:p>
        </w:tc>
        <w:tc>
          <w:tcPr>
            <w:tcW w:w="1081" w:type="dxa"/>
          </w:tcPr>
          <w:p w14:paraId="79A2DCE9"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7801C95B"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7796ABDB"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6A4BDDE0"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7B8BDB2C"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351061DB" w14:textId="77777777" w:rsidTr="00200715">
        <w:tc>
          <w:tcPr>
            <w:tcW w:w="9061" w:type="dxa"/>
            <w:gridSpan w:val="7"/>
          </w:tcPr>
          <w:p w14:paraId="01A1BE5B" w14:textId="77777777" w:rsidR="00A16F06" w:rsidRPr="00855B76" w:rsidRDefault="00A16F06" w:rsidP="002E6F27">
            <w:pPr>
              <w:pStyle w:val="a5"/>
              <w:numPr>
                <w:ilvl w:val="0"/>
                <w:numId w:val="54"/>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Decision Rights &amp; Escalation Clarity (RACI)</w:t>
            </w:r>
          </w:p>
        </w:tc>
      </w:tr>
      <w:tr w:rsidR="00A16F06" w:rsidRPr="00855B76" w14:paraId="488B607C" w14:textId="77777777" w:rsidTr="00200715">
        <w:tc>
          <w:tcPr>
            <w:tcW w:w="570" w:type="dxa"/>
          </w:tcPr>
          <w:p w14:paraId="5086DC42"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7.</w:t>
            </w:r>
          </w:p>
        </w:tc>
        <w:tc>
          <w:tcPr>
            <w:tcW w:w="3510" w:type="dxa"/>
          </w:tcPr>
          <w:p w14:paraId="60BCC32D" w14:textId="77777777" w:rsidR="00A16F06" w:rsidRPr="00855B76" w:rsidRDefault="00A16F06" w:rsidP="00447C39">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Decision-making responsibilities between account managers and sales teams are clearly defined.</w:t>
            </w:r>
          </w:p>
        </w:tc>
        <w:tc>
          <w:tcPr>
            <w:tcW w:w="1081" w:type="dxa"/>
          </w:tcPr>
          <w:p w14:paraId="44988CC9"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2B5DC307"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470FAC60"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3F54A7A1"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2DAFB3A4" w14:textId="77777777" w:rsidR="00A16F06" w:rsidRPr="00855B76" w:rsidRDefault="00A16F06" w:rsidP="00447C39">
            <w:pPr>
              <w:bidi w:val="0"/>
              <w:spacing w:line="360" w:lineRule="auto"/>
              <w:rPr>
                <w:rFonts w:asciiTheme="majorBidi" w:hAnsiTheme="majorBidi" w:cstheme="majorBidi"/>
                <w:sz w:val="24"/>
                <w:szCs w:val="24"/>
                <w:lang w:bidi="ar-EG"/>
              </w:rPr>
            </w:pPr>
          </w:p>
        </w:tc>
      </w:tr>
      <w:tr w:rsidR="00A16F06" w:rsidRPr="00855B76" w14:paraId="55A58908" w14:textId="77777777" w:rsidTr="00200715">
        <w:tc>
          <w:tcPr>
            <w:tcW w:w="570" w:type="dxa"/>
          </w:tcPr>
          <w:p w14:paraId="260160F2" w14:textId="77777777" w:rsidR="00A16F06" w:rsidRPr="00855B76" w:rsidRDefault="00A16F06" w:rsidP="00447C39">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8.</w:t>
            </w:r>
          </w:p>
        </w:tc>
        <w:tc>
          <w:tcPr>
            <w:tcW w:w="3510" w:type="dxa"/>
          </w:tcPr>
          <w:p w14:paraId="1DF0ECF9" w14:textId="77777777" w:rsidR="00A16F06" w:rsidRPr="00855B76" w:rsidRDefault="00A16F06" w:rsidP="00447C39">
            <w:pPr>
              <w:bidi w:val="0"/>
              <w:spacing w:line="360" w:lineRule="auto"/>
              <w:rPr>
                <w:rFonts w:asciiTheme="majorBidi" w:hAnsiTheme="majorBidi" w:cstheme="majorBidi"/>
                <w:sz w:val="24"/>
                <w:szCs w:val="24"/>
                <w:rtl/>
                <w:lang w:bidi="ar-EG"/>
              </w:rPr>
            </w:pPr>
            <w:r w:rsidRPr="00A16F06">
              <w:rPr>
                <w:rFonts w:asciiTheme="majorBidi" w:hAnsiTheme="majorBidi" w:cstheme="majorBidi"/>
                <w:sz w:val="24"/>
                <w:szCs w:val="24"/>
                <w:lang w:bidi="ar-EG"/>
              </w:rPr>
              <w:t>The escalation process for resolving issues between both teams is well-established and easy to follow.</w:t>
            </w:r>
          </w:p>
        </w:tc>
        <w:tc>
          <w:tcPr>
            <w:tcW w:w="1081" w:type="dxa"/>
          </w:tcPr>
          <w:p w14:paraId="3EBFC3C1"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69" w:type="dxa"/>
          </w:tcPr>
          <w:p w14:paraId="5DC59EE6"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978" w:type="dxa"/>
          </w:tcPr>
          <w:p w14:paraId="016DCAF4"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810" w:type="dxa"/>
          </w:tcPr>
          <w:p w14:paraId="6C0FAD9B" w14:textId="77777777" w:rsidR="00A16F06" w:rsidRPr="00855B76" w:rsidRDefault="00A16F06" w:rsidP="00447C39">
            <w:pPr>
              <w:bidi w:val="0"/>
              <w:spacing w:line="360" w:lineRule="auto"/>
              <w:rPr>
                <w:rFonts w:asciiTheme="majorBidi" w:hAnsiTheme="majorBidi" w:cstheme="majorBidi"/>
                <w:sz w:val="24"/>
                <w:szCs w:val="24"/>
                <w:lang w:bidi="ar-EG"/>
              </w:rPr>
            </w:pPr>
          </w:p>
        </w:tc>
        <w:tc>
          <w:tcPr>
            <w:tcW w:w="1043" w:type="dxa"/>
          </w:tcPr>
          <w:p w14:paraId="308411A4" w14:textId="77777777" w:rsidR="00A16F06" w:rsidRPr="00855B76" w:rsidRDefault="00A16F06" w:rsidP="00447C39">
            <w:pPr>
              <w:bidi w:val="0"/>
              <w:spacing w:line="360" w:lineRule="auto"/>
              <w:rPr>
                <w:rFonts w:asciiTheme="majorBidi" w:hAnsiTheme="majorBidi" w:cstheme="majorBidi"/>
                <w:sz w:val="24"/>
                <w:szCs w:val="24"/>
                <w:lang w:bidi="ar-EG"/>
              </w:rPr>
            </w:pPr>
          </w:p>
        </w:tc>
      </w:tr>
    </w:tbl>
    <w:p w14:paraId="6ECB9395" w14:textId="77777777" w:rsidR="00200715" w:rsidRPr="00200715" w:rsidRDefault="00200715" w:rsidP="002E6F27">
      <w:pPr>
        <w:pStyle w:val="a5"/>
        <w:numPr>
          <w:ilvl w:val="0"/>
          <w:numId w:val="55"/>
        </w:numPr>
        <w:bidi w:val="0"/>
        <w:spacing w:after="120" w:line="276" w:lineRule="auto"/>
        <w:jc w:val="both"/>
        <w:rPr>
          <w:rFonts w:asciiTheme="majorBidi" w:eastAsia="Times New Roman" w:hAnsiTheme="majorBidi" w:cstheme="majorBidi"/>
          <w:b/>
          <w:bCs/>
          <w:color w:val="202124"/>
          <w:kern w:val="0"/>
          <w:sz w:val="28"/>
          <w:szCs w:val="28"/>
          <w14:ligatures w14:val="none"/>
        </w:rPr>
      </w:pPr>
      <w:r w:rsidRPr="00200715">
        <w:rPr>
          <w:rFonts w:asciiTheme="majorBidi" w:eastAsia="Times New Roman" w:hAnsiTheme="majorBidi" w:cstheme="majorBidi"/>
          <w:b/>
          <w:bCs/>
          <w:color w:val="202124"/>
          <w:kern w:val="0"/>
          <w:sz w:val="28"/>
          <w:szCs w:val="28"/>
          <w14:ligatures w14:val="none"/>
        </w:rPr>
        <w:t>Risk Management Effectiveness (Dependent variable)</w:t>
      </w:r>
    </w:p>
    <w:p w14:paraId="1A8C3F19" w14:textId="7FD62D12" w:rsidR="00EC6407" w:rsidRPr="00200715" w:rsidRDefault="00200715" w:rsidP="00200715">
      <w:pPr>
        <w:bidi w:val="0"/>
        <w:spacing w:after="120" w:line="276" w:lineRule="auto"/>
        <w:ind w:firstLine="284"/>
        <w:jc w:val="both"/>
        <w:rPr>
          <w:rFonts w:asciiTheme="majorBidi" w:hAnsiTheme="majorBidi" w:cstheme="majorBidi"/>
          <w:sz w:val="24"/>
          <w:szCs w:val="24"/>
        </w:rPr>
      </w:pPr>
      <w:r w:rsidRPr="00E77952">
        <w:rPr>
          <w:rFonts w:asciiTheme="majorBidi" w:hAnsiTheme="majorBidi" w:cstheme="majorBidi"/>
          <w:sz w:val="24"/>
          <w:szCs w:val="24"/>
        </w:rPr>
        <w:t>Risk management effectiveness is the degree to which the bank’s practices consistently identify, assess, decide on, and control risks at origination and through the client life cycle</w:t>
      </w:r>
      <w:r w:rsidR="00B03C22">
        <w:rPr>
          <w:rFonts w:asciiTheme="majorBidi" w:hAnsiTheme="majorBidi" w:cstheme="majorBidi"/>
          <w:sz w:val="24"/>
          <w:szCs w:val="24"/>
        </w:rPr>
        <w:t>-</w:t>
      </w:r>
      <w:r w:rsidRPr="00E77952">
        <w:rPr>
          <w:rFonts w:asciiTheme="majorBidi" w:hAnsiTheme="majorBidi" w:cstheme="majorBidi"/>
          <w:sz w:val="24"/>
          <w:szCs w:val="24"/>
        </w:rPr>
        <w:t>producing stable credit outcomes, adequate liquidity buffers, fit-for-purpose market-risk positioning, and resilient operations. The construct follows recognized risk-management guidance (ISO 31000) and banking principles (Basel Committee), adapted to origination and frontline collaboration contexts.</w:t>
      </w:r>
    </w:p>
    <w:tbl>
      <w:tblPr>
        <w:tblStyle w:val="ae"/>
        <w:tblW w:w="0" w:type="auto"/>
        <w:tblLook w:val="04A0" w:firstRow="1" w:lastRow="0" w:firstColumn="1" w:lastColumn="0" w:noHBand="0" w:noVBand="1"/>
      </w:tblPr>
      <w:tblGrid>
        <w:gridCol w:w="570"/>
        <w:gridCol w:w="3508"/>
        <w:gridCol w:w="1081"/>
        <w:gridCol w:w="1069"/>
        <w:gridCol w:w="980"/>
        <w:gridCol w:w="810"/>
        <w:gridCol w:w="1043"/>
      </w:tblGrid>
      <w:tr w:rsidR="00EC6407" w:rsidRPr="00855B76" w14:paraId="450CEA1D" w14:textId="77777777" w:rsidTr="00447C39">
        <w:tc>
          <w:tcPr>
            <w:tcW w:w="533" w:type="dxa"/>
          </w:tcPr>
          <w:p w14:paraId="2DB31664"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No.</w:t>
            </w:r>
          </w:p>
        </w:tc>
        <w:tc>
          <w:tcPr>
            <w:tcW w:w="4111" w:type="dxa"/>
          </w:tcPr>
          <w:p w14:paraId="4A6ED118"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Statement</w:t>
            </w:r>
          </w:p>
        </w:tc>
        <w:tc>
          <w:tcPr>
            <w:tcW w:w="1085" w:type="dxa"/>
          </w:tcPr>
          <w:p w14:paraId="18586C99"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Strongly Disagree</w:t>
            </w:r>
          </w:p>
        </w:tc>
        <w:tc>
          <w:tcPr>
            <w:tcW w:w="1042" w:type="dxa"/>
          </w:tcPr>
          <w:p w14:paraId="134AEC1F"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Disagree</w:t>
            </w:r>
          </w:p>
        </w:tc>
        <w:tc>
          <w:tcPr>
            <w:tcW w:w="992" w:type="dxa"/>
          </w:tcPr>
          <w:p w14:paraId="3C512021"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Neutral</w:t>
            </w:r>
          </w:p>
        </w:tc>
        <w:tc>
          <w:tcPr>
            <w:tcW w:w="812" w:type="dxa"/>
          </w:tcPr>
          <w:p w14:paraId="0F4A54AE"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Agree</w:t>
            </w:r>
          </w:p>
        </w:tc>
        <w:tc>
          <w:tcPr>
            <w:tcW w:w="1001" w:type="dxa"/>
          </w:tcPr>
          <w:p w14:paraId="319F3DA6"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Strongly Agree</w:t>
            </w:r>
          </w:p>
        </w:tc>
      </w:tr>
      <w:tr w:rsidR="00EC6407" w:rsidRPr="00855B76" w14:paraId="51D4ADC1" w14:textId="77777777" w:rsidTr="00447C39">
        <w:tc>
          <w:tcPr>
            <w:tcW w:w="9576" w:type="dxa"/>
            <w:gridSpan w:val="7"/>
          </w:tcPr>
          <w:p w14:paraId="1B7E2817" w14:textId="516C9AB3" w:rsidR="00EC6407" w:rsidRPr="00855B76" w:rsidRDefault="00A16F06" w:rsidP="002E6F27">
            <w:pPr>
              <w:pStyle w:val="a5"/>
              <w:numPr>
                <w:ilvl w:val="0"/>
                <w:numId w:val="53"/>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Early Risk Identification &amp; Onboarding Quality</w:t>
            </w:r>
          </w:p>
        </w:tc>
      </w:tr>
      <w:tr w:rsidR="00EC6407" w:rsidRPr="00855B76" w14:paraId="7927E995" w14:textId="77777777" w:rsidTr="00447C39">
        <w:tc>
          <w:tcPr>
            <w:tcW w:w="533" w:type="dxa"/>
          </w:tcPr>
          <w:p w14:paraId="671AB62E"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1.</w:t>
            </w:r>
          </w:p>
        </w:tc>
        <w:tc>
          <w:tcPr>
            <w:tcW w:w="4111" w:type="dxa"/>
          </w:tcPr>
          <w:p w14:paraId="06CBE03A" w14:textId="2D61EBFA"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Potential risks are identified early during the client onboarding and deal initiation stages.</w:t>
            </w:r>
          </w:p>
        </w:tc>
        <w:tc>
          <w:tcPr>
            <w:tcW w:w="1085" w:type="dxa"/>
          </w:tcPr>
          <w:p w14:paraId="5665B88E"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1766153A"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42490C4A"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076951E5"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6E777DF4"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498A7524" w14:textId="77777777" w:rsidTr="00447C39">
        <w:tc>
          <w:tcPr>
            <w:tcW w:w="533" w:type="dxa"/>
          </w:tcPr>
          <w:p w14:paraId="0B38E15C"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2.</w:t>
            </w:r>
          </w:p>
        </w:tc>
        <w:tc>
          <w:tcPr>
            <w:tcW w:w="4111" w:type="dxa"/>
          </w:tcPr>
          <w:p w14:paraId="202A2D03" w14:textId="56359683"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The onboarding process ensures thorough KYC and due-diligence checks.</w:t>
            </w:r>
          </w:p>
        </w:tc>
        <w:tc>
          <w:tcPr>
            <w:tcW w:w="1085" w:type="dxa"/>
          </w:tcPr>
          <w:p w14:paraId="0D0D9479"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5D05AB44"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3D882A38"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2BC86A01"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42978307"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65FED8D8" w14:textId="77777777" w:rsidTr="00447C39">
        <w:tc>
          <w:tcPr>
            <w:tcW w:w="9576" w:type="dxa"/>
            <w:gridSpan w:val="7"/>
          </w:tcPr>
          <w:p w14:paraId="5FBCB87F" w14:textId="0C5D163E" w:rsidR="00EC6407" w:rsidRPr="00855B76" w:rsidRDefault="00A16F06" w:rsidP="002E6F27">
            <w:pPr>
              <w:pStyle w:val="a5"/>
              <w:numPr>
                <w:ilvl w:val="0"/>
                <w:numId w:val="53"/>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Credit Discipline &amp; Outcomes</w:t>
            </w:r>
          </w:p>
        </w:tc>
      </w:tr>
      <w:tr w:rsidR="00EC6407" w:rsidRPr="00855B76" w14:paraId="6BFAC243" w14:textId="77777777" w:rsidTr="00447C39">
        <w:tc>
          <w:tcPr>
            <w:tcW w:w="533" w:type="dxa"/>
          </w:tcPr>
          <w:p w14:paraId="7CD1C835"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3.</w:t>
            </w:r>
          </w:p>
        </w:tc>
        <w:tc>
          <w:tcPr>
            <w:tcW w:w="4111" w:type="dxa"/>
          </w:tcPr>
          <w:p w14:paraId="16FA8F1E" w14:textId="46E8C093"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Credit decisions consistently follow established policies regarding pricing, tenor, and collateral.</w:t>
            </w:r>
          </w:p>
        </w:tc>
        <w:tc>
          <w:tcPr>
            <w:tcW w:w="1085" w:type="dxa"/>
          </w:tcPr>
          <w:p w14:paraId="25514119"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393B35B2"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2F87D0CC"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0861E181"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2E14B89A"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0CA931AC" w14:textId="77777777" w:rsidTr="00447C39">
        <w:tc>
          <w:tcPr>
            <w:tcW w:w="533" w:type="dxa"/>
          </w:tcPr>
          <w:p w14:paraId="0DFB67C6"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4.</w:t>
            </w:r>
          </w:p>
        </w:tc>
        <w:tc>
          <w:tcPr>
            <w:tcW w:w="4111" w:type="dxa"/>
          </w:tcPr>
          <w:p w14:paraId="00C8CBE8" w14:textId="20838F22"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Our credit approval process effectively reduces the likelihood of problem loans.</w:t>
            </w:r>
          </w:p>
        </w:tc>
        <w:tc>
          <w:tcPr>
            <w:tcW w:w="1085" w:type="dxa"/>
          </w:tcPr>
          <w:p w14:paraId="324346DE"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5A028658"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2DE8BF31"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54FB7518"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4DC7FFB2"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1A84763E" w14:textId="77777777" w:rsidTr="00447C39">
        <w:trPr>
          <w:trHeight w:val="132"/>
        </w:trPr>
        <w:tc>
          <w:tcPr>
            <w:tcW w:w="9576" w:type="dxa"/>
            <w:gridSpan w:val="7"/>
          </w:tcPr>
          <w:p w14:paraId="51E35D70" w14:textId="70DCE684" w:rsidR="00EC6407" w:rsidRPr="00855B76" w:rsidRDefault="00A16F06" w:rsidP="002E6F27">
            <w:pPr>
              <w:pStyle w:val="a5"/>
              <w:numPr>
                <w:ilvl w:val="0"/>
                <w:numId w:val="53"/>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Liquidity &amp; Market-Risk Fit at Origination</w:t>
            </w:r>
          </w:p>
        </w:tc>
      </w:tr>
      <w:tr w:rsidR="00EC6407" w:rsidRPr="00855B76" w14:paraId="2CDFA96B" w14:textId="77777777" w:rsidTr="00447C39">
        <w:tc>
          <w:tcPr>
            <w:tcW w:w="533" w:type="dxa"/>
          </w:tcPr>
          <w:p w14:paraId="66B8F938"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5.</w:t>
            </w:r>
          </w:p>
        </w:tc>
        <w:tc>
          <w:tcPr>
            <w:tcW w:w="4111" w:type="dxa"/>
          </w:tcPr>
          <w:p w14:paraId="613DCB3C" w14:textId="6E6CC33D"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Deal structures consider liquidity constraints and funding costs at the time of origination.</w:t>
            </w:r>
          </w:p>
        </w:tc>
        <w:tc>
          <w:tcPr>
            <w:tcW w:w="1085" w:type="dxa"/>
          </w:tcPr>
          <w:p w14:paraId="1AAA9A3C"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1DEBB6AE"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76CC049A"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0BD98E85"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343D407C"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27FB2BD6" w14:textId="77777777" w:rsidTr="00447C39">
        <w:tc>
          <w:tcPr>
            <w:tcW w:w="533" w:type="dxa"/>
          </w:tcPr>
          <w:p w14:paraId="1B733594"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6.</w:t>
            </w:r>
          </w:p>
        </w:tc>
        <w:tc>
          <w:tcPr>
            <w:tcW w:w="4111" w:type="dxa"/>
          </w:tcPr>
          <w:p w14:paraId="2DDB4216" w14:textId="654A5955"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Proposed transactions are assessed to ensure they fit the bank’s market-risk appetite.</w:t>
            </w:r>
          </w:p>
        </w:tc>
        <w:tc>
          <w:tcPr>
            <w:tcW w:w="1085" w:type="dxa"/>
          </w:tcPr>
          <w:p w14:paraId="4F831F3B"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74520115"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09007CFE"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72C7C136"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744C2382"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0C2AD4BD" w14:textId="77777777" w:rsidTr="00447C39">
        <w:tc>
          <w:tcPr>
            <w:tcW w:w="9576" w:type="dxa"/>
            <w:gridSpan w:val="7"/>
          </w:tcPr>
          <w:p w14:paraId="69CD8316" w14:textId="474E6D14" w:rsidR="00EC6407" w:rsidRPr="00855B76" w:rsidRDefault="00A16F06" w:rsidP="002E6F27">
            <w:pPr>
              <w:pStyle w:val="a5"/>
              <w:numPr>
                <w:ilvl w:val="0"/>
                <w:numId w:val="53"/>
              </w:numPr>
              <w:bidi w:val="0"/>
              <w:spacing w:line="360" w:lineRule="auto"/>
              <w:jc w:val="center"/>
              <w:rPr>
                <w:rFonts w:asciiTheme="majorBidi" w:hAnsiTheme="majorBidi" w:cstheme="majorBidi"/>
                <w:sz w:val="24"/>
                <w:szCs w:val="24"/>
                <w:lang w:bidi="ar-EG"/>
              </w:rPr>
            </w:pPr>
            <w:r w:rsidRPr="00A16F06">
              <w:rPr>
                <w:rFonts w:asciiTheme="majorBidi" w:hAnsiTheme="majorBidi" w:cstheme="majorBidi"/>
                <w:sz w:val="24"/>
                <w:szCs w:val="24"/>
                <w:lang w:bidi="ar-EG"/>
              </w:rPr>
              <w:t>Operational Resilience &amp; Third-Party Risk Control</w:t>
            </w:r>
          </w:p>
        </w:tc>
      </w:tr>
      <w:tr w:rsidR="00EC6407" w:rsidRPr="00855B76" w14:paraId="72C7D412" w14:textId="77777777" w:rsidTr="00447C39">
        <w:tc>
          <w:tcPr>
            <w:tcW w:w="533" w:type="dxa"/>
          </w:tcPr>
          <w:p w14:paraId="622FFFCB"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7.</w:t>
            </w:r>
          </w:p>
        </w:tc>
        <w:tc>
          <w:tcPr>
            <w:tcW w:w="4111" w:type="dxa"/>
          </w:tcPr>
          <w:p w14:paraId="6675043B" w14:textId="0DBB9651" w:rsidR="00EC6407" w:rsidRPr="00855B76" w:rsidRDefault="00A16F06" w:rsidP="00A16F06">
            <w:pPr>
              <w:bidi w:val="0"/>
              <w:spacing w:line="360" w:lineRule="auto"/>
              <w:rPr>
                <w:rFonts w:asciiTheme="majorBidi" w:hAnsiTheme="majorBidi" w:cstheme="majorBidi"/>
                <w:sz w:val="24"/>
                <w:szCs w:val="24"/>
                <w:lang w:bidi="ar-EG"/>
              </w:rPr>
            </w:pPr>
            <w:r w:rsidRPr="00A16F06">
              <w:rPr>
                <w:rFonts w:asciiTheme="majorBidi" w:hAnsiTheme="majorBidi" w:cstheme="majorBidi"/>
                <w:sz w:val="24"/>
                <w:szCs w:val="24"/>
                <w:lang w:bidi="ar-EG"/>
              </w:rPr>
              <w:t>Our internal processes and systems are resilient enough to handle operational disruptions.</w:t>
            </w:r>
          </w:p>
        </w:tc>
        <w:tc>
          <w:tcPr>
            <w:tcW w:w="1085" w:type="dxa"/>
          </w:tcPr>
          <w:p w14:paraId="32304472"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00BE8A4E"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28CC915A"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4AF0FA52"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19BFEBDA" w14:textId="77777777" w:rsidR="00EC6407" w:rsidRPr="00855B76" w:rsidRDefault="00EC6407" w:rsidP="00A16F06">
            <w:pPr>
              <w:bidi w:val="0"/>
              <w:spacing w:line="360" w:lineRule="auto"/>
              <w:rPr>
                <w:rFonts w:asciiTheme="majorBidi" w:hAnsiTheme="majorBidi" w:cstheme="majorBidi"/>
                <w:sz w:val="24"/>
                <w:szCs w:val="24"/>
                <w:lang w:bidi="ar-EG"/>
              </w:rPr>
            </w:pPr>
          </w:p>
        </w:tc>
      </w:tr>
      <w:tr w:rsidR="00EC6407" w:rsidRPr="00855B76" w14:paraId="22799636" w14:textId="77777777" w:rsidTr="00447C39">
        <w:tc>
          <w:tcPr>
            <w:tcW w:w="533" w:type="dxa"/>
          </w:tcPr>
          <w:p w14:paraId="771FBA7C" w14:textId="77777777" w:rsidR="00EC6407" w:rsidRPr="00855B76" w:rsidRDefault="00EC6407" w:rsidP="00A16F06">
            <w:pPr>
              <w:bidi w:val="0"/>
              <w:spacing w:line="360" w:lineRule="auto"/>
              <w:rPr>
                <w:rFonts w:asciiTheme="majorBidi" w:hAnsiTheme="majorBidi" w:cstheme="majorBidi"/>
                <w:sz w:val="24"/>
                <w:szCs w:val="24"/>
                <w:lang w:bidi="ar-EG"/>
              </w:rPr>
            </w:pPr>
            <w:r w:rsidRPr="00855B76">
              <w:rPr>
                <w:rFonts w:asciiTheme="majorBidi" w:hAnsiTheme="majorBidi" w:cstheme="majorBidi"/>
                <w:sz w:val="24"/>
                <w:szCs w:val="24"/>
                <w:lang w:bidi="ar-EG"/>
              </w:rPr>
              <w:t>8.</w:t>
            </w:r>
          </w:p>
        </w:tc>
        <w:tc>
          <w:tcPr>
            <w:tcW w:w="4111" w:type="dxa"/>
          </w:tcPr>
          <w:p w14:paraId="1742224F" w14:textId="657951A8" w:rsidR="00EC6407" w:rsidRPr="00A16F06" w:rsidRDefault="00A16F06" w:rsidP="00A16F06">
            <w:pPr>
              <w:bidi w:val="0"/>
              <w:spacing w:line="360" w:lineRule="auto"/>
              <w:rPr>
                <w:rFonts w:asciiTheme="majorBidi" w:hAnsiTheme="majorBidi" w:cstheme="majorBidi"/>
                <w:sz w:val="24"/>
                <w:szCs w:val="24"/>
                <w:rtl/>
                <w:lang w:bidi="ar-EG"/>
              </w:rPr>
            </w:pPr>
            <w:r w:rsidRPr="00A16F06">
              <w:rPr>
                <w:rFonts w:asciiTheme="majorBidi" w:hAnsiTheme="majorBidi" w:cstheme="majorBidi"/>
                <w:sz w:val="24"/>
                <w:szCs w:val="24"/>
                <w:lang w:bidi="ar-EG"/>
              </w:rPr>
              <w:t>Third-party vendors and external partners are regularly monitored to manage operational risks.</w:t>
            </w:r>
          </w:p>
        </w:tc>
        <w:tc>
          <w:tcPr>
            <w:tcW w:w="1085" w:type="dxa"/>
          </w:tcPr>
          <w:p w14:paraId="5F2ADC88"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42" w:type="dxa"/>
          </w:tcPr>
          <w:p w14:paraId="0A5B3137"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992" w:type="dxa"/>
          </w:tcPr>
          <w:p w14:paraId="677BBC5B"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812" w:type="dxa"/>
          </w:tcPr>
          <w:p w14:paraId="10F5E3CD" w14:textId="77777777" w:rsidR="00EC6407" w:rsidRPr="00855B76" w:rsidRDefault="00EC6407" w:rsidP="00A16F06">
            <w:pPr>
              <w:bidi w:val="0"/>
              <w:spacing w:line="360" w:lineRule="auto"/>
              <w:rPr>
                <w:rFonts w:asciiTheme="majorBidi" w:hAnsiTheme="majorBidi" w:cstheme="majorBidi"/>
                <w:sz w:val="24"/>
                <w:szCs w:val="24"/>
                <w:lang w:bidi="ar-EG"/>
              </w:rPr>
            </w:pPr>
          </w:p>
        </w:tc>
        <w:tc>
          <w:tcPr>
            <w:tcW w:w="1001" w:type="dxa"/>
          </w:tcPr>
          <w:p w14:paraId="4430E2CC" w14:textId="77777777" w:rsidR="00EC6407" w:rsidRPr="00855B76" w:rsidRDefault="00EC6407" w:rsidP="00A16F06">
            <w:pPr>
              <w:bidi w:val="0"/>
              <w:spacing w:line="360" w:lineRule="auto"/>
              <w:rPr>
                <w:rFonts w:asciiTheme="majorBidi" w:hAnsiTheme="majorBidi" w:cstheme="majorBidi"/>
                <w:sz w:val="24"/>
                <w:szCs w:val="24"/>
                <w:lang w:bidi="ar-EG"/>
              </w:rPr>
            </w:pPr>
          </w:p>
        </w:tc>
      </w:tr>
    </w:tbl>
    <w:p w14:paraId="4679CBAC" w14:textId="49874F70" w:rsidR="00EC6407" w:rsidRDefault="00EC6407" w:rsidP="00EC6407">
      <w:pPr>
        <w:bidi w:val="0"/>
        <w:spacing w:line="360" w:lineRule="auto"/>
        <w:rPr>
          <w:rFonts w:asciiTheme="majorBidi" w:hAnsiTheme="majorBidi" w:cstheme="majorBidi"/>
          <w:b/>
          <w:bCs/>
          <w:sz w:val="24"/>
          <w:szCs w:val="24"/>
          <w:lang w:bidi="ar-EG"/>
        </w:rPr>
      </w:pPr>
    </w:p>
    <w:p w14:paraId="66FF603D" w14:textId="59EB7C7A" w:rsidR="00EC6407" w:rsidRDefault="00EC6407" w:rsidP="00EC6407">
      <w:pPr>
        <w:bidi w:val="0"/>
        <w:spacing w:line="360" w:lineRule="auto"/>
        <w:rPr>
          <w:rFonts w:asciiTheme="majorBidi" w:hAnsiTheme="majorBidi" w:cstheme="majorBidi"/>
          <w:b/>
          <w:bCs/>
          <w:sz w:val="24"/>
          <w:szCs w:val="24"/>
          <w:lang w:bidi="ar-EG"/>
        </w:rPr>
      </w:pPr>
    </w:p>
    <w:p w14:paraId="3A13447D" w14:textId="10374608" w:rsidR="002E6F27" w:rsidRDefault="002E6F27" w:rsidP="002E6F27">
      <w:pPr>
        <w:bidi w:val="0"/>
        <w:spacing w:line="360" w:lineRule="auto"/>
        <w:rPr>
          <w:rFonts w:asciiTheme="majorBidi" w:hAnsiTheme="majorBidi" w:cstheme="majorBidi"/>
          <w:b/>
          <w:bCs/>
          <w:sz w:val="24"/>
          <w:szCs w:val="24"/>
          <w:lang w:bidi="ar-EG"/>
        </w:rPr>
      </w:pPr>
    </w:p>
    <w:p w14:paraId="3386537C" w14:textId="433D86D3" w:rsidR="002E6F27" w:rsidRDefault="002E6F27" w:rsidP="002E6F27">
      <w:pPr>
        <w:bidi w:val="0"/>
        <w:spacing w:line="360" w:lineRule="auto"/>
        <w:rPr>
          <w:rFonts w:asciiTheme="majorBidi" w:hAnsiTheme="majorBidi" w:cstheme="majorBidi"/>
          <w:b/>
          <w:bCs/>
          <w:sz w:val="24"/>
          <w:szCs w:val="24"/>
          <w:lang w:bidi="ar-EG"/>
        </w:rPr>
      </w:pPr>
    </w:p>
    <w:p w14:paraId="2A6A3122" w14:textId="46EBAF15" w:rsidR="002E6F27" w:rsidRDefault="002E6F27" w:rsidP="002E6F27">
      <w:pPr>
        <w:bidi w:val="0"/>
        <w:spacing w:line="360" w:lineRule="auto"/>
        <w:rPr>
          <w:rFonts w:asciiTheme="majorBidi" w:hAnsiTheme="majorBidi" w:cstheme="majorBidi"/>
          <w:b/>
          <w:bCs/>
          <w:sz w:val="24"/>
          <w:szCs w:val="24"/>
          <w:lang w:bidi="ar-EG"/>
        </w:rPr>
      </w:pPr>
    </w:p>
    <w:p w14:paraId="5AA88847" w14:textId="0E80E8DB" w:rsidR="002E6F27" w:rsidRDefault="002E6F27" w:rsidP="002E6F27">
      <w:pPr>
        <w:bidi w:val="0"/>
        <w:spacing w:line="360" w:lineRule="auto"/>
        <w:rPr>
          <w:rFonts w:asciiTheme="majorBidi" w:hAnsiTheme="majorBidi" w:cstheme="majorBidi"/>
          <w:b/>
          <w:bCs/>
          <w:sz w:val="24"/>
          <w:szCs w:val="24"/>
          <w:lang w:bidi="ar-EG"/>
        </w:rPr>
      </w:pPr>
    </w:p>
    <w:p w14:paraId="0271E3F7" w14:textId="66433C5E" w:rsidR="002E6F27" w:rsidRDefault="002E6F27" w:rsidP="002E6F27">
      <w:pPr>
        <w:bidi w:val="0"/>
        <w:spacing w:line="360" w:lineRule="auto"/>
        <w:rPr>
          <w:rFonts w:asciiTheme="majorBidi" w:hAnsiTheme="majorBidi" w:cstheme="majorBidi"/>
          <w:b/>
          <w:bCs/>
          <w:sz w:val="24"/>
          <w:szCs w:val="24"/>
          <w:lang w:bidi="ar-EG"/>
        </w:rPr>
      </w:pPr>
    </w:p>
    <w:p w14:paraId="3C6FC07C" w14:textId="263839D4" w:rsidR="002E6F27" w:rsidRDefault="002E6F27" w:rsidP="002E6F27">
      <w:pPr>
        <w:bidi w:val="0"/>
        <w:spacing w:line="360" w:lineRule="auto"/>
        <w:rPr>
          <w:rFonts w:asciiTheme="majorBidi" w:hAnsiTheme="majorBidi" w:cstheme="majorBidi"/>
          <w:b/>
          <w:bCs/>
          <w:sz w:val="24"/>
          <w:szCs w:val="24"/>
          <w:lang w:bidi="ar-EG"/>
        </w:rPr>
      </w:pPr>
    </w:p>
    <w:p w14:paraId="560F3941" w14:textId="21145825" w:rsidR="002E6F27" w:rsidRDefault="002E6F27" w:rsidP="002E6F27">
      <w:pPr>
        <w:bidi w:val="0"/>
        <w:spacing w:line="360" w:lineRule="auto"/>
        <w:rPr>
          <w:rFonts w:asciiTheme="majorBidi" w:hAnsiTheme="majorBidi" w:cstheme="majorBidi"/>
          <w:b/>
          <w:bCs/>
          <w:sz w:val="24"/>
          <w:szCs w:val="24"/>
          <w:lang w:bidi="ar-EG"/>
        </w:rPr>
      </w:pPr>
    </w:p>
    <w:p w14:paraId="24863BA4" w14:textId="4CAABEE5" w:rsidR="002E6F27" w:rsidRDefault="002E6F27" w:rsidP="002E6F27">
      <w:pPr>
        <w:bidi w:val="0"/>
        <w:spacing w:line="360" w:lineRule="auto"/>
        <w:rPr>
          <w:rFonts w:asciiTheme="majorBidi" w:hAnsiTheme="majorBidi" w:cstheme="majorBidi"/>
          <w:b/>
          <w:bCs/>
          <w:sz w:val="24"/>
          <w:szCs w:val="24"/>
          <w:lang w:bidi="ar-EG"/>
        </w:rPr>
      </w:pPr>
    </w:p>
    <w:p w14:paraId="4D6A397F" w14:textId="7F2CA2F6" w:rsidR="002E6F27" w:rsidRDefault="002E6F27" w:rsidP="002E6F27">
      <w:pPr>
        <w:bidi w:val="0"/>
        <w:spacing w:line="360" w:lineRule="auto"/>
        <w:rPr>
          <w:rFonts w:asciiTheme="majorBidi" w:hAnsiTheme="majorBidi" w:cstheme="majorBidi"/>
          <w:b/>
          <w:bCs/>
          <w:sz w:val="24"/>
          <w:szCs w:val="24"/>
          <w:lang w:bidi="ar-EG"/>
        </w:rPr>
      </w:pPr>
    </w:p>
    <w:p w14:paraId="6E74B1CC" w14:textId="0DD5D7D2" w:rsidR="002E6F27" w:rsidRDefault="002E6F27" w:rsidP="002E6F27">
      <w:pPr>
        <w:bidi w:val="0"/>
        <w:spacing w:line="360" w:lineRule="auto"/>
        <w:rPr>
          <w:rFonts w:asciiTheme="majorBidi" w:hAnsiTheme="majorBidi" w:cstheme="majorBidi"/>
          <w:b/>
          <w:bCs/>
          <w:sz w:val="24"/>
          <w:szCs w:val="24"/>
          <w:lang w:bidi="ar-EG"/>
        </w:rPr>
      </w:pPr>
    </w:p>
    <w:p w14:paraId="5FC55EBE" w14:textId="31D0757E" w:rsidR="002E6F27" w:rsidRDefault="002E6F27" w:rsidP="002E6F27">
      <w:pPr>
        <w:bidi w:val="0"/>
        <w:spacing w:line="360" w:lineRule="auto"/>
        <w:rPr>
          <w:rFonts w:asciiTheme="majorBidi" w:hAnsiTheme="majorBidi" w:cstheme="majorBidi"/>
          <w:b/>
          <w:bCs/>
          <w:sz w:val="24"/>
          <w:szCs w:val="24"/>
          <w:lang w:bidi="ar-EG"/>
        </w:rPr>
      </w:pPr>
    </w:p>
    <w:p w14:paraId="25382DC7" w14:textId="7740FE4F" w:rsidR="002E6F27" w:rsidRDefault="002E6F27" w:rsidP="002E6F27">
      <w:pPr>
        <w:bidi w:val="0"/>
        <w:spacing w:line="360" w:lineRule="auto"/>
        <w:rPr>
          <w:rFonts w:asciiTheme="majorBidi" w:hAnsiTheme="majorBidi" w:cstheme="majorBidi"/>
          <w:b/>
          <w:bCs/>
          <w:sz w:val="24"/>
          <w:szCs w:val="24"/>
          <w:lang w:bidi="ar-EG"/>
        </w:rPr>
      </w:pPr>
    </w:p>
    <w:p w14:paraId="136926CC" w14:textId="77777777" w:rsidR="002E6F27" w:rsidRDefault="002E6F27" w:rsidP="002E6F27">
      <w:pPr>
        <w:bidi w:val="0"/>
        <w:spacing w:line="360" w:lineRule="auto"/>
        <w:rPr>
          <w:rFonts w:asciiTheme="majorBidi" w:hAnsiTheme="majorBidi" w:cstheme="majorBidi"/>
          <w:b/>
          <w:bCs/>
          <w:sz w:val="24"/>
          <w:szCs w:val="24"/>
          <w:lang w:bidi="ar-EG"/>
        </w:rPr>
      </w:pPr>
    </w:p>
    <w:p w14:paraId="293F1471" w14:textId="77777777" w:rsidR="002036F0" w:rsidRPr="002036F0" w:rsidRDefault="002036F0" w:rsidP="002E6F27">
      <w:pPr>
        <w:bidi w:val="0"/>
        <w:rPr>
          <w:rFonts w:asciiTheme="majorBidi" w:hAnsiTheme="majorBidi" w:cstheme="majorBidi"/>
          <w:b/>
          <w:bCs/>
          <w:sz w:val="32"/>
          <w:szCs w:val="32"/>
          <w:rtl/>
        </w:rPr>
      </w:pPr>
      <w:r w:rsidRPr="002036F0">
        <w:rPr>
          <w:rFonts w:asciiTheme="majorBidi" w:hAnsiTheme="majorBidi" w:cstheme="majorBidi"/>
          <w:b/>
          <w:bCs/>
          <w:sz w:val="32"/>
          <w:szCs w:val="32"/>
        </w:rPr>
        <w:t>The Frist Variable Functional relationship between Account Managers and Sales Teams:</w:t>
      </w:r>
    </w:p>
    <w:p w14:paraId="26BA66D1"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lang w:bidi="ar-EG"/>
        </w:rPr>
      </w:pPr>
    </w:p>
    <w:tbl>
      <w:tblPr>
        <w:tblW w:w="5976" w:type="dxa"/>
        <w:tblLayout w:type="fixed"/>
        <w:tblCellMar>
          <w:left w:w="0" w:type="dxa"/>
          <w:right w:w="0" w:type="dxa"/>
        </w:tblCellMar>
        <w:tblLook w:val="0000" w:firstRow="0" w:lastRow="0" w:firstColumn="0" w:lastColumn="0" w:noHBand="0" w:noVBand="0"/>
      </w:tblPr>
      <w:tblGrid>
        <w:gridCol w:w="840"/>
        <w:gridCol w:w="1103"/>
        <w:gridCol w:w="1548"/>
        <w:gridCol w:w="1267"/>
        <w:gridCol w:w="1218"/>
      </w:tblGrid>
      <w:tr w:rsidR="00241E66" w:rsidRPr="00241E66" w14:paraId="22CAE4BB" w14:textId="77777777">
        <w:trPr>
          <w:cantSplit/>
        </w:trPr>
        <w:tc>
          <w:tcPr>
            <w:tcW w:w="5974" w:type="dxa"/>
            <w:gridSpan w:val="5"/>
            <w:tcBorders>
              <w:top w:val="nil"/>
              <w:left w:val="nil"/>
              <w:bottom w:val="nil"/>
              <w:right w:val="nil"/>
            </w:tcBorders>
            <w:shd w:val="clear" w:color="auto" w:fill="FFFFFF"/>
            <w:vAlign w:val="center"/>
          </w:tcPr>
          <w:p w14:paraId="5807155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Descriptive Statistics</w:t>
            </w:r>
          </w:p>
        </w:tc>
      </w:tr>
      <w:tr w:rsidR="00241E66" w:rsidRPr="00241E66" w14:paraId="13991DDC" w14:textId="77777777">
        <w:trPr>
          <w:cantSplit/>
        </w:trPr>
        <w:tc>
          <w:tcPr>
            <w:tcW w:w="839" w:type="dxa"/>
            <w:tcBorders>
              <w:top w:val="nil"/>
              <w:left w:val="nil"/>
              <w:bottom w:val="single" w:sz="8" w:space="0" w:color="152935"/>
              <w:right w:val="nil"/>
            </w:tcBorders>
            <w:shd w:val="clear" w:color="auto" w:fill="FFFFFF"/>
            <w:vAlign w:val="bottom"/>
          </w:tcPr>
          <w:p w14:paraId="5CB594E7"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03" w:type="dxa"/>
            <w:tcBorders>
              <w:top w:val="nil"/>
              <w:left w:val="nil"/>
              <w:bottom w:val="single" w:sz="8" w:space="0" w:color="152935"/>
              <w:right w:val="single" w:sz="8" w:space="0" w:color="E0E0E0"/>
            </w:tcBorders>
            <w:shd w:val="clear" w:color="auto" w:fill="FFFFFF"/>
            <w:vAlign w:val="bottom"/>
          </w:tcPr>
          <w:p w14:paraId="3D1E39E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Mean</w:t>
            </w:r>
          </w:p>
        </w:tc>
        <w:tc>
          <w:tcPr>
            <w:tcW w:w="1547" w:type="dxa"/>
            <w:tcBorders>
              <w:top w:val="nil"/>
              <w:left w:val="single" w:sz="8" w:space="0" w:color="E0E0E0"/>
              <w:bottom w:val="single" w:sz="8" w:space="0" w:color="152935"/>
              <w:right w:val="single" w:sz="8" w:space="0" w:color="E0E0E0"/>
            </w:tcBorders>
            <w:shd w:val="clear" w:color="auto" w:fill="FFFFFF"/>
            <w:vAlign w:val="bottom"/>
          </w:tcPr>
          <w:p w14:paraId="4B9F766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Std. Deviation</w:t>
            </w:r>
          </w:p>
        </w:tc>
        <w:tc>
          <w:tcPr>
            <w:tcW w:w="1267" w:type="dxa"/>
            <w:tcBorders>
              <w:top w:val="nil"/>
              <w:left w:val="single" w:sz="8" w:space="0" w:color="E0E0E0"/>
              <w:bottom w:val="single" w:sz="8" w:space="0" w:color="152935"/>
              <w:right w:val="single" w:sz="8" w:space="0" w:color="E0E0E0"/>
            </w:tcBorders>
            <w:shd w:val="clear" w:color="auto" w:fill="FFFFFF"/>
            <w:vAlign w:val="bottom"/>
          </w:tcPr>
          <w:p w14:paraId="3F8D5AE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Analysis N</w:t>
            </w:r>
          </w:p>
        </w:tc>
        <w:tc>
          <w:tcPr>
            <w:tcW w:w="1218" w:type="dxa"/>
            <w:tcBorders>
              <w:top w:val="nil"/>
              <w:left w:val="single" w:sz="8" w:space="0" w:color="E0E0E0"/>
              <w:bottom w:val="single" w:sz="8" w:space="0" w:color="152935"/>
              <w:right w:val="nil"/>
            </w:tcBorders>
            <w:shd w:val="clear" w:color="auto" w:fill="FFFFFF"/>
            <w:vAlign w:val="bottom"/>
          </w:tcPr>
          <w:p w14:paraId="2CE6215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Missing N</w:t>
            </w:r>
          </w:p>
        </w:tc>
      </w:tr>
      <w:tr w:rsidR="00241E66" w:rsidRPr="00241E66" w14:paraId="75EF4240" w14:textId="77777777">
        <w:trPr>
          <w:cantSplit/>
        </w:trPr>
        <w:tc>
          <w:tcPr>
            <w:tcW w:w="839" w:type="dxa"/>
            <w:tcBorders>
              <w:top w:val="single" w:sz="8" w:space="0" w:color="152935"/>
              <w:left w:val="nil"/>
              <w:bottom w:val="single" w:sz="8" w:space="0" w:color="AEAEAE"/>
              <w:right w:val="nil"/>
            </w:tcBorders>
            <w:shd w:val="clear" w:color="auto" w:fill="E0E0E0"/>
          </w:tcPr>
          <w:p w14:paraId="741B36F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1103" w:type="dxa"/>
            <w:tcBorders>
              <w:top w:val="single" w:sz="8" w:space="0" w:color="152935"/>
              <w:left w:val="nil"/>
              <w:bottom w:val="single" w:sz="8" w:space="0" w:color="AEAEAE"/>
              <w:right w:val="single" w:sz="8" w:space="0" w:color="E0E0E0"/>
            </w:tcBorders>
            <w:shd w:val="clear" w:color="auto" w:fill="F9F9FB"/>
          </w:tcPr>
          <w:p w14:paraId="5317BA5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3.34</w:t>
            </w:r>
          </w:p>
        </w:tc>
        <w:tc>
          <w:tcPr>
            <w:tcW w:w="1547" w:type="dxa"/>
            <w:tcBorders>
              <w:top w:val="single" w:sz="8" w:space="0" w:color="152935"/>
              <w:left w:val="single" w:sz="8" w:space="0" w:color="E0E0E0"/>
              <w:bottom w:val="single" w:sz="8" w:space="0" w:color="AEAEAE"/>
              <w:right w:val="single" w:sz="8" w:space="0" w:color="E0E0E0"/>
            </w:tcBorders>
            <w:shd w:val="clear" w:color="auto" w:fill="F9F9FB"/>
          </w:tcPr>
          <w:p w14:paraId="50540F3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1.072</w:t>
            </w:r>
          </w:p>
        </w:tc>
        <w:tc>
          <w:tcPr>
            <w:tcW w:w="1267" w:type="dxa"/>
            <w:tcBorders>
              <w:top w:val="single" w:sz="8" w:space="0" w:color="152935"/>
              <w:left w:val="single" w:sz="8" w:space="0" w:color="E0E0E0"/>
              <w:bottom w:val="single" w:sz="8" w:space="0" w:color="AEAEAE"/>
              <w:right w:val="single" w:sz="8" w:space="0" w:color="E0E0E0"/>
            </w:tcBorders>
            <w:shd w:val="clear" w:color="auto" w:fill="F9F9FB"/>
          </w:tcPr>
          <w:p w14:paraId="43D9987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152935"/>
              <w:left w:val="single" w:sz="8" w:space="0" w:color="E0E0E0"/>
              <w:bottom w:val="single" w:sz="8" w:space="0" w:color="AEAEAE"/>
              <w:right w:val="nil"/>
            </w:tcBorders>
            <w:shd w:val="clear" w:color="auto" w:fill="F9F9FB"/>
          </w:tcPr>
          <w:p w14:paraId="0DBBBA8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0B4D0C88" w14:textId="77777777">
        <w:trPr>
          <w:cantSplit/>
        </w:trPr>
        <w:tc>
          <w:tcPr>
            <w:tcW w:w="839" w:type="dxa"/>
            <w:tcBorders>
              <w:top w:val="single" w:sz="8" w:space="0" w:color="AEAEAE"/>
              <w:left w:val="nil"/>
              <w:bottom w:val="single" w:sz="8" w:space="0" w:color="AEAEAE"/>
              <w:right w:val="nil"/>
            </w:tcBorders>
            <w:shd w:val="clear" w:color="auto" w:fill="E0E0E0"/>
          </w:tcPr>
          <w:p w14:paraId="76CD8B7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1103" w:type="dxa"/>
            <w:tcBorders>
              <w:top w:val="single" w:sz="8" w:space="0" w:color="AEAEAE"/>
              <w:left w:val="nil"/>
              <w:bottom w:val="single" w:sz="8" w:space="0" w:color="AEAEAE"/>
              <w:right w:val="single" w:sz="8" w:space="0" w:color="E0E0E0"/>
            </w:tcBorders>
            <w:shd w:val="clear" w:color="auto" w:fill="F9F9FB"/>
          </w:tcPr>
          <w:p w14:paraId="466BEB3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3.54</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352C2DA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.913</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7ADFEC6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7B7D26F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77D9F446" w14:textId="77777777">
        <w:trPr>
          <w:cantSplit/>
        </w:trPr>
        <w:tc>
          <w:tcPr>
            <w:tcW w:w="839" w:type="dxa"/>
            <w:tcBorders>
              <w:top w:val="single" w:sz="8" w:space="0" w:color="AEAEAE"/>
              <w:left w:val="nil"/>
              <w:bottom w:val="single" w:sz="8" w:space="0" w:color="AEAEAE"/>
              <w:right w:val="nil"/>
            </w:tcBorders>
            <w:shd w:val="clear" w:color="auto" w:fill="E0E0E0"/>
          </w:tcPr>
          <w:p w14:paraId="25E66A7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1103" w:type="dxa"/>
            <w:tcBorders>
              <w:top w:val="single" w:sz="8" w:space="0" w:color="AEAEAE"/>
              <w:left w:val="nil"/>
              <w:bottom w:val="single" w:sz="8" w:space="0" w:color="AEAEAE"/>
              <w:right w:val="single" w:sz="8" w:space="0" w:color="E0E0E0"/>
            </w:tcBorders>
            <w:shd w:val="clear" w:color="auto" w:fill="F9F9FB"/>
          </w:tcPr>
          <w:p w14:paraId="138E2AE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3.46</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501075B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.973</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22810E9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4C190B7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7C048A30" w14:textId="77777777">
        <w:trPr>
          <w:cantSplit/>
        </w:trPr>
        <w:tc>
          <w:tcPr>
            <w:tcW w:w="839" w:type="dxa"/>
            <w:tcBorders>
              <w:top w:val="single" w:sz="8" w:space="0" w:color="AEAEAE"/>
              <w:left w:val="nil"/>
              <w:bottom w:val="single" w:sz="8" w:space="0" w:color="AEAEAE"/>
              <w:right w:val="nil"/>
            </w:tcBorders>
            <w:shd w:val="clear" w:color="auto" w:fill="E0E0E0"/>
          </w:tcPr>
          <w:p w14:paraId="7F7D210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1103" w:type="dxa"/>
            <w:tcBorders>
              <w:top w:val="single" w:sz="8" w:space="0" w:color="AEAEAE"/>
              <w:left w:val="nil"/>
              <w:bottom w:val="single" w:sz="8" w:space="0" w:color="AEAEAE"/>
              <w:right w:val="single" w:sz="8" w:space="0" w:color="E0E0E0"/>
            </w:tcBorders>
            <w:shd w:val="clear" w:color="auto" w:fill="F9F9FB"/>
          </w:tcPr>
          <w:p w14:paraId="7E6916A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3.42</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20961FE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.950</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3A523BF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7FD3D0F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1E2030C9" w14:textId="77777777">
        <w:trPr>
          <w:cantSplit/>
        </w:trPr>
        <w:tc>
          <w:tcPr>
            <w:tcW w:w="839" w:type="dxa"/>
            <w:tcBorders>
              <w:top w:val="single" w:sz="8" w:space="0" w:color="AEAEAE"/>
              <w:left w:val="nil"/>
              <w:bottom w:val="single" w:sz="8" w:space="0" w:color="AEAEAE"/>
              <w:right w:val="nil"/>
            </w:tcBorders>
            <w:shd w:val="clear" w:color="auto" w:fill="E0E0E0"/>
          </w:tcPr>
          <w:p w14:paraId="55365A6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1103" w:type="dxa"/>
            <w:tcBorders>
              <w:top w:val="single" w:sz="8" w:space="0" w:color="AEAEAE"/>
              <w:left w:val="nil"/>
              <w:bottom w:val="single" w:sz="8" w:space="0" w:color="AEAEAE"/>
              <w:right w:val="single" w:sz="8" w:space="0" w:color="E0E0E0"/>
            </w:tcBorders>
            <w:shd w:val="clear" w:color="auto" w:fill="F9F9FB"/>
          </w:tcPr>
          <w:p w14:paraId="213640B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3.37</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395C66A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.877</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28DB99F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0BAD9B0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4070459D" w14:textId="77777777">
        <w:trPr>
          <w:cantSplit/>
        </w:trPr>
        <w:tc>
          <w:tcPr>
            <w:tcW w:w="839" w:type="dxa"/>
            <w:tcBorders>
              <w:top w:val="single" w:sz="8" w:space="0" w:color="AEAEAE"/>
              <w:left w:val="nil"/>
              <w:bottom w:val="single" w:sz="8" w:space="0" w:color="AEAEAE"/>
              <w:right w:val="nil"/>
            </w:tcBorders>
            <w:shd w:val="clear" w:color="auto" w:fill="E0E0E0"/>
          </w:tcPr>
          <w:p w14:paraId="53FC441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1103" w:type="dxa"/>
            <w:tcBorders>
              <w:top w:val="single" w:sz="8" w:space="0" w:color="AEAEAE"/>
              <w:left w:val="nil"/>
              <w:bottom w:val="single" w:sz="8" w:space="0" w:color="AEAEAE"/>
              <w:right w:val="single" w:sz="8" w:space="0" w:color="E0E0E0"/>
            </w:tcBorders>
            <w:shd w:val="clear" w:color="auto" w:fill="F9F9FB"/>
          </w:tcPr>
          <w:p w14:paraId="0FCC311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3.48</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2784354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.942</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15FD545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32995C2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0C32D85F" w14:textId="77777777">
        <w:trPr>
          <w:cantSplit/>
        </w:trPr>
        <w:tc>
          <w:tcPr>
            <w:tcW w:w="839" w:type="dxa"/>
            <w:tcBorders>
              <w:top w:val="single" w:sz="8" w:space="0" w:color="AEAEAE"/>
              <w:left w:val="nil"/>
              <w:bottom w:val="single" w:sz="8" w:space="0" w:color="AEAEAE"/>
              <w:right w:val="nil"/>
            </w:tcBorders>
            <w:shd w:val="clear" w:color="auto" w:fill="E0E0E0"/>
          </w:tcPr>
          <w:p w14:paraId="2E2B79E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1103" w:type="dxa"/>
            <w:tcBorders>
              <w:top w:val="single" w:sz="8" w:space="0" w:color="AEAEAE"/>
              <w:left w:val="nil"/>
              <w:bottom w:val="single" w:sz="8" w:space="0" w:color="AEAEAE"/>
              <w:right w:val="single" w:sz="8" w:space="0" w:color="E0E0E0"/>
            </w:tcBorders>
            <w:shd w:val="clear" w:color="auto" w:fill="F9F9FB"/>
          </w:tcPr>
          <w:p w14:paraId="54F0023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3.41</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1691980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.949</w:t>
            </w:r>
          </w:p>
        </w:tc>
        <w:tc>
          <w:tcPr>
            <w:tcW w:w="1267" w:type="dxa"/>
            <w:tcBorders>
              <w:top w:val="single" w:sz="8" w:space="0" w:color="AEAEAE"/>
              <w:left w:val="single" w:sz="8" w:space="0" w:color="E0E0E0"/>
              <w:bottom w:val="single" w:sz="8" w:space="0" w:color="AEAEAE"/>
              <w:right w:val="single" w:sz="8" w:space="0" w:color="E0E0E0"/>
            </w:tcBorders>
            <w:shd w:val="clear" w:color="auto" w:fill="F9F9FB"/>
          </w:tcPr>
          <w:p w14:paraId="6A82FAA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AEAEAE"/>
              <w:right w:val="nil"/>
            </w:tcBorders>
            <w:shd w:val="clear" w:color="auto" w:fill="F9F9FB"/>
          </w:tcPr>
          <w:p w14:paraId="3DD76B0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r w:rsidR="00241E66" w:rsidRPr="00241E66" w14:paraId="6C73A5AC" w14:textId="77777777">
        <w:trPr>
          <w:cantSplit/>
        </w:trPr>
        <w:tc>
          <w:tcPr>
            <w:tcW w:w="839" w:type="dxa"/>
            <w:tcBorders>
              <w:top w:val="single" w:sz="8" w:space="0" w:color="AEAEAE"/>
              <w:left w:val="nil"/>
              <w:bottom w:val="single" w:sz="8" w:space="0" w:color="152935"/>
              <w:right w:val="nil"/>
            </w:tcBorders>
            <w:shd w:val="clear" w:color="auto" w:fill="E0E0E0"/>
          </w:tcPr>
          <w:p w14:paraId="15A377A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c>
          <w:tcPr>
            <w:tcW w:w="1103" w:type="dxa"/>
            <w:tcBorders>
              <w:top w:val="single" w:sz="8" w:space="0" w:color="AEAEAE"/>
              <w:left w:val="nil"/>
              <w:bottom w:val="single" w:sz="8" w:space="0" w:color="152935"/>
              <w:right w:val="single" w:sz="8" w:space="0" w:color="E0E0E0"/>
            </w:tcBorders>
            <w:shd w:val="clear" w:color="auto" w:fill="F9F9FB"/>
          </w:tcPr>
          <w:p w14:paraId="3B31EB8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3.19</w:t>
            </w:r>
          </w:p>
        </w:tc>
        <w:tc>
          <w:tcPr>
            <w:tcW w:w="1547" w:type="dxa"/>
            <w:tcBorders>
              <w:top w:val="single" w:sz="8" w:space="0" w:color="AEAEAE"/>
              <w:left w:val="single" w:sz="8" w:space="0" w:color="E0E0E0"/>
              <w:bottom w:val="single" w:sz="8" w:space="0" w:color="152935"/>
              <w:right w:val="single" w:sz="8" w:space="0" w:color="E0E0E0"/>
            </w:tcBorders>
            <w:shd w:val="clear" w:color="auto" w:fill="F9F9FB"/>
          </w:tcPr>
          <w:p w14:paraId="05266EA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.992</w:t>
            </w:r>
          </w:p>
        </w:tc>
        <w:tc>
          <w:tcPr>
            <w:tcW w:w="1267" w:type="dxa"/>
            <w:tcBorders>
              <w:top w:val="single" w:sz="8" w:space="0" w:color="AEAEAE"/>
              <w:left w:val="single" w:sz="8" w:space="0" w:color="E0E0E0"/>
              <w:bottom w:val="single" w:sz="8" w:space="0" w:color="152935"/>
              <w:right w:val="single" w:sz="8" w:space="0" w:color="E0E0E0"/>
            </w:tcBorders>
            <w:shd w:val="clear" w:color="auto" w:fill="F9F9FB"/>
          </w:tcPr>
          <w:p w14:paraId="2E7065E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196</w:t>
            </w:r>
          </w:p>
        </w:tc>
        <w:tc>
          <w:tcPr>
            <w:tcW w:w="1218" w:type="dxa"/>
            <w:tcBorders>
              <w:top w:val="single" w:sz="8" w:space="0" w:color="AEAEAE"/>
              <w:left w:val="single" w:sz="8" w:space="0" w:color="E0E0E0"/>
              <w:bottom w:val="single" w:sz="8" w:space="0" w:color="152935"/>
              <w:right w:val="nil"/>
            </w:tcBorders>
            <w:shd w:val="clear" w:color="auto" w:fill="F9F9FB"/>
          </w:tcPr>
          <w:p w14:paraId="2902D35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w:t>
            </w:r>
          </w:p>
        </w:tc>
      </w:tr>
    </w:tbl>
    <w:p w14:paraId="2BA7A03C"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58BAF53D"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1641"/>
        <w:gridCol w:w="828"/>
        <w:gridCol w:w="842"/>
        <w:gridCol w:w="856"/>
        <w:gridCol w:w="815"/>
        <w:gridCol w:w="815"/>
        <w:gridCol w:w="815"/>
        <w:gridCol w:w="815"/>
        <w:gridCol w:w="829"/>
        <w:gridCol w:w="815"/>
      </w:tblGrid>
      <w:tr w:rsidR="00241E66" w:rsidRPr="00241E66" w14:paraId="3244165B" w14:textId="77777777" w:rsidTr="00241E66">
        <w:trPr>
          <w:cantSplit/>
        </w:trPr>
        <w:tc>
          <w:tcPr>
            <w:tcW w:w="5000" w:type="pct"/>
            <w:gridSpan w:val="10"/>
            <w:tcBorders>
              <w:top w:val="nil"/>
              <w:left w:val="nil"/>
              <w:bottom w:val="nil"/>
              <w:right w:val="nil"/>
            </w:tcBorders>
            <w:shd w:val="clear" w:color="auto" w:fill="FFFFFF"/>
            <w:vAlign w:val="center"/>
          </w:tcPr>
          <w:p w14:paraId="175EFE0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Correlation Matrix</w:t>
            </w:r>
            <w:r w:rsidRPr="00241E66">
              <w:rPr>
                <w:rFonts w:ascii="Arial" w:hAnsi="Arial" w:cs="Arial"/>
                <w:b/>
                <w:bCs/>
                <w:color w:val="010205"/>
                <w:kern w:val="0"/>
                <w:vertAlign w:val="superscript"/>
              </w:rPr>
              <w:t>a</w:t>
            </w:r>
          </w:p>
        </w:tc>
      </w:tr>
      <w:tr w:rsidR="00241E66" w:rsidRPr="00241E66" w14:paraId="6FCE7FF6" w14:textId="77777777" w:rsidTr="00241E66">
        <w:trPr>
          <w:cantSplit/>
        </w:trPr>
        <w:tc>
          <w:tcPr>
            <w:tcW w:w="1362" w:type="pct"/>
            <w:gridSpan w:val="2"/>
            <w:tcBorders>
              <w:top w:val="nil"/>
              <w:left w:val="nil"/>
              <w:bottom w:val="single" w:sz="8" w:space="0" w:color="152935"/>
              <w:right w:val="nil"/>
            </w:tcBorders>
            <w:shd w:val="clear" w:color="auto" w:fill="FFFFFF"/>
            <w:vAlign w:val="bottom"/>
          </w:tcPr>
          <w:p w14:paraId="791A634B"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64" w:type="pct"/>
            <w:tcBorders>
              <w:top w:val="nil"/>
              <w:left w:val="nil"/>
              <w:bottom w:val="single" w:sz="8" w:space="0" w:color="152935"/>
              <w:right w:val="single" w:sz="8" w:space="0" w:color="E0E0E0"/>
            </w:tcBorders>
            <w:shd w:val="clear" w:color="auto" w:fill="FFFFFF"/>
            <w:vAlign w:val="bottom"/>
          </w:tcPr>
          <w:p w14:paraId="046023F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472" w:type="pct"/>
            <w:tcBorders>
              <w:top w:val="nil"/>
              <w:left w:val="single" w:sz="8" w:space="0" w:color="E0E0E0"/>
              <w:bottom w:val="single" w:sz="8" w:space="0" w:color="152935"/>
              <w:right w:val="single" w:sz="8" w:space="0" w:color="E0E0E0"/>
            </w:tcBorders>
            <w:shd w:val="clear" w:color="auto" w:fill="FFFFFF"/>
            <w:vAlign w:val="bottom"/>
          </w:tcPr>
          <w:p w14:paraId="77508DF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449" w:type="pct"/>
            <w:tcBorders>
              <w:top w:val="nil"/>
              <w:left w:val="single" w:sz="8" w:space="0" w:color="E0E0E0"/>
              <w:bottom w:val="single" w:sz="8" w:space="0" w:color="152935"/>
              <w:right w:val="single" w:sz="8" w:space="0" w:color="E0E0E0"/>
            </w:tcBorders>
            <w:shd w:val="clear" w:color="auto" w:fill="FFFFFF"/>
            <w:vAlign w:val="bottom"/>
          </w:tcPr>
          <w:p w14:paraId="6863821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449" w:type="pct"/>
            <w:tcBorders>
              <w:top w:val="nil"/>
              <w:left w:val="single" w:sz="8" w:space="0" w:color="E0E0E0"/>
              <w:bottom w:val="single" w:sz="8" w:space="0" w:color="152935"/>
              <w:right w:val="single" w:sz="8" w:space="0" w:color="E0E0E0"/>
            </w:tcBorders>
            <w:shd w:val="clear" w:color="auto" w:fill="FFFFFF"/>
            <w:vAlign w:val="bottom"/>
          </w:tcPr>
          <w:p w14:paraId="4C82974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449" w:type="pct"/>
            <w:tcBorders>
              <w:top w:val="nil"/>
              <w:left w:val="single" w:sz="8" w:space="0" w:color="E0E0E0"/>
              <w:bottom w:val="single" w:sz="8" w:space="0" w:color="152935"/>
              <w:right w:val="single" w:sz="8" w:space="0" w:color="E0E0E0"/>
            </w:tcBorders>
            <w:shd w:val="clear" w:color="auto" w:fill="FFFFFF"/>
            <w:vAlign w:val="bottom"/>
          </w:tcPr>
          <w:p w14:paraId="48F2605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449" w:type="pct"/>
            <w:tcBorders>
              <w:top w:val="nil"/>
              <w:left w:val="single" w:sz="8" w:space="0" w:color="E0E0E0"/>
              <w:bottom w:val="single" w:sz="8" w:space="0" w:color="152935"/>
              <w:right w:val="single" w:sz="8" w:space="0" w:color="E0E0E0"/>
            </w:tcBorders>
            <w:shd w:val="clear" w:color="auto" w:fill="FFFFFF"/>
            <w:vAlign w:val="bottom"/>
          </w:tcPr>
          <w:p w14:paraId="1567233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457" w:type="pct"/>
            <w:tcBorders>
              <w:top w:val="nil"/>
              <w:left w:val="single" w:sz="8" w:space="0" w:color="E0E0E0"/>
              <w:bottom w:val="single" w:sz="8" w:space="0" w:color="152935"/>
              <w:right w:val="single" w:sz="8" w:space="0" w:color="E0E0E0"/>
            </w:tcBorders>
            <w:shd w:val="clear" w:color="auto" w:fill="FFFFFF"/>
            <w:vAlign w:val="bottom"/>
          </w:tcPr>
          <w:p w14:paraId="30BE58C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449" w:type="pct"/>
            <w:tcBorders>
              <w:top w:val="nil"/>
              <w:left w:val="single" w:sz="8" w:space="0" w:color="E0E0E0"/>
              <w:bottom w:val="single" w:sz="8" w:space="0" w:color="152935"/>
              <w:right w:val="nil"/>
            </w:tcBorders>
            <w:shd w:val="clear" w:color="auto" w:fill="FFFFFF"/>
            <w:vAlign w:val="bottom"/>
          </w:tcPr>
          <w:p w14:paraId="1161CBA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r>
      <w:tr w:rsidR="00241E66" w:rsidRPr="00241E66" w14:paraId="4B83963A" w14:textId="77777777" w:rsidTr="00241E66">
        <w:trPr>
          <w:cantSplit/>
        </w:trPr>
        <w:tc>
          <w:tcPr>
            <w:tcW w:w="905" w:type="pct"/>
            <w:vMerge w:val="restart"/>
            <w:tcBorders>
              <w:top w:val="single" w:sz="8" w:space="0" w:color="152935"/>
              <w:left w:val="nil"/>
              <w:bottom w:val="nil"/>
              <w:right w:val="nil"/>
            </w:tcBorders>
            <w:shd w:val="clear" w:color="auto" w:fill="E0E0E0"/>
          </w:tcPr>
          <w:p w14:paraId="600FE65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Correlation</w:t>
            </w:r>
          </w:p>
        </w:tc>
        <w:tc>
          <w:tcPr>
            <w:tcW w:w="457" w:type="pct"/>
            <w:tcBorders>
              <w:top w:val="single" w:sz="8" w:space="0" w:color="152935"/>
              <w:left w:val="nil"/>
              <w:bottom w:val="single" w:sz="8" w:space="0" w:color="AEAEAE"/>
              <w:right w:val="nil"/>
            </w:tcBorders>
            <w:shd w:val="clear" w:color="auto" w:fill="E0E0E0"/>
          </w:tcPr>
          <w:p w14:paraId="5D04A00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464" w:type="pct"/>
            <w:tcBorders>
              <w:top w:val="single" w:sz="8" w:space="0" w:color="152935"/>
              <w:left w:val="nil"/>
              <w:bottom w:val="single" w:sz="8" w:space="0" w:color="AEAEAE"/>
              <w:right w:val="single" w:sz="8" w:space="0" w:color="E0E0E0"/>
            </w:tcBorders>
            <w:shd w:val="clear" w:color="auto" w:fill="F9F9FB"/>
          </w:tcPr>
          <w:p w14:paraId="157CE3A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72" w:type="pct"/>
            <w:tcBorders>
              <w:top w:val="single" w:sz="8" w:space="0" w:color="152935"/>
              <w:left w:val="single" w:sz="8" w:space="0" w:color="E0E0E0"/>
              <w:bottom w:val="single" w:sz="8" w:space="0" w:color="AEAEAE"/>
              <w:right w:val="single" w:sz="8" w:space="0" w:color="E0E0E0"/>
            </w:tcBorders>
            <w:shd w:val="clear" w:color="auto" w:fill="F9F9FB"/>
          </w:tcPr>
          <w:p w14:paraId="7336115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.664</w:t>
            </w:r>
          </w:p>
        </w:tc>
        <w:tc>
          <w:tcPr>
            <w:tcW w:w="449" w:type="pct"/>
            <w:tcBorders>
              <w:top w:val="single" w:sz="8" w:space="0" w:color="152935"/>
              <w:left w:val="single" w:sz="8" w:space="0" w:color="E0E0E0"/>
              <w:bottom w:val="single" w:sz="8" w:space="0" w:color="AEAEAE"/>
              <w:right w:val="single" w:sz="8" w:space="0" w:color="E0E0E0"/>
            </w:tcBorders>
            <w:shd w:val="clear" w:color="auto" w:fill="F9F9FB"/>
          </w:tcPr>
          <w:p w14:paraId="7C4560F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.714</w:t>
            </w:r>
          </w:p>
        </w:tc>
        <w:tc>
          <w:tcPr>
            <w:tcW w:w="449" w:type="pct"/>
            <w:tcBorders>
              <w:top w:val="single" w:sz="8" w:space="0" w:color="152935"/>
              <w:left w:val="single" w:sz="8" w:space="0" w:color="E0E0E0"/>
              <w:bottom w:val="single" w:sz="8" w:space="0" w:color="AEAEAE"/>
              <w:right w:val="single" w:sz="8" w:space="0" w:color="E0E0E0"/>
            </w:tcBorders>
            <w:shd w:val="clear" w:color="auto" w:fill="F9F9FB"/>
          </w:tcPr>
          <w:p w14:paraId="0CA5127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.477</w:t>
            </w:r>
          </w:p>
        </w:tc>
        <w:tc>
          <w:tcPr>
            <w:tcW w:w="449" w:type="pct"/>
            <w:tcBorders>
              <w:top w:val="single" w:sz="8" w:space="0" w:color="152935"/>
              <w:left w:val="single" w:sz="8" w:space="0" w:color="E0E0E0"/>
              <w:bottom w:val="single" w:sz="8" w:space="0" w:color="AEAEAE"/>
              <w:right w:val="single" w:sz="8" w:space="0" w:color="E0E0E0"/>
            </w:tcBorders>
            <w:shd w:val="clear" w:color="auto" w:fill="F9F9FB"/>
          </w:tcPr>
          <w:p w14:paraId="33C1032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.644</w:t>
            </w:r>
          </w:p>
        </w:tc>
        <w:tc>
          <w:tcPr>
            <w:tcW w:w="449" w:type="pct"/>
            <w:tcBorders>
              <w:top w:val="single" w:sz="8" w:space="0" w:color="152935"/>
              <w:left w:val="single" w:sz="8" w:space="0" w:color="E0E0E0"/>
              <w:bottom w:val="single" w:sz="8" w:space="0" w:color="AEAEAE"/>
              <w:right w:val="single" w:sz="8" w:space="0" w:color="E0E0E0"/>
            </w:tcBorders>
            <w:shd w:val="clear" w:color="auto" w:fill="F9F9FB"/>
          </w:tcPr>
          <w:p w14:paraId="0EA3501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.450</w:t>
            </w:r>
          </w:p>
        </w:tc>
        <w:tc>
          <w:tcPr>
            <w:tcW w:w="457" w:type="pct"/>
            <w:tcBorders>
              <w:top w:val="single" w:sz="8" w:space="0" w:color="152935"/>
              <w:left w:val="single" w:sz="8" w:space="0" w:color="E0E0E0"/>
              <w:bottom w:val="single" w:sz="8" w:space="0" w:color="AEAEAE"/>
              <w:right w:val="single" w:sz="8" w:space="0" w:color="E0E0E0"/>
            </w:tcBorders>
            <w:shd w:val="clear" w:color="auto" w:fill="F9F9FB"/>
          </w:tcPr>
          <w:p w14:paraId="2A44DA3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.632</w:t>
            </w:r>
          </w:p>
        </w:tc>
        <w:tc>
          <w:tcPr>
            <w:tcW w:w="449" w:type="pct"/>
            <w:tcBorders>
              <w:top w:val="single" w:sz="8" w:space="0" w:color="152935"/>
              <w:left w:val="single" w:sz="8" w:space="0" w:color="E0E0E0"/>
              <w:bottom w:val="single" w:sz="8" w:space="0" w:color="AEAEAE"/>
              <w:right w:val="nil"/>
            </w:tcBorders>
            <w:shd w:val="clear" w:color="auto" w:fill="F9F9FB"/>
          </w:tcPr>
          <w:p w14:paraId="2E74A25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.599</w:t>
            </w:r>
          </w:p>
        </w:tc>
      </w:tr>
      <w:tr w:rsidR="00241E66" w:rsidRPr="00241E66" w14:paraId="5B1604CA" w14:textId="77777777" w:rsidTr="00241E66">
        <w:trPr>
          <w:cantSplit/>
        </w:trPr>
        <w:tc>
          <w:tcPr>
            <w:tcW w:w="905" w:type="pct"/>
            <w:vMerge/>
            <w:tcBorders>
              <w:top w:val="single" w:sz="8" w:space="0" w:color="152935"/>
              <w:left w:val="nil"/>
              <w:bottom w:val="nil"/>
              <w:right w:val="nil"/>
            </w:tcBorders>
            <w:shd w:val="clear" w:color="auto" w:fill="E0E0E0"/>
          </w:tcPr>
          <w:p w14:paraId="12270DA2"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7F42BC2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464" w:type="pct"/>
            <w:tcBorders>
              <w:top w:val="single" w:sz="8" w:space="0" w:color="AEAEAE"/>
              <w:left w:val="nil"/>
              <w:bottom w:val="single" w:sz="8" w:space="0" w:color="AEAEAE"/>
              <w:right w:val="single" w:sz="8" w:space="0" w:color="E0E0E0"/>
            </w:tcBorders>
            <w:shd w:val="clear" w:color="auto" w:fill="F9F9FB"/>
          </w:tcPr>
          <w:p w14:paraId="3E399FE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.664</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43B92CE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31FD542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.717</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E92C7D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.580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00880B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.638</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13F5DA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16F9843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.652</w:t>
            </w:r>
          </w:p>
        </w:tc>
        <w:tc>
          <w:tcPr>
            <w:tcW w:w="449" w:type="pct"/>
            <w:tcBorders>
              <w:top w:val="single" w:sz="8" w:space="0" w:color="AEAEAE"/>
              <w:left w:val="single" w:sz="8" w:space="0" w:color="E0E0E0"/>
              <w:bottom w:val="single" w:sz="8" w:space="0" w:color="AEAEAE"/>
              <w:right w:val="nil"/>
            </w:tcBorders>
            <w:shd w:val="clear" w:color="auto" w:fill="F9F9FB"/>
          </w:tcPr>
          <w:p w14:paraId="7D52586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.532</w:t>
            </w:r>
          </w:p>
        </w:tc>
      </w:tr>
      <w:tr w:rsidR="00241E66" w:rsidRPr="00241E66" w14:paraId="00CB1CA2" w14:textId="77777777" w:rsidTr="00241E66">
        <w:trPr>
          <w:cantSplit/>
        </w:trPr>
        <w:tc>
          <w:tcPr>
            <w:tcW w:w="905" w:type="pct"/>
            <w:vMerge/>
            <w:tcBorders>
              <w:top w:val="single" w:sz="8" w:space="0" w:color="152935"/>
              <w:left w:val="nil"/>
              <w:bottom w:val="nil"/>
              <w:right w:val="nil"/>
            </w:tcBorders>
            <w:shd w:val="clear" w:color="auto" w:fill="E0E0E0"/>
          </w:tcPr>
          <w:p w14:paraId="76C29B03"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22C1B5E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464" w:type="pct"/>
            <w:tcBorders>
              <w:top w:val="single" w:sz="8" w:space="0" w:color="AEAEAE"/>
              <w:left w:val="nil"/>
              <w:bottom w:val="single" w:sz="8" w:space="0" w:color="AEAEAE"/>
              <w:right w:val="single" w:sz="8" w:space="0" w:color="E0E0E0"/>
            </w:tcBorders>
            <w:shd w:val="clear" w:color="auto" w:fill="F9F9FB"/>
          </w:tcPr>
          <w:p w14:paraId="7C6D3E6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.714</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05FFF88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.717</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7EEC18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D83AB3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.632</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F4B4B6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.646</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6983E4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.629</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499AFD4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.643</w:t>
            </w:r>
          </w:p>
        </w:tc>
        <w:tc>
          <w:tcPr>
            <w:tcW w:w="449" w:type="pct"/>
            <w:tcBorders>
              <w:top w:val="single" w:sz="8" w:space="0" w:color="AEAEAE"/>
              <w:left w:val="single" w:sz="8" w:space="0" w:color="E0E0E0"/>
              <w:bottom w:val="single" w:sz="8" w:space="0" w:color="AEAEAE"/>
              <w:right w:val="nil"/>
            </w:tcBorders>
            <w:shd w:val="clear" w:color="auto" w:fill="F9F9FB"/>
          </w:tcPr>
          <w:p w14:paraId="59F400A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.595</w:t>
            </w:r>
          </w:p>
        </w:tc>
      </w:tr>
      <w:tr w:rsidR="00241E66" w:rsidRPr="00241E66" w14:paraId="2482FF0C" w14:textId="77777777" w:rsidTr="00241E66">
        <w:trPr>
          <w:cantSplit/>
        </w:trPr>
        <w:tc>
          <w:tcPr>
            <w:tcW w:w="905" w:type="pct"/>
            <w:vMerge/>
            <w:tcBorders>
              <w:top w:val="single" w:sz="8" w:space="0" w:color="152935"/>
              <w:left w:val="nil"/>
              <w:bottom w:val="nil"/>
              <w:right w:val="nil"/>
            </w:tcBorders>
            <w:shd w:val="clear" w:color="auto" w:fill="E0E0E0"/>
          </w:tcPr>
          <w:p w14:paraId="0B162B47"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6C86EDA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464" w:type="pct"/>
            <w:tcBorders>
              <w:top w:val="single" w:sz="8" w:space="0" w:color="AEAEAE"/>
              <w:left w:val="nil"/>
              <w:bottom w:val="single" w:sz="8" w:space="0" w:color="AEAEAE"/>
              <w:right w:val="single" w:sz="8" w:space="0" w:color="E0E0E0"/>
            </w:tcBorders>
            <w:shd w:val="clear" w:color="auto" w:fill="F9F9FB"/>
          </w:tcPr>
          <w:p w14:paraId="0F58011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.477</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3E2F84E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.580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009B9A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.632</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024168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13822C1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.641</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03E2346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.629</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180199F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.442</w:t>
            </w:r>
          </w:p>
        </w:tc>
        <w:tc>
          <w:tcPr>
            <w:tcW w:w="449" w:type="pct"/>
            <w:tcBorders>
              <w:top w:val="single" w:sz="8" w:space="0" w:color="AEAEAE"/>
              <w:left w:val="single" w:sz="8" w:space="0" w:color="E0E0E0"/>
              <w:bottom w:val="single" w:sz="8" w:space="0" w:color="AEAEAE"/>
              <w:right w:val="nil"/>
            </w:tcBorders>
            <w:shd w:val="clear" w:color="auto" w:fill="F9F9FB"/>
          </w:tcPr>
          <w:p w14:paraId="107CF30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.508</w:t>
            </w:r>
          </w:p>
        </w:tc>
      </w:tr>
      <w:tr w:rsidR="00241E66" w:rsidRPr="00241E66" w14:paraId="34F81556" w14:textId="77777777" w:rsidTr="00241E66">
        <w:trPr>
          <w:cantSplit/>
        </w:trPr>
        <w:tc>
          <w:tcPr>
            <w:tcW w:w="905" w:type="pct"/>
            <w:vMerge/>
            <w:tcBorders>
              <w:top w:val="single" w:sz="8" w:space="0" w:color="152935"/>
              <w:left w:val="nil"/>
              <w:bottom w:val="nil"/>
              <w:right w:val="nil"/>
            </w:tcBorders>
            <w:shd w:val="clear" w:color="auto" w:fill="E0E0E0"/>
          </w:tcPr>
          <w:p w14:paraId="507F441A"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3D6483F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464" w:type="pct"/>
            <w:tcBorders>
              <w:top w:val="single" w:sz="8" w:space="0" w:color="AEAEAE"/>
              <w:left w:val="nil"/>
              <w:bottom w:val="single" w:sz="8" w:space="0" w:color="AEAEAE"/>
              <w:right w:val="single" w:sz="8" w:space="0" w:color="E0E0E0"/>
            </w:tcBorders>
            <w:shd w:val="clear" w:color="auto" w:fill="F9F9FB"/>
          </w:tcPr>
          <w:p w14:paraId="54288C5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.644</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329D33C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.638</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3D9613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.646</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574679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.641</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DB693B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104DFCD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.675</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1AE8CB4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.603</w:t>
            </w:r>
          </w:p>
        </w:tc>
        <w:tc>
          <w:tcPr>
            <w:tcW w:w="449" w:type="pct"/>
            <w:tcBorders>
              <w:top w:val="single" w:sz="8" w:space="0" w:color="AEAEAE"/>
              <w:left w:val="single" w:sz="8" w:space="0" w:color="E0E0E0"/>
              <w:bottom w:val="single" w:sz="8" w:space="0" w:color="AEAEAE"/>
              <w:right w:val="nil"/>
            </w:tcBorders>
            <w:shd w:val="clear" w:color="auto" w:fill="F9F9FB"/>
          </w:tcPr>
          <w:p w14:paraId="6FCA0A3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.579</w:t>
            </w:r>
          </w:p>
        </w:tc>
      </w:tr>
      <w:tr w:rsidR="00241E66" w:rsidRPr="00241E66" w14:paraId="08B73B34" w14:textId="77777777" w:rsidTr="00241E66">
        <w:trPr>
          <w:cantSplit/>
        </w:trPr>
        <w:tc>
          <w:tcPr>
            <w:tcW w:w="905" w:type="pct"/>
            <w:vMerge/>
            <w:tcBorders>
              <w:top w:val="single" w:sz="8" w:space="0" w:color="152935"/>
              <w:left w:val="nil"/>
              <w:bottom w:val="nil"/>
              <w:right w:val="nil"/>
            </w:tcBorders>
            <w:shd w:val="clear" w:color="auto" w:fill="E0E0E0"/>
          </w:tcPr>
          <w:p w14:paraId="2C576739"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301FCD8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464" w:type="pct"/>
            <w:tcBorders>
              <w:top w:val="single" w:sz="8" w:space="0" w:color="AEAEAE"/>
              <w:left w:val="nil"/>
              <w:bottom w:val="single" w:sz="8" w:space="0" w:color="AEAEAE"/>
              <w:right w:val="single" w:sz="8" w:space="0" w:color="E0E0E0"/>
            </w:tcBorders>
            <w:shd w:val="clear" w:color="auto" w:fill="F9F9FB"/>
          </w:tcPr>
          <w:p w14:paraId="4F1C630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.450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0F0FB2C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84933D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.629</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B575D0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.629</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198DB2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.675</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01BC8C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64F12AF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.613</w:t>
            </w:r>
          </w:p>
        </w:tc>
        <w:tc>
          <w:tcPr>
            <w:tcW w:w="449" w:type="pct"/>
            <w:tcBorders>
              <w:top w:val="single" w:sz="8" w:space="0" w:color="AEAEAE"/>
              <w:left w:val="single" w:sz="8" w:space="0" w:color="E0E0E0"/>
              <w:bottom w:val="single" w:sz="8" w:space="0" w:color="AEAEAE"/>
              <w:right w:val="nil"/>
            </w:tcBorders>
            <w:shd w:val="clear" w:color="auto" w:fill="F9F9FB"/>
          </w:tcPr>
          <w:p w14:paraId="130A2EE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.500</w:t>
            </w:r>
          </w:p>
        </w:tc>
      </w:tr>
      <w:tr w:rsidR="00241E66" w:rsidRPr="00241E66" w14:paraId="60F8D73B" w14:textId="77777777" w:rsidTr="00241E66">
        <w:trPr>
          <w:cantSplit/>
        </w:trPr>
        <w:tc>
          <w:tcPr>
            <w:tcW w:w="905" w:type="pct"/>
            <w:vMerge/>
            <w:tcBorders>
              <w:top w:val="single" w:sz="8" w:space="0" w:color="152935"/>
              <w:left w:val="nil"/>
              <w:bottom w:val="nil"/>
              <w:right w:val="nil"/>
            </w:tcBorders>
            <w:shd w:val="clear" w:color="auto" w:fill="E0E0E0"/>
          </w:tcPr>
          <w:p w14:paraId="7866EC17"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1F7C230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464" w:type="pct"/>
            <w:tcBorders>
              <w:top w:val="single" w:sz="8" w:space="0" w:color="AEAEAE"/>
              <w:left w:val="nil"/>
              <w:bottom w:val="single" w:sz="8" w:space="0" w:color="AEAEAE"/>
              <w:right w:val="single" w:sz="8" w:space="0" w:color="E0E0E0"/>
            </w:tcBorders>
            <w:shd w:val="clear" w:color="auto" w:fill="F9F9FB"/>
          </w:tcPr>
          <w:p w14:paraId="7858499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.632</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6E0CDAD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.652</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E35070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.643</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35C9BE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.442</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2D58B1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.603</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546B91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.613</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3537943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449" w:type="pct"/>
            <w:tcBorders>
              <w:top w:val="single" w:sz="8" w:space="0" w:color="AEAEAE"/>
              <w:left w:val="single" w:sz="8" w:space="0" w:color="E0E0E0"/>
              <w:bottom w:val="single" w:sz="8" w:space="0" w:color="AEAEAE"/>
              <w:right w:val="nil"/>
            </w:tcBorders>
            <w:shd w:val="clear" w:color="auto" w:fill="F9F9FB"/>
          </w:tcPr>
          <w:p w14:paraId="303E4C1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.559</w:t>
            </w:r>
          </w:p>
        </w:tc>
      </w:tr>
      <w:tr w:rsidR="00241E66" w:rsidRPr="00241E66" w14:paraId="1622B6B2" w14:textId="77777777" w:rsidTr="00241E66">
        <w:trPr>
          <w:cantSplit/>
        </w:trPr>
        <w:tc>
          <w:tcPr>
            <w:tcW w:w="905" w:type="pct"/>
            <w:vMerge/>
            <w:tcBorders>
              <w:top w:val="single" w:sz="8" w:space="0" w:color="152935"/>
              <w:left w:val="nil"/>
              <w:bottom w:val="nil"/>
              <w:right w:val="nil"/>
            </w:tcBorders>
            <w:shd w:val="clear" w:color="auto" w:fill="E0E0E0"/>
          </w:tcPr>
          <w:p w14:paraId="4565CEF8"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nil"/>
              <w:right w:val="nil"/>
            </w:tcBorders>
            <w:shd w:val="clear" w:color="auto" w:fill="E0E0E0"/>
          </w:tcPr>
          <w:p w14:paraId="6DC1E67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c>
          <w:tcPr>
            <w:tcW w:w="464" w:type="pct"/>
            <w:tcBorders>
              <w:top w:val="single" w:sz="8" w:space="0" w:color="AEAEAE"/>
              <w:left w:val="nil"/>
              <w:bottom w:val="nil"/>
              <w:right w:val="single" w:sz="8" w:space="0" w:color="E0E0E0"/>
            </w:tcBorders>
            <w:shd w:val="clear" w:color="auto" w:fill="F9F9FB"/>
          </w:tcPr>
          <w:p w14:paraId="42B281E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.599</w:t>
            </w:r>
          </w:p>
        </w:tc>
        <w:tc>
          <w:tcPr>
            <w:tcW w:w="472" w:type="pct"/>
            <w:tcBorders>
              <w:top w:val="single" w:sz="8" w:space="0" w:color="AEAEAE"/>
              <w:left w:val="single" w:sz="8" w:space="0" w:color="E0E0E0"/>
              <w:bottom w:val="nil"/>
              <w:right w:val="single" w:sz="8" w:space="0" w:color="E0E0E0"/>
            </w:tcBorders>
            <w:shd w:val="clear" w:color="auto" w:fill="F9F9FB"/>
          </w:tcPr>
          <w:p w14:paraId="552E305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.532</w:t>
            </w:r>
          </w:p>
        </w:tc>
        <w:tc>
          <w:tcPr>
            <w:tcW w:w="449" w:type="pct"/>
            <w:tcBorders>
              <w:top w:val="single" w:sz="8" w:space="0" w:color="AEAEAE"/>
              <w:left w:val="single" w:sz="8" w:space="0" w:color="E0E0E0"/>
              <w:bottom w:val="nil"/>
              <w:right w:val="single" w:sz="8" w:space="0" w:color="E0E0E0"/>
            </w:tcBorders>
            <w:shd w:val="clear" w:color="auto" w:fill="F9F9FB"/>
          </w:tcPr>
          <w:p w14:paraId="6801670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.595</w:t>
            </w:r>
          </w:p>
        </w:tc>
        <w:tc>
          <w:tcPr>
            <w:tcW w:w="449" w:type="pct"/>
            <w:tcBorders>
              <w:top w:val="single" w:sz="8" w:space="0" w:color="AEAEAE"/>
              <w:left w:val="single" w:sz="8" w:space="0" w:color="E0E0E0"/>
              <w:bottom w:val="nil"/>
              <w:right w:val="single" w:sz="8" w:space="0" w:color="E0E0E0"/>
            </w:tcBorders>
            <w:shd w:val="clear" w:color="auto" w:fill="F9F9FB"/>
          </w:tcPr>
          <w:p w14:paraId="18D94C5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.508</w:t>
            </w:r>
          </w:p>
        </w:tc>
        <w:tc>
          <w:tcPr>
            <w:tcW w:w="449" w:type="pct"/>
            <w:tcBorders>
              <w:top w:val="single" w:sz="8" w:space="0" w:color="AEAEAE"/>
              <w:left w:val="single" w:sz="8" w:space="0" w:color="E0E0E0"/>
              <w:bottom w:val="nil"/>
              <w:right w:val="single" w:sz="8" w:space="0" w:color="E0E0E0"/>
            </w:tcBorders>
            <w:shd w:val="clear" w:color="auto" w:fill="F9F9FB"/>
          </w:tcPr>
          <w:p w14:paraId="635230D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.579</w:t>
            </w:r>
          </w:p>
        </w:tc>
        <w:tc>
          <w:tcPr>
            <w:tcW w:w="449" w:type="pct"/>
            <w:tcBorders>
              <w:top w:val="single" w:sz="8" w:space="0" w:color="AEAEAE"/>
              <w:left w:val="single" w:sz="8" w:space="0" w:color="E0E0E0"/>
              <w:bottom w:val="nil"/>
              <w:right w:val="single" w:sz="8" w:space="0" w:color="E0E0E0"/>
            </w:tcBorders>
            <w:shd w:val="clear" w:color="auto" w:fill="F9F9FB"/>
          </w:tcPr>
          <w:p w14:paraId="6328B1B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.500</w:t>
            </w:r>
          </w:p>
        </w:tc>
        <w:tc>
          <w:tcPr>
            <w:tcW w:w="457" w:type="pct"/>
            <w:tcBorders>
              <w:top w:val="single" w:sz="8" w:space="0" w:color="AEAEAE"/>
              <w:left w:val="single" w:sz="8" w:space="0" w:color="E0E0E0"/>
              <w:bottom w:val="nil"/>
              <w:right w:val="single" w:sz="8" w:space="0" w:color="E0E0E0"/>
            </w:tcBorders>
            <w:shd w:val="clear" w:color="auto" w:fill="F9F9FB"/>
          </w:tcPr>
          <w:p w14:paraId="2B37E01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.559</w:t>
            </w:r>
          </w:p>
        </w:tc>
        <w:tc>
          <w:tcPr>
            <w:tcW w:w="449" w:type="pct"/>
            <w:tcBorders>
              <w:top w:val="single" w:sz="8" w:space="0" w:color="AEAEAE"/>
              <w:left w:val="single" w:sz="8" w:space="0" w:color="E0E0E0"/>
              <w:bottom w:val="nil"/>
              <w:right w:val="nil"/>
            </w:tcBorders>
            <w:shd w:val="clear" w:color="auto" w:fill="F9F9FB"/>
          </w:tcPr>
          <w:p w14:paraId="199C242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r>
      <w:tr w:rsidR="00241E66" w:rsidRPr="00241E66" w14:paraId="10B05618" w14:textId="77777777" w:rsidTr="00241E66">
        <w:trPr>
          <w:cantSplit/>
        </w:trPr>
        <w:tc>
          <w:tcPr>
            <w:tcW w:w="905" w:type="pct"/>
            <w:vMerge w:val="restart"/>
            <w:tcBorders>
              <w:top w:val="single" w:sz="8" w:space="0" w:color="AEAEAE"/>
              <w:left w:val="nil"/>
              <w:bottom w:val="single" w:sz="8" w:space="0" w:color="152935"/>
              <w:right w:val="nil"/>
            </w:tcBorders>
            <w:shd w:val="clear" w:color="auto" w:fill="E0E0E0"/>
          </w:tcPr>
          <w:p w14:paraId="4CC780B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Sig. (1-tailed)</w:t>
            </w:r>
          </w:p>
        </w:tc>
        <w:tc>
          <w:tcPr>
            <w:tcW w:w="457" w:type="pct"/>
            <w:tcBorders>
              <w:top w:val="single" w:sz="8" w:space="0" w:color="AEAEAE"/>
              <w:left w:val="nil"/>
              <w:bottom w:val="single" w:sz="8" w:space="0" w:color="AEAEAE"/>
              <w:right w:val="nil"/>
            </w:tcBorders>
            <w:shd w:val="clear" w:color="auto" w:fill="E0E0E0"/>
          </w:tcPr>
          <w:p w14:paraId="1CA0B85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464" w:type="pct"/>
            <w:tcBorders>
              <w:top w:val="single" w:sz="8" w:space="0" w:color="AEAEAE"/>
              <w:left w:val="nil"/>
              <w:bottom w:val="single" w:sz="8" w:space="0" w:color="AEAEAE"/>
              <w:right w:val="single" w:sz="8" w:space="0" w:color="E0E0E0"/>
            </w:tcBorders>
            <w:shd w:val="clear" w:color="auto" w:fill="F9F9FB"/>
            <w:vAlign w:val="center"/>
          </w:tcPr>
          <w:p w14:paraId="5CCD3B6C"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486D793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ACF60A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0BB0F2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3411F0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044F99D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7CCCDE0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5A6FDE4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7B6142B4"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57E37E94"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4D7BE5E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464" w:type="pct"/>
            <w:tcBorders>
              <w:top w:val="single" w:sz="8" w:space="0" w:color="AEAEAE"/>
              <w:left w:val="nil"/>
              <w:bottom w:val="single" w:sz="8" w:space="0" w:color="AEAEAE"/>
              <w:right w:val="single" w:sz="8" w:space="0" w:color="E0E0E0"/>
            </w:tcBorders>
            <w:shd w:val="clear" w:color="auto" w:fill="F9F9FB"/>
          </w:tcPr>
          <w:p w14:paraId="252EDB1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1976F27"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98FD95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1E911AC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3FBDCF4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FC51E4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7828251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372401A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208E34B7"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5D48F311"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52A1C0C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464" w:type="pct"/>
            <w:tcBorders>
              <w:top w:val="single" w:sz="8" w:space="0" w:color="AEAEAE"/>
              <w:left w:val="nil"/>
              <w:bottom w:val="single" w:sz="8" w:space="0" w:color="AEAEAE"/>
              <w:right w:val="single" w:sz="8" w:space="0" w:color="E0E0E0"/>
            </w:tcBorders>
            <w:shd w:val="clear" w:color="auto" w:fill="F9F9FB"/>
          </w:tcPr>
          <w:p w14:paraId="226E21F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761A8C2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37F723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B4D446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E45111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1AAD365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020B383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0377A8A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7801E194"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0A89085F"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4612DC1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464" w:type="pct"/>
            <w:tcBorders>
              <w:top w:val="single" w:sz="8" w:space="0" w:color="AEAEAE"/>
              <w:left w:val="nil"/>
              <w:bottom w:val="single" w:sz="8" w:space="0" w:color="AEAEAE"/>
              <w:right w:val="single" w:sz="8" w:space="0" w:color="E0E0E0"/>
            </w:tcBorders>
            <w:shd w:val="clear" w:color="auto" w:fill="F9F9FB"/>
          </w:tcPr>
          <w:p w14:paraId="5C917F8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54D6769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2909E8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11E7DCE"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9CD1CB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5CD4040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4CAC69E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0D685E9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1ECC716A"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7B37EE56"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2BBF57F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464" w:type="pct"/>
            <w:tcBorders>
              <w:top w:val="single" w:sz="8" w:space="0" w:color="AEAEAE"/>
              <w:left w:val="nil"/>
              <w:bottom w:val="single" w:sz="8" w:space="0" w:color="AEAEAE"/>
              <w:right w:val="single" w:sz="8" w:space="0" w:color="E0E0E0"/>
            </w:tcBorders>
            <w:shd w:val="clear" w:color="auto" w:fill="F9F9FB"/>
          </w:tcPr>
          <w:p w14:paraId="669DBEB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4CAB8B7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C1130A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A84AF9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F5118C8"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6530A43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1617EF9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2F4FADD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3E46E5B8"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2427A95B"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2098C43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464" w:type="pct"/>
            <w:tcBorders>
              <w:top w:val="single" w:sz="8" w:space="0" w:color="AEAEAE"/>
              <w:left w:val="nil"/>
              <w:bottom w:val="single" w:sz="8" w:space="0" w:color="AEAEAE"/>
              <w:right w:val="single" w:sz="8" w:space="0" w:color="E0E0E0"/>
            </w:tcBorders>
            <w:shd w:val="clear" w:color="auto" w:fill="F9F9FB"/>
          </w:tcPr>
          <w:p w14:paraId="1FACB97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4052EBC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82B44C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3EFB1F5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42EE7FF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2B0BA8A"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57" w:type="pct"/>
            <w:tcBorders>
              <w:top w:val="single" w:sz="8" w:space="0" w:color="AEAEAE"/>
              <w:left w:val="single" w:sz="8" w:space="0" w:color="E0E0E0"/>
              <w:bottom w:val="single" w:sz="8" w:space="0" w:color="AEAEAE"/>
              <w:right w:val="single" w:sz="8" w:space="0" w:color="E0E0E0"/>
            </w:tcBorders>
            <w:shd w:val="clear" w:color="auto" w:fill="F9F9FB"/>
          </w:tcPr>
          <w:p w14:paraId="60F131B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nil"/>
            </w:tcBorders>
            <w:shd w:val="clear" w:color="auto" w:fill="F9F9FB"/>
          </w:tcPr>
          <w:p w14:paraId="200D6E2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53F819D5"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40E795BE"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AEAEAE"/>
              <w:right w:val="nil"/>
            </w:tcBorders>
            <w:shd w:val="clear" w:color="auto" w:fill="E0E0E0"/>
          </w:tcPr>
          <w:p w14:paraId="0F6861F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464" w:type="pct"/>
            <w:tcBorders>
              <w:top w:val="single" w:sz="8" w:space="0" w:color="AEAEAE"/>
              <w:left w:val="nil"/>
              <w:bottom w:val="single" w:sz="8" w:space="0" w:color="AEAEAE"/>
              <w:right w:val="single" w:sz="8" w:space="0" w:color="E0E0E0"/>
            </w:tcBorders>
            <w:shd w:val="clear" w:color="auto" w:fill="F9F9FB"/>
          </w:tcPr>
          <w:p w14:paraId="3282B5D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AEAEAE"/>
              <w:right w:val="single" w:sz="8" w:space="0" w:color="E0E0E0"/>
            </w:tcBorders>
            <w:shd w:val="clear" w:color="auto" w:fill="F9F9FB"/>
          </w:tcPr>
          <w:p w14:paraId="5B87D28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04A4467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2D2FBFE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1BE30DF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AEAEAE"/>
              <w:right w:val="single" w:sz="8" w:space="0" w:color="E0E0E0"/>
            </w:tcBorders>
            <w:shd w:val="clear" w:color="auto" w:fill="F9F9FB"/>
          </w:tcPr>
          <w:p w14:paraId="709B83E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92070EA"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 w:type="pct"/>
            <w:tcBorders>
              <w:top w:val="single" w:sz="8" w:space="0" w:color="AEAEAE"/>
              <w:left w:val="single" w:sz="8" w:space="0" w:color="E0E0E0"/>
              <w:bottom w:val="single" w:sz="8" w:space="0" w:color="AEAEAE"/>
              <w:right w:val="nil"/>
            </w:tcBorders>
            <w:shd w:val="clear" w:color="auto" w:fill="F9F9FB"/>
          </w:tcPr>
          <w:p w14:paraId="0C9890C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r>
      <w:tr w:rsidR="00241E66" w:rsidRPr="00241E66" w14:paraId="39CE6510" w14:textId="77777777" w:rsidTr="00241E66">
        <w:trPr>
          <w:cantSplit/>
        </w:trPr>
        <w:tc>
          <w:tcPr>
            <w:tcW w:w="905" w:type="pct"/>
            <w:vMerge/>
            <w:tcBorders>
              <w:top w:val="single" w:sz="8" w:space="0" w:color="AEAEAE"/>
              <w:left w:val="nil"/>
              <w:bottom w:val="single" w:sz="8" w:space="0" w:color="152935"/>
              <w:right w:val="nil"/>
            </w:tcBorders>
            <w:shd w:val="clear" w:color="auto" w:fill="E0E0E0"/>
          </w:tcPr>
          <w:p w14:paraId="7003E8E7" w14:textId="77777777" w:rsidR="00241E66" w:rsidRPr="00241E66" w:rsidRDefault="00241E66"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457" w:type="pct"/>
            <w:tcBorders>
              <w:top w:val="single" w:sz="8" w:space="0" w:color="AEAEAE"/>
              <w:left w:val="nil"/>
              <w:bottom w:val="single" w:sz="8" w:space="0" w:color="152935"/>
              <w:right w:val="nil"/>
            </w:tcBorders>
            <w:shd w:val="clear" w:color="auto" w:fill="E0E0E0"/>
          </w:tcPr>
          <w:p w14:paraId="610ACEA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c>
          <w:tcPr>
            <w:tcW w:w="464" w:type="pct"/>
            <w:tcBorders>
              <w:top w:val="single" w:sz="8" w:space="0" w:color="AEAEAE"/>
              <w:left w:val="nil"/>
              <w:bottom w:val="single" w:sz="8" w:space="0" w:color="152935"/>
              <w:right w:val="single" w:sz="8" w:space="0" w:color="E0E0E0"/>
            </w:tcBorders>
            <w:shd w:val="clear" w:color="auto" w:fill="F9F9FB"/>
          </w:tcPr>
          <w:p w14:paraId="76A74D8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72" w:type="pct"/>
            <w:tcBorders>
              <w:top w:val="single" w:sz="8" w:space="0" w:color="AEAEAE"/>
              <w:left w:val="single" w:sz="8" w:space="0" w:color="E0E0E0"/>
              <w:bottom w:val="single" w:sz="8" w:space="0" w:color="152935"/>
              <w:right w:val="single" w:sz="8" w:space="0" w:color="E0E0E0"/>
            </w:tcBorders>
            <w:shd w:val="clear" w:color="auto" w:fill="F9F9FB"/>
          </w:tcPr>
          <w:p w14:paraId="0B57662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152935"/>
              <w:right w:val="single" w:sz="8" w:space="0" w:color="E0E0E0"/>
            </w:tcBorders>
            <w:shd w:val="clear" w:color="auto" w:fill="F9F9FB"/>
          </w:tcPr>
          <w:p w14:paraId="32F7B6A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152935"/>
              <w:right w:val="single" w:sz="8" w:space="0" w:color="E0E0E0"/>
            </w:tcBorders>
            <w:shd w:val="clear" w:color="auto" w:fill="F9F9FB"/>
          </w:tcPr>
          <w:p w14:paraId="6427B4A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152935"/>
              <w:right w:val="single" w:sz="8" w:space="0" w:color="E0E0E0"/>
            </w:tcBorders>
            <w:shd w:val="clear" w:color="auto" w:fill="F9F9FB"/>
          </w:tcPr>
          <w:p w14:paraId="624A788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152935"/>
              <w:right w:val="single" w:sz="8" w:space="0" w:color="E0E0E0"/>
            </w:tcBorders>
            <w:shd w:val="clear" w:color="auto" w:fill="F9F9FB"/>
          </w:tcPr>
          <w:p w14:paraId="5DFDE72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57" w:type="pct"/>
            <w:tcBorders>
              <w:top w:val="single" w:sz="8" w:space="0" w:color="AEAEAE"/>
              <w:left w:val="single" w:sz="8" w:space="0" w:color="E0E0E0"/>
              <w:bottom w:val="single" w:sz="8" w:space="0" w:color="152935"/>
              <w:right w:val="single" w:sz="8" w:space="0" w:color="E0E0E0"/>
            </w:tcBorders>
            <w:shd w:val="clear" w:color="auto" w:fill="F9F9FB"/>
          </w:tcPr>
          <w:p w14:paraId="7099611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.000</w:t>
            </w:r>
          </w:p>
        </w:tc>
        <w:tc>
          <w:tcPr>
            <w:tcW w:w="449" w:type="pct"/>
            <w:tcBorders>
              <w:top w:val="single" w:sz="8" w:space="0" w:color="AEAEAE"/>
              <w:left w:val="single" w:sz="8" w:space="0" w:color="E0E0E0"/>
              <w:bottom w:val="single" w:sz="8" w:space="0" w:color="152935"/>
              <w:right w:val="nil"/>
            </w:tcBorders>
            <w:shd w:val="clear" w:color="auto" w:fill="F9F9FB"/>
            <w:vAlign w:val="center"/>
          </w:tcPr>
          <w:p w14:paraId="472D8EDC"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531517EA" w14:textId="77777777" w:rsidTr="00241E66">
        <w:trPr>
          <w:cantSplit/>
        </w:trPr>
        <w:tc>
          <w:tcPr>
            <w:tcW w:w="5000" w:type="pct"/>
            <w:gridSpan w:val="10"/>
            <w:tcBorders>
              <w:top w:val="nil"/>
              <w:left w:val="nil"/>
              <w:bottom w:val="nil"/>
              <w:right w:val="nil"/>
            </w:tcBorders>
            <w:shd w:val="clear" w:color="auto" w:fill="FFFFFF"/>
          </w:tcPr>
          <w:p w14:paraId="3E07FA2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a. Determinant = .005</w:t>
            </w:r>
          </w:p>
        </w:tc>
      </w:tr>
    </w:tbl>
    <w:p w14:paraId="6B43531B"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10D8309E"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3128" w:type="dxa"/>
        <w:tblLayout w:type="fixed"/>
        <w:tblCellMar>
          <w:left w:w="0" w:type="dxa"/>
          <w:right w:w="0" w:type="dxa"/>
        </w:tblCellMar>
        <w:tblLook w:val="0000" w:firstRow="0" w:lastRow="0" w:firstColumn="0" w:lastColumn="0" w:noHBand="0" w:noVBand="0"/>
      </w:tblPr>
      <w:tblGrid>
        <w:gridCol w:w="840"/>
        <w:gridCol w:w="1103"/>
        <w:gridCol w:w="1185"/>
      </w:tblGrid>
      <w:tr w:rsidR="00241E66" w:rsidRPr="00241E66" w14:paraId="02B0749A" w14:textId="77777777">
        <w:trPr>
          <w:cantSplit/>
        </w:trPr>
        <w:tc>
          <w:tcPr>
            <w:tcW w:w="3127" w:type="dxa"/>
            <w:gridSpan w:val="3"/>
            <w:tcBorders>
              <w:top w:val="nil"/>
              <w:left w:val="nil"/>
              <w:bottom w:val="nil"/>
              <w:right w:val="nil"/>
            </w:tcBorders>
            <w:shd w:val="clear" w:color="auto" w:fill="FFFFFF"/>
            <w:vAlign w:val="center"/>
          </w:tcPr>
          <w:p w14:paraId="50CDCFF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Communalities</w:t>
            </w:r>
          </w:p>
        </w:tc>
      </w:tr>
      <w:tr w:rsidR="00241E66" w:rsidRPr="00241E66" w14:paraId="483229CD" w14:textId="77777777">
        <w:trPr>
          <w:cantSplit/>
        </w:trPr>
        <w:tc>
          <w:tcPr>
            <w:tcW w:w="839" w:type="dxa"/>
            <w:tcBorders>
              <w:top w:val="nil"/>
              <w:left w:val="nil"/>
              <w:bottom w:val="single" w:sz="8" w:space="0" w:color="152935"/>
              <w:right w:val="nil"/>
            </w:tcBorders>
            <w:shd w:val="clear" w:color="auto" w:fill="FFFFFF"/>
            <w:vAlign w:val="bottom"/>
          </w:tcPr>
          <w:p w14:paraId="4675F610"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03" w:type="dxa"/>
            <w:tcBorders>
              <w:top w:val="nil"/>
              <w:left w:val="nil"/>
              <w:bottom w:val="single" w:sz="8" w:space="0" w:color="152935"/>
              <w:right w:val="single" w:sz="8" w:space="0" w:color="E0E0E0"/>
            </w:tcBorders>
            <w:shd w:val="clear" w:color="auto" w:fill="FFFFFF"/>
            <w:vAlign w:val="bottom"/>
          </w:tcPr>
          <w:p w14:paraId="366D8D8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Initial</w:t>
            </w:r>
          </w:p>
        </w:tc>
        <w:tc>
          <w:tcPr>
            <w:tcW w:w="1185" w:type="dxa"/>
            <w:tcBorders>
              <w:top w:val="nil"/>
              <w:left w:val="single" w:sz="8" w:space="0" w:color="E0E0E0"/>
              <w:bottom w:val="single" w:sz="8" w:space="0" w:color="152935"/>
              <w:right w:val="nil"/>
            </w:tcBorders>
            <w:shd w:val="clear" w:color="auto" w:fill="FFFFFF"/>
            <w:vAlign w:val="bottom"/>
          </w:tcPr>
          <w:p w14:paraId="23DBF42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Extraction</w:t>
            </w:r>
          </w:p>
        </w:tc>
      </w:tr>
      <w:tr w:rsidR="00241E66" w:rsidRPr="00241E66" w14:paraId="7C96F89F" w14:textId="77777777">
        <w:trPr>
          <w:cantSplit/>
        </w:trPr>
        <w:tc>
          <w:tcPr>
            <w:tcW w:w="839" w:type="dxa"/>
            <w:tcBorders>
              <w:top w:val="single" w:sz="8" w:space="0" w:color="152935"/>
              <w:left w:val="nil"/>
              <w:bottom w:val="single" w:sz="8" w:space="0" w:color="AEAEAE"/>
              <w:right w:val="nil"/>
            </w:tcBorders>
            <w:shd w:val="clear" w:color="auto" w:fill="E0E0E0"/>
          </w:tcPr>
          <w:p w14:paraId="477A68B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1103" w:type="dxa"/>
            <w:tcBorders>
              <w:top w:val="single" w:sz="8" w:space="0" w:color="152935"/>
              <w:left w:val="nil"/>
              <w:bottom w:val="single" w:sz="8" w:space="0" w:color="AEAEAE"/>
              <w:right w:val="single" w:sz="8" w:space="0" w:color="E0E0E0"/>
            </w:tcBorders>
            <w:shd w:val="clear" w:color="auto" w:fill="F9F9FB"/>
          </w:tcPr>
          <w:p w14:paraId="3E0F82F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152935"/>
              <w:left w:val="single" w:sz="8" w:space="0" w:color="E0E0E0"/>
              <w:bottom w:val="single" w:sz="8" w:space="0" w:color="AEAEAE"/>
              <w:right w:val="nil"/>
            </w:tcBorders>
            <w:shd w:val="clear" w:color="auto" w:fill="F9F9FB"/>
          </w:tcPr>
          <w:p w14:paraId="741FA20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.877</w:t>
            </w:r>
          </w:p>
        </w:tc>
      </w:tr>
      <w:tr w:rsidR="00241E66" w:rsidRPr="00241E66" w14:paraId="3E6FA90F" w14:textId="77777777">
        <w:trPr>
          <w:cantSplit/>
        </w:trPr>
        <w:tc>
          <w:tcPr>
            <w:tcW w:w="839" w:type="dxa"/>
            <w:tcBorders>
              <w:top w:val="single" w:sz="8" w:space="0" w:color="AEAEAE"/>
              <w:left w:val="nil"/>
              <w:bottom w:val="single" w:sz="8" w:space="0" w:color="AEAEAE"/>
              <w:right w:val="nil"/>
            </w:tcBorders>
            <w:shd w:val="clear" w:color="auto" w:fill="E0E0E0"/>
          </w:tcPr>
          <w:p w14:paraId="46CCDA2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1103" w:type="dxa"/>
            <w:tcBorders>
              <w:top w:val="single" w:sz="8" w:space="0" w:color="AEAEAE"/>
              <w:left w:val="nil"/>
              <w:bottom w:val="single" w:sz="8" w:space="0" w:color="AEAEAE"/>
              <w:right w:val="single" w:sz="8" w:space="0" w:color="E0E0E0"/>
            </w:tcBorders>
            <w:shd w:val="clear" w:color="auto" w:fill="F9F9FB"/>
          </w:tcPr>
          <w:p w14:paraId="3BD9134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11C49AB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.806</w:t>
            </w:r>
          </w:p>
        </w:tc>
      </w:tr>
      <w:tr w:rsidR="00241E66" w:rsidRPr="00241E66" w14:paraId="2292BE20" w14:textId="77777777">
        <w:trPr>
          <w:cantSplit/>
        </w:trPr>
        <w:tc>
          <w:tcPr>
            <w:tcW w:w="839" w:type="dxa"/>
            <w:tcBorders>
              <w:top w:val="single" w:sz="8" w:space="0" w:color="AEAEAE"/>
              <w:left w:val="nil"/>
              <w:bottom w:val="single" w:sz="8" w:space="0" w:color="AEAEAE"/>
              <w:right w:val="nil"/>
            </w:tcBorders>
            <w:shd w:val="clear" w:color="auto" w:fill="E0E0E0"/>
          </w:tcPr>
          <w:p w14:paraId="5CB56AB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1103" w:type="dxa"/>
            <w:tcBorders>
              <w:top w:val="single" w:sz="8" w:space="0" w:color="AEAEAE"/>
              <w:left w:val="nil"/>
              <w:bottom w:val="single" w:sz="8" w:space="0" w:color="AEAEAE"/>
              <w:right w:val="single" w:sz="8" w:space="0" w:color="E0E0E0"/>
            </w:tcBorders>
            <w:shd w:val="clear" w:color="auto" w:fill="F9F9FB"/>
          </w:tcPr>
          <w:p w14:paraId="36CC704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5BFD618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.802</w:t>
            </w:r>
          </w:p>
        </w:tc>
      </w:tr>
      <w:tr w:rsidR="00241E66" w:rsidRPr="00241E66" w14:paraId="6ED3F26A" w14:textId="77777777">
        <w:trPr>
          <w:cantSplit/>
        </w:trPr>
        <w:tc>
          <w:tcPr>
            <w:tcW w:w="839" w:type="dxa"/>
            <w:tcBorders>
              <w:top w:val="single" w:sz="8" w:space="0" w:color="AEAEAE"/>
              <w:left w:val="nil"/>
              <w:bottom w:val="single" w:sz="8" w:space="0" w:color="AEAEAE"/>
              <w:right w:val="nil"/>
            </w:tcBorders>
            <w:shd w:val="clear" w:color="auto" w:fill="E0E0E0"/>
          </w:tcPr>
          <w:p w14:paraId="72949BC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1103" w:type="dxa"/>
            <w:tcBorders>
              <w:top w:val="single" w:sz="8" w:space="0" w:color="AEAEAE"/>
              <w:left w:val="nil"/>
              <w:bottom w:val="single" w:sz="8" w:space="0" w:color="AEAEAE"/>
              <w:right w:val="single" w:sz="8" w:space="0" w:color="E0E0E0"/>
            </w:tcBorders>
            <w:shd w:val="clear" w:color="auto" w:fill="F9F9FB"/>
          </w:tcPr>
          <w:p w14:paraId="4A2A00E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4872953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.903</w:t>
            </w:r>
          </w:p>
        </w:tc>
      </w:tr>
      <w:tr w:rsidR="00241E66" w:rsidRPr="00241E66" w14:paraId="5A6C7709" w14:textId="77777777">
        <w:trPr>
          <w:cantSplit/>
        </w:trPr>
        <w:tc>
          <w:tcPr>
            <w:tcW w:w="839" w:type="dxa"/>
            <w:tcBorders>
              <w:top w:val="single" w:sz="8" w:space="0" w:color="AEAEAE"/>
              <w:left w:val="nil"/>
              <w:bottom w:val="single" w:sz="8" w:space="0" w:color="AEAEAE"/>
              <w:right w:val="nil"/>
            </w:tcBorders>
            <w:shd w:val="clear" w:color="auto" w:fill="E0E0E0"/>
          </w:tcPr>
          <w:p w14:paraId="5407C19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1103" w:type="dxa"/>
            <w:tcBorders>
              <w:top w:val="single" w:sz="8" w:space="0" w:color="AEAEAE"/>
              <w:left w:val="nil"/>
              <w:bottom w:val="single" w:sz="8" w:space="0" w:color="AEAEAE"/>
              <w:right w:val="single" w:sz="8" w:space="0" w:color="E0E0E0"/>
            </w:tcBorders>
            <w:shd w:val="clear" w:color="auto" w:fill="F9F9FB"/>
          </w:tcPr>
          <w:p w14:paraId="489BC70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1B2E4DD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.734</w:t>
            </w:r>
          </w:p>
        </w:tc>
      </w:tr>
      <w:tr w:rsidR="00241E66" w:rsidRPr="00241E66" w14:paraId="3DC4E9DF" w14:textId="77777777">
        <w:trPr>
          <w:cantSplit/>
        </w:trPr>
        <w:tc>
          <w:tcPr>
            <w:tcW w:w="839" w:type="dxa"/>
            <w:tcBorders>
              <w:top w:val="single" w:sz="8" w:space="0" w:color="AEAEAE"/>
              <w:left w:val="nil"/>
              <w:bottom w:val="single" w:sz="8" w:space="0" w:color="AEAEAE"/>
              <w:right w:val="nil"/>
            </w:tcBorders>
            <w:shd w:val="clear" w:color="auto" w:fill="E0E0E0"/>
          </w:tcPr>
          <w:p w14:paraId="0E1F76E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1103" w:type="dxa"/>
            <w:tcBorders>
              <w:top w:val="single" w:sz="8" w:space="0" w:color="AEAEAE"/>
              <w:left w:val="nil"/>
              <w:bottom w:val="single" w:sz="8" w:space="0" w:color="AEAEAE"/>
              <w:right w:val="single" w:sz="8" w:space="0" w:color="E0E0E0"/>
            </w:tcBorders>
            <w:shd w:val="clear" w:color="auto" w:fill="F9F9FB"/>
          </w:tcPr>
          <w:p w14:paraId="68204AB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39DF121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.904</w:t>
            </w:r>
          </w:p>
        </w:tc>
      </w:tr>
      <w:tr w:rsidR="00241E66" w:rsidRPr="00241E66" w14:paraId="0DA8E1B6" w14:textId="77777777">
        <w:trPr>
          <w:cantSplit/>
        </w:trPr>
        <w:tc>
          <w:tcPr>
            <w:tcW w:w="839" w:type="dxa"/>
            <w:tcBorders>
              <w:top w:val="single" w:sz="8" w:space="0" w:color="AEAEAE"/>
              <w:left w:val="nil"/>
              <w:bottom w:val="single" w:sz="8" w:space="0" w:color="AEAEAE"/>
              <w:right w:val="nil"/>
            </w:tcBorders>
            <w:shd w:val="clear" w:color="auto" w:fill="E0E0E0"/>
          </w:tcPr>
          <w:p w14:paraId="464CE5B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1103" w:type="dxa"/>
            <w:tcBorders>
              <w:top w:val="single" w:sz="8" w:space="0" w:color="AEAEAE"/>
              <w:left w:val="nil"/>
              <w:bottom w:val="single" w:sz="8" w:space="0" w:color="AEAEAE"/>
              <w:right w:val="single" w:sz="8" w:space="0" w:color="E0E0E0"/>
            </w:tcBorders>
            <w:shd w:val="clear" w:color="auto" w:fill="F9F9FB"/>
          </w:tcPr>
          <w:p w14:paraId="0F1608F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AEAEAE"/>
              <w:right w:val="nil"/>
            </w:tcBorders>
            <w:shd w:val="clear" w:color="auto" w:fill="F9F9FB"/>
          </w:tcPr>
          <w:p w14:paraId="5B635B0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.894</w:t>
            </w:r>
          </w:p>
        </w:tc>
      </w:tr>
      <w:tr w:rsidR="00241E66" w:rsidRPr="00241E66" w14:paraId="110B7B85" w14:textId="77777777">
        <w:trPr>
          <w:cantSplit/>
        </w:trPr>
        <w:tc>
          <w:tcPr>
            <w:tcW w:w="839" w:type="dxa"/>
            <w:tcBorders>
              <w:top w:val="single" w:sz="8" w:space="0" w:color="AEAEAE"/>
              <w:left w:val="nil"/>
              <w:bottom w:val="single" w:sz="8" w:space="0" w:color="152935"/>
              <w:right w:val="nil"/>
            </w:tcBorders>
            <w:shd w:val="clear" w:color="auto" w:fill="E0E0E0"/>
          </w:tcPr>
          <w:p w14:paraId="22E7AA6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c>
          <w:tcPr>
            <w:tcW w:w="1103" w:type="dxa"/>
            <w:tcBorders>
              <w:top w:val="single" w:sz="8" w:space="0" w:color="AEAEAE"/>
              <w:left w:val="nil"/>
              <w:bottom w:val="single" w:sz="8" w:space="0" w:color="152935"/>
              <w:right w:val="single" w:sz="8" w:space="0" w:color="E0E0E0"/>
            </w:tcBorders>
            <w:shd w:val="clear" w:color="auto" w:fill="F9F9FB"/>
          </w:tcPr>
          <w:p w14:paraId="2C802BF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w:t>
            </w:r>
          </w:p>
        </w:tc>
        <w:tc>
          <w:tcPr>
            <w:tcW w:w="1185" w:type="dxa"/>
            <w:tcBorders>
              <w:top w:val="single" w:sz="8" w:space="0" w:color="AEAEAE"/>
              <w:left w:val="single" w:sz="8" w:space="0" w:color="E0E0E0"/>
              <w:bottom w:val="single" w:sz="8" w:space="0" w:color="152935"/>
              <w:right w:val="nil"/>
            </w:tcBorders>
            <w:shd w:val="clear" w:color="auto" w:fill="F9F9FB"/>
          </w:tcPr>
          <w:p w14:paraId="4C23B60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.965</w:t>
            </w:r>
          </w:p>
        </w:tc>
      </w:tr>
      <w:tr w:rsidR="00241E66" w:rsidRPr="00241E66" w14:paraId="722B05F9" w14:textId="77777777">
        <w:trPr>
          <w:cantSplit/>
        </w:trPr>
        <w:tc>
          <w:tcPr>
            <w:tcW w:w="3127" w:type="dxa"/>
            <w:gridSpan w:val="3"/>
            <w:tcBorders>
              <w:top w:val="nil"/>
              <w:left w:val="nil"/>
              <w:bottom w:val="nil"/>
              <w:right w:val="nil"/>
            </w:tcBorders>
            <w:shd w:val="clear" w:color="auto" w:fill="FFFFFF"/>
          </w:tcPr>
          <w:p w14:paraId="008E67A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Extraction Method: Principal Component Analysis.</w:t>
            </w:r>
          </w:p>
        </w:tc>
      </w:tr>
    </w:tbl>
    <w:p w14:paraId="779103E9"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115000F3"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1051"/>
        <w:gridCol w:w="649"/>
        <w:gridCol w:w="933"/>
        <w:gridCol w:w="1041"/>
        <w:gridCol w:w="745"/>
        <w:gridCol w:w="933"/>
        <w:gridCol w:w="1041"/>
        <w:gridCol w:w="714"/>
        <w:gridCol w:w="933"/>
        <w:gridCol w:w="1031"/>
      </w:tblGrid>
      <w:tr w:rsidR="00241E66" w:rsidRPr="00241E66" w14:paraId="71A01E6F" w14:textId="77777777" w:rsidTr="00241E66">
        <w:trPr>
          <w:cantSplit/>
        </w:trPr>
        <w:tc>
          <w:tcPr>
            <w:tcW w:w="5000" w:type="pct"/>
            <w:gridSpan w:val="10"/>
            <w:tcBorders>
              <w:top w:val="nil"/>
              <w:left w:val="nil"/>
              <w:bottom w:val="nil"/>
              <w:right w:val="nil"/>
            </w:tcBorders>
            <w:shd w:val="clear" w:color="auto" w:fill="FFFFFF"/>
            <w:vAlign w:val="center"/>
          </w:tcPr>
          <w:p w14:paraId="4541352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Total Variance Explained</w:t>
            </w:r>
          </w:p>
        </w:tc>
      </w:tr>
      <w:tr w:rsidR="00241E66" w:rsidRPr="00241E66" w14:paraId="1D37407D" w14:textId="77777777" w:rsidTr="00241E66">
        <w:trPr>
          <w:cantSplit/>
        </w:trPr>
        <w:tc>
          <w:tcPr>
            <w:tcW w:w="484" w:type="pct"/>
            <w:vMerge w:val="restart"/>
            <w:tcBorders>
              <w:top w:val="nil"/>
              <w:left w:val="nil"/>
              <w:bottom w:val="nil"/>
              <w:right w:val="nil"/>
            </w:tcBorders>
            <w:shd w:val="clear" w:color="auto" w:fill="FFFFFF"/>
            <w:vAlign w:val="bottom"/>
          </w:tcPr>
          <w:p w14:paraId="26BC744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Component</w:t>
            </w:r>
          </w:p>
        </w:tc>
        <w:tc>
          <w:tcPr>
            <w:tcW w:w="1476" w:type="pct"/>
            <w:gridSpan w:val="3"/>
            <w:tcBorders>
              <w:top w:val="nil"/>
              <w:left w:val="nil"/>
              <w:bottom w:val="nil"/>
              <w:right w:val="nil"/>
            </w:tcBorders>
            <w:shd w:val="clear" w:color="auto" w:fill="FFFFFF"/>
            <w:vAlign w:val="bottom"/>
          </w:tcPr>
          <w:p w14:paraId="26C657B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Initial Eigenvalues</w:t>
            </w:r>
          </w:p>
        </w:tc>
        <w:tc>
          <w:tcPr>
            <w:tcW w:w="1529" w:type="pct"/>
            <w:gridSpan w:val="3"/>
            <w:tcBorders>
              <w:top w:val="nil"/>
              <w:left w:val="single" w:sz="8" w:space="0" w:color="E0E0E0"/>
              <w:bottom w:val="nil"/>
              <w:right w:val="nil"/>
            </w:tcBorders>
            <w:shd w:val="clear" w:color="auto" w:fill="FFFFFF"/>
            <w:vAlign w:val="bottom"/>
          </w:tcPr>
          <w:p w14:paraId="221F9B4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Extraction Sums of Squared Loadings</w:t>
            </w:r>
          </w:p>
        </w:tc>
        <w:tc>
          <w:tcPr>
            <w:tcW w:w="1511" w:type="pct"/>
            <w:gridSpan w:val="3"/>
            <w:tcBorders>
              <w:top w:val="nil"/>
              <w:left w:val="single" w:sz="8" w:space="0" w:color="E0E0E0"/>
              <w:bottom w:val="nil"/>
              <w:right w:val="nil"/>
            </w:tcBorders>
            <w:shd w:val="clear" w:color="auto" w:fill="FFFFFF"/>
            <w:vAlign w:val="bottom"/>
          </w:tcPr>
          <w:p w14:paraId="3194316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Rotation Sums of Squared Loadings</w:t>
            </w:r>
          </w:p>
        </w:tc>
      </w:tr>
      <w:tr w:rsidR="00241E66" w:rsidRPr="00241E66" w14:paraId="357852B9" w14:textId="77777777" w:rsidTr="00241E66">
        <w:trPr>
          <w:cantSplit/>
        </w:trPr>
        <w:tc>
          <w:tcPr>
            <w:tcW w:w="484" w:type="pct"/>
            <w:vMerge/>
            <w:tcBorders>
              <w:top w:val="nil"/>
              <w:left w:val="nil"/>
              <w:bottom w:val="nil"/>
              <w:right w:val="nil"/>
            </w:tcBorders>
            <w:shd w:val="clear" w:color="auto" w:fill="FFFFFF"/>
            <w:vAlign w:val="bottom"/>
          </w:tcPr>
          <w:p w14:paraId="6BB1C49D" w14:textId="77777777" w:rsidR="00241E66" w:rsidRPr="00241E66" w:rsidRDefault="00241E66" w:rsidP="002E6F27">
            <w:pPr>
              <w:autoSpaceDE w:val="0"/>
              <w:autoSpaceDN w:val="0"/>
              <w:bidi w:val="0"/>
              <w:adjustRightInd w:val="0"/>
              <w:spacing w:after="0" w:line="240" w:lineRule="auto"/>
              <w:jc w:val="center"/>
              <w:rPr>
                <w:rFonts w:ascii="Arial" w:hAnsi="Arial" w:cs="Arial"/>
                <w:color w:val="264A60"/>
                <w:kern w:val="0"/>
                <w:sz w:val="18"/>
                <w:szCs w:val="18"/>
              </w:rPr>
            </w:pPr>
          </w:p>
        </w:tc>
        <w:tc>
          <w:tcPr>
            <w:tcW w:w="386" w:type="pct"/>
            <w:tcBorders>
              <w:top w:val="nil"/>
              <w:left w:val="nil"/>
              <w:bottom w:val="single" w:sz="8" w:space="0" w:color="152935"/>
              <w:right w:val="single" w:sz="8" w:space="0" w:color="E0E0E0"/>
            </w:tcBorders>
            <w:shd w:val="clear" w:color="auto" w:fill="FFFFFF"/>
            <w:vAlign w:val="bottom"/>
          </w:tcPr>
          <w:p w14:paraId="1DD0A6A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Total</w:t>
            </w:r>
          </w:p>
        </w:tc>
        <w:tc>
          <w:tcPr>
            <w:tcW w:w="542" w:type="pct"/>
            <w:tcBorders>
              <w:top w:val="nil"/>
              <w:left w:val="single" w:sz="8" w:space="0" w:color="E0E0E0"/>
              <w:bottom w:val="single" w:sz="8" w:space="0" w:color="152935"/>
              <w:right w:val="single" w:sz="8" w:space="0" w:color="E0E0E0"/>
            </w:tcBorders>
            <w:shd w:val="clear" w:color="auto" w:fill="FFFFFF"/>
            <w:vAlign w:val="bottom"/>
          </w:tcPr>
          <w:p w14:paraId="6895686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 of Variance</w:t>
            </w:r>
          </w:p>
        </w:tc>
        <w:tc>
          <w:tcPr>
            <w:tcW w:w="548" w:type="pct"/>
            <w:tcBorders>
              <w:top w:val="nil"/>
              <w:left w:val="single" w:sz="8" w:space="0" w:color="E0E0E0"/>
              <w:bottom w:val="single" w:sz="8" w:space="0" w:color="152935"/>
              <w:right w:val="nil"/>
            </w:tcBorders>
            <w:shd w:val="clear" w:color="auto" w:fill="FFFFFF"/>
            <w:vAlign w:val="bottom"/>
          </w:tcPr>
          <w:p w14:paraId="46D2D8D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Cumulative %</w:t>
            </w:r>
          </w:p>
        </w:tc>
        <w:tc>
          <w:tcPr>
            <w:tcW w:w="438" w:type="pct"/>
            <w:tcBorders>
              <w:top w:val="nil"/>
              <w:left w:val="single" w:sz="8" w:space="0" w:color="E0E0E0"/>
              <w:bottom w:val="single" w:sz="8" w:space="0" w:color="152935"/>
              <w:right w:val="single" w:sz="8" w:space="0" w:color="E0E0E0"/>
            </w:tcBorders>
            <w:shd w:val="clear" w:color="auto" w:fill="FFFFFF"/>
            <w:vAlign w:val="bottom"/>
          </w:tcPr>
          <w:p w14:paraId="21D5640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Total</w:t>
            </w:r>
          </w:p>
        </w:tc>
        <w:tc>
          <w:tcPr>
            <w:tcW w:w="542" w:type="pct"/>
            <w:tcBorders>
              <w:top w:val="nil"/>
              <w:left w:val="single" w:sz="8" w:space="0" w:color="E0E0E0"/>
              <w:bottom w:val="single" w:sz="8" w:space="0" w:color="152935"/>
              <w:right w:val="single" w:sz="8" w:space="0" w:color="E0E0E0"/>
            </w:tcBorders>
            <w:shd w:val="clear" w:color="auto" w:fill="FFFFFF"/>
            <w:vAlign w:val="bottom"/>
          </w:tcPr>
          <w:p w14:paraId="126B5C0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 of Variance</w:t>
            </w:r>
          </w:p>
        </w:tc>
        <w:tc>
          <w:tcPr>
            <w:tcW w:w="548" w:type="pct"/>
            <w:tcBorders>
              <w:top w:val="nil"/>
              <w:left w:val="single" w:sz="8" w:space="0" w:color="E0E0E0"/>
              <w:bottom w:val="single" w:sz="8" w:space="0" w:color="152935"/>
              <w:right w:val="nil"/>
            </w:tcBorders>
            <w:shd w:val="clear" w:color="auto" w:fill="FFFFFF"/>
            <w:vAlign w:val="bottom"/>
          </w:tcPr>
          <w:p w14:paraId="3BB6393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Cumulative %</w:t>
            </w:r>
          </w:p>
        </w:tc>
        <w:tc>
          <w:tcPr>
            <w:tcW w:w="421" w:type="pct"/>
            <w:tcBorders>
              <w:top w:val="nil"/>
              <w:left w:val="single" w:sz="8" w:space="0" w:color="E0E0E0"/>
              <w:bottom w:val="single" w:sz="8" w:space="0" w:color="152935"/>
              <w:right w:val="single" w:sz="8" w:space="0" w:color="E0E0E0"/>
            </w:tcBorders>
            <w:shd w:val="clear" w:color="auto" w:fill="FFFFFF"/>
            <w:vAlign w:val="bottom"/>
          </w:tcPr>
          <w:p w14:paraId="58BD76B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Total</w:t>
            </w:r>
          </w:p>
        </w:tc>
        <w:tc>
          <w:tcPr>
            <w:tcW w:w="542" w:type="pct"/>
            <w:tcBorders>
              <w:top w:val="nil"/>
              <w:left w:val="single" w:sz="8" w:space="0" w:color="E0E0E0"/>
              <w:bottom w:val="single" w:sz="8" w:space="0" w:color="152935"/>
              <w:right w:val="single" w:sz="8" w:space="0" w:color="E0E0E0"/>
            </w:tcBorders>
            <w:shd w:val="clear" w:color="auto" w:fill="FFFFFF"/>
            <w:vAlign w:val="bottom"/>
          </w:tcPr>
          <w:p w14:paraId="77809A8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 of Variance</w:t>
            </w:r>
          </w:p>
        </w:tc>
        <w:tc>
          <w:tcPr>
            <w:tcW w:w="548" w:type="pct"/>
            <w:tcBorders>
              <w:top w:val="nil"/>
              <w:left w:val="single" w:sz="8" w:space="0" w:color="E0E0E0"/>
              <w:bottom w:val="single" w:sz="8" w:space="0" w:color="152935"/>
              <w:right w:val="nil"/>
            </w:tcBorders>
            <w:shd w:val="clear" w:color="auto" w:fill="FFFFFF"/>
            <w:vAlign w:val="bottom"/>
          </w:tcPr>
          <w:p w14:paraId="1BB6236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Cumulative %</w:t>
            </w:r>
          </w:p>
        </w:tc>
      </w:tr>
      <w:tr w:rsidR="00241E66" w:rsidRPr="00241E66" w14:paraId="7A5DF818" w14:textId="77777777" w:rsidTr="00241E66">
        <w:trPr>
          <w:cantSplit/>
        </w:trPr>
        <w:tc>
          <w:tcPr>
            <w:tcW w:w="484" w:type="pct"/>
            <w:tcBorders>
              <w:top w:val="single" w:sz="8" w:space="0" w:color="152935"/>
              <w:left w:val="nil"/>
              <w:bottom w:val="single" w:sz="8" w:space="0" w:color="AEAEAE"/>
              <w:right w:val="nil"/>
            </w:tcBorders>
            <w:shd w:val="clear" w:color="auto" w:fill="E0E0E0"/>
          </w:tcPr>
          <w:p w14:paraId="640A612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1</w:t>
            </w:r>
          </w:p>
        </w:tc>
        <w:tc>
          <w:tcPr>
            <w:tcW w:w="386" w:type="pct"/>
            <w:tcBorders>
              <w:top w:val="single" w:sz="8" w:space="0" w:color="152935"/>
              <w:left w:val="nil"/>
              <w:bottom w:val="single" w:sz="8" w:space="0" w:color="AEAEAE"/>
              <w:right w:val="single" w:sz="8" w:space="0" w:color="E0E0E0"/>
            </w:tcBorders>
            <w:shd w:val="clear" w:color="auto" w:fill="F9F9FB"/>
          </w:tcPr>
          <w:p w14:paraId="7D3E7FE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5.210</w:t>
            </w:r>
          </w:p>
        </w:tc>
        <w:tc>
          <w:tcPr>
            <w:tcW w:w="542" w:type="pct"/>
            <w:tcBorders>
              <w:top w:val="single" w:sz="8" w:space="0" w:color="152935"/>
              <w:left w:val="single" w:sz="8" w:space="0" w:color="E0E0E0"/>
              <w:bottom w:val="single" w:sz="8" w:space="0" w:color="AEAEAE"/>
              <w:right w:val="single" w:sz="8" w:space="0" w:color="E0E0E0"/>
            </w:tcBorders>
            <w:shd w:val="clear" w:color="auto" w:fill="F9F9FB"/>
          </w:tcPr>
          <w:p w14:paraId="61BE374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65.119</w:t>
            </w:r>
          </w:p>
        </w:tc>
        <w:tc>
          <w:tcPr>
            <w:tcW w:w="548" w:type="pct"/>
            <w:tcBorders>
              <w:top w:val="single" w:sz="8" w:space="0" w:color="152935"/>
              <w:left w:val="single" w:sz="8" w:space="0" w:color="E0E0E0"/>
              <w:bottom w:val="single" w:sz="8" w:space="0" w:color="AEAEAE"/>
              <w:right w:val="nil"/>
            </w:tcBorders>
            <w:shd w:val="clear" w:color="auto" w:fill="F9F9FB"/>
          </w:tcPr>
          <w:p w14:paraId="595BA7F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65.119</w:t>
            </w:r>
          </w:p>
        </w:tc>
        <w:tc>
          <w:tcPr>
            <w:tcW w:w="438" w:type="pct"/>
            <w:tcBorders>
              <w:top w:val="single" w:sz="8" w:space="0" w:color="152935"/>
              <w:left w:val="single" w:sz="8" w:space="0" w:color="E0E0E0"/>
              <w:bottom w:val="single" w:sz="8" w:space="0" w:color="AEAEAE"/>
              <w:right w:val="single" w:sz="8" w:space="0" w:color="E0E0E0"/>
            </w:tcBorders>
            <w:shd w:val="clear" w:color="auto" w:fill="F9F9FB"/>
          </w:tcPr>
          <w:p w14:paraId="2C485EC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5.210</w:t>
            </w:r>
          </w:p>
        </w:tc>
        <w:tc>
          <w:tcPr>
            <w:tcW w:w="542" w:type="pct"/>
            <w:tcBorders>
              <w:top w:val="single" w:sz="8" w:space="0" w:color="152935"/>
              <w:left w:val="single" w:sz="8" w:space="0" w:color="E0E0E0"/>
              <w:bottom w:val="single" w:sz="8" w:space="0" w:color="AEAEAE"/>
              <w:right w:val="single" w:sz="8" w:space="0" w:color="E0E0E0"/>
            </w:tcBorders>
            <w:shd w:val="clear" w:color="auto" w:fill="F9F9FB"/>
          </w:tcPr>
          <w:p w14:paraId="6F6948F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65.119</w:t>
            </w:r>
          </w:p>
        </w:tc>
        <w:tc>
          <w:tcPr>
            <w:tcW w:w="548" w:type="pct"/>
            <w:tcBorders>
              <w:top w:val="single" w:sz="8" w:space="0" w:color="152935"/>
              <w:left w:val="single" w:sz="8" w:space="0" w:color="E0E0E0"/>
              <w:bottom w:val="single" w:sz="8" w:space="0" w:color="AEAEAE"/>
              <w:right w:val="nil"/>
            </w:tcBorders>
            <w:shd w:val="clear" w:color="auto" w:fill="F9F9FB"/>
          </w:tcPr>
          <w:p w14:paraId="352126E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65.119</w:t>
            </w:r>
          </w:p>
        </w:tc>
        <w:tc>
          <w:tcPr>
            <w:tcW w:w="421" w:type="pct"/>
            <w:tcBorders>
              <w:top w:val="single" w:sz="8" w:space="0" w:color="152935"/>
              <w:left w:val="single" w:sz="8" w:space="0" w:color="E0E0E0"/>
              <w:bottom w:val="single" w:sz="8" w:space="0" w:color="AEAEAE"/>
              <w:right w:val="single" w:sz="8" w:space="0" w:color="E0E0E0"/>
            </w:tcBorders>
            <w:shd w:val="clear" w:color="auto" w:fill="F9F9FB"/>
          </w:tcPr>
          <w:p w14:paraId="53DEAA2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2.286</w:t>
            </w:r>
          </w:p>
        </w:tc>
        <w:tc>
          <w:tcPr>
            <w:tcW w:w="542" w:type="pct"/>
            <w:tcBorders>
              <w:top w:val="single" w:sz="8" w:space="0" w:color="152935"/>
              <w:left w:val="single" w:sz="8" w:space="0" w:color="E0E0E0"/>
              <w:bottom w:val="single" w:sz="8" w:space="0" w:color="AEAEAE"/>
              <w:right w:val="single" w:sz="8" w:space="0" w:color="E0E0E0"/>
            </w:tcBorders>
            <w:shd w:val="clear" w:color="auto" w:fill="F9F9FB"/>
          </w:tcPr>
          <w:p w14:paraId="2032C7D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28.571</w:t>
            </w:r>
          </w:p>
        </w:tc>
        <w:tc>
          <w:tcPr>
            <w:tcW w:w="548" w:type="pct"/>
            <w:tcBorders>
              <w:top w:val="single" w:sz="8" w:space="0" w:color="152935"/>
              <w:left w:val="single" w:sz="8" w:space="0" w:color="E0E0E0"/>
              <w:bottom w:val="single" w:sz="8" w:space="0" w:color="AEAEAE"/>
              <w:right w:val="nil"/>
            </w:tcBorders>
            <w:shd w:val="clear" w:color="auto" w:fill="F9F9FB"/>
          </w:tcPr>
          <w:p w14:paraId="5729D1A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28.571</w:t>
            </w:r>
          </w:p>
        </w:tc>
      </w:tr>
      <w:tr w:rsidR="00241E66" w:rsidRPr="00241E66" w14:paraId="26E07893"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0203A28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2</w:t>
            </w:r>
          </w:p>
        </w:tc>
        <w:tc>
          <w:tcPr>
            <w:tcW w:w="386" w:type="pct"/>
            <w:tcBorders>
              <w:top w:val="single" w:sz="8" w:space="0" w:color="AEAEAE"/>
              <w:left w:val="nil"/>
              <w:bottom w:val="single" w:sz="8" w:space="0" w:color="AEAEAE"/>
              <w:right w:val="single" w:sz="8" w:space="0" w:color="E0E0E0"/>
            </w:tcBorders>
            <w:shd w:val="clear" w:color="auto" w:fill="F9F9FB"/>
          </w:tcPr>
          <w:p w14:paraId="607F384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.689</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0BA0270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8.609</w:t>
            </w:r>
          </w:p>
        </w:tc>
        <w:tc>
          <w:tcPr>
            <w:tcW w:w="548" w:type="pct"/>
            <w:tcBorders>
              <w:top w:val="single" w:sz="8" w:space="0" w:color="AEAEAE"/>
              <w:left w:val="single" w:sz="8" w:space="0" w:color="E0E0E0"/>
              <w:bottom w:val="single" w:sz="8" w:space="0" w:color="AEAEAE"/>
              <w:right w:val="nil"/>
            </w:tcBorders>
            <w:shd w:val="clear" w:color="auto" w:fill="F9F9FB"/>
          </w:tcPr>
          <w:p w14:paraId="1A066A2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73.728</w:t>
            </w:r>
          </w:p>
        </w:tc>
        <w:tc>
          <w:tcPr>
            <w:tcW w:w="438" w:type="pct"/>
            <w:tcBorders>
              <w:top w:val="single" w:sz="8" w:space="0" w:color="AEAEAE"/>
              <w:left w:val="single" w:sz="8" w:space="0" w:color="E0E0E0"/>
              <w:bottom w:val="single" w:sz="8" w:space="0" w:color="AEAEAE"/>
              <w:right w:val="single" w:sz="8" w:space="0" w:color="E0E0E0"/>
            </w:tcBorders>
            <w:shd w:val="clear" w:color="auto" w:fill="F9F9FB"/>
          </w:tcPr>
          <w:p w14:paraId="0323F50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.689</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157BB54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8.609</w:t>
            </w:r>
          </w:p>
        </w:tc>
        <w:tc>
          <w:tcPr>
            <w:tcW w:w="548" w:type="pct"/>
            <w:tcBorders>
              <w:top w:val="single" w:sz="8" w:space="0" w:color="AEAEAE"/>
              <w:left w:val="single" w:sz="8" w:space="0" w:color="E0E0E0"/>
              <w:bottom w:val="single" w:sz="8" w:space="0" w:color="AEAEAE"/>
              <w:right w:val="nil"/>
            </w:tcBorders>
            <w:shd w:val="clear" w:color="auto" w:fill="F9F9FB"/>
          </w:tcPr>
          <w:p w14:paraId="45E562C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73.728</w:t>
            </w:r>
          </w:p>
        </w:tc>
        <w:tc>
          <w:tcPr>
            <w:tcW w:w="421" w:type="pct"/>
            <w:tcBorders>
              <w:top w:val="single" w:sz="8" w:space="0" w:color="AEAEAE"/>
              <w:left w:val="single" w:sz="8" w:space="0" w:color="E0E0E0"/>
              <w:bottom w:val="single" w:sz="8" w:space="0" w:color="AEAEAE"/>
              <w:right w:val="single" w:sz="8" w:space="0" w:color="E0E0E0"/>
            </w:tcBorders>
            <w:shd w:val="clear" w:color="auto" w:fill="F9F9FB"/>
          </w:tcPr>
          <w:p w14:paraId="0C0BF0F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1.843</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4128312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23.042</w:t>
            </w:r>
          </w:p>
        </w:tc>
        <w:tc>
          <w:tcPr>
            <w:tcW w:w="548" w:type="pct"/>
            <w:tcBorders>
              <w:top w:val="single" w:sz="8" w:space="0" w:color="AEAEAE"/>
              <w:left w:val="single" w:sz="8" w:space="0" w:color="E0E0E0"/>
              <w:bottom w:val="single" w:sz="8" w:space="0" w:color="AEAEAE"/>
              <w:right w:val="nil"/>
            </w:tcBorders>
            <w:shd w:val="clear" w:color="auto" w:fill="F9F9FB"/>
          </w:tcPr>
          <w:p w14:paraId="3DF2CE4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51.613</w:t>
            </w:r>
          </w:p>
        </w:tc>
      </w:tr>
      <w:tr w:rsidR="00241E66" w:rsidRPr="00241E66" w14:paraId="557857EA"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0C7E5FC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3</w:t>
            </w:r>
          </w:p>
        </w:tc>
        <w:tc>
          <w:tcPr>
            <w:tcW w:w="386" w:type="pct"/>
            <w:tcBorders>
              <w:top w:val="single" w:sz="8" w:space="0" w:color="AEAEAE"/>
              <w:left w:val="nil"/>
              <w:bottom w:val="single" w:sz="8" w:space="0" w:color="AEAEAE"/>
              <w:right w:val="single" w:sz="8" w:space="0" w:color="E0E0E0"/>
            </w:tcBorders>
            <w:shd w:val="clear" w:color="auto" w:fill="F9F9FB"/>
          </w:tcPr>
          <w:p w14:paraId="672CBD2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.516</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3A61E1B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6.450</w:t>
            </w:r>
          </w:p>
        </w:tc>
        <w:tc>
          <w:tcPr>
            <w:tcW w:w="548" w:type="pct"/>
            <w:tcBorders>
              <w:top w:val="single" w:sz="8" w:space="0" w:color="AEAEAE"/>
              <w:left w:val="single" w:sz="8" w:space="0" w:color="E0E0E0"/>
              <w:bottom w:val="single" w:sz="8" w:space="0" w:color="AEAEAE"/>
              <w:right w:val="nil"/>
            </w:tcBorders>
            <w:shd w:val="clear" w:color="auto" w:fill="F9F9FB"/>
          </w:tcPr>
          <w:p w14:paraId="581D84D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80.178</w:t>
            </w:r>
          </w:p>
        </w:tc>
        <w:tc>
          <w:tcPr>
            <w:tcW w:w="438" w:type="pct"/>
            <w:tcBorders>
              <w:top w:val="single" w:sz="8" w:space="0" w:color="AEAEAE"/>
              <w:left w:val="single" w:sz="8" w:space="0" w:color="E0E0E0"/>
              <w:bottom w:val="single" w:sz="8" w:space="0" w:color="AEAEAE"/>
              <w:right w:val="single" w:sz="8" w:space="0" w:color="E0E0E0"/>
            </w:tcBorders>
            <w:shd w:val="clear" w:color="auto" w:fill="F9F9FB"/>
          </w:tcPr>
          <w:p w14:paraId="7F7F32D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.516</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4DCEDF3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6.450</w:t>
            </w:r>
          </w:p>
        </w:tc>
        <w:tc>
          <w:tcPr>
            <w:tcW w:w="548" w:type="pct"/>
            <w:tcBorders>
              <w:top w:val="single" w:sz="8" w:space="0" w:color="AEAEAE"/>
              <w:left w:val="single" w:sz="8" w:space="0" w:color="E0E0E0"/>
              <w:bottom w:val="single" w:sz="8" w:space="0" w:color="AEAEAE"/>
              <w:right w:val="nil"/>
            </w:tcBorders>
            <w:shd w:val="clear" w:color="auto" w:fill="F9F9FB"/>
          </w:tcPr>
          <w:p w14:paraId="14560AF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80.178</w:t>
            </w:r>
          </w:p>
        </w:tc>
        <w:tc>
          <w:tcPr>
            <w:tcW w:w="421" w:type="pct"/>
            <w:tcBorders>
              <w:top w:val="single" w:sz="8" w:space="0" w:color="AEAEAE"/>
              <w:left w:val="single" w:sz="8" w:space="0" w:color="E0E0E0"/>
              <w:bottom w:val="single" w:sz="8" w:space="0" w:color="AEAEAE"/>
              <w:right w:val="single" w:sz="8" w:space="0" w:color="E0E0E0"/>
            </w:tcBorders>
            <w:shd w:val="clear" w:color="auto" w:fill="F9F9FB"/>
          </w:tcPr>
          <w:p w14:paraId="43EE576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1.551</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299AF4F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19.386</w:t>
            </w:r>
          </w:p>
        </w:tc>
        <w:tc>
          <w:tcPr>
            <w:tcW w:w="548" w:type="pct"/>
            <w:tcBorders>
              <w:top w:val="single" w:sz="8" w:space="0" w:color="AEAEAE"/>
              <w:left w:val="single" w:sz="8" w:space="0" w:color="E0E0E0"/>
              <w:bottom w:val="single" w:sz="8" w:space="0" w:color="AEAEAE"/>
              <w:right w:val="nil"/>
            </w:tcBorders>
            <w:shd w:val="clear" w:color="auto" w:fill="F9F9FB"/>
          </w:tcPr>
          <w:p w14:paraId="38B366B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70.999</w:t>
            </w:r>
          </w:p>
        </w:tc>
      </w:tr>
      <w:tr w:rsidR="00241E66" w:rsidRPr="00241E66" w14:paraId="3CE63B7E"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04D1994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4</w:t>
            </w:r>
          </w:p>
        </w:tc>
        <w:tc>
          <w:tcPr>
            <w:tcW w:w="386" w:type="pct"/>
            <w:tcBorders>
              <w:top w:val="single" w:sz="8" w:space="0" w:color="AEAEAE"/>
              <w:left w:val="nil"/>
              <w:bottom w:val="single" w:sz="8" w:space="0" w:color="AEAEAE"/>
              <w:right w:val="single" w:sz="8" w:space="0" w:color="E0E0E0"/>
            </w:tcBorders>
            <w:shd w:val="clear" w:color="auto" w:fill="F9F9FB"/>
          </w:tcPr>
          <w:p w14:paraId="77F1260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.471</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794BFAE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5.887</w:t>
            </w:r>
          </w:p>
        </w:tc>
        <w:tc>
          <w:tcPr>
            <w:tcW w:w="548" w:type="pct"/>
            <w:tcBorders>
              <w:top w:val="single" w:sz="8" w:space="0" w:color="AEAEAE"/>
              <w:left w:val="single" w:sz="8" w:space="0" w:color="E0E0E0"/>
              <w:bottom w:val="single" w:sz="8" w:space="0" w:color="AEAEAE"/>
              <w:right w:val="nil"/>
            </w:tcBorders>
            <w:shd w:val="clear" w:color="auto" w:fill="F9F9FB"/>
          </w:tcPr>
          <w:p w14:paraId="72E6855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86.065</w:t>
            </w:r>
          </w:p>
        </w:tc>
        <w:tc>
          <w:tcPr>
            <w:tcW w:w="438" w:type="pct"/>
            <w:tcBorders>
              <w:top w:val="single" w:sz="8" w:space="0" w:color="AEAEAE"/>
              <w:left w:val="single" w:sz="8" w:space="0" w:color="E0E0E0"/>
              <w:bottom w:val="single" w:sz="8" w:space="0" w:color="AEAEAE"/>
              <w:right w:val="single" w:sz="8" w:space="0" w:color="E0E0E0"/>
            </w:tcBorders>
            <w:shd w:val="clear" w:color="auto" w:fill="F9F9FB"/>
          </w:tcPr>
          <w:p w14:paraId="1096C88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.471</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0396CB9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5.887</w:t>
            </w:r>
          </w:p>
        </w:tc>
        <w:tc>
          <w:tcPr>
            <w:tcW w:w="548" w:type="pct"/>
            <w:tcBorders>
              <w:top w:val="single" w:sz="8" w:space="0" w:color="AEAEAE"/>
              <w:left w:val="single" w:sz="8" w:space="0" w:color="E0E0E0"/>
              <w:bottom w:val="single" w:sz="8" w:space="0" w:color="AEAEAE"/>
              <w:right w:val="nil"/>
            </w:tcBorders>
            <w:shd w:val="clear" w:color="auto" w:fill="F9F9FB"/>
          </w:tcPr>
          <w:p w14:paraId="4B0E1C3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86.065</w:t>
            </w:r>
          </w:p>
        </w:tc>
        <w:tc>
          <w:tcPr>
            <w:tcW w:w="421" w:type="pct"/>
            <w:tcBorders>
              <w:top w:val="single" w:sz="8" w:space="0" w:color="AEAEAE"/>
              <w:left w:val="single" w:sz="8" w:space="0" w:color="E0E0E0"/>
              <w:bottom w:val="single" w:sz="8" w:space="0" w:color="AEAEAE"/>
              <w:right w:val="single" w:sz="8" w:space="0" w:color="E0E0E0"/>
            </w:tcBorders>
            <w:shd w:val="clear" w:color="auto" w:fill="F9F9FB"/>
          </w:tcPr>
          <w:p w14:paraId="775CCC6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1.205</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3E19AF1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15.066</w:t>
            </w:r>
          </w:p>
        </w:tc>
        <w:tc>
          <w:tcPr>
            <w:tcW w:w="548" w:type="pct"/>
            <w:tcBorders>
              <w:top w:val="single" w:sz="8" w:space="0" w:color="AEAEAE"/>
              <w:left w:val="single" w:sz="8" w:space="0" w:color="E0E0E0"/>
              <w:bottom w:val="single" w:sz="8" w:space="0" w:color="AEAEAE"/>
              <w:right w:val="nil"/>
            </w:tcBorders>
            <w:shd w:val="clear" w:color="auto" w:fill="F9F9FB"/>
          </w:tcPr>
          <w:p w14:paraId="7A5F810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86.065</w:t>
            </w:r>
          </w:p>
        </w:tc>
      </w:tr>
      <w:tr w:rsidR="00241E66" w:rsidRPr="00241E66" w14:paraId="7CF98507"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6785291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5</w:t>
            </w:r>
          </w:p>
        </w:tc>
        <w:tc>
          <w:tcPr>
            <w:tcW w:w="386" w:type="pct"/>
            <w:tcBorders>
              <w:top w:val="single" w:sz="8" w:space="0" w:color="AEAEAE"/>
              <w:left w:val="nil"/>
              <w:bottom w:val="single" w:sz="8" w:space="0" w:color="AEAEAE"/>
              <w:right w:val="single" w:sz="8" w:space="0" w:color="E0E0E0"/>
            </w:tcBorders>
            <w:shd w:val="clear" w:color="auto" w:fill="F9F9FB"/>
          </w:tcPr>
          <w:p w14:paraId="7A871D4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.359</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2C7BA55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4.481</w:t>
            </w:r>
          </w:p>
        </w:tc>
        <w:tc>
          <w:tcPr>
            <w:tcW w:w="548" w:type="pct"/>
            <w:tcBorders>
              <w:top w:val="single" w:sz="8" w:space="0" w:color="AEAEAE"/>
              <w:left w:val="single" w:sz="8" w:space="0" w:color="E0E0E0"/>
              <w:bottom w:val="single" w:sz="8" w:space="0" w:color="AEAEAE"/>
              <w:right w:val="nil"/>
            </w:tcBorders>
            <w:shd w:val="clear" w:color="auto" w:fill="F9F9FB"/>
          </w:tcPr>
          <w:p w14:paraId="1E8274B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90.546</w:t>
            </w:r>
          </w:p>
        </w:tc>
        <w:tc>
          <w:tcPr>
            <w:tcW w:w="43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DC3505E"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8EEE41E"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1FB20EB2"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21"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CEA7432"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978581D"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38D921FC"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037911DF"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0B715E8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6</w:t>
            </w:r>
          </w:p>
        </w:tc>
        <w:tc>
          <w:tcPr>
            <w:tcW w:w="386" w:type="pct"/>
            <w:tcBorders>
              <w:top w:val="single" w:sz="8" w:space="0" w:color="AEAEAE"/>
              <w:left w:val="nil"/>
              <w:bottom w:val="single" w:sz="8" w:space="0" w:color="AEAEAE"/>
              <w:right w:val="single" w:sz="8" w:space="0" w:color="E0E0E0"/>
            </w:tcBorders>
            <w:shd w:val="clear" w:color="auto" w:fill="F9F9FB"/>
          </w:tcPr>
          <w:p w14:paraId="1742F8D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.287</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7F512D9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3.588</w:t>
            </w:r>
          </w:p>
        </w:tc>
        <w:tc>
          <w:tcPr>
            <w:tcW w:w="548" w:type="pct"/>
            <w:tcBorders>
              <w:top w:val="single" w:sz="8" w:space="0" w:color="AEAEAE"/>
              <w:left w:val="single" w:sz="8" w:space="0" w:color="E0E0E0"/>
              <w:bottom w:val="single" w:sz="8" w:space="0" w:color="AEAEAE"/>
              <w:right w:val="nil"/>
            </w:tcBorders>
            <w:shd w:val="clear" w:color="auto" w:fill="F9F9FB"/>
          </w:tcPr>
          <w:p w14:paraId="684FD43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94.134</w:t>
            </w:r>
          </w:p>
        </w:tc>
        <w:tc>
          <w:tcPr>
            <w:tcW w:w="43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98E6A99"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79C5722"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53C78E3D"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21"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9A8A0AA"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5285FD1"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38F0A866"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53A51D7B" w14:textId="77777777" w:rsidTr="00241E66">
        <w:trPr>
          <w:cantSplit/>
        </w:trPr>
        <w:tc>
          <w:tcPr>
            <w:tcW w:w="484" w:type="pct"/>
            <w:tcBorders>
              <w:top w:val="single" w:sz="8" w:space="0" w:color="AEAEAE"/>
              <w:left w:val="nil"/>
              <w:bottom w:val="single" w:sz="8" w:space="0" w:color="AEAEAE"/>
              <w:right w:val="nil"/>
            </w:tcBorders>
            <w:shd w:val="clear" w:color="auto" w:fill="E0E0E0"/>
          </w:tcPr>
          <w:p w14:paraId="56AF500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7</w:t>
            </w:r>
          </w:p>
        </w:tc>
        <w:tc>
          <w:tcPr>
            <w:tcW w:w="386" w:type="pct"/>
            <w:tcBorders>
              <w:top w:val="single" w:sz="8" w:space="0" w:color="AEAEAE"/>
              <w:left w:val="nil"/>
              <w:bottom w:val="single" w:sz="8" w:space="0" w:color="AEAEAE"/>
              <w:right w:val="single" w:sz="8" w:space="0" w:color="E0E0E0"/>
            </w:tcBorders>
            <w:shd w:val="clear" w:color="auto" w:fill="F9F9FB"/>
          </w:tcPr>
          <w:p w14:paraId="1E9F243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.270</w:t>
            </w:r>
          </w:p>
        </w:tc>
        <w:tc>
          <w:tcPr>
            <w:tcW w:w="542" w:type="pct"/>
            <w:tcBorders>
              <w:top w:val="single" w:sz="8" w:space="0" w:color="AEAEAE"/>
              <w:left w:val="single" w:sz="8" w:space="0" w:color="E0E0E0"/>
              <w:bottom w:val="single" w:sz="8" w:space="0" w:color="AEAEAE"/>
              <w:right w:val="single" w:sz="8" w:space="0" w:color="E0E0E0"/>
            </w:tcBorders>
            <w:shd w:val="clear" w:color="auto" w:fill="F9F9FB"/>
          </w:tcPr>
          <w:p w14:paraId="5A3C565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3.375</w:t>
            </w:r>
          </w:p>
        </w:tc>
        <w:tc>
          <w:tcPr>
            <w:tcW w:w="548" w:type="pct"/>
            <w:tcBorders>
              <w:top w:val="single" w:sz="8" w:space="0" w:color="AEAEAE"/>
              <w:left w:val="single" w:sz="8" w:space="0" w:color="E0E0E0"/>
              <w:bottom w:val="single" w:sz="8" w:space="0" w:color="AEAEAE"/>
              <w:right w:val="nil"/>
            </w:tcBorders>
            <w:shd w:val="clear" w:color="auto" w:fill="F9F9FB"/>
          </w:tcPr>
          <w:p w14:paraId="57C9796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97.509</w:t>
            </w:r>
          </w:p>
        </w:tc>
        <w:tc>
          <w:tcPr>
            <w:tcW w:w="43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7438C41"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5689506"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3829C0E0"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21"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4D925F8"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99277B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AEAEAE"/>
              <w:right w:val="nil"/>
            </w:tcBorders>
            <w:shd w:val="clear" w:color="auto" w:fill="F9F9FB"/>
            <w:vAlign w:val="center"/>
          </w:tcPr>
          <w:p w14:paraId="530721B6"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1BD98C38" w14:textId="77777777" w:rsidTr="00241E66">
        <w:trPr>
          <w:cantSplit/>
        </w:trPr>
        <w:tc>
          <w:tcPr>
            <w:tcW w:w="484" w:type="pct"/>
            <w:tcBorders>
              <w:top w:val="single" w:sz="8" w:space="0" w:color="AEAEAE"/>
              <w:left w:val="nil"/>
              <w:bottom w:val="single" w:sz="8" w:space="0" w:color="152935"/>
              <w:right w:val="nil"/>
            </w:tcBorders>
            <w:shd w:val="clear" w:color="auto" w:fill="E0E0E0"/>
          </w:tcPr>
          <w:p w14:paraId="0068D3C6"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8</w:t>
            </w:r>
          </w:p>
        </w:tc>
        <w:tc>
          <w:tcPr>
            <w:tcW w:w="386" w:type="pct"/>
            <w:tcBorders>
              <w:top w:val="single" w:sz="8" w:space="0" w:color="AEAEAE"/>
              <w:left w:val="nil"/>
              <w:bottom w:val="single" w:sz="8" w:space="0" w:color="152935"/>
              <w:right w:val="single" w:sz="8" w:space="0" w:color="E0E0E0"/>
            </w:tcBorders>
            <w:shd w:val="clear" w:color="auto" w:fill="F9F9FB"/>
          </w:tcPr>
          <w:p w14:paraId="50910F7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.199</w:t>
            </w:r>
          </w:p>
        </w:tc>
        <w:tc>
          <w:tcPr>
            <w:tcW w:w="542" w:type="pct"/>
            <w:tcBorders>
              <w:top w:val="single" w:sz="8" w:space="0" w:color="AEAEAE"/>
              <w:left w:val="single" w:sz="8" w:space="0" w:color="E0E0E0"/>
              <w:bottom w:val="single" w:sz="8" w:space="0" w:color="152935"/>
              <w:right w:val="single" w:sz="8" w:space="0" w:color="E0E0E0"/>
            </w:tcBorders>
            <w:shd w:val="clear" w:color="auto" w:fill="F9F9FB"/>
          </w:tcPr>
          <w:p w14:paraId="680B65C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2.491</w:t>
            </w:r>
          </w:p>
        </w:tc>
        <w:tc>
          <w:tcPr>
            <w:tcW w:w="548" w:type="pct"/>
            <w:tcBorders>
              <w:top w:val="single" w:sz="8" w:space="0" w:color="AEAEAE"/>
              <w:left w:val="single" w:sz="8" w:space="0" w:color="E0E0E0"/>
              <w:bottom w:val="single" w:sz="8" w:space="0" w:color="152935"/>
              <w:right w:val="nil"/>
            </w:tcBorders>
            <w:shd w:val="clear" w:color="auto" w:fill="F9F9FB"/>
          </w:tcPr>
          <w:p w14:paraId="184D77B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100.000</w:t>
            </w:r>
          </w:p>
        </w:tc>
        <w:tc>
          <w:tcPr>
            <w:tcW w:w="43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6EF56B5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8239842"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152935"/>
              <w:right w:val="nil"/>
            </w:tcBorders>
            <w:shd w:val="clear" w:color="auto" w:fill="F9F9FB"/>
            <w:vAlign w:val="center"/>
          </w:tcPr>
          <w:p w14:paraId="689509E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21"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8A981F0"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9EAB5AB"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8" w:type="pct"/>
            <w:tcBorders>
              <w:top w:val="single" w:sz="8" w:space="0" w:color="AEAEAE"/>
              <w:left w:val="single" w:sz="8" w:space="0" w:color="E0E0E0"/>
              <w:bottom w:val="single" w:sz="8" w:space="0" w:color="152935"/>
              <w:right w:val="nil"/>
            </w:tcBorders>
            <w:shd w:val="clear" w:color="auto" w:fill="F9F9FB"/>
            <w:vAlign w:val="center"/>
          </w:tcPr>
          <w:p w14:paraId="1C484707"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0567030E" w14:textId="77777777" w:rsidTr="00241E66">
        <w:trPr>
          <w:cantSplit/>
        </w:trPr>
        <w:tc>
          <w:tcPr>
            <w:tcW w:w="5000" w:type="pct"/>
            <w:gridSpan w:val="10"/>
            <w:tcBorders>
              <w:top w:val="nil"/>
              <w:left w:val="nil"/>
              <w:bottom w:val="nil"/>
              <w:right w:val="nil"/>
            </w:tcBorders>
            <w:shd w:val="clear" w:color="auto" w:fill="FFFFFF"/>
          </w:tcPr>
          <w:p w14:paraId="03E50E6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Extraction Method: Principal Component Analysis.</w:t>
            </w:r>
          </w:p>
        </w:tc>
      </w:tr>
    </w:tbl>
    <w:p w14:paraId="5BECDDF1"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290B46AF" w14:textId="5668751F"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r w:rsidRPr="00241E66">
        <w:rPr>
          <w:rFonts w:ascii="Times New Roman" w:hAnsi="Times New Roman" w:cs="Times New Roman"/>
          <w:noProof/>
          <w:kern w:val="0"/>
          <w:sz w:val="24"/>
          <w:szCs w:val="24"/>
        </w:rPr>
        <w:drawing>
          <wp:inline distT="0" distB="0" distL="0" distR="0" wp14:anchorId="2CC1ED53" wp14:editId="54BC49CF">
            <wp:extent cx="5760085" cy="33896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085" cy="3389630"/>
                    </a:xfrm>
                    <a:prstGeom prst="rect">
                      <a:avLst/>
                    </a:prstGeom>
                    <a:noFill/>
                    <a:ln>
                      <a:noFill/>
                    </a:ln>
                  </pic:spPr>
                </pic:pic>
              </a:graphicData>
            </a:graphic>
          </wp:inline>
        </w:drawing>
      </w:r>
    </w:p>
    <w:p w14:paraId="30A38323"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p w14:paraId="0BEAAE35"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4529EE96"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337" w:type="dxa"/>
        <w:tblLayout w:type="fixed"/>
        <w:tblCellMar>
          <w:left w:w="0" w:type="dxa"/>
          <w:right w:w="0" w:type="dxa"/>
        </w:tblCellMar>
        <w:tblLook w:val="0000" w:firstRow="0" w:lastRow="0" w:firstColumn="0" w:lastColumn="0" w:noHBand="0" w:noVBand="0"/>
      </w:tblPr>
      <w:tblGrid>
        <w:gridCol w:w="853"/>
        <w:gridCol w:w="1121"/>
        <w:gridCol w:w="1121"/>
        <w:gridCol w:w="1121"/>
        <w:gridCol w:w="1121"/>
      </w:tblGrid>
      <w:tr w:rsidR="00241E66" w:rsidRPr="00241E66" w14:paraId="0995F5BA" w14:textId="77777777">
        <w:trPr>
          <w:cantSplit/>
        </w:trPr>
        <w:tc>
          <w:tcPr>
            <w:tcW w:w="5333" w:type="dxa"/>
            <w:gridSpan w:val="5"/>
            <w:tcBorders>
              <w:top w:val="nil"/>
              <w:left w:val="nil"/>
              <w:bottom w:val="nil"/>
              <w:right w:val="nil"/>
            </w:tcBorders>
            <w:shd w:val="clear" w:color="auto" w:fill="FFFFFF"/>
            <w:vAlign w:val="center"/>
          </w:tcPr>
          <w:p w14:paraId="74B2C75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Component Matrix</w:t>
            </w:r>
            <w:r w:rsidRPr="00241E66">
              <w:rPr>
                <w:rFonts w:ascii="Arial" w:hAnsi="Arial" w:cs="Arial"/>
                <w:b/>
                <w:bCs/>
                <w:color w:val="010205"/>
                <w:kern w:val="0"/>
                <w:vertAlign w:val="superscript"/>
              </w:rPr>
              <w:t>a</w:t>
            </w:r>
          </w:p>
        </w:tc>
      </w:tr>
      <w:tr w:rsidR="00241E66" w:rsidRPr="00241E66" w14:paraId="163EDE1E" w14:textId="77777777">
        <w:trPr>
          <w:cantSplit/>
        </w:trPr>
        <w:tc>
          <w:tcPr>
            <w:tcW w:w="853" w:type="dxa"/>
            <w:vMerge w:val="restart"/>
            <w:tcBorders>
              <w:top w:val="nil"/>
              <w:left w:val="nil"/>
              <w:bottom w:val="nil"/>
              <w:right w:val="nil"/>
            </w:tcBorders>
            <w:shd w:val="clear" w:color="auto" w:fill="FFFFFF"/>
            <w:vAlign w:val="bottom"/>
          </w:tcPr>
          <w:p w14:paraId="59009F22"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80" w:type="dxa"/>
            <w:gridSpan w:val="4"/>
            <w:tcBorders>
              <w:top w:val="nil"/>
              <w:left w:val="nil"/>
              <w:bottom w:val="nil"/>
              <w:right w:val="nil"/>
            </w:tcBorders>
            <w:shd w:val="clear" w:color="auto" w:fill="FFFFFF"/>
            <w:vAlign w:val="bottom"/>
          </w:tcPr>
          <w:p w14:paraId="07E5CEE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Component</w:t>
            </w:r>
          </w:p>
        </w:tc>
      </w:tr>
      <w:tr w:rsidR="00241E66" w:rsidRPr="00241E66" w14:paraId="69A5526B" w14:textId="77777777">
        <w:trPr>
          <w:cantSplit/>
        </w:trPr>
        <w:tc>
          <w:tcPr>
            <w:tcW w:w="853" w:type="dxa"/>
            <w:vMerge/>
            <w:tcBorders>
              <w:top w:val="nil"/>
              <w:left w:val="nil"/>
              <w:bottom w:val="nil"/>
              <w:right w:val="nil"/>
            </w:tcBorders>
            <w:shd w:val="clear" w:color="auto" w:fill="FFFFFF"/>
            <w:vAlign w:val="bottom"/>
          </w:tcPr>
          <w:p w14:paraId="04DBDDD9" w14:textId="77777777" w:rsidR="00241E66" w:rsidRPr="00241E66" w:rsidRDefault="00241E66" w:rsidP="002E6F27">
            <w:pPr>
              <w:autoSpaceDE w:val="0"/>
              <w:autoSpaceDN w:val="0"/>
              <w:bidi w:val="0"/>
              <w:adjustRightInd w:val="0"/>
              <w:spacing w:after="0" w:line="240" w:lineRule="auto"/>
              <w:jc w:val="center"/>
              <w:rPr>
                <w:rFonts w:ascii="Arial" w:hAnsi="Arial" w:cs="Arial"/>
                <w:color w:val="264A60"/>
                <w:kern w:val="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01DA831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1</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36E4824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2</w:t>
            </w:r>
          </w:p>
        </w:tc>
        <w:tc>
          <w:tcPr>
            <w:tcW w:w="1120" w:type="dxa"/>
            <w:tcBorders>
              <w:top w:val="nil"/>
              <w:left w:val="single" w:sz="8" w:space="0" w:color="E0E0E0"/>
              <w:bottom w:val="single" w:sz="8" w:space="0" w:color="152935"/>
              <w:right w:val="nil"/>
            </w:tcBorders>
            <w:shd w:val="clear" w:color="auto" w:fill="FFFFFF"/>
            <w:vAlign w:val="bottom"/>
          </w:tcPr>
          <w:p w14:paraId="7766544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3</w:t>
            </w:r>
          </w:p>
        </w:tc>
        <w:tc>
          <w:tcPr>
            <w:tcW w:w="1120" w:type="dxa"/>
            <w:tcBorders>
              <w:top w:val="nil"/>
              <w:left w:val="single" w:sz="8" w:space="0" w:color="E0E0E0"/>
              <w:bottom w:val="single" w:sz="8" w:space="0" w:color="152935"/>
              <w:right w:val="nil"/>
            </w:tcBorders>
            <w:shd w:val="clear" w:color="auto" w:fill="FFFFFF"/>
            <w:vAlign w:val="bottom"/>
          </w:tcPr>
          <w:p w14:paraId="2BBC160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4</w:t>
            </w:r>
          </w:p>
        </w:tc>
      </w:tr>
      <w:tr w:rsidR="00241E66" w:rsidRPr="00241E66" w14:paraId="7399C8EE" w14:textId="77777777">
        <w:trPr>
          <w:cantSplit/>
        </w:trPr>
        <w:tc>
          <w:tcPr>
            <w:tcW w:w="853" w:type="dxa"/>
            <w:tcBorders>
              <w:top w:val="single" w:sz="8" w:space="0" w:color="152935"/>
              <w:left w:val="nil"/>
              <w:bottom w:val="single" w:sz="8" w:space="0" w:color="AEAEAE"/>
              <w:right w:val="nil"/>
            </w:tcBorders>
            <w:shd w:val="clear" w:color="auto" w:fill="E0E0E0"/>
          </w:tcPr>
          <w:p w14:paraId="0657D13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FID1</w:t>
            </w:r>
          </w:p>
        </w:tc>
        <w:tc>
          <w:tcPr>
            <w:tcW w:w="1120" w:type="dxa"/>
            <w:tcBorders>
              <w:top w:val="single" w:sz="8" w:space="0" w:color="152935"/>
              <w:left w:val="nil"/>
              <w:bottom w:val="single" w:sz="8" w:space="0" w:color="AEAEAE"/>
              <w:right w:val="single" w:sz="8" w:space="0" w:color="E0E0E0"/>
            </w:tcBorders>
            <w:shd w:val="clear" w:color="auto" w:fill="F9F9FB"/>
          </w:tcPr>
          <w:p w14:paraId="720174C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.868</w:t>
            </w:r>
          </w:p>
        </w:tc>
        <w:tc>
          <w:tcPr>
            <w:tcW w:w="1120" w:type="dxa"/>
            <w:tcBorders>
              <w:top w:val="single" w:sz="8" w:space="0" w:color="152935"/>
              <w:left w:val="single" w:sz="8" w:space="0" w:color="E0E0E0"/>
              <w:bottom w:val="single" w:sz="8" w:space="0" w:color="AEAEAE"/>
              <w:right w:val="single" w:sz="8" w:space="0" w:color="E0E0E0"/>
            </w:tcBorders>
            <w:shd w:val="clear" w:color="auto" w:fill="F9F9FB"/>
          </w:tcPr>
          <w:p w14:paraId="3CEAF687"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152935"/>
              <w:left w:val="single" w:sz="8" w:space="0" w:color="E0E0E0"/>
              <w:bottom w:val="single" w:sz="8" w:space="0" w:color="AEAEAE"/>
              <w:right w:val="nil"/>
            </w:tcBorders>
            <w:shd w:val="clear" w:color="auto" w:fill="F9F9FB"/>
          </w:tcPr>
          <w:p w14:paraId="1D005DE8"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152935"/>
              <w:left w:val="single" w:sz="8" w:space="0" w:color="E0E0E0"/>
              <w:bottom w:val="single" w:sz="8" w:space="0" w:color="AEAEAE"/>
              <w:right w:val="nil"/>
            </w:tcBorders>
            <w:shd w:val="clear" w:color="auto" w:fill="F9F9FB"/>
          </w:tcPr>
          <w:p w14:paraId="321F3DFC"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3884AD5E" w14:textId="77777777">
        <w:trPr>
          <w:cantSplit/>
        </w:trPr>
        <w:tc>
          <w:tcPr>
            <w:tcW w:w="853" w:type="dxa"/>
            <w:tcBorders>
              <w:top w:val="single" w:sz="8" w:space="0" w:color="AEAEAE"/>
              <w:left w:val="nil"/>
              <w:bottom w:val="single" w:sz="8" w:space="0" w:color="AEAEAE"/>
              <w:right w:val="nil"/>
            </w:tcBorders>
            <w:shd w:val="clear" w:color="auto" w:fill="E0E0E0"/>
          </w:tcPr>
          <w:p w14:paraId="6DBE513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FGI1</w:t>
            </w:r>
          </w:p>
        </w:tc>
        <w:tc>
          <w:tcPr>
            <w:tcW w:w="1120" w:type="dxa"/>
            <w:tcBorders>
              <w:top w:val="single" w:sz="8" w:space="0" w:color="AEAEAE"/>
              <w:left w:val="nil"/>
              <w:bottom w:val="single" w:sz="8" w:space="0" w:color="AEAEAE"/>
              <w:right w:val="single" w:sz="8" w:space="0" w:color="E0E0E0"/>
            </w:tcBorders>
            <w:shd w:val="clear" w:color="auto" w:fill="F9F9FB"/>
          </w:tcPr>
          <w:p w14:paraId="393F77E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.843</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52E71A80"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06F094F1"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568E9F5E"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0C92C75F" w14:textId="77777777">
        <w:trPr>
          <w:cantSplit/>
        </w:trPr>
        <w:tc>
          <w:tcPr>
            <w:tcW w:w="853" w:type="dxa"/>
            <w:tcBorders>
              <w:top w:val="single" w:sz="8" w:space="0" w:color="AEAEAE"/>
              <w:left w:val="nil"/>
              <w:bottom w:val="single" w:sz="8" w:space="0" w:color="AEAEAE"/>
              <w:right w:val="nil"/>
            </w:tcBorders>
            <w:shd w:val="clear" w:color="auto" w:fill="E0E0E0"/>
          </w:tcPr>
          <w:p w14:paraId="54FBCF4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FCQ2</w:t>
            </w:r>
          </w:p>
        </w:tc>
        <w:tc>
          <w:tcPr>
            <w:tcW w:w="1120" w:type="dxa"/>
            <w:tcBorders>
              <w:top w:val="single" w:sz="8" w:space="0" w:color="AEAEAE"/>
              <w:left w:val="nil"/>
              <w:bottom w:val="single" w:sz="8" w:space="0" w:color="AEAEAE"/>
              <w:right w:val="single" w:sz="8" w:space="0" w:color="E0E0E0"/>
            </w:tcBorders>
            <w:shd w:val="clear" w:color="auto" w:fill="F9F9FB"/>
          </w:tcPr>
          <w:p w14:paraId="5B4BD8B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.838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07C5E356"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4DAF2193"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52A7DB3E"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41D78591" w14:textId="77777777">
        <w:trPr>
          <w:cantSplit/>
        </w:trPr>
        <w:tc>
          <w:tcPr>
            <w:tcW w:w="853" w:type="dxa"/>
            <w:tcBorders>
              <w:top w:val="single" w:sz="8" w:space="0" w:color="AEAEAE"/>
              <w:left w:val="nil"/>
              <w:bottom w:val="single" w:sz="8" w:space="0" w:color="AEAEAE"/>
              <w:right w:val="nil"/>
            </w:tcBorders>
            <w:shd w:val="clear" w:color="auto" w:fill="E0E0E0"/>
          </w:tcPr>
          <w:p w14:paraId="75F745E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FCQ1</w:t>
            </w:r>
          </w:p>
        </w:tc>
        <w:tc>
          <w:tcPr>
            <w:tcW w:w="1120" w:type="dxa"/>
            <w:tcBorders>
              <w:top w:val="single" w:sz="8" w:space="0" w:color="AEAEAE"/>
              <w:left w:val="nil"/>
              <w:bottom w:val="single" w:sz="8" w:space="0" w:color="AEAEAE"/>
              <w:right w:val="single" w:sz="8" w:space="0" w:color="E0E0E0"/>
            </w:tcBorders>
            <w:shd w:val="clear" w:color="auto" w:fill="F9F9FB"/>
          </w:tcPr>
          <w:p w14:paraId="2A427AB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.805</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536A0A8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-.414</w:t>
            </w:r>
          </w:p>
        </w:tc>
        <w:tc>
          <w:tcPr>
            <w:tcW w:w="1120" w:type="dxa"/>
            <w:tcBorders>
              <w:top w:val="single" w:sz="8" w:space="0" w:color="AEAEAE"/>
              <w:left w:val="single" w:sz="8" w:space="0" w:color="E0E0E0"/>
              <w:bottom w:val="single" w:sz="8" w:space="0" w:color="AEAEAE"/>
              <w:right w:val="nil"/>
            </w:tcBorders>
            <w:shd w:val="clear" w:color="auto" w:fill="F9F9FB"/>
          </w:tcPr>
          <w:p w14:paraId="2623C826"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45C2161F"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3A2E313D" w14:textId="77777777">
        <w:trPr>
          <w:cantSplit/>
        </w:trPr>
        <w:tc>
          <w:tcPr>
            <w:tcW w:w="853" w:type="dxa"/>
            <w:tcBorders>
              <w:top w:val="single" w:sz="8" w:space="0" w:color="AEAEAE"/>
              <w:left w:val="nil"/>
              <w:bottom w:val="single" w:sz="8" w:space="0" w:color="AEAEAE"/>
              <w:right w:val="nil"/>
            </w:tcBorders>
            <w:shd w:val="clear" w:color="auto" w:fill="E0E0E0"/>
          </w:tcPr>
          <w:p w14:paraId="042BF18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FDE1</w:t>
            </w:r>
          </w:p>
        </w:tc>
        <w:tc>
          <w:tcPr>
            <w:tcW w:w="1120" w:type="dxa"/>
            <w:tcBorders>
              <w:top w:val="single" w:sz="8" w:space="0" w:color="AEAEAE"/>
              <w:left w:val="nil"/>
              <w:bottom w:val="single" w:sz="8" w:space="0" w:color="AEAEAE"/>
              <w:right w:val="single" w:sz="8" w:space="0" w:color="E0E0E0"/>
            </w:tcBorders>
            <w:shd w:val="clear" w:color="auto" w:fill="F9F9FB"/>
          </w:tcPr>
          <w:p w14:paraId="24DCB5E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.798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423C640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21D5F7A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-.353</w:t>
            </w:r>
          </w:p>
        </w:tc>
        <w:tc>
          <w:tcPr>
            <w:tcW w:w="1120" w:type="dxa"/>
            <w:tcBorders>
              <w:top w:val="single" w:sz="8" w:space="0" w:color="AEAEAE"/>
              <w:left w:val="single" w:sz="8" w:space="0" w:color="E0E0E0"/>
              <w:bottom w:val="single" w:sz="8" w:space="0" w:color="AEAEAE"/>
              <w:right w:val="nil"/>
            </w:tcBorders>
            <w:shd w:val="clear" w:color="auto" w:fill="F9F9FB"/>
          </w:tcPr>
          <w:p w14:paraId="28896681"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55C65E31" w14:textId="77777777">
        <w:trPr>
          <w:cantSplit/>
        </w:trPr>
        <w:tc>
          <w:tcPr>
            <w:tcW w:w="853" w:type="dxa"/>
            <w:tcBorders>
              <w:top w:val="single" w:sz="8" w:space="0" w:color="AEAEAE"/>
              <w:left w:val="nil"/>
              <w:bottom w:val="single" w:sz="8" w:space="0" w:color="AEAEAE"/>
              <w:right w:val="nil"/>
            </w:tcBorders>
            <w:shd w:val="clear" w:color="auto" w:fill="E0E0E0"/>
          </w:tcPr>
          <w:p w14:paraId="1923CAD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FGI2</w:t>
            </w:r>
          </w:p>
        </w:tc>
        <w:tc>
          <w:tcPr>
            <w:tcW w:w="1120" w:type="dxa"/>
            <w:tcBorders>
              <w:top w:val="single" w:sz="8" w:space="0" w:color="AEAEAE"/>
              <w:left w:val="nil"/>
              <w:bottom w:val="single" w:sz="8" w:space="0" w:color="AEAEAE"/>
              <w:right w:val="single" w:sz="8" w:space="0" w:color="E0E0E0"/>
            </w:tcBorders>
            <w:shd w:val="clear" w:color="auto" w:fill="F9F9FB"/>
          </w:tcPr>
          <w:p w14:paraId="0D29D0E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.789</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18411C1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.401</w:t>
            </w:r>
          </w:p>
        </w:tc>
        <w:tc>
          <w:tcPr>
            <w:tcW w:w="1120" w:type="dxa"/>
            <w:tcBorders>
              <w:top w:val="single" w:sz="8" w:space="0" w:color="AEAEAE"/>
              <w:left w:val="single" w:sz="8" w:space="0" w:color="E0E0E0"/>
              <w:bottom w:val="single" w:sz="8" w:space="0" w:color="AEAEAE"/>
              <w:right w:val="nil"/>
            </w:tcBorders>
            <w:shd w:val="clear" w:color="auto" w:fill="F9F9FB"/>
          </w:tcPr>
          <w:p w14:paraId="14DF9233"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5FF85AF5"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794D07B7" w14:textId="77777777">
        <w:trPr>
          <w:cantSplit/>
        </w:trPr>
        <w:tc>
          <w:tcPr>
            <w:tcW w:w="853" w:type="dxa"/>
            <w:tcBorders>
              <w:top w:val="single" w:sz="8" w:space="0" w:color="AEAEAE"/>
              <w:left w:val="nil"/>
              <w:bottom w:val="single" w:sz="8" w:space="0" w:color="AEAEAE"/>
              <w:right w:val="nil"/>
            </w:tcBorders>
            <w:shd w:val="clear" w:color="auto" w:fill="E0E0E0"/>
          </w:tcPr>
          <w:p w14:paraId="36185AF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FID2</w:t>
            </w:r>
          </w:p>
        </w:tc>
        <w:tc>
          <w:tcPr>
            <w:tcW w:w="1120" w:type="dxa"/>
            <w:tcBorders>
              <w:top w:val="single" w:sz="8" w:space="0" w:color="AEAEAE"/>
              <w:left w:val="nil"/>
              <w:bottom w:val="single" w:sz="8" w:space="0" w:color="AEAEAE"/>
              <w:right w:val="single" w:sz="8" w:space="0" w:color="E0E0E0"/>
            </w:tcBorders>
            <w:shd w:val="clear" w:color="auto" w:fill="F9F9FB"/>
          </w:tcPr>
          <w:p w14:paraId="5F657A8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.758</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531BA3D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.477</w:t>
            </w:r>
          </w:p>
        </w:tc>
        <w:tc>
          <w:tcPr>
            <w:tcW w:w="1120" w:type="dxa"/>
            <w:tcBorders>
              <w:top w:val="single" w:sz="8" w:space="0" w:color="AEAEAE"/>
              <w:left w:val="single" w:sz="8" w:space="0" w:color="E0E0E0"/>
              <w:bottom w:val="single" w:sz="8" w:space="0" w:color="AEAEAE"/>
              <w:right w:val="nil"/>
            </w:tcBorders>
            <w:shd w:val="clear" w:color="auto" w:fill="F9F9FB"/>
          </w:tcPr>
          <w:p w14:paraId="6668DAB9"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AEAEAE"/>
              <w:right w:val="nil"/>
            </w:tcBorders>
            <w:shd w:val="clear" w:color="auto" w:fill="F9F9FB"/>
          </w:tcPr>
          <w:p w14:paraId="5F9BDBD3"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41E66" w:rsidRPr="00241E66" w14:paraId="5EC446E2" w14:textId="77777777">
        <w:trPr>
          <w:cantSplit/>
        </w:trPr>
        <w:tc>
          <w:tcPr>
            <w:tcW w:w="853" w:type="dxa"/>
            <w:tcBorders>
              <w:top w:val="single" w:sz="8" w:space="0" w:color="AEAEAE"/>
              <w:left w:val="nil"/>
              <w:bottom w:val="single" w:sz="8" w:space="0" w:color="152935"/>
              <w:right w:val="nil"/>
            </w:tcBorders>
            <w:shd w:val="clear" w:color="auto" w:fill="E0E0E0"/>
          </w:tcPr>
          <w:p w14:paraId="1B2DDE0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FDE2</w:t>
            </w:r>
          </w:p>
        </w:tc>
        <w:tc>
          <w:tcPr>
            <w:tcW w:w="1120" w:type="dxa"/>
            <w:tcBorders>
              <w:top w:val="single" w:sz="8" w:space="0" w:color="AEAEAE"/>
              <w:left w:val="nil"/>
              <w:bottom w:val="single" w:sz="8" w:space="0" w:color="152935"/>
              <w:right w:val="single" w:sz="8" w:space="0" w:color="E0E0E0"/>
            </w:tcBorders>
            <w:shd w:val="clear" w:color="auto" w:fill="F9F9FB"/>
          </w:tcPr>
          <w:p w14:paraId="49ACB28D"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.750</w:t>
            </w:r>
          </w:p>
        </w:tc>
        <w:tc>
          <w:tcPr>
            <w:tcW w:w="1120" w:type="dxa"/>
            <w:tcBorders>
              <w:top w:val="single" w:sz="8" w:space="0" w:color="AEAEAE"/>
              <w:left w:val="single" w:sz="8" w:space="0" w:color="E0E0E0"/>
              <w:bottom w:val="single" w:sz="8" w:space="0" w:color="152935"/>
              <w:right w:val="single" w:sz="8" w:space="0" w:color="E0E0E0"/>
            </w:tcBorders>
            <w:shd w:val="clear" w:color="auto" w:fill="F9F9FB"/>
          </w:tcPr>
          <w:p w14:paraId="014AA18B" w14:textId="77777777" w:rsidR="00241E66" w:rsidRPr="00241E66" w:rsidRDefault="00241E66"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0" w:type="dxa"/>
            <w:tcBorders>
              <w:top w:val="single" w:sz="8" w:space="0" w:color="AEAEAE"/>
              <w:left w:val="single" w:sz="8" w:space="0" w:color="E0E0E0"/>
              <w:bottom w:val="single" w:sz="8" w:space="0" w:color="152935"/>
              <w:right w:val="nil"/>
            </w:tcBorders>
            <w:shd w:val="clear" w:color="auto" w:fill="F9F9FB"/>
          </w:tcPr>
          <w:p w14:paraId="27240E9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.482</w:t>
            </w:r>
          </w:p>
        </w:tc>
        <w:tc>
          <w:tcPr>
            <w:tcW w:w="1120" w:type="dxa"/>
            <w:tcBorders>
              <w:top w:val="single" w:sz="8" w:space="0" w:color="AEAEAE"/>
              <w:left w:val="single" w:sz="8" w:space="0" w:color="E0E0E0"/>
              <w:bottom w:val="single" w:sz="8" w:space="0" w:color="152935"/>
              <w:right w:val="nil"/>
            </w:tcBorders>
            <w:shd w:val="clear" w:color="auto" w:fill="F9F9FB"/>
          </w:tcPr>
          <w:p w14:paraId="2D4F859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.360</w:t>
            </w:r>
          </w:p>
        </w:tc>
      </w:tr>
      <w:tr w:rsidR="00241E66" w:rsidRPr="00241E66" w14:paraId="7600BA64" w14:textId="77777777">
        <w:trPr>
          <w:cantSplit/>
        </w:trPr>
        <w:tc>
          <w:tcPr>
            <w:tcW w:w="5333" w:type="dxa"/>
            <w:gridSpan w:val="5"/>
            <w:tcBorders>
              <w:top w:val="nil"/>
              <w:left w:val="nil"/>
              <w:bottom w:val="nil"/>
              <w:right w:val="nil"/>
            </w:tcBorders>
            <w:shd w:val="clear" w:color="auto" w:fill="FFFFFF"/>
          </w:tcPr>
          <w:p w14:paraId="2AE0329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Extraction Method: Principal Component Analysis.</w:t>
            </w:r>
          </w:p>
        </w:tc>
      </w:tr>
      <w:tr w:rsidR="00241E66" w:rsidRPr="00241E66" w14:paraId="106CD69B" w14:textId="77777777">
        <w:trPr>
          <w:cantSplit/>
        </w:trPr>
        <w:tc>
          <w:tcPr>
            <w:tcW w:w="5333" w:type="dxa"/>
            <w:gridSpan w:val="5"/>
            <w:tcBorders>
              <w:top w:val="nil"/>
              <w:left w:val="nil"/>
              <w:bottom w:val="nil"/>
              <w:right w:val="nil"/>
            </w:tcBorders>
            <w:shd w:val="clear" w:color="auto" w:fill="FFFFFF"/>
          </w:tcPr>
          <w:p w14:paraId="14FB86B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a. 4 components extracted.</w:t>
            </w:r>
          </w:p>
        </w:tc>
      </w:tr>
    </w:tbl>
    <w:p w14:paraId="3A71B8E6"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37CF190F"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889" w:type="dxa"/>
        <w:tblLayout w:type="fixed"/>
        <w:tblCellMar>
          <w:left w:w="0" w:type="dxa"/>
          <w:right w:w="0" w:type="dxa"/>
        </w:tblCellMar>
        <w:tblLook w:val="0000" w:firstRow="0" w:lastRow="0" w:firstColumn="0" w:lastColumn="0" w:noHBand="0" w:noVBand="0"/>
      </w:tblPr>
      <w:tblGrid>
        <w:gridCol w:w="1405"/>
        <w:gridCol w:w="1121"/>
        <w:gridCol w:w="1121"/>
        <w:gridCol w:w="1121"/>
        <w:gridCol w:w="1121"/>
      </w:tblGrid>
      <w:tr w:rsidR="00241E66" w:rsidRPr="00241E66" w14:paraId="0C707203" w14:textId="77777777">
        <w:trPr>
          <w:cantSplit/>
        </w:trPr>
        <w:tc>
          <w:tcPr>
            <w:tcW w:w="5885" w:type="dxa"/>
            <w:gridSpan w:val="5"/>
            <w:tcBorders>
              <w:top w:val="nil"/>
              <w:left w:val="nil"/>
              <w:bottom w:val="nil"/>
              <w:right w:val="nil"/>
            </w:tcBorders>
            <w:shd w:val="clear" w:color="auto" w:fill="FFFFFF"/>
            <w:vAlign w:val="center"/>
          </w:tcPr>
          <w:p w14:paraId="1F01358F"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rPr>
            </w:pPr>
            <w:r w:rsidRPr="00241E66">
              <w:rPr>
                <w:rFonts w:ascii="Arial" w:hAnsi="Arial" w:cs="Arial"/>
                <w:b/>
                <w:bCs/>
                <w:color w:val="010205"/>
                <w:kern w:val="0"/>
              </w:rPr>
              <w:t>Component Transformation Matrix</w:t>
            </w:r>
          </w:p>
        </w:tc>
      </w:tr>
      <w:tr w:rsidR="00241E66" w:rsidRPr="00241E66" w14:paraId="32425505" w14:textId="77777777">
        <w:trPr>
          <w:cantSplit/>
        </w:trPr>
        <w:tc>
          <w:tcPr>
            <w:tcW w:w="1405" w:type="dxa"/>
            <w:tcBorders>
              <w:top w:val="nil"/>
              <w:left w:val="nil"/>
              <w:bottom w:val="single" w:sz="8" w:space="0" w:color="152935"/>
              <w:right w:val="nil"/>
            </w:tcBorders>
            <w:shd w:val="clear" w:color="auto" w:fill="FFFFFF"/>
            <w:vAlign w:val="bottom"/>
          </w:tcPr>
          <w:p w14:paraId="50D2A65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Component</w:t>
            </w:r>
          </w:p>
        </w:tc>
        <w:tc>
          <w:tcPr>
            <w:tcW w:w="1120" w:type="dxa"/>
            <w:tcBorders>
              <w:top w:val="nil"/>
              <w:left w:val="nil"/>
              <w:bottom w:val="single" w:sz="8" w:space="0" w:color="152935"/>
              <w:right w:val="single" w:sz="8" w:space="0" w:color="E0E0E0"/>
            </w:tcBorders>
            <w:shd w:val="clear" w:color="auto" w:fill="FFFFFF"/>
            <w:vAlign w:val="bottom"/>
          </w:tcPr>
          <w:p w14:paraId="3C4556B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1</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4B1C79E7"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2</w:t>
            </w:r>
          </w:p>
        </w:tc>
        <w:tc>
          <w:tcPr>
            <w:tcW w:w="1120" w:type="dxa"/>
            <w:tcBorders>
              <w:top w:val="nil"/>
              <w:left w:val="single" w:sz="8" w:space="0" w:color="E0E0E0"/>
              <w:bottom w:val="single" w:sz="8" w:space="0" w:color="152935"/>
              <w:right w:val="nil"/>
            </w:tcBorders>
            <w:shd w:val="clear" w:color="auto" w:fill="FFFFFF"/>
            <w:vAlign w:val="bottom"/>
          </w:tcPr>
          <w:p w14:paraId="1E7D817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3</w:t>
            </w:r>
          </w:p>
        </w:tc>
        <w:tc>
          <w:tcPr>
            <w:tcW w:w="1120" w:type="dxa"/>
            <w:tcBorders>
              <w:top w:val="nil"/>
              <w:left w:val="single" w:sz="8" w:space="0" w:color="E0E0E0"/>
              <w:bottom w:val="single" w:sz="8" w:space="0" w:color="152935"/>
              <w:right w:val="nil"/>
            </w:tcBorders>
            <w:shd w:val="clear" w:color="auto" w:fill="FFFFFF"/>
            <w:vAlign w:val="bottom"/>
          </w:tcPr>
          <w:p w14:paraId="4FDB7C74"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4</w:t>
            </w:r>
          </w:p>
        </w:tc>
      </w:tr>
      <w:tr w:rsidR="00241E66" w:rsidRPr="00241E66" w14:paraId="004C7A82" w14:textId="77777777">
        <w:trPr>
          <w:cantSplit/>
        </w:trPr>
        <w:tc>
          <w:tcPr>
            <w:tcW w:w="1405" w:type="dxa"/>
            <w:tcBorders>
              <w:top w:val="single" w:sz="8" w:space="0" w:color="152935"/>
              <w:left w:val="nil"/>
              <w:bottom w:val="single" w:sz="8" w:space="0" w:color="AEAEAE"/>
              <w:right w:val="nil"/>
            </w:tcBorders>
            <w:shd w:val="clear" w:color="auto" w:fill="E0E0E0"/>
          </w:tcPr>
          <w:p w14:paraId="35C4635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1</w:t>
            </w:r>
          </w:p>
        </w:tc>
        <w:tc>
          <w:tcPr>
            <w:tcW w:w="1120" w:type="dxa"/>
            <w:tcBorders>
              <w:top w:val="single" w:sz="8" w:space="0" w:color="152935"/>
              <w:left w:val="nil"/>
              <w:bottom w:val="single" w:sz="8" w:space="0" w:color="AEAEAE"/>
              <w:right w:val="single" w:sz="8" w:space="0" w:color="E0E0E0"/>
            </w:tcBorders>
            <w:shd w:val="clear" w:color="auto" w:fill="F9F9FB"/>
          </w:tcPr>
          <w:p w14:paraId="4A2458EC"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.608</w:t>
            </w:r>
          </w:p>
        </w:tc>
        <w:tc>
          <w:tcPr>
            <w:tcW w:w="1120" w:type="dxa"/>
            <w:tcBorders>
              <w:top w:val="single" w:sz="8" w:space="0" w:color="152935"/>
              <w:left w:val="single" w:sz="8" w:space="0" w:color="E0E0E0"/>
              <w:bottom w:val="single" w:sz="8" w:space="0" w:color="AEAEAE"/>
              <w:right w:val="single" w:sz="8" w:space="0" w:color="E0E0E0"/>
            </w:tcBorders>
            <w:shd w:val="clear" w:color="auto" w:fill="F9F9FB"/>
          </w:tcPr>
          <w:p w14:paraId="6F743EC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.511</w:t>
            </w:r>
          </w:p>
        </w:tc>
        <w:tc>
          <w:tcPr>
            <w:tcW w:w="1120" w:type="dxa"/>
            <w:tcBorders>
              <w:top w:val="single" w:sz="8" w:space="0" w:color="152935"/>
              <w:left w:val="single" w:sz="8" w:space="0" w:color="E0E0E0"/>
              <w:bottom w:val="single" w:sz="8" w:space="0" w:color="AEAEAE"/>
              <w:right w:val="nil"/>
            </w:tcBorders>
            <w:shd w:val="clear" w:color="auto" w:fill="F9F9FB"/>
          </w:tcPr>
          <w:p w14:paraId="599971D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.473</w:t>
            </w:r>
          </w:p>
        </w:tc>
        <w:tc>
          <w:tcPr>
            <w:tcW w:w="1120" w:type="dxa"/>
            <w:tcBorders>
              <w:top w:val="single" w:sz="8" w:space="0" w:color="152935"/>
              <w:left w:val="single" w:sz="8" w:space="0" w:color="E0E0E0"/>
              <w:bottom w:val="single" w:sz="8" w:space="0" w:color="AEAEAE"/>
              <w:right w:val="nil"/>
            </w:tcBorders>
            <w:shd w:val="clear" w:color="auto" w:fill="F9F9FB"/>
          </w:tcPr>
          <w:p w14:paraId="6EB0662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.382</w:t>
            </w:r>
          </w:p>
        </w:tc>
      </w:tr>
      <w:tr w:rsidR="00241E66" w:rsidRPr="00241E66" w14:paraId="3902362F" w14:textId="77777777">
        <w:trPr>
          <w:cantSplit/>
        </w:trPr>
        <w:tc>
          <w:tcPr>
            <w:tcW w:w="1405" w:type="dxa"/>
            <w:tcBorders>
              <w:top w:val="single" w:sz="8" w:space="0" w:color="AEAEAE"/>
              <w:left w:val="nil"/>
              <w:bottom w:val="single" w:sz="8" w:space="0" w:color="AEAEAE"/>
              <w:right w:val="nil"/>
            </w:tcBorders>
            <w:shd w:val="clear" w:color="auto" w:fill="E0E0E0"/>
          </w:tcPr>
          <w:p w14:paraId="11047C8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2</w:t>
            </w:r>
          </w:p>
        </w:tc>
        <w:tc>
          <w:tcPr>
            <w:tcW w:w="1120" w:type="dxa"/>
            <w:tcBorders>
              <w:top w:val="single" w:sz="8" w:space="0" w:color="AEAEAE"/>
              <w:left w:val="nil"/>
              <w:bottom w:val="single" w:sz="8" w:space="0" w:color="AEAEAE"/>
              <w:right w:val="single" w:sz="8" w:space="0" w:color="E0E0E0"/>
            </w:tcBorders>
            <w:shd w:val="clear" w:color="auto" w:fill="F9F9FB"/>
          </w:tcPr>
          <w:p w14:paraId="7429524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-.543</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704762B1"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.777</w:t>
            </w:r>
          </w:p>
        </w:tc>
        <w:tc>
          <w:tcPr>
            <w:tcW w:w="1120" w:type="dxa"/>
            <w:tcBorders>
              <w:top w:val="single" w:sz="8" w:space="0" w:color="AEAEAE"/>
              <w:left w:val="single" w:sz="8" w:space="0" w:color="E0E0E0"/>
              <w:bottom w:val="single" w:sz="8" w:space="0" w:color="AEAEAE"/>
              <w:right w:val="nil"/>
            </w:tcBorders>
            <w:shd w:val="clear" w:color="auto" w:fill="F9F9FB"/>
          </w:tcPr>
          <w:p w14:paraId="7DA202F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.102</w:t>
            </w:r>
          </w:p>
        </w:tc>
        <w:tc>
          <w:tcPr>
            <w:tcW w:w="1120" w:type="dxa"/>
            <w:tcBorders>
              <w:top w:val="single" w:sz="8" w:space="0" w:color="AEAEAE"/>
              <w:left w:val="single" w:sz="8" w:space="0" w:color="E0E0E0"/>
              <w:bottom w:val="single" w:sz="8" w:space="0" w:color="AEAEAE"/>
              <w:right w:val="nil"/>
            </w:tcBorders>
            <w:shd w:val="clear" w:color="auto" w:fill="F9F9FB"/>
          </w:tcPr>
          <w:p w14:paraId="4B59399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-.303</w:t>
            </w:r>
          </w:p>
        </w:tc>
      </w:tr>
      <w:tr w:rsidR="00241E66" w:rsidRPr="00241E66" w14:paraId="6F71CE49" w14:textId="77777777">
        <w:trPr>
          <w:cantSplit/>
        </w:trPr>
        <w:tc>
          <w:tcPr>
            <w:tcW w:w="1405" w:type="dxa"/>
            <w:tcBorders>
              <w:top w:val="single" w:sz="8" w:space="0" w:color="AEAEAE"/>
              <w:left w:val="nil"/>
              <w:bottom w:val="single" w:sz="8" w:space="0" w:color="AEAEAE"/>
              <w:right w:val="nil"/>
            </w:tcBorders>
            <w:shd w:val="clear" w:color="auto" w:fill="E0E0E0"/>
          </w:tcPr>
          <w:p w14:paraId="24E57FF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3</w:t>
            </w:r>
          </w:p>
        </w:tc>
        <w:tc>
          <w:tcPr>
            <w:tcW w:w="1120" w:type="dxa"/>
            <w:tcBorders>
              <w:top w:val="single" w:sz="8" w:space="0" w:color="AEAEAE"/>
              <w:left w:val="nil"/>
              <w:bottom w:val="single" w:sz="8" w:space="0" w:color="AEAEAE"/>
              <w:right w:val="single" w:sz="8" w:space="0" w:color="E0E0E0"/>
            </w:tcBorders>
            <w:shd w:val="clear" w:color="auto" w:fill="F9F9FB"/>
          </w:tcPr>
          <w:p w14:paraId="136C01BA"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-.141</w:t>
            </w:r>
          </w:p>
        </w:tc>
        <w:tc>
          <w:tcPr>
            <w:tcW w:w="1120" w:type="dxa"/>
            <w:tcBorders>
              <w:top w:val="single" w:sz="8" w:space="0" w:color="AEAEAE"/>
              <w:left w:val="single" w:sz="8" w:space="0" w:color="E0E0E0"/>
              <w:bottom w:val="single" w:sz="8" w:space="0" w:color="AEAEAE"/>
              <w:right w:val="single" w:sz="8" w:space="0" w:color="E0E0E0"/>
            </w:tcBorders>
            <w:shd w:val="clear" w:color="auto" w:fill="F9F9FB"/>
          </w:tcPr>
          <w:p w14:paraId="318AF6DE"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.258</w:t>
            </w:r>
          </w:p>
        </w:tc>
        <w:tc>
          <w:tcPr>
            <w:tcW w:w="1120" w:type="dxa"/>
            <w:tcBorders>
              <w:top w:val="single" w:sz="8" w:space="0" w:color="AEAEAE"/>
              <w:left w:val="single" w:sz="8" w:space="0" w:color="E0E0E0"/>
              <w:bottom w:val="single" w:sz="8" w:space="0" w:color="AEAEAE"/>
              <w:right w:val="nil"/>
            </w:tcBorders>
            <w:shd w:val="clear" w:color="auto" w:fill="F9F9FB"/>
          </w:tcPr>
          <w:p w14:paraId="3B2D6243"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-.658</w:t>
            </w:r>
          </w:p>
        </w:tc>
        <w:tc>
          <w:tcPr>
            <w:tcW w:w="1120" w:type="dxa"/>
            <w:tcBorders>
              <w:top w:val="single" w:sz="8" w:space="0" w:color="AEAEAE"/>
              <w:left w:val="single" w:sz="8" w:space="0" w:color="E0E0E0"/>
              <w:bottom w:val="single" w:sz="8" w:space="0" w:color="AEAEAE"/>
              <w:right w:val="nil"/>
            </w:tcBorders>
            <w:shd w:val="clear" w:color="auto" w:fill="F9F9FB"/>
          </w:tcPr>
          <w:p w14:paraId="571F8658"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.693</w:t>
            </w:r>
          </w:p>
        </w:tc>
      </w:tr>
      <w:tr w:rsidR="00241E66" w:rsidRPr="00241E66" w14:paraId="32B6187B" w14:textId="77777777">
        <w:trPr>
          <w:cantSplit/>
        </w:trPr>
        <w:tc>
          <w:tcPr>
            <w:tcW w:w="1405" w:type="dxa"/>
            <w:tcBorders>
              <w:top w:val="single" w:sz="8" w:space="0" w:color="AEAEAE"/>
              <w:left w:val="nil"/>
              <w:bottom w:val="single" w:sz="8" w:space="0" w:color="152935"/>
              <w:right w:val="nil"/>
            </w:tcBorders>
            <w:shd w:val="clear" w:color="auto" w:fill="E0E0E0"/>
          </w:tcPr>
          <w:p w14:paraId="7C03AB12"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41E66">
              <w:rPr>
                <w:rFonts w:ascii="Arial" w:hAnsi="Arial" w:cs="Arial"/>
                <w:color w:val="264A60"/>
                <w:kern w:val="0"/>
                <w:sz w:val="18"/>
                <w:szCs w:val="18"/>
              </w:rPr>
              <w:t>4</w:t>
            </w:r>
          </w:p>
        </w:tc>
        <w:tc>
          <w:tcPr>
            <w:tcW w:w="1120" w:type="dxa"/>
            <w:tcBorders>
              <w:top w:val="single" w:sz="8" w:space="0" w:color="AEAEAE"/>
              <w:left w:val="nil"/>
              <w:bottom w:val="single" w:sz="8" w:space="0" w:color="152935"/>
              <w:right w:val="single" w:sz="8" w:space="0" w:color="E0E0E0"/>
            </w:tcBorders>
            <w:shd w:val="clear" w:color="auto" w:fill="F9F9FB"/>
          </w:tcPr>
          <w:p w14:paraId="33C6C8C0"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-.562</w:t>
            </w:r>
          </w:p>
        </w:tc>
        <w:tc>
          <w:tcPr>
            <w:tcW w:w="1120" w:type="dxa"/>
            <w:tcBorders>
              <w:top w:val="single" w:sz="8" w:space="0" w:color="AEAEAE"/>
              <w:left w:val="single" w:sz="8" w:space="0" w:color="E0E0E0"/>
              <w:bottom w:val="single" w:sz="8" w:space="0" w:color="152935"/>
              <w:right w:val="single" w:sz="8" w:space="0" w:color="E0E0E0"/>
            </w:tcBorders>
            <w:shd w:val="clear" w:color="auto" w:fill="F9F9FB"/>
          </w:tcPr>
          <w:p w14:paraId="6C104749"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-.262</w:t>
            </w:r>
          </w:p>
        </w:tc>
        <w:tc>
          <w:tcPr>
            <w:tcW w:w="1120" w:type="dxa"/>
            <w:tcBorders>
              <w:top w:val="single" w:sz="8" w:space="0" w:color="AEAEAE"/>
              <w:left w:val="single" w:sz="8" w:space="0" w:color="E0E0E0"/>
              <w:bottom w:val="single" w:sz="8" w:space="0" w:color="152935"/>
              <w:right w:val="nil"/>
            </w:tcBorders>
            <w:shd w:val="clear" w:color="auto" w:fill="F9F9FB"/>
          </w:tcPr>
          <w:p w14:paraId="478BBE0B"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.577</w:t>
            </w:r>
          </w:p>
        </w:tc>
        <w:tc>
          <w:tcPr>
            <w:tcW w:w="1120" w:type="dxa"/>
            <w:tcBorders>
              <w:top w:val="single" w:sz="8" w:space="0" w:color="AEAEAE"/>
              <w:left w:val="single" w:sz="8" w:space="0" w:color="E0E0E0"/>
              <w:bottom w:val="single" w:sz="8" w:space="0" w:color="152935"/>
              <w:right w:val="nil"/>
            </w:tcBorders>
            <w:shd w:val="clear" w:color="auto" w:fill="F9F9FB"/>
          </w:tcPr>
          <w:p w14:paraId="57069605" w14:textId="77777777"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.531</w:t>
            </w:r>
          </w:p>
        </w:tc>
      </w:tr>
      <w:tr w:rsidR="00241E66" w:rsidRPr="00241E66" w14:paraId="19F6641D" w14:textId="77777777">
        <w:trPr>
          <w:cantSplit/>
        </w:trPr>
        <w:tc>
          <w:tcPr>
            <w:tcW w:w="5885" w:type="dxa"/>
            <w:gridSpan w:val="5"/>
            <w:tcBorders>
              <w:top w:val="nil"/>
              <w:left w:val="nil"/>
              <w:bottom w:val="nil"/>
              <w:right w:val="nil"/>
            </w:tcBorders>
            <w:shd w:val="clear" w:color="auto" w:fill="FFFFFF"/>
          </w:tcPr>
          <w:p w14:paraId="0ED5F849" w14:textId="44020A98"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Extraction Method: Principal Component Analysis.</w:t>
            </w:r>
          </w:p>
          <w:p w14:paraId="41A2B494" w14:textId="1D5D42B0" w:rsidR="00241E66" w:rsidRPr="00241E66" w:rsidRDefault="00241E66"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41E66">
              <w:rPr>
                <w:rFonts w:ascii="Arial" w:hAnsi="Arial" w:cs="Arial"/>
                <w:color w:val="010205"/>
                <w:kern w:val="0"/>
                <w:sz w:val="18"/>
                <w:szCs w:val="18"/>
              </w:rPr>
              <w:t>Rotation Method: Varimax with Kaiser Normalization.</w:t>
            </w:r>
          </w:p>
        </w:tc>
      </w:tr>
    </w:tbl>
    <w:p w14:paraId="1C6B77EA" w14:textId="77777777" w:rsidR="00241E66" w:rsidRPr="00241E66" w:rsidRDefault="00241E66"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5FB4A385" w14:textId="77777777" w:rsidR="00A743B2" w:rsidRPr="00A743B2" w:rsidRDefault="00A743B2" w:rsidP="002E6F27">
      <w:pPr>
        <w:autoSpaceDE w:val="0"/>
        <w:autoSpaceDN w:val="0"/>
        <w:bidi w:val="0"/>
        <w:adjustRightInd w:val="0"/>
        <w:spacing w:after="0" w:line="240" w:lineRule="auto"/>
        <w:jc w:val="center"/>
        <w:rPr>
          <w:rFonts w:ascii="Times New Roman" w:hAnsi="Times New Roman" w:cs="Times New Roman"/>
          <w:kern w:val="0"/>
          <w:sz w:val="24"/>
          <w:szCs w:val="24"/>
        </w:rPr>
      </w:pPr>
    </w:p>
    <w:tbl>
      <w:tblPr>
        <w:tblW w:w="4288" w:type="dxa"/>
        <w:tblLayout w:type="fixed"/>
        <w:tblCellMar>
          <w:left w:w="0" w:type="dxa"/>
          <w:right w:w="0" w:type="dxa"/>
        </w:tblCellMar>
        <w:tblLook w:val="0000" w:firstRow="0" w:lastRow="0" w:firstColumn="0" w:lastColumn="0" w:noHBand="0" w:noVBand="0"/>
      </w:tblPr>
      <w:tblGrid>
        <w:gridCol w:w="783"/>
        <w:gridCol w:w="1030"/>
        <w:gridCol w:w="1445"/>
        <w:gridCol w:w="1030"/>
      </w:tblGrid>
      <w:tr w:rsidR="00A743B2" w:rsidRPr="00A743B2" w14:paraId="74A512DE" w14:textId="77777777">
        <w:trPr>
          <w:cantSplit/>
        </w:trPr>
        <w:tc>
          <w:tcPr>
            <w:tcW w:w="4285" w:type="dxa"/>
            <w:gridSpan w:val="4"/>
            <w:tcBorders>
              <w:top w:val="nil"/>
              <w:left w:val="nil"/>
              <w:bottom w:val="nil"/>
              <w:right w:val="nil"/>
            </w:tcBorders>
            <w:shd w:val="clear" w:color="auto" w:fill="FFFFFF"/>
            <w:vAlign w:val="center"/>
          </w:tcPr>
          <w:p w14:paraId="2FF211E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rPr>
            </w:pPr>
            <w:r w:rsidRPr="00A743B2">
              <w:rPr>
                <w:rFonts w:ascii="Arial" w:hAnsi="Arial" w:cs="Arial"/>
                <w:b/>
                <w:bCs/>
                <w:color w:val="010205"/>
                <w:kern w:val="0"/>
              </w:rPr>
              <w:t>Item Statistics</w:t>
            </w:r>
          </w:p>
        </w:tc>
      </w:tr>
      <w:tr w:rsidR="00A743B2" w:rsidRPr="00A743B2" w14:paraId="0D63D3DD" w14:textId="77777777">
        <w:trPr>
          <w:cantSplit/>
        </w:trPr>
        <w:tc>
          <w:tcPr>
            <w:tcW w:w="783" w:type="dxa"/>
            <w:tcBorders>
              <w:top w:val="nil"/>
              <w:left w:val="nil"/>
              <w:bottom w:val="single" w:sz="8" w:space="0" w:color="152935"/>
              <w:right w:val="nil"/>
            </w:tcBorders>
            <w:shd w:val="clear" w:color="auto" w:fill="FFFFFF"/>
            <w:vAlign w:val="bottom"/>
          </w:tcPr>
          <w:p w14:paraId="7BD1D3F1" w14:textId="77777777" w:rsidR="00A743B2" w:rsidRPr="00A743B2" w:rsidRDefault="00A743B2"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3BBCCA2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4A3E88C"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F1D2D6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N</w:t>
            </w:r>
          </w:p>
        </w:tc>
      </w:tr>
      <w:tr w:rsidR="00A743B2" w:rsidRPr="00A743B2" w14:paraId="311467EA" w14:textId="77777777">
        <w:trPr>
          <w:cantSplit/>
        </w:trPr>
        <w:tc>
          <w:tcPr>
            <w:tcW w:w="783" w:type="dxa"/>
            <w:tcBorders>
              <w:top w:val="single" w:sz="8" w:space="0" w:color="152935"/>
              <w:left w:val="nil"/>
              <w:bottom w:val="single" w:sz="8" w:space="0" w:color="AEAEAE"/>
              <w:right w:val="nil"/>
            </w:tcBorders>
            <w:shd w:val="clear" w:color="auto" w:fill="E0E0E0"/>
          </w:tcPr>
          <w:p w14:paraId="49C37A0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FCQ1</w:t>
            </w:r>
          </w:p>
        </w:tc>
        <w:tc>
          <w:tcPr>
            <w:tcW w:w="1029" w:type="dxa"/>
            <w:tcBorders>
              <w:top w:val="single" w:sz="8" w:space="0" w:color="152935"/>
              <w:left w:val="nil"/>
              <w:bottom w:val="single" w:sz="8" w:space="0" w:color="AEAEAE"/>
              <w:right w:val="single" w:sz="8" w:space="0" w:color="E0E0E0"/>
            </w:tcBorders>
            <w:shd w:val="clear" w:color="auto" w:fill="F9F9FB"/>
          </w:tcPr>
          <w:p w14:paraId="6B2D805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3.34</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14:paraId="4BA05D1F"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1.072</w:t>
            </w:r>
          </w:p>
        </w:tc>
        <w:tc>
          <w:tcPr>
            <w:tcW w:w="1029" w:type="dxa"/>
            <w:tcBorders>
              <w:top w:val="single" w:sz="8" w:space="0" w:color="152935"/>
              <w:left w:val="single" w:sz="8" w:space="0" w:color="E0E0E0"/>
              <w:bottom w:val="single" w:sz="8" w:space="0" w:color="AEAEAE"/>
              <w:right w:val="nil"/>
            </w:tcBorders>
            <w:shd w:val="clear" w:color="auto" w:fill="F9F9FB"/>
          </w:tcPr>
          <w:p w14:paraId="6221430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47A72848" w14:textId="77777777">
        <w:trPr>
          <w:cantSplit/>
        </w:trPr>
        <w:tc>
          <w:tcPr>
            <w:tcW w:w="783" w:type="dxa"/>
            <w:tcBorders>
              <w:top w:val="single" w:sz="8" w:space="0" w:color="AEAEAE"/>
              <w:left w:val="nil"/>
              <w:bottom w:val="single" w:sz="8" w:space="0" w:color="AEAEAE"/>
              <w:right w:val="nil"/>
            </w:tcBorders>
            <w:shd w:val="clear" w:color="auto" w:fill="E0E0E0"/>
          </w:tcPr>
          <w:p w14:paraId="76E33AB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FCQ2</w:t>
            </w:r>
          </w:p>
        </w:tc>
        <w:tc>
          <w:tcPr>
            <w:tcW w:w="1029" w:type="dxa"/>
            <w:tcBorders>
              <w:top w:val="single" w:sz="8" w:space="0" w:color="AEAEAE"/>
              <w:left w:val="nil"/>
              <w:bottom w:val="single" w:sz="8" w:space="0" w:color="AEAEAE"/>
              <w:right w:val="single" w:sz="8" w:space="0" w:color="E0E0E0"/>
            </w:tcBorders>
            <w:shd w:val="clear" w:color="auto" w:fill="F9F9FB"/>
          </w:tcPr>
          <w:p w14:paraId="0650A65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3.54</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5F096CD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.913</w:t>
            </w:r>
          </w:p>
        </w:tc>
        <w:tc>
          <w:tcPr>
            <w:tcW w:w="1029" w:type="dxa"/>
            <w:tcBorders>
              <w:top w:val="single" w:sz="8" w:space="0" w:color="AEAEAE"/>
              <w:left w:val="single" w:sz="8" w:space="0" w:color="E0E0E0"/>
              <w:bottom w:val="single" w:sz="8" w:space="0" w:color="AEAEAE"/>
              <w:right w:val="nil"/>
            </w:tcBorders>
            <w:shd w:val="clear" w:color="auto" w:fill="F9F9FB"/>
          </w:tcPr>
          <w:p w14:paraId="07A1077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53A53D4B" w14:textId="77777777">
        <w:trPr>
          <w:cantSplit/>
        </w:trPr>
        <w:tc>
          <w:tcPr>
            <w:tcW w:w="783" w:type="dxa"/>
            <w:tcBorders>
              <w:top w:val="single" w:sz="8" w:space="0" w:color="AEAEAE"/>
              <w:left w:val="nil"/>
              <w:bottom w:val="single" w:sz="8" w:space="0" w:color="AEAEAE"/>
              <w:right w:val="nil"/>
            </w:tcBorders>
            <w:shd w:val="clear" w:color="auto" w:fill="E0E0E0"/>
          </w:tcPr>
          <w:p w14:paraId="72C12EC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FID1</w:t>
            </w:r>
          </w:p>
        </w:tc>
        <w:tc>
          <w:tcPr>
            <w:tcW w:w="1029" w:type="dxa"/>
            <w:tcBorders>
              <w:top w:val="single" w:sz="8" w:space="0" w:color="AEAEAE"/>
              <w:left w:val="nil"/>
              <w:bottom w:val="single" w:sz="8" w:space="0" w:color="AEAEAE"/>
              <w:right w:val="single" w:sz="8" w:space="0" w:color="E0E0E0"/>
            </w:tcBorders>
            <w:shd w:val="clear" w:color="auto" w:fill="F9F9FB"/>
          </w:tcPr>
          <w:p w14:paraId="782C028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3.46</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4B69A91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.973</w:t>
            </w:r>
          </w:p>
        </w:tc>
        <w:tc>
          <w:tcPr>
            <w:tcW w:w="1029" w:type="dxa"/>
            <w:tcBorders>
              <w:top w:val="single" w:sz="8" w:space="0" w:color="AEAEAE"/>
              <w:left w:val="single" w:sz="8" w:space="0" w:color="E0E0E0"/>
              <w:bottom w:val="single" w:sz="8" w:space="0" w:color="AEAEAE"/>
              <w:right w:val="nil"/>
            </w:tcBorders>
            <w:shd w:val="clear" w:color="auto" w:fill="F9F9FB"/>
          </w:tcPr>
          <w:p w14:paraId="2F89C70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07AE32DC" w14:textId="77777777">
        <w:trPr>
          <w:cantSplit/>
        </w:trPr>
        <w:tc>
          <w:tcPr>
            <w:tcW w:w="783" w:type="dxa"/>
            <w:tcBorders>
              <w:top w:val="single" w:sz="8" w:space="0" w:color="AEAEAE"/>
              <w:left w:val="nil"/>
              <w:bottom w:val="single" w:sz="8" w:space="0" w:color="AEAEAE"/>
              <w:right w:val="nil"/>
            </w:tcBorders>
            <w:shd w:val="clear" w:color="auto" w:fill="E0E0E0"/>
          </w:tcPr>
          <w:p w14:paraId="052D59B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FID2</w:t>
            </w:r>
          </w:p>
        </w:tc>
        <w:tc>
          <w:tcPr>
            <w:tcW w:w="1029" w:type="dxa"/>
            <w:tcBorders>
              <w:top w:val="single" w:sz="8" w:space="0" w:color="AEAEAE"/>
              <w:left w:val="nil"/>
              <w:bottom w:val="single" w:sz="8" w:space="0" w:color="AEAEAE"/>
              <w:right w:val="single" w:sz="8" w:space="0" w:color="E0E0E0"/>
            </w:tcBorders>
            <w:shd w:val="clear" w:color="auto" w:fill="F9F9FB"/>
          </w:tcPr>
          <w:p w14:paraId="37D7716F"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3.42</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5F2792C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.950</w:t>
            </w:r>
          </w:p>
        </w:tc>
        <w:tc>
          <w:tcPr>
            <w:tcW w:w="1029" w:type="dxa"/>
            <w:tcBorders>
              <w:top w:val="single" w:sz="8" w:space="0" w:color="AEAEAE"/>
              <w:left w:val="single" w:sz="8" w:space="0" w:color="E0E0E0"/>
              <w:bottom w:val="single" w:sz="8" w:space="0" w:color="AEAEAE"/>
              <w:right w:val="nil"/>
            </w:tcBorders>
            <w:shd w:val="clear" w:color="auto" w:fill="F9F9FB"/>
          </w:tcPr>
          <w:p w14:paraId="0C35D16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3258DA02" w14:textId="77777777">
        <w:trPr>
          <w:cantSplit/>
        </w:trPr>
        <w:tc>
          <w:tcPr>
            <w:tcW w:w="783" w:type="dxa"/>
            <w:tcBorders>
              <w:top w:val="single" w:sz="8" w:space="0" w:color="AEAEAE"/>
              <w:left w:val="nil"/>
              <w:bottom w:val="single" w:sz="8" w:space="0" w:color="AEAEAE"/>
              <w:right w:val="nil"/>
            </w:tcBorders>
            <w:shd w:val="clear" w:color="auto" w:fill="E0E0E0"/>
          </w:tcPr>
          <w:p w14:paraId="40E1D36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FGI1</w:t>
            </w:r>
          </w:p>
        </w:tc>
        <w:tc>
          <w:tcPr>
            <w:tcW w:w="1029" w:type="dxa"/>
            <w:tcBorders>
              <w:top w:val="single" w:sz="8" w:space="0" w:color="AEAEAE"/>
              <w:left w:val="nil"/>
              <w:bottom w:val="single" w:sz="8" w:space="0" w:color="AEAEAE"/>
              <w:right w:val="single" w:sz="8" w:space="0" w:color="E0E0E0"/>
            </w:tcBorders>
            <w:shd w:val="clear" w:color="auto" w:fill="F9F9FB"/>
          </w:tcPr>
          <w:p w14:paraId="3276DF3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3.37</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155E3CEA"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.877</w:t>
            </w:r>
          </w:p>
        </w:tc>
        <w:tc>
          <w:tcPr>
            <w:tcW w:w="1029" w:type="dxa"/>
            <w:tcBorders>
              <w:top w:val="single" w:sz="8" w:space="0" w:color="AEAEAE"/>
              <w:left w:val="single" w:sz="8" w:space="0" w:color="E0E0E0"/>
              <w:bottom w:val="single" w:sz="8" w:space="0" w:color="AEAEAE"/>
              <w:right w:val="nil"/>
            </w:tcBorders>
            <w:shd w:val="clear" w:color="auto" w:fill="F9F9FB"/>
          </w:tcPr>
          <w:p w14:paraId="5B53A11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18CB86A6" w14:textId="77777777">
        <w:trPr>
          <w:cantSplit/>
        </w:trPr>
        <w:tc>
          <w:tcPr>
            <w:tcW w:w="783" w:type="dxa"/>
            <w:tcBorders>
              <w:top w:val="single" w:sz="8" w:space="0" w:color="AEAEAE"/>
              <w:left w:val="nil"/>
              <w:bottom w:val="single" w:sz="8" w:space="0" w:color="AEAEAE"/>
              <w:right w:val="nil"/>
            </w:tcBorders>
            <w:shd w:val="clear" w:color="auto" w:fill="E0E0E0"/>
          </w:tcPr>
          <w:p w14:paraId="15B05DF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FGI2</w:t>
            </w:r>
          </w:p>
        </w:tc>
        <w:tc>
          <w:tcPr>
            <w:tcW w:w="1029" w:type="dxa"/>
            <w:tcBorders>
              <w:top w:val="single" w:sz="8" w:space="0" w:color="AEAEAE"/>
              <w:left w:val="nil"/>
              <w:bottom w:val="single" w:sz="8" w:space="0" w:color="AEAEAE"/>
              <w:right w:val="single" w:sz="8" w:space="0" w:color="E0E0E0"/>
            </w:tcBorders>
            <w:shd w:val="clear" w:color="auto" w:fill="F9F9FB"/>
          </w:tcPr>
          <w:p w14:paraId="2A117B0A"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3.48</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7BA9EBD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.942</w:t>
            </w:r>
          </w:p>
        </w:tc>
        <w:tc>
          <w:tcPr>
            <w:tcW w:w="1029" w:type="dxa"/>
            <w:tcBorders>
              <w:top w:val="single" w:sz="8" w:space="0" w:color="AEAEAE"/>
              <w:left w:val="single" w:sz="8" w:space="0" w:color="E0E0E0"/>
              <w:bottom w:val="single" w:sz="8" w:space="0" w:color="AEAEAE"/>
              <w:right w:val="nil"/>
            </w:tcBorders>
            <w:shd w:val="clear" w:color="auto" w:fill="F9F9FB"/>
          </w:tcPr>
          <w:p w14:paraId="40C9CD0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139C2DB6" w14:textId="77777777">
        <w:trPr>
          <w:cantSplit/>
        </w:trPr>
        <w:tc>
          <w:tcPr>
            <w:tcW w:w="783" w:type="dxa"/>
            <w:tcBorders>
              <w:top w:val="single" w:sz="8" w:space="0" w:color="AEAEAE"/>
              <w:left w:val="nil"/>
              <w:bottom w:val="single" w:sz="8" w:space="0" w:color="AEAEAE"/>
              <w:right w:val="nil"/>
            </w:tcBorders>
            <w:shd w:val="clear" w:color="auto" w:fill="E0E0E0"/>
          </w:tcPr>
          <w:p w14:paraId="52F9408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FDE1</w:t>
            </w:r>
          </w:p>
        </w:tc>
        <w:tc>
          <w:tcPr>
            <w:tcW w:w="1029" w:type="dxa"/>
            <w:tcBorders>
              <w:top w:val="single" w:sz="8" w:space="0" w:color="AEAEAE"/>
              <w:left w:val="nil"/>
              <w:bottom w:val="single" w:sz="8" w:space="0" w:color="AEAEAE"/>
              <w:right w:val="single" w:sz="8" w:space="0" w:color="E0E0E0"/>
            </w:tcBorders>
            <w:shd w:val="clear" w:color="auto" w:fill="F9F9FB"/>
          </w:tcPr>
          <w:p w14:paraId="3F2C898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3.41</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14:paraId="2AA4D2C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.949</w:t>
            </w:r>
          </w:p>
        </w:tc>
        <w:tc>
          <w:tcPr>
            <w:tcW w:w="1029" w:type="dxa"/>
            <w:tcBorders>
              <w:top w:val="single" w:sz="8" w:space="0" w:color="AEAEAE"/>
              <w:left w:val="single" w:sz="8" w:space="0" w:color="E0E0E0"/>
              <w:bottom w:val="single" w:sz="8" w:space="0" w:color="AEAEAE"/>
              <w:right w:val="nil"/>
            </w:tcBorders>
            <w:shd w:val="clear" w:color="auto" w:fill="F9F9FB"/>
          </w:tcPr>
          <w:p w14:paraId="1036711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r w:rsidR="00A743B2" w:rsidRPr="00A743B2" w14:paraId="00E19F41" w14:textId="77777777">
        <w:trPr>
          <w:cantSplit/>
        </w:trPr>
        <w:tc>
          <w:tcPr>
            <w:tcW w:w="783" w:type="dxa"/>
            <w:tcBorders>
              <w:top w:val="single" w:sz="8" w:space="0" w:color="AEAEAE"/>
              <w:left w:val="nil"/>
              <w:bottom w:val="single" w:sz="8" w:space="0" w:color="152935"/>
              <w:right w:val="nil"/>
            </w:tcBorders>
            <w:shd w:val="clear" w:color="auto" w:fill="E0E0E0"/>
          </w:tcPr>
          <w:p w14:paraId="699249C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FDE2</w:t>
            </w:r>
          </w:p>
        </w:tc>
        <w:tc>
          <w:tcPr>
            <w:tcW w:w="1029" w:type="dxa"/>
            <w:tcBorders>
              <w:top w:val="single" w:sz="8" w:space="0" w:color="AEAEAE"/>
              <w:left w:val="nil"/>
              <w:bottom w:val="single" w:sz="8" w:space="0" w:color="152935"/>
              <w:right w:val="single" w:sz="8" w:space="0" w:color="E0E0E0"/>
            </w:tcBorders>
            <w:shd w:val="clear" w:color="auto" w:fill="F9F9FB"/>
          </w:tcPr>
          <w:p w14:paraId="2C24322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3.19</w:t>
            </w:r>
          </w:p>
        </w:tc>
        <w:tc>
          <w:tcPr>
            <w:tcW w:w="1444" w:type="dxa"/>
            <w:tcBorders>
              <w:top w:val="single" w:sz="8" w:space="0" w:color="AEAEAE"/>
              <w:left w:val="single" w:sz="8" w:space="0" w:color="E0E0E0"/>
              <w:bottom w:val="single" w:sz="8" w:space="0" w:color="152935"/>
              <w:right w:val="single" w:sz="8" w:space="0" w:color="E0E0E0"/>
            </w:tcBorders>
            <w:shd w:val="clear" w:color="auto" w:fill="F9F9FB"/>
          </w:tcPr>
          <w:p w14:paraId="03A4CF2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.992</w:t>
            </w:r>
          </w:p>
        </w:tc>
        <w:tc>
          <w:tcPr>
            <w:tcW w:w="1029" w:type="dxa"/>
            <w:tcBorders>
              <w:top w:val="single" w:sz="8" w:space="0" w:color="AEAEAE"/>
              <w:left w:val="single" w:sz="8" w:space="0" w:color="E0E0E0"/>
              <w:bottom w:val="single" w:sz="8" w:space="0" w:color="152935"/>
              <w:right w:val="nil"/>
            </w:tcBorders>
            <w:shd w:val="clear" w:color="auto" w:fill="F9F9FB"/>
          </w:tcPr>
          <w:p w14:paraId="64AAA0A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196</w:t>
            </w:r>
          </w:p>
        </w:tc>
      </w:tr>
    </w:tbl>
    <w:p w14:paraId="6AA734C3" w14:textId="77777777" w:rsidR="00A743B2" w:rsidRPr="00A743B2" w:rsidRDefault="00A743B2"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2BA006DE" w14:textId="77777777" w:rsidR="00A743B2" w:rsidRPr="00A743B2" w:rsidRDefault="00A743B2"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9023" w:type="dxa"/>
        <w:tblLayout w:type="fixed"/>
        <w:tblCellMar>
          <w:left w:w="0" w:type="dxa"/>
          <w:right w:w="0" w:type="dxa"/>
        </w:tblCellMar>
        <w:tblLook w:val="0000" w:firstRow="0" w:lastRow="0" w:firstColumn="0" w:lastColumn="0" w:noHBand="0" w:noVBand="0"/>
      </w:tblPr>
      <w:tblGrid>
        <w:gridCol w:w="783"/>
        <w:gridCol w:w="1030"/>
        <w:gridCol w:w="1030"/>
        <w:gridCol w:w="1030"/>
        <w:gridCol w:w="1030"/>
        <w:gridCol w:w="1030"/>
        <w:gridCol w:w="1030"/>
        <w:gridCol w:w="1030"/>
        <w:gridCol w:w="1030"/>
      </w:tblGrid>
      <w:tr w:rsidR="00A743B2" w:rsidRPr="00A743B2" w14:paraId="2E7ED617" w14:textId="77777777">
        <w:trPr>
          <w:cantSplit/>
        </w:trPr>
        <w:tc>
          <w:tcPr>
            <w:tcW w:w="9015" w:type="dxa"/>
            <w:gridSpan w:val="9"/>
            <w:tcBorders>
              <w:top w:val="nil"/>
              <w:left w:val="nil"/>
              <w:bottom w:val="nil"/>
              <w:right w:val="nil"/>
            </w:tcBorders>
            <w:shd w:val="clear" w:color="auto" w:fill="FFFFFF"/>
            <w:vAlign w:val="center"/>
          </w:tcPr>
          <w:p w14:paraId="3534326A"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rPr>
            </w:pPr>
            <w:r w:rsidRPr="00A743B2">
              <w:rPr>
                <w:rFonts w:ascii="Arial" w:hAnsi="Arial" w:cs="Arial"/>
                <w:b/>
                <w:bCs/>
                <w:color w:val="010205"/>
                <w:kern w:val="0"/>
              </w:rPr>
              <w:t>Inter-Item Correlation Matrix</w:t>
            </w:r>
          </w:p>
        </w:tc>
      </w:tr>
      <w:tr w:rsidR="00A743B2" w:rsidRPr="00A743B2" w14:paraId="0CA7CE16" w14:textId="77777777">
        <w:trPr>
          <w:cantSplit/>
        </w:trPr>
        <w:tc>
          <w:tcPr>
            <w:tcW w:w="783" w:type="dxa"/>
            <w:tcBorders>
              <w:top w:val="nil"/>
              <w:left w:val="nil"/>
              <w:bottom w:val="single" w:sz="8" w:space="0" w:color="152935"/>
              <w:right w:val="nil"/>
            </w:tcBorders>
            <w:shd w:val="clear" w:color="auto" w:fill="FFFFFF"/>
            <w:vAlign w:val="bottom"/>
          </w:tcPr>
          <w:p w14:paraId="52E7F211" w14:textId="77777777" w:rsidR="00A743B2" w:rsidRPr="00A743B2" w:rsidRDefault="00A743B2"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73E5B7B"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E48475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5E59D4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4CFDAB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505F56C"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A4F56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66F04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FDE1</w:t>
            </w:r>
          </w:p>
        </w:tc>
        <w:tc>
          <w:tcPr>
            <w:tcW w:w="1029" w:type="dxa"/>
            <w:tcBorders>
              <w:top w:val="nil"/>
              <w:left w:val="single" w:sz="8" w:space="0" w:color="E0E0E0"/>
              <w:bottom w:val="single" w:sz="8" w:space="0" w:color="152935"/>
              <w:right w:val="nil"/>
            </w:tcBorders>
            <w:shd w:val="clear" w:color="auto" w:fill="FFFFFF"/>
            <w:vAlign w:val="bottom"/>
          </w:tcPr>
          <w:p w14:paraId="4F1C52F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FDE2</w:t>
            </w:r>
          </w:p>
        </w:tc>
      </w:tr>
      <w:tr w:rsidR="00A743B2" w:rsidRPr="00A743B2" w14:paraId="433F5C61" w14:textId="77777777">
        <w:trPr>
          <w:cantSplit/>
        </w:trPr>
        <w:tc>
          <w:tcPr>
            <w:tcW w:w="783" w:type="dxa"/>
            <w:tcBorders>
              <w:top w:val="single" w:sz="8" w:space="0" w:color="152935"/>
              <w:left w:val="nil"/>
              <w:bottom w:val="single" w:sz="8" w:space="0" w:color="AEAEAE"/>
              <w:right w:val="nil"/>
            </w:tcBorders>
            <w:shd w:val="clear" w:color="auto" w:fill="E0E0E0"/>
          </w:tcPr>
          <w:p w14:paraId="1C99DB3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FCQ1</w:t>
            </w:r>
          </w:p>
        </w:tc>
        <w:tc>
          <w:tcPr>
            <w:tcW w:w="1029" w:type="dxa"/>
            <w:tcBorders>
              <w:top w:val="single" w:sz="8" w:space="0" w:color="152935"/>
              <w:left w:val="nil"/>
              <w:bottom w:val="single" w:sz="8" w:space="0" w:color="AEAEAE"/>
              <w:right w:val="single" w:sz="8" w:space="0" w:color="E0E0E0"/>
            </w:tcBorders>
            <w:shd w:val="clear" w:color="auto" w:fill="F9F9FB"/>
          </w:tcPr>
          <w:p w14:paraId="557C844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4EC99A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.664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3D0468F"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.714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82FA51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.477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6DCD4E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0E02CD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.450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325BB5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.632</w:t>
            </w:r>
          </w:p>
        </w:tc>
        <w:tc>
          <w:tcPr>
            <w:tcW w:w="1029" w:type="dxa"/>
            <w:tcBorders>
              <w:top w:val="single" w:sz="8" w:space="0" w:color="152935"/>
              <w:left w:val="single" w:sz="8" w:space="0" w:color="E0E0E0"/>
              <w:bottom w:val="single" w:sz="8" w:space="0" w:color="AEAEAE"/>
              <w:right w:val="nil"/>
            </w:tcBorders>
            <w:shd w:val="clear" w:color="auto" w:fill="F9F9FB"/>
          </w:tcPr>
          <w:p w14:paraId="4990635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.599</w:t>
            </w:r>
          </w:p>
        </w:tc>
      </w:tr>
      <w:tr w:rsidR="00A743B2" w:rsidRPr="00A743B2" w14:paraId="39E333EC" w14:textId="77777777">
        <w:trPr>
          <w:cantSplit/>
        </w:trPr>
        <w:tc>
          <w:tcPr>
            <w:tcW w:w="783" w:type="dxa"/>
            <w:tcBorders>
              <w:top w:val="single" w:sz="8" w:space="0" w:color="AEAEAE"/>
              <w:left w:val="nil"/>
              <w:bottom w:val="single" w:sz="8" w:space="0" w:color="AEAEAE"/>
              <w:right w:val="nil"/>
            </w:tcBorders>
            <w:shd w:val="clear" w:color="auto" w:fill="E0E0E0"/>
          </w:tcPr>
          <w:p w14:paraId="70C7C2B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FCQ2</w:t>
            </w:r>
          </w:p>
        </w:tc>
        <w:tc>
          <w:tcPr>
            <w:tcW w:w="1029" w:type="dxa"/>
            <w:tcBorders>
              <w:top w:val="single" w:sz="8" w:space="0" w:color="AEAEAE"/>
              <w:left w:val="nil"/>
              <w:bottom w:val="single" w:sz="8" w:space="0" w:color="AEAEAE"/>
              <w:right w:val="single" w:sz="8" w:space="0" w:color="E0E0E0"/>
            </w:tcBorders>
            <w:shd w:val="clear" w:color="auto" w:fill="F9F9FB"/>
          </w:tcPr>
          <w:p w14:paraId="3A85B94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.664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721A7B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12B156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.717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CE1040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.580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F648B2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F3B7F1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88724A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.652</w:t>
            </w:r>
          </w:p>
        </w:tc>
        <w:tc>
          <w:tcPr>
            <w:tcW w:w="1029" w:type="dxa"/>
            <w:tcBorders>
              <w:top w:val="single" w:sz="8" w:space="0" w:color="AEAEAE"/>
              <w:left w:val="single" w:sz="8" w:space="0" w:color="E0E0E0"/>
              <w:bottom w:val="single" w:sz="8" w:space="0" w:color="AEAEAE"/>
              <w:right w:val="nil"/>
            </w:tcBorders>
            <w:shd w:val="clear" w:color="auto" w:fill="F9F9FB"/>
          </w:tcPr>
          <w:p w14:paraId="2395838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.532</w:t>
            </w:r>
          </w:p>
        </w:tc>
      </w:tr>
      <w:tr w:rsidR="00A743B2" w:rsidRPr="00A743B2" w14:paraId="2A527D46" w14:textId="77777777">
        <w:trPr>
          <w:cantSplit/>
        </w:trPr>
        <w:tc>
          <w:tcPr>
            <w:tcW w:w="783" w:type="dxa"/>
            <w:tcBorders>
              <w:top w:val="single" w:sz="8" w:space="0" w:color="AEAEAE"/>
              <w:left w:val="nil"/>
              <w:bottom w:val="single" w:sz="8" w:space="0" w:color="AEAEAE"/>
              <w:right w:val="nil"/>
            </w:tcBorders>
            <w:shd w:val="clear" w:color="auto" w:fill="E0E0E0"/>
          </w:tcPr>
          <w:p w14:paraId="5C4BBDD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FID1</w:t>
            </w:r>
          </w:p>
        </w:tc>
        <w:tc>
          <w:tcPr>
            <w:tcW w:w="1029" w:type="dxa"/>
            <w:tcBorders>
              <w:top w:val="single" w:sz="8" w:space="0" w:color="AEAEAE"/>
              <w:left w:val="nil"/>
              <w:bottom w:val="single" w:sz="8" w:space="0" w:color="AEAEAE"/>
              <w:right w:val="single" w:sz="8" w:space="0" w:color="E0E0E0"/>
            </w:tcBorders>
            <w:shd w:val="clear" w:color="auto" w:fill="F9F9FB"/>
          </w:tcPr>
          <w:p w14:paraId="60BE205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.714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8EC9262"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.717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6B8AA72"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56FA02C"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66079C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E2C66D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.629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8720BB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.643</w:t>
            </w:r>
          </w:p>
        </w:tc>
        <w:tc>
          <w:tcPr>
            <w:tcW w:w="1029" w:type="dxa"/>
            <w:tcBorders>
              <w:top w:val="single" w:sz="8" w:space="0" w:color="AEAEAE"/>
              <w:left w:val="single" w:sz="8" w:space="0" w:color="E0E0E0"/>
              <w:bottom w:val="single" w:sz="8" w:space="0" w:color="AEAEAE"/>
              <w:right w:val="nil"/>
            </w:tcBorders>
            <w:shd w:val="clear" w:color="auto" w:fill="F9F9FB"/>
          </w:tcPr>
          <w:p w14:paraId="0A383B9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.595</w:t>
            </w:r>
          </w:p>
        </w:tc>
      </w:tr>
      <w:tr w:rsidR="00A743B2" w:rsidRPr="00A743B2" w14:paraId="58ED02F5" w14:textId="77777777">
        <w:trPr>
          <w:cantSplit/>
        </w:trPr>
        <w:tc>
          <w:tcPr>
            <w:tcW w:w="783" w:type="dxa"/>
            <w:tcBorders>
              <w:top w:val="single" w:sz="8" w:space="0" w:color="AEAEAE"/>
              <w:left w:val="nil"/>
              <w:bottom w:val="single" w:sz="8" w:space="0" w:color="AEAEAE"/>
              <w:right w:val="nil"/>
            </w:tcBorders>
            <w:shd w:val="clear" w:color="auto" w:fill="E0E0E0"/>
          </w:tcPr>
          <w:p w14:paraId="399CBE7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FID2</w:t>
            </w:r>
          </w:p>
        </w:tc>
        <w:tc>
          <w:tcPr>
            <w:tcW w:w="1029" w:type="dxa"/>
            <w:tcBorders>
              <w:top w:val="single" w:sz="8" w:space="0" w:color="AEAEAE"/>
              <w:left w:val="nil"/>
              <w:bottom w:val="single" w:sz="8" w:space="0" w:color="AEAEAE"/>
              <w:right w:val="single" w:sz="8" w:space="0" w:color="E0E0E0"/>
            </w:tcBorders>
            <w:shd w:val="clear" w:color="auto" w:fill="F9F9FB"/>
          </w:tcPr>
          <w:p w14:paraId="4D43EBD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.477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1BB86A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.580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22A601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EB4D92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AFC5B2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E40DB4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.629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92907EA"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.442</w:t>
            </w:r>
          </w:p>
        </w:tc>
        <w:tc>
          <w:tcPr>
            <w:tcW w:w="1029" w:type="dxa"/>
            <w:tcBorders>
              <w:top w:val="single" w:sz="8" w:space="0" w:color="AEAEAE"/>
              <w:left w:val="single" w:sz="8" w:space="0" w:color="E0E0E0"/>
              <w:bottom w:val="single" w:sz="8" w:space="0" w:color="AEAEAE"/>
              <w:right w:val="nil"/>
            </w:tcBorders>
            <w:shd w:val="clear" w:color="auto" w:fill="F9F9FB"/>
          </w:tcPr>
          <w:p w14:paraId="56215CAB"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.508</w:t>
            </w:r>
          </w:p>
        </w:tc>
      </w:tr>
      <w:tr w:rsidR="00A743B2" w:rsidRPr="00A743B2" w14:paraId="5AC5AC1C" w14:textId="77777777">
        <w:trPr>
          <w:cantSplit/>
        </w:trPr>
        <w:tc>
          <w:tcPr>
            <w:tcW w:w="783" w:type="dxa"/>
            <w:tcBorders>
              <w:top w:val="single" w:sz="8" w:space="0" w:color="AEAEAE"/>
              <w:left w:val="nil"/>
              <w:bottom w:val="single" w:sz="8" w:space="0" w:color="AEAEAE"/>
              <w:right w:val="nil"/>
            </w:tcBorders>
            <w:shd w:val="clear" w:color="auto" w:fill="E0E0E0"/>
          </w:tcPr>
          <w:p w14:paraId="17974DF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FGI1</w:t>
            </w:r>
          </w:p>
        </w:tc>
        <w:tc>
          <w:tcPr>
            <w:tcW w:w="1029" w:type="dxa"/>
            <w:tcBorders>
              <w:top w:val="single" w:sz="8" w:space="0" w:color="AEAEAE"/>
              <w:left w:val="nil"/>
              <w:bottom w:val="single" w:sz="8" w:space="0" w:color="AEAEAE"/>
              <w:right w:val="single" w:sz="8" w:space="0" w:color="E0E0E0"/>
            </w:tcBorders>
            <w:shd w:val="clear" w:color="auto" w:fill="F9F9FB"/>
          </w:tcPr>
          <w:p w14:paraId="2297CCB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49527E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9279A5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F58A68A"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6F9D90B"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A085DD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.675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E0457E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.603</w:t>
            </w:r>
          </w:p>
        </w:tc>
        <w:tc>
          <w:tcPr>
            <w:tcW w:w="1029" w:type="dxa"/>
            <w:tcBorders>
              <w:top w:val="single" w:sz="8" w:space="0" w:color="AEAEAE"/>
              <w:left w:val="single" w:sz="8" w:space="0" w:color="E0E0E0"/>
              <w:bottom w:val="single" w:sz="8" w:space="0" w:color="AEAEAE"/>
              <w:right w:val="nil"/>
            </w:tcBorders>
            <w:shd w:val="clear" w:color="auto" w:fill="F9F9FB"/>
          </w:tcPr>
          <w:p w14:paraId="17ACC9C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.579</w:t>
            </w:r>
          </w:p>
        </w:tc>
      </w:tr>
      <w:tr w:rsidR="00A743B2" w:rsidRPr="00A743B2" w14:paraId="135C1D97" w14:textId="77777777">
        <w:trPr>
          <w:cantSplit/>
        </w:trPr>
        <w:tc>
          <w:tcPr>
            <w:tcW w:w="783" w:type="dxa"/>
            <w:tcBorders>
              <w:top w:val="single" w:sz="8" w:space="0" w:color="AEAEAE"/>
              <w:left w:val="nil"/>
              <w:bottom w:val="single" w:sz="8" w:space="0" w:color="AEAEAE"/>
              <w:right w:val="nil"/>
            </w:tcBorders>
            <w:shd w:val="clear" w:color="auto" w:fill="E0E0E0"/>
          </w:tcPr>
          <w:p w14:paraId="6C689FB0"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FGI2</w:t>
            </w:r>
          </w:p>
        </w:tc>
        <w:tc>
          <w:tcPr>
            <w:tcW w:w="1029" w:type="dxa"/>
            <w:tcBorders>
              <w:top w:val="single" w:sz="8" w:space="0" w:color="AEAEAE"/>
              <w:left w:val="nil"/>
              <w:bottom w:val="single" w:sz="8" w:space="0" w:color="AEAEAE"/>
              <w:right w:val="single" w:sz="8" w:space="0" w:color="E0E0E0"/>
            </w:tcBorders>
            <w:shd w:val="clear" w:color="auto" w:fill="F9F9FB"/>
          </w:tcPr>
          <w:p w14:paraId="04C303E6"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.450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87943D4"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F2BFB7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.629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55B3A8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.629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7E14AB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.675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8FB7FF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368A60F"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.613</w:t>
            </w:r>
          </w:p>
        </w:tc>
        <w:tc>
          <w:tcPr>
            <w:tcW w:w="1029" w:type="dxa"/>
            <w:tcBorders>
              <w:top w:val="single" w:sz="8" w:space="0" w:color="AEAEAE"/>
              <w:left w:val="single" w:sz="8" w:space="0" w:color="E0E0E0"/>
              <w:bottom w:val="single" w:sz="8" w:space="0" w:color="AEAEAE"/>
              <w:right w:val="nil"/>
            </w:tcBorders>
            <w:shd w:val="clear" w:color="auto" w:fill="F9F9FB"/>
          </w:tcPr>
          <w:p w14:paraId="00B74EF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.500</w:t>
            </w:r>
          </w:p>
        </w:tc>
      </w:tr>
      <w:tr w:rsidR="00A743B2" w:rsidRPr="00A743B2" w14:paraId="06287705" w14:textId="77777777">
        <w:trPr>
          <w:cantSplit/>
        </w:trPr>
        <w:tc>
          <w:tcPr>
            <w:tcW w:w="783" w:type="dxa"/>
            <w:tcBorders>
              <w:top w:val="single" w:sz="8" w:space="0" w:color="AEAEAE"/>
              <w:left w:val="nil"/>
              <w:bottom w:val="single" w:sz="8" w:space="0" w:color="AEAEAE"/>
              <w:right w:val="nil"/>
            </w:tcBorders>
            <w:shd w:val="clear" w:color="auto" w:fill="E0E0E0"/>
          </w:tcPr>
          <w:p w14:paraId="4FE7D98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FDE1</w:t>
            </w:r>
          </w:p>
        </w:tc>
        <w:tc>
          <w:tcPr>
            <w:tcW w:w="1029" w:type="dxa"/>
            <w:tcBorders>
              <w:top w:val="single" w:sz="8" w:space="0" w:color="AEAEAE"/>
              <w:left w:val="nil"/>
              <w:bottom w:val="single" w:sz="8" w:space="0" w:color="AEAEAE"/>
              <w:right w:val="single" w:sz="8" w:space="0" w:color="E0E0E0"/>
            </w:tcBorders>
            <w:shd w:val="clear" w:color="auto" w:fill="F9F9FB"/>
          </w:tcPr>
          <w:p w14:paraId="0C9049A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.632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666396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.652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AB3EA12"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.643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3279859"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.442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10C3FB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.603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DF4F77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.613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9C7769D"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nil"/>
            </w:tcBorders>
            <w:shd w:val="clear" w:color="auto" w:fill="F9F9FB"/>
          </w:tcPr>
          <w:p w14:paraId="341E36C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.559</w:t>
            </w:r>
          </w:p>
        </w:tc>
      </w:tr>
      <w:tr w:rsidR="00A743B2" w:rsidRPr="00A743B2" w14:paraId="2CE2FB34" w14:textId="77777777">
        <w:trPr>
          <w:cantSplit/>
        </w:trPr>
        <w:tc>
          <w:tcPr>
            <w:tcW w:w="783" w:type="dxa"/>
            <w:tcBorders>
              <w:top w:val="single" w:sz="8" w:space="0" w:color="AEAEAE"/>
              <w:left w:val="nil"/>
              <w:bottom w:val="single" w:sz="8" w:space="0" w:color="152935"/>
              <w:right w:val="nil"/>
            </w:tcBorders>
            <w:shd w:val="clear" w:color="auto" w:fill="E0E0E0"/>
          </w:tcPr>
          <w:p w14:paraId="596A9E8E"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743B2">
              <w:rPr>
                <w:rFonts w:ascii="Arial" w:hAnsi="Arial" w:cs="Arial"/>
                <w:color w:val="264A60"/>
                <w:kern w:val="0"/>
                <w:sz w:val="18"/>
                <w:szCs w:val="18"/>
              </w:rPr>
              <w:t>FDE2</w:t>
            </w:r>
          </w:p>
        </w:tc>
        <w:tc>
          <w:tcPr>
            <w:tcW w:w="1029" w:type="dxa"/>
            <w:tcBorders>
              <w:top w:val="single" w:sz="8" w:space="0" w:color="AEAEAE"/>
              <w:left w:val="nil"/>
              <w:bottom w:val="single" w:sz="8" w:space="0" w:color="152935"/>
              <w:right w:val="single" w:sz="8" w:space="0" w:color="E0E0E0"/>
            </w:tcBorders>
            <w:shd w:val="clear" w:color="auto" w:fill="F9F9FB"/>
          </w:tcPr>
          <w:p w14:paraId="6A51A013"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.599</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876E7B8"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.532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4A4707B"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.595</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137C1B71"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.508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1B358217"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.579</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ECC5D22"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311DC4B5"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.559</w:t>
            </w:r>
          </w:p>
        </w:tc>
        <w:tc>
          <w:tcPr>
            <w:tcW w:w="1029" w:type="dxa"/>
            <w:tcBorders>
              <w:top w:val="single" w:sz="8" w:space="0" w:color="AEAEAE"/>
              <w:left w:val="single" w:sz="8" w:space="0" w:color="E0E0E0"/>
              <w:bottom w:val="single" w:sz="8" w:space="0" w:color="152935"/>
              <w:right w:val="nil"/>
            </w:tcBorders>
            <w:shd w:val="clear" w:color="auto" w:fill="F9F9FB"/>
          </w:tcPr>
          <w:p w14:paraId="5E102832" w14:textId="77777777" w:rsidR="00A743B2" w:rsidRPr="00A743B2" w:rsidRDefault="00A743B2"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A743B2">
              <w:rPr>
                <w:rFonts w:ascii="Arial" w:hAnsi="Arial" w:cs="Arial"/>
                <w:color w:val="010205"/>
                <w:kern w:val="0"/>
                <w:sz w:val="18"/>
                <w:szCs w:val="18"/>
              </w:rPr>
              <w:t>1.000</w:t>
            </w:r>
          </w:p>
        </w:tc>
      </w:tr>
    </w:tbl>
    <w:p w14:paraId="1ACBC918" w14:textId="77777777" w:rsidR="00A743B2" w:rsidRPr="00A743B2" w:rsidRDefault="00A743B2"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787851D7" w14:textId="77777777" w:rsidR="009C38FD" w:rsidRPr="009C38FD" w:rsidRDefault="009C38FD" w:rsidP="009C38FD">
      <w:pPr>
        <w:autoSpaceDE w:val="0"/>
        <w:autoSpaceDN w:val="0"/>
        <w:bidi w:val="0"/>
        <w:adjustRightInd w:val="0"/>
        <w:spacing w:after="0" w:line="400" w:lineRule="atLeast"/>
        <w:rPr>
          <w:rFonts w:ascii="Times New Roman" w:hAnsi="Times New Roman" w:cs="Times New Roman"/>
          <w:kern w:val="0"/>
          <w:sz w:val="24"/>
          <w:szCs w:val="24"/>
        </w:rPr>
      </w:pPr>
    </w:p>
    <w:p w14:paraId="59D3BE75" w14:textId="77777777" w:rsidR="002036F0" w:rsidRPr="002036F0" w:rsidRDefault="002036F0" w:rsidP="002036F0">
      <w:pPr>
        <w:bidi w:val="0"/>
        <w:rPr>
          <w:rFonts w:asciiTheme="majorBidi" w:hAnsiTheme="majorBidi" w:cstheme="majorBidi"/>
          <w:b/>
          <w:bCs/>
          <w:sz w:val="32"/>
          <w:szCs w:val="32"/>
        </w:rPr>
      </w:pPr>
      <w:r w:rsidRPr="002036F0">
        <w:rPr>
          <w:rFonts w:asciiTheme="majorBidi" w:hAnsiTheme="majorBidi" w:cstheme="majorBidi"/>
          <w:b/>
          <w:bCs/>
          <w:sz w:val="32"/>
          <w:szCs w:val="32"/>
        </w:rPr>
        <w:t>The Second Variable Risk management effectiveness:</w:t>
      </w:r>
    </w:p>
    <w:p w14:paraId="5C3573E5" w14:textId="09AC0631" w:rsidR="00EC6407" w:rsidRDefault="00EC6407" w:rsidP="00EC6407">
      <w:pPr>
        <w:bidi w:val="0"/>
        <w:spacing w:line="360" w:lineRule="auto"/>
        <w:rPr>
          <w:rFonts w:asciiTheme="majorBidi" w:hAnsiTheme="majorBidi" w:cstheme="majorBidi"/>
          <w:b/>
          <w:bCs/>
          <w:sz w:val="24"/>
          <w:szCs w:val="24"/>
          <w:lang w:bidi="ar-EG"/>
        </w:rPr>
      </w:pPr>
    </w:p>
    <w:p w14:paraId="38509C0B"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bl>
      <w:tblPr>
        <w:tblW w:w="6024" w:type="dxa"/>
        <w:tblLayout w:type="fixed"/>
        <w:tblCellMar>
          <w:left w:w="0" w:type="dxa"/>
          <w:right w:w="0" w:type="dxa"/>
        </w:tblCellMar>
        <w:tblLook w:val="0000" w:firstRow="0" w:lastRow="0" w:firstColumn="0" w:lastColumn="0" w:noHBand="0" w:noVBand="0"/>
      </w:tblPr>
      <w:tblGrid>
        <w:gridCol w:w="873"/>
        <w:gridCol w:w="1106"/>
        <w:gridCol w:w="1552"/>
        <w:gridCol w:w="1271"/>
        <w:gridCol w:w="1222"/>
      </w:tblGrid>
      <w:tr w:rsidR="002036F0" w:rsidRPr="002036F0" w14:paraId="34292945" w14:textId="77777777">
        <w:trPr>
          <w:cantSplit/>
        </w:trPr>
        <w:tc>
          <w:tcPr>
            <w:tcW w:w="6021" w:type="dxa"/>
            <w:gridSpan w:val="5"/>
            <w:tcBorders>
              <w:top w:val="nil"/>
              <w:left w:val="nil"/>
              <w:bottom w:val="nil"/>
              <w:right w:val="nil"/>
            </w:tcBorders>
            <w:shd w:val="clear" w:color="auto" w:fill="FFFFFF"/>
            <w:vAlign w:val="center"/>
          </w:tcPr>
          <w:p w14:paraId="077F27D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Descriptive Statistics</w:t>
            </w:r>
          </w:p>
        </w:tc>
      </w:tr>
      <w:tr w:rsidR="002036F0" w:rsidRPr="002036F0" w14:paraId="5CA7116C" w14:textId="77777777">
        <w:trPr>
          <w:cantSplit/>
        </w:trPr>
        <w:tc>
          <w:tcPr>
            <w:tcW w:w="874" w:type="dxa"/>
            <w:tcBorders>
              <w:top w:val="nil"/>
              <w:left w:val="nil"/>
              <w:bottom w:val="single" w:sz="8" w:space="0" w:color="152935"/>
              <w:right w:val="nil"/>
            </w:tcBorders>
            <w:shd w:val="clear" w:color="auto" w:fill="FFFFFF"/>
            <w:vAlign w:val="bottom"/>
          </w:tcPr>
          <w:p w14:paraId="2A2109B2"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05" w:type="dxa"/>
            <w:tcBorders>
              <w:top w:val="nil"/>
              <w:left w:val="nil"/>
              <w:bottom w:val="single" w:sz="8" w:space="0" w:color="152935"/>
              <w:right w:val="single" w:sz="8" w:space="0" w:color="E0E0E0"/>
            </w:tcBorders>
            <w:shd w:val="clear" w:color="auto" w:fill="FFFFFF"/>
            <w:vAlign w:val="bottom"/>
          </w:tcPr>
          <w:p w14:paraId="507DAC0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Mean</w:t>
            </w:r>
          </w:p>
        </w:tc>
        <w:tc>
          <w:tcPr>
            <w:tcW w:w="1551" w:type="dxa"/>
            <w:tcBorders>
              <w:top w:val="nil"/>
              <w:left w:val="single" w:sz="8" w:space="0" w:color="E0E0E0"/>
              <w:bottom w:val="single" w:sz="8" w:space="0" w:color="152935"/>
              <w:right w:val="single" w:sz="8" w:space="0" w:color="E0E0E0"/>
            </w:tcBorders>
            <w:shd w:val="clear" w:color="auto" w:fill="FFFFFF"/>
            <w:vAlign w:val="bottom"/>
          </w:tcPr>
          <w:p w14:paraId="003D9BD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Std. Deviation</w:t>
            </w:r>
          </w:p>
        </w:tc>
        <w:tc>
          <w:tcPr>
            <w:tcW w:w="1270" w:type="dxa"/>
            <w:tcBorders>
              <w:top w:val="nil"/>
              <w:left w:val="single" w:sz="8" w:space="0" w:color="E0E0E0"/>
              <w:bottom w:val="single" w:sz="8" w:space="0" w:color="152935"/>
              <w:right w:val="single" w:sz="8" w:space="0" w:color="E0E0E0"/>
            </w:tcBorders>
            <w:shd w:val="clear" w:color="auto" w:fill="FFFFFF"/>
            <w:vAlign w:val="bottom"/>
          </w:tcPr>
          <w:p w14:paraId="5690D81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Analysis N</w:t>
            </w:r>
          </w:p>
        </w:tc>
        <w:tc>
          <w:tcPr>
            <w:tcW w:w="1221" w:type="dxa"/>
            <w:tcBorders>
              <w:top w:val="nil"/>
              <w:left w:val="single" w:sz="8" w:space="0" w:color="E0E0E0"/>
              <w:bottom w:val="single" w:sz="8" w:space="0" w:color="152935"/>
              <w:right w:val="nil"/>
            </w:tcBorders>
            <w:shd w:val="clear" w:color="auto" w:fill="FFFFFF"/>
            <w:vAlign w:val="bottom"/>
          </w:tcPr>
          <w:p w14:paraId="0DBE67F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Missing N</w:t>
            </w:r>
          </w:p>
        </w:tc>
      </w:tr>
      <w:tr w:rsidR="002036F0" w:rsidRPr="002036F0" w14:paraId="535163D3" w14:textId="77777777">
        <w:trPr>
          <w:cantSplit/>
        </w:trPr>
        <w:tc>
          <w:tcPr>
            <w:tcW w:w="874" w:type="dxa"/>
            <w:tcBorders>
              <w:top w:val="single" w:sz="8" w:space="0" w:color="152935"/>
              <w:left w:val="nil"/>
              <w:bottom w:val="single" w:sz="8" w:space="0" w:color="AEAEAE"/>
              <w:right w:val="nil"/>
            </w:tcBorders>
            <w:shd w:val="clear" w:color="auto" w:fill="E0E0E0"/>
          </w:tcPr>
          <w:p w14:paraId="105439E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REO1</w:t>
            </w:r>
          </w:p>
        </w:tc>
        <w:tc>
          <w:tcPr>
            <w:tcW w:w="1105" w:type="dxa"/>
            <w:tcBorders>
              <w:top w:val="single" w:sz="8" w:space="0" w:color="152935"/>
              <w:left w:val="nil"/>
              <w:bottom w:val="single" w:sz="8" w:space="0" w:color="AEAEAE"/>
              <w:right w:val="single" w:sz="8" w:space="0" w:color="E0E0E0"/>
            </w:tcBorders>
            <w:shd w:val="clear" w:color="auto" w:fill="F9F9FB"/>
          </w:tcPr>
          <w:p w14:paraId="0A3DE1F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3.24</w:t>
            </w:r>
          </w:p>
        </w:tc>
        <w:tc>
          <w:tcPr>
            <w:tcW w:w="1551" w:type="dxa"/>
            <w:tcBorders>
              <w:top w:val="single" w:sz="8" w:space="0" w:color="152935"/>
              <w:left w:val="single" w:sz="8" w:space="0" w:color="E0E0E0"/>
              <w:bottom w:val="single" w:sz="8" w:space="0" w:color="AEAEAE"/>
              <w:right w:val="single" w:sz="8" w:space="0" w:color="E0E0E0"/>
            </w:tcBorders>
            <w:shd w:val="clear" w:color="auto" w:fill="F9F9FB"/>
          </w:tcPr>
          <w:p w14:paraId="0313213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.949</w:t>
            </w:r>
          </w:p>
        </w:tc>
        <w:tc>
          <w:tcPr>
            <w:tcW w:w="1270" w:type="dxa"/>
            <w:tcBorders>
              <w:top w:val="single" w:sz="8" w:space="0" w:color="152935"/>
              <w:left w:val="single" w:sz="8" w:space="0" w:color="E0E0E0"/>
              <w:bottom w:val="single" w:sz="8" w:space="0" w:color="AEAEAE"/>
              <w:right w:val="single" w:sz="8" w:space="0" w:color="E0E0E0"/>
            </w:tcBorders>
            <w:shd w:val="clear" w:color="auto" w:fill="F9F9FB"/>
          </w:tcPr>
          <w:p w14:paraId="0FEE1C5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152935"/>
              <w:left w:val="single" w:sz="8" w:space="0" w:color="E0E0E0"/>
              <w:bottom w:val="single" w:sz="8" w:space="0" w:color="AEAEAE"/>
              <w:right w:val="nil"/>
            </w:tcBorders>
            <w:shd w:val="clear" w:color="auto" w:fill="F9F9FB"/>
          </w:tcPr>
          <w:p w14:paraId="3CC1010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126449FF" w14:textId="77777777">
        <w:trPr>
          <w:cantSplit/>
        </w:trPr>
        <w:tc>
          <w:tcPr>
            <w:tcW w:w="874" w:type="dxa"/>
            <w:tcBorders>
              <w:top w:val="single" w:sz="8" w:space="0" w:color="AEAEAE"/>
              <w:left w:val="nil"/>
              <w:bottom w:val="single" w:sz="8" w:space="0" w:color="AEAEAE"/>
              <w:right w:val="nil"/>
            </w:tcBorders>
            <w:shd w:val="clear" w:color="auto" w:fill="E0E0E0"/>
          </w:tcPr>
          <w:p w14:paraId="746F804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REO2</w:t>
            </w:r>
          </w:p>
        </w:tc>
        <w:tc>
          <w:tcPr>
            <w:tcW w:w="1105" w:type="dxa"/>
            <w:tcBorders>
              <w:top w:val="single" w:sz="8" w:space="0" w:color="AEAEAE"/>
              <w:left w:val="nil"/>
              <w:bottom w:val="single" w:sz="8" w:space="0" w:color="AEAEAE"/>
              <w:right w:val="single" w:sz="8" w:space="0" w:color="E0E0E0"/>
            </w:tcBorders>
            <w:shd w:val="clear" w:color="auto" w:fill="F9F9FB"/>
          </w:tcPr>
          <w:p w14:paraId="7498E97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3.59</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2941C47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1.026</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5B1AC64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2D362CE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5A00E429" w14:textId="77777777">
        <w:trPr>
          <w:cantSplit/>
        </w:trPr>
        <w:tc>
          <w:tcPr>
            <w:tcW w:w="874" w:type="dxa"/>
            <w:tcBorders>
              <w:top w:val="single" w:sz="8" w:space="0" w:color="AEAEAE"/>
              <w:left w:val="nil"/>
              <w:bottom w:val="single" w:sz="8" w:space="0" w:color="AEAEAE"/>
              <w:right w:val="nil"/>
            </w:tcBorders>
            <w:shd w:val="clear" w:color="auto" w:fill="E0E0E0"/>
          </w:tcPr>
          <w:p w14:paraId="2C776D1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RCO1</w:t>
            </w:r>
          </w:p>
        </w:tc>
        <w:tc>
          <w:tcPr>
            <w:tcW w:w="1105" w:type="dxa"/>
            <w:tcBorders>
              <w:top w:val="single" w:sz="8" w:space="0" w:color="AEAEAE"/>
              <w:left w:val="nil"/>
              <w:bottom w:val="single" w:sz="8" w:space="0" w:color="AEAEAE"/>
              <w:right w:val="single" w:sz="8" w:space="0" w:color="E0E0E0"/>
            </w:tcBorders>
            <w:shd w:val="clear" w:color="auto" w:fill="F9F9FB"/>
          </w:tcPr>
          <w:p w14:paraId="7CA0E0B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3.31</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42D9089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1.061</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1B2B99D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72B9B92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50F6F47A" w14:textId="77777777">
        <w:trPr>
          <w:cantSplit/>
        </w:trPr>
        <w:tc>
          <w:tcPr>
            <w:tcW w:w="874" w:type="dxa"/>
            <w:tcBorders>
              <w:top w:val="single" w:sz="8" w:space="0" w:color="AEAEAE"/>
              <w:left w:val="nil"/>
              <w:bottom w:val="single" w:sz="8" w:space="0" w:color="AEAEAE"/>
              <w:right w:val="nil"/>
            </w:tcBorders>
            <w:shd w:val="clear" w:color="auto" w:fill="E0E0E0"/>
          </w:tcPr>
          <w:p w14:paraId="6F3DCE6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RCO2</w:t>
            </w:r>
          </w:p>
        </w:tc>
        <w:tc>
          <w:tcPr>
            <w:tcW w:w="1105" w:type="dxa"/>
            <w:tcBorders>
              <w:top w:val="single" w:sz="8" w:space="0" w:color="AEAEAE"/>
              <w:left w:val="nil"/>
              <w:bottom w:val="single" w:sz="8" w:space="0" w:color="AEAEAE"/>
              <w:right w:val="single" w:sz="8" w:space="0" w:color="E0E0E0"/>
            </w:tcBorders>
            <w:shd w:val="clear" w:color="auto" w:fill="F9F9FB"/>
          </w:tcPr>
          <w:p w14:paraId="31238F7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3.41</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3C43D0D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.949</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10AF0D8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26A632C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3167901F" w14:textId="77777777">
        <w:trPr>
          <w:cantSplit/>
        </w:trPr>
        <w:tc>
          <w:tcPr>
            <w:tcW w:w="874" w:type="dxa"/>
            <w:tcBorders>
              <w:top w:val="single" w:sz="8" w:space="0" w:color="AEAEAE"/>
              <w:left w:val="nil"/>
              <w:bottom w:val="single" w:sz="8" w:space="0" w:color="AEAEAE"/>
              <w:right w:val="nil"/>
            </w:tcBorders>
            <w:shd w:val="clear" w:color="auto" w:fill="E0E0E0"/>
          </w:tcPr>
          <w:p w14:paraId="2D0DD3A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RLM1</w:t>
            </w:r>
          </w:p>
        </w:tc>
        <w:tc>
          <w:tcPr>
            <w:tcW w:w="1105" w:type="dxa"/>
            <w:tcBorders>
              <w:top w:val="single" w:sz="8" w:space="0" w:color="AEAEAE"/>
              <w:left w:val="nil"/>
              <w:bottom w:val="single" w:sz="8" w:space="0" w:color="AEAEAE"/>
              <w:right w:val="single" w:sz="8" w:space="0" w:color="E0E0E0"/>
            </w:tcBorders>
            <w:shd w:val="clear" w:color="auto" w:fill="F9F9FB"/>
          </w:tcPr>
          <w:p w14:paraId="067D4D4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3.19</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100ADC6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.992</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0BB586E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4E05039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16171F63" w14:textId="77777777">
        <w:trPr>
          <w:cantSplit/>
        </w:trPr>
        <w:tc>
          <w:tcPr>
            <w:tcW w:w="874" w:type="dxa"/>
            <w:tcBorders>
              <w:top w:val="single" w:sz="8" w:space="0" w:color="AEAEAE"/>
              <w:left w:val="nil"/>
              <w:bottom w:val="single" w:sz="8" w:space="0" w:color="AEAEAE"/>
              <w:right w:val="nil"/>
            </w:tcBorders>
            <w:shd w:val="clear" w:color="auto" w:fill="E0E0E0"/>
          </w:tcPr>
          <w:p w14:paraId="6D10CE0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RLM2</w:t>
            </w:r>
          </w:p>
        </w:tc>
        <w:tc>
          <w:tcPr>
            <w:tcW w:w="1105" w:type="dxa"/>
            <w:tcBorders>
              <w:top w:val="single" w:sz="8" w:space="0" w:color="AEAEAE"/>
              <w:left w:val="nil"/>
              <w:bottom w:val="single" w:sz="8" w:space="0" w:color="AEAEAE"/>
              <w:right w:val="single" w:sz="8" w:space="0" w:color="E0E0E0"/>
            </w:tcBorders>
            <w:shd w:val="clear" w:color="auto" w:fill="F9F9FB"/>
          </w:tcPr>
          <w:p w14:paraId="38BDABE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3.24</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5F798FD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.949</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558F344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71D511C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3D4C1DBE" w14:textId="77777777">
        <w:trPr>
          <w:cantSplit/>
        </w:trPr>
        <w:tc>
          <w:tcPr>
            <w:tcW w:w="874" w:type="dxa"/>
            <w:tcBorders>
              <w:top w:val="single" w:sz="8" w:space="0" w:color="AEAEAE"/>
              <w:left w:val="nil"/>
              <w:bottom w:val="single" w:sz="8" w:space="0" w:color="AEAEAE"/>
              <w:right w:val="nil"/>
            </w:tcBorders>
            <w:shd w:val="clear" w:color="auto" w:fill="E0E0E0"/>
          </w:tcPr>
          <w:p w14:paraId="101BDFA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ROT1</w:t>
            </w:r>
          </w:p>
        </w:tc>
        <w:tc>
          <w:tcPr>
            <w:tcW w:w="1105" w:type="dxa"/>
            <w:tcBorders>
              <w:top w:val="single" w:sz="8" w:space="0" w:color="AEAEAE"/>
              <w:left w:val="nil"/>
              <w:bottom w:val="single" w:sz="8" w:space="0" w:color="AEAEAE"/>
              <w:right w:val="single" w:sz="8" w:space="0" w:color="E0E0E0"/>
            </w:tcBorders>
            <w:shd w:val="clear" w:color="auto" w:fill="F9F9FB"/>
          </w:tcPr>
          <w:p w14:paraId="185EBB9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3.59</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0550629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1.026</w:t>
            </w:r>
          </w:p>
        </w:tc>
        <w:tc>
          <w:tcPr>
            <w:tcW w:w="1270" w:type="dxa"/>
            <w:tcBorders>
              <w:top w:val="single" w:sz="8" w:space="0" w:color="AEAEAE"/>
              <w:left w:val="single" w:sz="8" w:space="0" w:color="E0E0E0"/>
              <w:bottom w:val="single" w:sz="8" w:space="0" w:color="AEAEAE"/>
              <w:right w:val="single" w:sz="8" w:space="0" w:color="E0E0E0"/>
            </w:tcBorders>
            <w:shd w:val="clear" w:color="auto" w:fill="F9F9FB"/>
          </w:tcPr>
          <w:p w14:paraId="77E3B5B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AEAEAE"/>
              <w:right w:val="nil"/>
            </w:tcBorders>
            <w:shd w:val="clear" w:color="auto" w:fill="F9F9FB"/>
          </w:tcPr>
          <w:p w14:paraId="75BF0C6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r w:rsidR="002036F0" w:rsidRPr="002036F0" w14:paraId="748306F6" w14:textId="77777777">
        <w:trPr>
          <w:cantSplit/>
        </w:trPr>
        <w:tc>
          <w:tcPr>
            <w:tcW w:w="874" w:type="dxa"/>
            <w:tcBorders>
              <w:top w:val="single" w:sz="8" w:space="0" w:color="AEAEAE"/>
              <w:left w:val="nil"/>
              <w:bottom w:val="single" w:sz="8" w:space="0" w:color="152935"/>
              <w:right w:val="nil"/>
            </w:tcBorders>
            <w:shd w:val="clear" w:color="auto" w:fill="E0E0E0"/>
          </w:tcPr>
          <w:p w14:paraId="2C1DD6C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ROT2</w:t>
            </w:r>
          </w:p>
        </w:tc>
        <w:tc>
          <w:tcPr>
            <w:tcW w:w="1105" w:type="dxa"/>
            <w:tcBorders>
              <w:top w:val="single" w:sz="8" w:space="0" w:color="AEAEAE"/>
              <w:left w:val="nil"/>
              <w:bottom w:val="single" w:sz="8" w:space="0" w:color="152935"/>
              <w:right w:val="single" w:sz="8" w:space="0" w:color="E0E0E0"/>
            </w:tcBorders>
            <w:shd w:val="clear" w:color="auto" w:fill="F9F9FB"/>
          </w:tcPr>
          <w:p w14:paraId="0FC507C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3.31</w:t>
            </w:r>
          </w:p>
        </w:tc>
        <w:tc>
          <w:tcPr>
            <w:tcW w:w="1551" w:type="dxa"/>
            <w:tcBorders>
              <w:top w:val="single" w:sz="8" w:space="0" w:color="AEAEAE"/>
              <w:left w:val="single" w:sz="8" w:space="0" w:color="E0E0E0"/>
              <w:bottom w:val="single" w:sz="8" w:space="0" w:color="152935"/>
              <w:right w:val="single" w:sz="8" w:space="0" w:color="E0E0E0"/>
            </w:tcBorders>
            <w:shd w:val="clear" w:color="auto" w:fill="F9F9FB"/>
          </w:tcPr>
          <w:p w14:paraId="14C735D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1.061</w:t>
            </w:r>
          </w:p>
        </w:tc>
        <w:tc>
          <w:tcPr>
            <w:tcW w:w="1270" w:type="dxa"/>
            <w:tcBorders>
              <w:top w:val="single" w:sz="8" w:space="0" w:color="AEAEAE"/>
              <w:left w:val="single" w:sz="8" w:space="0" w:color="E0E0E0"/>
              <w:bottom w:val="single" w:sz="8" w:space="0" w:color="152935"/>
              <w:right w:val="single" w:sz="8" w:space="0" w:color="E0E0E0"/>
            </w:tcBorders>
            <w:shd w:val="clear" w:color="auto" w:fill="F9F9FB"/>
          </w:tcPr>
          <w:p w14:paraId="3968E12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196</w:t>
            </w:r>
          </w:p>
        </w:tc>
        <w:tc>
          <w:tcPr>
            <w:tcW w:w="1221" w:type="dxa"/>
            <w:tcBorders>
              <w:top w:val="single" w:sz="8" w:space="0" w:color="AEAEAE"/>
              <w:left w:val="single" w:sz="8" w:space="0" w:color="E0E0E0"/>
              <w:bottom w:val="single" w:sz="8" w:space="0" w:color="152935"/>
              <w:right w:val="nil"/>
            </w:tcBorders>
            <w:shd w:val="clear" w:color="auto" w:fill="F9F9FB"/>
          </w:tcPr>
          <w:p w14:paraId="0791840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w:t>
            </w:r>
          </w:p>
        </w:tc>
      </w:tr>
    </w:tbl>
    <w:p w14:paraId="61AF0653"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12927AD7"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1085"/>
        <w:gridCol w:w="718"/>
        <w:gridCol w:w="909"/>
        <w:gridCol w:w="909"/>
        <w:gridCol w:w="909"/>
        <w:gridCol w:w="909"/>
        <w:gridCol w:w="909"/>
        <w:gridCol w:w="909"/>
        <w:gridCol w:w="909"/>
        <w:gridCol w:w="905"/>
      </w:tblGrid>
      <w:tr w:rsidR="002036F0" w:rsidRPr="002036F0" w14:paraId="68610126" w14:textId="77777777" w:rsidTr="002036F0">
        <w:trPr>
          <w:cantSplit/>
        </w:trPr>
        <w:tc>
          <w:tcPr>
            <w:tcW w:w="5000" w:type="pct"/>
            <w:gridSpan w:val="10"/>
            <w:tcBorders>
              <w:top w:val="nil"/>
              <w:left w:val="nil"/>
              <w:bottom w:val="nil"/>
              <w:right w:val="nil"/>
            </w:tcBorders>
            <w:shd w:val="clear" w:color="auto" w:fill="FFFFFF"/>
            <w:vAlign w:val="center"/>
          </w:tcPr>
          <w:p w14:paraId="187F580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Correlation Matrix</w:t>
            </w:r>
            <w:r w:rsidRPr="002036F0">
              <w:rPr>
                <w:rFonts w:ascii="Arial" w:hAnsi="Arial" w:cs="Arial"/>
                <w:b/>
                <w:bCs/>
                <w:color w:val="010205"/>
                <w:kern w:val="0"/>
                <w:vertAlign w:val="superscript"/>
              </w:rPr>
              <w:t>a,b</w:t>
            </w:r>
          </w:p>
        </w:tc>
      </w:tr>
      <w:tr w:rsidR="002036F0" w:rsidRPr="002036F0" w14:paraId="1F56141C" w14:textId="77777777" w:rsidTr="002036F0">
        <w:trPr>
          <w:cantSplit/>
        </w:trPr>
        <w:tc>
          <w:tcPr>
            <w:tcW w:w="994" w:type="pct"/>
            <w:gridSpan w:val="2"/>
            <w:tcBorders>
              <w:top w:val="nil"/>
              <w:left w:val="nil"/>
              <w:bottom w:val="single" w:sz="8" w:space="0" w:color="152935"/>
              <w:right w:val="nil"/>
            </w:tcBorders>
            <w:shd w:val="clear" w:color="auto" w:fill="FFFFFF"/>
            <w:vAlign w:val="bottom"/>
          </w:tcPr>
          <w:p w14:paraId="6C75EB44"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01" w:type="pct"/>
            <w:tcBorders>
              <w:top w:val="nil"/>
              <w:left w:val="nil"/>
              <w:bottom w:val="single" w:sz="8" w:space="0" w:color="152935"/>
              <w:right w:val="single" w:sz="8" w:space="0" w:color="E0E0E0"/>
            </w:tcBorders>
            <w:shd w:val="clear" w:color="auto" w:fill="FFFFFF"/>
            <w:vAlign w:val="bottom"/>
          </w:tcPr>
          <w:p w14:paraId="02CF6F1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REO1</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6AE581A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REO2</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01AC85C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RCO1</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5295934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RCO2</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4F404FD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RLM1</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71446A7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RLM2</w:t>
            </w:r>
          </w:p>
        </w:tc>
        <w:tc>
          <w:tcPr>
            <w:tcW w:w="501" w:type="pct"/>
            <w:tcBorders>
              <w:top w:val="nil"/>
              <w:left w:val="single" w:sz="8" w:space="0" w:color="E0E0E0"/>
              <w:bottom w:val="single" w:sz="8" w:space="0" w:color="152935"/>
              <w:right w:val="single" w:sz="8" w:space="0" w:color="E0E0E0"/>
            </w:tcBorders>
            <w:shd w:val="clear" w:color="auto" w:fill="FFFFFF"/>
            <w:vAlign w:val="bottom"/>
          </w:tcPr>
          <w:p w14:paraId="68B50BE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ROT1</w:t>
            </w:r>
          </w:p>
        </w:tc>
        <w:tc>
          <w:tcPr>
            <w:tcW w:w="501" w:type="pct"/>
            <w:tcBorders>
              <w:top w:val="nil"/>
              <w:left w:val="single" w:sz="8" w:space="0" w:color="E0E0E0"/>
              <w:bottom w:val="single" w:sz="8" w:space="0" w:color="152935"/>
              <w:right w:val="nil"/>
            </w:tcBorders>
            <w:shd w:val="clear" w:color="auto" w:fill="FFFFFF"/>
            <w:vAlign w:val="bottom"/>
          </w:tcPr>
          <w:p w14:paraId="0496916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ROT2</w:t>
            </w:r>
          </w:p>
        </w:tc>
      </w:tr>
      <w:tr w:rsidR="002036F0" w:rsidRPr="002036F0" w14:paraId="66FF5C3B" w14:textId="77777777" w:rsidTr="002036F0">
        <w:trPr>
          <w:cantSplit/>
        </w:trPr>
        <w:tc>
          <w:tcPr>
            <w:tcW w:w="598" w:type="pct"/>
            <w:vMerge w:val="restart"/>
            <w:tcBorders>
              <w:top w:val="single" w:sz="8" w:space="0" w:color="152935"/>
              <w:left w:val="nil"/>
              <w:bottom w:val="single" w:sz="8" w:space="0" w:color="152935"/>
              <w:right w:val="nil"/>
            </w:tcBorders>
            <w:shd w:val="clear" w:color="auto" w:fill="E0E0E0"/>
          </w:tcPr>
          <w:p w14:paraId="444E464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Correlation</w:t>
            </w:r>
          </w:p>
        </w:tc>
        <w:tc>
          <w:tcPr>
            <w:tcW w:w="396" w:type="pct"/>
            <w:tcBorders>
              <w:top w:val="single" w:sz="8" w:space="0" w:color="152935"/>
              <w:left w:val="nil"/>
              <w:bottom w:val="single" w:sz="8" w:space="0" w:color="AEAEAE"/>
              <w:right w:val="nil"/>
            </w:tcBorders>
            <w:shd w:val="clear" w:color="auto" w:fill="E0E0E0"/>
          </w:tcPr>
          <w:p w14:paraId="09EAA59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REO1</w:t>
            </w:r>
          </w:p>
        </w:tc>
        <w:tc>
          <w:tcPr>
            <w:tcW w:w="501" w:type="pct"/>
            <w:tcBorders>
              <w:top w:val="single" w:sz="8" w:space="0" w:color="152935"/>
              <w:left w:val="nil"/>
              <w:bottom w:val="single" w:sz="8" w:space="0" w:color="AEAEAE"/>
              <w:right w:val="single" w:sz="8" w:space="0" w:color="E0E0E0"/>
            </w:tcBorders>
            <w:shd w:val="clear" w:color="auto" w:fill="F9F9FB"/>
          </w:tcPr>
          <w:p w14:paraId="09DED07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43EF694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52A7782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7DBA41F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.669</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6D80B47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7D97DAB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152935"/>
              <w:left w:val="single" w:sz="8" w:space="0" w:color="E0E0E0"/>
              <w:bottom w:val="single" w:sz="8" w:space="0" w:color="AEAEAE"/>
              <w:right w:val="single" w:sz="8" w:space="0" w:color="E0E0E0"/>
            </w:tcBorders>
            <w:shd w:val="clear" w:color="auto" w:fill="F9F9FB"/>
          </w:tcPr>
          <w:p w14:paraId="45AECC8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152935"/>
              <w:left w:val="single" w:sz="8" w:space="0" w:color="E0E0E0"/>
              <w:bottom w:val="single" w:sz="8" w:space="0" w:color="AEAEAE"/>
              <w:right w:val="nil"/>
            </w:tcBorders>
            <w:shd w:val="clear" w:color="auto" w:fill="F9F9FB"/>
          </w:tcPr>
          <w:p w14:paraId="5DE9A22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r>
      <w:tr w:rsidR="002036F0" w:rsidRPr="002036F0" w14:paraId="6516074F"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6D823300"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36EB729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REO2</w:t>
            </w:r>
          </w:p>
        </w:tc>
        <w:tc>
          <w:tcPr>
            <w:tcW w:w="501" w:type="pct"/>
            <w:tcBorders>
              <w:top w:val="single" w:sz="8" w:space="0" w:color="AEAEAE"/>
              <w:left w:val="nil"/>
              <w:bottom w:val="single" w:sz="8" w:space="0" w:color="AEAEAE"/>
              <w:right w:val="single" w:sz="8" w:space="0" w:color="E0E0E0"/>
            </w:tcBorders>
            <w:shd w:val="clear" w:color="auto" w:fill="F9F9FB"/>
          </w:tcPr>
          <w:p w14:paraId="01982B2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45BB58C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3F4957D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BBC4D2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.306</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1E83D1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.484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457C5B1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4EC07DD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nil"/>
            </w:tcBorders>
            <w:shd w:val="clear" w:color="auto" w:fill="F9F9FB"/>
          </w:tcPr>
          <w:p w14:paraId="49A8A02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r>
      <w:tr w:rsidR="002036F0" w:rsidRPr="002036F0" w14:paraId="2874E038"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1923528B"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7B22671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RCO1</w:t>
            </w:r>
          </w:p>
        </w:tc>
        <w:tc>
          <w:tcPr>
            <w:tcW w:w="501" w:type="pct"/>
            <w:tcBorders>
              <w:top w:val="single" w:sz="8" w:space="0" w:color="AEAEAE"/>
              <w:left w:val="nil"/>
              <w:bottom w:val="single" w:sz="8" w:space="0" w:color="AEAEAE"/>
              <w:right w:val="single" w:sz="8" w:space="0" w:color="E0E0E0"/>
            </w:tcBorders>
            <w:shd w:val="clear" w:color="auto" w:fill="F9F9FB"/>
          </w:tcPr>
          <w:p w14:paraId="71DA2AA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9A3638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6C2EB6B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72487E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.633</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2F7ED22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2F52151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AFEE54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AEAEAE"/>
              <w:right w:val="nil"/>
            </w:tcBorders>
            <w:shd w:val="clear" w:color="auto" w:fill="F9F9FB"/>
          </w:tcPr>
          <w:p w14:paraId="1FAF705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r>
      <w:tr w:rsidR="002036F0" w:rsidRPr="002036F0" w14:paraId="7431B588"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26CA836F"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422110E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RCO2</w:t>
            </w:r>
          </w:p>
        </w:tc>
        <w:tc>
          <w:tcPr>
            <w:tcW w:w="501" w:type="pct"/>
            <w:tcBorders>
              <w:top w:val="single" w:sz="8" w:space="0" w:color="AEAEAE"/>
              <w:left w:val="nil"/>
              <w:bottom w:val="single" w:sz="8" w:space="0" w:color="AEAEAE"/>
              <w:right w:val="single" w:sz="8" w:space="0" w:color="E0E0E0"/>
            </w:tcBorders>
            <w:shd w:val="clear" w:color="auto" w:fill="F9F9FB"/>
          </w:tcPr>
          <w:p w14:paraId="0992C7D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.669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F08322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.306</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878055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.633</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F719CE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149DB3B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.559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10382B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.669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EBA722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.306</w:t>
            </w:r>
          </w:p>
        </w:tc>
        <w:tc>
          <w:tcPr>
            <w:tcW w:w="501" w:type="pct"/>
            <w:tcBorders>
              <w:top w:val="single" w:sz="8" w:space="0" w:color="AEAEAE"/>
              <w:left w:val="single" w:sz="8" w:space="0" w:color="E0E0E0"/>
              <w:bottom w:val="single" w:sz="8" w:space="0" w:color="AEAEAE"/>
              <w:right w:val="nil"/>
            </w:tcBorders>
            <w:shd w:val="clear" w:color="auto" w:fill="F9F9FB"/>
          </w:tcPr>
          <w:p w14:paraId="51BA53E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.633</w:t>
            </w:r>
          </w:p>
        </w:tc>
      </w:tr>
      <w:tr w:rsidR="002036F0" w:rsidRPr="002036F0" w14:paraId="1D3B34CB"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320E22D6"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635B2C1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RLM1</w:t>
            </w:r>
          </w:p>
        </w:tc>
        <w:tc>
          <w:tcPr>
            <w:tcW w:w="501" w:type="pct"/>
            <w:tcBorders>
              <w:top w:val="single" w:sz="8" w:space="0" w:color="AEAEAE"/>
              <w:left w:val="nil"/>
              <w:bottom w:val="single" w:sz="8" w:space="0" w:color="AEAEAE"/>
              <w:right w:val="single" w:sz="8" w:space="0" w:color="E0E0E0"/>
            </w:tcBorders>
            <w:shd w:val="clear" w:color="auto" w:fill="F9F9FB"/>
          </w:tcPr>
          <w:p w14:paraId="3BB7E2C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18838D0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.484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9C67A9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1E5906E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.559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869EFC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31FAF4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219433C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.484</w:t>
            </w:r>
          </w:p>
        </w:tc>
        <w:tc>
          <w:tcPr>
            <w:tcW w:w="501" w:type="pct"/>
            <w:tcBorders>
              <w:top w:val="single" w:sz="8" w:space="0" w:color="AEAEAE"/>
              <w:left w:val="single" w:sz="8" w:space="0" w:color="E0E0E0"/>
              <w:bottom w:val="single" w:sz="8" w:space="0" w:color="AEAEAE"/>
              <w:right w:val="nil"/>
            </w:tcBorders>
            <w:shd w:val="clear" w:color="auto" w:fill="F9F9FB"/>
          </w:tcPr>
          <w:p w14:paraId="4D930BD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.500</w:t>
            </w:r>
          </w:p>
        </w:tc>
      </w:tr>
      <w:tr w:rsidR="002036F0" w:rsidRPr="002036F0" w14:paraId="114B566E"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03650DDE"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56D1A10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RLM2</w:t>
            </w:r>
          </w:p>
        </w:tc>
        <w:tc>
          <w:tcPr>
            <w:tcW w:w="501" w:type="pct"/>
            <w:tcBorders>
              <w:top w:val="single" w:sz="8" w:space="0" w:color="AEAEAE"/>
              <w:left w:val="nil"/>
              <w:bottom w:val="single" w:sz="8" w:space="0" w:color="AEAEAE"/>
              <w:right w:val="single" w:sz="8" w:space="0" w:color="E0E0E0"/>
            </w:tcBorders>
            <w:shd w:val="clear" w:color="auto" w:fill="F9F9FB"/>
          </w:tcPr>
          <w:p w14:paraId="431AE61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9FA508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12EF55A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2B4E99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.669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1711E9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1BB05D0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57EEC1C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nil"/>
            </w:tcBorders>
            <w:shd w:val="clear" w:color="auto" w:fill="F9F9FB"/>
          </w:tcPr>
          <w:p w14:paraId="7D8C7AA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r>
      <w:tr w:rsidR="002036F0" w:rsidRPr="002036F0" w14:paraId="3B5E8B60"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123F7F1F"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AEAEAE"/>
              <w:right w:val="nil"/>
            </w:tcBorders>
            <w:shd w:val="clear" w:color="auto" w:fill="E0E0E0"/>
          </w:tcPr>
          <w:p w14:paraId="28FC94D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ROT1</w:t>
            </w:r>
          </w:p>
        </w:tc>
        <w:tc>
          <w:tcPr>
            <w:tcW w:w="501" w:type="pct"/>
            <w:tcBorders>
              <w:top w:val="single" w:sz="8" w:space="0" w:color="AEAEAE"/>
              <w:left w:val="nil"/>
              <w:bottom w:val="single" w:sz="8" w:space="0" w:color="AEAEAE"/>
              <w:right w:val="single" w:sz="8" w:space="0" w:color="E0E0E0"/>
            </w:tcBorders>
            <w:shd w:val="clear" w:color="auto" w:fill="F9F9FB"/>
          </w:tcPr>
          <w:p w14:paraId="7CE6C80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3C93CEA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D6B423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66D8339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.306</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0F40DCA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.484</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465D217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.417</w:t>
            </w:r>
          </w:p>
        </w:tc>
        <w:tc>
          <w:tcPr>
            <w:tcW w:w="501" w:type="pct"/>
            <w:tcBorders>
              <w:top w:val="single" w:sz="8" w:space="0" w:color="AEAEAE"/>
              <w:left w:val="single" w:sz="8" w:space="0" w:color="E0E0E0"/>
              <w:bottom w:val="single" w:sz="8" w:space="0" w:color="AEAEAE"/>
              <w:right w:val="single" w:sz="8" w:space="0" w:color="E0E0E0"/>
            </w:tcBorders>
            <w:shd w:val="clear" w:color="auto" w:fill="F9F9FB"/>
          </w:tcPr>
          <w:p w14:paraId="7DD8F02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AEAEAE"/>
              <w:right w:val="nil"/>
            </w:tcBorders>
            <w:shd w:val="clear" w:color="auto" w:fill="F9F9FB"/>
          </w:tcPr>
          <w:p w14:paraId="0681C49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r>
      <w:tr w:rsidR="002036F0" w:rsidRPr="002036F0" w14:paraId="3A66966E" w14:textId="77777777" w:rsidTr="002036F0">
        <w:trPr>
          <w:cantSplit/>
        </w:trPr>
        <w:tc>
          <w:tcPr>
            <w:tcW w:w="598" w:type="pct"/>
            <w:vMerge/>
            <w:tcBorders>
              <w:top w:val="single" w:sz="8" w:space="0" w:color="152935"/>
              <w:left w:val="nil"/>
              <w:bottom w:val="single" w:sz="8" w:space="0" w:color="152935"/>
              <w:right w:val="nil"/>
            </w:tcBorders>
            <w:shd w:val="clear" w:color="auto" w:fill="E0E0E0"/>
          </w:tcPr>
          <w:p w14:paraId="3515AB28" w14:textId="77777777" w:rsidR="002036F0" w:rsidRPr="002036F0" w:rsidRDefault="002036F0" w:rsidP="002E6F27">
            <w:pPr>
              <w:autoSpaceDE w:val="0"/>
              <w:autoSpaceDN w:val="0"/>
              <w:bidi w:val="0"/>
              <w:adjustRightInd w:val="0"/>
              <w:spacing w:after="0" w:line="240" w:lineRule="auto"/>
              <w:jc w:val="center"/>
              <w:rPr>
                <w:rFonts w:ascii="Arial" w:hAnsi="Arial" w:cs="Arial"/>
                <w:color w:val="010205"/>
                <w:kern w:val="0"/>
                <w:sz w:val="18"/>
                <w:szCs w:val="18"/>
              </w:rPr>
            </w:pPr>
          </w:p>
        </w:tc>
        <w:tc>
          <w:tcPr>
            <w:tcW w:w="396" w:type="pct"/>
            <w:tcBorders>
              <w:top w:val="single" w:sz="8" w:space="0" w:color="AEAEAE"/>
              <w:left w:val="nil"/>
              <w:bottom w:val="single" w:sz="8" w:space="0" w:color="152935"/>
              <w:right w:val="nil"/>
            </w:tcBorders>
            <w:shd w:val="clear" w:color="auto" w:fill="E0E0E0"/>
          </w:tcPr>
          <w:p w14:paraId="1B53E9B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ROT2</w:t>
            </w:r>
          </w:p>
        </w:tc>
        <w:tc>
          <w:tcPr>
            <w:tcW w:w="501" w:type="pct"/>
            <w:tcBorders>
              <w:top w:val="single" w:sz="8" w:space="0" w:color="AEAEAE"/>
              <w:left w:val="nil"/>
              <w:bottom w:val="single" w:sz="8" w:space="0" w:color="152935"/>
              <w:right w:val="single" w:sz="8" w:space="0" w:color="E0E0E0"/>
            </w:tcBorders>
            <w:shd w:val="clear" w:color="auto" w:fill="F9F9FB"/>
          </w:tcPr>
          <w:p w14:paraId="7D3AA0B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4D34A15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771F43A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05723EF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.633</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0AE6950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.500</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4AEFD45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.527</w:t>
            </w:r>
          </w:p>
        </w:tc>
        <w:tc>
          <w:tcPr>
            <w:tcW w:w="501" w:type="pct"/>
            <w:tcBorders>
              <w:top w:val="single" w:sz="8" w:space="0" w:color="AEAEAE"/>
              <w:left w:val="single" w:sz="8" w:space="0" w:color="E0E0E0"/>
              <w:bottom w:val="single" w:sz="8" w:space="0" w:color="152935"/>
              <w:right w:val="single" w:sz="8" w:space="0" w:color="E0E0E0"/>
            </w:tcBorders>
            <w:shd w:val="clear" w:color="auto" w:fill="F9F9FB"/>
          </w:tcPr>
          <w:p w14:paraId="6DB2845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.299</w:t>
            </w:r>
          </w:p>
        </w:tc>
        <w:tc>
          <w:tcPr>
            <w:tcW w:w="501" w:type="pct"/>
            <w:tcBorders>
              <w:top w:val="single" w:sz="8" w:space="0" w:color="AEAEAE"/>
              <w:left w:val="single" w:sz="8" w:space="0" w:color="E0E0E0"/>
              <w:bottom w:val="single" w:sz="8" w:space="0" w:color="152935"/>
              <w:right w:val="nil"/>
            </w:tcBorders>
            <w:shd w:val="clear" w:color="auto" w:fill="F9F9FB"/>
          </w:tcPr>
          <w:p w14:paraId="748C034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r>
      <w:tr w:rsidR="002036F0" w:rsidRPr="002036F0" w14:paraId="5195A751" w14:textId="77777777" w:rsidTr="002036F0">
        <w:trPr>
          <w:cantSplit/>
        </w:trPr>
        <w:tc>
          <w:tcPr>
            <w:tcW w:w="5000" w:type="pct"/>
            <w:gridSpan w:val="10"/>
            <w:tcBorders>
              <w:top w:val="nil"/>
              <w:left w:val="nil"/>
              <w:bottom w:val="nil"/>
              <w:right w:val="nil"/>
            </w:tcBorders>
            <w:shd w:val="clear" w:color="auto" w:fill="FFFFFF"/>
          </w:tcPr>
          <w:p w14:paraId="0CA5D97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a. Determinant = .000</w:t>
            </w:r>
          </w:p>
        </w:tc>
      </w:tr>
      <w:tr w:rsidR="002036F0" w:rsidRPr="002036F0" w14:paraId="4B815604" w14:textId="77777777" w:rsidTr="002036F0">
        <w:trPr>
          <w:cantSplit/>
        </w:trPr>
        <w:tc>
          <w:tcPr>
            <w:tcW w:w="5000" w:type="pct"/>
            <w:gridSpan w:val="10"/>
            <w:tcBorders>
              <w:top w:val="nil"/>
              <w:left w:val="nil"/>
              <w:bottom w:val="nil"/>
              <w:right w:val="nil"/>
            </w:tcBorders>
            <w:shd w:val="clear" w:color="auto" w:fill="FFFFFF"/>
          </w:tcPr>
          <w:p w14:paraId="7540A18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b. This matrix is not positive definite.</w:t>
            </w:r>
          </w:p>
        </w:tc>
      </w:tr>
    </w:tbl>
    <w:p w14:paraId="3BCDA41B"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5B1D72AE"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3169" w:type="dxa"/>
        <w:tblLayout w:type="fixed"/>
        <w:tblCellMar>
          <w:left w:w="0" w:type="dxa"/>
          <w:right w:w="0" w:type="dxa"/>
        </w:tblCellMar>
        <w:tblLook w:val="0000" w:firstRow="0" w:lastRow="0" w:firstColumn="0" w:lastColumn="0" w:noHBand="0" w:noVBand="0"/>
      </w:tblPr>
      <w:tblGrid>
        <w:gridCol w:w="874"/>
        <w:gridCol w:w="1106"/>
        <w:gridCol w:w="1189"/>
      </w:tblGrid>
      <w:tr w:rsidR="002036F0" w:rsidRPr="002036F0" w14:paraId="140E2662" w14:textId="77777777">
        <w:trPr>
          <w:cantSplit/>
        </w:trPr>
        <w:tc>
          <w:tcPr>
            <w:tcW w:w="3167" w:type="dxa"/>
            <w:gridSpan w:val="3"/>
            <w:tcBorders>
              <w:top w:val="nil"/>
              <w:left w:val="nil"/>
              <w:bottom w:val="nil"/>
              <w:right w:val="nil"/>
            </w:tcBorders>
            <w:shd w:val="clear" w:color="auto" w:fill="FFFFFF"/>
            <w:vAlign w:val="center"/>
          </w:tcPr>
          <w:p w14:paraId="13C5530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Communalities</w:t>
            </w:r>
          </w:p>
        </w:tc>
      </w:tr>
      <w:tr w:rsidR="002036F0" w:rsidRPr="002036F0" w14:paraId="4944BAD5" w14:textId="77777777">
        <w:trPr>
          <w:cantSplit/>
        </w:trPr>
        <w:tc>
          <w:tcPr>
            <w:tcW w:w="874" w:type="dxa"/>
            <w:tcBorders>
              <w:top w:val="nil"/>
              <w:left w:val="nil"/>
              <w:bottom w:val="single" w:sz="8" w:space="0" w:color="152935"/>
              <w:right w:val="nil"/>
            </w:tcBorders>
            <w:shd w:val="clear" w:color="auto" w:fill="FFFFFF"/>
            <w:vAlign w:val="bottom"/>
          </w:tcPr>
          <w:p w14:paraId="7DE328FB"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05" w:type="dxa"/>
            <w:tcBorders>
              <w:top w:val="nil"/>
              <w:left w:val="nil"/>
              <w:bottom w:val="single" w:sz="8" w:space="0" w:color="152935"/>
              <w:right w:val="single" w:sz="8" w:space="0" w:color="E0E0E0"/>
            </w:tcBorders>
            <w:shd w:val="clear" w:color="auto" w:fill="FFFFFF"/>
            <w:vAlign w:val="bottom"/>
          </w:tcPr>
          <w:p w14:paraId="0EA82BE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Initial</w:t>
            </w:r>
          </w:p>
        </w:tc>
        <w:tc>
          <w:tcPr>
            <w:tcW w:w="1188" w:type="dxa"/>
            <w:tcBorders>
              <w:top w:val="nil"/>
              <w:left w:val="single" w:sz="8" w:space="0" w:color="E0E0E0"/>
              <w:bottom w:val="single" w:sz="8" w:space="0" w:color="152935"/>
              <w:right w:val="nil"/>
            </w:tcBorders>
            <w:shd w:val="clear" w:color="auto" w:fill="FFFFFF"/>
            <w:vAlign w:val="bottom"/>
          </w:tcPr>
          <w:p w14:paraId="64A92D8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Extraction</w:t>
            </w:r>
          </w:p>
        </w:tc>
      </w:tr>
      <w:tr w:rsidR="002036F0" w:rsidRPr="002036F0" w14:paraId="6DE7F229" w14:textId="77777777">
        <w:trPr>
          <w:cantSplit/>
        </w:trPr>
        <w:tc>
          <w:tcPr>
            <w:tcW w:w="874" w:type="dxa"/>
            <w:tcBorders>
              <w:top w:val="single" w:sz="8" w:space="0" w:color="152935"/>
              <w:left w:val="nil"/>
              <w:bottom w:val="single" w:sz="8" w:space="0" w:color="AEAEAE"/>
              <w:right w:val="nil"/>
            </w:tcBorders>
            <w:shd w:val="clear" w:color="auto" w:fill="E0E0E0"/>
          </w:tcPr>
          <w:p w14:paraId="6CC063F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REO1</w:t>
            </w:r>
          </w:p>
        </w:tc>
        <w:tc>
          <w:tcPr>
            <w:tcW w:w="1105" w:type="dxa"/>
            <w:tcBorders>
              <w:top w:val="single" w:sz="8" w:space="0" w:color="152935"/>
              <w:left w:val="nil"/>
              <w:bottom w:val="single" w:sz="8" w:space="0" w:color="AEAEAE"/>
              <w:right w:val="single" w:sz="8" w:space="0" w:color="E0E0E0"/>
            </w:tcBorders>
            <w:shd w:val="clear" w:color="auto" w:fill="F9F9FB"/>
          </w:tcPr>
          <w:p w14:paraId="2BC77B0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152935"/>
              <w:left w:val="single" w:sz="8" w:space="0" w:color="E0E0E0"/>
              <w:bottom w:val="single" w:sz="8" w:space="0" w:color="AEAEAE"/>
              <w:right w:val="nil"/>
            </w:tcBorders>
            <w:shd w:val="clear" w:color="auto" w:fill="F9F9FB"/>
          </w:tcPr>
          <w:p w14:paraId="1EC7B14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.985</w:t>
            </w:r>
          </w:p>
        </w:tc>
      </w:tr>
      <w:tr w:rsidR="002036F0" w:rsidRPr="002036F0" w14:paraId="7B53BBAF" w14:textId="77777777">
        <w:trPr>
          <w:cantSplit/>
        </w:trPr>
        <w:tc>
          <w:tcPr>
            <w:tcW w:w="874" w:type="dxa"/>
            <w:tcBorders>
              <w:top w:val="single" w:sz="8" w:space="0" w:color="AEAEAE"/>
              <w:left w:val="nil"/>
              <w:bottom w:val="single" w:sz="8" w:space="0" w:color="AEAEAE"/>
              <w:right w:val="nil"/>
            </w:tcBorders>
            <w:shd w:val="clear" w:color="auto" w:fill="E0E0E0"/>
          </w:tcPr>
          <w:p w14:paraId="7642102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REO2</w:t>
            </w:r>
          </w:p>
        </w:tc>
        <w:tc>
          <w:tcPr>
            <w:tcW w:w="1105" w:type="dxa"/>
            <w:tcBorders>
              <w:top w:val="single" w:sz="8" w:space="0" w:color="AEAEAE"/>
              <w:left w:val="nil"/>
              <w:bottom w:val="single" w:sz="8" w:space="0" w:color="AEAEAE"/>
              <w:right w:val="single" w:sz="8" w:space="0" w:color="E0E0E0"/>
            </w:tcBorders>
            <w:shd w:val="clear" w:color="auto" w:fill="F9F9FB"/>
          </w:tcPr>
          <w:p w14:paraId="5F72420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3D5B86E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.998</w:t>
            </w:r>
          </w:p>
        </w:tc>
      </w:tr>
      <w:tr w:rsidR="002036F0" w:rsidRPr="002036F0" w14:paraId="4A21037B" w14:textId="77777777">
        <w:trPr>
          <w:cantSplit/>
        </w:trPr>
        <w:tc>
          <w:tcPr>
            <w:tcW w:w="874" w:type="dxa"/>
            <w:tcBorders>
              <w:top w:val="single" w:sz="8" w:space="0" w:color="AEAEAE"/>
              <w:left w:val="nil"/>
              <w:bottom w:val="single" w:sz="8" w:space="0" w:color="AEAEAE"/>
              <w:right w:val="nil"/>
            </w:tcBorders>
            <w:shd w:val="clear" w:color="auto" w:fill="E0E0E0"/>
          </w:tcPr>
          <w:p w14:paraId="5654325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RCO1</w:t>
            </w:r>
          </w:p>
        </w:tc>
        <w:tc>
          <w:tcPr>
            <w:tcW w:w="1105" w:type="dxa"/>
            <w:tcBorders>
              <w:top w:val="single" w:sz="8" w:space="0" w:color="AEAEAE"/>
              <w:left w:val="nil"/>
              <w:bottom w:val="single" w:sz="8" w:space="0" w:color="AEAEAE"/>
              <w:right w:val="single" w:sz="8" w:space="0" w:color="E0E0E0"/>
            </w:tcBorders>
            <w:shd w:val="clear" w:color="auto" w:fill="F9F9FB"/>
          </w:tcPr>
          <w:p w14:paraId="771D1B7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32B44DF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.991</w:t>
            </w:r>
          </w:p>
        </w:tc>
      </w:tr>
      <w:tr w:rsidR="002036F0" w:rsidRPr="002036F0" w14:paraId="3A1CB3BA" w14:textId="77777777">
        <w:trPr>
          <w:cantSplit/>
        </w:trPr>
        <w:tc>
          <w:tcPr>
            <w:tcW w:w="874" w:type="dxa"/>
            <w:tcBorders>
              <w:top w:val="single" w:sz="8" w:space="0" w:color="AEAEAE"/>
              <w:left w:val="nil"/>
              <w:bottom w:val="single" w:sz="8" w:space="0" w:color="AEAEAE"/>
              <w:right w:val="nil"/>
            </w:tcBorders>
            <w:shd w:val="clear" w:color="auto" w:fill="E0E0E0"/>
          </w:tcPr>
          <w:p w14:paraId="6F8F695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RCO2</w:t>
            </w:r>
          </w:p>
        </w:tc>
        <w:tc>
          <w:tcPr>
            <w:tcW w:w="1105" w:type="dxa"/>
            <w:tcBorders>
              <w:top w:val="single" w:sz="8" w:space="0" w:color="AEAEAE"/>
              <w:left w:val="nil"/>
              <w:bottom w:val="single" w:sz="8" w:space="0" w:color="AEAEAE"/>
              <w:right w:val="single" w:sz="8" w:space="0" w:color="E0E0E0"/>
            </w:tcBorders>
            <w:shd w:val="clear" w:color="auto" w:fill="F9F9FB"/>
          </w:tcPr>
          <w:p w14:paraId="6BC8F86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17EEAAD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.719</w:t>
            </w:r>
          </w:p>
        </w:tc>
      </w:tr>
      <w:tr w:rsidR="002036F0" w:rsidRPr="002036F0" w14:paraId="303CD479" w14:textId="77777777">
        <w:trPr>
          <w:cantSplit/>
        </w:trPr>
        <w:tc>
          <w:tcPr>
            <w:tcW w:w="874" w:type="dxa"/>
            <w:tcBorders>
              <w:top w:val="single" w:sz="8" w:space="0" w:color="AEAEAE"/>
              <w:left w:val="nil"/>
              <w:bottom w:val="single" w:sz="8" w:space="0" w:color="AEAEAE"/>
              <w:right w:val="nil"/>
            </w:tcBorders>
            <w:shd w:val="clear" w:color="auto" w:fill="E0E0E0"/>
          </w:tcPr>
          <w:p w14:paraId="7A27B43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RLM1</w:t>
            </w:r>
          </w:p>
        </w:tc>
        <w:tc>
          <w:tcPr>
            <w:tcW w:w="1105" w:type="dxa"/>
            <w:tcBorders>
              <w:top w:val="single" w:sz="8" w:space="0" w:color="AEAEAE"/>
              <w:left w:val="nil"/>
              <w:bottom w:val="single" w:sz="8" w:space="0" w:color="AEAEAE"/>
              <w:right w:val="single" w:sz="8" w:space="0" w:color="E0E0E0"/>
            </w:tcBorders>
            <w:shd w:val="clear" w:color="auto" w:fill="F9F9FB"/>
          </w:tcPr>
          <w:p w14:paraId="6038C2E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7C99B83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.977</w:t>
            </w:r>
          </w:p>
        </w:tc>
      </w:tr>
      <w:tr w:rsidR="002036F0" w:rsidRPr="002036F0" w14:paraId="2D1725DE" w14:textId="77777777">
        <w:trPr>
          <w:cantSplit/>
        </w:trPr>
        <w:tc>
          <w:tcPr>
            <w:tcW w:w="874" w:type="dxa"/>
            <w:tcBorders>
              <w:top w:val="single" w:sz="8" w:space="0" w:color="AEAEAE"/>
              <w:left w:val="nil"/>
              <w:bottom w:val="single" w:sz="8" w:space="0" w:color="AEAEAE"/>
              <w:right w:val="nil"/>
            </w:tcBorders>
            <w:shd w:val="clear" w:color="auto" w:fill="E0E0E0"/>
          </w:tcPr>
          <w:p w14:paraId="28AFEC5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RLM2</w:t>
            </w:r>
          </w:p>
        </w:tc>
        <w:tc>
          <w:tcPr>
            <w:tcW w:w="1105" w:type="dxa"/>
            <w:tcBorders>
              <w:top w:val="single" w:sz="8" w:space="0" w:color="AEAEAE"/>
              <w:left w:val="nil"/>
              <w:bottom w:val="single" w:sz="8" w:space="0" w:color="AEAEAE"/>
              <w:right w:val="single" w:sz="8" w:space="0" w:color="E0E0E0"/>
            </w:tcBorders>
            <w:shd w:val="clear" w:color="auto" w:fill="F9F9FB"/>
          </w:tcPr>
          <w:p w14:paraId="0009A86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0D8E747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.985</w:t>
            </w:r>
          </w:p>
        </w:tc>
      </w:tr>
      <w:tr w:rsidR="002036F0" w:rsidRPr="002036F0" w14:paraId="33E9DB90" w14:textId="77777777">
        <w:trPr>
          <w:cantSplit/>
        </w:trPr>
        <w:tc>
          <w:tcPr>
            <w:tcW w:w="874" w:type="dxa"/>
            <w:tcBorders>
              <w:top w:val="single" w:sz="8" w:space="0" w:color="AEAEAE"/>
              <w:left w:val="nil"/>
              <w:bottom w:val="single" w:sz="8" w:space="0" w:color="AEAEAE"/>
              <w:right w:val="nil"/>
            </w:tcBorders>
            <w:shd w:val="clear" w:color="auto" w:fill="E0E0E0"/>
          </w:tcPr>
          <w:p w14:paraId="6C1489F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ROT1</w:t>
            </w:r>
          </w:p>
        </w:tc>
        <w:tc>
          <w:tcPr>
            <w:tcW w:w="1105" w:type="dxa"/>
            <w:tcBorders>
              <w:top w:val="single" w:sz="8" w:space="0" w:color="AEAEAE"/>
              <w:left w:val="nil"/>
              <w:bottom w:val="single" w:sz="8" w:space="0" w:color="AEAEAE"/>
              <w:right w:val="single" w:sz="8" w:space="0" w:color="E0E0E0"/>
            </w:tcBorders>
            <w:shd w:val="clear" w:color="auto" w:fill="F9F9FB"/>
          </w:tcPr>
          <w:p w14:paraId="6AFD819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AEAEAE"/>
              <w:right w:val="nil"/>
            </w:tcBorders>
            <w:shd w:val="clear" w:color="auto" w:fill="F9F9FB"/>
          </w:tcPr>
          <w:p w14:paraId="1A61C5B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.998</w:t>
            </w:r>
          </w:p>
        </w:tc>
      </w:tr>
      <w:tr w:rsidR="002036F0" w:rsidRPr="002036F0" w14:paraId="43E55ED1" w14:textId="77777777">
        <w:trPr>
          <w:cantSplit/>
        </w:trPr>
        <w:tc>
          <w:tcPr>
            <w:tcW w:w="874" w:type="dxa"/>
            <w:tcBorders>
              <w:top w:val="single" w:sz="8" w:space="0" w:color="AEAEAE"/>
              <w:left w:val="nil"/>
              <w:bottom w:val="single" w:sz="8" w:space="0" w:color="152935"/>
              <w:right w:val="nil"/>
            </w:tcBorders>
            <w:shd w:val="clear" w:color="auto" w:fill="E0E0E0"/>
          </w:tcPr>
          <w:p w14:paraId="2D98E8F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ROT2</w:t>
            </w:r>
          </w:p>
        </w:tc>
        <w:tc>
          <w:tcPr>
            <w:tcW w:w="1105" w:type="dxa"/>
            <w:tcBorders>
              <w:top w:val="single" w:sz="8" w:space="0" w:color="AEAEAE"/>
              <w:left w:val="nil"/>
              <w:bottom w:val="single" w:sz="8" w:space="0" w:color="152935"/>
              <w:right w:val="single" w:sz="8" w:space="0" w:color="E0E0E0"/>
            </w:tcBorders>
            <w:shd w:val="clear" w:color="auto" w:fill="F9F9FB"/>
          </w:tcPr>
          <w:p w14:paraId="5E2F55A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w:t>
            </w:r>
          </w:p>
        </w:tc>
        <w:tc>
          <w:tcPr>
            <w:tcW w:w="1188" w:type="dxa"/>
            <w:tcBorders>
              <w:top w:val="single" w:sz="8" w:space="0" w:color="AEAEAE"/>
              <w:left w:val="single" w:sz="8" w:space="0" w:color="E0E0E0"/>
              <w:bottom w:val="single" w:sz="8" w:space="0" w:color="152935"/>
              <w:right w:val="nil"/>
            </w:tcBorders>
            <w:shd w:val="clear" w:color="auto" w:fill="F9F9FB"/>
          </w:tcPr>
          <w:p w14:paraId="58F4D6E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.991</w:t>
            </w:r>
          </w:p>
        </w:tc>
      </w:tr>
      <w:tr w:rsidR="002036F0" w:rsidRPr="002036F0" w14:paraId="51F4A847" w14:textId="77777777">
        <w:trPr>
          <w:cantSplit/>
        </w:trPr>
        <w:tc>
          <w:tcPr>
            <w:tcW w:w="3167" w:type="dxa"/>
            <w:gridSpan w:val="3"/>
            <w:tcBorders>
              <w:top w:val="nil"/>
              <w:left w:val="nil"/>
              <w:bottom w:val="nil"/>
              <w:right w:val="nil"/>
            </w:tcBorders>
            <w:shd w:val="clear" w:color="auto" w:fill="FFFFFF"/>
          </w:tcPr>
          <w:p w14:paraId="51735E4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Extraction Method: Principal Component Analysis.</w:t>
            </w:r>
          </w:p>
        </w:tc>
      </w:tr>
    </w:tbl>
    <w:p w14:paraId="31E88782"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40A3464A"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1051"/>
        <w:gridCol w:w="765"/>
        <w:gridCol w:w="909"/>
        <w:gridCol w:w="1041"/>
        <w:gridCol w:w="724"/>
        <w:gridCol w:w="909"/>
        <w:gridCol w:w="1041"/>
        <w:gridCol w:w="691"/>
        <w:gridCol w:w="909"/>
        <w:gridCol w:w="1031"/>
      </w:tblGrid>
      <w:tr w:rsidR="002036F0" w:rsidRPr="002036F0" w14:paraId="07183CD6" w14:textId="77777777" w:rsidTr="002036F0">
        <w:trPr>
          <w:cantSplit/>
        </w:trPr>
        <w:tc>
          <w:tcPr>
            <w:tcW w:w="5000" w:type="pct"/>
            <w:gridSpan w:val="10"/>
            <w:tcBorders>
              <w:top w:val="nil"/>
              <w:left w:val="nil"/>
              <w:bottom w:val="nil"/>
              <w:right w:val="nil"/>
            </w:tcBorders>
            <w:shd w:val="clear" w:color="auto" w:fill="FFFFFF"/>
            <w:vAlign w:val="center"/>
          </w:tcPr>
          <w:p w14:paraId="52CC6A5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Total Variance Explained</w:t>
            </w:r>
          </w:p>
        </w:tc>
      </w:tr>
      <w:tr w:rsidR="002036F0" w:rsidRPr="002036F0" w14:paraId="766BF041" w14:textId="77777777" w:rsidTr="002036F0">
        <w:trPr>
          <w:cantSplit/>
        </w:trPr>
        <w:tc>
          <w:tcPr>
            <w:tcW w:w="477" w:type="pct"/>
            <w:vMerge w:val="restart"/>
            <w:tcBorders>
              <w:top w:val="nil"/>
              <w:left w:val="nil"/>
              <w:bottom w:val="nil"/>
              <w:right w:val="nil"/>
            </w:tcBorders>
            <w:shd w:val="clear" w:color="auto" w:fill="FFFFFF"/>
            <w:vAlign w:val="bottom"/>
          </w:tcPr>
          <w:p w14:paraId="47E29E2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Component</w:t>
            </w:r>
          </w:p>
        </w:tc>
        <w:tc>
          <w:tcPr>
            <w:tcW w:w="1529" w:type="pct"/>
            <w:gridSpan w:val="3"/>
            <w:tcBorders>
              <w:top w:val="nil"/>
              <w:left w:val="nil"/>
              <w:bottom w:val="nil"/>
              <w:right w:val="nil"/>
            </w:tcBorders>
            <w:shd w:val="clear" w:color="auto" w:fill="FFFFFF"/>
            <w:vAlign w:val="bottom"/>
          </w:tcPr>
          <w:p w14:paraId="5BDB2CA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Initial Eigenvalues</w:t>
            </w:r>
          </w:p>
        </w:tc>
        <w:tc>
          <w:tcPr>
            <w:tcW w:w="1505" w:type="pct"/>
            <w:gridSpan w:val="3"/>
            <w:tcBorders>
              <w:top w:val="nil"/>
              <w:left w:val="single" w:sz="8" w:space="0" w:color="E0E0E0"/>
              <w:bottom w:val="nil"/>
              <w:right w:val="nil"/>
            </w:tcBorders>
            <w:shd w:val="clear" w:color="auto" w:fill="FFFFFF"/>
            <w:vAlign w:val="bottom"/>
          </w:tcPr>
          <w:p w14:paraId="024C78E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Extraction Sums of Squared Loadings</w:t>
            </w:r>
          </w:p>
        </w:tc>
        <w:tc>
          <w:tcPr>
            <w:tcW w:w="1488" w:type="pct"/>
            <w:gridSpan w:val="3"/>
            <w:tcBorders>
              <w:top w:val="nil"/>
              <w:left w:val="single" w:sz="8" w:space="0" w:color="E0E0E0"/>
              <w:bottom w:val="nil"/>
              <w:right w:val="nil"/>
            </w:tcBorders>
            <w:shd w:val="clear" w:color="auto" w:fill="FFFFFF"/>
            <w:vAlign w:val="bottom"/>
          </w:tcPr>
          <w:p w14:paraId="4AC804C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Rotation Sums of Squared Loadings</w:t>
            </w:r>
          </w:p>
        </w:tc>
      </w:tr>
      <w:tr w:rsidR="002036F0" w:rsidRPr="002036F0" w14:paraId="425D7A5E" w14:textId="77777777" w:rsidTr="002036F0">
        <w:trPr>
          <w:cantSplit/>
        </w:trPr>
        <w:tc>
          <w:tcPr>
            <w:tcW w:w="477" w:type="pct"/>
            <w:vMerge/>
            <w:tcBorders>
              <w:top w:val="nil"/>
              <w:left w:val="nil"/>
              <w:bottom w:val="nil"/>
              <w:right w:val="nil"/>
            </w:tcBorders>
            <w:shd w:val="clear" w:color="auto" w:fill="FFFFFF"/>
            <w:vAlign w:val="bottom"/>
          </w:tcPr>
          <w:p w14:paraId="25ECD3AB" w14:textId="77777777" w:rsidR="002036F0" w:rsidRPr="002036F0" w:rsidRDefault="002036F0" w:rsidP="002E6F27">
            <w:pPr>
              <w:autoSpaceDE w:val="0"/>
              <w:autoSpaceDN w:val="0"/>
              <w:bidi w:val="0"/>
              <w:adjustRightInd w:val="0"/>
              <w:spacing w:after="0" w:line="240" w:lineRule="auto"/>
              <w:jc w:val="center"/>
              <w:rPr>
                <w:rFonts w:ascii="Arial" w:hAnsi="Arial" w:cs="Arial"/>
                <w:color w:val="264A60"/>
                <w:kern w:val="0"/>
                <w:sz w:val="18"/>
                <w:szCs w:val="18"/>
              </w:rPr>
            </w:pPr>
          </w:p>
        </w:tc>
        <w:tc>
          <w:tcPr>
            <w:tcW w:w="455" w:type="pct"/>
            <w:tcBorders>
              <w:top w:val="nil"/>
              <w:left w:val="nil"/>
              <w:bottom w:val="single" w:sz="8" w:space="0" w:color="152935"/>
              <w:right w:val="single" w:sz="8" w:space="0" w:color="E0E0E0"/>
            </w:tcBorders>
            <w:shd w:val="clear" w:color="auto" w:fill="FFFFFF"/>
            <w:vAlign w:val="bottom"/>
          </w:tcPr>
          <w:p w14:paraId="098109E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Total</w:t>
            </w:r>
          </w:p>
        </w:tc>
        <w:tc>
          <w:tcPr>
            <w:tcW w:w="534" w:type="pct"/>
            <w:tcBorders>
              <w:top w:val="nil"/>
              <w:left w:val="single" w:sz="8" w:space="0" w:color="E0E0E0"/>
              <w:bottom w:val="single" w:sz="8" w:space="0" w:color="152935"/>
              <w:right w:val="single" w:sz="8" w:space="0" w:color="E0E0E0"/>
            </w:tcBorders>
            <w:shd w:val="clear" w:color="auto" w:fill="FFFFFF"/>
            <w:vAlign w:val="bottom"/>
          </w:tcPr>
          <w:p w14:paraId="3664F6D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 of Variance</w:t>
            </w:r>
          </w:p>
        </w:tc>
        <w:tc>
          <w:tcPr>
            <w:tcW w:w="540" w:type="pct"/>
            <w:tcBorders>
              <w:top w:val="nil"/>
              <w:left w:val="single" w:sz="8" w:space="0" w:color="E0E0E0"/>
              <w:bottom w:val="single" w:sz="8" w:space="0" w:color="152935"/>
              <w:right w:val="nil"/>
            </w:tcBorders>
            <w:shd w:val="clear" w:color="auto" w:fill="FFFFFF"/>
            <w:vAlign w:val="bottom"/>
          </w:tcPr>
          <w:p w14:paraId="5A5FA5B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Cumulative %</w:t>
            </w:r>
          </w:p>
        </w:tc>
        <w:tc>
          <w:tcPr>
            <w:tcW w:w="432" w:type="pct"/>
            <w:tcBorders>
              <w:top w:val="nil"/>
              <w:left w:val="single" w:sz="8" w:space="0" w:color="E0E0E0"/>
              <w:bottom w:val="single" w:sz="8" w:space="0" w:color="152935"/>
              <w:right w:val="single" w:sz="8" w:space="0" w:color="E0E0E0"/>
            </w:tcBorders>
            <w:shd w:val="clear" w:color="auto" w:fill="FFFFFF"/>
            <w:vAlign w:val="bottom"/>
          </w:tcPr>
          <w:p w14:paraId="226491F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Total</w:t>
            </w:r>
          </w:p>
        </w:tc>
        <w:tc>
          <w:tcPr>
            <w:tcW w:w="534" w:type="pct"/>
            <w:tcBorders>
              <w:top w:val="nil"/>
              <w:left w:val="single" w:sz="8" w:space="0" w:color="E0E0E0"/>
              <w:bottom w:val="single" w:sz="8" w:space="0" w:color="152935"/>
              <w:right w:val="single" w:sz="8" w:space="0" w:color="E0E0E0"/>
            </w:tcBorders>
            <w:shd w:val="clear" w:color="auto" w:fill="FFFFFF"/>
            <w:vAlign w:val="bottom"/>
          </w:tcPr>
          <w:p w14:paraId="074013E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 of Variance</w:t>
            </w:r>
          </w:p>
        </w:tc>
        <w:tc>
          <w:tcPr>
            <w:tcW w:w="540" w:type="pct"/>
            <w:tcBorders>
              <w:top w:val="nil"/>
              <w:left w:val="single" w:sz="8" w:space="0" w:color="E0E0E0"/>
              <w:bottom w:val="single" w:sz="8" w:space="0" w:color="152935"/>
              <w:right w:val="nil"/>
            </w:tcBorders>
            <w:shd w:val="clear" w:color="auto" w:fill="FFFFFF"/>
            <w:vAlign w:val="bottom"/>
          </w:tcPr>
          <w:p w14:paraId="4047A19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Cumulative %</w:t>
            </w:r>
          </w:p>
        </w:tc>
        <w:tc>
          <w:tcPr>
            <w:tcW w:w="414" w:type="pct"/>
            <w:tcBorders>
              <w:top w:val="nil"/>
              <w:left w:val="single" w:sz="8" w:space="0" w:color="E0E0E0"/>
              <w:bottom w:val="single" w:sz="8" w:space="0" w:color="152935"/>
              <w:right w:val="single" w:sz="8" w:space="0" w:color="E0E0E0"/>
            </w:tcBorders>
            <w:shd w:val="clear" w:color="auto" w:fill="FFFFFF"/>
            <w:vAlign w:val="bottom"/>
          </w:tcPr>
          <w:p w14:paraId="170DF0B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Total</w:t>
            </w:r>
          </w:p>
        </w:tc>
        <w:tc>
          <w:tcPr>
            <w:tcW w:w="534" w:type="pct"/>
            <w:tcBorders>
              <w:top w:val="nil"/>
              <w:left w:val="single" w:sz="8" w:space="0" w:color="E0E0E0"/>
              <w:bottom w:val="single" w:sz="8" w:space="0" w:color="152935"/>
              <w:right w:val="single" w:sz="8" w:space="0" w:color="E0E0E0"/>
            </w:tcBorders>
            <w:shd w:val="clear" w:color="auto" w:fill="FFFFFF"/>
            <w:vAlign w:val="bottom"/>
          </w:tcPr>
          <w:p w14:paraId="0CD7BF4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 of Variance</w:t>
            </w:r>
          </w:p>
        </w:tc>
        <w:tc>
          <w:tcPr>
            <w:tcW w:w="540" w:type="pct"/>
            <w:tcBorders>
              <w:top w:val="nil"/>
              <w:left w:val="single" w:sz="8" w:space="0" w:color="E0E0E0"/>
              <w:bottom w:val="single" w:sz="8" w:space="0" w:color="152935"/>
              <w:right w:val="nil"/>
            </w:tcBorders>
            <w:shd w:val="clear" w:color="auto" w:fill="FFFFFF"/>
            <w:vAlign w:val="bottom"/>
          </w:tcPr>
          <w:p w14:paraId="4BD1956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Cumulative %</w:t>
            </w:r>
          </w:p>
        </w:tc>
      </w:tr>
      <w:tr w:rsidR="002036F0" w:rsidRPr="002036F0" w14:paraId="5B33001A" w14:textId="77777777" w:rsidTr="002036F0">
        <w:trPr>
          <w:cantSplit/>
        </w:trPr>
        <w:tc>
          <w:tcPr>
            <w:tcW w:w="477" w:type="pct"/>
            <w:tcBorders>
              <w:top w:val="single" w:sz="8" w:space="0" w:color="152935"/>
              <w:left w:val="nil"/>
              <w:bottom w:val="single" w:sz="8" w:space="0" w:color="AEAEAE"/>
              <w:right w:val="nil"/>
            </w:tcBorders>
            <w:shd w:val="clear" w:color="auto" w:fill="E0E0E0"/>
          </w:tcPr>
          <w:p w14:paraId="172C3BD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1</w:t>
            </w:r>
          </w:p>
        </w:tc>
        <w:tc>
          <w:tcPr>
            <w:tcW w:w="455" w:type="pct"/>
            <w:tcBorders>
              <w:top w:val="single" w:sz="8" w:space="0" w:color="152935"/>
              <w:left w:val="nil"/>
              <w:bottom w:val="single" w:sz="8" w:space="0" w:color="AEAEAE"/>
              <w:right w:val="single" w:sz="8" w:space="0" w:color="E0E0E0"/>
            </w:tcBorders>
            <w:shd w:val="clear" w:color="auto" w:fill="F9F9FB"/>
          </w:tcPr>
          <w:p w14:paraId="1700A33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4.758</w:t>
            </w:r>
          </w:p>
        </w:tc>
        <w:tc>
          <w:tcPr>
            <w:tcW w:w="534" w:type="pct"/>
            <w:tcBorders>
              <w:top w:val="single" w:sz="8" w:space="0" w:color="152935"/>
              <w:left w:val="single" w:sz="8" w:space="0" w:color="E0E0E0"/>
              <w:bottom w:val="single" w:sz="8" w:space="0" w:color="AEAEAE"/>
              <w:right w:val="single" w:sz="8" w:space="0" w:color="E0E0E0"/>
            </w:tcBorders>
            <w:shd w:val="clear" w:color="auto" w:fill="F9F9FB"/>
          </w:tcPr>
          <w:p w14:paraId="0E813A7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59.473</w:t>
            </w:r>
          </w:p>
        </w:tc>
        <w:tc>
          <w:tcPr>
            <w:tcW w:w="540" w:type="pct"/>
            <w:tcBorders>
              <w:top w:val="single" w:sz="8" w:space="0" w:color="152935"/>
              <w:left w:val="single" w:sz="8" w:space="0" w:color="E0E0E0"/>
              <w:bottom w:val="single" w:sz="8" w:space="0" w:color="AEAEAE"/>
              <w:right w:val="nil"/>
            </w:tcBorders>
            <w:shd w:val="clear" w:color="auto" w:fill="F9F9FB"/>
          </w:tcPr>
          <w:p w14:paraId="0EAD7CE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59.473</w:t>
            </w:r>
          </w:p>
        </w:tc>
        <w:tc>
          <w:tcPr>
            <w:tcW w:w="432" w:type="pct"/>
            <w:tcBorders>
              <w:top w:val="single" w:sz="8" w:space="0" w:color="152935"/>
              <w:left w:val="single" w:sz="8" w:space="0" w:color="E0E0E0"/>
              <w:bottom w:val="single" w:sz="8" w:space="0" w:color="AEAEAE"/>
              <w:right w:val="single" w:sz="8" w:space="0" w:color="E0E0E0"/>
            </w:tcBorders>
            <w:shd w:val="clear" w:color="auto" w:fill="F9F9FB"/>
          </w:tcPr>
          <w:p w14:paraId="309DFCF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4.758</w:t>
            </w:r>
          </w:p>
        </w:tc>
        <w:tc>
          <w:tcPr>
            <w:tcW w:w="534" w:type="pct"/>
            <w:tcBorders>
              <w:top w:val="single" w:sz="8" w:space="0" w:color="152935"/>
              <w:left w:val="single" w:sz="8" w:space="0" w:color="E0E0E0"/>
              <w:bottom w:val="single" w:sz="8" w:space="0" w:color="AEAEAE"/>
              <w:right w:val="single" w:sz="8" w:space="0" w:color="E0E0E0"/>
            </w:tcBorders>
            <w:shd w:val="clear" w:color="auto" w:fill="F9F9FB"/>
          </w:tcPr>
          <w:p w14:paraId="37FF69E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59.473</w:t>
            </w:r>
          </w:p>
        </w:tc>
        <w:tc>
          <w:tcPr>
            <w:tcW w:w="540" w:type="pct"/>
            <w:tcBorders>
              <w:top w:val="single" w:sz="8" w:space="0" w:color="152935"/>
              <w:left w:val="single" w:sz="8" w:space="0" w:color="E0E0E0"/>
              <w:bottom w:val="single" w:sz="8" w:space="0" w:color="AEAEAE"/>
              <w:right w:val="nil"/>
            </w:tcBorders>
            <w:shd w:val="clear" w:color="auto" w:fill="F9F9FB"/>
          </w:tcPr>
          <w:p w14:paraId="5C8E7D4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59.473</w:t>
            </w:r>
          </w:p>
        </w:tc>
        <w:tc>
          <w:tcPr>
            <w:tcW w:w="414" w:type="pct"/>
            <w:tcBorders>
              <w:top w:val="single" w:sz="8" w:space="0" w:color="152935"/>
              <w:left w:val="single" w:sz="8" w:space="0" w:color="E0E0E0"/>
              <w:bottom w:val="single" w:sz="8" w:space="0" w:color="AEAEAE"/>
              <w:right w:val="single" w:sz="8" w:space="0" w:color="E0E0E0"/>
            </w:tcBorders>
            <w:shd w:val="clear" w:color="auto" w:fill="F9F9FB"/>
          </w:tcPr>
          <w:p w14:paraId="6169467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2.318</w:t>
            </w:r>
          </w:p>
        </w:tc>
        <w:tc>
          <w:tcPr>
            <w:tcW w:w="534" w:type="pct"/>
            <w:tcBorders>
              <w:top w:val="single" w:sz="8" w:space="0" w:color="152935"/>
              <w:left w:val="single" w:sz="8" w:space="0" w:color="E0E0E0"/>
              <w:bottom w:val="single" w:sz="8" w:space="0" w:color="AEAEAE"/>
              <w:right w:val="single" w:sz="8" w:space="0" w:color="E0E0E0"/>
            </w:tcBorders>
            <w:shd w:val="clear" w:color="auto" w:fill="F9F9FB"/>
          </w:tcPr>
          <w:p w14:paraId="1EC1211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28.977</w:t>
            </w:r>
          </w:p>
        </w:tc>
        <w:tc>
          <w:tcPr>
            <w:tcW w:w="540" w:type="pct"/>
            <w:tcBorders>
              <w:top w:val="single" w:sz="8" w:space="0" w:color="152935"/>
              <w:left w:val="single" w:sz="8" w:space="0" w:color="E0E0E0"/>
              <w:bottom w:val="single" w:sz="8" w:space="0" w:color="AEAEAE"/>
              <w:right w:val="nil"/>
            </w:tcBorders>
            <w:shd w:val="clear" w:color="auto" w:fill="F9F9FB"/>
          </w:tcPr>
          <w:p w14:paraId="7220463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28.977</w:t>
            </w:r>
          </w:p>
        </w:tc>
      </w:tr>
      <w:tr w:rsidR="002036F0" w:rsidRPr="002036F0" w14:paraId="13468061"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4E97C7F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2</w:t>
            </w:r>
          </w:p>
        </w:tc>
        <w:tc>
          <w:tcPr>
            <w:tcW w:w="455" w:type="pct"/>
            <w:tcBorders>
              <w:top w:val="single" w:sz="8" w:space="0" w:color="AEAEAE"/>
              <w:left w:val="nil"/>
              <w:bottom w:val="single" w:sz="8" w:space="0" w:color="AEAEAE"/>
              <w:right w:val="single" w:sz="8" w:space="0" w:color="E0E0E0"/>
            </w:tcBorders>
            <w:shd w:val="clear" w:color="auto" w:fill="F9F9FB"/>
          </w:tcPr>
          <w:p w14:paraId="2FDF963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1.501</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2F919D8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18.756</w:t>
            </w:r>
          </w:p>
        </w:tc>
        <w:tc>
          <w:tcPr>
            <w:tcW w:w="540" w:type="pct"/>
            <w:tcBorders>
              <w:top w:val="single" w:sz="8" w:space="0" w:color="AEAEAE"/>
              <w:left w:val="single" w:sz="8" w:space="0" w:color="E0E0E0"/>
              <w:bottom w:val="single" w:sz="8" w:space="0" w:color="AEAEAE"/>
              <w:right w:val="nil"/>
            </w:tcBorders>
            <w:shd w:val="clear" w:color="auto" w:fill="F9F9FB"/>
          </w:tcPr>
          <w:p w14:paraId="0054578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78.229</w:t>
            </w:r>
          </w:p>
        </w:tc>
        <w:tc>
          <w:tcPr>
            <w:tcW w:w="432" w:type="pct"/>
            <w:tcBorders>
              <w:top w:val="single" w:sz="8" w:space="0" w:color="AEAEAE"/>
              <w:left w:val="single" w:sz="8" w:space="0" w:color="E0E0E0"/>
              <w:bottom w:val="single" w:sz="8" w:space="0" w:color="AEAEAE"/>
              <w:right w:val="single" w:sz="8" w:space="0" w:color="E0E0E0"/>
            </w:tcBorders>
            <w:shd w:val="clear" w:color="auto" w:fill="F9F9FB"/>
          </w:tcPr>
          <w:p w14:paraId="3EAF6F1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1.501</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6B45F8B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18.756</w:t>
            </w:r>
          </w:p>
        </w:tc>
        <w:tc>
          <w:tcPr>
            <w:tcW w:w="540" w:type="pct"/>
            <w:tcBorders>
              <w:top w:val="single" w:sz="8" w:space="0" w:color="AEAEAE"/>
              <w:left w:val="single" w:sz="8" w:space="0" w:color="E0E0E0"/>
              <w:bottom w:val="single" w:sz="8" w:space="0" w:color="AEAEAE"/>
              <w:right w:val="nil"/>
            </w:tcBorders>
            <w:shd w:val="clear" w:color="auto" w:fill="F9F9FB"/>
          </w:tcPr>
          <w:p w14:paraId="766426A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78.229</w:t>
            </w:r>
          </w:p>
        </w:tc>
        <w:tc>
          <w:tcPr>
            <w:tcW w:w="414" w:type="pct"/>
            <w:tcBorders>
              <w:top w:val="single" w:sz="8" w:space="0" w:color="AEAEAE"/>
              <w:left w:val="single" w:sz="8" w:space="0" w:color="E0E0E0"/>
              <w:bottom w:val="single" w:sz="8" w:space="0" w:color="AEAEAE"/>
              <w:right w:val="single" w:sz="8" w:space="0" w:color="E0E0E0"/>
            </w:tcBorders>
            <w:shd w:val="clear" w:color="auto" w:fill="F9F9FB"/>
          </w:tcPr>
          <w:p w14:paraId="7B2CA7B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2.254</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7B2B14D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28.179</w:t>
            </w:r>
          </w:p>
        </w:tc>
        <w:tc>
          <w:tcPr>
            <w:tcW w:w="540" w:type="pct"/>
            <w:tcBorders>
              <w:top w:val="single" w:sz="8" w:space="0" w:color="AEAEAE"/>
              <w:left w:val="single" w:sz="8" w:space="0" w:color="E0E0E0"/>
              <w:bottom w:val="single" w:sz="8" w:space="0" w:color="AEAEAE"/>
              <w:right w:val="nil"/>
            </w:tcBorders>
            <w:shd w:val="clear" w:color="auto" w:fill="F9F9FB"/>
          </w:tcPr>
          <w:p w14:paraId="3ECB2B3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57.156</w:t>
            </w:r>
          </w:p>
        </w:tc>
      </w:tr>
      <w:tr w:rsidR="002036F0" w:rsidRPr="002036F0" w14:paraId="26C9F370"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12B7CC1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3</w:t>
            </w:r>
          </w:p>
        </w:tc>
        <w:tc>
          <w:tcPr>
            <w:tcW w:w="455" w:type="pct"/>
            <w:tcBorders>
              <w:top w:val="single" w:sz="8" w:space="0" w:color="AEAEAE"/>
              <w:left w:val="nil"/>
              <w:bottom w:val="single" w:sz="8" w:space="0" w:color="AEAEAE"/>
              <w:right w:val="single" w:sz="8" w:space="0" w:color="E0E0E0"/>
            </w:tcBorders>
            <w:shd w:val="clear" w:color="auto" w:fill="F9F9FB"/>
          </w:tcPr>
          <w:p w14:paraId="301CCFA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.913</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5C569F2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11.412</w:t>
            </w:r>
          </w:p>
        </w:tc>
        <w:tc>
          <w:tcPr>
            <w:tcW w:w="540" w:type="pct"/>
            <w:tcBorders>
              <w:top w:val="single" w:sz="8" w:space="0" w:color="AEAEAE"/>
              <w:left w:val="single" w:sz="8" w:space="0" w:color="E0E0E0"/>
              <w:bottom w:val="single" w:sz="8" w:space="0" w:color="AEAEAE"/>
              <w:right w:val="nil"/>
            </w:tcBorders>
            <w:shd w:val="clear" w:color="auto" w:fill="F9F9FB"/>
          </w:tcPr>
          <w:p w14:paraId="02241CB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89.640</w:t>
            </w:r>
          </w:p>
        </w:tc>
        <w:tc>
          <w:tcPr>
            <w:tcW w:w="432" w:type="pct"/>
            <w:tcBorders>
              <w:top w:val="single" w:sz="8" w:space="0" w:color="AEAEAE"/>
              <w:left w:val="single" w:sz="8" w:space="0" w:color="E0E0E0"/>
              <w:bottom w:val="single" w:sz="8" w:space="0" w:color="AEAEAE"/>
              <w:right w:val="single" w:sz="8" w:space="0" w:color="E0E0E0"/>
            </w:tcBorders>
            <w:shd w:val="clear" w:color="auto" w:fill="F9F9FB"/>
          </w:tcPr>
          <w:p w14:paraId="3E6F77B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.913</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5551A23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11.412</w:t>
            </w:r>
          </w:p>
        </w:tc>
        <w:tc>
          <w:tcPr>
            <w:tcW w:w="540" w:type="pct"/>
            <w:tcBorders>
              <w:top w:val="single" w:sz="8" w:space="0" w:color="AEAEAE"/>
              <w:left w:val="single" w:sz="8" w:space="0" w:color="E0E0E0"/>
              <w:bottom w:val="single" w:sz="8" w:space="0" w:color="AEAEAE"/>
              <w:right w:val="nil"/>
            </w:tcBorders>
            <w:shd w:val="clear" w:color="auto" w:fill="F9F9FB"/>
          </w:tcPr>
          <w:p w14:paraId="37CA1CC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89.640</w:t>
            </w:r>
          </w:p>
        </w:tc>
        <w:tc>
          <w:tcPr>
            <w:tcW w:w="414" w:type="pct"/>
            <w:tcBorders>
              <w:top w:val="single" w:sz="8" w:space="0" w:color="AEAEAE"/>
              <w:left w:val="single" w:sz="8" w:space="0" w:color="E0E0E0"/>
              <w:bottom w:val="single" w:sz="8" w:space="0" w:color="AEAEAE"/>
              <w:right w:val="single" w:sz="8" w:space="0" w:color="E0E0E0"/>
            </w:tcBorders>
            <w:shd w:val="clear" w:color="auto" w:fill="F9F9FB"/>
          </w:tcPr>
          <w:p w14:paraId="5FBF12F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2.076</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4046DC8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25.956</w:t>
            </w:r>
          </w:p>
        </w:tc>
        <w:tc>
          <w:tcPr>
            <w:tcW w:w="540" w:type="pct"/>
            <w:tcBorders>
              <w:top w:val="single" w:sz="8" w:space="0" w:color="AEAEAE"/>
              <w:left w:val="single" w:sz="8" w:space="0" w:color="E0E0E0"/>
              <w:bottom w:val="single" w:sz="8" w:space="0" w:color="AEAEAE"/>
              <w:right w:val="nil"/>
            </w:tcBorders>
            <w:shd w:val="clear" w:color="auto" w:fill="F9F9FB"/>
          </w:tcPr>
          <w:p w14:paraId="79860DB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83.112</w:t>
            </w:r>
          </w:p>
        </w:tc>
      </w:tr>
      <w:tr w:rsidR="002036F0" w:rsidRPr="002036F0" w14:paraId="2EDA7CD0"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2C8CD932"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4</w:t>
            </w:r>
          </w:p>
        </w:tc>
        <w:tc>
          <w:tcPr>
            <w:tcW w:w="455" w:type="pct"/>
            <w:tcBorders>
              <w:top w:val="single" w:sz="8" w:space="0" w:color="AEAEAE"/>
              <w:left w:val="nil"/>
              <w:bottom w:val="single" w:sz="8" w:space="0" w:color="AEAEAE"/>
              <w:right w:val="single" w:sz="8" w:space="0" w:color="E0E0E0"/>
            </w:tcBorders>
            <w:shd w:val="clear" w:color="auto" w:fill="F9F9FB"/>
          </w:tcPr>
          <w:p w14:paraId="32750DE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.474</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4FA366B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5.924</w:t>
            </w:r>
          </w:p>
        </w:tc>
        <w:tc>
          <w:tcPr>
            <w:tcW w:w="540" w:type="pct"/>
            <w:tcBorders>
              <w:top w:val="single" w:sz="8" w:space="0" w:color="AEAEAE"/>
              <w:left w:val="single" w:sz="8" w:space="0" w:color="E0E0E0"/>
              <w:bottom w:val="single" w:sz="8" w:space="0" w:color="AEAEAE"/>
              <w:right w:val="nil"/>
            </w:tcBorders>
            <w:shd w:val="clear" w:color="auto" w:fill="F9F9FB"/>
          </w:tcPr>
          <w:p w14:paraId="4AA7F70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95.565</w:t>
            </w:r>
          </w:p>
        </w:tc>
        <w:tc>
          <w:tcPr>
            <w:tcW w:w="432" w:type="pct"/>
            <w:tcBorders>
              <w:top w:val="single" w:sz="8" w:space="0" w:color="AEAEAE"/>
              <w:left w:val="single" w:sz="8" w:space="0" w:color="E0E0E0"/>
              <w:bottom w:val="single" w:sz="8" w:space="0" w:color="AEAEAE"/>
              <w:right w:val="single" w:sz="8" w:space="0" w:color="E0E0E0"/>
            </w:tcBorders>
            <w:shd w:val="clear" w:color="auto" w:fill="F9F9FB"/>
          </w:tcPr>
          <w:p w14:paraId="28BCE07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.474</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70FC516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5.924</w:t>
            </w:r>
          </w:p>
        </w:tc>
        <w:tc>
          <w:tcPr>
            <w:tcW w:w="540" w:type="pct"/>
            <w:tcBorders>
              <w:top w:val="single" w:sz="8" w:space="0" w:color="AEAEAE"/>
              <w:left w:val="single" w:sz="8" w:space="0" w:color="E0E0E0"/>
              <w:bottom w:val="single" w:sz="8" w:space="0" w:color="AEAEAE"/>
              <w:right w:val="nil"/>
            </w:tcBorders>
            <w:shd w:val="clear" w:color="auto" w:fill="F9F9FB"/>
          </w:tcPr>
          <w:p w14:paraId="1ACAE4C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95.565</w:t>
            </w:r>
          </w:p>
        </w:tc>
        <w:tc>
          <w:tcPr>
            <w:tcW w:w="414" w:type="pct"/>
            <w:tcBorders>
              <w:top w:val="single" w:sz="8" w:space="0" w:color="AEAEAE"/>
              <w:left w:val="single" w:sz="8" w:space="0" w:color="E0E0E0"/>
              <w:bottom w:val="single" w:sz="8" w:space="0" w:color="AEAEAE"/>
              <w:right w:val="single" w:sz="8" w:space="0" w:color="E0E0E0"/>
            </w:tcBorders>
            <w:shd w:val="clear" w:color="auto" w:fill="F9F9FB"/>
          </w:tcPr>
          <w:p w14:paraId="74B6BD5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.996</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2189BA4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12.453</w:t>
            </w:r>
          </w:p>
        </w:tc>
        <w:tc>
          <w:tcPr>
            <w:tcW w:w="540" w:type="pct"/>
            <w:tcBorders>
              <w:top w:val="single" w:sz="8" w:space="0" w:color="AEAEAE"/>
              <w:left w:val="single" w:sz="8" w:space="0" w:color="E0E0E0"/>
              <w:bottom w:val="single" w:sz="8" w:space="0" w:color="AEAEAE"/>
              <w:right w:val="nil"/>
            </w:tcBorders>
            <w:shd w:val="clear" w:color="auto" w:fill="F9F9FB"/>
          </w:tcPr>
          <w:p w14:paraId="3BBBCDF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95.565</w:t>
            </w:r>
          </w:p>
        </w:tc>
      </w:tr>
      <w:tr w:rsidR="002036F0" w:rsidRPr="002036F0" w14:paraId="393C315E"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0EF314D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5</w:t>
            </w:r>
          </w:p>
        </w:tc>
        <w:tc>
          <w:tcPr>
            <w:tcW w:w="455" w:type="pct"/>
            <w:tcBorders>
              <w:top w:val="single" w:sz="8" w:space="0" w:color="AEAEAE"/>
              <w:left w:val="nil"/>
              <w:bottom w:val="single" w:sz="8" w:space="0" w:color="AEAEAE"/>
              <w:right w:val="single" w:sz="8" w:space="0" w:color="E0E0E0"/>
            </w:tcBorders>
            <w:shd w:val="clear" w:color="auto" w:fill="F9F9FB"/>
          </w:tcPr>
          <w:p w14:paraId="1E73A82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.355</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560648B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4.435</w:t>
            </w:r>
          </w:p>
        </w:tc>
        <w:tc>
          <w:tcPr>
            <w:tcW w:w="540" w:type="pct"/>
            <w:tcBorders>
              <w:top w:val="single" w:sz="8" w:space="0" w:color="AEAEAE"/>
              <w:left w:val="single" w:sz="8" w:space="0" w:color="E0E0E0"/>
              <w:bottom w:val="single" w:sz="8" w:space="0" w:color="AEAEAE"/>
              <w:right w:val="nil"/>
            </w:tcBorders>
            <w:shd w:val="clear" w:color="auto" w:fill="F9F9FB"/>
          </w:tcPr>
          <w:p w14:paraId="4A2073F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100.000</w:t>
            </w:r>
          </w:p>
        </w:tc>
        <w:tc>
          <w:tcPr>
            <w:tcW w:w="43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A0CA7C3"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28CBB0F"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5BF0F268"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1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5907651"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217E8E7"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7A4EB9D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6839C7F5"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553EA8E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6</w:t>
            </w:r>
          </w:p>
        </w:tc>
        <w:tc>
          <w:tcPr>
            <w:tcW w:w="455" w:type="pct"/>
            <w:tcBorders>
              <w:top w:val="single" w:sz="8" w:space="0" w:color="AEAEAE"/>
              <w:left w:val="nil"/>
              <w:bottom w:val="single" w:sz="8" w:space="0" w:color="AEAEAE"/>
              <w:right w:val="single" w:sz="8" w:space="0" w:color="E0E0E0"/>
            </w:tcBorders>
            <w:shd w:val="clear" w:color="auto" w:fill="F9F9FB"/>
          </w:tcPr>
          <w:p w14:paraId="5FE2AA3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2.791E-16</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15A9DDD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3.488E-15</w:t>
            </w:r>
          </w:p>
        </w:tc>
        <w:tc>
          <w:tcPr>
            <w:tcW w:w="540" w:type="pct"/>
            <w:tcBorders>
              <w:top w:val="single" w:sz="8" w:space="0" w:color="AEAEAE"/>
              <w:left w:val="single" w:sz="8" w:space="0" w:color="E0E0E0"/>
              <w:bottom w:val="single" w:sz="8" w:space="0" w:color="AEAEAE"/>
              <w:right w:val="nil"/>
            </w:tcBorders>
            <w:shd w:val="clear" w:color="auto" w:fill="F9F9FB"/>
          </w:tcPr>
          <w:p w14:paraId="30AF9E3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100.000</w:t>
            </w:r>
          </w:p>
        </w:tc>
        <w:tc>
          <w:tcPr>
            <w:tcW w:w="43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C54ED5B"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122AC4D"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6A38E38E"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1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37EB9C5"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FA985B8"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357BC4CD"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3F4CECF4" w14:textId="77777777" w:rsidTr="002036F0">
        <w:trPr>
          <w:cantSplit/>
        </w:trPr>
        <w:tc>
          <w:tcPr>
            <w:tcW w:w="477" w:type="pct"/>
            <w:tcBorders>
              <w:top w:val="single" w:sz="8" w:space="0" w:color="AEAEAE"/>
              <w:left w:val="nil"/>
              <w:bottom w:val="single" w:sz="8" w:space="0" w:color="AEAEAE"/>
              <w:right w:val="nil"/>
            </w:tcBorders>
            <w:shd w:val="clear" w:color="auto" w:fill="E0E0E0"/>
          </w:tcPr>
          <w:p w14:paraId="0BB8F9E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7</w:t>
            </w:r>
          </w:p>
        </w:tc>
        <w:tc>
          <w:tcPr>
            <w:tcW w:w="455" w:type="pct"/>
            <w:tcBorders>
              <w:top w:val="single" w:sz="8" w:space="0" w:color="AEAEAE"/>
              <w:left w:val="nil"/>
              <w:bottom w:val="single" w:sz="8" w:space="0" w:color="AEAEAE"/>
              <w:right w:val="single" w:sz="8" w:space="0" w:color="E0E0E0"/>
            </w:tcBorders>
            <w:shd w:val="clear" w:color="auto" w:fill="F9F9FB"/>
          </w:tcPr>
          <w:p w14:paraId="52576B4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-1.390E-16</w:t>
            </w:r>
          </w:p>
        </w:tc>
        <w:tc>
          <w:tcPr>
            <w:tcW w:w="534" w:type="pct"/>
            <w:tcBorders>
              <w:top w:val="single" w:sz="8" w:space="0" w:color="AEAEAE"/>
              <w:left w:val="single" w:sz="8" w:space="0" w:color="E0E0E0"/>
              <w:bottom w:val="single" w:sz="8" w:space="0" w:color="AEAEAE"/>
              <w:right w:val="single" w:sz="8" w:space="0" w:color="E0E0E0"/>
            </w:tcBorders>
            <w:shd w:val="clear" w:color="auto" w:fill="F9F9FB"/>
          </w:tcPr>
          <w:p w14:paraId="7EBB7F9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-1.737E-15</w:t>
            </w:r>
          </w:p>
        </w:tc>
        <w:tc>
          <w:tcPr>
            <w:tcW w:w="540" w:type="pct"/>
            <w:tcBorders>
              <w:top w:val="single" w:sz="8" w:space="0" w:color="AEAEAE"/>
              <w:left w:val="single" w:sz="8" w:space="0" w:color="E0E0E0"/>
              <w:bottom w:val="single" w:sz="8" w:space="0" w:color="AEAEAE"/>
              <w:right w:val="nil"/>
            </w:tcBorders>
            <w:shd w:val="clear" w:color="auto" w:fill="F9F9FB"/>
          </w:tcPr>
          <w:p w14:paraId="7A1BE82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100.000</w:t>
            </w:r>
          </w:p>
        </w:tc>
        <w:tc>
          <w:tcPr>
            <w:tcW w:w="43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BA50D1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5F3C967"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1482480A"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1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5127661"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05463C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AEAEAE"/>
              <w:right w:val="nil"/>
            </w:tcBorders>
            <w:shd w:val="clear" w:color="auto" w:fill="F9F9FB"/>
            <w:vAlign w:val="center"/>
          </w:tcPr>
          <w:p w14:paraId="10845210"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5D5BC4F9" w14:textId="77777777" w:rsidTr="002036F0">
        <w:trPr>
          <w:cantSplit/>
        </w:trPr>
        <w:tc>
          <w:tcPr>
            <w:tcW w:w="477" w:type="pct"/>
            <w:tcBorders>
              <w:top w:val="single" w:sz="8" w:space="0" w:color="AEAEAE"/>
              <w:left w:val="nil"/>
              <w:bottom w:val="single" w:sz="8" w:space="0" w:color="152935"/>
              <w:right w:val="nil"/>
            </w:tcBorders>
            <w:shd w:val="clear" w:color="auto" w:fill="E0E0E0"/>
          </w:tcPr>
          <w:p w14:paraId="052B2EE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8</w:t>
            </w:r>
          </w:p>
        </w:tc>
        <w:tc>
          <w:tcPr>
            <w:tcW w:w="455" w:type="pct"/>
            <w:tcBorders>
              <w:top w:val="single" w:sz="8" w:space="0" w:color="AEAEAE"/>
              <w:left w:val="nil"/>
              <w:bottom w:val="single" w:sz="8" w:space="0" w:color="152935"/>
              <w:right w:val="single" w:sz="8" w:space="0" w:color="E0E0E0"/>
            </w:tcBorders>
            <w:shd w:val="clear" w:color="auto" w:fill="F9F9FB"/>
          </w:tcPr>
          <w:p w14:paraId="64B1FFD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-5.009E-16</w:t>
            </w:r>
          </w:p>
        </w:tc>
        <w:tc>
          <w:tcPr>
            <w:tcW w:w="534" w:type="pct"/>
            <w:tcBorders>
              <w:top w:val="single" w:sz="8" w:space="0" w:color="AEAEAE"/>
              <w:left w:val="single" w:sz="8" w:space="0" w:color="E0E0E0"/>
              <w:bottom w:val="single" w:sz="8" w:space="0" w:color="152935"/>
              <w:right w:val="single" w:sz="8" w:space="0" w:color="E0E0E0"/>
            </w:tcBorders>
            <w:shd w:val="clear" w:color="auto" w:fill="F9F9FB"/>
          </w:tcPr>
          <w:p w14:paraId="1BB1E63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-6.261E-15</w:t>
            </w:r>
          </w:p>
        </w:tc>
        <w:tc>
          <w:tcPr>
            <w:tcW w:w="540" w:type="pct"/>
            <w:tcBorders>
              <w:top w:val="single" w:sz="8" w:space="0" w:color="AEAEAE"/>
              <w:left w:val="single" w:sz="8" w:space="0" w:color="E0E0E0"/>
              <w:bottom w:val="single" w:sz="8" w:space="0" w:color="152935"/>
              <w:right w:val="nil"/>
            </w:tcBorders>
            <w:shd w:val="clear" w:color="auto" w:fill="F9F9FB"/>
          </w:tcPr>
          <w:p w14:paraId="12D92AB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100.000</w:t>
            </w:r>
          </w:p>
        </w:tc>
        <w:tc>
          <w:tcPr>
            <w:tcW w:w="43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0486F72"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65E82E65"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152935"/>
              <w:right w:val="nil"/>
            </w:tcBorders>
            <w:shd w:val="clear" w:color="auto" w:fill="F9F9FB"/>
            <w:vAlign w:val="center"/>
          </w:tcPr>
          <w:p w14:paraId="1748CB8F"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14"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EB5F1E2"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34"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050D4924"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540" w:type="pct"/>
            <w:tcBorders>
              <w:top w:val="single" w:sz="8" w:space="0" w:color="AEAEAE"/>
              <w:left w:val="single" w:sz="8" w:space="0" w:color="E0E0E0"/>
              <w:bottom w:val="single" w:sz="8" w:space="0" w:color="152935"/>
              <w:right w:val="nil"/>
            </w:tcBorders>
            <w:shd w:val="clear" w:color="auto" w:fill="F9F9FB"/>
            <w:vAlign w:val="center"/>
          </w:tcPr>
          <w:p w14:paraId="69BB9BFA"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38B5AB1E" w14:textId="77777777" w:rsidTr="002036F0">
        <w:trPr>
          <w:cantSplit/>
        </w:trPr>
        <w:tc>
          <w:tcPr>
            <w:tcW w:w="5000" w:type="pct"/>
            <w:gridSpan w:val="10"/>
            <w:tcBorders>
              <w:top w:val="nil"/>
              <w:left w:val="nil"/>
              <w:bottom w:val="nil"/>
              <w:right w:val="nil"/>
            </w:tcBorders>
            <w:shd w:val="clear" w:color="auto" w:fill="FFFFFF"/>
          </w:tcPr>
          <w:p w14:paraId="24A067A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Extraction Method: Principal Component Analysis.</w:t>
            </w:r>
          </w:p>
        </w:tc>
      </w:tr>
    </w:tbl>
    <w:p w14:paraId="2C7266E1"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3BE19C6E" w14:textId="3CEBFF68"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r w:rsidRPr="002036F0">
        <w:rPr>
          <w:rFonts w:ascii="Times New Roman" w:hAnsi="Times New Roman" w:cs="Times New Roman"/>
          <w:noProof/>
          <w:kern w:val="0"/>
          <w:sz w:val="24"/>
          <w:szCs w:val="24"/>
        </w:rPr>
        <w:drawing>
          <wp:inline distT="0" distB="0" distL="0" distR="0" wp14:anchorId="3D60740B" wp14:editId="5A4FA7FA">
            <wp:extent cx="5760085" cy="33896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085" cy="3389630"/>
                    </a:xfrm>
                    <a:prstGeom prst="rect">
                      <a:avLst/>
                    </a:prstGeom>
                    <a:noFill/>
                    <a:ln>
                      <a:noFill/>
                    </a:ln>
                  </pic:spPr>
                </pic:pic>
              </a:graphicData>
            </a:graphic>
          </wp:inline>
        </w:drawing>
      </w:r>
    </w:p>
    <w:p w14:paraId="593B07DE"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p w14:paraId="48A9BCAB"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32B7D0FA"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386" w:type="dxa"/>
        <w:tblLayout w:type="fixed"/>
        <w:tblCellMar>
          <w:left w:w="0" w:type="dxa"/>
          <w:right w:w="0" w:type="dxa"/>
        </w:tblCellMar>
        <w:tblLook w:val="0000" w:firstRow="0" w:lastRow="0" w:firstColumn="0" w:lastColumn="0" w:noHBand="0" w:noVBand="0"/>
      </w:tblPr>
      <w:tblGrid>
        <w:gridCol w:w="890"/>
        <w:gridCol w:w="1124"/>
        <w:gridCol w:w="1124"/>
        <w:gridCol w:w="1124"/>
        <w:gridCol w:w="1124"/>
      </w:tblGrid>
      <w:tr w:rsidR="002036F0" w:rsidRPr="002036F0" w14:paraId="283E66F4" w14:textId="77777777">
        <w:trPr>
          <w:cantSplit/>
        </w:trPr>
        <w:tc>
          <w:tcPr>
            <w:tcW w:w="5385" w:type="dxa"/>
            <w:gridSpan w:val="5"/>
            <w:tcBorders>
              <w:top w:val="nil"/>
              <w:left w:val="nil"/>
              <w:bottom w:val="nil"/>
              <w:right w:val="nil"/>
            </w:tcBorders>
            <w:shd w:val="clear" w:color="auto" w:fill="FFFFFF"/>
            <w:vAlign w:val="center"/>
          </w:tcPr>
          <w:p w14:paraId="50D8CD0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Component Matrix</w:t>
            </w:r>
            <w:r w:rsidRPr="002036F0">
              <w:rPr>
                <w:rFonts w:ascii="Arial" w:hAnsi="Arial" w:cs="Arial"/>
                <w:b/>
                <w:bCs/>
                <w:color w:val="010205"/>
                <w:kern w:val="0"/>
                <w:vertAlign w:val="superscript"/>
              </w:rPr>
              <w:t>a</w:t>
            </w:r>
          </w:p>
        </w:tc>
      </w:tr>
      <w:tr w:rsidR="002036F0" w:rsidRPr="002036F0" w14:paraId="5CCB4D24" w14:textId="77777777">
        <w:trPr>
          <w:cantSplit/>
        </w:trPr>
        <w:tc>
          <w:tcPr>
            <w:tcW w:w="889" w:type="dxa"/>
            <w:vMerge w:val="restart"/>
            <w:tcBorders>
              <w:top w:val="nil"/>
              <w:left w:val="nil"/>
              <w:bottom w:val="nil"/>
              <w:right w:val="nil"/>
            </w:tcBorders>
            <w:shd w:val="clear" w:color="auto" w:fill="FFFFFF"/>
            <w:vAlign w:val="bottom"/>
          </w:tcPr>
          <w:p w14:paraId="7D005735"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4496" w:type="dxa"/>
            <w:gridSpan w:val="4"/>
            <w:tcBorders>
              <w:top w:val="nil"/>
              <w:left w:val="nil"/>
              <w:bottom w:val="nil"/>
              <w:right w:val="nil"/>
            </w:tcBorders>
            <w:shd w:val="clear" w:color="auto" w:fill="FFFFFF"/>
            <w:vAlign w:val="bottom"/>
          </w:tcPr>
          <w:p w14:paraId="111E91C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Component</w:t>
            </w:r>
          </w:p>
        </w:tc>
      </w:tr>
      <w:tr w:rsidR="002036F0" w:rsidRPr="002036F0" w14:paraId="7118AB0E" w14:textId="77777777">
        <w:trPr>
          <w:cantSplit/>
        </w:trPr>
        <w:tc>
          <w:tcPr>
            <w:tcW w:w="889" w:type="dxa"/>
            <w:vMerge/>
            <w:tcBorders>
              <w:top w:val="nil"/>
              <w:left w:val="nil"/>
              <w:bottom w:val="nil"/>
              <w:right w:val="nil"/>
            </w:tcBorders>
            <w:shd w:val="clear" w:color="auto" w:fill="FFFFFF"/>
            <w:vAlign w:val="bottom"/>
          </w:tcPr>
          <w:p w14:paraId="7E5B53B6" w14:textId="77777777" w:rsidR="002036F0" w:rsidRPr="002036F0" w:rsidRDefault="002036F0" w:rsidP="002E6F27">
            <w:pPr>
              <w:autoSpaceDE w:val="0"/>
              <w:autoSpaceDN w:val="0"/>
              <w:bidi w:val="0"/>
              <w:adjustRightInd w:val="0"/>
              <w:spacing w:after="0" w:line="240" w:lineRule="auto"/>
              <w:jc w:val="center"/>
              <w:rPr>
                <w:rFonts w:ascii="Arial" w:hAnsi="Arial" w:cs="Arial"/>
                <w:color w:val="264A60"/>
                <w:kern w:val="0"/>
                <w:sz w:val="18"/>
                <w:szCs w:val="18"/>
              </w:rPr>
            </w:pPr>
          </w:p>
        </w:tc>
        <w:tc>
          <w:tcPr>
            <w:tcW w:w="1124" w:type="dxa"/>
            <w:tcBorders>
              <w:top w:val="nil"/>
              <w:left w:val="nil"/>
              <w:bottom w:val="single" w:sz="8" w:space="0" w:color="152935"/>
              <w:right w:val="single" w:sz="8" w:space="0" w:color="E0E0E0"/>
            </w:tcBorders>
            <w:shd w:val="clear" w:color="auto" w:fill="FFFFFF"/>
            <w:vAlign w:val="bottom"/>
          </w:tcPr>
          <w:p w14:paraId="10A7741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1</w:t>
            </w:r>
          </w:p>
        </w:tc>
        <w:tc>
          <w:tcPr>
            <w:tcW w:w="1124" w:type="dxa"/>
            <w:tcBorders>
              <w:top w:val="nil"/>
              <w:left w:val="single" w:sz="8" w:space="0" w:color="E0E0E0"/>
              <w:bottom w:val="single" w:sz="8" w:space="0" w:color="152935"/>
              <w:right w:val="single" w:sz="8" w:space="0" w:color="E0E0E0"/>
            </w:tcBorders>
            <w:shd w:val="clear" w:color="auto" w:fill="FFFFFF"/>
            <w:vAlign w:val="bottom"/>
          </w:tcPr>
          <w:p w14:paraId="031C68E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2</w:t>
            </w:r>
          </w:p>
        </w:tc>
        <w:tc>
          <w:tcPr>
            <w:tcW w:w="1124" w:type="dxa"/>
            <w:tcBorders>
              <w:top w:val="nil"/>
              <w:left w:val="single" w:sz="8" w:space="0" w:color="E0E0E0"/>
              <w:bottom w:val="single" w:sz="8" w:space="0" w:color="152935"/>
              <w:right w:val="nil"/>
            </w:tcBorders>
            <w:shd w:val="clear" w:color="auto" w:fill="FFFFFF"/>
            <w:vAlign w:val="bottom"/>
          </w:tcPr>
          <w:p w14:paraId="73F1064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3</w:t>
            </w:r>
          </w:p>
        </w:tc>
        <w:tc>
          <w:tcPr>
            <w:tcW w:w="1124" w:type="dxa"/>
            <w:tcBorders>
              <w:top w:val="nil"/>
              <w:left w:val="single" w:sz="8" w:space="0" w:color="E0E0E0"/>
              <w:bottom w:val="single" w:sz="8" w:space="0" w:color="152935"/>
              <w:right w:val="nil"/>
            </w:tcBorders>
            <w:shd w:val="clear" w:color="auto" w:fill="FFFFFF"/>
            <w:vAlign w:val="bottom"/>
          </w:tcPr>
          <w:p w14:paraId="008B0A5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4</w:t>
            </w:r>
          </w:p>
        </w:tc>
      </w:tr>
      <w:tr w:rsidR="002036F0" w:rsidRPr="002036F0" w14:paraId="275123BF" w14:textId="77777777">
        <w:trPr>
          <w:cantSplit/>
        </w:trPr>
        <w:tc>
          <w:tcPr>
            <w:tcW w:w="889" w:type="dxa"/>
            <w:tcBorders>
              <w:top w:val="single" w:sz="8" w:space="0" w:color="152935"/>
              <w:left w:val="nil"/>
              <w:bottom w:val="single" w:sz="8" w:space="0" w:color="AEAEAE"/>
              <w:right w:val="nil"/>
            </w:tcBorders>
            <w:shd w:val="clear" w:color="auto" w:fill="E0E0E0"/>
          </w:tcPr>
          <w:p w14:paraId="5A67372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RLM2</w:t>
            </w:r>
          </w:p>
        </w:tc>
        <w:tc>
          <w:tcPr>
            <w:tcW w:w="1124" w:type="dxa"/>
            <w:tcBorders>
              <w:top w:val="single" w:sz="8" w:space="0" w:color="152935"/>
              <w:left w:val="nil"/>
              <w:bottom w:val="single" w:sz="8" w:space="0" w:color="AEAEAE"/>
              <w:right w:val="single" w:sz="8" w:space="0" w:color="E0E0E0"/>
            </w:tcBorders>
            <w:shd w:val="clear" w:color="auto" w:fill="F9F9FB"/>
          </w:tcPr>
          <w:p w14:paraId="44BC2E0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.855</w:t>
            </w:r>
          </w:p>
        </w:tc>
        <w:tc>
          <w:tcPr>
            <w:tcW w:w="1124" w:type="dxa"/>
            <w:tcBorders>
              <w:top w:val="single" w:sz="8" w:space="0" w:color="152935"/>
              <w:left w:val="single" w:sz="8" w:space="0" w:color="E0E0E0"/>
              <w:bottom w:val="single" w:sz="8" w:space="0" w:color="AEAEAE"/>
              <w:right w:val="single" w:sz="8" w:space="0" w:color="E0E0E0"/>
            </w:tcBorders>
            <w:shd w:val="clear" w:color="auto" w:fill="F9F9FB"/>
          </w:tcPr>
          <w:p w14:paraId="023ED8B4"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152935"/>
              <w:left w:val="single" w:sz="8" w:space="0" w:color="E0E0E0"/>
              <w:bottom w:val="single" w:sz="8" w:space="0" w:color="AEAEAE"/>
              <w:right w:val="nil"/>
            </w:tcBorders>
            <w:shd w:val="clear" w:color="auto" w:fill="F9F9FB"/>
          </w:tcPr>
          <w:p w14:paraId="400C252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-.466</w:t>
            </w:r>
          </w:p>
        </w:tc>
        <w:tc>
          <w:tcPr>
            <w:tcW w:w="1124" w:type="dxa"/>
            <w:tcBorders>
              <w:top w:val="single" w:sz="8" w:space="0" w:color="152935"/>
              <w:left w:val="single" w:sz="8" w:space="0" w:color="E0E0E0"/>
              <w:bottom w:val="single" w:sz="8" w:space="0" w:color="AEAEAE"/>
              <w:right w:val="nil"/>
            </w:tcBorders>
            <w:shd w:val="clear" w:color="auto" w:fill="F9F9FB"/>
          </w:tcPr>
          <w:p w14:paraId="2CFAA9CF"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2B9F273F" w14:textId="77777777">
        <w:trPr>
          <w:cantSplit/>
        </w:trPr>
        <w:tc>
          <w:tcPr>
            <w:tcW w:w="889" w:type="dxa"/>
            <w:tcBorders>
              <w:top w:val="single" w:sz="8" w:space="0" w:color="AEAEAE"/>
              <w:left w:val="nil"/>
              <w:bottom w:val="single" w:sz="8" w:space="0" w:color="AEAEAE"/>
              <w:right w:val="nil"/>
            </w:tcBorders>
            <w:shd w:val="clear" w:color="auto" w:fill="E0E0E0"/>
          </w:tcPr>
          <w:p w14:paraId="6ED51D0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REO1</w:t>
            </w:r>
          </w:p>
        </w:tc>
        <w:tc>
          <w:tcPr>
            <w:tcW w:w="1124" w:type="dxa"/>
            <w:tcBorders>
              <w:top w:val="single" w:sz="8" w:space="0" w:color="AEAEAE"/>
              <w:left w:val="nil"/>
              <w:bottom w:val="single" w:sz="8" w:space="0" w:color="AEAEAE"/>
              <w:right w:val="single" w:sz="8" w:space="0" w:color="E0E0E0"/>
            </w:tcBorders>
            <w:shd w:val="clear" w:color="auto" w:fill="F9F9FB"/>
          </w:tcPr>
          <w:p w14:paraId="00C813DB"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.855</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16AE588E"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3988089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-.466</w:t>
            </w:r>
          </w:p>
        </w:tc>
        <w:tc>
          <w:tcPr>
            <w:tcW w:w="1124" w:type="dxa"/>
            <w:tcBorders>
              <w:top w:val="single" w:sz="8" w:space="0" w:color="AEAEAE"/>
              <w:left w:val="single" w:sz="8" w:space="0" w:color="E0E0E0"/>
              <w:bottom w:val="single" w:sz="8" w:space="0" w:color="AEAEAE"/>
              <w:right w:val="nil"/>
            </w:tcBorders>
            <w:shd w:val="clear" w:color="auto" w:fill="F9F9FB"/>
          </w:tcPr>
          <w:p w14:paraId="32BD84DF"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11C6513E" w14:textId="77777777">
        <w:trPr>
          <w:cantSplit/>
        </w:trPr>
        <w:tc>
          <w:tcPr>
            <w:tcW w:w="889" w:type="dxa"/>
            <w:tcBorders>
              <w:top w:val="single" w:sz="8" w:space="0" w:color="AEAEAE"/>
              <w:left w:val="nil"/>
              <w:bottom w:val="single" w:sz="8" w:space="0" w:color="AEAEAE"/>
              <w:right w:val="nil"/>
            </w:tcBorders>
            <w:shd w:val="clear" w:color="auto" w:fill="E0E0E0"/>
          </w:tcPr>
          <w:p w14:paraId="13B1534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RCO2</w:t>
            </w:r>
          </w:p>
        </w:tc>
        <w:tc>
          <w:tcPr>
            <w:tcW w:w="1124" w:type="dxa"/>
            <w:tcBorders>
              <w:top w:val="single" w:sz="8" w:space="0" w:color="AEAEAE"/>
              <w:left w:val="nil"/>
              <w:bottom w:val="single" w:sz="8" w:space="0" w:color="AEAEAE"/>
              <w:right w:val="single" w:sz="8" w:space="0" w:color="E0E0E0"/>
            </w:tcBorders>
            <w:shd w:val="clear" w:color="auto" w:fill="F9F9FB"/>
          </w:tcPr>
          <w:p w14:paraId="14D3EDB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.790</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2154083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2FCBBAF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35D043D0"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27902CAD" w14:textId="77777777">
        <w:trPr>
          <w:cantSplit/>
        </w:trPr>
        <w:tc>
          <w:tcPr>
            <w:tcW w:w="889" w:type="dxa"/>
            <w:tcBorders>
              <w:top w:val="single" w:sz="8" w:space="0" w:color="AEAEAE"/>
              <w:left w:val="nil"/>
              <w:bottom w:val="single" w:sz="8" w:space="0" w:color="AEAEAE"/>
              <w:right w:val="nil"/>
            </w:tcBorders>
            <w:shd w:val="clear" w:color="auto" w:fill="E0E0E0"/>
          </w:tcPr>
          <w:p w14:paraId="0027605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ROT2</w:t>
            </w:r>
          </w:p>
        </w:tc>
        <w:tc>
          <w:tcPr>
            <w:tcW w:w="1124" w:type="dxa"/>
            <w:tcBorders>
              <w:top w:val="single" w:sz="8" w:space="0" w:color="AEAEAE"/>
              <w:left w:val="nil"/>
              <w:bottom w:val="single" w:sz="8" w:space="0" w:color="AEAEAE"/>
              <w:right w:val="single" w:sz="8" w:space="0" w:color="E0E0E0"/>
            </w:tcBorders>
            <w:shd w:val="clear" w:color="auto" w:fill="F9F9FB"/>
          </w:tcPr>
          <w:p w14:paraId="01A8830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.788</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38B7D36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-.401</w:t>
            </w:r>
          </w:p>
        </w:tc>
        <w:tc>
          <w:tcPr>
            <w:tcW w:w="1124" w:type="dxa"/>
            <w:tcBorders>
              <w:top w:val="single" w:sz="8" w:space="0" w:color="AEAEAE"/>
              <w:left w:val="single" w:sz="8" w:space="0" w:color="E0E0E0"/>
              <w:bottom w:val="single" w:sz="8" w:space="0" w:color="AEAEAE"/>
              <w:right w:val="nil"/>
            </w:tcBorders>
            <w:shd w:val="clear" w:color="auto" w:fill="F9F9FB"/>
          </w:tcPr>
          <w:p w14:paraId="7F35E42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.450</w:t>
            </w:r>
          </w:p>
        </w:tc>
        <w:tc>
          <w:tcPr>
            <w:tcW w:w="1124" w:type="dxa"/>
            <w:tcBorders>
              <w:top w:val="single" w:sz="8" w:space="0" w:color="AEAEAE"/>
              <w:left w:val="single" w:sz="8" w:space="0" w:color="E0E0E0"/>
              <w:bottom w:val="single" w:sz="8" w:space="0" w:color="AEAEAE"/>
              <w:right w:val="nil"/>
            </w:tcBorders>
            <w:shd w:val="clear" w:color="auto" w:fill="F9F9FB"/>
          </w:tcPr>
          <w:p w14:paraId="517F9BFD"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2FEC9270" w14:textId="77777777">
        <w:trPr>
          <w:cantSplit/>
        </w:trPr>
        <w:tc>
          <w:tcPr>
            <w:tcW w:w="889" w:type="dxa"/>
            <w:tcBorders>
              <w:top w:val="single" w:sz="8" w:space="0" w:color="AEAEAE"/>
              <w:left w:val="nil"/>
              <w:bottom w:val="single" w:sz="8" w:space="0" w:color="AEAEAE"/>
              <w:right w:val="nil"/>
            </w:tcBorders>
            <w:shd w:val="clear" w:color="auto" w:fill="E0E0E0"/>
          </w:tcPr>
          <w:p w14:paraId="610EB4A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RCO1</w:t>
            </w:r>
          </w:p>
        </w:tc>
        <w:tc>
          <w:tcPr>
            <w:tcW w:w="1124" w:type="dxa"/>
            <w:tcBorders>
              <w:top w:val="single" w:sz="8" w:space="0" w:color="AEAEAE"/>
              <w:left w:val="nil"/>
              <w:bottom w:val="single" w:sz="8" w:space="0" w:color="AEAEAE"/>
              <w:right w:val="single" w:sz="8" w:space="0" w:color="E0E0E0"/>
            </w:tcBorders>
            <w:shd w:val="clear" w:color="auto" w:fill="F9F9FB"/>
          </w:tcPr>
          <w:p w14:paraId="0C3623C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.788</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1407FF8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-.401</w:t>
            </w:r>
          </w:p>
        </w:tc>
        <w:tc>
          <w:tcPr>
            <w:tcW w:w="1124" w:type="dxa"/>
            <w:tcBorders>
              <w:top w:val="single" w:sz="8" w:space="0" w:color="AEAEAE"/>
              <w:left w:val="single" w:sz="8" w:space="0" w:color="E0E0E0"/>
              <w:bottom w:val="single" w:sz="8" w:space="0" w:color="AEAEAE"/>
              <w:right w:val="nil"/>
            </w:tcBorders>
            <w:shd w:val="clear" w:color="auto" w:fill="F9F9FB"/>
          </w:tcPr>
          <w:p w14:paraId="11E1F32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.450</w:t>
            </w:r>
          </w:p>
        </w:tc>
        <w:tc>
          <w:tcPr>
            <w:tcW w:w="1124" w:type="dxa"/>
            <w:tcBorders>
              <w:top w:val="single" w:sz="8" w:space="0" w:color="AEAEAE"/>
              <w:left w:val="single" w:sz="8" w:space="0" w:color="E0E0E0"/>
              <w:bottom w:val="single" w:sz="8" w:space="0" w:color="AEAEAE"/>
              <w:right w:val="nil"/>
            </w:tcBorders>
            <w:shd w:val="clear" w:color="auto" w:fill="F9F9FB"/>
          </w:tcPr>
          <w:p w14:paraId="2438BE63"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5B6BE075" w14:textId="77777777">
        <w:trPr>
          <w:cantSplit/>
        </w:trPr>
        <w:tc>
          <w:tcPr>
            <w:tcW w:w="889" w:type="dxa"/>
            <w:tcBorders>
              <w:top w:val="single" w:sz="8" w:space="0" w:color="AEAEAE"/>
              <w:left w:val="nil"/>
              <w:bottom w:val="single" w:sz="8" w:space="0" w:color="AEAEAE"/>
              <w:right w:val="nil"/>
            </w:tcBorders>
            <w:shd w:val="clear" w:color="auto" w:fill="E0E0E0"/>
          </w:tcPr>
          <w:p w14:paraId="21BAAE8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RLM1</w:t>
            </w:r>
          </w:p>
        </w:tc>
        <w:tc>
          <w:tcPr>
            <w:tcW w:w="1124" w:type="dxa"/>
            <w:tcBorders>
              <w:top w:val="single" w:sz="8" w:space="0" w:color="AEAEAE"/>
              <w:left w:val="nil"/>
              <w:bottom w:val="single" w:sz="8" w:space="0" w:color="AEAEAE"/>
              <w:right w:val="single" w:sz="8" w:space="0" w:color="E0E0E0"/>
            </w:tcBorders>
            <w:shd w:val="clear" w:color="auto" w:fill="F9F9FB"/>
          </w:tcPr>
          <w:p w14:paraId="11C7253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.765</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1FEBD8EC"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35ED87B6"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747C30D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.616</w:t>
            </w:r>
          </w:p>
        </w:tc>
      </w:tr>
      <w:tr w:rsidR="002036F0" w:rsidRPr="002036F0" w14:paraId="6323AE13" w14:textId="77777777">
        <w:trPr>
          <w:cantSplit/>
        </w:trPr>
        <w:tc>
          <w:tcPr>
            <w:tcW w:w="889" w:type="dxa"/>
            <w:tcBorders>
              <w:top w:val="single" w:sz="8" w:space="0" w:color="AEAEAE"/>
              <w:left w:val="nil"/>
              <w:bottom w:val="single" w:sz="8" w:space="0" w:color="AEAEAE"/>
              <w:right w:val="nil"/>
            </w:tcBorders>
            <w:shd w:val="clear" w:color="auto" w:fill="E0E0E0"/>
          </w:tcPr>
          <w:p w14:paraId="548ED5A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ROT1</w:t>
            </w:r>
          </w:p>
        </w:tc>
        <w:tc>
          <w:tcPr>
            <w:tcW w:w="1124" w:type="dxa"/>
            <w:tcBorders>
              <w:top w:val="single" w:sz="8" w:space="0" w:color="AEAEAE"/>
              <w:left w:val="nil"/>
              <w:bottom w:val="single" w:sz="8" w:space="0" w:color="AEAEAE"/>
              <w:right w:val="single" w:sz="8" w:space="0" w:color="E0E0E0"/>
            </w:tcBorders>
            <w:shd w:val="clear" w:color="auto" w:fill="F9F9FB"/>
          </w:tcPr>
          <w:p w14:paraId="06A81A4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.651</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7A04D3C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.734</w:t>
            </w:r>
          </w:p>
        </w:tc>
        <w:tc>
          <w:tcPr>
            <w:tcW w:w="1124" w:type="dxa"/>
            <w:tcBorders>
              <w:top w:val="single" w:sz="8" w:space="0" w:color="AEAEAE"/>
              <w:left w:val="single" w:sz="8" w:space="0" w:color="E0E0E0"/>
              <w:bottom w:val="single" w:sz="8" w:space="0" w:color="AEAEAE"/>
              <w:right w:val="nil"/>
            </w:tcBorders>
            <w:shd w:val="clear" w:color="auto" w:fill="F9F9FB"/>
          </w:tcPr>
          <w:p w14:paraId="263C9BA2"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9F9FB"/>
          </w:tcPr>
          <w:p w14:paraId="7E2B6DE4"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5A64E5FD" w14:textId="77777777">
        <w:trPr>
          <w:cantSplit/>
        </w:trPr>
        <w:tc>
          <w:tcPr>
            <w:tcW w:w="889" w:type="dxa"/>
            <w:tcBorders>
              <w:top w:val="single" w:sz="8" w:space="0" w:color="AEAEAE"/>
              <w:left w:val="nil"/>
              <w:bottom w:val="single" w:sz="8" w:space="0" w:color="152935"/>
              <w:right w:val="nil"/>
            </w:tcBorders>
            <w:shd w:val="clear" w:color="auto" w:fill="E0E0E0"/>
          </w:tcPr>
          <w:p w14:paraId="6AD9FE9E"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REO2</w:t>
            </w:r>
          </w:p>
        </w:tc>
        <w:tc>
          <w:tcPr>
            <w:tcW w:w="1124" w:type="dxa"/>
            <w:tcBorders>
              <w:top w:val="single" w:sz="8" w:space="0" w:color="AEAEAE"/>
              <w:left w:val="nil"/>
              <w:bottom w:val="single" w:sz="8" w:space="0" w:color="152935"/>
              <w:right w:val="single" w:sz="8" w:space="0" w:color="E0E0E0"/>
            </w:tcBorders>
            <w:shd w:val="clear" w:color="auto" w:fill="F9F9FB"/>
          </w:tcPr>
          <w:p w14:paraId="4809ECE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.651</w:t>
            </w:r>
          </w:p>
        </w:tc>
        <w:tc>
          <w:tcPr>
            <w:tcW w:w="1124" w:type="dxa"/>
            <w:tcBorders>
              <w:top w:val="single" w:sz="8" w:space="0" w:color="AEAEAE"/>
              <w:left w:val="single" w:sz="8" w:space="0" w:color="E0E0E0"/>
              <w:bottom w:val="single" w:sz="8" w:space="0" w:color="152935"/>
              <w:right w:val="single" w:sz="8" w:space="0" w:color="E0E0E0"/>
            </w:tcBorders>
            <w:shd w:val="clear" w:color="auto" w:fill="F9F9FB"/>
          </w:tcPr>
          <w:p w14:paraId="3FD3584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.734</w:t>
            </w:r>
          </w:p>
        </w:tc>
        <w:tc>
          <w:tcPr>
            <w:tcW w:w="1124" w:type="dxa"/>
            <w:tcBorders>
              <w:top w:val="single" w:sz="8" w:space="0" w:color="AEAEAE"/>
              <w:left w:val="single" w:sz="8" w:space="0" w:color="E0E0E0"/>
              <w:bottom w:val="single" w:sz="8" w:space="0" w:color="152935"/>
              <w:right w:val="nil"/>
            </w:tcBorders>
            <w:shd w:val="clear" w:color="auto" w:fill="F9F9FB"/>
          </w:tcPr>
          <w:p w14:paraId="29EE7243"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9F9FB"/>
          </w:tcPr>
          <w:p w14:paraId="3BA23F58" w14:textId="77777777" w:rsidR="002036F0" w:rsidRPr="002036F0" w:rsidRDefault="002036F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r>
      <w:tr w:rsidR="002036F0" w:rsidRPr="002036F0" w14:paraId="5850AA5A" w14:textId="77777777">
        <w:trPr>
          <w:cantSplit/>
        </w:trPr>
        <w:tc>
          <w:tcPr>
            <w:tcW w:w="5385" w:type="dxa"/>
            <w:gridSpan w:val="5"/>
            <w:tcBorders>
              <w:top w:val="nil"/>
              <w:left w:val="nil"/>
              <w:bottom w:val="nil"/>
              <w:right w:val="nil"/>
            </w:tcBorders>
            <w:shd w:val="clear" w:color="auto" w:fill="FFFFFF"/>
          </w:tcPr>
          <w:p w14:paraId="6BD7FEA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Extraction Method: Principal Component Analysis.</w:t>
            </w:r>
          </w:p>
        </w:tc>
      </w:tr>
      <w:tr w:rsidR="002036F0" w:rsidRPr="002036F0" w14:paraId="163A1DDC" w14:textId="77777777">
        <w:trPr>
          <w:cantSplit/>
        </w:trPr>
        <w:tc>
          <w:tcPr>
            <w:tcW w:w="5385" w:type="dxa"/>
            <w:gridSpan w:val="5"/>
            <w:tcBorders>
              <w:top w:val="nil"/>
              <w:left w:val="nil"/>
              <w:bottom w:val="nil"/>
              <w:right w:val="nil"/>
            </w:tcBorders>
            <w:shd w:val="clear" w:color="auto" w:fill="FFFFFF"/>
          </w:tcPr>
          <w:p w14:paraId="29A4115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a. 4 components extracted.</w:t>
            </w:r>
          </w:p>
        </w:tc>
      </w:tr>
    </w:tbl>
    <w:p w14:paraId="4E983FF0"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41D9AAD0"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5906" w:type="dxa"/>
        <w:tblLayout w:type="fixed"/>
        <w:tblCellMar>
          <w:left w:w="0" w:type="dxa"/>
          <w:right w:w="0" w:type="dxa"/>
        </w:tblCellMar>
        <w:tblLook w:val="0000" w:firstRow="0" w:lastRow="0" w:firstColumn="0" w:lastColumn="0" w:noHBand="0" w:noVBand="0"/>
      </w:tblPr>
      <w:tblGrid>
        <w:gridCol w:w="1410"/>
        <w:gridCol w:w="1124"/>
        <w:gridCol w:w="1124"/>
        <w:gridCol w:w="1124"/>
        <w:gridCol w:w="1124"/>
      </w:tblGrid>
      <w:tr w:rsidR="002036F0" w:rsidRPr="002036F0" w14:paraId="3C1030D2" w14:textId="77777777">
        <w:trPr>
          <w:cantSplit/>
        </w:trPr>
        <w:tc>
          <w:tcPr>
            <w:tcW w:w="5905" w:type="dxa"/>
            <w:gridSpan w:val="5"/>
            <w:tcBorders>
              <w:top w:val="nil"/>
              <w:left w:val="nil"/>
              <w:bottom w:val="nil"/>
              <w:right w:val="nil"/>
            </w:tcBorders>
            <w:shd w:val="clear" w:color="auto" w:fill="FFFFFF"/>
            <w:vAlign w:val="center"/>
          </w:tcPr>
          <w:p w14:paraId="567AB21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rPr>
            </w:pPr>
            <w:r w:rsidRPr="002036F0">
              <w:rPr>
                <w:rFonts w:ascii="Arial" w:hAnsi="Arial" w:cs="Arial"/>
                <w:b/>
                <w:bCs/>
                <w:color w:val="010205"/>
                <w:kern w:val="0"/>
              </w:rPr>
              <w:t>Component Transformation Matrix</w:t>
            </w:r>
          </w:p>
        </w:tc>
      </w:tr>
      <w:tr w:rsidR="002036F0" w:rsidRPr="002036F0" w14:paraId="30EDE5BC" w14:textId="77777777">
        <w:trPr>
          <w:cantSplit/>
        </w:trPr>
        <w:tc>
          <w:tcPr>
            <w:tcW w:w="1409" w:type="dxa"/>
            <w:tcBorders>
              <w:top w:val="nil"/>
              <w:left w:val="nil"/>
              <w:bottom w:val="single" w:sz="8" w:space="0" w:color="152935"/>
              <w:right w:val="nil"/>
            </w:tcBorders>
            <w:shd w:val="clear" w:color="auto" w:fill="FFFFFF"/>
            <w:vAlign w:val="bottom"/>
          </w:tcPr>
          <w:p w14:paraId="542DAEC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Component</w:t>
            </w:r>
          </w:p>
        </w:tc>
        <w:tc>
          <w:tcPr>
            <w:tcW w:w="1124" w:type="dxa"/>
            <w:tcBorders>
              <w:top w:val="nil"/>
              <w:left w:val="nil"/>
              <w:bottom w:val="single" w:sz="8" w:space="0" w:color="152935"/>
              <w:right w:val="single" w:sz="8" w:space="0" w:color="E0E0E0"/>
            </w:tcBorders>
            <w:shd w:val="clear" w:color="auto" w:fill="FFFFFF"/>
            <w:vAlign w:val="bottom"/>
          </w:tcPr>
          <w:p w14:paraId="77979F0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1</w:t>
            </w:r>
          </w:p>
        </w:tc>
        <w:tc>
          <w:tcPr>
            <w:tcW w:w="1124" w:type="dxa"/>
            <w:tcBorders>
              <w:top w:val="nil"/>
              <w:left w:val="single" w:sz="8" w:space="0" w:color="E0E0E0"/>
              <w:bottom w:val="single" w:sz="8" w:space="0" w:color="152935"/>
              <w:right w:val="single" w:sz="8" w:space="0" w:color="E0E0E0"/>
            </w:tcBorders>
            <w:shd w:val="clear" w:color="auto" w:fill="FFFFFF"/>
            <w:vAlign w:val="bottom"/>
          </w:tcPr>
          <w:p w14:paraId="0EBC9DFF"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2</w:t>
            </w:r>
          </w:p>
        </w:tc>
        <w:tc>
          <w:tcPr>
            <w:tcW w:w="1124" w:type="dxa"/>
            <w:tcBorders>
              <w:top w:val="nil"/>
              <w:left w:val="single" w:sz="8" w:space="0" w:color="E0E0E0"/>
              <w:bottom w:val="single" w:sz="8" w:space="0" w:color="152935"/>
              <w:right w:val="nil"/>
            </w:tcBorders>
            <w:shd w:val="clear" w:color="auto" w:fill="FFFFFF"/>
            <w:vAlign w:val="bottom"/>
          </w:tcPr>
          <w:p w14:paraId="7505FA0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3</w:t>
            </w:r>
          </w:p>
        </w:tc>
        <w:tc>
          <w:tcPr>
            <w:tcW w:w="1124" w:type="dxa"/>
            <w:tcBorders>
              <w:top w:val="nil"/>
              <w:left w:val="single" w:sz="8" w:space="0" w:color="E0E0E0"/>
              <w:bottom w:val="single" w:sz="8" w:space="0" w:color="152935"/>
              <w:right w:val="nil"/>
            </w:tcBorders>
            <w:shd w:val="clear" w:color="auto" w:fill="FFFFFF"/>
            <w:vAlign w:val="bottom"/>
          </w:tcPr>
          <w:p w14:paraId="0154E55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4</w:t>
            </w:r>
          </w:p>
        </w:tc>
      </w:tr>
      <w:tr w:rsidR="002036F0" w:rsidRPr="002036F0" w14:paraId="7C1E8F74" w14:textId="77777777">
        <w:trPr>
          <w:cantSplit/>
        </w:trPr>
        <w:tc>
          <w:tcPr>
            <w:tcW w:w="1409" w:type="dxa"/>
            <w:tcBorders>
              <w:top w:val="single" w:sz="8" w:space="0" w:color="152935"/>
              <w:left w:val="nil"/>
              <w:bottom w:val="single" w:sz="8" w:space="0" w:color="AEAEAE"/>
              <w:right w:val="nil"/>
            </w:tcBorders>
            <w:shd w:val="clear" w:color="auto" w:fill="E0E0E0"/>
          </w:tcPr>
          <w:p w14:paraId="3193359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1</w:t>
            </w:r>
          </w:p>
        </w:tc>
        <w:tc>
          <w:tcPr>
            <w:tcW w:w="1124" w:type="dxa"/>
            <w:tcBorders>
              <w:top w:val="single" w:sz="8" w:space="0" w:color="152935"/>
              <w:left w:val="nil"/>
              <w:bottom w:val="single" w:sz="8" w:space="0" w:color="AEAEAE"/>
              <w:right w:val="single" w:sz="8" w:space="0" w:color="E0E0E0"/>
            </w:tcBorders>
            <w:shd w:val="clear" w:color="auto" w:fill="F9F9FB"/>
          </w:tcPr>
          <w:p w14:paraId="777AB99A"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.609</w:t>
            </w:r>
          </w:p>
        </w:tc>
        <w:tc>
          <w:tcPr>
            <w:tcW w:w="1124" w:type="dxa"/>
            <w:tcBorders>
              <w:top w:val="single" w:sz="8" w:space="0" w:color="152935"/>
              <w:left w:val="single" w:sz="8" w:space="0" w:color="E0E0E0"/>
              <w:bottom w:val="single" w:sz="8" w:space="0" w:color="AEAEAE"/>
              <w:right w:val="single" w:sz="8" w:space="0" w:color="E0E0E0"/>
            </w:tcBorders>
            <w:shd w:val="clear" w:color="auto" w:fill="F9F9FB"/>
          </w:tcPr>
          <w:p w14:paraId="3A2F3ACD"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.559</w:t>
            </w:r>
          </w:p>
        </w:tc>
        <w:tc>
          <w:tcPr>
            <w:tcW w:w="1124" w:type="dxa"/>
            <w:tcBorders>
              <w:top w:val="single" w:sz="8" w:space="0" w:color="152935"/>
              <w:left w:val="single" w:sz="8" w:space="0" w:color="E0E0E0"/>
              <w:bottom w:val="single" w:sz="8" w:space="0" w:color="AEAEAE"/>
              <w:right w:val="nil"/>
            </w:tcBorders>
            <w:shd w:val="clear" w:color="auto" w:fill="F9F9FB"/>
          </w:tcPr>
          <w:p w14:paraId="40EF914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.442</w:t>
            </w:r>
          </w:p>
        </w:tc>
        <w:tc>
          <w:tcPr>
            <w:tcW w:w="1124" w:type="dxa"/>
            <w:tcBorders>
              <w:top w:val="single" w:sz="8" w:space="0" w:color="152935"/>
              <w:left w:val="single" w:sz="8" w:space="0" w:color="E0E0E0"/>
              <w:bottom w:val="single" w:sz="8" w:space="0" w:color="AEAEAE"/>
              <w:right w:val="nil"/>
            </w:tcBorders>
            <w:shd w:val="clear" w:color="auto" w:fill="F9F9FB"/>
          </w:tcPr>
          <w:p w14:paraId="41A54395"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.348</w:t>
            </w:r>
          </w:p>
        </w:tc>
      </w:tr>
      <w:tr w:rsidR="002036F0" w:rsidRPr="002036F0" w14:paraId="284A48D4" w14:textId="77777777">
        <w:trPr>
          <w:cantSplit/>
        </w:trPr>
        <w:tc>
          <w:tcPr>
            <w:tcW w:w="1409" w:type="dxa"/>
            <w:tcBorders>
              <w:top w:val="single" w:sz="8" w:space="0" w:color="AEAEAE"/>
              <w:left w:val="nil"/>
              <w:bottom w:val="single" w:sz="8" w:space="0" w:color="AEAEAE"/>
              <w:right w:val="nil"/>
            </w:tcBorders>
            <w:shd w:val="clear" w:color="auto" w:fill="E0E0E0"/>
          </w:tcPr>
          <w:p w14:paraId="3B725DA9"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2</w:t>
            </w:r>
          </w:p>
        </w:tc>
        <w:tc>
          <w:tcPr>
            <w:tcW w:w="1124" w:type="dxa"/>
            <w:tcBorders>
              <w:top w:val="single" w:sz="8" w:space="0" w:color="AEAEAE"/>
              <w:left w:val="nil"/>
              <w:bottom w:val="single" w:sz="8" w:space="0" w:color="AEAEAE"/>
              <w:right w:val="single" w:sz="8" w:space="0" w:color="E0E0E0"/>
            </w:tcBorders>
            <w:shd w:val="clear" w:color="auto" w:fill="F9F9FB"/>
          </w:tcPr>
          <w:p w14:paraId="2D7FF470"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-.167</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20D1309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-.501</w:t>
            </w:r>
          </w:p>
        </w:tc>
        <w:tc>
          <w:tcPr>
            <w:tcW w:w="1124" w:type="dxa"/>
            <w:tcBorders>
              <w:top w:val="single" w:sz="8" w:space="0" w:color="AEAEAE"/>
              <w:left w:val="single" w:sz="8" w:space="0" w:color="E0E0E0"/>
              <w:bottom w:val="single" w:sz="8" w:space="0" w:color="AEAEAE"/>
              <w:right w:val="nil"/>
            </w:tcBorders>
            <w:shd w:val="clear" w:color="auto" w:fill="F9F9FB"/>
          </w:tcPr>
          <w:p w14:paraId="1441409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.849</w:t>
            </w:r>
          </w:p>
        </w:tc>
        <w:tc>
          <w:tcPr>
            <w:tcW w:w="1124" w:type="dxa"/>
            <w:tcBorders>
              <w:top w:val="single" w:sz="8" w:space="0" w:color="AEAEAE"/>
              <w:left w:val="single" w:sz="8" w:space="0" w:color="E0E0E0"/>
              <w:bottom w:val="single" w:sz="8" w:space="0" w:color="AEAEAE"/>
              <w:right w:val="nil"/>
            </w:tcBorders>
            <w:shd w:val="clear" w:color="auto" w:fill="F9F9FB"/>
          </w:tcPr>
          <w:p w14:paraId="265865E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.019</w:t>
            </w:r>
          </w:p>
        </w:tc>
      </w:tr>
      <w:tr w:rsidR="002036F0" w:rsidRPr="002036F0" w14:paraId="67A9E54C" w14:textId="77777777">
        <w:trPr>
          <w:cantSplit/>
        </w:trPr>
        <w:tc>
          <w:tcPr>
            <w:tcW w:w="1409" w:type="dxa"/>
            <w:tcBorders>
              <w:top w:val="single" w:sz="8" w:space="0" w:color="AEAEAE"/>
              <w:left w:val="nil"/>
              <w:bottom w:val="single" w:sz="8" w:space="0" w:color="AEAEAE"/>
              <w:right w:val="nil"/>
            </w:tcBorders>
            <w:shd w:val="clear" w:color="auto" w:fill="E0E0E0"/>
          </w:tcPr>
          <w:p w14:paraId="44D8B4C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3</w:t>
            </w:r>
          </w:p>
        </w:tc>
        <w:tc>
          <w:tcPr>
            <w:tcW w:w="1124" w:type="dxa"/>
            <w:tcBorders>
              <w:top w:val="single" w:sz="8" w:space="0" w:color="AEAEAE"/>
              <w:left w:val="nil"/>
              <w:bottom w:val="single" w:sz="8" w:space="0" w:color="AEAEAE"/>
              <w:right w:val="single" w:sz="8" w:space="0" w:color="E0E0E0"/>
            </w:tcBorders>
            <w:shd w:val="clear" w:color="auto" w:fill="F9F9FB"/>
          </w:tcPr>
          <w:p w14:paraId="489CD066"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-.718</w:t>
            </w:r>
          </w:p>
        </w:tc>
        <w:tc>
          <w:tcPr>
            <w:tcW w:w="1124" w:type="dxa"/>
            <w:tcBorders>
              <w:top w:val="single" w:sz="8" w:space="0" w:color="AEAEAE"/>
              <w:left w:val="single" w:sz="8" w:space="0" w:color="E0E0E0"/>
              <w:bottom w:val="single" w:sz="8" w:space="0" w:color="AEAEAE"/>
              <w:right w:val="single" w:sz="8" w:space="0" w:color="E0E0E0"/>
            </w:tcBorders>
            <w:shd w:val="clear" w:color="auto" w:fill="F9F9FB"/>
          </w:tcPr>
          <w:p w14:paraId="42F3AE2C"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.647</w:t>
            </w:r>
          </w:p>
        </w:tc>
        <w:tc>
          <w:tcPr>
            <w:tcW w:w="1124" w:type="dxa"/>
            <w:tcBorders>
              <w:top w:val="single" w:sz="8" w:space="0" w:color="AEAEAE"/>
              <w:left w:val="single" w:sz="8" w:space="0" w:color="E0E0E0"/>
              <w:bottom w:val="single" w:sz="8" w:space="0" w:color="AEAEAE"/>
              <w:right w:val="nil"/>
            </w:tcBorders>
            <w:shd w:val="clear" w:color="auto" w:fill="F9F9FB"/>
          </w:tcPr>
          <w:p w14:paraId="196DB50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.242</w:t>
            </w:r>
          </w:p>
        </w:tc>
        <w:tc>
          <w:tcPr>
            <w:tcW w:w="1124" w:type="dxa"/>
            <w:tcBorders>
              <w:top w:val="single" w:sz="8" w:space="0" w:color="AEAEAE"/>
              <w:left w:val="single" w:sz="8" w:space="0" w:color="E0E0E0"/>
              <w:bottom w:val="single" w:sz="8" w:space="0" w:color="AEAEAE"/>
              <w:right w:val="nil"/>
            </w:tcBorders>
            <w:shd w:val="clear" w:color="auto" w:fill="F9F9FB"/>
          </w:tcPr>
          <w:p w14:paraId="20C60491"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-.090</w:t>
            </w:r>
          </w:p>
        </w:tc>
      </w:tr>
      <w:tr w:rsidR="002036F0" w:rsidRPr="002036F0" w14:paraId="1A20A4BF" w14:textId="77777777">
        <w:trPr>
          <w:cantSplit/>
        </w:trPr>
        <w:tc>
          <w:tcPr>
            <w:tcW w:w="1409" w:type="dxa"/>
            <w:tcBorders>
              <w:top w:val="single" w:sz="8" w:space="0" w:color="AEAEAE"/>
              <w:left w:val="nil"/>
              <w:bottom w:val="single" w:sz="8" w:space="0" w:color="152935"/>
              <w:right w:val="nil"/>
            </w:tcBorders>
            <w:shd w:val="clear" w:color="auto" w:fill="E0E0E0"/>
          </w:tcPr>
          <w:p w14:paraId="7BCE7E6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2036F0">
              <w:rPr>
                <w:rFonts w:ascii="Arial" w:hAnsi="Arial" w:cs="Arial"/>
                <w:color w:val="264A60"/>
                <w:kern w:val="0"/>
                <w:sz w:val="18"/>
                <w:szCs w:val="18"/>
              </w:rPr>
              <w:t>4</w:t>
            </w:r>
          </w:p>
        </w:tc>
        <w:tc>
          <w:tcPr>
            <w:tcW w:w="1124" w:type="dxa"/>
            <w:tcBorders>
              <w:top w:val="single" w:sz="8" w:space="0" w:color="AEAEAE"/>
              <w:left w:val="nil"/>
              <w:bottom w:val="single" w:sz="8" w:space="0" w:color="152935"/>
              <w:right w:val="single" w:sz="8" w:space="0" w:color="E0E0E0"/>
            </w:tcBorders>
            <w:shd w:val="clear" w:color="auto" w:fill="F9F9FB"/>
          </w:tcPr>
          <w:p w14:paraId="3BD447E7"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-.293</w:t>
            </w:r>
          </w:p>
        </w:tc>
        <w:tc>
          <w:tcPr>
            <w:tcW w:w="1124" w:type="dxa"/>
            <w:tcBorders>
              <w:top w:val="single" w:sz="8" w:space="0" w:color="AEAEAE"/>
              <w:left w:val="single" w:sz="8" w:space="0" w:color="E0E0E0"/>
              <w:bottom w:val="single" w:sz="8" w:space="0" w:color="152935"/>
              <w:right w:val="single" w:sz="8" w:space="0" w:color="E0E0E0"/>
            </w:tcBorders>
            <w:shd w:val="clear" w:color="auto" w:fill="F9F9FB"/>
          </w:tcPr>
          <w:p w14:paraId="59D746F4"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-.136</w:t>
            </w:r>
          </w:p>
        </w:tc>
        <w:tc>
          <w:tcPr>
            <w:tcW w:w="1124" w:type="dxa"/>
            <w:tcBorders>
              <w:top w:val="single" w:sz="8" w:space="0" w:color="AEAEAE"/>
              <w:left w:val="single" w:sz="8" w:space="0" w:color="E0E0E0"/>
              <w:bottom w:val="single" w:sz="8" w:space="0" w:color="152935"/>
              <w:right w:val="nil"/>
            </w:tcBorders>
            <w:shd w:val="clear" w:color="auto" w:fill="F9F9FB"/>
          </w:tcPr>
          <w:p w14:paraId="32C9D6E8"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-.159</w:t>
            </w:r>
          </w:p>
        </w:tc>
        <w:tc>
          <w:tcPr>
            <w:tcW w:w="1124" w:type="dxa"/>
            <w:tcBorders>
              <w:top w:val="single" w:sz="8" w:space="0" w:color="AEAEAE"/>
              <w:left w:val="single" w:sz="8" w:space="0" w:color="E0E0E0"/>
              <w:bottom w:val="single" w:sz="8" w:space="0" w:color="152935"/>
              <w:right w:val="nil"/>
            </w:tcBorders>
            <w:shd w:val="clear" w:color="auto" w:fill="F9F9FB"/>
          </w:tcPr>
          <w:p w14:paraId="04465B13" w14:textId="77777777"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.933</w:t>
            </w:r>
          </w:p>
        </w:tc>
      </w:tr>
      <w:tr w:rsidR="002036F0" w:rsidRPr="002036F0" w14:paraId="0B6A35FE" w14:textId="77777777">
        <w:trPr>
          <w:cantSplit/>
        </w:trPr>
        <w:tc>
          <w:tcPr>
            <w:tcW w:w="5905" w:type="dxa"/>
            <w:gridSpan w:val="5"/>
            <w:tcBorders>
              <w:top w:val="nil"/>
              <w:left w:val="nil"/>
              <w:bottom w:val="nil"/>
              <w:right w:val="nil"/>
            </w:tcBorders>
            <w:shd w:val="clear" w:color="auto" w:fill="FFFFFF"/>
          </w:tcPr>
          <w:p w14:paraId="715CF9BE" w14:textId="1DD408C5"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Extraction Method: Principal Component Analysis.</w:t>
            </w:r>
          </w:p>
          <w:p w14:paraId="16E5DD5F" w14:textId="6A613532" w:rsidR="002036F0" w:rsidRPr="002036F0" w:rsidRDefault="002036F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2036F0">
              <w:rPr>
                <w:rFonts w:ascii="Arial" w:hAnsi="Arial" w:cs="Arial"/>
                <w:color w:val="010205"/>
                <w:kern w:val="0"/>
                <w:sz w:val="18"/>
                <w:szCs w:val="18"/>
              </w:rPr>
              <w:t>Rotation Method: Varimax with Kaiser Normalization.</w:t>
            </w:r>
          </w:p>
        </w:tc>
      </w:tr>
    </w:tbl>
    <w:p w14:paraId="04A618C2" w14:textId="77777777" w:rsidR="002036F0" w:rsidRPr="002036F0" w:rsidRDefault="002036F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4BC5C4CA" w14:textId="77777777" w:rsidR="001153C0" w:rsidRPr="001153C0" w:rsidRDefault="001153C0" w:rsidP="002E6F27">
      <w:pPr>
        <w:autoSpaceDE w:val="0"/>
        <w:autoSpaceDN w:val="0"/>
        <w:bidi w:val="0"/>
        <w:adjustRightInd w:val="0"/>
        <w:spacing w:after="0" w:line="240" w:lineRule="auto"/>
        <w:jc w:val="center"/>
        <w:rPr>
          <w:rFonts w:ascii="Times New Roman" w:hAnsi="Times New Roman" w:cs="Times New Roman"/>
          <w:kern w:val="0"/>
          <w:sz w:val="24"/>
          <w:szCs w:val="24"/>
        </w:rPr>
      </w:pPr>
    </w:p>
    <w:tbl>
      <w:tblPr>
        <w:tblW w:w="9054" w:type="dxa"/>
        <w:tblLayout w:type="fixed"/>
        <w:tblCellMar>
          <w:left w:w="0" w:type="dxa"/>
          <w:right w:w="0" w:type="dxa"/>
        </w:tblCellMar>
        <w:tblLook w:val="0000" w:firstRow="0" w:lastRow="0" w:firstColumn="0" w:lastColumn="0" w:noHBand="0" w:noVBand="0"/>
      </w:tblPr>
      <w:tblGrid>
        <w:gridCol w:w="814"/>
        <w:gridCol w:w="1030"/>
        <w:gridCol w:w="1030"/>
        <w:gridCol w:w="1030"/>
        <w:gridCol w:w="1030"/>
        <w:gridCol w:w="1030"/>
        <w:gridCol w:w="1030"/>
        <w:gridCol w:w="1030"/>
        <w:gridCol w:w="1030"/>
      </w:tblGrid>
      <w:tr w:rsidR="001153C0" w:rsidRPr="001153C0" w14:paraId="1CF29C45" w14:textId="77777777">
        <w:trPr>
          <w:cantSplit/>
        </w:trPr>
        <w:tc>
          <w:tcPr>
            <w:tcW w:w="9046" w:type="dxa"/>
            <w:gridSpan w:val="9"/>
            <w:tcBorders>
              <w:top w:val="nil"/>
              <w:left w:val="nil"/>
              <w:bottom w:val="nil"/>
              <w:right w:val="nil"/>
            </w:tcBorders>
            <w:shd w:val="clear" w:color="auto" w:fill="FFFFFF"/>
            <w:vAlign w:val="center"/>
          </w:tcPr>
          <w:p w14:paraId="7D1B575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rPr>
            </w:pPr>
            <w:r w:rsidRPr="001153C0">
              <w:rPr>
                <w:rFonts w:ascii="Arial" w:hAnsi="Arial" w:cs="Arial"/>
                <w:b/>
                <w:bCs/>
                <w:color w:val="010205"/>
                <w:kern w:val="0"/>
              </w:rPr>
              <w:t>Inter-Item Correlation Matrix</w:t>
            </w:r>
          </w:p>
        </w:tc>
      </w:tr>
      <w:tr w:rsidR="001153C0" w:rsidRPr="001153C0" w14:paraId="224C1054" w14:textId="77777777">
        <w:trPr>
          <w:cantSplit/>
        </w:trPr>
        <w:tc>
          <w:tcPr>
            <w:tcW w:w="814" w:type="dxa"/>
            <w:tcBorders>
              <w:top w:val="nil"/>
              <w:left w:val="nil"/>
              <w:bottom w:val="single" w:sz="8" w:space="0" w:color="152935"/>
              <w:right w:val="nil"/>
            </w:tcBorders>
            <w:shd w:val="clear" w:color="auto" w:fill="FFFFFF"/>
            <w:vAlign w:val="bottom"/>
          </w:tcPr>
          <w:p w14:paraId="2261B9B1" w14:textId="77777777" w:rsidR="001153C0" w:rsidRPr="001153C0" w:rsidRDefault="001153C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A1D7EB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893DE6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BC88CD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7CF98D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226C18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3DA261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2F40AFC"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ROT1</w:t>
            </w:r>
          </w:p>
        </w:tc>
        <w:tc>
          <w:tcPr>
            <w:tcW w:w="1029" w:type="dxa"/>
            <w:tcBorders>
              <w:top w:val="nil"/>
              <w:left w:val="single" w:sz="8" w:space="0" w:color="E0E0E0"/>
              <w:bottom w:val="single" w:sz="8" w:space="0" w:color="152935"/>
              <w:right w:val="nil"/>
            </w:tcBorders>
            <w:shd w:val="clear" w:color="auto" w:fill="FFFFFF"/>
            <w:vAlign w:val="bottom"/>
          </w:tcPr>
          <w:p w14:paraId="57563C1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ROT2</w:t>
            </w:r>
          </w:p>
        </w:tc>
      </w:tr>
      <w:tr w:rsidR="001153C0" w:rsidRPr="001153C0" w14:paraId="3076EB71" w14:textId="77777777">
        <w:trPr>
          <w:cantSplit/>
        </w:trPr>
        <w:tc>
          <w:tcPr>
            <w:tcW w:w="814" w:type="dxa"/>
            <w:tcBorders>
              <w:top w:val="single" w:sz="8" w:space="0" w:color="152935"/>
              <w:left w:val="nil"/>
              <w:bottom w:val="single" w:sz="8" w:space="0" w:color="AEAEAE"/>
              <w:right w:val="nil"/>
            </w:tcBorders>
            <w:shd w:val="clear" w:color="auto" w:fill="E0E0E0"/>
          </w:tcPr>
          <w:p w14:paraId="5B1B356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REO1</w:t>
            </w:r>
          </w:p>
        </w:tc>
        <w:tc>
          <w:tcPr>
            <w:tcW w:w="1029" w:type="dxa"/>
            <w:tcBorders>
              <w:top w:val="single" w:sz="8" w:space="0" w:color="152935"/>
              <w:left w:val="nil"/>
              <w:bottom w:val="single" w:sz="8" w:space="0" w:color="AEAEAE"/>
              <w:right w:val="single" w:sz="8" w:space="0" w:color="E0E0E0"/>
            </w:tcBorders>
            <w:shd w:val="clear" w:color="auto" w:fill="F9F9FB"/>
          </w:tcPr>
          <w:p w14:paraId="3DDD079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6379DF4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577D7C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719DA21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.669</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476134E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.594</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7737AA9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D97EB1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152935"/>
              <w:left w:val="single" w:sz="8" w:space="0" w:color="E0E0E0"/>
              <w:bottom w:val="single" w:sz="8" w:space="0" w:color="AEAEAE"/>
              <w:right w:val="nil"/>
            </w:tcBorders>
            <w:shd w:val="clear" w:color="auto" w:fill="F9F9FB"/>
          </w:tcPr>
          <w:p w14:paraId="3822F75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r>
      <w:tr w:rsidR="001153C0" w:rsidRPr="001153C0" w14:paraId="089BE1ED" w14:textId="77777777">
        <w:trPr>
          <w:cantSplit/>
        </w:trPr>
        <w:tc>
          <w:tcPr>
            <w:tcW w:w="814" w:type="dxa"/>
            <w:tcBorders>
              <w:top w:val="single" w:sz="8" w:space="0" w:color="AEAEAE"/>
              <w:left w:val="nil"/>
              <w:bottom w:val="single" w:sz="8" w:space="0" w:color="AEAEAE"/>
              <w:right w:val="nil"/>
            </w:tcBorders>
            <w:shd w:val="clear" w:color="auto" w:fill="E0E0E0"/>
          </w:tcPr>
          <w:p w14:paraId="5D33220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REO2</w:t>
            </w:r>
          </w:p>
        </w:tc>
        <w:tc>
          <w:tcPr>
            <w:tcW w:w="1029" w:type="dxa"/>
            <w:tcBorders>
              <w:top w:val="single" w:sz="8" w:space="0" w:color="AEAEAE"/>
              <w:left w:val="nil"/>
              <w:bottom w:val="single" w:sz="8" w:space="0" w:color="AEAEAE"/>
              <w:right w:val="single" w:sz="8" w:space="0" w:color="E0E0E0"/>
            </w:tcBorders>
            <w:shd w:val="clear" w:color="auto" w:fill="F9F9FB"/>
          </w:tcPr>
          <w:p w14:paraId="0DADF19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519EF6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F02B33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5A2FD0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8D2F062"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F5CA17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FAB1F1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nil"/>
            </w:tcBorders>
            <w:shd w:val="clear" w:color="auto" w:fill="F9F9FB"/>
          </w:tcPr>
          <w:p w14:paraId="42D5369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r>
      <w:tr w:rsidR="001153C0" w:rsidRPr="001153C0" w14:paraId="082B3A5C" w14:textId="77777777">
        <w:trPr>
          <w:cantSplit/>
        </w:trPr>
        <w:tc>
          <w:tcPr>
            <w:tcW w:w="814" w:type="dxa"/>
            <w:tcBorders>
              <w:top w:val="single" w:sz="8" w:space="0" w:color="AEAEAE"/>
              <w:left w:val="nil"/>
              <w:bottom w:val="single" w:sz="8" w:space="0" w:color="AEAEAE"/>
              <w:right w:val="nil"/>
            </w:tcBorders>
            <w:shd w:val="clear" w:color="auto" w:fill="E0E0E0"/>
          </w:tcPr>
          <w:p w14:paraId="5F36F4D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RCO1</w:t>
            </w:r>
          </w:p>
        </w:tc>
        <w:tc>
          <w:tcPr>
            <w:tcW w:w="1029" w:type="dxa"/>
            <w:tcBorders>
              <w:top w:val="single" w:sz="8" w:space="0" w:color="AEAEAE"/>
              <w:left w:val="nil"/>
              <w:bottom w:val="single" w:sz="8" w:space="0" w:color="AEAEAE"/>
              <w:right w:val="single" w:sz="8" w:space="0" w:color="E0E0E0"/>
            </w:tcBorders>
            <w:shd w:val="clear" w:color="auto" w:fill="F9F9FB"/>
          </w:tcPr>
          <w:p w14:paraId="5A5CFC8E"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C51C2D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7AD1B4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6FC7D3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.633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F5B60B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F9A5B3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FAA4E2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AEAEAE"/>
              <w:right w:val="nil"/>
            </w:tcBorders>
            <w:shd w:val="clear" w:color="auto" w:fill="F9F9FB"/>
          </w:tcPr>
          <w:p w14:paraId="6385341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r>
      <w:tr w:rsidR="001153C0" w:rsidRPr="001153C0" w14:paraId="26BD874A" w14:textId="77777777">
        <w:trPr>
          <w:cantSplit/>
        </w:trPr>
        <w:tc>
          <w:tcPr>
            <w:tcW w:w="814" w:type="dxa"/>
            <w:tcBorders>
              <w:top w:val="single" w:sz="8" w:space="0" w:color="AEAEAE"/>
              <w:left w:val="nil"/>
              <w:bottom w:val="single" w:sz="8" w:space="0" w:color="AEAEAE"/>
              <w:right w:val="nil"/>
            </w:tcBorders>
            <w:shd w:val="clear" w:color="auto" w:fill="E0E0E0"/>
          </w:tcPr>
          <w:p w14:paraId="7D6A882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RCO2</w:t>
            </w:r>
          </w:p>
        </w:tc>
        <w:tc>
          <w:tcPr>
            <w:tcW w:w="1029" w:type="dxa"/>
            <w:tcBorders>
              <w:top w:val="single" w:sz="8" w:space="0" w:color="AEAEAE"/>
              <w:left w:val="nil"/>
              <w:bottom w:val="single" w:sz="8" w:space="0" w:color="AEAEAE"/>
              <w:right w:val="single" w:sz="8" w:space="0" w:color="E0E0E0"/>
            </w:tcBorders>
            <w:shd w:val="clear" w:color="auto" w:fill="F9F9FB"/>
          </w:tcPr>
          <w:p w14:paraId="7AF62AD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.669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0D7534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FA383E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.633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F08AB2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A9A0C6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.559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2DA5ED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.669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E74A03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.306</w:t>
            </w:r>
          </w:p>
        </w:tc>
        <w:tc>
          <w:tcPr>
            <w:tcW w:w="1029" w:type="dxa"/>
            <w:tcBorders>
              <w:top w:val="single" w:sz="8" w:space="0" w:color="AEAEAE"/>
              <w:left w:val="single" w:sz="8" w:space="0" w:color="E0E0E0"/>
              <w:bottom w:val="single" w:sz="8" w:space="0" w:color="AEAEAE"/>
              <w:right w:val="nil"/>
            </w:tcBorders>
            <w:shd w:val="clear" w:color="auto" w:fill="F9F9FB"/>
          </w:tcPr>
          <w:p w14:paraId="6B33367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.633</w:t>
            </w:r>
          </w:p>
        </w:tc>
      </w:tr>
      <w:tr w:rsidR="001153C0" w:rsidRPr="001153C0" w14:paraId="1291C37A" w14:textId="77777777">
        <w:trPr>
          <w:cantSplit/>
        </w:trPr>
        <w:tc>
          <w:tcPr>
            <w:tcW w:w="814" w:type="dxa"/>
            <w:tcBorders>
              <w:top w:val="single" w:sz="8" w:space="0" w:color="AEAEAE"/>
              <w:left w:val="nil"/>
              <w:bottom w:val="single" w:sz="8" w:space="0" w:color="AEAEAE"/>
              <w:right w:val="nil"/>
            </w:tcBorders>
            <w:shd w:val="clear" w:color="auto" w:fill="E0E0E0"/>
          </w:tcPr>
          <w:p w14:paraId="4FFBF8B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RLM1</w:t>
            </w:r>
          </w:p>
        </w:tc>
        <w:tc>
          <w:tcPr>
            <w:tcW w:w="1029" w:type="dxa"/>
            <w:tcBorders>
              <w:top w:val="single" w:sz="8" w:space="0" w:color="AEAEAE"/>
              <w:left w:val="nil"/>
              <w:bottom w:val="single" w:sz="8" w:space="0" w:color="AEAEAE"/>
              <w:right w:val="single" w:sz="8" w:space="0" w:color="E0E0E0"/>
            </w:tcBorders>
            <w:shd w:val="clear" w:color="auto" w:fill="F9F9FB"/>
          </w:tcPr>
          <w:p w14:paraId="1081BF0E"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.594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C8B3A8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450261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1D298F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.559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743670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FD3E74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.594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F5CA56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.484</w:t>
            </w:r>
          </w:p>
        </w:tc>
        <w:tc>
          <w:tcPr>
            <w:tcW w:w="1029" w:type="dxa"/>
            <w:tcBorders>
              <w:top w:val="single" w:sz="8" w:space="0" w:color="AEAEAE"/>
              <w:left w:val="single" w:sz="8" w:space="0" w:color="E0E0E0"/>
              <w:bottom w:val="single" w:sz="8" w:space="0" w:color="AEAEAE"/>
              <w:right w:val="nil"/>
            </w:tcBorders>
            <w:shd w:val="clear" w:color="auto" w:fill="F9F9FB"/>
          </w:tcPr>
          <w:p w14:paraId="504217A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.500</w:t>
            </w:r>
          </w:p>
        </w:tc>
      </w:tr>
      <w:tr w:rsidR="001153C0" w:rsidRPr="001153C0" w14:paraId="18D3500E" w14:textId="77777777">
        <w:trPr>
          <w:cantSplit/>
        </w:trPr>
        <w:tc>
          <w:tcPr>
            <w:tcW w:w="814" w:type="dxa"/>
            <w:tcBorders>
              <w:top w:val="single" w:sz="8" w:space="0" w:color="AEAEAE"/>
              <w:left w:val="nil"/>
              <w:bottom w:val="single" w:sz="8" w:space="0" w:color="AEAEAE"/>
              <w:right w:val="nil"/>
            </w:tcBorders>
            <w:shd w:val="clear" w:color="auto" w:fill="E0E0E0"/>
          </w:tcPr>
          <w:p w14:paraId="7D04CB1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RLM2</w:t>
            </w:r>
          </w:p>
        </w:tc>
        <w:tc>
          <w:tcPr>
            <w:tcW w:w="1029" w:type="dxa"/>
            <w:tcBorders>
              <w:top w:val="single" w:sz="8" w:space="0" w:color="AEAEAE"/>
              <w:left w:val="nil"/>
              <w:bottom w:val="single" w:sz="8" w:space="0" w:color="AEAEAE"/>
              <w:right w:val="single" w:sz="8" w:space="0" w:color="E0E0E0"/>
            </w:tcBorders>
            <w:shd w:val="clear" w:color="auto" w:fill="F9F9FB"/>
          </w:tcPr>
          <w:p w14:paraId="3BEF9B1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21E106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667549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5243E4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.669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A76107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.594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E61B96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612BC5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nil"/>
            </w:tcBorders>
            <w:shd w:val="clear" w:color="auto" w:fill="F9F9FB"/>
          </w:tcPr>
          <w:p w14:paraId="57D1707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r>
      <w:tr w:rsidR="001153C0" w:rsidRPr="001153C0" w14:paraId="162FD002" w14:textId="77777777">
        <w:trPr>
          <w:cantSplit/>
        </w:trPr>
        <w:tc>
          <w:tcPr>
            <w:tcW w:w="814" w:type="dxa"/>
            <w:tcBorders>
              <w:top w:val="single" w:sz="8" w:space="0" w:color="AEAEAE"/>
              <w:left w:val="nil"/>
              <w:bottom w:val="single" w:sz="8" w:space="0" w:color="AEAEAE"/>
              <w:right w:val="nil"/>
            </w:tcBorders>
            <w:shd w:val="clear" w:color="auto" w:fill="E0E0E0"/>
          </w:tcPr>
          <w:p w14:paraId="7DB2FAF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ROT1</w:t>
            </w:r>
          </w:p>
        </w:tc>
        <w:tc>
          <w:tcPr>
            <w:tcW w:w="1029" w:type="dxa"/>
            <w:tcBorders>
              <w:top w:val="single" w:sz="8" w:space="0" w:color="AEAEAE"/>
              <w:left w:val="nil"/>
              <w:bottom w:val="single" w:sz="8" w:space="0" w:color="AEAEAE"/>
              <w:right w:val="single" w:sz="8" w:space="0" w:color="E0E0E0"/>
            </w:tcBorders>
            <w:shd w:val="clear" w:color="auto" w:fill="F9F9FB"/>
          </w:tcPr>
          <w:p w14:paraId="56535D7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735F98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CB33CBC"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32DE01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1FA025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F38510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.417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E88F40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AEAEAE"/>
              <w:right w:val="nil"/>
            </w:tcBorders>
            <w:shd w:val="clear" w:color="auto" w:fill="F9F9FB"/>
          </w:tcPr>
          <w:p w14:paraId="27056CE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r>
      <w:tr w:rsidR="001153C0" w:rsidRPr="001153C0" w14:paraId="683BDF33" w14:textId="77777777">
        <w:trPr>
          <w:cantSplit/>
        </w:trPr>
        <w:tc>
          <w:tcPr>
            <w:tcW w:w="814" w:type="dxa"/>
            <w:tcBorders>
              <w:top w:val="single" w:sz="8" w:space="0" w:color="AEAEAE"/>
              <w:left w:val="nil"/>
              <w:bottom w:val="single" w:sz="8" w:space="0" w:color="152935"/>
              <w:right w:val="nil"/>
            </w:tcBorders>
            <w:shd w:val="clear" w:color="auto" w:fill="E0E0E0"/>
          </w:tcPr>
          <w:p w14:paraId="434B9A6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ROT2</w:t>
            </w:r>
          </w:p>
        </w:tc>
        <w:tc>
          <w:tcPr>
            <w:tcW w:w="1029" w:type="dxa"/>
            <w:tcBorders>
              <w:top w:val="single" w:sz="8" w:space="0" w:color="AEAEAE"/>
              <w:left w:val="nil"/>
              <w:bottom w:val="single" w:sz="8" w:space="0" w:color="152935"/>
              <w:right w:val="single" w:sz="8" w:space="0" w:color="E0E0E0"/>
            </w:tcBorders>
            <w:shd w:val="clear" w:color="auto" w:fill="F9F9FB"/>
          </w:tcPr>
          <w:p w14:paraId="466EDAF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25D36AD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3AB6483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7DFC5F5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.633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5E2306C"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168727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.527</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7EFCAAF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.299</w:t>
            </w:r>
          </w:p>
        </w:tc>
        <w:tc>
          <w:tcPr>
            <w:tcW w:w="1029" w:type="dxa"/>
            <w:tcBorders>
              <w:top w:val="single" w:sz="8" w:space="0" w:color="AEAEAE"/>
              <w:left w:val="single" w:sz="8" w:space="0" w:color="E0E0E0"/>
              <w:bottom w:val="single" w:sz="8" w:space="0" w:color="152935"/>
              <w:right w:val="nil"/>
            </w:tcBorders>
            <w:shd w:val="clear" w:color="auto" w:fill="F9F9FB"/>
          </w:tcPr>
          <w:p w14:paraId="3E373D6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1.000</w:t>
            </w:r>
          </w:p>
        </w:tc>
      </w:tr>
    </w:tbl>
    <w:p w14:paraId="5BEEA39B" w14:textId="77777777" w:rsidR="001153C0" w:rsidRPr="001153C0" w:rsidRDefault="001153C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6D0769B7" w14:textId="77777777" w:rsidR="001153C0" w:rsidRPr="001153C0" w:rsidRDefault="001153C0" w:rsidP="002E6F27">
      <w:pPr>
        <w:autoSpaceDE w:val="0"/>
        <w:autoSpaceDN w:val="0"/>
        <w:bidi w:val="0"/>
        <w:adjustRightInd w:val="0"/>
        <w:spacing w:after="0" w:line="400" w:lineRule="atLeast"/>
        <w:jc w:val="center"/>
        <w:rPr>
          <w:rFonts w:ascii="Times New Roman" w:hAnsi="Times New Roman" w:cs="Times New Roman"/>
          <w:kern w:val="0"/>
          <w:sz w:val="24"/>
          <w:szCs w:val="24"/>
        </w:rPr>
      </w:pPr>
    </w:p>
    <w:tbl>
      <w:tblPr>
        <w:tblW w:w="8193" w:type="dxa"/>
        <w:tblLayout w:type="fixed"/>
        <w:tblCellMar>
          <w:left w:w="0" w:type="dxa"/>
          <w:right w:w="0" w:type="dxa"/>
        </w:tblCellMar>
        <w:tblLook w:val="0000" w:firstRow="0" w:lastRow="0" w:firstColumn="0" w:lastColumn="0" w:noHBand="0" w:noVBand="0"/>
      </w:tblPr>
      <w:tblGrid>
        <w:gridCol w:w="813"/>
        <w:gridCol w:w="1476"/>
        <w:gridCol w:w="1476"/>
        <w:gridCol w:w="1476"/>
        <w:gridCol w:w="1476"/>
        <w:gridCol w:w="1476"/>
      </w:tblGrid>
      <w:tr w:rsidR="001153C0" w:rsidRPr="001153C0" w14:paraId="629C5F40" w14:textId="77777777">
        <w:trPr>
          <w:cantSplit/>
        </w:trPr>
        <w:tc>
          <w:tcPr>
            <w:tcW w:w="8189" w:type="dxa"/>
            <w:gridSpan w:val="6"/>
            <w:tcBorders>
              <w:top w:val="nil"/>
              <w:left w:val="nil"/>
              <w:bottom w:val="nil"/>
              <w:right w:val="nil"/>
            </w:tcBorders>
            <w:shd w:val="clear" w:color="auto" w:fill="FFFFFF"/>
            <w:vAlign w:val="center"/>
          </w:tcPr>
          <w:p w14:paraId="506F8DB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rPr>
            </w:pPr>
            <w:r w:rsidRPr="001153C0">
              <w:rPr>
                <w:rFonts w:ascii="Arial" w:hAnsi="Arial" w:cs="Arial"/>
                <w:b/>
                <w:bCs/>
                <w:color w:val="010205"/>
                <w:kern w:val="0"/>
              </w:rPr>
              <w:t>Item-Total Statistics</w:t>
            </w:r>
          </w:p>
        </w:tc>
      </w:tr>
      <w:tr w:rsidR="001153C0" w:rsidRPr="001153C0" w14:paraId="08DBD20C" w14:textId="77777777">
        <w:trPr>
          <w:cantSplit/>
        </w:trPr>
        <w:tc>
          <w:tcPr>
            <w:tcW w:w="814" w:type="dxa"/>
            <w:tcBorders>
              <w:top w:val="nil"/>
              <w:left w:val="nil"/>
              <w:bottom w:val="single" w:sz="8" w:space="0" w:color="152935"/>
              <w:right w:val="nil"/>
            </w:tcBorders>
            <w:shd w:val="clear" w:color="auto" w:fill="FFFFFF"/>
            <w:vAlign w:val="bottom"/>
          </w:tcPr>
          <w:p w14:paraId="23FEF5D0" w14:textId="77777777" w:rsidR="001153C0" w:rsidRPr="001153C0" w:rsidRDefault="001153C0" w:rsidP="002E6F27">
            <w:pPr>
              <w:autoSpaceDE w:val="0"/>
              <w:autoSpaceDN w:val="0"/>
              <w:bidi w:val="0"/>
              <w:adjustRightInd w:val="0"/>
              <w:spacing w:after="0" w:line="240" w:lineRule="auto"/>
              <w:jc w:val="center"/>
              <w:rPr>
                <w:rFonts w:ascii="Times New Roman" w:hAnsi="Times New Roman" w:cs="Times New Roman"/>
                <w:kern w:val="0"/>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0729050E"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BB3B16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7AA2CB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6822FF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tcPr>
          <w:p w14:paraId="2B76D52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Cronbach's Alpha if Item Deleted</w:t>
            </w:r>
          </w:p>
        </w:tc>
      </w:tr>
      <w:tr w:rsidR="001153C0" w:rsidRPr="001153C0" w14:paraId="280664FB" w14:textId="77777777">
        <w:trPr>
          <w:cantSplit/>
        </w:trPr>
        <w:tc>
          <w:tcPr>
            <w:tcW w:w="814" w:type="dxa"/>
            <w:tcBorders>
              <w:top w:val="single" w:sz="8" w:space="0" w:color="152935"/>
              <w:left w:val="nil"/>
              <w:bottom w:val="single" w:sz="8" w:space="0" w:color="AEAEAE"/>
              <w:right w:val="nil"/>
            </w:tcBorders>
            <w:shd w:val="clear" w:color="auto" w:fill="E0E0E0"/>
          </w:tcPr>
          <w:p w14:paraId="7415D585"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REO1</w:t>
            </w:r>
          </w:p>
        </w:tc>
        <w:tc>
          <w:tcPr>
            <w:tcW w:w="1475" w:type="dxa"/>
            <w:tcBorders>
              <w:top w:val="single" w:sz="8" w:space="0" w:color="152935"/>
              <w:left w:val="nil"/>
              <w:bottom w:val="single" w:sz="8" w:space="0" w:color="AEAEAE"/>
              <w:right w:val="single" w:sz="8" w:space="0" w:color="E0E0E0"/>
            </w:tcBorders>
            <w:shd w:val="clear" w:color="auto" w:fill="F9F9FB"/>
          </w:tcPr>
          <w:p w14:paraId="04AD543E"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23.64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08858AF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29.053</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0631FC2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.770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46A341C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152935"/>
              <w:left w:val="single" w:sz="8" w:space="0" w:color="E0E0E0"/>
              <w:bottom w:val="single" w:sz="8" w:space="0" w:color="AEAEAE"/>
              <w:right w:val="nil"/>
            </w:tcBorders>
            <w:shd w:val="clear" w:color="auto" w:fill="F9F9FB"/>
          </w:tcPr>
          <w:p w14:paraId="001E5DF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.880</w:t>
            </w:r>
          </w:p>
        </w:tc>
      </w:tr>
      <w:tr w:rsidR="001153C0" w:rsidRPr="001153C0" w14:paraId="7221537F" w14:textId="77777777">
        <w:trPr>
          <w:cantSplit/>
        </w:trPr>
        <w:tc>
          <w:tcPr>
            <w:tcW w:w="814" w:type="dxa"/>
            <w:tcBorders>
              <w:top w:val="single" w:sz="8" w:space="0" w:color="AEAEAE"/>
              <w:left w:val="nil"/>
              <w:bottom w:val="single" w:sz="8" w:space="0" w:color="AEAEAE"/>
              <w:right w:val="nil"/>
            </w:tcBorders>
            <w:shd w:val="clear" w:color="auto" w:fill="E0E0E0"/>
          </w:tcPr>
          <w:p w14:paraId="185CABC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REO2</w:t>
            </w:r>
          </w:p>
        </w:tc>
        <w:tc>
          <w:tcPr>
            <w:tcW w:w="1475" w:type="dxa"/>
            <w:tcBorders>
              <w:top w:val="single" w:sz="8" w:space="0" w:color="AEAEAE"/>
              <w:left w:val="nil"/>
              <w:bottom w:val="single" w:sz="8" w:space="0" w:color="AEAEAE"/>
              <w:right w:val="single" w:sz="8" w:space="0" w:color="E0E0E0"/>
            </w:tcBorders>
            <w:shd w:val="clear" w:color="auto" w:fill="F9F9FB"/>
          </w:tcPr>
          <w:p w14:paraId="3636DB2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23.29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182CD5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30.164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20CA92C"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.587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AC2CEB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1E81BC4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.896</w:t>
            </w:r>
          </w:p>
        </w:tc>
      </w:tr>
      <w:tr w:rsidR="001153C0" w:rsidRPr="001153C0" w14:paraId="29511E05" w14:textId="77777777">
        <w:trPr>
          <w:cantSplit/>
        </w:trPr>
        <w:tc>
          <w:tcPr>
            <w:tcW w:w="814" w:type="dxa"/>
            <w:tcBorders>
              <w:top w:val="single" w:sz="8" w:space="0" w:color="AEAEAE"/>
              <w:left w:val="nil"/>
              <w:bottom w:val="single" w:sz="8" w:space="0" w:color="AEAEAE"/>
              <w:right w:val="nil"/>
            </w:tcBorders>
            <w:shd w:val="clear" w:color="auto" w:fill="E0E0E0"/>
          </w:tcPr>
          <w:p w14:paraId="038D2F9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RCO1</w:t>
            </w:r>
          </w:p>
        </w:tc>
        <w:tc>
          <w:tcPr>
            <w:tcW w:w="1475" w:type="dxa"/>
            <w:tcBorders>
              <w:top w:val="single" w:sz="8" w:space="0" w:color="AEAEAE"/>
              <w:left w:val="nil"/>
              <w:bottom w:val="single" w:sz="8" w:space="0" w:color="AEAEAE"/>
              <w:right w:val="single" w:sz="8" w:space="0" w:color="E0E0E0"/>
            </w:tcBorders>
            <w:shd w:val="clear" w:color="auto" w:fill="F9F9FB"/>
          </w:tcPr>
          <w:p w14:paraId="5A668E0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23.57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B63F099"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28.697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411E4B1"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.704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D7F1C3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006B2402"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.885</w:t>
            </w:r>
          </w:p>
        </w:tc>
      </w:tr>
      <w:tr w:rsidR="001153C0" w:rsidRPr="001153C0" w14:paraId="4C0647CA" w14:textId="77777777">
        <w:trPr>
          <w:cantSplit/>
        </w:trPr>
        <w:tc>
          <w:tcPr>
            <w:tcW w:w="814" w:type="dxa"/>
            <w:tcBorders>
              <w:top w:val="single" w:sz="8" w:space="0" w:color="AEAEAE"/>
              <w:left w:val="nil"/>
              <w:bottom w:val="single" w:sz="8" w:space="0" w:color="AEAEAE"/>
              <w:right w:val="nil"/>
            </w:tcBorders>
            <w:shd w:val="clear" w:color="auto" w:fill="E0E0E0"/>
          </w:tcPr>
          <w:p w14:paraId="27F96FA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RCO2</w:t>
            </w:r>
          </w:p>
        </w:tc>
        <w:tc>
          <w:tcPr>
            <w:tcW w:w="1475" w:type="dxa"/>
            <w:tcBorders>
              <w:top w:val="single" w:sz="8" w:space="0" w:color="AEAEAE"/>
              <w:left w:val="nil"/>
              <w:bottom w:val="single" w:sz="8" w:space="0" w:color="AEAEAE"/>
              <w:right w:val="single" w:sz="8" w:space="0" w:color="E0E0E0"/>
            </w:tcBorders>
            <w:shd w:val="clear" w:color="auto" w:fill="F9F9FB"/>
          </w:tcPr>
          <w:p w14:paraId="273C08E2"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23.46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52D875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29.727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EAD6CB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.696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E302CF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793A48C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.886</w:t>
            </w:r>
          </w:p>
        </w:tc>
      </w:tr>
      <w:tr w:rsidR="001153C0" w:rsidRPr="001153C0" w14:paraId="7D6F65AD" w14:textId="77777777">
        <w:trPr>
          <w:cantSplit/>
        </w:trPr>
        <w:tc>
          <w:tcPr>
            <w:tcW w:w="814" w:type="dxa"/>
            <w:tcBorders>
              <w:top w:val="single" w:sz="8" w:space="0" w:color="AEAEAE"/>
              <w:left w:val="nil"/>
              <w:bottom w:val="single" w:sz="8" w:space="0" w:color="AEAEAE"/>
              <w:right w:val="nil"/>
            </w:tcBorders>
            <w:shd w:val="clear" w:color="auto" w:fill="E0E0E0"/>
          </w:tcPr>
          <w:p w14:paraId="27FD006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RLM1</w:t>
            </w:r>
          </w:p>
        </w:tc>
        <w:tc>
          <w:tcPr>
            <w:tcW w:w="1475" w:type="dxa"/>
            <w:tcBorders>
              <w:top w:val="single" w:sz="8" w:space="0" w:color="AEAEAE"/>
              <w:left w:val="nil"/>
              <w:bottom w:val="single" w:sz="8" w:space="0" w:color="AEAEAE"/>
              <w:right w:val="single" w:sz="8" w:space="0" w:color="E0E0E0"/>
            </w:tcBorders>
            <w:shd w:val="clear" w:color="auto" w:fill="F9F9FB"/>
          </w:tcPr>
          <w:p w14:paraId="3005381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23.69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345F84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29.477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E5212BC"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.684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DA57B7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007E041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.887</w:t>
            </w:r>
          </w:p>
        </w:tc>
      </w:tr>
      <w:tr w:rsidR="001153C0" w:rsidRPr="001153C0" w14:paraId="16F6A3FE" w14:textId="77777777">
        <w:trPr>
          <w:cantSplit/>
        </w:trPr>
        <w:tc>
          <w:tcPr>
            <w:tcW w:w="814" w:type="dxa"/>
            <w:tcBorders>
              <w:top w:val="single" w:sz="8" w:space="0" w:color="AEAEAE"/>
              <w:left w:val="nil"/>
              <w:bottom w:val="single" w:sz="8" w:space="0" w:color="AEAEAE"/>
              <w:right w:val="nil"/>
            </w:tcBorders>
            <w:shd w:val="clear" w:color="auto" w:fill="E0E0E0"/>
          </w:tcPr>
          <w:p w14:paraId="359CAC1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RLM2</w:t>
            </w:r>
          </w:p>
        </w:tc>
        <w:tc>
          <w:tcPr>
            <w:tcW w:w="1475" w:type="dxa"/>
            <w:tcBorders>
              <w:top w:val="single" w:sz="8" w:space="0" w:color="AEAEAE"/>
              <w:left w:val="nil"/>
              <w:bottom w:val="single" w:sz="8" w:space="0" w:color="AEAEAE"/>
              <w:right w:val="single" w:sz="8" w:space="0" w:color="E0E0E0"/>
            </w:tcBorders>
            <w:shd w:val="clear" w:color="auto" w:fill="F9F9FB"/>
          </w:tcPr>
          <w:p w14:paraId="5681BDC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23.64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A5943B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29.053</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D87C2E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.770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C4E238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1CB6415F"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.880</w:t>
            </w:r>
          </w:p>
        </w:tc>
      </w:tr>
      <w:tr w:rsidR="001153C0" w:rsidRPr="001153C0" w14:paraId="35850456" w14:textId="77777777">
        <w:trPr>
          <w:cantSplit/>
        </w:trPr>
        <w:tc>
          <w:tcPr>
            <w:tcW w:w="814" w:type="dxa"/>
            <w:tcBorders>
              <w:top w:val="single" w:sz="8" w:space="0" w:color="AEAEAE"/>
              <w:left w:val="nil"/>
              <w:bottom w:val="single" w:sz="8" w:space="0" w:color="AEAEAE"/>
              <w:right w:val="nil"/>
            </w:tcBorders>
            <w:shd w:val="clear" w:color="auto" w:fill="E0E0E0"/>
          </w:tcPr>
          <w:p w14:paraId="0EFE0FE2"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ROT1</w:t>
            </w:r>
          </w:p>
        </w:tc>
        <w:tc>
          <w:tcPr>
            <w:tcW w:w="1475" w:type="dxa"/>
            <w:tcBorders>
              <w:top w:val="single" w:sz="8" w:space="0" w:color="AEAEAE"/>
              <w:left w:val="nil"/>
              <w:bottom w:val="single" w:sz="8" w:space="0" w:color="AEAEAE"/>
              <w:right w:val="single" w:sz="8" w:space="0" w:color="E0E0E0"/>
            </w:tcBorders>
            <w:shd w:val="clear" w:color="auto" w:fill="F9F9FB"/>
          </w:tcPr>
          <w:p w14:paraId="43B404F4"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23.29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C2ED2CA"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30.164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B597A8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.587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12BE83A8"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AEAEAE"/>
              <w:right w:val="nil"/>
            </w:tcBorders>
            <w:shd w:val="clear" w:color="auto" w:fill="F9F9FB"/>
          </w:tcPr>
          <w:p w14:paraId="31CD8C1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.896</w:t>
            </w:r>
          </w:p>
        </w:tc>
      </w:tr>
      <w:tr w:rsidR="001153C0" w:rsidRPr="001153C0" w14:paraId="07F481E3" w14:textId="77777777">
        <w:trPr>
          <w:cantSplit/>
        </w:trPr>
        <w:tc>
          <w:tcPr>
            <w:tcW w:w="814" w:type="dxa"/>
            <w:tcBorders>
              <w:top w:val="single" w:sz="8" w:space="0" w:color="AEAEAE"/>
              <w:left w:val="nil"/>
              <w:bottom w:val="single" w:sz="8" w:space="0" w:color="152935"/>
              <w:right w:val="nil"/>
            </w:tcBorders>
            <w:shd w:val="clear" w:color="auto" w:fill="E0E0E0"/>
          </w:tcPr>
          <w:p w14:paraId="4B041BE0"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153C0">
              <w:rPr>
                <w:rFonts w:ascii="Arial" w:hAnsi="Arial" w:cs="Arial"/>
                <w:color w:val="264A60"/>
                <w:kern w:val="0"/>
                <w:sz w:val="18"/>
                <w:szCs w:val="18"/>
              </w:rPr>
              <w:t>ROT2</w:t>
            </w:r>
          </w:p>
        </w:tc>
        <w:tc>
          <w:tcPr>
            <w:tcW w:w="1475" w:type="dxa"/>
            <w:tcBorders>
              <w:top w:val="single" w:sz="8" w:space="0" w:color="AEAEAE"/>
              <w:left w:val="nil"/>
              <w:bottom w:val="single" w:sz="8" w:space="0" w:color="152935"/>
              <w:right w:val="single" w:sz="8" w:space="0" w:color="E0E0E0"/>
            </w:tcBorders>
            <w:shd w:val="clear" w:color="auto" w:fill="F9F9FB"/>
          </w:tcPr>
          <w:p w14:paraId="77AE48E6"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23.57</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742F884D"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28.697</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E8CEFC7"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.704</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FD77E3B"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w:t>
            </w:r>
          </w:p>
        </w:tc>
        <w:tc>
          <w:tcPr>
            <w:tcW w:w="1475" w:type="dxa"/>
            <w:tcBorders>
              <w:top w:val="single" w:sz="8" w:space="0" w:color="AEAEAE"/>
              <w:left w:val="single" w:sz="8" w:space="0" w:color="E0E0E0"/>
              <w:bottom w:val="single" w:sz="8" w:space="0" w:color="152935"/>
              <w:right w:val="nil"/>
            </w:tcBorders>
            <w:shd w:val="clear" w:color="auto" w:fill="F9F9FB"/>
          </w:tcPr>
          <w:p w14:paraId="69128E93" w14:textId="77777777" w:rsidR="001153C0" w:rsidRPr="001153C0" w:rsidRDefault="001153C0" w:rsidP="002E6F27">
            <w:pPr>
              <w:autoSpaceDE w:val="0"/>
              <w:autoSpaceDN w:val="0"/>
              <w:bidi w:val="0"/>
              <w:adjustRightInd w:val="0"/>
              <w:spacing w:after="0" w:line="320" w:lineRule="atLeast"/>
              <w:ind w:left="60" w:right="60"/>
              <w:jc w:val="center"/>
              <w:rPr>
                <w:rFonts w:ascii="Arial" w:hAnsi="Arial" w:cs="Arial"/>
                <w:color w:val="010205"/>
                <w:kern w:val="0"/>
                <w:sz w:val="18"/>
                <w:szCs w:val="18"/>
              </w:rPr>
            </w:pPr>
            <w:r w:rsidRPr="001153C0">
              <w:rPr>
                <w:rFonts w:ascii="Arial" w:hAnsi="Arial" w:cs="Arial"/>
                <w:color w:val="010205"/>
                <w:kern w:val="0"/>
                <w:sz w:val="18"/>
                <w:szCs w:val="18"/>
              </w:rPr>
              <w:t>.885</w:t>
            </w:r>
          </w:p>
        </w:tc>
      </w:tr>
    </w:tbl>
    <w:p w14:paraId="4A2784D5" w14:textId="77777777" w:rsidR="001153C0" w:rsidRPr="001153C0" w:rsidRDefault="001153C0" w:rsidP="002E6F27">
      <w:pPr>
        <w:autoSpaceDE w:val="0"/>
        <w:autoSpaceDN w:val="0"/>
        <w:bidi w:val="0"/>
        <w:adjustRightInd w:val="0"/>
        <w:spacing w:after="0" w:line="400" w:lineRule="atLeast"/>
        <w:jc w:val="center"/>
        <w:rPr>
          <w:rFonts w:ascii="Times New Roman" w:hAnsi="Times New Roman" w:cs="Times New Roman"/>
          <w:kern w:val="0"/>
          <w:sz w:val="24"/>
          <w:szCs w:val="24"/>
        </w:rPr>
      </w:pPr>
    </w:p>
    <w:p w14:paraId="2F677C4D" w14:textId="30186D91" w:rsidR="00EC6407" w:rsidRDefault="00EC6407" w:rsidP="002E6F27">
      <w:pPr>
        <w:bidi w:val="0"/>
        <w:spacing w:line="360" w:lineRule="auto"/>
        <w:jc w:val="center"/>
        <w:rPr>
          <w:rFonts w:asciiTheme="majorBidi" w:hAnsiTheme="majorBidi" w:cstheme="majorBidi"/>
          <w:b/>
          <w:bCs/>
          <w:sz w:val="24"/>
          <w:szCs w:val="24"/>
          <w:lang w:bidi="ar-EG"/>
        </w:rPr>
      </w:pPr>
    </w:p>
    <w:p w14:paraId="3430141D" w14:textId="33807E78" w:rsidR="00EC6407" w:rsidRDefault="00EC6407" w:rsidP="002E6F27">
      <w:pPr>
        <w:bidi w:val="0"/>
        <w:spacing w:line="360" w:lineRule="auto"/>
        <w:jc w:val="center"/>
        <w:rPr>
          <w:rFonts w:asciiTheme="majorBidi" w:hAnsiTheme="majorBidi" w:cstheme="majorBidi"/>
          <w:b/>
          <w:bCs/>
          <w:sz w:val="24"/>
          <w:szCs w:val="24"/>
          <w:lang w:bidi="ar-EG"/>
        </w:rPr>
      </w:pPr>
    </w:p>
    <w:p w14:paraId="63808494" w14:textId="546B0A71" w:rsidR="00EC6407" w:rsidRDefault="00EC6407" w:rsidP="002E6F27">
      <w:pPr>
        <w:bidi w:val="0"/>
        <w:spacing w:line="360" w:lineRule="auto"/>
        <w:jc w:val="center"/>
        <w:rPr>
          <w:rFonts w:asciiTheme="majorBidi" w:hAnsiTheme="majorBidi" w:cstheme="majorBidi"/>
          <w:b/>
          <w:bCs/>
          <w:sz w:val="24"/>
          <w:szCs w:val="24"/>
          <w:lang w:bidi="ar-EG"/>
        </w:rPr>
      </w:pPr>
    </w:p>
    <w:p w14:paraId="297C6160" w14:textId="23B06EED" w:rsidR="00EC6407" w:rsidRDefault="00EC6407" w:rsidP="002E6F27">
      <w:pPr>
        <w:bidi w:val="0"/>
        <w:spacing w:line="360" w:lineRule="auto"/>
        <w:jc w:val="center"/>
        <w:rPr>
          <w:rFonts w:asciiTheme="majorBidi" w:hAnsiTheme="majorBidi" w:cstheme="majorBidi"/>
          <w:b/>
          <w:bCs/>
          <w:sz w:val="24"/>
          <w:szCs w:val="24"/>
          <w:lang w:bidi="ar-EG"/>
        </w:rPr>
      </w:pPr>
    </w:p>
    <w:p w14:paraId="429C45C7" w14:textId="002DA84E" w:rsidR="00EC6407" w:rsidRPr="002A7418" w:rsidRDefault="00EC6407" w:rsidP="002E6F27">
      <w:pPr>
        <w:bidi w:val="0"/>
        <w:spacing w:line="360" w:lineRule="auto"/>
        <w:jc w:val="center"/>
        <w:rPr>
          <w:rFonts w:asciiTheme="majorBidi" w:hAnsiTheme="majorBidi" w:cstheme="majorBidi"/>
          <w:b/>
          <w:bCs/>
          <w:sz w:val="24"/>
          <w:szCs w:val="24"/>
          <w:lang w:bidi="ar-EG"/>
        </w:rPr>
      </w:pPr>
    </w:p>
    <w:p w14:paraId="729E76F9" w14:textId="444728F7" w:rsidR="00EC6407" w:rsidRDefault="00EC6407" w:rsidP="002E6F27">
      <w:pPr>
        <w:bidi w:val="0"/>
        <w:spacing w:line="360" w:lineRule="auto"/>
        <w:jc w:val="center"/>
        <w:rPr>
          <w:rFonts w:asciiTheme="majorBidi" w:hAnsiTheme="majorBidi" w:cstheme="majorBidi"/>
          <w:b/>
          <w:bCs/>
          <w:sz w:val="24"/>
          <w:szCs w:val="24"/>
          <w:lang w:bidi="ar-EG"/>
        </w:rPr>
      </w:pPr>
    </w:p>
    <w:p w14:paraId="78FB735A" w14:textId="61854BEA" w:rsidR="00EC6407" w:rsidRDefault="00EC6407" w:rsidP="002E6F27">
      <w:pPr>
        <w:bidi w:val="0"/>
        <w:spacing w:line="360" w:lineRule="auto"/>
        <w:jc w:val="center"/>
        <w:rPr>
          <w:rFonts w:asciiTheme="majorBidi" w:hAnsiTheme="majorBidi" w:cstheme="majorBidi"/>
          <w:b/>
          <w:bCs/>
          <w:sz w:val="24"/>
          <w:szCs w:val="24"/>
          <w:lang w:bidi="ar-EG"/>
        </w:rPr>
      </w:pPr>
    </w:p>
    <w:p w14:paraId="277B4E72" w14:textId="77777777" w:rsidR="00EC6407" w:rsidRPr="00B3135B" w:rsidRDefault="00EC6407" w:rsidP="00EC6407">
      <w:pPr>
        <w:bidi w:val="0"/>
        <w:spacing w:line="360" w:lineRule="auto"/>
        <w:rPr>
          <w:rFonts w:asciiTheme="majorBidi" w:hAnsiTheme="majorBidi" w:cstheme="majorBidi"/>
          <w:b/>
          <w:bCs/>
          <w:sz w:val="24"/>
          <w:szCs w:val="24"/>
          <w:rtl/>
          <w:lang w:bidi="ar-EG"/>
        </w:rPr>
      </w:pPr>
    </w:p>
    <w:sectPr w:rsidR="00EC6407" w:rsidRPr="00B3135B" w:rsidSect="0026741E">
      <w:footerReference w:type="default" r:id="rId25"/>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27149" w14:textId="77777777" w:rsidR="00641475" w:rsidRDefault="00641475" w:rsidP="009125CE">
      <w:pPr>
        <w:spacing w:after="0" w:line="240" w:lineRule="auto"/>
      </w:pPr>
      <w:r>
        <w:separator/>
      </w:r>
    </w:p>
  </w:endnote>
  <w:endnote w:type="continuationSeparator" w:id="0">
    <w:p w14:paraId="0F49F747" w14:textId="77777777" w:rsidR="00641475" w:rsidRDefault="006414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old">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b/>
        <w:bCs/>
        <w:sz w:val="24"/>
        <w:szCs w:val="24"/>
      </w:rPr>
      <w:id w:val="999166863"/>
      <w:docPartObj>
        <w:docPartGallery w:val="Page Numbers (Bottom of Page)"/>
        <w:docPartUnique/>
      </w:docPartObj>
    </w:sdtPr>
    <w:sdtEndPr>
      <w:rPr>
        <w:noProof/>
      </w:rPr>
    </w:sdtEndPr>
    <w:sdtContent>
      <w:p w14:paraId="5138A5A2" w14:textId="734CF2A3" w:rsidR="0026741E" w:rsidRPr="0026741E" w:rsidRDefault="0026741E" w:rsidP="0026741E">
        <w:pPr>
          <w:pStyle w:val="a4"/>
          <w:pBdr>
            <w:top w:val="single" w:sz="4" w:space="1" w:color="auto"/>
          </w:pBdr>
          <w:bidi w:val="0"/>
          <w:jc w:val="center"/>
          <w:rPr>
            <w:rFonts w:asciiTheme="majorBidi" w:hAnsiTheme="majorBidi" w:cstheme="majorBidi"/>
            <w:b/>
            <w:bCs/>
            <w:sz w:val="24"/>
            <w:szCs w:val="24"/>
          </w:rPr>
        </w:pPr>
        <w:r w:rsidRPr="0026741E">
          <w:rPr>
            <w:rFonts w:asciiTheme="majorBidi" w:hAnsiTheme="majorBidi" w:cstheme="majorBidi"/>
            <w:b/>
            <w:bCs/>
            <w:sz w:val="24"/>
            <w:szCs w:val="24"/>
          </w:rPr>
          <w:fldChar w:fldCharType="begin"/>
        </w:r>
        <w:r w:rsidRPr="0026741E">
          <w:rPr>
            <w:rFonts w:asciiTheme="majorBidi" w:hAnsiTheme="majorBidi" w:cstheme="majorBidi"/>
            <w:b/>
            <w:bCs/>
            <w:sz w:val="24"/>
            <w:szCs w:val="24"/>
          </w:rPr>
          <w:instrText xml:space="preserve"> PAGE   \* MERGEFORMAT </w:instrText>
        </w:r>
        <w:r w:rsidRPr="0026741E">
          <w:rPr>
            <w:rFonts w:asciiTheme="majorBidi" w:hAnsiTheme="majorBidi" w:cstheme="majorBidi"/>
            <w:b/>
            <w:bCs/>
            <w:sz w:val="24"/>
            <w:szCs w:val="24"/>
          </w:rPr>
          <w:fldChar w:fldCharType="separate"/>
        </w:r>
        <w:r w:rsidRPr="0026741E">
          <w:rPr>
            <w:rFonts w:asciiTheme="majorBidi" w:hAnsiTheme="majorBidi" w:cstheme="majorBidi"/>
            <w:b/>
            <w:bCs/>
            <w:noProof/>
            <w:sz w:val="24"/>
            <w:szCs w:val="24"/>
          </w:rPr>
          <w:t>2</w:t>
        </w:r>
        <w:r w:rsidRPr="0026741E">
          <w:rPr>
            <w:rFonts w:asciiTheme="majorBidi" w:hAnsiTheme="majorBidi" w:cstheme="majorBidi"/>
            <w:b/>
            <w:bCs/>
            <w:noProof/>
            <w:sz w:val="24"/>
            <w:szCs w:val="24"/>
          </w:rPr>
          <w:fldChar w:fldCharType="end"/>
        </w:r>
      </w:p>
    </w:sdtContent>
  </w:sdt>
  <w:p w14:paraId="05371AB0" w14:textId="77777777" w:rsidR="0026741E" w:rsidRPr="00B3135B" w:rsidRDefault="0026741E" w:rsidP="0026741E">
    <w:pPr>
      <w:pStyle w:val="a4"/>
      <w:rPr>
        <w:b/>
        <w:bCs/>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4"/>
        <w:szCs w:val="24"/>
      </w:rPr>
      <w:id w:val="1124665202"/>
      <w:docPartObj>
        <w:docPartGallery w:val="Page Numbers (Bottom of Page)"/>
        <w:docPartUnique/>
      </w:docPartObj>
    </w:sdtPr>
    <w:sdtEndPr>
      <w:rPr>
        <w:noProof/>
      </w:rPr>
    </w:sdtEndPr>
    <w:sdtContent>
      <w:p w14:paraId="739CDC60" w14:textId="77EC1EF1" w:rsidR="0026741E" w:rsidRPr="00B3135B" w:rsidRDefault="0026741E" w:rsidP="0026741E">
        <w:pPr>
          <w:pStyle w:val="a4"/>
          <w:pBdr>
            <w:top w:val="single" w:sz="4" w:space="1" w:color="auto"/>
          </w:pBdr>
          <w:bidi w:val="0"/>
          <w:jc w:val="center"/>
          <w:rPr>
            <w:rFonts w:asciiTheme="majorBidi" w:hAnsiTheme="majorBidi" w:cstheme="majorBidi"/>
            <w:sz w:val="24"/>
            <w:szCs w:val="24"/>
          </w:rPr>
        </w:pPr>
        <w:r w:rsidRPr="00B3135B">
          <w:rPr>
            <w:rFonts w:asciiTheme="majorBidi" w:hAnsiTheme="majorBidi" w:cstheme="majorBidi"/>
            <w:sz w:val="24"/>
            <w:szCs w:val="24"/>
          </w:rPr>
          <w:fldChar w:fldCharType="begin"/>
        </w:r>
        <w:r w:rsidRPr="00B3135B">
          <w:rPr>
            <w:rFonts w:asciiTheme="majorBidi" w:hAnsiTheme="majorBidi" w:cstheme="majorBidi"/>
            <w:sz w:val="24"/>
            <w:szCs w:val="24"/>
          </w:rPr>
          <w:instrText xml:space="preserve"> PAGE   \* MERGEFORMAT </w:instrText>
        </w:r>
        <w:r w:rsidRPr="00B3135B">
          <w:rPr>
            <w:rFonts w:asciiTheme="majorBidi" w:hAnsiTheme="majorBidi" w:cstheme="majorBidi"/>
            <w:sz w:val="24"/>
            <w:szCs w:val="24"/>
          </w:rPr>
          <w:fldChar w:fldCharType="separate"/>
        </w:r>
        <w:r w:rsidRPr="00B3135B">
          <w:rPr>
            <w:rFonts w:asciiTheme="majorBidi" w:hAnsiTheme="majorBidi" w:cstheme="majorBidi"/>
            <w:noProof/>
            <w:sz w:val="24"/>
            <w:szCs w:val="24"/>
          </w:rPr>
          <w:t>2</w:t>
        </w:r>
        <w:r w:rsidRPr="00B3135B">
          <w:rPr>
            <w:rFonts w:asciiTheme="majorBidi" w:hAnsiTheme="majorBidi" w:cstheme="majorBidi"/>
            <w:noProof/>
            <w:sz w:val="24"/>
            <w:szCs w:val="24"/>
          </w:rPr>
          <w:fldChar w:fldCharType="end"/>
        </w:r>
      </w:p>
    </w:sdtContent>
  </w:sdt>
  <w:p w14:paraId="63BF32FA" w14:textId="77777777" w:rsidR="0026741E" w:rsidRPr="00B3135B" w:rsidRDefault="0026741E" w:rsidP="00B3135B">
    <w:pPr>
      <w:pStyle w:val="a4"/>
      <w:pBdr>
        <w:top w:val="single" w:sz="4" w:space="1" w:color="auto"/>
      </w:pBdr>
      <w:rPr>
        <w:b/>
        <w:bCs/>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683A1" w14:textId="77777777" w:rsidR="00641475" w:rsidRDefault="00641475" w:rsidP="009125CE">
      <w:pPr>
        <w:spacing w:after="0" w:line="240" w:lineRule="auto"/>
      </w:pPr>
      <w:r>
        <w:separator/>
      </w:r>
    </w:p>
  </w:footnote>
  <w:footnote w:type="continuationSeparator" w:id="0">
    <w:p w14:paraId="6613E770" w14:textId="77777777" w:rsidR="00641475" w:rsidRDefault="006414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710"/>
    <w:multiLevelType w:val="hybridMultilevel"/>
    <w:tmpl w:val="D912196E"/>
    <w:lvl w:ilvl="0" w:tplc="AA7607F0">
      <w:start w:val="1"/>
      <w:numFmt w:val="decimal"/>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5066D4E"/>
    <w:multiLevelType w:val="hybridMultilevel"/>
    <w:tmpl w:val="1A0817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5386331"/>
    <w:multiLevelType w:val="hybridMultilevel"/>
    <w:tmpl w:val="3C54BF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05745742"/>
    <w:multiLevelType w:val="hybridMultilevel"/>
    <w:tmpl w:val="A964F10C"/>
    <w:lvl w:ilvl="0" w:tplc="7BF4AD08">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60A613B"/>
    <w:multiLevelType w:val="hybridMultilevel"/>
    <w:tmpl w:val="CAD27C54"/>
    <w:lvl w:ilvl="0" w:tplc="96DC1A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36D70"/>
    <w:multiLevelType w:val="hybridMultilevel"/>
    <w:tmpl w:val="25E8A1C4"/>
    <w:lvl w:ilvl="0" w:tplc="B66A90A8">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72B34EB"/>
    <w:multiLevelType w:val="hybridMultilevel"/>
    <w:tmpl w:val="8FCC155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72E1FBF"/>
    <w:multiLevelType w:val="hybridMultilevel"/>
    <w:tmpl w:val="1D105876"/>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097F76"/>
    <w:multiLevelType w:val="hybridMultilevel"/>
    <w:tmpl w:val="3AEE48DA"/>
    <w:lvl w:ilvl="0" w:tplc="96DC1A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AD4B61"/>
    <w:multiLevelType w:val="hybridMultilevel"/>
    <w:tmpl w:val="FBBADA82"/>
    <w:lvl w:ilvl="0" w:tplc="F800D03A">
      <w:start w:val="1"/>
      <w:numFmt w:val="decimal"/>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0CF135C4"/>
    <w:multiLevelType w:val="hybridMultilevel"/>
    <w:tmpl w:val="B172D602"/>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132A6F09"/>
    <w:multiLevelType w:val="multilevel"/>
    <w:tmpl w:val="D5E43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3E5171"/>
    <w:multiLevelType w:val="hybridMultilevel"/>
    <w:tmpl w:val="DB8E709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167D7570"/>
    <w:multiLevelType w:val="hybridMultilevel"/>
    <w:tmpl w:val="29260E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69F0443"/>
    <w:multiLevelType w:val="hybridMultilevel"/>
    <w:tmpl w:val="6F163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136C0F"/>
    <w:multiLevelType w:val="hybridMultilevel"/>
    <w:tmpl w:val="982A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1350EA"/>
    <w:multiLevelType w:val="hybridMultilevel"/>
    <w:tmpl w:val="4E64A726"/>
    <w:lvl w:ilvl="0" w:tplc="8EB43382">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1B972989"/>
    <w:multiLevelType w:val="hybridMultilevel"/>
    <w:tmpl w:val="2C809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41168"/>
    <w:multiLevelType w:val="hybridMultilevel"/>
    <w:tmpl w:val="5CC67386"/>
    <w:lvl w:ilvl="0" w:tplc="8A02E630">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1C4E1882"/>
    <w:multiLevelType w:val="hybridMultilevel"/>
    <w:tmpl w:val="E1DA0110"/>
    <w:lvl w:ilvl="0" w:tplc="15DE5936">
      <w:start w:val="1"/>
      <w:numFmt w:val="decimal"/>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1C87211B"/>
    <w:multiLevelType w:val="hybridMultilevel"/>
    <w:tmpl w:val="FBBADA82"/>
    <w:lvl w:ilvl="0" w:tplc="FFFFFFFF">
      <w:start w:val="1"/>
      <w:numFmt w:val="decimal"/>
      <w:suff w:val="space"/>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1" w15:restartNumberingAfterBreak="0">
    <w:nsid w:val="1E600530"/>
    <w:multiLevelType w:val="hybridMultilevel"/>
    <w:tmpl w:val="56D6A374"/>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4005EA2"/>
    <w:multiLevelType w:val="hybridMultilevel"/>
    <w:tmpl w:val="552A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5E5A69"/>
    <w:multiLevelType w:val="multilevel"/>
    <w:tmpl w:val="90CA0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87191D"/>
    <w:multiLevelType w:val="hybridMultilevel"/>
    <w:tmpl w:val="5CF6DD9C"/>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71178E"/>
    <w:multiLevelType w:val="hybridMultilevel"/>
    <w:tmpl w:val="D3F62B14"/>
    <w:lvl w:ilvl="0" w:tplc="96DC1A6E">
      <w:start w:val="1"/>
      <w:numFmt w:val="bullet"/>
      <w:lvlText w:val=""/>
      <w:lvlJc w:val="left"/>
      <w:pPr>
        <w:ind w:left="1004" w:hanging="360"/>
      </w:pPr>
      <w:rPr>
        <w:rFonts w:ascii="Wingdings" w:hAnsi="Wingdings" w:cs="Wingding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273A0A3D"/>
    <w:multiLevelType w:val="hybridMultilevel"/>
    <w:tmpl w:val="E9305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283B1CC6"/>
    <w:multiLevelType w:val="hybridMultilevel"/>
    <w:tmpl w:val="2F3A4158"/>
    <w:lvl w:ilvl="0" w:tplc="40F0810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F60F87"/>
    <w:multiLevelType w:val="hybridMultilevel"/>
    <w:tmpl w:val="CC1007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9637271"/>
    <w:multiLevelType w:val="hybridMultilevel"/>
    <w:tmpl w:val="4D9600FE"/>
    <w:lvl w:ilvl="0" w:tplc="96DC1A6E">
      <w:start w:val="1"/>
      <w:numFmt w:val="bullet"/>
      <w:lvlText w:val=""/>
      <w:lvlJc w:val="left"/>
      <w:pPr>
        <w:ind w:left="1004" w:hanging="360"/>
      </w:pPr>
      <w:rPr>
        <w:rFonts w:ascii="Wingdings" w:hAnsi="Wingdings" w:cs="Wingding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0" w15:restartNumberingAfterBreak="0">
    <w:nsid w:val="2A443A34"/>
    <w:multiLevelType w:val="hybridMultilevel"/>
    <w:tmpl w:val="437E9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883475"/>
    <w:multiLevelType w:val="hybridMultilevel"/>
    <w:tmpl w:val="5E24EE6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15:restartNumberingAfterBreak="0">
    <w:nsid w:val="2C766D26"/>
    <w:multiLevelType w:val="hybridMultilevel"/>
    <w:tmpl w:val="E6F273EA"/>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2C770A0C"/>
    <w:multiLevelType w:val="hybridMultilevel"/>
    <w:tmpl w:val="2D706DBE"/>
    <w:lvl w:ilvl="0" w:tplc="FE8AA040">
      <w:start w:val="1"/>
      <w:numFmt w:val="decimal"/>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15:restartNumberingAfterBreak="0">
    <w:nsid w:val="2CE758BC"/>
    <w:multiLevelType w:val="hybridMultilevel"/>
    <w:tmpl w:val="E144A4D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346D02A1"/>
    <w:multiLevelType w:val="hybridMultilevel"/>
    <w:tmpl w:val="1BD4ECA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15:restartNumberingAfterBreak="0">
    <w:nsid w:val="35A54799"/>
    <w:multiLevelType w:val="hybridMultilevel"/>
    <w:tmpl w:val="E5D6023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3B835234"/>
    <w:multiLevelType w:val="hybridMultilevel"/>
    <w:tmpl w:val="A00420FC"/>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3BBB4491"/>
    <w:multiLevelType w:val="hybridMultilevel"/>
    <w:tmpl w:val="7CE4AF8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3C9603E9"/>
    <w:multiLevelType w:val="hybridMultilevel"/>
    <w:tmpl w:val="CBBA5AAE"/>
    <w:lvl w:ilvl="0" w:tplc="FFFFFFFF">
      <w:start w:val="1"/>
      <w:numFmt w:val="decimal"/>
      <w:suff w:val="space"/>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0" w15:restartNumberingAfterBreak="0">
    <w:nsid w:val="3E574590"/>
    <w:multiLevelType w:val="hybridMultilevel"/>
    <w:tmpl w:val="B42200FC"/>
    <w:lvl w:ilvl="0" w:tplc="982424D8">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1" w15:restartNumberingAfterBreak="0">
    <w:nsid w:val="4004196D"/>
    <w:multiLevelType w:val="hybridMultilevel"/>
    <w:tmpl w:val="2BA2579C"/>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15:restartNumberingAfterBreak="0">
    <w:nsid w:val="410E65A8"/>
    <w:multiLevelType w:val="hybridMultilevel"/>
    <w:tmpl w:val="4CF495EA"/>
    <w:lvl w:ilvl="0" w:tplc="96DC1A6E">
      <w:start w:val="1"/>
      <w:numFmt w:val="bullet"/>
      <w:lvlText w:val=""/>
      <w:lvlJc w:val="left"/>
      <w:pPr>
        <w:ind w:left="720" w:hanging="360"/>
      </w:pPr>
      <w:rPr>
        <w:rFonts w:ascii="Wingdings" w:hAnsi="Wingdings" w:cs="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187107C"/>
    <w:multiLevelType w:val="hybridMultilevel"/>
    <w:tmpl w:val="D912196E"/>
    <w:lvl w:ilvl="0" w:tplc="FFFFFFFF">
      <w:start w:val="1"/>
      <w:numFmt w:val="decimal"/>
      <w:suff w:val="space"/>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4" w15:restartNumberingAfterBreak="0">
    <w:nsid w:val="42EE619D"/>
    <w:multiLevelType w:val="hybridMultilevel"/>
    <w:tmpl w:val="22EAEAD4"/>
    <w:lvl w:ilvl="0" w:tplc="FFFFFFFF">
      <w:start w:val="1"/>
      <w:numFmt w:val="decimal"/>
      <w:suff w:val="space"/>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56A2862"/>
    <w:multiLevelType w:val="multilevel"/>
    <w:tmpl w:val="BF2EF8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4D2AD8"/>
    <w:multiLevelType w:val="hybridMultilevel"/>
    <w:tmpl w:val="D9A293BA"/>
    <w:lvl w:ilvl="0" w:tplc="48401F6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47DF04D4"/>
    <w:multiLevelType w:val="hybridMultilevel"/>
    <w:tmpl w:val="B87868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48593B4A"/>
    <w:multiLevelType w:val="hybridMultilevel"/>
    <w:tmpl w:val="CD8E6858"/>
    <w:lvl w:ilvl="0" w:tplc="C35E8DEA">
      <w:start w:val="1"/>
      <w:numFmt w:val="upperLetter"/>
      <w:suff w:val="space"/>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9" w15:restartNumberingAfterBreak="0">
    <w:nsid w:val="4B456983"/>
    <w:multiLevelType w:val="hybridMultilevel"/>
    <w:tmpl w:val="2D4E7B88"/>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4BCC1B76"/>
    <w:multiLevelType w:val="hybridMultilevel"/>
    <w:tmpl w:val="976A31B8"/>
    <w:lvl w:ilvl="0" w:tplc="1A56B8E4">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1" w15:restartNumberingAfterBreak="0">
    <w:nsid w:val="4C3C6BD2"/>
    <w:multiLevelType w:val="hybridMultilevel"/>
    <w:tmpl w:val="E678388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4C6344F9"/>
    <w:multiLevelType w:val="hybridMultilevel"/>
    <w:tmpl w:val="71EA8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6D2E31"/>
    <w:multiLevelType w:val="hybridMultilevel"/>
    <w:tmpl w:val="91829C22"/>
    <w:lvl w:ilvl="0" w:tplc="40F0810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235E10"/>
    <w:multiLevelType w:val="hybridMultilevel"/>
    <w:tmpl w:val="AF4CACEE"/>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5" w15:restartNumberingAfterBreak="0">
    <w:nsid w:val="4EBD5DB4"/>
    <w:multiLevelType w:val="hybridMultilevel"/>
    <w:tmpl w:val="07468164"/>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0A638B2"/>
    <w:multiLevelType w:val="hybridMultilevel"/>
    <w:tmpl w:val="445CD8DC"/>
    <w:lvl w:ilvl="0" w:tplc="0409000F">
      <w:start w:val="1"/>
      <w:numFmt w:val="decimal"/>
      <w:lvlText w:val="%1."/>
      <w:lvlJc w:val="left"/>
      <w:pPr>
        <w:ind w:left="1004" w:hanging="360"/>
      </w:pPr>
    </w:lvl>
    <w:lvl w:ilvl="1" w:tplc="163A1980">
      <w:start w:val="1"/>
      <w:numFmt w:val="decimal"/>
      <w:lvlText w:val="(%2)"/>
      <w:lvlJc w:val="left"/>
      <w:pPr>
        <w:ind w:left="1777" w:hanging="413"/>
      </w:pPr>
      <w:rPr>
        <w:rFonts w:hint="default"/>
      </w:r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7" w15:restartNumberingAfterBreak="0">
    <w:nsid w:val="51FD0D1A"/>
    <w:multiLevelType w:val="hybridMultilevel"/>
    <w:tmpl w:val="FB883F24"/>
    <w:lvl w:ilvl="0" w:tplc="04090001">
      <w:start w:val="1"/>
      <w:numFmt w:val="bullet"/>
      <w:lvlText w:val=""/>
      <w:lvlJc w:val="left"/>
      <w:pPr>
        <w:ind w:left="1013" w:hanging="653"/>
      </w:pPr>
      <w:rPr>
        <w:rFonts w:ascii="Symbol" w:hAnsi="Symbol" w:hint="default"/>
        <w:color w:val="000000"/>
        <w:sz w:val="27"/>
      </w:rPr>
    </w:lvl>
    <w:lvl w:ilvl="1" w:tplc="BD0606EE">
      <w:start w:val="5"/>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28743D1"/>
    <w:multiLevelType w:val="hybridMultilevel"/>
    <w:tmpl w:val="B0E0EE5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5484103C"/>
    <w:multiLevelType w:val="multilevel"/>
    <w:tmpl w:val="EDB60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53F0EEC"/>
    <w:multiLevelType w:val="hybridMultilevel"/>
    <w:tmpl w:val="D89A07BE"/>
    <w:lvl w:ilvl="0" w:tplc="C6100590">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1" w15:restartNumberingAfterBreak="0">
    <w:nsid w:val="5571167A"/>
    <w:multiLevelType w:val="hybridMultilevel"/>
    <w:tmpl w:val="E3C0F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E7458A"/>
    <w:multiLevelType w:val="hybridMultilevel"/>
    <w:tmpl w:val="2AAC87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3" w15:restartNumberingAfterBreak="0">
    <w:nsid w:val="561F1EBF"/>
    <w:multiLevelType w:val="hybridMultilevel"/>
    <w:tmpl w:val="4E64A726"/>
    <w:lvl w:ilvl="0" w:tplc="FFFFFFFF">
      <w:start w:val="1"/>
      <w:numFmt w:val="upperLetter"/>
      <w:suff w:val="space"/>
      <w:lvlText w:val="%1."/>
      <w:lvlJc w:val="righ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4" w15:restartNumberingAfterBreak="0">
    <w:nsid w:val="56680FC8"/>
    <w:multiLevelType w:val="hybridMultilevel"/>
    <w:tmpl w:val="56405E1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15:restartNumberingAfterBreak="0">
    <w:nsid w:val="576740DB"/>
    <w:multiLevelType w:val="hybridMultilevel"/>
    <w:tmpl w:val="AE3E330E"/>
    <w:lvl w:ilvl="0" w:tplc="96DC1A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7A05097"/>
    <w:multiLevelType w:val="hybridMultilevel"/>
    <w:tmpl w:val="F7FC1F4C"/>
    <w:lvl w:ilvl="0" w:tplc="48401F68">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7" w15:restartNumberingAfterBreak="0">
    <w:nsid w:val="580A3919"/>
    <w:multiLevelType w:val="hybridMultilevel"/>
    <w:tmpl w:val="80DC1DC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8" w15:restartNumberingAfterBreak="0">
    <w:nsid w:val="59D21F13"/>
    <w:multiLevelType w:val="hybridMultilevel"/>
    <w:tmpl w:val="8CBEF65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15:restartNumberingAfterBreak="0">
    <w:nsid w:val="5A3F7B9E"/>
    <w:multiLevelType w:val="hybridMultilevel"/>
    <w:tmpl w:val="7FF2E0D2"/>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0" w15:restartNumberingAfterBreak="0">
    <w:nsid w:val="5A6A5A99"/>
    <w:multiLevelType w:val="hybridMultilevel"/>
    <w:tmpl w:val="96A6EEDA"/>
    <w:lvl w:ilvl="0" w:tplc="6A8E57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ABC2EFB"/>
    <w:multiLevelType w:val="hybridMultilevel"/>
    <w:tmpl w:val="2C680CD8"/>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AD55CFD"/>
    <w:multiLevelType w:val="hybridMultilevel"/>
    <w:tmpl w:val="6088981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3" w15:restartNumberingAfterBreak="0">
    <w:nsid w:val="5C3353B5"/>
    <w:multiLevelType w:val="hybridMultilevel"/>
    <w:tmpl w:val="3242686E"/>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5D7E04EB"/>
    <w:multiLevelType w:val="hybridMultilevel"/>
    <w:tmpl w:val="A81258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15:restartNumberingAfterBreak="0">
    <w:nsid w:val="5DBB0881"/>
    <w:multiLevelType w:val="hybridMultilevel"/>
    <w:tmpl w:val="CF54657A"/>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2920AF"/>
    <w:multiLevelType w:val="hybridMultilevel"/>
    <w:tmpl w:val="008431A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15:restartNumberingAfterBreak="0">
    <w:nsid w:val="5E355D37"/>
    <w:multiLevelType w:val="hybridMultilevel"/>
    <w:tmpl w:val="C036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A3674C"/>
    <w:multiLevelType w:val="hybridMultilevel"/>
    <w:tmpl w:val="22EAEAD4"/>
    <w:lvl w:ilvl="0" w:tplc="0FC8B638">
      <w:start w:val="1"/>
      <w:numFmt w:val="decimal"/>
      <w:suff w:val="space"/>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5803748"/>
    <w:multiLevelType w:val="hybridMultilevel"/>
    <w:tmpl w:val="0B761D8A"/>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0" w15:restartNumberingAfterBreak="0">
    <w:nsid w:val="65F1085F"/>
    <w:multiLevelType w:val="hybridMultilevel"/>
    <w:tmpl w:val="CBF02D18"/>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1" w15:restartNumberingAfterBreak="0">
    <w:nsid w:val="69605105"/>
    <w:multiLevelType w:val="hybridMultilevel"/>
    <w:tmpl w:val="B12677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9BE76CC"/>
    <w:multiLevelType w:val="multilevel"/>
    <w:tmpl w:val="8C8434D2"/>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A4E0386"/>
    <w:multiLevelType w:val="hybridMultilevel"/>
    <w:tmpl w:val="B1267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3D44E0"/>
    <w:multiLevelType w:val="hybridMultilevel"/>
    <w:tmpl w:val="04B6106C"/>
    <w:lvl w:ilvl="0" w:tplc="96DC1A6E">
      <w:start w:val="1"/>
      <w:numFmt w:val="bullet"/>
      <w:lvlText w:val=""/>
      <w:lvlJc w:val="left"/>
      <w:pPr>
        <w:ind w:left="1004" w:hanging="360"/>
      </w:pPr>
      <w:rPr>
        <w:rFonts w:ascii="Wingdings" w:hAnsi="Wingdings" w:cs="Wingding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5" w15:restartNumberingAfterBreak="0">
    <w:nsid w:val="73804CE7"/>
    <w:multiLevelType w:val="hybridMultilevel"/>
    <w:tmpl w:val="B31CE902"/>
    <w:lvl w:ilvl="0" w:tplc="7598A4EE">
      <w:start w:val="1"/>
      <w:numFmt w:val="upperLetter"/>
      <w:suff w:val="space"/>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6" w15:restartNumberingAfterBreak="0">
    <w:nsid w:val="73C75B4C"/>
    <w:multiLevelType w:val="hybridMultilevel"/>
    <w:tmpl w:val="8A9627C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7" w15:restartNumberingAfterBreak="0">
    <w:nsid w:val="73CB7D09"/>
    <w:multiLevelType w:val="multilevel"/>
    <w:tmpl w:val="F4B8F30C"/>
    <w:lvl w:ilvl="0">
      <w:start w:val="1"/>
      <w:numFmt w:val="decimal"/>
      <w:pStyle w:val="1"/>
      <w:suff w:val="space"/>
      <w:lvlText w:val="%1."/>
      <w:lvlJc w:val="left"/>
      <w:pPr>
        <w:ind w:left="432" w:hanging="432"/>
      </w:pPr>
      <w:rPr>
        <w:rFonts w:hint="default"/>
      </w:rPr>
    </w:lvl>
    <w:lvl w:ilvl="1">
      <w:start w:val="1"/>
      <w:numFmt w:val="decimal"/>
      <w:pStyle w:val="2"/>
      <w:suff w:val="space"/>
      <w:lvlText w:val="%1.%2."/>
      <w:lvlJc w:val="left"/>
      <w:pPr>
        <w:ind w:left="576" w:hanging="576"/>
      </w:pPr>
      <w:rPr>
        <w:rFonts w:hint="default"/>
      </w:rPr>
    </w:lvl>
    <w:lvl w:ilvl="2">
      <w:start w:val="1"/>
      <w:numFmt w:val="decimal"/>
      <w:pStyle w:val="3"/>
      <w:suff w:val="space"/>
      <w:lvlText w:val="%1.%2.%3."/>
      <w:lvlJc w:val="left"/>
      <w:pPr>
        <w:ind w:left="720" w:hanging="720"/>
      </w:pPr>
      <w:rPr>
        <w:rFonts w:hint="default"/>
      </w:rPr>
    </w:lvl>
    <w:lvl w:ilvl="3">
      <w:start w:val="1"/>
      <w:numFmt w:val="decimal"/>
      <w:pStyle w:val="4"/>
      <w:suff w:val="space"/>
      <w:lvlText w:val="%1.%2.%3.%4."/>
      <w:lvlJc w:val="left"/>
      <w:pPr>
        <w:ind w:left="864" w:hanging="864"/>
      </w:pPr>
      <w:rPr>
        <w:rFonts w:hint="default"/>
        <w:b/>
        <w:bCs/>
        <w:i w:val="0"/>
        <w:iCs w:val="0"/>
        <w:color w:val="000000" w:themeColor="text1"/>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88" w15:restartNumberingAfterBreak="0">
    <w:nsid w:val="745D7440"/>
    <w:multiLevelType w:val="hybridMultilevel"/>
    <w:tmpl w:val="3872E8F4"/>
    <w:lvl w:ilvl="0" w:tplc="96DC1A6E">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4762449"/>
    <w:multiLevelType w:val="hybridMultilevel"/>
    <w:tmpl w:val="9090676E"/>
    <w:lvl w:ilvl="0" w:tplc="E1FE6C50">
      <w:start w:val="1"/>
      <w:numFmt w:val="upperLetter"/>
      <w:lvlText w:val="%1."/>
      <w:lvlJc w:val="righ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0" w15:restartNumberingAfterBreak="0">
    <w:nsid w:val="77DF0B0E"/>
    <w:multiLevelType w:val="hybridMultilevel"/>
    <w:tmpl w:val="965E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9A20E20"/>
    <w:multiLevelType w:val="hybridMultilevel"/>
    <w:tmpl w:val="38E4E232"/>
    <w:lvl w:ilvl="0" w:tplc="48401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D4E644E"/>
    <w:multiLevelType w:val="hybridMultilevel"/>
    <w:tmpl w:val="AB8CCD20"/>
    <w:lvl w:ilvl="0" w:tplc="96DC1A6E">
      <w:start w:val="1"/>
      <w:numFmt w:val="bullet"/>
      <w:lvlText w:val=""/>
      <w:lvlJc w:val="left"/>
      <w:pPr>
        <w:ind w:left="1004" w:hanging="360"/>
      </w:pPr>
      <w:rPr>
        <w:rFonts w:ascii="Wingdings" w:hAnsi="Wingdings" w:cs="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3" w15:restartNumberingAfterBreak="0">
    <w:nsid w:val="7E5C51DA"/>
    <w:multiLevelType w:val="hybridMultilevel"/>
    <w:tmpl w:val="27D8F1F6"/>
    <w:lvl w:ilvl="0" w:tplc="BD0606EE">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283115">
    <w:abstractNumId w:val="87"/>
  </w:num>
  <w:num w:numId="2" w16cid:durableId="1026951826">
    <w:abstractNumId w:val="9"/>
  </w:num>
  <w:num w:numId="3" w16cid:durableId="697658630">
    <w:abstractNumId w:val="29"/>
  </w:num>
  <w:num w:numId="4" w16cid:durableId="613485001">
    <w:abstractNumId w:val="20"/>
  </w:num>
  <w:num w:numId="5" w16cid:durableId="844050881">
    <w:abstractNumId w:val="37"/>
  </w:num>
  <w:num w:numId="6" w16cid:durableId="903763263">
    <w:abstractNumId w:val="66"/>
  </w:num>
  <w:num w:numId="7" w16cid:durableId="120079680">
    <w:abstractNumId w:val="33"/>
  </w:num>
  <w:num w:numId="8" w16cid:durableId="621807096">
    <w:abstractNumId w:val="74"/>
  </w:num>
  <w:num w:numId="9" w16cid:durableId="1599634619">
    <w:abstractNumId w:val="19"/>
  </w:num>
  <w:num w:numId="10" w16cid:durableId="1976332772">
    <w:abstractNumId w:val="0"/>
  </w:num>
  <w:num w:numId="11" w16cid:durableId="1960723795">
    <w:abstractNumId w:val="78"/>
  </w:num>
  <w:num w:numId="12" w16cid:durableId="1957447767">
    <w:abstractNumId w:val="44"/>
  </w:num>
  <w:num w:numId="13" w16cid:durableId="741026325">
    <w:abstractNumId w:val="47"/>
  </w:num>
  <w:num w:numId="14" w16cid:durableId="1434285528">
    <w:abstractNumId w:val="85"/>
  </w:num>
  <w:num w:numId="15" w16cid:durableId="220752196">
    <w:abstractNumId w:val="12"/>
  </w:num>
  <w:num w:numId="16" w16cid:durableId="818963061">
    <w:abstractNumId w:val="48"/>
  </w:num>
  <w:num w:numId="17" w16cid:durableId="1950309190">
    <w:abstractNumId w:val="5"/>
  </w:num>
  <w:num w:numId="18" w16cid:durableId="336201969">
    <w:abstractNumId w:val="60"/>
  </w:num>
  <w:num w:numId="19" w16cid:durableId="471871783">
    <w:abstractNumId w:val="50"/>
  </w:num>
  <w:num w:numId="20" w16cid:durableId="1119295822">
    <w:abstractNumId w:val="18"/>
  </w:num>
  <w:num w:numId="21" w16cid:durableId="1410687214">
    <w:abstractNumId w:val="40"/>
  </w:num>
  <w:num w:numId="22" w16cid:durableId="514467428">
    <w:abstractNumId w:val="92"/>
  </w:num>
  <w:num w:numId="23" w16cid:durableId="1960457121">
    <w:abstractNumId w:val="38"/>
  </w:num>
  <w:num w:numId="24" w16cid:durableId="826819503">
    <w:abstractNumId w:val="67"/>
  </w:num>
  <w:num w:numId="25" w16cid:durableId="1525511759">
    <w:abstractNumId w:val="6"/>
  </w:num>
  <w:num w:numId="26" w16cid:durableId="1284309897">
    <w:abstractNumId w:val="3"/>
  </w:num>
  <w:num w:numId="27" w16cid:durableId="333190587">
    <w:abstractNumId w:val="56"/>
  </w:num>
  <w:num w:numId="28" w16cid:durableId="887686827">
    <w:abstractNumId w:val="51"/>
  </w:num>
  <w:num w:numId="29" w16cid:durableId="313922502">
    <w:abstractNumId w:val="16"/>
  </w:num>
  <w:num w:numId="30" w16cid:durableId="582109386">
    <w:abstractNumId w:val="63"/>
  </w:num>
  <w:num w:numId="31" w16cid:durableId="1938246531">
    <w:abstractNumId w:val="89"/>
  </w:num>
  <w:num w:numId="32" w16cid:durableId="1020283576">
    <w:abstractNumId w:val="32"/>
  </w:num>
  <w:num w:numId="33" w16cid:durableId="1030454566">
    <w:abstractNumId w:val="35"/>
  </w:num>
  <w:num w:numId="34" w16cid:durableId="2046832162">
    <w:abstractNumId w:val="72"/>
  </w:num>
  <w:num w:numId="35" w16cid:durableId="2146972022">
    <w:abstractNumId w:val="26"/>
  </w:num>
  <w:num w:numId="36" w16cid:durableId="2108309055">
    <w:abstractNumId w:val="1"/>
  </w:num>
  <w:num w:numId="37" w16cid:durableId="383990245">
    <w:abstractNumId w:val="39"/>
  </w:num>
  <w:num w:numId="38" w16cid:durableId="133258134">
    <w:abstractNumId w:val="58"/>
  </w:num>
  <w:num w:numId="39" w16cid:durableId="464154113">
    <w:abstractNumId w:val="41"/>
  </w:num>
  <w:num w:numId="40" w16cid:durableId="1105542971">
    <w:abstractNumId w:val="68"/>
  </w:num>
  <w:num w:numId="41" w16cid:durableId="2107725323">
    <w:abstractNumId w:val="76"/>
  </w:num>
  <w:num w:numId="42" w16cid:durableId="1286618861">
    <w:abstractNumId w:val="28"/>
  </w:num>
  <w:num w:numId="43" w16cid:durableId="66609932">
    <w:abstractNumId w:val="10"/>
  </w:num>
  <w:num w:numId="44" w16cid:durableId="1374159558">
    <w:abstractNumId w:val="86"/>
  </w:num>
  <w:num w:numId="45" w16cid:durableId="12386530">
    <w:abstractNumId w:val="62"/>
  </w:num>
  <w:num w:numId="46" w16cid:durableId="380254635">
    <w:abstractNumId w:val="54"/>
  </w:num>
  <w:num w:numId="47" w16cid:durableId="1622494270">
    <w:abstractNumId w:val="49"/>
  </w:num>
  <w:num w:numId="48" w16cid:durableId="2027749871">
    <w:abstractNumId w:val="64"/>
  </w:num>
  <w:num w:numId="49" w16cid:durableId="144125534">
    <w:abstractNumId w:val="73"/>
  </w:num>
  <w:num w:numId="50" w16cid:durableId="710493814">
    <w:abstractNumId w:val="21"/>
  </w:num>
  <w:num w:numId="51" w16cid:durableId="380714890">
    <w:abstractNumId w:val="80"/>
  </w:num>
  <w:num w:numId="52" w16cid:durableId="11298021">
    <w:abstractNumId w:val="79"/>
  </w:num>
  <w:num w:numId="53" w16cid:durableId="1681467655">
    <w:abstractNumId w:val="83"/>
  </w:num>
  <w:num w:numId="54" w16cid:durableId="1962498117">
    <w:abstractNumId w:val="81"/>
  </w:num>
  <w:num w:numId="55" w16cid:durableId="459618885">
    <w:abstractNumId w:val="31"/>
  </w:num>
  <w:num w:numId="56" w16cid:durableId="828444909">
    <w:abstractNumId w:val="52"/>
  </w:num>
  <w:num w:numId="57" w16cid:durableId="1790277358">
    <w:abstractNumId w:val="23"/>
  </w:num>
  <w:num w:numId="58" w16cid:durableId="692656693">
    <w:abstractNumId w:val="45"/>
  </w:num>
  <w:num w:numId="59" w16cid:durableId="1774932793">
    <w:abstractNumId w:val="57"/>
  </w:num>
  <w:num w:numId="60" w16cid:durableId="633754563">
    <w:abstractNumId w:val="13"/>
  </w:num>
  <w:num w:numId="61" w16cid:durableId="1229654382">
    <w:abstractNumId w:val="69"/>
  </w:num>
  <w:num w:numId="62" w16cid:durableId="938871445">
    <w:abstractNumId w:val="36"/>
  </w:num>
  <w:num w:numId="63" w16cid:durableId="787553858">
    <w:abstractNumId w:val="34"/>
  </w:num>
  <w:num w:numId="64" w16cid:durableId="1187253680">
    <w:abstractNumId w:val="61"/>
  </w:num>
  <w:num w:numId="65" w16cid:durableId="861631170">
    <w:abstractNumId w:val="90"/>
  </w:num>
  <w:num w:numId="66" w16cid:durableId="795030630">
    <w:abstractNumId w:val="15"/>
  </w:num>
  <w:num w:numId="67" w16cid:durableId="764150957">
    <w:abstractNumId w:val="77"/>
  </w:num>
  <w:num w:numId="68" w16cid:durableId="766731896">
    <w:abstractNumId w:val="70"/>
  </w:num>
  <w:num w:numId="69" w16cid:durableId="1828015359">
    <w:abstractNumId w:val="24"/>
  </w:num>
  <w:num w:numId="70" w16cid:durableId="2108963188">
    <w:abstractNumId w:val="30"/>
  </w:num>
  <w:num w:numId="71" w16cid:durableId="2107923215">
    <w:abstractNumId w:val="7"/>
  </w:num>
  <w:num w:numId="72" w16cid:durableId="1897616983">
    <w:abstractNumId w:val="42"/>
  </w:num>
  <w:num w:numId="73" w16cid:durableId="773672200">
    <w:abstractNumId w:val="14"/>
  </w:num>
  <w:num w:numId="74" w16cid:durableId="389572892">
    <w:abstractNumId w:val="82"/>
  </w:num>
  <w:num w:numId="75" w16cid:durableId="446244653">
    <w:abstractNumId w:val="75"/>
  </w:num>
  <w:num w:numId="76" w16cid:durableId="1300837150">
    <w:abstractNumId w:val="17"/>
  </w:num>
  <w:num w:numId="77" w16cid:durableId="1141069523">
    <w:abstractNumId w:val="2"/>
  </w:num>
  <w:num w:numId="78" w16cid:durableId="1993875193">
    <w:abstractNumId w:val="46"/>
  </w:num>
  <w:num w:numId="79" w16cid:durableId="2134209062">
    <w:abstractNumId w:val="84"/>
  </w:num>
  <w:num w:numId="80" w16cid:durableId="721171832">
    <w:abstractNumId w:val="71"/>
  </w:num>
  <w:num w:numId="81" w16cid:durableId="479151779">
    <w:abstractNumId w:val="55"/>
  </w:num>
  <w:num w:numId="82" w16cid:durableId="1053190207">
    <w:abstractNumId w:val="8"/>
  </w:num>
  <w:num w:numId="83" w16cid:durableId="29886009">
    <w:abstractNumId w:val="43"/>
  </w:num>
  <w:num w:numId="84" w16cid:durableId="1494024757">
    <w:abstractNumId w:val="93"/>
  </w:num>
  <w:num w:numId="85" w16cid:durableId="497112624">
    <w:abstractNumId w:val="25"/>
  </w:num>
  <w:num w:numId="86" w16cid:durableId="929311241">
    <w:abstractNumId w:val="91"/>
  </w:num>
  <w:num w:numId="87" w16cid:durableId="103499221">
    <w:abstractNumId w:val="27"/>
  </w:num>
  <w:num w:numId="88" w16cid:durableId="1223445006">
    <w:abstractNumId w:val="65"/>
  </w:num>
  <w:num w:numId="89" w16cid:durableId="2095321661">
    <w:abstractNumId w:val="11"/>
  </w:num>
  <w:num w:numId="90" w16cid:durableId="724988484">
    <w:abstractNumId w:val="59"/>
  </w:num>
  <w:num w:numId="91" w16cid:durableId="508525357">
    <w:abstractNumId w:val="4"/>
  </w:num>
  <w:num w:numId="92" w16cid:durableId="1841849058">
    <w:abstractNumId w:val="88"/>
  </w:num>
  <w:num w:numId="93" w16cid:durableId="863860030">
    <w:abstractNumId w:val="22"/>
  </w:num>
  <w:num w:numId="94" w16cid:durableId="157498923">
    <w:abstractNumId w:val="5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10B"/>
    <w:rsid w:val="000442C2"/>
    <w:rsid w:val="00062A06"/>
    <w:rsid w:val="000835F2"/>
    <w:rsid w:val="000A2104"/>
    <w:rsid w:val="000B3FF7"/>
    <w:rsid w:val="000C29EE"/>
    <w:rsid w:val="000E2F16"/>
    <w:rsid w:val="000F44B4"/>
    <w:rsid w:val="00110939"/>
    <w:rsid w:val="00111F5A"/>
    <w:rsid w:val="001153C0"/>
    <w:rsid w:val="00131FE1"/>
    <w:rsid w:val="001420AA"/>
    <w:rsid w:val="00166BB3"/>
    <w:rsid w:val="0017025C"/>
    <w:rsid w:val="00172086"/>
    <w:rsid w:val="00173295"/>
    <w:rsid w:val="001840E9"/>
    <w:rsid w:val="00186E79"/>
    <w:rsid w:val="001902DB"/>
    <w:rsid w:val="001A49D2"/>
    <w:rsid w:val="001B0B62"/>
    <w:rsid w:val="001B4504"/>
    <w:rsid w:val="001C2162"/>
    <w:rsid w:val="001E0171"/>
    <w:rsid w:val="001E122A"/>
    <w:rsid w:val="00200715"/>
    <w:rsid w:val="002036F0"/>
    <w:rsid w:val="002122BE"/>
    <w:rsid w:val="002131C2"/>
    <w:rsid w:val="00216A00"/>
    <w:rsid w:val="00217E89"/>
    <w:rsid w:val="00223AC5"/>
    <w:rsid w:val="002375E2"/>
    <w:rsid w:val="00241E66"/>
    <w:rsid w:val="00266BD1"/>
    <w:rsid w:val="0026741E"/>
    <w:rsid w:val="00280F4E"/>
    <w:rsid w:val="002810DD"/>
    <w:rsid w:val="00283B01"/>
    <w:rsid w:val="002A3C47"/>
    <w:rsid w:val="002A7418"/>
    <w:rsid w:val="002B2AC6"/>
    <w:rsid w:val="002C48CE"/>
    <w:rsid w:val="002C60F9"/>
    <w:rsid w:val="002E6F27"/>
    <w:rsid w:val="002F27AA"/>
    <w:rsid w:val="00300AE4"/>
    <w:rsid w:val="00330F44"/>
    <w:rsid w:val="003365FD"/>
    <w:rsid w:val="0034133A"/>
    <w:rsid w:val="00344503"/>
    <w:rsid w:val="00352B5B"/>
    <w:rsid w:val="003540B2"/>
    <w:rsid w:val="0035748F"/>
    <w:rsid w:val="00370164"/>
    <w:rsid w:val="00372B02"/>
    <w:rsid w:val="00376677"/>
    <w:rsid w:val="003B7DC2"/>
    <w:rsid w:val="003E7A08"/>
    <w:rsid w:val="00403F2F"/>
    <w:rsid w:val="00410AD2"/>
    <w:rsid w:val="004145B5"/>
    <w:rsid w:val="00417808"/>
    <w:rsid w:val="004212FB"/>
    <w:rsid w:val="00431A93"/>
    <w:rsid w:val="004460E3"/>
    <w:rsid w:val="00454CB6"/>
    <w:rsid w:val="004735CF"/>
    <w:rsid w:val="00481C81"/>
    <w:rsid w:val="00486CCD"/>
    <w:rsid w:val="004A51C2"/>
    <w:rsid w:val="004B2590"/>
    <w:rsid w:val="004E041A"/>
    <w:rsid w:val="00500216"/>
    <w:rsid w:val="00507AF7"/>
    <w:rsid w:val="00552E44"/>
    <w:rsid w:val="005811D8"/>
    <w:rsid w:val="00590B27"/>
    <w:rsid w:val="005C4A9D"/>
    <w:rsid w:val="005D063E"/>
    <w:rsid w:val="005D30BB"/>
    <w:rsid w:val="005D56FC"/>
    <w:rsid w:val="005E2720"/>
    <w:rsid w:val="005F48D6"/>
    <w:rsid w:val="005F7C6B"/>
    <w:rsid w:val="00625F0C"/>
    <w:rsid w:val="0062761F"/>
    <w:rsid w:val="0063104A"/>
    <w:rsid w:val="00641475"/>
    <w:rsid w:val="00655B17"/>
    <w:rsid w:val="00661802"/>
    <w:rsid w:val="00661A7B"/>
    <w:rsid w:val="006620DA"/>
    <w:rsid w:val="00665705"/>
    <w:rsid w:val="00671215"/>
    <w:rsid w:val="00671F1E"/>
    <w:rsid w:val="00673971"/>
    <w:rsid w:val="00684C13"/>
    <w:rsid w:val="006948DE"/>
    <w:rsid w:val="0069785E"/>
    <w:rsid w:val="006C35BA"/>
    <w:rsid w:val="006D521B"/>
    <w:rsid w:val="0072148A"/>
    <w:rsid w:val="00727513"/>
    <w:rsid w:val="00745CE8"/>
    <w:rsid w:val="00756BB5"/>
    <w:rsid w:val="0076134A"/>
    <w:rsid w:val="007619DC"/>
    <w:rsid w:val="00774771"/>
    <w:rsid w:val="00780704"/>
    <w:rsid w:val="007A00D5"/>
    <w:rsid w:val="007A4A90"/>
    <w:rsid w:val="007B0521"/>
    <w:rsid w:val="007B0E54"/>
    <w:rsid w:val="007B4091"/>
    <w:rsid w:val="007B4A92"/>
    <w:rsid w:val="007D66D7"/>
    <w:rsid w:val="007E3A20"/>
    <w:rsid w:val="007E61A3"/>
    <w:rsid w:val="00822E96"/>
    <w:rsid w:val="00871561"/>
    <w:rsid w:val="00874073"/>
    <w:rsid w:val="00877AAC"/>
    <w:rsid w:val="008909A0"/>
    <w:rsid w:val="00893513"/>
    <w:rsid w:val="008C3227"/>
    <w:rsid w:val="008E7468"/>
    <w:rsid w:val="008E7B9C"/>
    <w:rsid w:val="008F1EAE"/>
    <w:rsid w:val="008F3A9E"/>
    <w:rsid w:val="009046A2"/>
    <w:rsid w:val="00910553"/>
    <w:rsid w:val="009125CE"/>
    <w:rsid w:val="00926705"/>
    <w:rsid w:val="009406A8"/>
    <w:rsid w:val="00945229"/>
    <w:rsid w:val="0095495B"/>
    <w:rsid w:val="0096313D"/>
    <w:rsid w:val="009655C4"/>
    <w:rsid w:val="0097378A"/>
    <w:rsid w:val="0098621C"/>
    <w:rsid w:val="009A40CE"/>
    <w:rsid w:val="009B2B23"/>
    <w:rsid w:val="009B6888"/>
    <w:rsid w:val="009C0161"/>
    <w:rsid w:val="009C38FD"/>
    <w:rsid w:val="009D0223"/>
    <w:rsid w:val="009D108D"/>
    <w:rsid w:val="009D22A6"/>
    <w:rsid w:val="009D6E70"/>
    <w:rsid w:val="009E1436"/>
    <w:rsid w:val="009E459B"/>
    <w:rsid w:val="009E5668"/>
    <w:rsid w:val="009F139F"/>
    <w:rsid w:val="00A03520"/>
    <w:rsid w:val="00A073EF"/>
    <w:rsid w:val="00A16F06"/>
    <w:rsid w:val="00A31B74"/>
    <w:rsid w:val="00A37554"/>
    <w:rsid w:val="00A43510"/>
    <w:rsid w:val="00A71B53"/>
    <w:rsid w:val="00A743B2"/>
    <w:rsid w:val="00A74F76"/>
    <w:rsid w:val="00A94C60"/>
    <w:rsid w:val="00A964D8"/>
    <w:rsid w:val="00AA2DFE"/>
    <w:rsid w:val="00AA79E9"/>
    <w:rsid w:val="00AB0A70"/>
    <w:rsid w:val="00AB1BB6"/>
    <w:rsid w:val="00AD33EB"/>
    <w:rsid w:val="00AF681D"/>
    <w:rsid w:val="00B03044"/>
    <w:rsid w:val="00B03C22"/>
    <w:rsid w:val="00B202EF"/>
    <w:rsid w:val="00B3135B"/>
    <w:rsid w:val="00B32051"/>
    <w:rsid w:val="00B4369D"/>
    <w:rsid w:val="00B55620"/>
    <w:rsid w:val="00B63B0F"/>
    <w:rsid w:val="00B643C8"/>
    <w:rsid w:val="00B7678A"/>
    <w:rsid w:val="00B810F8"/>
    <w:rsid w:val="00B952AF"/>
    <w:rsid w:val="00BA0BBC"/>
    <w:rsid w:val="00BA3C3F"/>
    <w:rsid w:val="00BB5953"/>
    <w:rsid w:val="00BC0B2A"/>
    <w:rsid w:val="00BD6960"/>
    <w:rsid w:val="00C0007F"/>
    <w:rsid w:val="00C01516"/>
    <w:rsid w:val="00C04D0B"/>
    <w:rsid w:val="00C054DA"/>
    <w:rsid w:val="00C10C56"/>
    <w:rsid w:val="00C17470"/>
    <w:rsid w:val="00C20062"/>
    <w:rsid w:val="00C3486F"/>
    <w:rsid w:val="00C563DA"/>
    <w:rsid w:val="00C71E18"/>
    <w:rsid w:val="00CA573B"/>
    <w:rsid w:val="00CB4CC6"/>
    <w:rsid w:val="00CD4CCF"/>
    <w:rsid w:val="00D12478"/>
    <w:rsid w:val="00D15C38"/>
    <w:rsid w:val="00D22171"/>
    <w:rsid w:val="00D24247"/>
    <w:rsid w:val="00D37492"/>
    <w:rsid w:val="00D43FBF"/>
    <w:rsid w:val="00D5410C"/>
    <w:rsid w:val="00D5598F"/>
    <w:rsid w:val="00D56C2F"/>
    <w:rsid w:val="00D62EA6"/>
    <w:rsid w:val="00D858E2"/>
    <w:rsid w:val="00D86BFB"/>
    <w:rsid w:val="00D96E63"/>
    <w:rsid w:val="00DA15E6"/>
    <w:rsid w:val="00DA5430"/>
    <w:rsid w:val="00DB67FD"/>
    <w:rsid w:val="00DB758C"/>
    <w:rsid w:val="00DD7608"/>
    <w:rsid w:val="00E225E7"/>
    <w:rsid w:val="00E24D7C"/>
    <w:rsid w:val="00E31FCB"/>
    <w:rsid w:val="00E3502C"/>
    <w:rsid w:val="00E45EED"/>
    <w:rsid w:val="00E46B9F"/>
    <w:rsid w:val="00E531FD"/>
    <w:rsid w:val="00E60CAA"/>
    <w:rsid w:val="00E71C79"/>
    <w:rsid w:val="00E769E7"/>
    <w:rsid w:val="00E77952"/>
    <w:rsid w:val="00E80FD9"/>
    <w:rsid w:val="00EA1F98"/>
    <w:rsid w:val="00EA5B02"/>
    <w:rsid w:val="00EA6B5D"/>
    <w:rsid w:val="00EB454A"/>
    <w:rsid w:val="00EC6407"/>
    <w:rsid w:val="00EC6CC9"/>
    <w:rsid w:val="00EE19D4"/>
    <w:rsid w:val="00EE46D2"/>
    <w:rsid w:val="00EF203D"/>
    <w:rsid w:val="00EF362F"/>
    <w:rsid w:val="00EF5D14"/>
    <w:rsid w:val="00EF692F"/>
    <w:rsid w:val="00F0433A"/>
    <w:rsid w:val="00F14A9C"/>
    <w:rsid w:val="00F21303"/>
    <w:rsid w:val="00F33BC2"/>
    <w:rsid w:val="00F368EC"/>
    <w:rsid w:val="00F37B7E"/>
    <w:rsid w:val="00F546CE"/>
    <w:rsid w:val="00F870AD"/>
    <w:rsid w:val="00F91DB2"/>
    <w:rsid w:val="00FC1C2D"/>
    <w:rsid w:val="00FF03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51C2"/>
    <w:pPr>
      <w:bidi/>
    </w:pPr>
  </w:style>
  <w:style w:type="paragraph" w:styleId="1">
    <w:name w:val="heading 1"/>
    <w:basedOn w:val="a"/>
    <w:next w:val="a"/>
    <w:link w:val="1Char"/>
    <w:uiPriority w:val="9"/>
    <w:qFormat/>
    <w:rsid w:val="004A51C2"/>
    <w:pPr>
      <w:keepNext/>
      <w:keepLines/>
      <w:numPr>
        <w:numId w:val="1"/>
      </w:numPr>
      <w:bidi w:val="0"/>
      <w:spacing w:before="240" w:after="360" w:line="360" w:lineRule="auto"/>
      <w:jc w:val="center"/>
      <w:outlineLvl w:val="0"/>
    </w:pPr>
    <w:rPr>
      <w:rFonts w:asciiTheme="majorBidi" w:eastAsiaTheme="majorEastAsia" w:hAnsiTheme="majorBidi" w:cstheme="majorBidi"/>
      <w:b/>
      <w:bCs/>
      <w:sz w:val="40"/>
      <w:szCs w:val="40"/>
      <w:lang w:bidi="ar-EG"/>
    </w:rPr>
  </w:style>
  <w:style w:type="paragraph" w:styleId="2">
    <w:name w:val="heading 2"/>
    <w:basedOn w:val="a"/>
    <w:next w:val="a"/>
    <w:link w:val="2Char"/>
    <w:uiPriority w:val="9"/>
    <w:unhideWhenUsed/>
    <w:qFormat/>
    <w:rsid w:val="008E7B9C"/>
    <w:pPr>
      <w:keepNext/>
      <w:keepLines/>
      <w:numPr>
        <w:ilvl w:val="1"/>
        <w:numId w:val="1"/>
      </w:numPr>
      <w:bidi w:val="0"/>
      <w:spacing w:before="40" w:after="120"/>
      <w:jc w:val="both"/>
      <w:outlineLvl w:val="1"/>
    </w:pPr>
    <w:rPr>
      <w:rFonts w:asciiTheme="majorBidi" w:eastAsiaTheme="majorEastAsia" w:hAnsiTheme="majorBidi" w:cstheme="majorBidi"/>
      <w:b/>
      <w:bCs/>
      <w:sz w:val="32"/>
      <w:szCs w:val="32"/>
      <w:lang w:bidi="ar-EG"/>
    </w:rPr>
  </w:style>
  <w:style w:type="paragraph" w:styleId="3">
    <w:name w:val="heading 3"/>
    <w:basedOn w:val="a"/>
    <w:next w:val="a"/>
    <w:link w:val="3Char"/>
    <w:uiPriority w:val="9"/>
    <w:unhideWhenUsed/>
    <w:qFormat/>
    <w:rsid w:val="00655B17"/>
    <w:pPr>
      <w:keepNext/>
      <w:keepLines/>
      <w:numPr>
        <w:ilvl w:val="2"/>
        <w:numId w:val="1"/>
      </w:numPr>
      <w:bidi w:val="0"/>
      <w:spacing w:before="40" w:after="120"/>
      <w:jc w:val="both"/>
      <w:outlineLvl w:val="2"/>
    </w:pPr>
    <w:rPr>
      <w:rFonts w:asciiTheme="majorBidi" w:eastAsiaTheme="majorEastAsia" w:hAnsiTheme="majorBidi" w:cstheme="majorBidi"/>
      <w:b/>
      <w:bCs/>
      <w:sz w:val="28"/>
      <w:szCs w:val="28"/>
      <w:lang w:bidi="ar-EG"/>
    </w:rPr>
  </w:style>
  <w:style w:type="paragraph" w:styleId="4">
    <w:name w:val="heading 4"/>
    <w:basedOn w:val="a"/>
    <w:next w:val="a"/>
    <w:link w:val="4Char"/>
    <w:uiPriority w:val="9"/>
    <w:unhideWhenUsed/>
    <w:qFormat/>
    <w:rsid w:val="00CA573B"/>
    <w:pPr>
      <w:keepNext/>
      <w:keepLines/>
      <w:numPr>
        <w:ilvl w:val="3"/>
        <w:numId w:val="1"/>
      </w:numPr>
      <w:bidi w:val="0"/>
      <w:spacing w:before="40" w:after="120"/>
      <w:outlineLvl w:val="3"/>
    </w:pPr>
    <w:rPr>
      <w:rFonts w:asciiTheme="majorBidi" w:eastAsiaTheme="majorEastAsia" w:hAnsiTheme="majorBidi" w:cstheme="majorBidi"/>
      <w:color w:val="000000" w:themeColor="text1"/>
      <w:sz w:val="24"/>
      <w:szCs w:val="24"/>
    </w:rPr>
  </w:style>
  <w:style w:type="paragraph" w:styleId="5">
    <w:name w:val="heading 5"/>
    <w:basedOn w:val="a"/>
    <w:next w:val="a"/>
    <w:link w:val="5Char"/>
    <w:uiPriority w:val="9"/>
    <w:unhideWhenUsed/>
    <w:qFormat/>
    <w:rsid w:val="0017025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17025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17025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17025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17025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1"/>
    <w:qFormat/>
    <w:rsid w:val="008F3A9E"/>
    <w:pPr>
      <w:ind w:left="720"/>
      <w:contextualSpacing/>
    </w:pPr>
  </w:style>
  <w:style w:type="character" w:customStyle="1" w:styleId="1Char">
    <w:name w:val="العنوان 1 Char"/>
    <w:basedOn w:val="a0"/>
    <w:link w:val="1"/>
    <w:uiPriority w:val="9"/>
    <w:rsid w:val="004A51C2"/>
    <w:rPr>
      <w:rFonts w:asciiTheme="majorBidi" w:eastAsiaTheme="majorEastAsia" w:hAnsiTheme="majorBidi" w:cstheme="majorBidi"/>
      <w:b/>
      <w:bCs/>
      <w:sz w:val="40"/>
      <w:szCs w:val="40"/>
      <w:lang w:bidi="ar-EG"/>
    </w:rPr>
  </w:style>
  <w:style w:type="character" w:customStyle="1" w:styleId="2Char">
    <w:name w:val="عنوان 2 Char"/>
    <w:basedOn w:val="a0"/>
    <w:link w:val="2"/>
    <w:uiPriority w:val="9"/>
    <w:rsid w:val="008E7B9C"/>
    <w:rPr>
      <w:rFonts w:asciiTheme="majorBidi" w:eastAsiaTheme="majorEastAsia" w:hAnsiTheme="majorBidi" w:cstheme="majorBidi"/>
      <w:b/>
      <w:bCs/>
      <w:sz w:val="32"/>
      <w:szCs w:val="32"/>
      <w:lang w:bidi="ar-EG"/>
    </w:rPr>
  </w:style>
  <w:style w:type="character" w:customStyle="1" w:styleId="3Char">
    <w:name w:val="عنوان 3 Char"/>
    <w:basedOn w:val="a0"/>
    <w:link w:val="3"/>
    <w:uiPriority w:val="9"/>
    <w:rsid w:val="00655B17"/>
    <w:rPr>
      <w:rFonts w:asciiTheme="majorBidi" w:eastAsiaTheme="majorEastAsia" w:hAnsiTheme="majorBidi" w:cstheme="majorBidi"/>
      <w:b/>
      <w:bCs/>
      <w:sz w:val="28"/>
      <w:szCs w:val="28"/>
      <w:lang w:bidi="ar-EG"/>
    </w:rPr>
  </w:style>
  <w:style w:type="character" w:customStyle="1" w:styleId="4Char">
    <w:name w:val="عنوان 4 Char"/>
    <w:basedOn w:val="a0"/>
    <w:link w:val="4"/>
    <w:uiPriority w:val="9"/>
    <w:rsid w:val="00CA573B"/>
    <w:rPr>
      <w:rFonts w:asciiTheme="majorBidi" w:eastAsiaTheme="majorEastAsia" w:hAnsiTheme="majorBidi" w:cstheme="majorBidi"/>
      <w:color w:val="000000" w:themeColor="text1"/>
      <w:sz w:val="24"/>
      <w:szCs w:val="24"/>
    </w:rPr>
  </w:style>
  <w:style w:type="character" w:customStyle="1" w:styleId="5Char">
    <w:name w:val="عنوان 5 Char"/>
    <w:basedOn w:val="a0"/>
    <w:link w:val="5"/>
    <w:uiPriority w:val="9"/>
    <w:rsid w:val="0017025C"/>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17025C"/>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17025C"/>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17025C"/>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17025C"/>
    <w:rPr>
      <w:rFonts w:asciiTheme="majorHAnsi" w:eastAsiaTheme="majorEastAsia" w:hAnsiTheme="majorHAnsi" w:cstheme="majorBidi"/>
      <w:i/>
      <w:iCs/>
      <w:color w:val="272727" w:themeColor="text1" w:themeTint="D8"/>
      <w:sz w:val="21"/>
      <w:szCs w:val="21"/>
    </w:rPr>
  </w:style>
  <w:style w:type="paragraph" w:styleId="a6">
    <w:name w:val="Normal (Web)"/>
    <w:basedOn w:val="a"/>
    <w:uiPriority w:val="99"/>
    <w:unhideWhenUsed/>
    <w:rsid w:val="0017208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172086"/>
    <w:rPr>
      <w:b/>
      <w:bCs/>
    </w:rPr>
  </w:style>
  <w:style w:type="character" w:customStyle="1" w:styleId="sr-only">
    <w:name w:val="sr-only"/>
    <w:basedOn w:val="a0"/>
    <w:rsid w:val="005D063E"/>
  </w:style>
  <w:style w:type="paragraph" w:styleId="a8">
    <w:name w:val="HTML Top of Form"/>
    <w:basedOn w:val="a"/>
    <w:next w:val="a"/>
    <w:link w:val="Char1"/>
    <w:hidden/>
    <w:uiPriority w:val="99"/>
    <w:semiHidden/>
    <w:unhideWhenUsed/>
    <w:rsid w:val="005D063E"/>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1">
    <w:name w:val="أعلى النموذج Char"/>
    <w:basedOn w:val="a0"/>
    <w:link w:val="a8"/>
    <w:uiPriority w:val="99"/>
    <w:semiHidden/>
    <w:rsid w:val="005D063E"/>
    <w:rPr>
      <w:rFonts w:ascii="Arial" w:eastAsia="Times New Roman" w:hAnsi="Arial" w:cs="Arial"/>
      <w:vanish/>
      <w:kern w:val="0"/>
      <w:sz w:val="16"/>
      <w:szCs w:val="16"/>
      <w14:ligatures w14:val="none"/>
    </w:rPr>
  </w:style>
  <w:style w:type="paragraph" w:styleId="a9">
    <w:name w:val="HTML Bottom of Form"/>
    <w:basedOn w:val="a"/>
    <w:next w:val="a"/>
    <w:link w:val="Char2"/>
    <w:hidden/>
    <w:uiPriority w:val="99"/>
    <w:semiHidden/>
    <w:unhideWhenUsed/>
    <w:rsid w:val="005D063E"/>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2">
    <w:name w:val="أسفل النموذج Char"/>
    <w:basedOn w:val="a0"/>
    <w:link w:val="a9"/>
    <w:uiPriority w:val="99"/>
    <w:semiHidden/>
    <w:rsid w:val="005D063E"/>
    <w:rPr>
      <w:rFonts w:ascii="Arial" w:eastAsia="Times New Roman" w:hAnsi="Arial" w:cs="Arial"/>
      <w:vanish/>
      <w:kern w:val="0"/>
      <w:sz w:val="16"/>
      <w:szCs w:val="16"/>
      <w14:ligatures w14:val="none"/>
    </w:rPr>
  </w:style>
  <w:style w:type="paragraph" w:styleId="aa">
    <w:name w:val="TOC Heading"/>
    <w:basedOn w:val="1"/>
    <w:next w:val="a"/>
    <w:uiPriority w:val="39"/>
    <w:unhideWhenUsed/>
    <w:qFormat/>
    <w:rsid w:val="007D66D7"/>
    <w:pPr>
      <w:numPr>
        <w:numId w:val="0"/>
      </w:numPr>
      <w:outlineLvl w:val="9"/>
    </w:pPr>
    <w:rPr>
      <w:rFonts w:asciiTheme="majorHAnsi" w:hAnsiTheme="majorHAnsi"/>
      <w:b w:val="0"/>
      <w:bCs w:val="0"/>
      <w:color w:val="2F5496" w:themeColor="accent1" w:themeShade="BF"/>
      <w:kern w:val="0"/>
      <w:sz w:val="32"/>
      <w:szCs w:val="32"/>
      <w:lang w:bidi="ar-SA"/>
      <w14:ligatures w14:val="none"/>
    </w:rPr>
  </w:style>
  <w:style w:type="paragraph" w:styleId="20">
    <w:name w:val="toc 2"/>
    <w:basedOn w:val="a"/>
    <w:next w:val="a"/>
    <w:autoRedefine/>
    <w:uiPriority w:val="39"/>
    <w:unhideWhenUsed/>
    <w:rsid w:val="007D66D7"/>
    <w:pPr>
      <w:spacing w:after="0"/>
      <w:ind w:left="220"/>
    </w:pPr>
    <w:rPr>
      <w:rFonts w:cstheme="minorHAnsi"/>
      <w:smallCaps/>
      <w:sz w:val="20"/>
      <w:szCs w:val="24"/>
    </w:rPr>
  </w:style>
  <w:style w:type="paragraph" w:styleId="10">
    <w:name w:val="toc 1"/>
    <w:basedOn w:val="a"/>
    <w:next w:val="a"/>
    <w:autoRedefine/>
    <w:uiPriority w:val="39"/>
    <w:unhideWhenUsed/>
    <w:rsid w:val="00C3486F"/>
    <w:pPr>
      <w:tabs>
        <w:tab w:val="right" w:leader="dot" w:pos="9061"/>
      </w:tabs>
      <w:spacing w:before="120" w:after="120"/>
      <w:jc w:val="both"/>
    </w:pPr>
    <w:rPr>
      <w:rFonts w:cstheme="minorHAnsi"/>
      <w:b/>
      <w:bCs/>
      <w:caps/>
      <w:sz w:val="20"/>
      <w:szCs w:val="24"/>
    </w:rPr>
  </w:style>
  <w:style w:type="paragraph" w:styleId="30">
    <w:name w:val="toc 3"/>
    <w:basedOn w:val="a"/>
    <w:next w:val="a"/>
    <w:autoRedefine/>
    <w:uiPriority w:val="39"/>
    <w:unhideWhenUsed/>
    <w:rsid w:val="007D66D7"/>
    <w:pPr>
      <w:spacing w:after="0"/>
      <w:ind w:left="440"/>
    </w:pPr>
    <w:rPr>
      <w:rFonts w:cstheme="minorHAnsi"/>
      <w:i/>
      <w:iCs/>
      <w:sz w:val="20"/>
      <w:szCs w:val="24"/>
    </w:rPr>
  </w:style>
  <w:style w:type="paragraph" w:styleId="40">
    <w:name w:val="toc 4"/>
    <w:basedOn w:val="a"/>
    <w:next w:val="a"/>
    <w:autoRedefine/>
    <w:uiPriority w:val="39"/>
    <w:unhideWhenUsed/>
    <w:rsid w:val="000C29EE"/>
    <w:pPr>
      <w:spacing w:after="0"/>
      <w:ind w:left="660"/>
    </w:pPr>
    <w:rPr>
      <w:rFonts w:cstheme="minorHAnsi"/>
      <w:sz w:val="18"/>
      <w:szCs w:val="21"/>
    </w:rPr>
  </w:style>
  <w:style w:type="paragraph" w:styleId="50">
    <w:name w:val="toc 5"/>
    <w:basedOn w:val="a"/>
    <w:next w:val="a"/>
    <w:autoRedefine/>
    <w:uiPriority w:val="39"/>
    <w:unhideWhenUsed/>
    <w:rsid w:val="000C29EE"/>
    <w:pPr>
      <w:spacing w:after="0"/>
      <w:ind w:left="880"/>
    </w:pPr>
    <w:rPr>
      <w:rFonts w:cstheme="minorHAnsi"/>
      <w:sz w:val="18"/>
      <w:szCs w:val="21"/>
    </w:rPr>
  </w:style>
  <w:style w:type="paragraph" w:styleId="60">
    <w:name w:val="toc 6"/>
    <w:basedOn w:val="a"/>
    <w:next w:val="a"/>
    <w:autoRedefine/>
    <w:uiPriority w:val="39"/>
    <w:unhideWhenUsed/>
    <w:rsid w:val="000C29EE"/>
    <w:pPr>
      <w:spacing w:after="0"/>
      <w:ind w:left="1100"/>
    </w:pPr>
    <w:rPr>
      <w:rFonts w:cstheme="minorHAnsi"/>
      <w:sz w:val="18"/>
      <w:szCs w:val="21"/>
    </w:rPr>
  </w:style>
  <w:style w:type="paragraph" w:styleId="70">
    <w:name w:val="toc 7"/>
    <w:basedOn w:val="a"/>
    <w:next w:val="a"/>
    <w:autoRedefine/>
    <w:uiPriority w:val="39"/>
    <w:unhideWhenUsed/>
    <w:rsid w:val="000C29EE"/>
    <w:pPr>
      <w:spacing w:after="0"/>
      <w:ind w:left="1320"/>
    </w:pPr>
    <w:rPr>
      <w:rFonts w:cstheme="minorHAnsi"/>
      <w:sz w:val="18"/>
      <w:szCs w:val="21"/>
    </w:rPr>
  </w:style>
  <w:style w:type="paragraph" w:styleId="80">
    <w:name w:val="toc 8"/>
    <w:basedOn w:val="a"/>
    <w:next w:val="a"/>
    <w:autoRedefine/>
    <w:uiPriority w:val="39"/>
    <w:unhideWhenUsed/>
    <w:rsid w:val="000C29EE"/>
    <w:pPr>
      <w:spacing w:after="0"/>
      <w:ind w:left="1540"/>
    </w:pPr>
    <w:rPr>
      <w:rFonts w:cstheme="minorHAnsi"/>
      <w:sz w:val="18"/>
      <w:szCs w:val="21"/>
    </w:rPr>
  </w:style>
  <w:style w:type="paragraph" w:styleId="90">
    <w:name w:val="toc 9"/>
    <w:basedOn w:val="a"/>
    <w:next w:val="a"/>
    <w:autoRedefine/>
    <w:uiPriority w:val="39"/>
    <w:unhideWhenUsed/>
    <w:rsid w:val="000C29EE"/>
    <w:pPr>
      <w:spacing w:after="0"/>
      <w:ind w:left="1760"/>
    </w:pPr>
    <w:rPr>
      <w:rFonts w:cstheme="minorHAnsi"/>
      <w:sz w:val="18"/>
      <w:szCs w:val="21"/>
    </w:rPr>
  </w:style>
  <w:style w:type="character" w:styleId="Hyperlink">
    <w:name w:val="Hyperlink"/>
    <w:basedOn w:val="a0"/>
    <w:uiPriority w:val="99"/>
    <w:unhideWhenUsed/>
    <w:rsid w:val="000C29EE"/>
    <w:rPr>
      <w:color w:val="0563C1" w:themeColor="hyperlink"/>
      <w:u w:val="single"/>
    </w:rPr>
  </w:style>
  <w:style w:type="character" w:styleId="ab">
    <w:name w:val="Emphasis"/>
    <w:basedOn w:val="a0"/>
    <w:uiPriority w:val="20"/>
    <w:qFormat/>
    <w:rsid w:val="006620DA"/>
    <w:rPr>
      <w:i/>
      <w:iCs/>
    </w:rPr>
  </w:style>
  <w:style w:type="character" w:customStyle="1" w:styleId="relative">
    <w:name w:val="relative"/>
    <w:basedOn w:val="a0"/>
    <w:rsid w:val="006620DA"/>
  </w:style>
  <w:style w:type="paragraph" w:customStyle="1" w:styleId="not-prose">
    <w:name w:val="not-prose"/>
    <w:basedOn w:val="a"/>
    <w:rsid w:val="006620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Unresolved Mention"/>
    <w:basedOn w:val="a0"/>
    <w:uiPriority w:val="99"/>
    <w:semiHidden/>
    <w:unhideWhenUsed/>
    <w:rsid w:val="00EE46D2"/>
    <w:rPr>
      <w:color w:val="605E5C"/>
      <w:shd w:val="clear" w:color="auto" w:fill="E1DFDD"/>
    </w:rPr>
  </w:style>
  <w:style w:type="paragraph" w:styleId="ad">
    <w:name w:val="caption"/>
    <w:basedOn w:val="a"/>
    <w:next w:val="a"/>
    <w:uiPriority w:val="35"/>
    <w:unhideWhenUsed/>
    <w:qFormat/>
    <w:rsid w:val="00166BB3"/>
    <w:pPr>
      <w:keepNext/>
      <w:bidi w:val="0"/>
      <w:spacing w:after="0" w:line="240" w:lineRule="auto"/>
    </w:pPr>
    <w:rPr>
      <w:rFonts w:asciiTheme="majorBidi" w:hAnsiTheme="majorBidi" w:cstheme="majorBidi"/>
      <w:noProof/>
      <w:color w:val="000000" w:themeColor="text1"/>
      <w:sz w:val="24"/>
      <w:szCs w:val="24"/>
    </w:rPr>
  </w:style>
  <w:style w:type="paragraph" w:customStyle="1" w:styleId="placeholder">
    <w:name w:val="placeholder"/>
    <w:basedOn w:val="a"/>
    <w:rsid w:val="004178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x-w-40">
    <w:name w:val="max-w-40"/>
    <w:basedOn w:val="a0"/>
    <w:rsid w:val="00417808"/>
  </w:style>
  <w:style w:type="character" w:customStyle="1" w:styleId="flex-1">
    <w:name w:val="flex-1"/>
    <w:basedOn w:val="a0"/>
    <w:rsid w:val="00E60CAA"/>
  </w:style>
  <w:style w:type="table" w:styleId="ae">
    <w:name w:val="Table Grid"/>
    <w:basedOn w:val="a1"/>
    <w:uiPriority w:val="39"/>
    <w:rsid w:val="00F21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598F"/>
    <w:pPr>
      <w:autoSpaceDE w:val="0"/>
      <w:autoSpaceDN w:val="0"/>
      <w:adjustRightInd w:val="0"/>
      <w:spacing w:after="0" w:line="240" w:lineRule="auto"/>
    </w:pPr>
    <w:rPr>
      <w:rFonts w:ascii="Times New Roman" w:eastAsia="Arial" w:hAnsi="Times New Roman" w:cs="Times New Roman"/>
      <w:color w:val="000000"/>
      <w:kern w:val="0"/>
      <w:sz w:val="24"/>
      <w:szCs w:val="24"/>
      <w14:ligatures w14:val="none"/>
    </w:rPr>
  </w:style>
  <w:style w:type="paragraph" w:styleId="af">
    <w:name w:val="Body Text"/>
    <w:basedOn w:val="a"/>
    <w:link w:val="Char3"/>
    <w:uiPriority w:val="1"/>
    <w:qFormat/>
    <w:rsid w:val="00E769E7"/>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Char3">
    <w:name w:val="نص أساسي Char"/>
    <w:basedOn w:val="a0"/>
    <w:link w:val="af"/>
    <w:uiPriority w:val="1"/>
    <w:rsid w:val="00E769E7"/>
    <w:rPr>
      <w:rFonts w:ascii="Times New Roman" w:eastAsia="Times New Roman" w:hAnsi="Times New Roman" w:cs="Times New Roman"/>
      <w:kern w:val="0"/>
      <w:sz w:val="24"/>
      <w:szCs w:val="24"/>
      <w14:ligatures w14:val="none"/>
    </w:rPr>
  </w:style>
  <w:style w:type="paragraph" w:styleId="af0">
    <w:name w:val="table of figures"/>
    <w:basedOn w:val="a"/>
    <w:next w:val="a"/>
    <w:uiPriority w:val="99"/>
    <w:unhideWhenUsed/>
    <w:rsid w:val="007E61A3"/>
    <w:pPr>
      <w:spacing w:after="0"/>
      <w:ind w:left="440" w:hanging="440"/>
    </w:pPr>
    <w:rPr>
      <w:rFonts w:cstheme="minorHAnsi"/>
      <w:small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5401">
      <w:bodyDiv w:val="1"/>
      <w:marLeft w:val="0"/>
      <w:marRight w:val="0"/>
      <w:marTop w:val="0"/>
      <w:marBottom w:val="0"/>
      <w:divBdr>
        <w:top w:val="none" w:sz="0" w:space="0" w:color="auto"/>
        <w:left w:val="none" w:sz="0" w:space="0" w:color="auto"/>
        <w:bottom w:val="none" w:sz="0" w:space="0" w:color="auto"/>
        <w:right w:val="none" w:sz="0" w:space="0" w:color="auto"/>
      </w:divBdr>
    </w:div>
    <w:div w:id="21633015">
      <w:bodyDiv w:val="1"/>
      <w:marLeft w:val="0"/>
      <w:marRight w:val="0"/>
      <w:marTop w:val="0"/>
      <w:marBottom w:val="0"/>
      <w:divBdr>
        <w:top w:val="none" w:sz="0" w:space="0" w:color="auto"/>
        <w:left w:val="none" w:sz="0" w:space="0" w:color="auto"/>
        <w:bottom w:val="none" w:sz="0" w:space="0" w:color="auto"/>
        <w:right w:val="none" w:sz="0" w:space="0" w:color="auto"/>
      </w:divBdr>
    </w:div>
    <w:div w:id="41178285">
      <w:bodyDiv w:val="1"/>
      <w:marLeft w:val="0"/>
      <w:marRight w:val="0"/>
      <w:marTop w:val="0"/>
      <w:marBottom w:val="0"/>
      <w:divBdr>
        <w:top w:val="none" w:sz="0" w:space="0" w:color="auto"/>
        <w:left w:val="none" w:sz="0" w:space="0" w:color="auto"/>
        <w:bottom w:val="none" w:sz="0" w:space="0" w:color="auto"/>
        <w:right w:val="none" w:sz="0" w:space="0" w:color="auto"/>
      </w:divBdr>
      <w:divsChild>
        <w:div w:id="1632708717">
          <w:marLeft w:val="0"/>
          <w:marRight w:val="0"/>
          <w:marTop w:val="0"/>
          <w:marBottom w:val="0"/>
          <w:divBdr>
            <w:top w:val="none" w:sz="0" w:space="0" w:color="auto"/>
            <w:left w:val="none" w:sz="0" w:space="0" w:color="auto"/>
            <w:bottom w:val="none" w:sz="0" w:space="0" w:color="auto"/>
            <w:right w:val="none" w:sz="0" w:space="0" w:color="auto"/>
          </w:divBdr>
          <w:divsChild>
            <w:div w:id="1607614197">
              <w:marLeft w:val="0"/>
              <w:marRight w:val="0"/>
              <w:marTop w:val="0"/>
              <w:marBottom w:val="0"/>
              <w:divBdr>
                <w:top w:val="none" w:sz="0" w:space="0" w:color="auto"/>
                <w:left w:val="none" w:sz="0" w:space="0" w:color="auto"/>
                <w:bottom w:val="none" w:sz="0" w:space="0" w:color="auto"/>
                <w:right w:val="none" w:sz="0" w:space="0" w:color="auto"/>
              </w:divBdr>
              <w:divsChild>
                <w:div w:id="540214318">
                  <w:marLeft w:val="0"/>
                  <w:marRight w:val="0"/>
                  <w:marTop w:val="0"/>
                  <w:marBottom w:val="0"/>
                  <w:divBdr>
                    <w:top w:val="none" w:sz="0" w:space="0" w:color="auto"/>
                    <w:left w:val="none" w:sz="0" w:space="0" w:color="auto"/>
                    <w:bottom w:val="none" w:sz="0" w:space="0" w:color="auto"/>
                    <w:right w:val="none" w:sz="0" w:space="0" w:color="auto"/>
                  </w:divBdr>
                  <w:divsChild>
                    <w:div w:id="1800029751">
                      <w:marLeft w:val="0"/>
                      <w:marRight w:val="0"/>
                      <w:marTop w:val="0"/>
                      <w:marBottom w:val="0"/>
                      <w:divBdr>
                        <w:top w:val="none" w:sz="0" w:space="0" w:color="auto"/>
                        <w:left w:val="none" w:sz="0" w:space="0" w:color="auto"/>
                        <w:bottom w:val="none" w:sz="0" w:space="0" w:color="auto"/>
                        <w:right w:val="none" w:sz="0" w:space="0" w:color="auto"/>
                      </w:divBdr>
                      <w:divsChild>
                        <w:div w:id="1090782545">
                          <w:marLeft w:val="0"/>
                          <w:marRight w:val="0"/>
                          <w:marTop w:val="0"/>
                          <w:marBottom w:val="0"/>
                          <w:divBdr>
                            <w:top w:val="none" w:sz="0" w:space="0" w:color="auto"/>
                            <w:left w:val="none" w:sz="0" w:space="0" w:color="auto"/>
                            <w:bottom w:val="none" w:sz="0" w:space="0" w:color="auto"/>
                            <w:right w:val="none" w:sz="0" w:space="0" w:color="auto"/>
                          </w:divBdr>
                          <w:divsChild>
                            <w:div w:id="1612323820">
                              <w:marLeft w:val="0"/>
                              <w:marRight w:val="0"/>
                              <w:marTop w:val="0"/>
                              <w:marBottom w:val="0"/>
                              <w:divBdr>
                                <w:top w:val="none" w:sz="0" w:space="0" w:color="auto"/>
                                <w:left w:val="none" w:sz="0" w:space="0" w:color="auto"/>
                                <w:bottom w:val="none" w:sz="0" w:space="0" w:color="auto"/>
                                <w:right w:val="none" w:sz="0" w:space="0" w:color="auto"/>
                              </w:divBdr>
                              <w:divsChild>
                                <w:div w:id="1959100371">
                                  <w:marLeft w:val="0"/>
                                  <w:marRight w:val="0"/>
                                  <w:marTop w:val="0"/>
                                  <w:marBottom w:val="0"/>
                                  <w:divBdr>
                                    <w:top w:val="none" w:sz="0" w:space="0" w:color="auto"/>
                                    <w:left w:val="none" w:sz="0" w:space="0" w:color="auto"/>
                                    <w:bottom w:val="none" w:sz="0" w:space="0" w:color="auto"/>
                                    <w:right w:val="none" w:sz="0" w:space="0" w:color="auto"/>
                                  </w:divBdr>
                                  <w:divsChild>
                                    <w:div w:id="3620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0524">
                      <w:marLeft w:val="0"/>
                      <w:marRight w:val="0"/>
                      <w:marTop w:val="0"/>
                      <w:marBottom w:val="0"/>
                      <w:divBdr>
                        <w:top w:val="none" w:sz="0" w:space="0" w:color="auto"/>
                        <w:left w:val="none" w:sz="0" w:space="0" w:color="auto"/>
                        <w:bottom w:val="none" w:sz="0" w:space="0" w:color="auto"/>
                        <w:right w:val="none" w:sz="0" w:space="0" w:color="auto"/>
                      </w:divBdr>
                      <w:divsChild>
                        <w:div w:id="132763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36602">
      <w:bodyDiv w:val="1"/>
      <w:marLeft w:val="0"/>
      <w:marRight w:val="0"/>
      <w:marTop w:val="0"/>
      <w:marBottom w:val="0"/>
      <w:divBdr>
        <w:top w:val="none" w:sz="0" w:space="0" w:color="auto"/>
        <w:left w:val="none" w:sz="0" w:space="0" w:color="auto"/>
        <w:bottom w:val="none" w:sz="0" w:space="0" w:color="auto"/>
        <w:right w:val="none" w:sz="0" w:space="0" w:color="auto"/>
      </w:divBdr>
      <w:divsChild>
        <w:div w:id="669792470">
          <w:marLeft w:val="0"/>
          <w:marRight w:val="0"/>
          <w:marTop w:val="0"/>
          <w:marBottom w:val="0"/>
          <w:divBdr>
            <w:top w:val="none" w:sz="0" w:space="0" w:color="auto"/>
            <w:left w:val="none" w:sz="0" w:space="0" w:color="auto"/>
            <w:bottom w:val="none" w:sz="0" w:space="0" w:color="auto"/>
            <w:right w:val="none" w:sz="0" w:space="0" w:color="auto"/>
          </w:divBdr>
          <w:divsChild>
            <w:div w:id="8360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3703">
      <w:bodyDiv w:val="1"/>
      <w:marLeft w:val="0"/>
      <w:marRight w:val="0"/>
      <w:marTop w:val="0"/>
      <w:marBottom w:val="0"/>
      <w:divBdr>
        <w:top w:val="none" w:sz="0" w:space="0" w:color="auto"/>
        <w:left w:val="none" w:sz="0" w:space="0" w:color="auto"/>
        <w:bottom w:val="none" w:sz="0" w:space="0" w:color="auto"/>
        <w:right w:val="none" w:sz="0" w:space="0" w:color="auto"/>
      </w:divBdr>
    </w:div>
    <w:div w:id="71853645">
      <w:bodyDiv w:val="1"/>
      <w:marLeft w:val="0"/>
      <w:marRight w:val="0"/>
      <w:marTop w:val="0"/>
      <w:marBottom w:val="0"/>
      <w:divBdr>
        <w:top w:val="none" w:sz="0" w:space="0" w:color="auto"/>
        <w:left w:val="none" w:sz="0" w:space="0" w:color="auto"/>
        <w:bottom w:val="none" w:sz="0" w:space="0" w:color="auto"/>
        <w:right w:val="none" w:sz="0" w:space="0" w:color="auto"/>
      </w:divBdr>
    </w:div>
    <w:div w:id="72895502">
      <w:bodyDiv w:val="1"/>
      <w:marLeft w:val="0"/>
      <w:marRight w:val="0"/>
      <w:marTop w:val="0"/>
      <w:marBottom w:val="0"/>
      <w:divBdr>
        <w:top w:val="none" w:sz="0" w:space="0" w:color="auto"/>
        <w:left w:val="none" w:sz="0" w:space="0" w:color="auto"/>
        <w:bottom w:val="none" w:sz="0" w:space="0" w:color="auto"/>
        <w:right w:val="none" w:sz="0" w:space="0" w:color="auto"/>
      </w:divBdr>
    </w:div>
    <w:div w:id="82382370">
      <w:bodyDiv w:val="1"/>
      <w:marLeft w:val="0"/>
      <w:marRight w:val="0"/>
      <w:marTop w:val="0"/>
      <w:marBottom w:val="0"/>
      <w:divBdr>
        <w:top w:val="none" w:sz="0" w:space="0" w:color="auto"/>
        <w:left w:val="none" w:sz="0" w:space="0" w:color="auto"/>
        <w:bottom w:val="none" w:sz="0" w:space="0" w:color="auto"/>
        <w:right w:val="none" w:sz="0" w:space="0" w:color="auto"/>
      </w:divBdr>
    </w:div>
    <w:div w:id="95755620">
      <w:bodyDiv w:val="1"/>
      <w:marLeft w:val="0"/>
      <w:marRight w:val="0"/>
      <w:marTop w:val="0"/>
      <w:marBottom w:val="0"/>
      <w:divBdr>
        <w:top w:val="none" w:sz="0" w:space="0" w:color="auto"/>
        <w:left w:val="none" w:sz="0" w:space="0" w:color="auto"/>
        <w:bottom w:val="none" w:sz="0" w:space="0" w:color="auto"/>
        <w:right w:val="none" w:sz="0" w:space="0" w:color="auto"/>
      </w:divBdr>
    </w:div>
    <w:div w:id="119887056">
      <w:bodyDiv w:val="1"/>
      <w:marLeft w:val="0"/>
      <w:marRight w:val="0"/>
      <w:marTop w:val="0"/>
      <w:marBottom w:val="0"/>
      <w:divBdr>
        <w:top w:val="none" w:sz="0" w:space="0" w:color="auto"/>
        <w:left w:val="none" w:sz="0" w:space="0" w:color="auto"/>
        <w:bottom w:val="none" w:sz="0" w:space="0" w:color="auto"/>
        <w:right w:val="none" w:sz="0" w:space="0" w:color="auto"/>
      </w:divBdr>
    </w:div>
    <w:div w:id="124932102">
      <w:bodyDiv w:val="1"/>
      <w:marLeft w:val="0"/>
      <w:marRight w:val="0"/>
      <w:marTop w:val="0"/>
      <w:marBottom w:val="0"/>
      <w:divBdr>
        <w:top w:val="none" w:sz="0" w:space="0" w:color="auto"/>
        <w:left w:val="none" w:sz="0" w:space="0" w:color="auto"/>
        <w:bottom w:val="none" w:sz="0" w:space="0" w:color="auto"/>
        <w:right w:val="none" w:sz="0" w:space="0" w:color="auto"/>
      </w:divBdr>
    </w:div>
    <w:div w:id="133573512">
      <w:bodyDiv w:val="1"/>
      <w:marLeft w:val="0"/>
      <w:marRight w:val="0"/>
      <w:marTop w:val="0"/>
      <w:marBottom w:val="0"/>
      <w:divBdr>
        <w:top w:val="none" w:sz="0" w:space="0" w:color="auto"/>
        <w:left w:val="none" w:sz="0" w:space="0" w:color="auto"/>
        <w:bottom w:val="none" w:sz="0" w:space="0" w:color="auto"/>
        <w:right w:val="none" w:sz="0" w:space="0" w:color="auto"/>
      </w:divBdr>
    </w:div>
    <w:div w:id="134377234">
      <w:bodyDiv w:val="1"/>
      <w:marLeft w:val="0"/>
      <w:marRight w:val="0"/>
      <w:marTop w:val="0"/>
      <w:marBottom w:val="0"/>
      <w:divBdr>
        <w:top w:val="none" w:sz="0" w:space="0" w:color="auto"/>
        <w:left w:val="none" w:sz="0" w:space="0" w:color="auto"/>
        <w:bottom w:val="none" w:sz="0" w:space="0" w:color="auto"/>
        <w:right w:val="none" w:sz="0" w:space="0" w:color="auto"/>
      </w:divBdr>
    </w:div>
    <w:div w:id="139081474">
      <w:bodyDiv w:val="1"/>
      <w:marLeft w:val="0"/>
      <w:marRight w:val="0"/>
      <w:marTop w:val="0"/>
      <w:marBottom w:val="0"/>
      <w:divBdr>
        <w:top w:val="none" w:sz="0" w:space="0" w:color="auto"/>
        <w:left w:val="none" w:sz="0" w:space="0" w:color="auto"/>
        <w:bottom w:val="none" w:sz="0" w:space="0" w:color="auto"/>
        <w:right w:val="none" w:sz="0" w:space="0" w:color="auto"/>
      </w:divBdr>
      <w:divsChild>
        <w:div w:id="1270698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396967">
      <w:bodyDiv w:val="1"/>
      <w:marLeft w:val="0"/>
      <w:marRight w:val="0"/>
      <w:marTop w:val="0"/>
      <w:marBottom w:val="0"/>
      <w:divBdr>
        <w:top w:val="none" w:sz="0" w:space="0" w:color="auto"/>
        <w:left w:val="none" w:sz="0" w:space="0" w:color="auto"/>
        <w:bottom w:val="none" w:sz="0" w:space="0" w:color="auto"/>
        <w:right w:val="none" w:sz="0" w:space="0" w:color="auto"/>
      </w:divBdr>
      <w:divsChild>
        <w:div w:id="1115752455">
          <w:marLeft w:val="0"/>
          <w:marRight w:val="0"/>
          <w:marTop w:val="0"/>
          <w:marBottom w:val="0"/>
          <w:divBdr>
            <w:top w:val="none" w:sz="0" w:space="0" w:color="auto"/>
            <w:left w:val="none" w:sz="0" w:space="0" w:color="auto"/>
            <w:bottom w:val="none" w:sz="0" w:space="0" w:color="auto"/>
            <w:right w:val="none" w:sz="0" w:space="0" w:color="auto"/>
          </w:divBdr>
          <w:divsChild>
            <w:div w:id="934359165">
              <w:marLeft w:val="0"/>
              <w:marRight w:val="0"/>
              <w:marTop w:val="0"/>
              <w:marBottom w:val="0"/>
              <w:divBdr>
                <w:top w:val="none" w:sz="0" w:space="0" w:color="auto"/>
                <w:left w:val="none" w:sz="0" w:space="0" w:color="auto"/>
                <w:bottom w:val="none" w:sz="0" w:space="0" w:color="auto"/>
                <w:right w:val="none" w:sz="0" w:space="0" w:color="auto"/>
              </w:divBdr>
              <w:divsChild>
                <w:div w:id="1736539480">
                  <w:marLeft w:val="0"/>
                  <w:marRight w:val="0"/>
                  <w:marTop w:val="0"/>
                  <w:marBottom w:val="0"/>
                  <w:divBdr>
                    <w:top w:val="none" w:sz="0" w:space="0" w:color="auto"/>
                    <w:left w:val="none" w:sz="0" w:space="0" w:color="auto"/>
                    <w:bottom w:val="none" w:sz="0" w:space="0" w:color="auto"/>
                    <w:right w:val="none" w:sz="0" w:space="0" w:color="auto"/>
                  </w:divBdr>
                  <w:divsChild>
                    <w:div w:id="1998193263">
                      <w:marLeft w:val="0"/>
                      <w:marRight w:val="0"/>
                      <w:marTop w:val="0"/>
                      <w:marBottom w:val="0"/>
                      <w:divBdr>
                        <w:top w:val="none" w:sz="0" w:space="0" w:color="auto"/>
                        <w:left w:val="none" w:sz="0" w:space="0" w:color="auto"/>
                        <w:bottom w:val="none" w:sz="0" w:space="0" w:color="auto"/>
                        <w:right w:val="none" w:sz="0" w:space="0" w:color="auto"/>
                      </w:divBdr>
                      <w:divsChild>
                        <w:div w:id="1985425571">
                          <w:marLeft w:val="0"/>
                          <w:marRight w:val="0"/>
                          <w:marTop w:val="0"/>
                          <w:marBottom w:val="0"/>
                          <w:divBdr>
                            <w:top w:val="none" w:sz="0" w:space="0" w:color="auto"/>
                            <w:left w:val="none" w:sz="0" w:space="0" w:color="auto"/>
                            <w:bottom w:val="none" w:sz="0" w:space="0" w:color="auto"/>
                            <w:right w:val="none" w:sz="0" w:space="0" w:color="auto"/>
                          </w:divBdr>
                          <w:divsChild>
                            <w:div w:id="1416434652">
                              <w:marLeft w:val="0"/>
                              <w:marRight w:val="0"/>
                              <w:marTop w:val="0"/>
                              <w:marBottom w:val="0"/>
                              <w:divBdr>
                                <w:top w:val="none" w:sz="0" w:space="0" w:color="auto"/>
                                <w:left w:val="none" w:sz="0" w:space="0" w:color="auto"/>
                                <w:bottom w:val="none" w:sz="0" w:space="0" w:color="auto"/>
                                <w:right w:val="none" w:sz="0" w:space="0" w:color="auto"/>
                              </w:divBdr>
                              <w:divsChild>
                                <w:div w:id="1805197850">
                                  <w:marLeft w:val="0"/>
                                  <w:marRight w:val="0"/>
                                  <w:marTop w:val="0"/>
                                  <w:marBottom w:val="0"/>
                                  <w:divBdr>
                                    <w:top w:val="none" w:sz="0" w:space="0" w:color="auto"/>
                                    <w:left w:val="none" w:sz="0" w:space="0" w:color="auto"/>
                                    <w:bottom w:val="none" w:sz="0" w:space="0" w:color="auto"/>
                                    <w:right w:val="none" w:sz="0" w:space="0" w:color="auto"/>
                                  </w:divBdr>
                                  <w:divsChild>
                                    <w:div w:id="11949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838670">
                      <w:marLeft w:val="0"/>
                      <w:marRight w:val="0"/>
                      <w:marTop w:val="0"/>
                      <w:marBottom w:val="0"/>
                      <w:divBdr>
                        <w:top w:val="none" w:sz="0" w:space="0" w:color="auto"/>
                        <w:left w:val="none" w:sz="0" w:space="0" w:color="auto"/>
                        <w:bottom w:val="none" w:sz="0" w:space="0" w:color="auto"/>
                        <w:right w:val="none" w:sz="0" w:space="0" w:color="auto"/>
                      </w:divBdr>
                      <w:divsChild>
                        <w:div w:id="185337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7182">
      <w:bodyDiv w:val="1"/>
      <w:marLeft w:val="0"/>
      <w:marRight w:val="0"/>
      <w:marTop w:val="0"/>
      <w:marBottom w:val="0"/>
      <w:divBdr>
        <w:top w:val="none" w:sz="0" w:space="0" w:color="auto"/>
        <w:left w:val="none" w:sz="0" w:space="0" w:color="auto"/>
        <w:bottom w:val="none" w:sz="0" w:space="0" w:color="auto"/>
        <w:right w:val="none" w:sz="0" w:space="0" w:color="auto"/>
      </w:divBdr>
      <w:divsChild>
        <w:div w:id="1154758597">
          <w:marLeft w:val="0"/>
          <w:marRight w:val="0"/>
          <w:marTop w:val="0"/>
          <w:marBottom w:val="0"/>
          <w:divBdr>
            <w:top w:val="none" w:sz="0" w:space="0" w:color="auto"/>
            <w:left w:val="none" w:sz="0" w:space="0" w:color="auto"/>
            <w:bottom w:val="none" w:sz="0" w:space="0" w:color="auto"/>
            <w:right w:val="none" w:sz="0" w:space="0" w:color="auto"/>
          </w:divBdr>
          <w:divsChild>
            <w:div w:id="1587568535">
              <w:marLeft w:val="0"/>
              <w:marRight w:val="0"/>
              <w:marTop w:val="0"/>
              <w:marBottom w:val="0"/>
              <w:divBdr>
                <w:top w:val="none" w:sz="0" w:space="0" w:color="auto"/>
                <w:left w:val="none" w:sz="0" w:space="0" w:color="auto"/>
                <w:bottom w:val="none" w:sz="0" w:space="0" w:color="auto"/>
                <w:right w:val="none" w:sz="0" w:space="0" w:color="auto"/>
              </w:divBdr>
              <w:divsChild>
                <w:div w:id="23403741">
                  <w:marLeft w:val="0"/>
                  <w:marRight w:val="0"/>
                  <w:marTop w:val="0"/>
                  <w:marBottom w:val="0"/>
                  <w:divBdr>
                    <w:top w:val="none" w:sz="0" w:space="0" w:color="auto"/>
                    <w:left w:val="none" w:sz="0" w:space="0" w:color="auto"/>
                    <w:bottom w:val="none" w:sz="0" w:space="0" w:color="auto"/>
                    <w:right w:val="none" w:sz="0" w:space="0" w:color="auto"/>
                  </w:divBdr>
                  <w:divsChild>
                    <w:div w:id="793449810">
                      <w:marLeft w:val="0"/>
                      <w:marRight w:val="0"/>
                      <w:marTop w:val="0"/>
                      <w:marBottom w:val="0"/>
                      <w:divBdr>
                        <w:top w:val="none" w:sz="0" w:space="0" w:color="auto"/>
                        <w:left w:val="none" w:sz="0" w:space="0" w:color="auto"/>
                        <w:bottom w:val="none" w:sz="0" w:space="0" w:color="auto"/>
                        <w:right w:val="none" w:sz="0" w:space="0" w:color="auto"/>
                      </w:divBdr>
                      <w:divsChild>
                        <w:div w:id="1585871048">
                          <w:marLeft w:val="0"/>
                          <w:marRight w:val="0"/>
                          <w:marTop w:val="0"/>
                          <w:marBottom w:val="0"/>
                          <w:divBdr>
                            <w:top w:val="none" w:sz="0" w:space="0" w:color="auto"/>
                            <w:left w:val="none" w:sz="0" w:space="0" w:color="auto"/>
                            <w:bottom w:val="none" w:sz="0" w:space="0" w:color="auto"/>
                            <w:right w:val="none" w:sz="0" w:space="0" w:color="auto"/>
                          </w:divBdr>
                          <w:divsChild>
                            <w:div w:id="42214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81222">
      <w:bodyDiv w:val="1"/>
      <w:marLeft w:val="0"/>
      <w:marRight w:val="0"/>
      <w:marTop w:val="0"/>
      <w:marBottom w:val="0"/>
      <w:divBdr>
        <w:top w:val="none" w:sz="0" w:space="0" w:color="auto"/>
        <w:left w:val="none" w:sz="0" w:space="0" w:color="auto"/>
        <w:bottom w:val="none" w:sz="0" w:space="0" w:color="auto"/>
        <w:right w:val="none" w:sz="0" w:space="0" w:color="auto"/>
      </w:divBdr>
      <w:divsChild>
        <w:div w:id="147333373">
          <w:marLeft w:val="0"/>
          <w:marRight w:val="0"/>
          <w:marTop w:val="0"/>
          <w:marBottom w:val="0"/>
          <w:divBdr>
            <w:top w:val="none" w:sz="0" w:space="0" w:color="auto"/>
            <w:left w:val="none" w:sz="0" w:space="0" w:color="auto"/>
            <w:bottom w:val="none" w:sz="0" w:space="0" w:color="auto"/>
            <w:right w:val="none" w:sz="0" w:space="0" w:color="auto"/>
          </w:divBdr>
          <w:divsChild>
            <w:div w:id="1798521861">
              <w:marLeft w:val="0"/>
              <w:marRight w:val="0"/>
              <w:marTop w:val="0"/>
              <w:marBottom w:val="0"/>
              <w:divBdr>
                <w:top w:val="none" w:sz="0" w:space="0" w:color="auto"/>
                <w:left w:val="none" w:sz="0" w:space="0" w:color="auto"/>
                <w:bottom w:val="none" w:sz="0" w:space="0" w:color="auto"/>
                <w:right w:val="none" w:sz="0" w:space="0" w:color="auto"/>
              </w:divBdr>
              <w:divsChild>
                <w:div w:id="982588130">
                  <w:marLeft w:val="0"/>
                  <w:marRight w:val="0"/>
                  <w:marTop w:val="0"/>
                  <w:marBottom w:val="0"/>
                  <w:divBdr>
                    <w:top w:val="none" w:sz="0" w:space="0" w:color="auto"/>
                    <w:left w:val="none" w:sz="0" w:space="0" w:color="auto"/>
                    <w:bottom w:val="none" w:sz="0" w:space="0" w:color="auto"/>
                    <w:right w:val="none" w:sz="0" w:space="0" w:color="auto"/>
                  </w:divBdr>
                  <w:divsChild>
                    <w:div w:id="1532953969">
                      <w:marLeft w:val="0"/>
                      <w:marRight w:val="0"/>
                      <w:marTop w:val="0"/>
                      <w:marBottom w:val="0"/>
                      <w:divBdr>
                        <w:top w:val="none" w:sz="0" w:space="0" w:color="auto"/>
                        <w:left w:val="none" w:sz="0" w:space="0" w:color="auto"/>
                        <w:bottom w:val="none" w:sz="0" w:space="0" w:color="auto"/>
                        <w:right w:val="none" w:sz="0" w:space="0" w:color="auto"/>
                      </w:divBdr>
                      <w:divsChild>
                        <w:div w:id="723068469">
                          <w:marLeft w:val="0"/>
                          <w:marRight w:val="0"/>
                          <w:marTop w:val="0"/>
                          <w:marBottom w:val="0"/>
                          <w:divBdr>
                            <w:top w:val="none" w:sz="0" w:space="0" w:color="auto"/>
                            <w:left w:val="none" w:sz="0" w:space="0" w:color="auto"/>
                            <w:bottom w:val="none" w:sz="0" w:space="0" w:color="auto"/>
                            <w:right w:val="none" w:sz="0" w:space="0" w:color="auto"/>
                          </w:divBdr>
                          <w:divsChild>
                            <w:div w:id="74445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62717">
      <w:bodyDiv w:val="1"/>
      <w:marLeft w:val="0"/>
      <w:marRight w:val="0"/>
      <w:marTop w:val="0"/>
      <w:marBottom w:val="0"/>
      <w:divBdr>
        <w:top w:val="none" w:sz="0" w:space="0" w:color="auto"/>
        <w:left w:val="none" w:sz="0" w:space="0" w:color="auto"/>
        <w:bottom w:val="none" w:sz="0" w:space="0" w:color="auto"/>
        <w:right w:val="none" w:sz="0" w:space="0" w:color="auto"/>
      </w:divBdr>
      <w:divsChild>
        <w:div w:id="1382827448">
          <w:marLeft w:val="0"/>
          <w:marRight w:val="0"/>
          <w:marTop w:val="0"/>
          <w:marBottom w:val="0"/>
          <w:divBdr>
            <w:top w:val="none" w:sz="0" w:space="0" w:color="auto"/>
            <w:left w:val="none" w:sz="0" w:space="0" w:color="auto"/>
            <w:bottom w:val="none" w:sz="0" w:space="0" w:color="auto"/>
            <w:right w:val="none" w:sz="0" w:space="0" w:color="auto"/>
          </w:divBdr>
          <w:divsChild>
            <w:div w:id="1769689836">
              <w:marLeft w:val="0"/>
              <w:marRight w:val="0"/>
              <w:marTop w:val="0"/>
              <w:marBottom w:val="0"/>
              <w:divBdr>
                <w:top w:val="none" w:sz="0" w:space="0" w:color="auto"/>
                <w:left w:val="none" w:sz="0" w:space="0" w:color="auto"/>
                <w:bottom w:val="none" w:sz="0" w:space="0" w:color="auto"/>
                <w:right w:val="none" w:sz="0" w:space="0" w:color="auto"/>
              </w:divBdr>
              <w:divsChild>
                <w:div w:id="1309940951">
                  <w:marLeft w:val="0"/>
                  <w:marRight w:val="0"/>
                  <w:marTop w:val="0"/>
                  <w:marBottom w:val="0"/>
                  <w:divBdr>
                    <w:top w:val="none" w:sz="0" w:space="0" w:color="auto"/>
                    <w:left w:val="none" w:sz="0" w:space="0" w:color="auto"/>
                    <w:bottom w:val="none" w:sz="0" w:space="0" w:color="auto"/>
                    <w:right w:val="none" w:sz="0" w:space="0" w:color="auto"/>
                  </w:divBdr>
                  <w:divsChild>
                    <w:div w:id="1478255989">
                      <w:marLeft w:val="0"/>
                      <w:marRight w:val="0"/>
                      <w:marTop w:val="0"/>
                      <w:marBottom w:val="0"/>
                      <w:divBdr>
                        <w:top w:val="none" w:sz="0" w:space="0" w:color="auto"/>
                        <w:left w:val="none" w:sz="0" w:space="0" w:color="auto"/>
                        <w:bottom w:val="none" w:sz="0" w:space="0" w:color="auto"/>
                        <w:right w:val="none" w:sz="0" w:space="0" w:color="auto"/>
                      </w:divBdr>
                      <w:divsChild>
                        <w:div w:id="677314746">
                          <w:marLeft w:val="0"/>
                          <w:marRight w:val="0"/>
                          <w:marTop w:val="0"/>
                          <w:marBottom w:val="0"/>
                          <w:divBdr>
                            <w:top w:val="none" w:sz="0" w:space="0" w:color="auto"/>
                            <w:left w:val="none" w:sz="0" w:space="0" w:color="auto"/>
                            <w:bottom w:val="none" w:sz="0" w:space="0" w:color="auto"/>
                            <w:right w:val="none" w:sz="0" w:space="0" w:color="auto"/>
                          </w:divBdr>
                          <w:divsChild>
                            <w:div w:id="1976372583">
                              <w:marLeft w:val="0"/>
                              <w:marRight w:val="0"/>
                              <w:marTop w:val="0"/>
                              <w:marBottom w:val="0"/>
                              <w:divBdr>
                                <w:top w:val="none" w:sz="0" w:space="0" w:color="auto"/>
                                <w:left w:val="none" w:sz="0" w:space="0" w:color="auto"/>
                                <w:bottom w:val="none" w:sz="0" w:space="0" w:color="auto"/>
                                <w:right w:val="none" w:sz="0" w:space="0" w:color="auto"/>
                              </w:divBdr>
                              <w:divsChild>
                                <w:div w:id="1705982546">
                                  <w:marLeft w:val="0"/>
                                  <w:marRight w:val="0"/>
                                  <w:marTop w:val="0"/>
                                  <w:marBottom w:val="0"/>
                                  <w:divBdr>
                                    <w:top w:val="none" w:sz="0" w:space="0" w:color="auto"/>
                                    <w:left w:val="none" w:sz="0" w:space="0" w:color="auto"/>
                                    <w:bottom w:val="none" w:sz="0" w:space="0" w:color="auto"/>
                                    <w:right w:val="none" w:sz="0" w:space="0" w:color="auto"/>
                                  </w:divBdr>
                                  <w:divsChild>
                                    <w:div w:id="981274891">
                                      <w:marLeft w:val="0"/>
                                      <w:marRight w:val="0"/>
                                      <w:marTop w:val="0"/>
                                      <w:marBottom w:val="0"/>
                                      <w:divBdr>
                                        <w:top w:val="none" w:sz="0" w:space="0" w:color="auto"/>
                                        <w:left w:val="none" w:sz="0" w:space="0" w:color="auto"/>
                                        <w:bottom w:val="none" w:sz="0" w:space="0" w:color="auto"/>
                                        <w:right w:val="none" w:sz="0" w:space="0" w:color="auto"/>
                                      </w:divBdr>
                                      <w:divsChild>
                                        <w:div w:id="109279682">
                                          <w:marLeft w:val="0"/>
                                          <w:marRight w:val="0"/>
                                          <w:marTop w:val="0"/>
                                          <w:marBottom w:val="0"/>
                                          <w:divBdr>
                                            <w:top w:val="none" w:sz="0" w:space="0" w:color="auto"/>
                                            <w:left w:val="none" w:sz="0" w:space="0" w:color="auto"/>
                                            <w:bottom w:val="none" w:sz="0" w:space="0" w:color="auto"/>
                                            <w:right w:val="none" w:sz="0" w:space="0" w:color="auto"/>
                                          </w:divBdr>
                                          <w:divsChild>
                                            <w:div w:id="4744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284536">
          <w:marLeft w:val="0"/>
          <w:marRight w:val="0"/>
          <w:marTop w:val="0"/>
          <w:marBottom w:val="0"/>
          <w:divBdr>
            <w:top w:val="none" w:sz="0" w:space="0" w:color="auto"/>
            <w:left w:val="none" w:sz="0" w:space="0" w:color="auto"/>
            <w:bottom w:val="none" w:sz="0" w:space="0" w:color="auto"/>
            <w:right w:val="none" w:sz="0" w:space="0" w:color="auto"/>
          </w:divBdr>
          <w:divsChild>
            <w:div w:id="1855416133">
              <w:marLeft w:val="0"/>
              <w:marRight w:val="0"/>
              <w:marTop w:val="0"/>
              <w:marBottom w:val="0"/>
              <w:divBdr>
                <w:top w:val="none" w:sz="0" w:space="0" w:color="auto"/>
                <w:left w:val="none" w:sz="0" w:space="0" w:color="auto"/>
                <w:bottom w:val="none" w:sz="0" w:space="0" w:color="auto"/>
                <w:right w:val="none" w:sz="0" w:space="0" w:color="auto"/>
              </w:divBdr>
              <w:divsChild>
                <w:div w:id="1315530258">
                  <w:marLeft w:val="0"/>
                  <w:marRight w:val="0"/>
                  <w:marTop w:val="0"/>
                  <w:marBottom w:val="0"/>
                  <w:divBdr>
                    <w:top w:val="none" w:sz="0" w:space="0" w:color="auto"/>
                    <w:left w:val="none" w:sz="0" w:space="0" w:color="auto"/>
                    <w:bottom w:val="none" w:sz="0" w:space="0" w:color="auto"/>
                    <w:right w:val="none" w:sz="0" w:space="0" w:color="auto"/>
                  </w:divBdr>
                  <w:divsChild>
                    <w:div w:id="1963415423">
                      <w:marLeft w:val="0"/>
                      <w:marRight w:val="0"/>
                      <w:marTop w:val="0"/>
                      <w:marBottom w:val="0"/>
                      <w:divBdr>
                        <w:top w:val="none" w:sz="0" w:space="0" w:color="auto"/>
                        <w:left w:val="none" w:sz="0" w:space="0" w:color="auto"/>
                        <w:bottom w:val="none" w:sz="0" w:space="0" w:color="auto"/>
                        <w:right w:val="none" w:sz="0" w:space="0" w:color="auto"/>
                      </w:divBdr>
                      <w:divsChild>
                        <w:div w:id="1932473110">
                          <w:marLeft w:val="0"/>
                          <w:marRight w:val="0"/>
                          <w:marTop w:val="0"/>
                          <w:marBottom w:val="0"/>
                          <w:divBdr>
                            <w:top w:val="none" w:sz="0" w:space="0" w:color="auto"/>
                            <w:left w:val="none" w:sz="0" w:space="0" w:color="auto"/>
                            <w:bottom w:val="none" w:sz="0" w:space="0" w:color="auto"/>
                            <w:right w:val="none" w:sz="0" w:space="0" w:color="auto"/>
                          </w:divBdr>
                          <w:divsChild>
                            <w:div w:id="922647280">
                              <w:marLeft w:val="0"/>
                              <w:marRight w:val="0"/>
                              <w:marTop w:val="0"/>
                              <w:marBottom w:val="0"/>
                              <w:divBdr>
                                <w:top w:val="none" w:sz="0" w:space="0" w:color="auto"/>
                                <w:left w:val="none" w:sz="0" w:space="0" w:color="auto"/>
                                <w:bottom w:val="none" w:sz="0" w:space="0" w:color="auto"/>
                                <w:right w:val="none" w:sz="0" w:space="0" w:color="auto"/>
                              </w:divBdr>
                              <w:divsChild>
                                <w:div w:id="249433274">
                                  <w:marLeft w:val="0"/>
                                  <w:marRight w:val="0"/>
                                  <w:marTop w:val="0"/>
                                  <w:marBottom w:val="0"/>
                                  <w:divBdr>
                                    <w:top w:val="none" w:sz="0" w:space="0" w:color="auto"/>
                                    <w:left w:val="none" w:sz="0" w:space="0" w:color="auto"/>
                                    <w:bottom w:val="none" w:sz="0" w:space="0" w:color="auto"/>
                                    <w:right w:val="none" w:sz="0" w:space="0" w:color="auto"/>
                                  </w:divBdr>
                                  <w:divsChild>
                                    <w:div w:id="1463183847">
                                      <w:marLeft w:val="0"/>
                                      <w:marRight w:val="0"/>
                                      <w:marTop w:val="0"/>
                                      <w:marBottom w:val="0"/>
                                      <w:divBdr>
                                        <w:top w:val="none" w:sz="0" w:space="0" w:color="auto"/>
                                        <w:left w:val="none" w:sz="0" w:space="0" w:color="auto"/>
                                        <w:bottom w:val="none" w:sz="0" w:space="0" w:color="auto"/>
                                        <w:right w:val="none" w:sz="0" w:space="0" w:color="auto"/>
                                      </w:divBdr>
                                      <w:divsChild>
                                        <w:div w:id="1216507861">
                                          <w:marLeft w:val="0"/>
                                          <w:marRight w:val="0"/>
                                          <w:marTop w:val="0"/>
                                          <w:marBottom w:val="0"/>
                                          <w:divBdr>
                                            <w:top w:val="none" w:sz="0" w:space="0" w:color="auto"/>
                                            <w:left w:val="none" w:sz="0" w:space="0" w:color="auto"/>
                                            <w:bottom w:val="none" w:sz="0" w:space="0" w:color="auto"/>
                                            <w:right w:val="none" w:sz="0" w:space="0" w:color="auto"/>
                                          </w:divBdr>
                                          <w:divsChild>
                                            <w:div w:id="96157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75933">
                                      <w:marLeft w:val="0"/>
                                      <w:marRight w:val="0"/>
                                      <w:marTop w:val="0"/>
                                      <w:marBottom w:val="0"/>
                                      <w:divBdr>
                                        <w:top w:val="none" w:sz="0" w:space="0" w:color="auto"/>
                                        <w:left w:val="none" w:sz="0" w:space="0" w:color="auto"/>
                                        <w:bottom w:val="none" w:sz="0" w:space="0" w:color="auto"/>
                                        <w:right w:val="none" w:sz="0" w:space="0" w:color="auto"/>
                                      </w:divBdr>
                                      <w:divsChild>
                                        <w:div w:id="310524860">
                                          <w:marLeft w:val="0"/>
                                          <w:marRight w:val="0"/>
                                          <w:marTop w:val="0"/>
                                          <w:marBottom w:val="0"/>
                                          <w:divBdr>
                                            <w:top w:val="none" w:sz="0" w:space="0" w:color="auto"/>
                                            <w:left w:val="none" w:sz="0" w:space="0" w:color="auto"/>
                                            <w:bottom w:val="none" w:sz="0" w:space="0" w:color="auto"/>
                                            <w:right w:val="none" w:sz="0" w:space="0" w:color="auto"/>
                                          </w:divBdr>
                                          <w:divsChild>
                                            <w:div w:id="839006159">
                                              <w:marLeft w:val="0"/>
                                              <w:marRight w:val="0"/>
                                              <w:marTop w:val="0"/>
                                              <w:marBottom w:val="0"/>
                                              <w:divBdr>
                                                <w:top w:val="none" w:sz="0" w:space="0" w:color="auto"/>
                                                <w:left w:val="none" w:sz="0" w:space="0" w:color="auto"/>
                                                <w:bottom w:val="none" w:sz="0" w:space="0" w:color="auto"/>
                                                <w:right w:val="none" w:sz="0" w:space="0" w:color="auto"/>
                                              </w:divBdr>
                                              <w:divsChild>
                                                <w:div w:id="179112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024871">
                                      <w:marLeft w:val="0"/>
                                      <w:marRight w:val="0"/>
                                      <w:marTop w:val="0"/>
                                      <w:marBottom w:val="0"/>
                                      <w:divBdr>
                                        <w:top w:val="none" w:sz="0" w:space="0" w:color="auto"/>
                                        <w:left w:val="none" w:sz="0" w:space="0" w:color="auto"/>
                                        <w:bottom w:val="none" w:sz="0" w:space="0" w:color="auto"/>
                                        <w:right w:val="none" w:sz="0" w:space="0" w:color="auto"/>
                                      </w:divBdr>
                                      <w:divsChild>
                                        <w:div w:id="1644039627">
                                          <w:marLeft w:val="0"/>
                                          <w:marRight w:val="0"/>
                                          <w:marTop w:val="0"/>
                                          <w:marBottom w:val="0"/>
                                          <w:divBdr>
                                            <w:top w:val="none" w:sz="0" w:space="0" w:color="auto"/>
                                            <w:left w:val="none" w:sz="0" w:space="0" w:color="auto"/>
                                            <w:bottom w:val="none" w:sz="0" w:space="0" w:color="auto"/>
                                            <w:right w:val="none" w:sz="0" w:space="0" w:color="auto"/>
                                          </w:divBdr>
                                          <w:divsChild>
                                            <w:div w:id="599489701">
                                              <w:marLeft w:val="0"/>
                                              <w:marRight w:val="0"/>
                                              <w:marTop w:val="0"/>
                                              <w:marBottom w:val="0"/>
                                              <w:divBdr>
                                                <w:top w:val="none" w:sz="0" w:space="0" w:color="auto"/>
                                                <w:left w:val="none" w:sz="0" w:space="0" w:color="auto"/>
                                                <w:bottom w:val="none" w:sz="0" w:space="0" w:color="auto"/>
                                                <w:right w:val="none" w:sz="0" w:space="0" w:color="auto"/>
                                              </w:divBdr>
                                              <w:divsChild>
                                                <w:div w:id="815420242">
                                                  <w:marLeft w:val="0"/>
                                                  <w:marRight w:val="0"/>
                                                  <w:marTop w:val="0"/>
                                                  <w:marBottom w:val="0"/>
                                                  <w:divBdr>
                                                    <w:top w:val="none" w:sz="0" w:space="0" w:color="auto"/>
                                                    <w:left w:val="none" w:sz="0" w:space="0" w:color="auto"/>
                                                    <w:bottom w:val="none" w:sz="0" w:space="0" w:color="auto"/>
                                                    <w:right w:val="none" w:sz="0" w:space="0" w:color="auto"/>
                                                  </w:divBdr>
                                                  <w:divsChild>
                                                    <w:div w:id="21320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927371">
      <w:bodyDiv w:val="1"/>
      <w:marLeft w:val="0"/>
      <w:marRight w:val="0"/>
      <w:marTop w:val="0"/>
      <w:marBottom w:val="0"/>
      <w:divBdr>
        <w:top w:val="none" w:sz="0" w:space="0" w:color="auto"/>
        <w:left w:val="none" w:sz="0" w:space="0" w:color="auto"/>
        <w:bottom w:val="none" w:sz="0" w:space="0" w:color="auto"/>
        <w:right w:val="none" w:sz="0" w:space="0" w:color="auto"/>
      </w:divBdr>
      <w:divsChild>
        <w:div w:id="1698118941">
          <w:marLeft w:val="0"/>
          <w:marRight w:val="0"/>
          <w:marTop w:val="0"/>
          <w:marBottom w:val="0"/>
          <w:divBdr>
            <w:top w:val="none" w:sz="0" w:space="0" w:color="auto"/>
            <w:left w:val="none" w:sz="0" w:space="0" w:color="auto"/>
            <w:bottom w:val="none" w:sz="0" w:space="0" w:color="auto"/>
            <w:right w:val="none" w:sz="0" w:space="0" w:color="auto"/>
          </w:divBdr>
          <w:divsChild>
            <w:div w:id="555431008">
              <w:marLeft w:val="0"/>
              <w:marRight w:val="0"/>
              <w:marTop w:val="0"/>
              <w:marBottom w:val="0"/>
              <w:divBdr>
                <w:top w:val="none" w:sz="0" w:space="0" w:color="auto"/>
                <w:left w:val="none" w:sz="0" w:space="0" w:color="auto"/>
                <w:bottom w:val="none" w:sz="0" w:space="0" w:color="auto"/>
                <w:right w:val="none" w:sz="0" w:space="0" w:color="auto"/>
              </w:divBdr>
              <w:divsChild>
                <w:div w:id="1938906146">
                  <w:marLeft w:val="0"/>
                  <w:marRight w:val="0"/>
                  <w:marTop w:val="0"/>
                  <w:marBottom w:val="0"/>
                  <w:divBdr>
                    <w:top w:val="none" w:sz="0" w:space="0" w:color="auto"/>
                    <w:left w:val="none" w:sz="0" w:space="0" w:color="auto"/>
                    <w:bottom w:val="none" w:sz="0" w:space="0" w:color="auto"/>
                    <w:right w:val="none" w:sz="0" w:space="0" w:color="auto"/>
                  </w:divBdr>
                  <w:divsChild>
                    <w:div w:id="659039805">
                      <w:marLeft w:val="0"/>
                      <w:marRight w:val="0"/>
                      <w:marTop w:val="0"/>
                      <w:marBottom w:val="0"/>
                      <w:divBdr>
                        <w:top w:val="none" w:sz="0" w:space="0" w:color="auto"/>
                        <w:left w:val="none" w:sz="0" w:space="0" w:color="auto"/>
                        <w:bottom w:val="none" w:sz="0" w:space="0" w:color="auto"/>
                        <w:right w:val="none" w:sz="0" w:space="0" w:color="auto"/>
                      </w:divBdr>
                      <w:divsChild>
                        <w:div w:id="685207971">
                          <w:marLeft w:val="0"/>
                          <w:marRight w:val="0"/>
                          <w:marTop w:val="0"/>
                          <w:marBottom w:val="0"/>
                          <w:divBdr>
                            <w:top w:val="none" w:sz="0" w:space="0" w:color="auto"/>
                            <w:left w:val="none" w:sz="0" w:space="0" w:color="auto"/>
                            <w:bottom w:val="none" w:sz="0" w:space="0" w:color="auto"/>
                            <w:right w:val="none" w:sz="0" w:space="0" w:color="auto"/>
                          </w:divBdr>
                          <w:divsChild>
                            <w:div w:id="126091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47367">
      <w:bodyDiv w:val="1"/>
      <w:marLeft w:val="0"/>
      <w:marRight w:val="0"/>
      <w:marTop w:val="0"/>
      <w:marBottom w:val="0"/>
      <w:divBdr>
        <w:top w:val="none" w:sz="0" w:space="0" w:color="auto"/>
        <w:left w:val="none" w:sz="0" w:space="0" w:color="auto"/>
        <w:bottom w:val="none" w:sz="0" w:space="0" w:color="auto"/>
        <w:right w:val="none" w:sz="0" w:space="0" w:color="auto"/>
      </w:divBdr>
      <w:divsChild>
        <w:div w:id="241531636">
          <w:marLeft w:val="0"/>
          <w:marRight w:val="0"/>
          <w:marTop w:val="0"/>
          <w:marBottom w:val="0"/>
          <w:divBdr>
            <w:top w:val="none" w:sz="0" w:space="0" w:color="auto"/>
            <w:left w:val="none" w:sz="0" w:space="0" w:color="auto"/>
            <w:bottom w:val="none" w:sz="0" w:space="0" w:color="auto"/>
            <w:right w:val="none" w:sz="0" w:space="0" w:color="auto"/>
          </w:divBdr>
          <w:divsChild>
            <w:div w:id="74667084">
              <w:marLeft w:val="0"/>
              <w:marRight w:val="0"/>
              <w:marTop w:val="0"/>
              <w:marBottom w:val="0"/>
              <w:divBdr>
                <w:top w:val="none" w:sz="0" w:space="0" w:color="auto"/>
                <w:left w:val="none" w:sz="0" w:space="0" w:color="auto"/>
                <w:bottom w:val="none" w:sz="0" w:space="0" w:color="auto"/>
                <w:right w:val="none" w:sz="0" w:space="0" w:color="auto"/>
              </w:divBdr>
              <w:divsChild>
                <w:div w:id="139805594">
                  <w:marLeft w:val="0"/>
                  <w:marRight w:val="0"/>
                  <w:marTop w:val="0"/>
                  <w:marBottom w:val="0"/>
                  <w:divBdr>
                    <w:top w:val="none" w:sz="0" w:space="0" w:color="auto"/>
                    <w:left w:val="none" w:sz="0" w:space="0" w:color="auto"/>
                    <w:bottom w:val="none" w:sz="0" w:space="0" w:color="auto"/>
                    <w:right w:val="none" w:sz="0" w:space="0" w:color="auto"/>
                  </w:divBdr>
                  <w:divsChild>
                    <w:div w:id="1853715484">
                      <w:marLeft w:val="0"/>
                      <w:marRight w:val="0"/>
                      <w:marTop w:val="0"/>
                      <w:marBottom w:val="0"/>
                      <w:divBdr>
                        <w:top w:val="none" w:sz="0" w:space="0" w:color="auto"/>
                        <w:left w:val="none" w:sz="0" w:space="0" w:color="auto"/>
                        <w:bottom w:val="none" w:sz="0" w:space="0" w:color="auto"/>
                        <w:right w:val="none" w:sz="0" w:space="0" w:color="auto"/>
                      </w:divBdr>
                      <w:divsChild>
                        <w:div w:id="338503856">
                          <w:marLeft w:val="0"/>
                          <w:marRight w:val="0"/>
                          <w:marTop w:val="0"/>
                          <w:marBottom w:val="0"/>
                          <w:divBdr>
                            <w:top w:val="none" w:sz="0" w:space="0" w:color="auto"/>
                            <w:left w:val="none" w:sz="0" w:space="0" w:color="auto"/>
                            <w:bottom w:val="none" w:sz="0" w:space="0" w:color="auto"/>
                            <w:right w:val="none" w:sz="0" w:space="0" w:color="auto"/>
                          </w:divBdr>
                          <w:divsChild>
                            <w:div w:id="8775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88018">
      <w:bodyDiv w:val="1"/>
      <w:marLeft w:val="0"/>
      <w:marRight w:val="0"/>
      <w:marTop w:val="0"/>
      <w:marBottom w:val="0"/>
      <w:divBdr>
        <w:top w:val="none" w:sz="0" w:space="0" w:color="auto"/>
        <w:left w:val="none" w:sz="0" w:space="0" w:color="auto"/>
        <w:bottom w:val="none" w:sz="0" w:space="0" w:color="auto"/>
        <w:right w:val="none" w:sz="0" w:space="0" w:color="auto"/>
      </w:divBdr>
    </w:div>
    <w:div w:id="184246964">
      <w:bodyDiv w:val="1"/>
      <w:marLeft w:val="0"/>
      <w:marRight w:val="0"/>
      <w:marTop w:val="0"/>
      <w:marBottom w:val="0"/>
      <w:divBdr>
        <w:top w:val="none" w:sz="0" w:space="0" w:color="auto"/>
        <w:left w:val="none" w:sz="0" w:space="0" w:color="auto"/>
        <w:bottom w:val="none" w:sz="0" w:space="0" w:color="auto"/>
        <w:right w:val="none" w:sz="0" w:space="0" w:color="auto"/>
      </w:divBdr>
    </w:div>
    <w:div w:id="185753628">
      <w:bodyDiv w:val="1"/>
      <w:marLeft w:val="0"/>
      <w:marRight w:val="0"/>
      <w:marTop w:val="0"/>
      <w:marBottom w:val="0"/>
      <w:divBdr>
        <w:top w:val="none" w:sz="0" w:space="0" w:color="auto"/>
        <w:left w:val="none" w:sz="0" w:space="0" w:color="auto"/>
        <w:bottom w:val="none" w:sz="0" w:space="0" w:color="auto"/>
        <w:right w:val="none" w:sz="0" w:space="0" w:color="auto"/>
      </w:divBdr>
    </w:div>
    <w:div w:id="197280963">
      <w:bodyDiv w:val="1"/>
      <w:marLeft w:val="0"/>
      <w:marRight w:val="0"/>
      <w:marTop w:val="0"/>
      <w:marBottom w:val="0"/>
      <w:divBdr>
        <w:top w:val="none" w:sz="0" w:space="0" w:color="auto"/>
        <w:left w:val="none" w:sz="0" w:space="0" w:color="auto"/>
        <w:bottom w:val="none" w:sz="0" w:space="0" w:color="auto"/>
        <w:right w:val="none" w:sz="0" w:space="0" w:color="auto"/>
      </w:divBdr>
    </w:div>
    <w:div w:id="204954337">
      <w:bodyDiv w:val="1"/>
      <w:marLeft w:val="0"/>
      <w:marRight w:val="0"/>
      <w:marTop w:val="0"/>
      <w:marBottom w:val="0"/>
      <w:divBdr>
        <w:top w:val="none" w:sz="0" w:space="0" w:color="auto"/>
        <w:left w:val="none" w:sz="0" w:space="0" w:color="auto"/>
        <w:bottom w:val="none" w:sz="0" w:space="0" w:color="auto"/>
        <w:right w:val="none" w:sz="0" w:space="0" w:color="auto"/>
      </w:divBdr>
    </w:div>
    <w:div w:id="231431173">
      <w:bodyDiv w:val="1"/>
      <w:marLeft w:val="0"/>
      <w:marRight w:val="0"/>
      <w:marTop w:val="0"/>
      <w:marBottom w:val="0"/>
      <w:divBdr>
        <w:top w:val="none" w:sz="0" w:space="0" w:color="auto"/>
        <w:left w:val="none" w:sz="0" w:space="0" w:color="auto"/>
        <w:bottom w:val="none" w:sz="0" w:space="0" w:color="auto"/>
        <w:right w:val="none" w:sz="0" w:space="0" w:color="auto"/>
      </w:divBdr>
      <w:divsChild>
        <w:div w:id="1750693593">
          <w:marLeft w:val="0"/>
          <w:marRight w:val="0"/>
          <w:marTop w:val="0"/>
          <w:marBottom w:val="0"/>
          <w:divBdr>
            <w:top w:val="none" w:sz="0" w:space="0" w:color="auto"/>
            <w:left w:val="none" w:sz="0" w:space="0" w:color="auto"/>
            <w:bottom w:val="none" w:sz="0" w:space="0" w:color="auto"/>
            <w:right w:val="none" w:sz="0" w:space="0" w:color="auto"/>
          </w:divBdr>
          <w:divsChild>
            <w:div w:id="548035056">
              <w:marLeft w:val="0"/>
              <w:marRight w:val="0"/>
              <w:marTop w:val="0"/>
              <w:marBottom w:val="0"/>
              <w:divBdr>
                <w:top w:val="none" w:sz="0" w:space="0" w:color="auto"/>
                <w:left w:val="none" w:sz="0" w:space="0" w:color="auto"/>
                <w:bottom w:val="none" w:sz="0" w:space="0" w:color="auto"/>
                <w:right w:val="none" w:sz="0" w:space="0" w:color="auto"/>
              </w:divBdr>
              <w:divsChild>
                <w:div w:id="1860047040">
                  <w:marLeft w:val="0"/>
                  <w:marRight w:val="0"/>
                  <w:marTop w:val="0"/>
                  <w:marBottom w:val="0"/>
                  <w:divBdr>
                    <w:top w:val="none" w:sz="0" w:space="0" w:color="auto"/>
                    <w:left w:val="none" w:sz="0" w:space="0" w:color="auto"/>
                    <w:bottom w:val="none" w:sz="0" w:space="0" w:color="auto"/>
                    <w:right w:val="none" w:sz="0" w:space="0" w:color="auto"/>
                  </w:divBdr>
                  <w:divsChild>
                    <w:div w:id="774055450">
                      <w:marLeft w:val="0"/>
                      <w:marRight w:val="0"/>
                      <w:marTop w:val="0"/>
                      <w:marBottom w:val="0"/>
                      <w:divBdr>
                        <w:top w:val="none" w:sz="0" w:space="0" w:color="auto"/>
                        <w:left w:val="none" w:sz="0" w:space="0" w:color="auto"/>
                        <w:bottom w:val="none" w:sz="0" w:space="0" w:color="auto"/>
                        <w:right w:val="none" w:sz="0" w:space="0" w:color="auto"/>
                      </w:divBdr>
                      <w:divsChild>
                        <w:div w:id="1161459448">
                          <w:marLeft w:val="0"/>
                          <w:marRight w:val="0"/>
                          <w:marTop w:val="0"/>
                          <w:marBottom w:val="0"/>
                          <w:divBdr>
                            <w:top w:val="none" w:sz="0" w:space="0" w:color="auto"/>
                            <w:left w:val="none" w:sz="0" w:space="0" w:color="auto"/>
                            <w:bottom w:val="none" w:sz="0" w:space="0" w:color="auto"/>
                            <w:right w:val="none" w:sz="0" w:space="0" w:color="auto"/>
                          </w:divBdr>
                          <w:divsChild>
                            <w:div w:id="753286443">
                              <w:marLeft w:val="0"/>
                              <w:marRight w:val="0"/>
                              <w:marTop w:val="0"/>
                              <w:marBottom w:val="0"/>
                              <w:divBdr>
                                <w:top w:val="none" w:sz="0" w:space="0" w:color="auto"/>
                                <w:left w:val="none" w:sz="0" w:space="0" w:color="auto"/>
                                <w:bottom w:val="none" w:sz="0" w:space="0" w:color="auto"/>
                                <w:right w:val="none" w:sz="0" w:space="0" w:color="auto"/>
                              </w:divBdr>
                              <w:divsChild>
                                <w:div w:id="1839686250">
                                  <w:marLeft w:val="0"/>
                                  <w:marRight w:val="0"/>
                                  <w:marTop w:val="0"/>
                                  <w:marBottom w:val="0"/>
                                  <w:divBdr>
                                    <w:top w:val="none" w:sz="0" w:space="0" w:color="auto"/>
                                    <w:left w:val="none" w:sz="0" w:space="0" w:color="auto"/>
                                    <w:bottom w:val="none" w:sz="0" w:space="0" w:color="auto"/>
                                    <w:right w:val="none" w:sz="0" w:space="0" w:color="auto"/>
                                  </w:divBdr>
                                  <w:divsChild>
                                    <w:div w:id="163663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53031">
                      <w:marLeft w:val="0"/>
                      <w:marRight w:val="0"/>
                      <w:marTop w:val="0"/>
                      <w:marBottom w:val="0"/>
                      <w:divBdr>
                        <w:top w:val="none" w:sz="0" w:space="0" w:color="auto"/>
                        <w:left w:val="none" w:sz="0" w:space="0" w:color="auto"/>
                        <w:bottom w:val="none" w:sz="0" w:space="0" w:color="auto"/>
                        <w:right w:val="none" w:sz="0" w:space="0" w:color="auto"/>
                      </w:divBdr>
                      <w:divsChild>
                        <w:div w:id="141820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818592">
      <w:bodyDiv w:val="1"/>
      <w:marLeft w:val="0"/>
      <w:marRight w:val="0"/>
      <w:marTop w:val="0"/>
      <w:marBottom w:val="0"/>
      <w:divBdr>
        <w:top w:val="none" w:sz="0" w:space="0" w:color="auto"/>
        <w:left w:val="none" w:sz="0" w:space="0" w:color="auto"/>
        <w:bottom w:val="none" w:sz="0" w:space="0" w:color="auto"/>
        <w:right w:val="none" w:sz="0" w:space="0" w:color="auto"/>
      </w:divBdr>
    </w:div>
    <w:div w:id="232936380">
      <w:bodyDiv w:val="1"/>
      <w:marLeft w:val="0"/>
      <w:marRight w:val="0"/>
      <w:marTop w:val="0"/>
      <w:marBottom w:val="0"/>
      <w:divBdr>
        <w:top w:val="none" w:sz="0" w:space="0" w:color="auto"/>
        <w:left w:val="none" w:sz="0" w:space="0" w:color="auto"/>
        <w:bottom w:val="none" w:sz="0" w:space="0" w:color="auto"/>
        <w:right w:val="none" w:sz="0" w:space="0" w:color="auto"/>
      </w:divBdr>
    </w:div>
    <w:div w:id="237907858">
      <w:bodyDiv w:val="1"/>
      <w:marLeft w:val="0"/>
      <w:marRight w:val="0"/>
      <w:marTop w:val="0"/>
      <w:marBottom w:val="0"/>
      <w:divBdr>
        <w:top w:val="none" w:sz="0" w:space="0" w:color="auto"/>
        <w:left w:val="none" w:sz="0" w:space="0" w:color="auto"/>
        <w:bottom w:val="none" w:sz="0" w:space="0" w:color="auto"/>
        <w:right w:val="none" w:sz="0" w:space="0" w:color="auto"/>
      </w:divBdr>
    </w:div>
    <w:div w:id="242107984">
      <w:bodyDiv w:val="1"/>
      <w:marLeft w:val="0"/>
      <w:marRight w:val="0"/>
      <w:marTop w:val="0"/>
      <w:marBottom w:val="0"/>
      <w:divBdr>
        <w:top w:val="none" w:sz="0" w:space="0" w:color="auto"/>
        <w:left w:val="none" w:sz="0" w:space="0" w:color="auto"/>
        <w:bottom w:val="none" w:sz="0" w:space="0" w:color="auto"/>
        <w:right w:val="none" w:sz="0" w:space="0" w:color="auto"/>
      </w:divBdr>
    </w:div>
    <w:div w:id="256862677">
      <w:bodyDiv w:val="1"/>
      <w:marLeft w:val="0"/>
      <w:marRight w:val="0"/>
      <w:marTop w:val="0"/>
      <w:marBottom w:val="0"/>
      <w:divBdr>
        <w:top w:val="none" w:sz="0" w:space="0" w:color="auto"/>
        <w:left w:val="none" w:sz="0" w:space="0" w:color="auto"/>
        <w:bottom w:val="none" w:sz="0" w:space="0" w:color="auto"/>
        <w:right w:val="none" w:sz="0" w:space="0" w:color="auto"/>
      </w:divBdr>
    </w:div>
    <w:div w:id="261769241">
      <w:bodyDiv w:val="1"/>
      <w:marLeft w:val="0"/>
      <w:marRight w:val="0"/>
      <w:marTop w:val="0"/>
      <w:marBottom w:val="0"/>
      <w:divBdr>
        <w:top w:val="none" w:sz="0" w:space="0" w:color="auto"/>
        <w:left w:val="none" w:sz="0" w:space="0" w:color="auto"/>
        <w:bottom w:val="none" w:sz="0" w:space="0" w:color="auto"/>
        <w:right w:val="none" w:sz="0" w:space="0" w:color="auto"/>
      </w:divBdr>
    </w:div>
    <w:div w:id="273707424">
      <w:bodyDiv w:val="1"/>
      <w:marLeft w:val="0"/>
      <w:marRight w:val="0"/>
      <w:marTop w:val="0"/>
      <w:marBottom w:val="0"/>
      <w:divBdr>
        <w:top w:val="none" w:sz="0" w:space="0" w:color="auto"/>
        <w:left w:val="none" w:sz="0" w:space="0" w:color="auto"/>
        <w:bottom w:val="none" w:sz="0" w:space="0" w:color="auto"/>
        <w:right w:val="none" w:sz="0" w:space="0" w:color="auto"/>
      </w:divBdr>
      <w:divsChild>
        <w:div w:id="1785223174">
          <w:marLeft w:val="0"/>
          <w:marRight w:val="0"/>
          <w:marTop w:val="0"/>
          <w:marBottom w:val="0"/>
          <w:divBdr>
            <w:top w:val="none" w:sz="0" w:space="0" w:color="auto"/>
            <w:left w:val="none" w:sz="0" w:space="0" w:color="auto"/>
            <w:bottom w:val="none" w:sz="0" w:space="0" w:color="auto"/>
            <w:right w:val="none" w:sz="0" w:space="0" w:color="auto"/>
          </w:divBdr>
          <w:divsChild>
            <w:div w:id="1742286877">
              <w:marLeft w:val="0"/>
              <w:marRight w:val="0"/>
              <w:marTop w:val="0"/>
              <w:marBottom w:val="0"/>
              <w:divBdr>
                <w:top w:val="none" w:sz="0" w:space="0" w:color="auto"/>
                <w:left w:val="none" w:sz="0" w:space="0" w:color="auto"/>
                <w:bottom w:val="none" w:sz="0" w:space="0" w:color="auto"/>
                <w:right w:val="none" w:sz="0" w:space="0" w:color="auto"/>
              </w:divBdr>
              <w:divsChild>
                <w:div w:id="1636525192">
                  <w:marLeft w:val="0"/>
                  <w:marRight w:val="0"/>
                  <w:marTop w:val="0"/>
                  <w:marBottom w:val="0"/>
                  <w:divBdr>
                    <w:top w:val="none" w:sz="0" w:space="0" w:color="auto"/>
                    <w:left w:val="none" w:sz="0" w:space="0" w:color="auto"/>
                    <w:bottom w:val="none" w:sz="0" w:space="0" w:color="auto"/>
                    <w:right w:val="none" w:sz="0" w:space="0" w:color="auto"/>
                  </w:divBdr>
                  <w:divsChild>
                    <w:div w:id="887641076">
                      <w:marLeft w:val="0"/>
                      <w:marRight w:val="0"/>
                      <w:marTop w:val="0"/>
                      <w:marBottom w:val="0"/>
                      <w:divBdr>
                        <w:top w:val="none" w:sz="0" w:space="0" w:color="auto"/>
                        <w:left w:val="none" w:sz="0" w:space="0" w:color="auto"/>
                        <w:bottom w:val="none" w:sz="0" w:space="0" w:color="auto"/>
                        <w:right w:val="none" w:sz="0" w:space="0" w:color="auto"/>
                      </w:divBdr>
                      <w:divsChild>
                        <w:div w:id="1884443725">
                          <w:marLeft w:val="0"/>
                          <w:marRight w:val="0"/>
                          <w:marTop w:val="0"/>
                          <w:marBottom w:val="0"/>
                          <w:divBdr>
                            <w:top w:val="none" w:sz="0" w:space="0" w:color="auto"/>
                            <w:left w:val="none" w:sz="0" w:space="0" w:color="auto"/>
                            <w:bottom w:val="none" w:sz="0" w:space="0" w:color="auto"/>
                            <w:right w:val="none" w:sz="0" w:space="0" w:color="auto"/>
                          </w:divBdr>
                          <w:divsChild>
                            <w:div w:id="154339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574141">
      <w:bodyDiv w:val="1"/>
      <w:marLeft w:val="0"/>
      <w:marRight w:val="0"/>
      <w:marTop w:val="0"/>
      <w:marBottom w:val="0"/>
      <w:divBdr>
        <w:top w:val="none" w:sz="0" w:space="0" w:color="auto"/>
        <w:left w:val="none" w:sz="0" w:space="0" w:color="auto"/>
        <w:bottom w:val="none" w:sz="0" w:space="0" w:color="auto"/>
        <w:right w:val="none" w:sz="0" w:space="0" w:color="auto"/>
      </w:divBdr>
    </w:div>
    <w:div w:id="287517686">
      <w:bodyDiv w:val="1"/>
      <w:marLeft w:val="0"/>
      <w:marRight w:val="0"/>
      <w:marTop w:val="0"/>
      <w:marBottom w:val="0"/>
      <w:divBdr>
        <w:top w:val="none" w:sz="0" w:space="0" w:color="auto"/>
        <w:left w:val="none" w:sz="0" w:space="0" w:color="auto"/>
        <w:bottom w:val="none" w:sz="0" w:space="0" w:color="auto"/>
        <w:right w:val="none" w:sz="0" w:space="0" w:color="auto"/>
      </w:divBdr>
      <w:divsChild>
        <w:div w:id="248777542">
          <w:marLeft w:val="0"/>
          <w:marRight w:val="0"/>
          <w:marTop w:val="0"/>
          <w:marBottom w:val="0"/>
          <w:divBdr>
            <w:top w:val="none" w:sz="0" w:space="0" w:color="auto"/>
            <w:left w:val="none" w:sz="0" w:space="0" w:color="auto"/>
            <w:bottom w:val="none" w:sz="0" w:space="0" w:color="auto"/>
            <w:right w:val="none" w:sz="0" w:space="0" w:color="auto"/>
          </w:divBdr>
          <w:divsChild>
            <w:div w:id="1209292800">
              <w:marLeft w:val="0"/>
              <w:marRight w:val="0"/>
              <w:marTop w:val="0"/>
              <w:marBottom w:val="0"/>
              <w:divBdr>
                <w:top w:val="none" w:sz="0" w:space="0" w:color="auto"/>
                <w:left w:val="none" w:sz="0" w:space="0" w:color="auto"/>
                <w:bottom w:val="none" w:sz="0" w:space="0" w:color="auto"/>
                <w:right w:val="none" w:sz="0" w:space="0" w:color="auto"/>
              </w:divBdr>
              <w:divsChild>
                <w:div w:id="1587111101">
                  <w:marLeft w:val="0"/>
                  <w:marRight w:val="0"/>
                  <w:marTop w:val="0"/>
                  <w:marBottom w:val="0"/>
                  <w:divBdr>
                    <w:top w:val="none" w:sz="0" w:space="0" w:color="auto"/>
                    <w:left w:val="none" w:sz="0" w:space="0" w:color="auto"/>
                    <w:bottom w:val="none" w:sz="0" w:space="0" w:color="auto"/>
                    <w:right w:val="none" w:sz="0" w:space="0" w:color="auto"/>
                  </w:divBdr>
                  <w:divsChild>
                    <w:div w:id="2004776390">
                      <w:marLeft w:val="0"/>
                      <w:marRight w:val="0"/>
                      <w:marTop w:val="0"/>
                      <w:marBottom w:val="0"/>
                      <w:divBdr>
                        <w:top w:val="none" w:sz="0" w:space="0" w:color="auto"/>
                        <w:left w:val="none" w:sz="0" w:space="0" w:color="auto"/>
                        <w:bottom w:val="none" w:sz="0" w:space="0" w:color="auto"/>
                        <w:right w:val="none" w:sz="0" w:space="0" w:color="auto"/>
                      </w:divBdr>
                      <w:divsChild>
                        <w:div w:id="1554779216">
                          <w:marLeft w:val="0"/>
                          <w:marRight w:val="0"/>
                          <w:marTop w:val="0"/>
                          <w:marBottom w:val="0"/>
                          <w:divBdr>
                            <w:top w:val="none" w:sz="0" w:space="0" w:color="auto"/>
                            <w:left w:val="none" w:sz="0" w:space="0" w:color="auto"/>
                            <w:bottom w:val="none" w:sz="0" w:space="0" w:color="auto"/>
                            <w:right w:val="none" w:sz="0" w:space="0" w:color="auto"/>
                          </w:divBdr>
                          <w:divsChild>
                            <w:div w:id="3435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089122">
      <w:bodyDiv w:val="1"/>
      <w:marLeft w:val="0"/>
      <w:marRight w:val="0"/>
      <w:marTop w:val="0"/>
      <w:marBottom w:val="0"/>
      <w:divBdr>
        <w:top w:val="none" w:sz="0" w:space="0" w:color="auto"/>
        <w:left w:val="none" w:sz="0" w:space="0" w:color="auto"/>
        <w:bottom w:val="none" w:sz="0" w:space="0" w:color="auto"/>
        <w:right w:val="none" w:sz="0" w:space="0" w:color="auto"/>
      </w:divBdr>
      <w:divsChild>
        <w:div w:id="380786785">
          <w:marLeft w:val="0"/>
          <w:marRight w:val="0"/>
          <w:marTop w:val="0"/>
          <w:marBottom w:val="0"/>
          <w:divBdr>
            <w:top w:val="none" w:sz="0" w:space="0" w:color="auto"/>
            <w:left w:val="none" w:sz="0" w:space="0" w:color="auto"/>
            <w:bottom w:val="none" w:sz="0" w:space="0" w:color="auto"/>
            <w:right w:val="none" w:sz="0" w:space="0" w:color="auto"/>
          </w:divBdr>
          <w:divsChild>
            <w:div w:id="219748871">
              <w:marLeft w:val="0"/>
              <w:marRight w:val="0"/>
              <w:marTop w:val="0"/>
              <w:marBottom w:val="0"/>
              <w:divBdr>
                <w:top w:val="none" w:sz="0" w:space="0" w:color="auto"/>
                <w:left w:val="none" w:sz="0" w:space="0" w:color="auto"/>
                <w:bottom w:val="none" w:sz="0" w:space="0" w:color="auto"/>
                <w:right w:val="none" w:sz="0" w:space="0" w:color="auto"/>
              </w:divBdr>
              <w:divsChild>
                <w:div w:id="1867593302">
                  <w:marLeft w:val="0"/>
                  <w:marRight w:val="0"/>
                  <w:marTop w:val="0"/>
                  <w:marBottom w:val="0"/>
                  <w:divBdr>
                    <w:top w:val="none" w:sz="0" w:space="0" w:color="auto"/>
                    <w:left w:val="none" w:sz="0" w:space="0" w:color="auto"/>
                    <w:bottom w:val="none" w:sz="0" w:space="0" w:color="auto"/>
                    <w:right w:val="none" w:sz="0" w:space="0" w:color="auto"/>
                  </w:divBdr>
                  <w:divsChild>
                    <w:div w:id="1283657242">
                      <w:marLeft w:val="0"/>
                      <w:marRight w:val="0"/>
                      <w:marTop w:val="0"/>
                      <w:marBottom w:val="0"/>
                      <w:divBdr>
                        <w:top w:val="none" w:sz="0" w:space="0" w:color="auto"/>
                        <w:left w:val="none" w:sz="0" w:space="0" w:color="auto"/>
                        <w:bottom w:val="none" w:sz="0" w:space="0" w:color="auto"/>
                        <w:right w:val="none" w:sz="0" w:space="0" w:color="auto"/>
                      </w:divBdr>
                      <w:divsChild>
                        <w:div w:id="1650866355">
                          <w:marLeft w:val="0"/>
                          <w:marRight w:val="0"/>
                          <w:marTop w:val="0"/>
                          <w:marBottom w:val="0"/>
                          <w:divBdr>
                            <w:top w:val="none" w:sz="0" w:space="0" w:color="auto"/>
                            <w:left w:val="none" w:sz="0" w:space="0" w:color="auto"/>
                            <w:bottom w:val="none" w:sz="0" w:space="0" w:color="auto"/>
                            <w:right w:val="none" w:sz="0" w:space="0" w:color="auto"/>
                          </w:divBdr>
                          <w:divsChild>
                            <w:div w:id="663820162">
                              <w:marLeft w:val="0"/>
                              <w:marRight w:val="0"/>
                              <w:marTop w:val="0"/>
                              <w:marBottom w:val="0"/>
                              <w:divBdr>
                                <w:top w:val="none" w:sz="0" w:space="0" w:color="auto"/>
                                <w:left w:val="none" w:sz="0" w:space="0" w:color="auto"/>
                                <w:bottom w:val="none" w:sz="0" w:space="0" w:color="auto"/>
                                <w:right w:val="none" w:sz="0" w:space="0" w:color="auto"/>
                              </w:divBdr>
                              <w:divsChild>
                                <w:div w:id="918060972">
                                  <w:marLeft w:val="0"/>
                                  <w:marRight w:val="0"/>
                                  <w:marTop w:val="0"/>
                                  <w:marBottom w:val="0"/>
                                  <w:divBdr>
                                    <w:top w:val="none" w:sz="0" w:space="0" w:color="auto"/>
                                    <w:left w:val="none" w:sz="0" w:space="0" w:color="auto"/>
                                    <w:bottom w:val="none" w:sz="0" w:space="0" w:color="auto"/>
                                    <w:right w:val="none" w:sz="0" w:space="0" w:color="auto"/>
                                  </w:divBdr>
                                  <w:divsChild>
                                    <w:div w:id="9203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926542">
                      <w:marLeft w:val="0"/>
                      <w:marRight w:val="0"/>
                      <w:marTop w:val="0"/>
                      <w:marBottom w:val="0"/>
                      <w:divBdr>
                        <w:top w:val="none" w:sz="0" w:space="0" w:color="auto"/>
                        <w:left w:val="none" w:sz="0" w:space="0" w:color="auto"/>
                        <w:bottom w:val="none" w:sz="0" w:space="0" w:color="auto"/>
                        <w:right w:val="none" w:sz="0" w:space="0" w:color="auto"/>
                      </w:divBdr>
                      <w:divsChild>
                        <w:div w:id="19575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79613">
      <w:bodyDiv w:val="1"/>
      <w:marLeft w:val="0"/>
      <w:marRight w:val="0"/>
      <w:marTop w:val="0"/>
      <w:marBottom w:val="0"/>
      <w:divBdr>
        <w:top w:val="none" w:sz="0" w:space="0" w:color="auto"/>
        <w:left w:val="none" w:sz="0" w:space="0" w:color="auto"/>
        <w:bottom w:val="none" w:sz="0" w:space="0" w:color="auto"/>
        <w:right w:val="none" w:sz="0" w:space="0" w:color="auto"/>
      </w:divBdr>
    </w:div>
    <w:div w:id="302807683">
      <w:bodyDiv w:val="1"/>
      <w:marLeft w:val="0"/>
      <w:marRight w:val="0"/>
      <w:marTop w:val="0"/>
      <w:marBottom w:val="0"/>
      <w:divBdr>
        <w:top w:val="none" w:sz="0" w:space="0" w:color="auto"/>
        <w:left w:val="none" w:sz="0" w:space="0" w:color="auto"/>
        <w:bottom w:val="none" w:sz="0" w:space="0" w:color="auto"/>
        <w:right w:val="none" w:sz="0" w:space="0" w:color="auto"/>
      </w:divBdr>
    </w:div>
    <w:div w:id="313948510">
      <w:bodyDiv w:val="1"/>
      <w:marLeft w:val="0"/>
      <w:marRight w:val="0"/>
      <w:marTop w:val="0"/>
      <w:marBottom w:val="0"/>
      <w:divBdr>
        <w:top w:val="none" w:sz="0" w:space="0" w:color="auto"/>
        <w:left w:val="none" w:sz="0" w:space="0" w:color="auto"/>
        <w:bottom w:val="none" w:sz="0" w:space="0" w:color="auto"/>
        <w:right w:val="none" w:sz="0" w:space="0" w:color="auto"/>
      </w:divBdr>
    </w:div>
    <w:div w:id="316345902">
      <w:bodyDiv w:val="1"/>
      <w:marLeft w:val="0"/>
      <w:marRight w:val="0"/>
      <w:marTop w:val="0"/>
      <w:marBottom w:val="0"/>
      <w:divBdr>
        <w:top w:val="none" w:sz="0" w:space="0" w:color="auto"/>
        <w:left w:val="none" w:sz="0" w:space="0" w:color="auto"/>
        <w:bottom w:val="none" w:sz="0" w:space="0" w:color="auto"/>
        <w:right w:val="none" w:sz="0" w:space="0" w:color="auto"/>
      </w:divBdr>
    </w:div>
    <w:div w:id="323240583">
      <w:bodyDiv w:val="1"/>
      <w:marLeft w:val="0"/>
      <w:marRight w:val="0"/>
      <w:marTop w:val="0"/>
      <w:marBottom w:val="0"/>
      <w:divBdr>
        <w:top w:val="none" w:sz="0" w:space="0" w:color="auto"/>
        <w:left w:val="none" w:sz="0" w:space="0" w:color="auto"/>
        <w:bottom w:val="none" w:sz="0" w:space="0" w:color="auto"/>
        <w:right w:val="none" w:sz="0" w:space="0" w:color="auto"/>
      </w:divBdr>
    </w:div>
    <w:div w:id="324016966">
      <w:bodyDiv w:val="1"/>
      <w:marLeft w:val="0"/>
      <w:marRight w:val="0"/>
      <w:marTop w:val="0"/>
      <w:marBottom w:val="0"/>
      <w:divBdr>
        <w:top w:val="none" w:sz="0" w:space="0" w:color="auto"/>
        <w:left w:val="none" w:sz="0" w:space="0" w:color="auto"/>
        <w:bottom w:val="none" w:sz="0" w:space="0" w:color="auto"/>
        <w:right w:val="none" w:sz="0" w:space="0" w:color="auto"/>
      </w:divBdr>
    </w:div>
    <w:div w:id="332923121">
      <w:bodyDiv w:val="1"/>
      <w:marLeft w:val="0"/>
      <w:marRight w:val="0"/>
      <w:marTop w:val="0"/>
      <w:marBottom w:val="0"/>
      <w:divBdr>
        <w:top w:val="none" w:sz="0" w:space="0" w:color="auto"/>
        <w:left w:val="none" w:sz="0" w:space="0" w:color="auto"/>
        <w:bottom w:val="none" w:sz="0" w:space="0" w:color="auto"/>
        <w:right w:val="none" w:sz="0" w:space="0" w:color="auto"/>
      </w:divBdr>
    </w:div>
    <w:div w:id="333656165">
      <w:bodyDiv w:val="1"/>
      <w:marLeft w:val="0"/>
      <w:marRight w:val="0"/>
      <w:marTop w:val="0"/>
      <w:marBottom w:val="0"/>
      <w:divBdr>
        <w:top w:val="none" w:sz="0" w:space="0" w:color="auto"/>
        <w:left w:val="none" w:sz="0" w:space="0" w:color="auto"/>
        <w:bottom w:val="none" w:sz="0" w:space="0" w:color="auto"/>
        <w:right w:val="none" w:sz="0" w:space="0" w:color="auto"/>
      </w:divBdr>
      <w:divsChild>
        <w:div w:id="545915988">
          <w:marLeft w:val="0"/>
          <w:marRight w:val="0"/>
          <w:marTop w:val="0"/>
          <w:marBottom w:val="0"/>
          <w:divBdr>
            <w:top w:val="none" w:sz="0" w:space="0" w:color="auto"/>
            <w:left w:val="none" w:sz="0" w:space="0" w:color="auto"/>
            <w:bottom w:val="none" w:sz="0" w:space="0" w:color="auto"/>
            <w:right w:val="none" w:sz="0" w:space="0" w:color="auto"/>
          </w:divBdr>
          <w:divsChild>
            <w:div w:id="414254488">
              <w:marLeft w:val="0"/>
              <w:marRight w:val="0"/>
              <w:marTop w:val="0"/>
              <w:marBottom w:val="0"/>
              <w:divBdr>
                <w:top w:val="none" w:sz="0" w:space="0" w:color="auto"/>
                <w:left w:val="none" w:sz="0" w:space="0" w:color="auto"/>
                <w:bottom w:val="none" w:sz="0" w:space="0" w:color="auto"/>
                <w:right w:val="none" w:sz="0" w:space="0" w:color="auto"/>
              </w:divBdr>
              <w:divsChild>
                <w:div w:id="476529826">
                  <w:marLeft w:val="0"/>
                  <w:marRight w:val="0"/>
                  <w:marTop w:val="0"/>
                  <w:marBottom w:val="0"/>
                  <w:divBdr>
                    <w:top w:val="none" w:sz="0" w:space="0" w:color="auto"/>
                    <w:left w:val="none" w:sz="0" w:space="0" w:color="auto"/>
                    <w:bottom w:val="none" w:sz="0" w:space="0" w:color="auto"/>
                    <w:right w:val="none" w:sz="0" w:space="0" w:color="auto"/>
                  </w:divBdr>
                  <w:divsChild>
                    <w:div w:id="1813206206">
                      <w:marLeft w:val="0"/>
                      <w:marRight w:val="0"/>
                      <w:marTop w:val="0"/>
                      <w:marBottom w:val="0"/>
                      <w:divBdr>
                        <w:top w:val="none" w:sz="0" w:space="0" w:color="auto"/>
                        <w:left w:val="none" w:sz="0" w:space="0" w:color="auto"/>
                        <w:bottom w:val="none" w:sz="0" w:space="0" w:color="auto"/>
                        <w:right w:val="none" w:sz="0" w:space="0" w:color="auto"/>
                      </w:divBdr>
                      <w:divsChild>
                        <w:div w:id="443620310">
                          <w:marLeft w:val="0"/>
                          <w:marRight w:val="0"/>
                          <w:marTop w:val="0"/>
                          <w:marBottom w:val="0"/>
                          <w:divBdr>
                            <w:top w:val="none" w:sz="0" w:space="0" w:color="auto"/>
                            <w:left w:val="none" w:sz="0" w:space="0" w:color="auto"/>
                            <w:bottom w:val="none" w:sz="0" w:space="0" w:color="auto"/>
                            <w:right w:val="none" w:sz="0" w:space="0" w:color="auto"/>
                          </w:divBdr>
                          <w:divsChild>
                            <w:div w:id="182435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726857">
      <w:bodyDiv w:val="1"/>
      <w:marLeft w:val="0"/>
      <w:marRight w:val="0"/>
      <w:marTop w:val="0"/>
      <w:marBottom w:val="0"/>
      <w:divBdr>
        <w:top w:val="none" w:sz="0" w:space="0" w:color="auto"/>
        <w:left w:val="none" w:sz="0" w:space="0" w:color="auto"/>
        <w:bottom w:val="none" w:sz="0" w:space="0" w:color="auto"/>
        <w:right w:val="none" w:sz="0" w:space="0" w:color="auto"/>
      </w:divBdr>
    </w:div>
    <w:div w:id="333805963">
      <w:bodyDiv w:val="1"/>
      <w:marLeft w:val="0"/>
      <w:marRight w:val="0"/>
      <w:marTop w:val="0"/>
      <w:marBottom w:val="0"/>
      <w:divBdr>
        <w:top w:val="none" w:sz="0" w:space="0" w:color="auto"/>
        <w:left w:val="none" w:sz="0" w:space="0" w:color="auto"/>
        <w:bottom w:val="none" w:sz="0" w:space="0" w:color="auto"/>
        <w:right w:val="none" w:sz="0" w:space="0" w:color="auto"/>
      </w:divBdr>
      <w:divsChild>
        <w:div w:id="2015260400">
          <w:marLeft w:val="0"/>
          <w:marRight w:val="0"/>
          <w:marTop w:val="0"/>
          <w:marBottom w:val="0"/>
          <w:divBdr>
            <w:top w:val="none" w:sz="0" w:space="0" w:color="auto"/>
            <w:left w:val="none" w:sz="0" w:space="0" w:color="auto"/>
            <w:bottom w:val="none" w:sz="0" w:space="0" w:color="auto"/>
            <w:right w:val="none" w:sz="0" w:space="0" w:color="auto"/>
          </w:divBdr>
          <w:divsChild>
            <w:div w:id="262104795">
              <w:marLeft w:val="0"/>
              <w:marRight w:val="0"/>
              <w:marTop w:val="0"/>
              <w:marBottom w:val="0"/>
              <w:divBdr>
                <w:top w:val="none" w:sz="0" w:space="0" w:color="auto"/>
                <w:left w:val="none" w:sz="0" w:space="0" w:color="auto"/>
                <w:bottom w:val="none" w:sz="0" w:space="0" w:color="auto"/>
                <w:right w:val="none" w:sz="0" w:space="0" w:color="auto"/>
              </w:divBdr>
              <w:divsChild>
                <w:div w:id="1750348497">
                  <w:marLeft w:val="0"/>
                  <w:marRight w:val="0"/>
                  <w:marTop w:val="0"/>
                  <w:marBottom w:val="0"/>
                  <w:divBdr>
                    <w:top w:val="none" w:sz="0" w:space="0" w:color="auto"/>
                    <w:left w:val="none" w:sz="0" w:space="0" w:color="auto"/>
                    <w:bottom w:val="none" w:sz="0" w:space="0" w:color="auto"/>
                    <w:right w:val="none" w:sz="0" w:space="0" w:color="auto"/>
                  </w:divBdr>
                  <w:divsChild>
                    <w:div w:id="2023314901">
                      <w:marLeft w:val="0"/>
                      <w:marRight w:val="0"/>
                      <w:marTop w:val="0"/>
                      <w:marBottom w:val="0"/>
                      <w:divBdr>
                        <w:top w:val="none" w:sz="0" w:space="0" w:color="auto"/>
                        <w:left w:val="none" w:sz="0" w:space="0" w:color="auto"/>
                        <w:bottom w:val="none" w:sz="0" w:space="0" w:color="auto"/>
                        <w:right w:val="none" w:sz="0" w:space="0" w:color="auto"/>
                      </w:divBdr>
                      <w:divsChild>
                        <w:div w:id="1076128745">
                          <w:marLeft w:val="0"/>
                          <w:marRight w:val="0"/>
                          <w:marTop w:val="0"/>
                          <w:marBottom w:val="0"/>
                          <w:divBdr>
                            <w:top w:val="none" w:sz="0" w:space="0" w:color="auto"/>
                            <w:left w:val="none" w:sz="0" w:space="0" w:color="auto"/>
                            <w:bottom w:val="none" w:sz="0" w:space="0" w:color="auto"/>
                            <w:right w:val="none" w:sz="0" w:space="0" w:color="auto"/>
                          </w:divBdr>
                          <w:divsChild>
                            <w:div w:id="7563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921621">
      <w:bodyDiv w:val="1"/>
      <w:marLeft w:val="0"/>
      <w:marRight w:val="0"/>
      <w:marTop w:val="0"/>
      <w:marBottom w:val="0"/>
      <w:divBdr>
        <w:top w:val="none" w:sz="0" w:space="0" w:color="auto"/>
        <w:left w:val="none" w:sz="0" w:space="0" w:color="auto"/>
        <w:bottom w:val="none" w:sz="0" w:space="0" w:color="auto"/>
        <w:right w:val="none" w:sz="0" w:space="0" w:color="auto"/>
      </w:divBdr>
      <w:divsChild>
        <w:div w:id="826745265">
          <w:marLeft w:val="0"/>
          <w:marRight w:val="0"/>
          <w:marTop w:val="0"/>
          <w:marBottom w:val="0"/>
          <w:divBdr>
            <w:top w:val="none" w:sz="0" w:space="0" w:color="auto"/>
            <w:left w:val="none" w:sz="0" w:space="0" w:color="auto"/>
            <w:bottom w:val="none" w:sz="0" w:space="0" w:color="auto"/>
            <w:right w:val="none" w:sz="0" w:space="0" w:color="auto"/>
          </w:divBdr>
          <w:divsChild>
            <w:div w:id="552616215">
              <w:marLeft w:val="0"/>
              <w:marRight w:val="0"/>
              <w:marTop w:val="0"/>
              <w:marBottom w:val="0"/>
              <w:divBdr>
                <w:top w:val="none" w:sz="0" w:space="0" w:color="auto"/>
                <w:left w:val="none" w:sz="0" w:space="0" w:color="auto"/>
                <w:bottom w:val="none" w:sz="0" w:space="0" w:color="auto"/>
                <w:right w:val="none" w:sz="0" w:space="0" w:color="auto"/>
              </w:divBdr>
              <w:divsChild>
                <w:div w:id="974289999">
                  <w:marLeft w:val="0"/>
                  <w:marRight w:val="0"/>
                  <w:marTop w:val="0"/>
                  <w:marBottom w:val="0"/>
                  <w:divBdr>
                    <w:top w:val="none" w:sz="0" w:space="0" w:color="auto"/>
                    <w:left w:val="none" w:sz="0" w:space="0" w:color="auto"/>
                    <w:bottom w:val="none" w:sz="0" w:space="0" w:color="auto"/>
                    <w:right w:val="none" w:sz="0" w:space="0" w:color="auto"/>
                  </w:divBdr>
                  <w:divsChild>
                    <w:div w:id="1860461963">
                      <w:marLeft w:val="0"/>
                      <w:marRight w:val="0"/>
                      <w:marTop w:val="0"/>
                      <w:marBottom w:val="0"/>
                      <w:divBdr>
                        <w:top w:val="none" w:sz="0" w:space="0" w:color="auto"/>
                        <w:left w:val="none" w:sz="0" w:space="0" w:color="auto"/>
                        <w:bottom w:val="none" w:sz="0" w:space="0" w:color="auto"/>
                        <w:right w:val="none" w:sz="0" w:space="0" w:color="auto"/>
                      </w:divBdr>
                      <w:divsChild>
                        <w:div w:id="1306935243">
                          <w:marLeft w:val="0"/>
                          <w:marRight w:val="0"/>
                          <w:marTop w:val="0"/>
                          <w:marBottom w:val="0"/>
                          <w:divBdr>
                            <w:top w:val="none" w:sz="0" w:space="0" w:color="auto"/>
                            <w:left w:val="none" w:sz="0" w:space="0" w:color="auto"/>
                            <w:bottom w:val="none" w:sz="0" w:space="0" w:color="auto"/>
                            <w:right w:val="none" w:sz="0" w:space="0" w:color="auto"/>
                          </w:divBdr>
                          <w:divsChild>
                            <w:div w:id="83645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237026">
      <w:bodyDiv w:val="1"/>
      <w:marLeft w:val="0"/>
      <w:marRight w:val="0"/>
      <w:marTop w:val="0"/>
      <w:marBottom w:val="0"/>
      <w:divBdr>
        <w:top w:val="none" w:sz="0" w:space="0" w:color="auto"/>
        <w:left w:val="none" w:sz="0" w:space="0" w:color="auto"/>
        <w:bottom w:val="none" w:sz="0" w:space="0" w:color="auto"/>
        <w:right w:val="none" w:sz="0" w:space="0" w:color="auto"/>
      </w:divBdr>
    </w:div>
    <w:div w:id="354500844">
      <w:bodyDiv w:val="1"/>
      <w:marLeft w:val="0"/>
      <w:marRight w:val="0"/>
      <w:marTop w:val="0"/>
      <w:marBottom w:val="0"/>
      <w:divBdr>
        <w:top w:val="none" w:sz="0" w:space="0" w:color="auto"/>
        <w:left w:val="none" w:sz="0" w:space="0" w:color="auto"/>
        <w:bottom w:val="none" w:sz="0" w:space="0" w:color="auto"/>
        <w:right w:val="none" w:sz="0" w:space="0" w:color="auto"/>
      </w:divBdr>
    </w:div>
    <w:div w:id="356082840">
      <w:bodyDiv w:val="1"/>
      <w:marLeft w:val="0"/>
      <w:marRight w:val="0"/>
      <w:marTop w:val="0"/>
      <w:marBottom w:val="0"/>
      <w:divBdr>
        <w:top w:val="none" w:sz="0" w:space="0" w:color="auto"/>
        <w:left w:val="none" w:sz="0" w:space="0" w:color="auto"/>
        <w:bottom w:val="none" w:sz="0" w:space="0" w:color="auto"/>
        <w:right w:val="none" w:sz="0" w:space="0" w:color="auto"/>
      </w:divBdr>
      <w:divsChild>
        <w:div w:id="791745998">
          <w:marLeft w:val="0"/>
          <w:marRight w:val="0"/>
          <w:marTop w:val="0"/>
          <w:marBottom w:val="0"/>
          <w:divBdr>
            <w:top w:val="none" w:sz="0" w:space="0" w:color="auto"/>
            <w:left w:val="none" w:sz="0" w:space="0" w:color="auto"/>
            <w:bottom w:val="none" w:sz="0" w:space="0" w:color="auto"/>
            <w:right w:val="none" w:sz="0" w:space="0" w:color="auto"/>
          </w:divBdr>
          <w:divsChild>
            <w:div w:id="353507955">
              <w:marLeft w:val="0"/>
              <w:marRight w:val="0"/>
              <w:marTop w:val="0"/>
              <w:marBottom w:val="0"/>
              <w:divBdr>
                <w:top w:val="none" w:sz="0" w:space="0" w:color="auto"/>
                <w:left w:val="none" w:sz="0" w:space="0" w:color="auto"/>
                <w:bottom w:val="none" w:sz="0" w:space="0" w:color="auto"/>
                <w:right w:val="none" w:sz="0" w:space="0" w:color="auto"/>
              </w:divBdr>
              <w:divsChild>
                <w:div w:id="1901013025">
                  <w:marLeft w:val="0"/>
                  <w:marRight w:val="0"/>
                  <w:marTop w:val="0"/>
                  <w:marBottom w:val="0"/>
                  <w:divBdr>
                    <w:top w:val="none" w:sz="0" w:space="0" w:color="auto"/>
                    <w:left w:val="none" w:sz="0" w:space="0" w:color="auto"/>
                    <w:bottom w:val="none" w:sz="0" w:space="0" w:color="auto"/>
                    <w:right w:val="none" w:sz="0" w:space="0" w:color="auto"/>
                  </w:divBdr>
                  <w:divsChild>
                    <w:div w:id="353384315">
                      <w:marLeft w:val="0"/>
                      <w:marRight w:val="0"/>
                      <w:marTop w:val="0"/>
                      <w:marBottom w:val="0"/>
                      <w:divBdr>
                        <w:top w:val="none" w:sz="0" w:space="0" w:color="auto"/>
                        <w:left w:val="none" w:sz="0" w:space="0" w:color="auto"/>
                        <w:bottom w:val="none" w:sz="0" w:space="0" w:color="auto"/>
                        <w:right w:val="none" w:sz="0" w:space="0" w:color="auto"/>
                      </w:divBdr>
                      <w:divsChild>
                        <w:div w:id="677777500">
                          <w:marLeft w:val="0"/>
                          <w:marRight w:val="0"/>
                          <w:marTop w:val="0"/>
                          <w:marBottom w:val="0"/>
                          <w:divBdr>
                            <w:top w:val="none" w:sz="0" w:space="0" w:color="auto"/>
                            <w:left w:val="none" w:sz="0" w:space="0" w:color="auto"/>
                            <w:bottom w:val="none" w:sz="0" w:space="0" w:color="auto"/>
                            <w:right w:val="none" w:sz="0" w:space="0" w:color="auto"/>
                          </w:divBdr>
                          <w:divsChild>
                            <w:div w:id="10024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327261">
      <w:bodyDiv w:val="1"/>
      <w:marLeft w:val="0"/>
      <w:marRight w:val="0"/>
      <w:marTop w:val="0"/>
      <w:marBottom w:val="0"/>
      <w:divBdr>
        <w:top w:val="none" w:sz="0" w:space="0" w:color="auto"/>
        <w:left w:val="none" w:sz="0" w:space="0" w:color="auto"/>
        <w:bottom w:val="none" w:sz="0" w:space="0" w:color="auto"/>
        <w:right w:val="none" w:sz="0" w:space="0" w:color="auto"/>
      </w:divBdr>
    </w:div>
    <w:div w:id="383990319">
      <w:bodyDiv w:val="1"/>
      <w:marLeft w:val="0"/>
      <w:marRight w:val="0"/>
      <w:marTop w:val="0"/>
      <w:marBottom w:val="0"/>
      <w:divBdr>
        <w:top w:val="none" w:sz="0" w:space="0" w:color="auto"/>
        <w:left w:val="none" w:sz="0" w:space="0" w:color="auto"/>
        <w:bottom w:val="none" w:sz="0" w:space="0" w:color="auto"/>
        <w:right w:val="none" w:sz="0" w:space="0" w:color="auto"/>
      </w:divBdr>
      <w:divsChild>
        <w:div w:id="870067684">
          <w:marLeft w:val="0"/>
          <w:marRight w:val="0"/>
          <w:marTop w:val="0"/>
          <w:marBottom w:val="0"/>
          <w:divBdr>
            <w:top w:val="none" w:sz="0" w:space="0" w:color="auto"/>
            <w:left w:val="none" w:sz="0" w:space="0" w:color="auto"/>
            <w:bottom w:val="none" w:sz="0" w:space="0" w:color="auto"/>
            <w:right w:val="none" w:sz="0" w:space="0" w:color="auto"/>
          </w:divBdr>
          <w:divsChild>
            <w:div w:id="1696272363">
              <w:marLeft w:val="0"/>
              <w:marRight w:val="0"/>
              <w:marTop w:val="0"/>
              <w:marBottom w:val="0"/>
              <w:divBdr>
                <w:top w:val="none" w:sz="0" w:space="0" w:color="auto"/>
                <w:left w:val="none" w:sz="0" w:space="0" w:color="auto"/>
                <w:bottom w:val="none" w:sz="0" w:space="0" w:color="auto"/>
                <w:right w:val="none" w:sz="0" w:space="0" w:color="auto"/>
              </w:divBdr>
              <w:divsChild>
                <w:div w:id="364134007">
                  <w:marLeft w:val="0"/>
                  <w:marRight w:val="0"/>
                  <w:marTop w:val="0"/>
                  <w:marBottom w:val="0"/>
                  <w:divBdr>
                    <w:top w:val="none" w:sz="0" w:space="0" w:color="auto"/>
                    <w:left w:val="none" w:sz="0" w:space="0" w:color="auto"/>
                    <w:bottom w:val="none" w:sz="0" w:space="0" w:color="auto"/>
                    <w:right w:val="none" w:sz="0" w:space="0" w:color="auto"/>
                  </w:divBdr>
                  <w:divsChild>
                    <w:div w:id="45573671">
                      <w:marLeft w:val="0"/>
                      <w:marRight w:val="0"/>
                      <w:marTop w:val="0"/>
                      <w:marBottom w:val="0"/>
                      <w:divBdr>
                        <w:top w:val="none" w:sz="0" w:space="0" w:color="auto"/>
                        <w:left w:val="none" w:sz="0" w:space="0" w:color="auto"/>
                        <w:bottom w:val="none" w:sz="0" w:space="0" w:color="auto"/>
                        <w:right w:val="none" w:sz="0" w:space="0" w:color="auto"/>
                      </w:divBdr>
                      <w:divsChild>
                        <w:div w:id="564491539">
                          <w:marLeft w:val="0"/>
                          <w:marRight w:val="0"/>
                          <w:marTop w:val="0"/>
                          <w:marBottom w:val="0"/>
                          <w:divBdr>
                            <w:top w:val="none" w:sz="0" w:space="0" w:color="auto"/>
                            <w:left w:val="none" w:sz="0" w:space="0" w:color="auto"/>
                            <w:bottom w:val="none" w:sz="0" w:space="0" w:color="auto"/>
                            <w:right w:val="none" w:sz="0" w:space="0" w:color="auto"/>
                          </w:divBdr>
                          <w:divsChild>
                            <w:div w:id="18453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922496">
      <w:bodyDiv w:val="1"/>
      <w:marLeft w:val="0"/>
      <w:marRight w:val="0"/>
      <w:marTop w:val="0"/>
      <w:marBottom w:val="0"/>
      <w:divBdr>
        <w:top w:val="none" w:sz="0" w:space="0" w:color="auto"/>
        <w:left w:val="none" w:sz="0" w:space="0" w:color="auto"/>
        <w:bottom w:val="none" w:sz="0" w:space="0" w:color="auto"/>
        <w:right w:val="none" w:sz="0" w:space="0" w:color="auto"/>
      </w:divBdr>
    </w:div>
    <w:div w:id="395203268">
      <w:bodyDiv w:val="1"/>
      <w:marLeft w:val="0"/>
      <w:marRight w:val="0"/>
      <w:marTop w:val="0"/>
      <w:marBottom w:val="0"/>
      <w:divBdr>
        <w:top w:val="none" w:sz="0" w:space="0" w:color="auto"/>
        <w:left w:val="none" w:sz="0" w:space="0" w:color="auto"/>
        <w:bottom w:val="none" w:sz="0" w:space="0" w:color="auto"/>
        <w:right w:val="none" w:sz="0" w:space="0" w:color="auto"/>
      </w:divBdr>
    </w:div>
    <w:div w:id="396903142">
      <w:bodyDiv w:val="1"/>
      <w:marLeft w:val="0"/>
      <w:marRight w:val="0"/>
      <w:marTop w:val="0"/>
      <w:marBottom w:val="0"/>
      <w:divBdr>
        <w:top w:val="none" w:sz="0" w:space="0" w:color="auto"/>
        <w:left w:val="none" w:sz="0" w:space="0" w:color="auto"/>
        <w:bottom w:val="none" w:sz="0" w:space="0" w:color="auto"/>
        <w:right w:val="none" w:sz="0" w:space="0" w:color="auto"/>
      </w:divBdr>
    </w:div>
    <w:div w:id="399599002">
      <w:bodyDiv w:val="1"/>
      <w:marLeft w:val="0"/>
      <w:marRight w:val="0"/>
      <w:marTop w:val="0"/>
      <w:marBottom w:val="0"/>
      <w:divBdr>
        <w:top w:val="none" w:sz="0" w:space="0" w:color="auto"/>
        <w:left w:val="none" w:sz="0" w:space="0" w:color="auto"/>
        <w:bottom w:val="none" w:sz="0" w:space="0" w:color="auto"/>
        <w:right w:val="none" w:sz="0" w:space="0" w:color="auto"/>
      </w:divBdr>
      <w:divsChild>
        <w:div w:id="636373701">
          <w:marLeft w:val="0"/>
          <w:marRight w:val="0"/>
          <w:marTop w:val="0"/>
          <w:marBottom w:val="0"/>
          <w:divBdr>
            <w:top w:val="none" w:sz="0" w:space="0" w:color="auto"/>
            <w:left w:val="none" w:sz="0" w:space="0" w:color="auto"/>
            <w:bottom w:val="none" w:sz="0" w:space="0" w:color="auto"/>
            <w:right w:val="none" w:sz="0" w:space="0" w:color="auto"/>
          </w:divBdr>
          <w:divsChild>
            <w:div w:id="46221842">
              <w:marLeft w:val="0"/>
              <w:marRight w:val="0"/>
              <w:marTop w:val="0"/>
              <w:marBottom w:val="0"/>
              <w:divBdr>
                <w:top w:val="none" w:sz="0" w:space="0" w:color="auto"/>
                <w:left w:val="none" w:sz="0" w:space="0" w:color="auto"/>
                <w:bottom w:val="none" w:sz="0" w:space="0" w:color="auto"/>
                <w:right w:val="none" w:sz="0" w:space="0" w:color="auto"/>
              </w:divBdr>
              <w:divsChild>
                <w:div w:id="574819836">
                  <w:marLeft w:val="0"/>
                  <w:marRight w:val="0"/>
                  <w:marTop w:val="0"/>
                  <w:marBottom w:val="0"/>
                  <w:divBdr>
                    <w:top w:val="none" w:sz="0" w:space="0" w:color="auto"/>
                    <w:left w:val="none" w:sz="0" w:space="0" w:color="auto"/>
                    <w:bottom w:val="none" w:sz="0" w:space="0" w:color="auto"/>
                    <w:right w:val="none" w:sz="0" w:space="0" w:color="auto"/>
                  </w:divBdr>
                  <w:divsChild>
                    <w:div w:id="1541631141">
                      <w:marLeft w:val="0"/>
                      <w:marRight w:val="0"/>
                      <w:marTop w:val="0"/>
                      <w:marBottom w:val="0"/>
                      <w:divBdr>
                        <w:top w:val="none" w:sz="0" w:space="0" w:color="auto"/>
                        <w:left w:val="none" w:sz="0" w:space="0" w:color="auto"/>
                        <w:bottom w:val="none" w:sz="0" w:space="0" w:color="auto"/>
                        <w:right w:val="none" w:sz="0" w:space="0" w:color="auto"/>
                      </w:divBdr>
                      <w:divsChild>
                        <w:div w:id="1483548010">
                          <w:marLeft w:val="0"/>
                          <w:marRight w:val="0"/>
                          <w:marTop w:val="0"/>
                          <w:marBottom w:val="0"/>
                          <w:divBdr>
                            <w:top w:val="none" w:sz="0" w:space="0" w:color="auto"/>
                            <w:left w:val="none" w:sz="0" w:space="0" w:color="auto"/>
                            <w:bottom w:val="none" w:sz="0" w:space="0" w:color="auto"/>
                            <w:right w:val="none" w:sz="0" w:space="0" w:color="auto"/>
                          </w:divBdr>
                          <w:divsChild>
                            <w:div w:id="13808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174357">
      <w:bodyDiv w:val="1"/>
      <w:marLeft w:val="0"/>
      <w:marRight w:val="0"/>
      <w:marTop w:val="0"/>
      <w:marBottom w:val="0"/>
      <w:divBdr>
        <w:top w:val="none" w:sz="0" w:space="0" w:color="auto"/>
        <w:left w:val="none" w:sz="0" w:space="0" w:color="auto"/>
        <w:bottom w:val="none" w:sz="0" w:space="0" w:color="auto"/>
        <w:right w:val="none" w:sz="0" w:space="0" w:color="auto"/>
      </w:divBdr>
    </w:div>
    <w:div w:id="402144023">
      <w:bodyDiv w:val="1"/>
      <w:marLeft w:val="0"/>
      <w:marRight w:val="0"/>
      <w:marTop w:val="0"/>
      <w:marBottom w:val="0"/>
      <w:divBdr>
        <w:top w:val="none" w:sz="0" w:space="0" w:color="auto"/>
        <w:left w:val="none" w:sz="0" w:space="0" w:color="auto"/>
        <w:bottom w:val="none" w:sz="0" w:space="0" w:color="auto"/>
        <w:right w:val="none" w:sz="0" w:space="0" w:color="auto"/>
      </w:divBdr>
    </w:div>
    <w:div w:id="414058839">
      <w:bodyDiv w:val="1"/>
      <w:marLeft w:val="0"/>
      <w:marRight w:val="0"/>
      <w:marTop w:val="0"/>
      <w:marBottom w:val="0"/>
      <w:divBdr>
        <w:top w:val="none" w:sz="0" w:space="0" w:color="auto"/>
        <w:left w:val="none" w:sz="0" w:space="0" w:color="auto"/>
        <w:bottom w:val="none" w:sz="0" w:space="0" w:color="auto"/>
        <w:right w:val="none" w:sz="0" w:space="0" w:color="auto"/>
      </w:divBdr>
      <w:divsChild>
        <w:div w:id="1792093705">
          <w:marLeft w:val="0"/>
          <w:marRight w:val="0"/>
          <w:marTop w:val="0"/>
          <w:marBottom w:val="0"/>
          <w:divBdr>
            <w:top w:val="none" w:sz="0" w:space="0" w:color="auto"/>
            <w:left w:val="none" w:sz="0" w:space="0" w:color="auto"/>
            <w:bottom w:val="none" w:sz="0" w:space="0" w:color="auto"/>
            <w:right w:val="none" w:sz="0" w:space="0" w:color="auto"/>
          </w:divBdr>
          <w:divsChild>
            <w:div w:id="1037777530">
              <w:marLeft w:val="0"/>
              <w:marRight w:val="0"/>
              <w:marTop w:val="0"/>
              <w:marBottom w:val="0"/>
              <w:divBdr>
                <w:top w:val="none" w:sz="0" w:space="0" w:color="auto"/>
                <w:left w:val="none" w:sz="0" w:space="0" w:color="auto"/>
                <w:bottom w:val="none" w:sz="0" w:space="0" w:color="auto"/>
                <w:right w:val="none" w:sz="0" w:space="0" w:color="auto"/>
              </w:divBdr>
              <w:divsChild>
                <w:div w:id="1400440620">
                  <w:marLeft w:val="0"/>
                  <w:marRight w:val="0"/>
                  <w:marTop w:val="0"/>
                  <w:marBottom w:val="0"/>
                  <w:divBdr>
                    <w:top w:val="none" w:sz="0" w:space="0" w:color="auto"/>
                    <w:left w:val="none" w:sz="0" w:space="0" w:color="auto"/>
                    <w:bottom w:val="none" w:sz="0" w:space="0" w:color="auto"/>
                    <w:right w:val="none" w:sz="0" w:space="0" w:color="auto"/>
                  </w:divBdr>
                  <w:divsChild>
                    <w:div w:id="1410810750">
                      <w:marLeft w:val="0"/>
                      <w:marRight w:val="0"/>
                      <w:marTop w:val="0"/>
                      <w:marBottom w:val="0"/>
                      <w:divBdr>
                        <w:top w:val="none" w:sz="0" w:space="0" w:color="auto"/>
                        <w:left w:val="none" w:sz="0" w:space="0" w:color="auto"/>
                        <w:bottom w:val="none" w:sz="0" w:space="0" w:color="auto"/>
                        <w:right w:val="none" w:sz="0" w:space="0" w:color="auto"/>
                      </w:divBdr>
                      <w:divsChild>
                        <w:div w:id="386144056">
                          <w:marLeft w:val="0"/>
                          <w:marRight w:val="0"/>
                          <w:marTop w:val="0"/>
                          <w:marBottom w:val="0"/>
                          <w:divBdr>
                            <w:top w:val="none" w:sz="0" w:space="0" w:color="auto"/>
                            <w:left w:val="none" w:sz="0" w:space="0" w:color="auto"/>
                            <w:bottom w:val="none" w:sz="0" w:space="0" w:color="auto"/>
                            <w:right w:val="none" w:sz="0" w:space="0" w:color="auto"/>
                          </w:divBdr>
                          <w:divsChild>
                            <w:div w:id="46258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791509">
      <w:bodyDiv w:val="1"/>
      <w:marLeft w:val="0"/>
      <w:marRight w:val="0"/>
      <w:marTop w:val="0"/>
      <w:marBottom w:val="0"/>
      <w:divBdr>
        <w:top w:val="none" w:sz="0" w:space="0" w:color="auto"/>
        <w:left w:val="none" w:sz="0" w:space="0" w:color="auto"/>
        <w:bottom w:val="none" w:sz="0" w:space="0" w:color="auto"/>
        <w:right w:val="none" w:sz="0" w:space="0" w:color="auto"/>
      </w:divBdr>
      <w:divsChild>
        <w:div w:id="1218779922">
          <w:marLeft w:val="0"/>
          <w:marRight w:val="0"/>
          <w:marTop w:val="0"/>
          <w:marBottom w:val="0"/>
          <w:divBdr>
            <w:top w:val="none" w:sz="0" w:space="0" w:color="auto"/>
            <w:left w:val="none" w:sz="0" w:space="0" w:color="auto"/>
            <w:bottom w:val="none" w:sz="0" w:space="0" w:color="auto"/>
            <w:right w:val="none" w:sz="0" w:space="0" w:color="auto"/>
          </w:divBdr>
          <w:divsChild>
            <w:div w:id="1462460318">
              <w:marLeft w:val="0"/>
              <w:marRight w:val="0"/>
              <w:marTop w:val="0"/>
              <w:marBottom w:val="0"/>
              <w:divBdr>
                <w:top w:val="none" w:sz="0" w:space="0" w:color="auto"/>
                <w:left w:val="none" w:sz="0" w:space="0" w:color="auto"/>
                <w:bottom w:val="none" w:sz="0" w:space="0" w:color="auto"/>
                <w:right w:val="none" w:sz="0" w:space="0" w:color="auto"/>
              </w:divBdr>
              <w:divsChild>
                <w:div w:id="333844827">
                  <w:marLeft w:val="0"/>
                  <w:marRight w:val="0"/>
                  <w:marTop w:val="0"/>
                  <w:marBottom w:val="0"/>
                  <w:divBdr>
                    <w:top w:val="none" w:sz="0" w:space="0" w:color="auto"/>
                    <w:left w:val="none" w:sz="0" w:space="0" w:color="auto"/>
                    <w:bottom w:val="none" w:sz="0" w:space="0" w:color="auto"/>
                    <w:right w:val="none" w:sz="0" w:space="0" w:color="auto"/>
                  </w:divBdr>
                  <w:divsChild>
                    <w:div w:id="1708751944">
                      <w:marLeft w:val="0"/>
                      <w:marRight w:val="0"/>
                      <w:marTop w:val="0"/>
                      <w:marBottom w:val="0"/>
                      <w:divBdr>
                        <w:top w:val="none" w:sz="0" w:space="0" w:color="auto"/>
                        <w:left w:val="none" w:sz="0" w:space="0" w:color="auto"/>
                        <w:bottom w:val="none" w:sz="0" w:space="0" w:color="auto"/>
                        <w:right w:val="none" w:sz="0" w:space="0" w:color="auto"/>
                      </w:divBdr>
                      <w:divsChild>
                        <w:div w:id="77095235">
                          <w:marLeft w:val="0"/>
                          <w:marRight w:val="0"/>
                          <w:marTop w:val="0"/>
                          <w:marBottom w:val="0"/>
                          <w:divBdr>
                            <w:top w:val="none" w:sz="0" w:space="0" w:color="auto"/>
                            <w:left w:val="none" w:sz="0" w:space="0" w:color="auto"/>
                            <w:bottom w:val="none" w:sz="0" w:space="0" w:color="auto"/>
                            <w:right w:val="none" w:sz="0" w:space="0" w:color="auto"/>
                          </w:divBdr>
                          <w:divsChild>
                            <w:div w:id="13572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154010">
      <w:bodyDiv w:val="1"/>
      <w:marLeft w:val="0"/>
      <w:marRight w:val="0"/>
      <w:marTop w:val="0"/>
      <w:marBottom w:val="0"/>
      <w:divBdr>
        <w:top w:val="none" w:sz="0" w:space="0" w:color="auto"/>
        <w:left w:val="none" w:sz="0" w:space="0" w:color="auto"/>
        <w:bottom w:val="none" w:sz="0" w:space="0" w:color="auto"/>
        <w:right w:val="none" w:sz="0" w:space="0" w:color="auto"/>
      </w:divBdr>
    </w:div>
    <w:div w:id="429853767">
      <w:bodyDiv w:val="1"/>
      <w:marLeft w:val="0"/>
      <w:marRight w:val="0"/>
      <w:marTop w:val="0"/>
      <w:marBottom w:val="0"/>
      <w:divBdr>
        <w:top w:val="none" w:sz="0" w:space="0" w:color="auto"/>
        <w:left w:val="none" w:sz="0" w:space="0" w:color="auto"/>
        <w:bottom w:val="none" w:sz="0" w:space="0" w:color="auto"/>
        <w:right w:val="none" w:sz="0" w:space="0" w:color="auto"/>
      </w:divBdr>
    </w:div>
    <w:div w:id="437872572">
      <w:bodyDiv w:val="1"/>
      <w:marLeft w:val="0"/>
      <w:marRight w:val="0"/>
      <w:marTop w:val="0"/>
      <w:marBottom w:val="0"/>
      <w:divBdr>
        <w:top w:val="none" w:sz="0" w:space="0" w:color="auto"/>
        <w:left w:val="none" w:sz="0" w:space="0" w:color="auto"/>
        <w:bottom w:val="none" w:sz="0" w:space="0" w:color="auto"/>
        <w:right w:val="none" w:sz="0" w:space="0" w:color="auto"/>
      </w:divBdr>
      <w:divsChild>
        <w:div w:id="154079047">
          <w:marLeft w:val="0"/>
          <w:marRight w:val="0"/>
          <w:marTop w:val="0"/>
          <w:marBottom w:val="0"/>
          <w:divBdr>
            <w:top w:val="none" w:sz="0" w:space="0" w:color="auto"/>
            <w:left w:val="none" w:sz="0" w:space="0" w:color="auto"/>
            <w:bottom w:val="none" w:sz="0" w:space="0" w:color="auto"/>
            <w:right w:val="none" w:sz="0" w:space="0" w:color="auto"/>
          </w:divBdr>
          <w:divsChild>
            <w:div w:id="1966692528">
              <w:marLeft w:val="0"/>
              <w:marRight w:val="0"/>
              <w:marTop w:val="0"/>
              <w:marBottom w:val="0"/>
              <w:divBdr>
                <w:top w:val="none" w:sz="0" w:space="0" w:color="auto"/>
                <w:left w:val="none" w:sz="0" w:space="0" w:color="auto"/>
                <w:bottom w:val="none" w:sz="0" w:space="0" w:color="auto"/>
                <w:right w:val="none" w:sz="0" w:space="0" w:color="auto"/>
              </w:divBdr>
              <w:divsChild>
                <w:div w:id="191723958">
                  <w:marLeft w:val="0"/>
                  <w:marRight w:val="0"/>
                  <w:marTop w:val="0"/>
                  <w:marBottom w:val="0"/>
                  <w:divBdr>
                    <w:top w:val="none" w:sz="0" w:space="0" w:color="auto"/>
                    <w:left w:val="none" w:sz="0" w:space="0" w:color="auto"/>
                    <w:bottom w:val="none" w:sz="0" w:space="0" w:color="auto"/>
                    <w:right w:val="none" w:sz="0" w:space="0" w:color="auto"/>
                  </w:divBdr>
                  <w:divsChild>
                    <w:div w:id="715928283">
                      <w:marLeft w:val="0"/>
                      <w:marRight w:val="0"/>
                      <w:marTop w:val="0"/>
                      <w:marBottom w:val="0"/>
                      <w:divBdr>
                        <w:top w:val="none" w:sz="0" w:space="0" w:color="auto"/>
                        <w:left w:val="none" w:sz="0" w:space="0" w:color="auto"/>
                        <w:bottom w:val="none" w:sz="0" w:space="0" w:color="auto"/>
                        <w:right w:val="none" w:sz="0" w:space="0" w:color="auto"/>
                      </w:divBdr>
                      <w:divsChild>
                        <w:div w:id="395663107">
                          <w:marLeft w:val="0"/>
                          <w:marRight w:val="0"/>
                          <w:marTop w:val="0"/>
                          <w:marBottom w:val="0"/>
                          <w:divBdr>
                            <w:top w:val="none" w:sz="0" w:space="0" w:color="auto"/>
                            <w:left w:val="none" w:sz="0" w:space="0" w:color="auto"/>
                            <w:bottom w:val="none" w:sz="0" w:space="0" w:color="auto"/>
                            <w:right w:val="none" w:sz="0" w:space="0" w:color="auto"/>
                          </w:divBdr>
                          <w:divsChild>
                            <w:div w:id="52856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041897">
      <w:bodyDiv w:val="1"/>
      <w:marLeft w:val="0"/>
      <w:marRight w:val="0"/>
      <w:marTop w:val="0"/>
      <w:marBottom w:val="0"/>
      <w:divBdr>
        <w:top w:val="none" w:sz="0" w:space="0" w:color="auto"/>
        <w:left w:val="none" w:sz="0" w:space="0" w:color="auto"/>
        <w:bottom w:val="none" w:sz="0" w:space="0" w:color="auto"/>
        <w:right w:val="none" w:sz="0" w:space="0" w:color="auto"/>
      </w:divBdr>
      <w:divsChild>
        <w:div w:id="1654217111">
          <w:marLeft w:val="0"/>
          <w:marRight w:val="0"/>
          <w:marTop w:val="0"/>
          <w:marBottom w:val="0"/>
          <w:divBdr>
            <w:top w:val="none" w:sz="0" w:space="0" w:color="auto"/>
            <w:left w:val="none" w:sz="0" w:space="0" w:color="auto"/>
            <w:bottom w:val="none" w:sz="0" w:space="0" w:color="auto"/>
            <w:right w:val="none" w:sz="0" w:space="0" w:color="auto"/>
          </w:divBdr>
          <w:divsChild>
            <w:div w:id="19698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67970">
      <w:bodyDiv w:val="1"/>
      <w:marLeft w:val="0"/>
      <w:marRight w:val="0"/>
      <w:marTop w:val="0"/>
      <w:marBottom w:val="0"/>
      <w:divBdr>
        <w:top w:val="none" w:sz="0" w:space="0" w:color="auto"/>
        <w:left w:val="none" w:sz="0" w:space="0" w:color="auto"/>
        <w:bottom w:val="none" w:sz="0" w:space="0" w:color="auto"/>
        <w:right w:val="none" w:sz="0" w:space="0" w:color="auto"/>
      </w:divBdr>
      <w:divsChild>
        <w:div w:id="1598979889">
          <w:marLeft w:val="0"/>
          <w:marRight w:val="0"/>
          <w:marTop w:val="0"/>
          <w:marBottom w:val="0"/>
          <w:divBdr>
            <w:top w:val="none" w:sz="0" w:space="0" w:color="auto"/>
            <w:left w:val="none" w:sz="0" w:space="0" w:color="auto"/>
            <w:bottom w:val="none" w:sz="0" w:space="0" w:color="auto"/>
            <w:right w:val="none" w:sz="0" w:space="0" w:color="auto"/>
          </w:divBdr>
          <w:divsChild>
            <w:div w:id="669332760">
              <w:marLeft w:val="0"/>
              <w:marRight w:val="0"/>
              <w:marTop w:val="0"/>
              <w:marBottom w:val="0"/>
              <w:divBdr>
                <w:top w:val="none" w:sz="0" w:space="0" w:color="auto"/>
                <w:left w:val="none" w:sz="0" w:space="0" w:color="auto"/>
                <w:bottom w:val="none" w:sz="0" w:space="0" w:color="auto"/>
                <w:right w:val="none" w:sz="0" w:space="0" w:color="auto"/>
              </w:divBdr>
              <w:divsChild>
                <w:div w:id="1173757845">
                  <w:marLeft w:val="0"/>
                  <w:marRight w:val="0"/>
                  <w:marTop w:val="0"/>
                  <w:marBottom w:val="0"/>
                  <w:divBdr>
                    <w:top w:val="none" w:sz="0" w:space="0" w:color="auto"/>
                    <w:left w:val="none" w:sz="0" w:space="0" w:color="auto"/>
                    <w:bottom w:val="none" w:sz="0" w:space="0" w:color="auto"/>
                    <w:right w:val="none" w:sz="0" w:space="0" w:color="auto"/>
                  </w:divBdr>
                  <w:divsChild>
                    <w:div w:id="574123154">
                      <w:marLeft w:val="0"/>
                      <w:marRight w:val="0"/>
                      <w:marTop w:val="0"/>
                      <w:marBottom w:val="0"/>
                      <w:divBdr>
                        <w:top w:val="none" w:sz="0" w:space="0" w:color="auto"/>
                        <w:left w:val="none" w:sz="0" w:space="0" w:color="auto"/>
                        <w:bottom w:val="none" w:sz="0" w:space="0" w:color="auto"/>
                        <w:right w:val="none" w:sz="0" w:space="0" w:color="auto"/>
                      </w:divBdr>
                      <w:divsChild>
                        <w:div w:id="2048487473">
                          <w:marLeft w:val="0"/>
                          <w:marRight w:val="0"/>
                          <w:marTop w:val="0"/>
                          <w:marBottom w:val="0"/>
                          <w:divBdr>
                            <w:top w:val="none" w:sz="0" w:space="0" w:color="auto"/>
                            <w:left w:val="none" w:sz="0" w:space="0" w:color="auto"/>
                            <w:bottom w:val="none" w:sz="0" w:space="0" w:color="auto"/>
                            <w:right w:val="none" w:sz="0" w:space="0" w:color="auto"/>
                          </w:divBdr>
                          <w:divsChild>
                            <w:div w:id="155781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565646">
      <w:bodyDiv w:val="1"/>
      <w:marLeft w:val="0"/>
      <w:marRight w:val="0"/>
      <w:marTop w:val="0"/>
      <w:marBottom w:val="0"/>
      <w:divBdr>
        <w:top w:val="none" w:sz="0" w:space="0" w:color="auto"/>
        <w:left w:val="none" w:sz="0" w:space="0" w:color="auto"/>
        <w:bottom w:val="none" w:sz="0" w:space="0" w:color="auto"/>
        <w:right w:val="none" w:sz="0" w:space="0" w:color="auto"/>
      </w:divBdr>
    </w:div>
    <w:div w:id="463159646">
      <w:bodyDiv w:val="1"/>
      <w:marLeft w:val="0"/>
      <w:marRight w:val="0"/>
      <w:marTop w:val="0"/>
      <w:marBottom w:val="0"/>
      <w:divBdr>
        <w:top w:val="none" w:sz="0" w:space="0" w:color="auto"/>
        <w:left w:val="none" w:sz="0" w:space="0" w:color="auto"/>
        <w:bottom w:val="none" w:sz="0" w:space="0" w:color="auto"/>
        <w:right w:val="none" w:sz="0" w:space="0" w:color="auto"/>
      </w:divBdr>
      <w:divsChild>
        <w:div w:id="395586932">
          <w:marLeft w:val="0"/>
          <w:marRight w:val="0"/>
          <w:marTop w:val="0"/>
          <w:marBottom w:val="0"/>
          <w:divBdr>
            <w:top w:val="none" w:sz="0" w:space="0" w:color="auto"/>
            <w:left w:val="none" w:sz="0" w:space="0" w:color="auto"/>
            <w:bottom w:val="none" w:sz="0" w:space="0" w:color="auto"/>
            <w:right w:val="none" w:sz="0" w:space="0" w:color="auto"/>
          </w:divBdr>
          <w:divsChild>
            <w:div w:id="304284603">
              <w:marLeft w:val="0"/>
              <w:marRight w:val="0"/>
              <w:marTop w:val="0"/>
              <w:marBottom w:val="0"/>
              <w:divBdr>
                <w:top w:val="none" w:sz="0" w:space="0" w:color="auto"/>
                <w:left w:val="none" w:sz="0" w:space="0" w:color="auto"/>
                <w:bottom w:val="none" w:sz="0" w:space="0" w:color="auto"/>
                <w:right w:val="none" w:sz="0" w:space="0" w:color="auto"/>
              </w:divBdr>
              <w:divsChild>
                <w:div w:id="1132406337">
                  <w:marLeft w:val="0"/>
                  <w:marRight w:val="0"/>
                  <w:marTop w:val="0"/>
                  <w:marBottom w:val="0"/>
                  <w:divBdr>
                    <w:top w:val="none" w:sz="0" w:space="0" w:color="auto"/>
                    <w:left w:val="none" w:sz="0" w:space="0" w:color="auto"/>
                    <w:bottom w:val="none" w:sz="0" w:space="0" w:color="auto"/>
                    <w:right w:val="none" w:sz="0" w:space="0" w:color="auto"/>
                  </w:divBdr>
                  <w:divsChild>
                    <w:div w:id="342980258">
                      <w:marLeft w:val="0"/>
                      <w:marRight w:val="0"/>
                      <w:marTop w:val="0"/>
                      <w:marBottom w:val="0"/>
                      <w:divBdr>
                        <w:top w:val="none" w:sz="0" w:space="0" w:color="auto"/>
                        <w:left w:val="none" w:sz="0" w:space="0" w:color="auto"/>
                        <w:bottom w:val="none" w:sz="0" w:space="0" w:color="auto"/>
                        <w:right w:val="none" w:sz="0" w:space="0" w:color="auto"/>
                      </w:divBdr>
                      <w:divsChild>
                        <w:div w:id="1842885666">
                          <w:marLeft w:val="0"/>
                          <w:marRight w:val="0"/>
                          <w:marTop w:val="0"/>
                          <w:marBottom w:val="0"/>
                          <w:divBdr>
                            <w:top w:val="none" w:sz="0" w:space="0" w:color="auto"/>
                            <w:left w:val="none" w:sz="0" w:space="0" w:color="auto"/>
                            <w:bottom w:val="none" w:sz="0" w:space="0" w:color="auto"/>
                            <w:right w:val="none" w:sz="0" w:space="0" w:color="auto"/>
                          </w:divBdr>
                          <w:divsChild>
                            <w:div w:id="1095398367">
                              <w:marLeft w:val="0"/>
                              <w:marRight w:val="0"/>
                              <w:marTop w:val="0"/>
                              <w:marBottom w:val="0"/>
                              <w:divBdr>
                                <w:top w:val="none" w:sz="0" w:space="0" w:color="auto"/>
                                <w:left w:val="none" w:sz="0" w:space="0" w:color="auto"/>
                                <w:bottom w:val="none" w:sz="0" w:space="0" w:color="auto"/>
                                <w:right w:val="none" w:sz="0" w:space="0" w:color="auto"/>
                              </w:divBdr>
                              <w:divsChild>
                                <w:div w:id="1596858669">
                                  <w:marLeft w:val="0"/>
                                  <w:marRight w:val="0"/>
                                  <w:marTop w:val="0"/>
                                  <w:marBottom w:val="0"/>
                                  <w:divBdr>
                                    <w:top w:val="none" w:sz="0" w:space="0" w:color="auto"/>
                                    <w:left w:val="none" w:sz="0" w:space="0" w:color="auto"/>
                                    <w:bottom w:val="none" w:sz="0" w:space="0" w:color="auto"/>
                                    <w:right w:val="none" w:sz="0" w:space="0" w:color="auto"/>
                                  </w:divBdr>
                                  <w:divsChild>
                                    <w:div w:id="732238001">
                                      <w:marLeft w:val="0"/>
                                      <w:marRight w:val="0"/>
                                      <w:marTop w:val="0"/>
                                      <w:marBottom w:val="0"/>
                                      <w:divBdr>
                                        <w:top w:val="none" w:sz="0" w:space="0" w:color="auto"/>
                                        <w:left w:val="none" w:sz="0" w:space="0" w:color="auto"/>
                                        <w:bottom w:val="none" w:sz="0" w:space="0" w:color="auto"/>
                                        <w:right w:val="none" w:sz="0" w:space="0" w:color="auto"/>
                                      </w:divBdr>
                                      <w:divsChild>
                                        <w:div w:id="291980274">
                                          <w:marLeft w:val="0"/>
                                          <w:marRight w:val="0"/>
                                          <w:marTop w:val="0"/>
                                          <w:marBottom w:val="0"/>
                                          <w:divBdr>
                                            <w:top w:val="none" w:sz="0" w:space="0" w:color="auto"/>
                                            <w:left w:val="none" w:sz="0" w:space="0" w:color="auto"/>
                                            <w:bottom w:val="none" w:sz="0" w:space="0" w:color="auto"/>
                                            <w:right w:val="none" w:sz="0" w:space="0" w:color="auto"/>
                                          </w:divBdr>
                                          <w:divsChild>
                                            <w:div w:id="39042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109595">
          <w:marLeft w:val="0"/>
          <w:marRight w:val="0"/>
          <w:marTop w:val="0"/>
          <w:marBottom w:val="0"/>
          <w:divBdr>
            <w:top w:val="none" w:sz="0" w:space="0" w:color="auto"/>
            <w:left w:val="none" w:sz="0" w:space="0" w:color="auto"/>
            <w:bottom w:val="none" w:sz="0" w:space="0" w:color="auto"/>
            <w:right w:val="none" w:sz="0" w:space="0" w:color="auto"/>
          </w:divBdr>
          <w:divsChild>
            <w:div w:id="819420054">
              <w:marLeft w:val="0"/>
              <w:marRight w:val="0"/>
              <w:marTop w:val="0"/>
              <w:marBottom w:val="0"/>
              <w:divBdr>
                <w:top w:val="none" w:sz="0" w:space="0" w:color="auto"/>
                <w:left w:val="none" w:sz="0" w:space="0" w:color="auto"/>
                <w:bottom w:val="none" w:sz="0" w:space="0" w:color="auto"/>
                <w:right w:val="none" w:sz="0" w:space="0" w:color="auto"/>
              </w:divBdr>
              <w:divsChild>
                <w:div w:id="1479961192">
                  <w:marLeft w:val="0"/>
                  <w:marRight w:val="0"/>
                  <w:marTop w:val="0"/>
                  <w:marBottom w:val="0"/>
                  <w:divBdr>
                    <w:top w:val="none" w:sz="0" w:space="0" w:color="auto"/>
                    <w:left w:val="none" w:sz="0" w:space="0" w:color="auto"/>
                    <w:bottom w:val="none" w:sz="0" w:space="0" w:color="auto"/>
                    <w:right w:val="none" w:sz="0" w:space="0" w:color="auto"/>
                  </w:divBdr>
                  <w:divsChild>
                    <w:div w:id="731001865">
                      <w:marLeft w:val="0"/>
                      <w:marRight w:val="0"/>
                      <w:marTop w:val="0"/>
                      <w:marBottom w:val="0"/>
                      <w:divBdr>
                        <w:top w:val="none" w:sz="0" w:space="0" w:color="auto"/>
                        <w:left w:val="none" w:sz="0" w:space="0" w:color="auto"/>
                        <w:bottom w:val="none" w:sz="0" w:space="0" w:color="auto"/>
                        <w:right w:val="none" w:sz="0" w:space="0" w:color="auto"/>
                      </w:divBdr>
                      <w:divsChild>
                        <w:div w:id="1213497070">
                          <w:marLeft w:val="0"/>
                          <w:marRight w:val="0"/>
                          <w:marTop w:val="0"/>
                          <w:marBottom w:val="0"/>
                          <w:divBdr>
                            <w:top w:val="none" w:sz="0" w:space="0" w:color="auto"/>
                            <w:left w:val="none" w:sz="0" w:space="0" w:color="auto"/>
                            <w:bottom w:val="none" w:sz="0" w:space="0" w:color="auto"/>
                            <w:right w:val="none" w:sz="0" w:space="0" w:color="auto"/>
                          </w:divBdr>
                          <w:divsChild>
                            <w:div w:id="1600869630">
                              <w:marLeft w:val="0"/>
                              <w:marRight w:val="0"/>
                              <w:marTop w:val="0"/>
                              <w:marBottom w:val="0"/>
                              <w:divBdr>
                                <w:top w:val="none" w:sz="0" w:space="0" w:color="auto"/>
                                <w:left w:val="none" w:sz="0" w:space="0" w:color="auto"/>
                                <w:bottom w:val="none" w:sz="0" w:space="0" w:color="auto"/>
                                <w:right w:val="none" w:sz="0" w:space="0" w:color="auto"/>
                              </w:divBdr>
                              <w:divsChild>
                                <w:div w:id="1471635462">
                                  <w:marLeft w:val="0"/>
                                  <w:marRight w:val="0"/>
                                  <w:marTop w:val="0"/>
                                  <w:marBottom w:val="0"/>
                                  <w:divBdr>
                                    <w:top w:val="none" w:sz="0" w:space="0" w:color="auto"/>
                                    <w:left w:val="none" w:sz="0" w:space="0" w:color="auto"/>
                                    <w:bottom w:val="none" w:sz="0" w:space="0" w:color="auto"/>
                                    <w:right w:val="none" w:sz="0" w:space="0" w:color="auto"/>
                                  </w:divBdr>
                                  <w:divsChild>
                                    <w:div w:id="1923416135">
                                      <w:marLeft w:val="0"/>
                                      <w:marRight w:val="0"/>
                                      <w:marTop w:val="0"/>
                                      <w:marBottom w:val="0"/>
                                      <w:divBdr>
                                        <w:top w:val="none" w:sz="0" w:space="0" w:color="auto"/>
                                        <w:left w:val="none" w:sz="0" w:space="0" w:color="auto"/>
                                        <w:bottom w:val="none" w:sz="0" w:space="0" w:color="auto"/>
                                        <w:right w:val="none" w:sz="0" w:space="0" w:color="auto"/>
                                      </w:divBdr>
                                      <w:divsChild>
                                        <w:div w:id="1239944996">
                                          <w:marLeft w:val="0"/>
                                          <w:marRight w:val="0"/>
                                          <w:marTop w:val="0"/>
                                          <w:marBottom w:val="0"/>
                                          <w:divBdr>
                                            <w:top w:val="none" w:sz="0" w:space="0" w:color="auto"/>
                                            <w:left w:val="none" w:sz="0" w:space="0" w:color="auto"/>
                                            <w:bottom w:val="none" w:sz="0" w:space="0" w:color="auto"/>
                                            <w:right w:val="none" w:sz="0" w:space="0" w:color="auto"/>
                                          </w:divBdr>
                                          <w:divsChild>
                                            <w:div w:id="12281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3127">
                                      <w:marLeft w:val="0"/>
                                      <w:marRight w:val="0"/>
                                      <w:marTop w:val="0"/>
                                      <w:marBottom w:val="0"/>
                                      <w:divBdr>
                                        <w:top w:val="none" w:sz="0" w:space="0" w:color="auto"/>
                                        <w:left w:val="none" w:sz="0" w:space="0" w:color="auto"/>
                                        <w:bottom w:val="none" w:sz="0" w:space="0" w:color="auto"/>
                                        <w:right w:val="none" w:sz="0" w:space="0" w:color="auto"/>
                                      </w:divBdr>
                                      <w:divsChild>
                                        <w:div w:id="1178082199">
                                          <w:marLeft w:val="0"/>
                                          <w:marRight w:val="0"/>
                                          <w:marTop w:val="0"/>
                                          <w:marBottom w:val="0"/>
                                          <w:divBdr>
                                            <w:top w:val="none" w:sz="0" w:space="0" w:color="auto"/>
                                            <w:left w:val="none" w:sz="0" w:space="0" w:color="auto"/>
                                            <w:bottom w:val="none" w:sz="0" w:space="0" w:color="auto"/>
                                            <w:right w:val="none" w:sz="0" w:space="0" w:color="auto"/>
                                          </w:divBdr>
                                          <w:divsChild>
                                            <w:div w:id="177738588">
                                              <w:marLeft w:val="0"/>
                                              <w:marRight w:val="0"/>
                                              <w:marTop w:val="0"/>
                                              <w:marBottom w:val="0"/>
                                              <w:divBdr>
                                                <w:top w:val="none" w:sz="0" w:space="0" w:color="auto"/>
                                                <w:left w:val="none" w:sz="0" w:space="0" w:color="auto"/>
                                                <w:bottom w:val="none" w:sz="0" w:space="0" w:color="auto"/>
                                                <w:right w:val="none" w:sz="0" w:space="0" w:color="auto"/>
                                              </w:divBdr>
                                              <w:divsChild>
                                                <w:div w:id="7802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3306056">
      <w:bodyDiv w:val="1"/>
      <w:marLeft w:val="0"/>
      <w:marRight w:val="0"/>
      <w:marTop w:val="0"/>
      <w:marBottom w:val="0"/>
      <w:divBdr>
        <w:top w:val="none" w:sz="0" w:space="0" w:color="auto"/>
        <w:left w:val="none" w:sz="0" w:space="0" w:color="auto"/>
        <w:bottom w:val="none" w:sz="0" w:space="0" w:color="auto"/>
        <w:right w:val="none" w:sz="0" w:space="0" w:color="auto"/>
      </w:divBdr>
    </w:div>
    <w:div w:id="466511268">
      <w:bodyDiv w:val="1"/>
      <w:marLeft w:val="0"/>
      <w:marRight w:val="0"/>
      <w:marTop w:val="0"/>
      <w:marBottom w:val="0"/>
      <w:divBdr>
        <w:top w:val="none" w:sz="0" w:space="0" w:color="auto"/>
        <w:left w:val="none" w:sz="0" w:space="0" w:color="auto"/>
        <w:bottom w:val="none" w:sz="0" w:space="0" w:color="auto"/>
        <w:right w:val="none" w:sz="0" w:space="0" w:color="auto"/>
      </w:divBdr>
    </w:div>
    <w:div w:id="476413368">
      <w:bodyDiv w:val="1"/>
      <w:marLeft w:val="0"/>
      <w:marRight w:val="0"/>
      <w:marTop w:val="0"/>
      <w:marBottom w:val="0"/>
      <w:divBdr>
        <w:top w:val="none" w:sz="0" w:space="0" w:color="auto"/>
        <w:left w:val="none" w:sz="0" w:space="0" w:color="auto"/>
        <w:bottom w:val="none" w:sz="0" w:space="0" w:color="auto"/>
        <w:right w:val="none" w:sz="0" w:space="0" w:color="auto"/>
      </w:divBdr>
    </w:div>
    <w:div w:id="491943985">
      <w:bodyDiv w:val="1"/>
      <w:marLeft w:val="0"/>
      <w:marRight w:val="0"/>
      <w:marTop w:val="0"/>
      <w:marBottom w:val="0"/>
      <w:divBdr>
        <w:top w:val="none" w:sz="0" w:space="0" w:color="auto"/>
        <w:left w:val="none" w:sz="0" w:space="0" w:color="auto"/>
        <w:bottom w:val="none" w:sz="0" w:space="0" w:color="auto"/>
        <w:right w:val="none" w:sz="0" w:space="0" w:color="auto"/>
      </w:divBdr>
    </w:div>
    <w:div w:id="498498650">
      <w:bodyDiv w:val="1"/>
      <w:marLeft w:val="0"/>
      <w:marRight w:val="0"/>
      <w:marTop w:val="0"/>
      <w:marBottom w:val="0"/>
      <w:divBdr>
        <w:top w:val="none" w:sz="0" w:space="0" w:color="auto"/>
        <w:left w:val="none" w:sz="0" w:space="0" w:color="auto"/>
        <w:bottom w:val="none" w:sz="0" w:space="0" w:color="auto"/>
        <w:right w:val="none" w:sz="0" w:space="0" w:color="auto"/>
      </w:divBdr>
    </w:div>
    <w:div w:id="507521937">
      <w:bodyDiv w:val="1"/>
      <w:marLeft w:val="0"/>
      <w:marRight w:val="0"/>
      <w:marTop w:val="0"/>
      <w:marBottom w:val="0"/>
      <w:divBdr>
        <w:top w:val="none" w:sz="0" w:space="0" w:color="auto"/>
        <w:left w:val="none" w:sz="0" w:space="0" w:color="auto"/>
        <w:bottom w:val="none" w:sz="0" w:space="0" w:color="auto"/>
        <w:right w:val="none" w:sz="0" w:space="0" w:color="auto"/>
      </w:divBdr>
    </w:div>
    <w:div w:id="513229916">
      <w:bodyDiv w:val="1"/>
      <w:marLeft w:val="0"/>
      <w:marRight w:val="0"/>
      <w:marTop w:val="0"/>
      <w:marBottom w:val="0"/>
      <w:divBdr>
        <w:top w:val="none" w:sz="0" w:space="0" w:color="auto"/>
        <w:left w:val="none" w:sz="0" w:space="0" w:color="auto"/>
        <w:bottom w:val="none" w:sz="0" w:space="0" w:color="auto"/>
        <w:right w:val="none" w:sz="0" w:space="0" w:color="auto"/>
      </w:divBdr>
    </w:div>
    <w:div w:id="514542992">
      <w:bodyDiv w:val="1"/>
      <w:marLeft w:val="0"/>
      <w:marRight w:val="0"/>
      <w:marTop w:val="0"/>
      <w:marBottom w:val="0"/>
      <w:divBdr>
        <w:top w:val="none" w:sz="0" w:space="0" w:color="auto"/>
        <w:left w:val="none" w:sz="0" w:space="0" w:color="auto"/>
        <w:bottom w:val="none" w:sz="0" w:space="0" w:color="auto"/>
        <w:right w:val="none" w:sz="0" w:space="0" w:color="auto"/>
      </w:divBdr>
    </w:div>
    <w:div w:id="527256312">
      <w:bodyDiv w:val="1"/>
      <w:marLeft w:val="0"/>
      <w:marRight w:val="0"/>
      <w:marTop w:val="0"/>
      <w:marBottom w:val="0"/>
      <w:divBdr>
        <w:top w:val="none" w:sz="0" w:space="0" w:color="auto"/>
        <w:left w:val="none" w:sz="0" w:space="0" w:color="auto"/>
        <w:bottom w:val="none" w:sz="0" w:space="0" w:color="auto"/>
        <w:right w:val="none" w:sz="0" w:space="0" w:color="auto"/>
      </w:divBdr>
      <w:divsChild>
        <w:div w:id="1019818412">
          <w:marLeft w:val="0"/>
          <w:marRight w:val="0"/>
          <w:marTop w:val="0"/>
          <w:marBottom w:val="0"/>
          <w:divBdr>
            <w:top w:val="none" w:sz="0" w:space="0" w:color="auto"/>
            <w:left w:val="none" w:sz="0" w:space="0" w:color="auto"/>
            <w:bottom w:val="none" w:sz="0" w:space="0" w:color="auto"/>
            <w:right w:val="none" w:sz="0" w:space="0" w:color="auto"/>
          </w:divBdr>
          <w:divsChild>
            <w:div w:id="2102142296">
              <w:marLeft w:val="0"/>
              <w:marRight w:val="0"/>
              <w:marTop w:val="0"/>
              <w:marBottom w:val="0"/>
              <w:divBdr>
                <w:top w:val="none" w:sz="0" w:space="0" w:color="auto"/>
                <w:left w:val="none" w:sz="0" w:space="0" w:color="auto"/>
                <w:bottom w:val="none" w:sz="0" w:space="0" w:color="auto"/>
                <w:right w:val="none" w:sz="0" w:space="0" w:color="auto"/>
              </w:divBdr>
              <w:divsChild>
                <w:div w:id="51079966">
                  <w:marLeft w:val="0"/>
                  <w:marRight w:val="0"/>
                  <w:marTop w:val="0"/>
                  <w:marBottom w:val="0"/>
                  <w:divBdr>
                    <w:top w:val="none" w:sz="0" w:space="0" w:color="auto"/>
                    <w:left w:val="none" w:sz="0" w:space="0" w:color="auto"/>
                    <w:bottom w:val="none" w:sz="0" w:space="0" w:color="auto"/>
                    <w:right w:val="none" w:sz="0" w:space="0" w:color="auto"/>
                  </w:divBdr>
                  <w:divsChild>
                    <w:div w:id="438725676">
                      <w:marLeft w:val="0"/>
                      <w:marRight w:val="0"/>
                      <w:marTop w:val="0"/>
                      <w:marBottom w:val="0"/>
                      <w:divBdr>
                        <w:top w:val="none" w:sz="0" w:space="0" w:color="auto"/>
                        <w:left w:val="none" w:sz="0" w:space="0" w:color="auto"/>
                        <w:bottom w:val="none" w:sz="0" w:space="0" w:color="auto"/>
                        <w:right w:val="none" w:sz="0" w:space="0" w:color="auto"/>
                      </w:divBdr>
                      <w:divsChild>
                        <w:div w:id="1305542710">
                          <w:marLeft w:val="0"/>
                          <w:marRight w:val="0"/>
                          <w:marTop w:val="0"/>
                          <w:marBottom w:val="0"/>
                          <w:divBdr>
                            <w:top w:val="none" w:sz="0" w:space="0" w:color="auto"/>
                            <w:left w:val="none" w:sz="0" w:space="0" w:color="auto"/>
                            <w:bottom w:val="none" w:sz="0" w:space="0" w:color="auto"/>
                            <w:right w:val="none" w:sz="0" w:space="0" w:color="auto"/>
                          </w:divBdr>
                          <w:divsChild>
                            <w:div w:id="82670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2757">
      <w:bodyDiv w:val="1"/>
      <w:marLeft w:val="0"/>
      <w:marRight w:val="0"/>
      <w:marTop w:val="0"/>
      <w:marBottom w:val="0"/>
      <w:divBdr>
        <w:top w:val="none" w:sz="0" w:space="0" w:color="auto"/>
        <w:left w:val="none" w:sz="0" w:space="0" w:color="auto"/>
        <w:bottom w:val="none" w:sz="0" w:space="0" w:color="auto"/>
        <w:right w:val="none" w:sz="0" w:space="0" w:color="auto"/>
      </w:divBdr>
      <w:divsChild>
        <w:div w:id="1391492259">
          <w:marLeft w:val="0"/>
          <w:marRight w:val="0"/>
          <w:marTop w:val="0"/>
          <w:marBottom w:val="0"/>
          <w:divBdr>
            <w:top w:val="none" w:sz="0" w:space="0" w:color="auto"/>
            <w:left w:val="none" w:sz="0" w:space="0" w:color="auto"/>
            <w:bottom w:val="none" w:sz="0" w:space="0" w:color="auto"/>
            <w:right w:val="none" w:sz="0" w:space="0" w:color="auto"/>
          </w:divBdr>
          <w:divsChild>
            <w:div w:id="1868833603">
              <w:marLeft w:val="0"/>
              <w:marRight w:val="0"/>
              <w:marTop w:val="0"/>
              <w:marBottom w:val="0"/>
              <w:divBdr>
                <w:top w:val="none" w:sz="0" w:space="0" w:color="auto"/>
                <w:left w:val="none" w:sz="0" w:space="0" w:color="auto"/>
                <w:bottom w:val="none" w:sz="0" w:space="0" w:color="auto"/>
                <w:right w:val="none" w:sz="0" w:space="0" w:color="auto"/>
              </w:divBdr>
              <w:divsChild>
                <w:div w:id="1170675720">
                  <w:marLeft w:val="0"/>
                  <w:marRight w:val="0"/>
                  <w:marTop w:val="0"/>
                  <w:marBottom w:val="0"/>
                  <w:divBdr>
                    <w:top w:val="none" w:sz="0" w:space="0" w:color="auto"/>
                    <w:left w:val="none" w:sz="0" w:space="0" w:color="auto"/>
                    <w:bottom w:val="none" w:sz="0" w:space="0" w:color="auto"/>
                    <w:right w:val="none" w:sz="0" w:space="0" w:color="auto"/>
                  </w:divBdr>
                  <w:divsChild>
                    <w:div w:id="1598174911">
                      <w:marLeft w:val="0"/>
                      <w:marRight w:val="0"/>
                      <w:marTop w:val="0"/>
                      <w:marBottom w:val="0"/>
                      <w:divBdr>
                        <w:top w:val="none" w:sz="0" w:space="0" w:color="auto"/>
                        <w:left w:val="none" w:sz="0" w:space="0" w:color="auto"/>
                        <w:bottom w:val="none" w:sz="0" w:space="0" w:color="auto"/>
                        <w:right w:val="none" w:sz="0" w:space="0" w:color="auto"/>
                      </w:divBdr>
                      <w:divsChild>
                        <w:div w:id="644547860">
                          <w:marLeft w:val="0"/>
                          <w:marRight w:val="0"/>
                          <w:marTop w:val="0"/>
                          <w:marBottom w:val="0"/>
                          <w:divBdr>
                            <w:top w:val="none" w:sz="0" w:space="0" w:color="auto"/>
                            <w:left w:val="none" w:sz="0" w:space="0" w:color="auto"/>
                            <w:bottom w:val="none" w:sz="0" w:space="0" w:color="auto"/>
                            <w:right w:val="none" w:sz="0" w:space="0" w:color="auto"/>
                          </w:divBdr>
                          <w:divsChild>
                            <w:div w:id="49476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766731">
      <w:bodyDiv w:val="1"/>
      <w:marLeft w:val="0"/>
      <w:marRight w:val="0"/>
      <w:marTop w:val="0"/>
      <w:marBottom w:val="0"/>
      <w:divBdr>
        <w:top w:val="none" w:sz="0" w:space="0" w:color="auto"/>
        <w:left w:val="none" w:sz="0" w:space="0" w:color="auto"/>
        <w:bottom w:val="none" w:sz="0" w:space="0" w:color="auto"/>
        <w:right w:val="none" w:sz="0" w:space="0" w:color="auto"/>
      </w:divBdr>
      <w:divsChild>
        <w:div w:id="23680694">
          <w:marLeft w:val="0"/>
          <w:marRight w:val="0"/>
          <w:marTop w:val="0"/>
          <w:marBottom w:val="0"/>
          <w:divBdr>
            <w:top w:val="none" w:sz="0" w:space="0" w:color="auto"/>
            <w:left w:val="none" w:sz="0" w:space="0" w:color="auto"/>
            <w:bottom w:val="none" w:sz="0" w:space="0" w:color="auto"/>
            <w:right w:val="none" w:sz="0" w:space="0" w:color="auto"/>
          </w:divBdr>
          <w:divsChild>
            <w:div w:id="1981500244">
              <w:marLeft w:val="0"/>
              <w:marRight w:val="0"/>
              <w:marTop w:val="0"/>
              <w:marBottom w:val="0"/>
              <w:divBdr>
                <w:top w:val="none" w:sz="0" w:space="0" w:color="auto"/>
                <w:left w:val="none" w:sz="0" w:space="0" w:color="auto"/>
                <w:bottom w:val="none" w:sz="0" w:space="0" w:color="auto"/>
                <w:right w:val="none" w:sz="0" w:space="0" w:color="auto"/>
              </w:divBdr>
              <w:divsChild>
                <w:div w:id="948663050">
                  <w:marLeft w:val="0"/>
                  <w:marRight w:val="0"/>
                  <w:marTop w:val="0"/>
                  <w:marBottom w:val="0"/>
                  <w:divBdr>
                    <w:top w:val="none" w:sz="0" w:space="0" w:color="auto"/>
                    <w:left w:val="none" w:sz="0" w:space="0" w:color="auto"/>
                    <w:bottom w:val="none" w:sz="0" w:space="0" w:color="auto"/>
                    <w:right w:val="none" w:sz="0" w:space="0" w:color="auto"/>
                  </w:divBdr>
                  <w:divsChild>
                    <w:div w:id="8609133">
                      <w:marLeft w:val="0"/>
                      <w:marRight w:val="0"/>
                      <w:marTop w:val="0"/>
                      <w:marBottom w:val="0"/>
                      <w:divBdr>
                        <w:top w:val="none" w:sz="0" w:space="0" w:color="auto"/>
                        <w:left w:val="none" w:sz="0" w:space="0" w:color="auto"/>
                        <w:bottom w:val="none" w:sz="0" w:space="0" w:color="auto"/>
                        <w:right w:val="none" w:sz="0" w:space="0" w:color="auto"/>
                      </w:divBdr>
                      <w:divsChild>
                        <w:div w:id="1091703422">
                          <w:marLeft w:val="0"/>
                          <w:marRight w:val="0"/>
                          <w:marTop w:val="0"/>
                          <w:marBottom w:val="0"/>
                          <w:divBdr>
                            <w:top w:val="none" w:sz="0" w:space="0" w:color="auto"/>
                            <w:left w:val="none" w:sz="0" w:space="0" w:color="auto"/>
                            <w:bottom w:val="none" w:sz="0" w:space="0" w:color="auto"/>
                            <w:right w:val="none" w:sz="0" w:space="0" w:color="auto"/>
                          </w:divBdr>
                          <w:divsChild>
                            <w:div w:id="52379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043142">
      <w:bodyDiv w:val="1"/>
      <w:marLeft w:val="0"/>
      <w:marRight w:val="0"/>
      <w:marTop w:val="0"/>
      <w:marBottom w:val="0"/>
      <w:divBdr>
        <w:top w:val="none" w:sz="0" w:space="0" w:color="auto"/>
        <w:left w:val="none" w:sz="0" w:space="0" w:color="auto"/>
        <w:bottom w:val="none" w:sz="0" w:space="0" w:color="auto"/>
        <w:right w:val="none" w:sz="0" w:space="0" w:color="auto"/>
      </w:divBdr>
    </w:div>
    <w:div w:id="588124136">
      <w:bodyDiv w:val="1"/>
      <w:marLeft w:val="0"/>
      <w:marRight w:val="0"/>
      <w:marTop w:val="0"/>
      <w:marBottom w:val="0"/>
      <w:divBdr>
        <w:top w:val="none" w:sz="0" w:space="0" w:color="auto"/>
        <w:left w:val="none" w:sz="0" w:space="0" w:color="auto"/>
        <w:bottom w:val="none" w:sz="0" w:space="0" w:color="auto"/>
        <w:right w:val="none" w:sz="0" w:space="0" w:color="auto"/>
      </w:divBdr>
    </w:div>
    <w:div w:id="589121914">
      <w:bodyDiv w:val="1"/>
      <w:marLeft w:val="0"/>
      <w:marRight w:val="0"/>
      <w:marTop w:val="0"/>
      <w:marBottom w:val="0"/>
      <w:divBdr>
        <w:top w:val="none" w:sz="0" w:space="0" w:color="auto"/>
        <w:left w:val="none" w:sz="0" w:space="0" w:color="auto"/>
        <w:bottom w:val="none" w:sz="0" w:space="0" w:color="auto"/>
        <w:right w:val="none" w:sz="0" w:space="0" w:color="auto"/>
      </w:divBdr>
    </w:div>
    <w:div w:id="597131029">
      <w:bodyDiv w:val="1"/>
      <w:marLeft w:val="0"/>
      <w:marRight w:val="0"/>
      <w:marTop w:val="0"/>
      <w:marBottom w:val="0"/>
      <w:divBdr>
        <w:top w:val="none" w:sz="0" w:space="0" w:color="auto"/>
        <w:left w:val="none" w:sz="0" w:space="0" w:color="auto"/>
        <w:bottom w:val="none" w:sz="0" w:space="0" w:color="auto"/>
        <w:right w:val="none" w:sz="0" w:space="0" w:color="auto"/>
      </w:divBdr>
      <w:divsChild>
        <w:div w:id="1910115256">
          <w:marLeft w:val="0"/>
          <w:marRight w:val="0"/>
          <w:marTop w:val="0"/>
          <w:marBottom w:val="0"/>
          <w:divBdr>
            <w:top w:val="none" w:sz="0" w:space="0" w:color="auto"/>
            <w:left w:val="none" w:sz="0" w:space="0" w:color="auto"/>
            <w:bottom w:val="none" w:sz="0" w:space="0" w:color="auto"/>
            <w:right w:val="none" w:sz="0" w:space="0" w:color="auto"/>
          </w:divBdr>
          <w:divsChild>
            <w:div w:id="2061663264">
              <w:marLeft w:val="0"/>
              <w:marRight w:val="0"/>
              <w:marTop w:val="0"/>
              <w:marBottom w:val="0"/>
              <w:divBdr>
                <w:top w:val="none" w:sz="0" w:space="0" w:color="auto"/>
                <w:left w:val="none" w:sz="0" w:space="0" w:color="auto"/>
                <w:bottom w:val="none" w:sz="0" w:space="0" w:color="auto"/>
                <w:right w:val="none" w:sz="0" w:space="0" w:color="auto"/>
              </w:divBdr>
              <w:divsChild>
                <w:div w:id="583221179">
                  <w:marLeft w:val="0"/>
                  <w:marRight w:val="0"/>
                  <w:marTop w:val="0"/>
                  <w:marBottom w:val="0"/>
                  <w:divBdr>
                    <w:top w:val="none" w:sz="0" w:space="0" w:color="auto"/>
                    <w:left w:val="none" w:sz="0" w:space="0" w:color="auto"/>
                    <w:bottom w:val="none" w:sz="0" w:space="0" w:color="auto"/>
                    <w:right w:val="none" w:sz="0" w:space="0" w:color="auto"/>
                  </w:divBdr>
                  <w:divsChild>
                    <w:div w:id="1516309646">
                      <w:marLeft w:val="0"/>
                      <w:marRight w:val="0"/>
                      <w:marTop w:val="0"/>
                      <w:marBottom w:val="0"/>
                      <w:divBdr>
                        <w:top w:val="none" w:sz="0" w:space="0" w:color="auto"/>
                        <w:left w:val="none" w:sz="0" w:space="0" w:color="auto"/>
                        <w:bottom w:val="none" w:sz="0" w:space="0" w:color="auto"/>
                        <w:right w:val="none" w:sz="0" w:space="0" w:color="auto"/>
                      </w:divBdr>
                      <w:divsChild>
                        <w:div w:id="2069110398">
                          <w:marLeft w:val="0"/>
                          <w:marRight w:val="0"/>
                          <w:marTop w:val="0"/>
                          <w:marBottom w:val="0"/>
                          <w:divBdr>
                            <w:top w:val="none" w:sz="0" w:space="0" w:color="auto"/>
                            <w:left w:val="none" w:sz="0" w:space="0" w:color="auto"/>
                            <w:bottom w:val="none" w:sz="0" w:space="0" w:color="auto"/>
                            <w:right w:val="none" w:sz="0" w:space="0" w:color="auto"/>
                          </w:divBdr>
                          <w:divsChild>
                            <w:div w:id="183213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395249">
      <w:bodyDiv w:val="1"/>
      <w:marLeft w:val="0"/>
      <w:marRight w:val="0"/>
      <w:marTop w:val="0"/>
      <w:marBottom w:val="0"/>
      <w:divBdr>
        <w:top w:val="none" w:sz="0" w:space="0" w:color="auto"/>
        <w:left w:val="none" w:sz="0" w:space="0" w:color="auto"/>
        <w:bottom w:val="none" w:sz="0" w:space="0" w:color="auto"/>
        <w:right w:val="none" w:sz="0" w:space="0" w:color="auto"/>
      </w:divBdr>
      <w:divsChild>
        <w:div w:id="1897009721">
          <w:marLeft w:val="0"/>
          <w:marRight w:val="0"/>
          <w:marTop w:val="0"/>
          <w:marBottom w:val="0"/>
          <w:divBdr>
            <w:top w:val="none" w:sz="0" w:space="0" w:color="auto"/>
            <w:left w:val="none" w:sz="0" w:space="0" w:color="auto"/>
            <w:bottom w:val="none" w:sz="0" w:space="0" w:color="auto"/>
            <w:right w:val="none" w:sz="0" w:space="0" w:color="auto"/>
          </w:divBdr>
          <w:divsChild>
            <w:div w:id="1443527061">
              <w:marLeft w:val="0"/>
              <w:marRight w:val="0"/>
              <w:marTop w:val="0"/>
              <w:marBottom w:val="0"/>
              <w:divBdr>
                <w:top w:val="none" w:sz="0" w:space="0" w:color="auto"/>
                <w:left w:val="none" w:sz="0" w:space="0" w:color="auto"/>
                <w:bottom w:val="none" w:sz="0" w:space="0" w:color="auto"/>
                <w:right w:val="none" w:sz="0" w:space="0" w:color="auto"/>
              </w:divBdr>
              <w:divsChild>
                <w:div w:id="1227449520">
                  <w:marLeft w:val="0"/>
                  <w:marRight w:val="0"/>
                  <w:marTop w:val="0"/>
                  <w:marBottom w:val="0"/>
                  <w:divBdr>
                    <w:top w:val="none" w:sz="0" w:space="0" w:color="auto"/>
                    <w:left w:val="none" w:sz="0" w:space="0" w:color="auto"/>
                    <w:bottom w:val="none" w:sz="0" w:space="0" w:color="auto"/>
                    <w:right w:val="none" w:sz="0" w:space="0" w:color="auto"/>
                  </w:divBdr>
                  <w:divsChild>
                    <w:div w:id="1893038027">
                      <w:marLeft w:val="0"/>
                      <w:marRight w:val="0"/>
                      <w:marTop w:val="0"/>
                      <w:marBottom w:val="0"/>
                      <w:divBdr>
                        <w:top w:val="none" w:sz="0" w:space="0" w:color="auto"/>
                        <w:left w:val="none" w:sz="0" w:space="0" w:color="auto"/>
                        <w:bottom w:val="none" w:sz="0" w:space="0" w:color="auto"/>
                        <w:right w:val="none" w:sz="0" w:space="0" w:color="auto"/>
                      </w:divBdr>
                      <w:divsChild>
                        <w:div w:id="944191728">
                          <w:marLeft w:val="0"/>
                          <w:marRight w:val="0"/>
                          <w:marTop w:val="0"/>
                          <w:marBottom w:val="0"/>
                          <w:divBdr>
                            <w:top w:val="none" w:sz="0" w:space="0" w:color="auto"/>
                            <w:left w:val="none" w:sz="0" w:space="0" w:color="auto"/>
                            <w:bottom w:val="none" w:sz="0" w:space="0" w:color="auto"/>
                            <w:right w:val="none" w:sz="0" w:space="0" w:color="auto"/>
                          </w:divBdr>
                          <w:divsChild>
                            <w:div w:id="169884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454280">
      <w:bodyDiv w:val="1"/>
      <w:marLeft w:val="0"/>
      <w:marRight w:val="0"/>
      <w:marTop w:val="0"/>
      <w:marBottom w:val="0"/>
      <w:divBdr>
        <w:top w:val="none" w:sz="0" w:space="0" w:color="auto"/>
        <w:left w:val="none" w:sz="0" w:space="0" w:color="auto"/>
        <w:bottom w:val="none" w:sz="0" w:space="0" w:color="auto"/>
        <w:right w:val="none" w:sz="0" w:space="0" w:color="auto"/>
      </w:divBdr>
      <w:divsChild>
        <w:div w:id="98525789">
          <w:marLeft w:val="0"/>
          <w:marRight w:val="0"/>
          <w:marTop w:val="0"/>
          <w:marBottom w:val="0"/>
          <w:divBdr>
            <w:top w:val="none" w:sz="0" w:space="0" w:color="auto"/>
            <w:left w:val="none" w:sz="0" w:space="0" w:color="auto"/>
            <w:bottom w:val="none" w:sz="0" w:space="0" w:color="auto"/>
            <w:right w:val="none" w:sz="0" w:space="0" w:color="auto"/>
          </w:divBdr>
          <w:divsChild>
            <w:div w:id="739448457">
              <w:marLeft w:val="0"/>
              <w:marRight w:val="0"/>
              <w:marTop w:val="0"/>
              <w:marBottom w:val="0"/>
              <w:divBdr>
                <w:top w:val="none" w:sz="0" w:space="0" w:color="auto"/>
                <w:left w:val="none" w:sz="0" w:space="0" w:color="auto"/>
                <w:bottom w:val="none" w:sz="0" w:space="0" w:color="auto"/>
                <w:right w:val="none" w:sz="0" w:space="0" w:color="auto"/>
              </w:divBdr>
              <w:divsChild>
                <w:div w:id="2111201014">
                  <w:marLeft w:val="0"/>
                  <w:marRight w:val="0"/>
                  <w:marTop w:val="0"/>
                  <w:marBottom w:val="0"/>
                  <w:divBdr>
                    <w:top w:val="none" w:sz="0" w:space="0" w:color="auto"/>
                    <w:left w:val="none" w:sz="0" w:space="0" w:color="auto"/>
                    <w:bottom w:val="none" w:sz="0" w:space="0" w:color="auto"/>
                    <w:right w:val="none" w:sz="0" w:space="0" w:color="auto"/>
                  </w:divBdr>
                  <w:divsChild>
                    <w:div w:id="2024284489">
                      <w:marLeft w:val="0"/>
                      <w:marRight w:val="0"/>
                      <w:marTop w:val="0"/>
                      <w:marBottom w:val="0"/>
                      <w:divBdr>
                        <w:top w:val="none" w:sz="0" w:space="0" w:color="auto"/>
                        <w:left w:val="none" w:sz="0" w:space="0" w:color="auto"/>
                        <w:bottom w:val="none" w:sz="0" w:space="0" w:color="auto"/>
                        <w:right w:val="none" w:sz="0" w:space="0" w:color="auto"/>
                      </w:divBdr>
                      <w:divsChild>
                        <w:div w:id="1863007002">
                          <w:marLeft w:val="0"/>
                          <w:marRight w:val="0"/>
                          <w:marTop w:val="0"/>
                          <w:marBottom w:val="0"/>
                          <w:divBdr>
                            <w:top w:val="none" w:sz="0" w:space="0" w:color="auto"/>
                            <w:left w:val="none" w:sz="0" w:space="0" w:color="auto"/>
                            <w:bottom w:val="none" w:sz="0" w:space="0" w:color="auto"/>
                            <w:right w:val="none" w:sz="0" w:space="0" w:color="auto"/>
                          </w:divBdr>
                          <w:divsChild>
                            <w:div w:id="179512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456411">
      <w:bodyDiv w:val="1"/>
      <w:marLeft w:val="0"/>
      <w:marRight w:val="0"/>
      <w:marTop w:val="0"/>
      <w:marBottom w:val="0"/>
      <w:divBdr>
        <w:top w:val="none" w:sz="0" w:space="0" w:color="auto"/>
        <w:left w:val="none" w:sz="0" w:space="0" w:color="auto"/>
        <w:bottom w:val="none" w:sz="0" w:space="0" w:color="auto"/>
        <w:right w:val="none" w:sz="0" w:space="0" w:color="auto"/>
      </w:divBdr>
    </w:div>
    <w:div w:id="675767678">
      <w:bodyDiv w:val="1"/>
      <w:marLeft w:val="0"/>
      <w:marRight w:val="0"/>
      <w:marTop w:val="0"/>
      <w:marBottom w:val="0"/>
      <w:divBdr>
        <w:top w:val="none" w:sz="0" w:space="0" w:color="auto"/>
        <w:left w:val="none" w:sz="0" w:space="0" w:color="auto"/>
        <w:bottom w:val="none" w:sz="0" w:space="0" w:color="auto"/>
        <w:right w:val="none" w:sz="0" w:space="0" w:color="auto"/>
      </w:divBdr>
    </w:div>
    <w:div w:id="681974032">
      <w:bodyDiv w:val="1"/>
      <w:marLeft w:val="0"/>
      <w:marRight w:val="0"/>
      <w:marTop w:val="0"/>
      <w:marBottom w:val="0"/>
      <w:divBdr>
        <w:top w:val="none" w:sz="0" w:space="0" w:color="auto"/>
        <w:left w:val="none" w:sz="0" w:space="0" w:color="auto"/>
        <w:bottom w:val="none" w:sz="0" w:space="0" w:color="auto"/>
        <w:right w:val="none" w:sz="0" w:space="0" w:color="auto"/>
      </w:divBdr>
      <w:divsChild>
        <w:div w:id="190656226">
          <w:marLeft w:val="0"/>
          <w:marRight w:val="0"/>
          <w:marTop w:val="0"/>
          <w:marBottom w:val="0"/>
          <w:divBdr>
            <w:top w:val="none" w:sz="0" w:space="0" w:color="auto"/>
            <w:left w:val="none" w:sz="0" w:space="0" w:color="auto"/>
            <w:bottom w:val="none" w:sz="0" w:space="0" w:color="auto"/>
            <w:right w:val="none" w:sz="0" w:space="0" w:color="auto"/>
          </w:divBdr>
          <w:divsChild>
            <w:div w:id="1185248211">
              <w:marLeft w:val="0"/>
              <w:marRight w:val="0"/>
              <w:marTop w:val="0"/>
              <w:marBottom w:val="0"/>
              <w:divBdr>
                <w:top w:val="none" w:sz="0" w:space="0" w:color="auto"/>
                <w:left w:val="none" w:sz="0" w:space="0" w:color="auto"/>
                <w:bottom w:val="none" w:sz="0" w:space="0" w:color="auto"/>
                <w:right w:val="none" w:sz="0" w:space="0" w:color="auto"/>
              </w:divBdr>
              <w:divsChild>
                <w:div w:id="1151288286">
                  <w:marLeft w:val="0"/>
                  <w:marRight w:val="0"/>
                  <w:marTop w:val="0"/>
                  <w:marBottom w:val="0"/>
                  <w:divBdr>
                    <w:top w:val="none" w:sz="0" w:space="0" w:color="auto"/>
                    <w:left w:val="none" w:sz="0" w:space="0" w:color="auto"/>
                    <w:bottom w:val="none" w:sz="0" w:space="0" w:color="auto"/>
                    <w:right w:val="none" w:sz="0" w:space="0" w:color="auto"/>
                  </w:divBdr>
                  <w:divsChild>
                    <w:div w:id="753087710">
                      <w:marLeft w:val="0"/>
                      <w:marRight w:val="0"/>
                      <w:marTop w:val="0"/>
                      <w:marBottom w:val="0"/>
                      <w:divBdr>
                        <w:top w:val="none" w:sz="0" w:space="0" w:color="auto"/>
                        <w:left w:val="none" w:sz="0" w:space="0" w:color="auto"/>
                        <w:bottom w:val="none" w:sz="0" w:space="0" w:color="auto"/>
                        <w:right w:val="none" w:sz="0" w:space="0" w:color="auto"/>
                      </w:divBdr>
                      <w:divsChild>
                        <w:div w:id="1771663746">
                          <w:marLeft w:val="0"/>
                          <w:marRight w:val="0"/>
                          <w:marTop w:val="0"/>
                          <w:marBottom w:val="0"/>
                          <w:divBdr>
                            <w:top w:val="none" w:sz="0" w:space="0" w:color="auto"/>
                            <w:left w:val="none" w:sz="0" w:space="0" w:color="auto"/>
                            <w:bottom w:val="none" w:sz="0" w:space="0" w:color="auto"/>
                            <w:right w:val="none" w:sz="0" w:space="0" w:color="auto"/>
                          </w:divBdr>
                          <w:divsChild>
                            <w:div w:id="62234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829043">
      <w:bodyDiv w:val="1"/>
      <w:marLeft w:val="0"/>
      <w:marRight w:val="0"/>
      <w:marTop w:val="0"/>
      <w:marBottom w:val="0"/>
      <w:divBdr>
        <w:top w:val="none" w:sz="0" w:space="0" w:color="auto"/>
        <w:left w:val="none" w:sz="0" w:space="0" w:color="auto"/>
        <w:bottom w:val="none" w:sz="0" w:space="0" w:color="auto"/>
        <w:right w:val="none" w:sz="0" w:space="0" w:color="auto"/>
      </w:divBdr>
      <w:divsChild>
        <w:div w:id="1165507756">
          <w:marLeft w:val="0"/>
          <w:marRight w:val="0"/>
          <w:marTop w:val="0"/>
          <w:marBottom w:val="0"/>
          <w:divBdr>
            <w:top w:val="none" w:sz="0" w:space="0" w:color="auto"/>
            <w:left w:val="none" w:sz="0" w:space="0" w:color="auto"/>
            <w:bottom w:val="none" w:sz="0" w:space="0" w:color="auto"/>
            <w:right w:val="none" w:sz="0" w:space="0" w:color="auto"/>
          </w:divBdr>
          <w:divsChild>
            <w:div w:id="1149638990">
              <w:marLeft w:val="0"/>
              <w:marRight w:val="0"/>
              <w:marTop w:val="0"/>
              <w:marBottom w:val="0"/>
              <w:divBdr>
                <w:top w:val="none" w:sz="0" w:space="0" w:color="auto"/>
                <w:left w:val="none" w:sz="0" w:space="0" w:color="auto"/>
                <w:bottom w:val="none" w:sz="0" w:space="0" w:color="auto"/>
                <w:right w:val="none" w:sz="0" w:space="0" w:color="auto"/>
              </w:divBdr>
              <w:divsChild>
                <w:div w:id="1364477959">
                  <w:marLeft w:val="0"/>
                  <w:marRight w:val="0"/>
                  <w:marTop w:val="0"/>
                  <w:marBottom w:val="0"/>
                  <w:divBdr>
                    <w:top w:val="none" w:sz="0" w:space="0" w:color="auto"/>
                    <w:left w:val="none" w:sz="0" w:space="0" w:color="auto"/>
                    <w:bottom w:val="none" w:sz="0" w:space="0" w:color="auto"/>
                    <w:right w:val="none" w:sz="0" w:space="0" w:color="auto"/>
                  </w:divBdr>
                  <w:divsChild>
                    <w:div w:id="1348562447">
                      <w:marLeft w:val="0"/>
                      <w:marRight w:val="0"/>
                      <w:marTop w:val="0"/>
                      <w:marBottom w:val="0"/>
                      <w:divBdr>
                        <w:top w:val="none" w:sz="0" w:space="0" w:color="auto"/>
                        <w:left w:val="none" w:sz="0" w:space="0" w:color="auto"/>
                        <w:bottom w:val="none" w:sz="0" w:space="0" w:color="auto"/>
                        <w:right w:val="none" w:sz="0" w:space="0" w:color="auto"/>
                      </w:divBdr>
                      <w:divsChild>
                        <w:div w:id="1046031502">
                          <w:marLeft w:val="0"/>
                          <w:marRight w:val="0"/>
                          <w:marTop w:val="0"/>
                          <w:marBottom w:val="0"/>
                          <w:divBdr>
                            <w:top w:val="none" w:sz="0" w:space="0" w:color="auto"/>
                            <w:left w:val="none" w:sz="0" w:space="0" w:color="auto"/>
                            <w:bottom w:val="none" w:sz="0" w:space="0" w:color="auto"/>
                            <w:right w:val="none" w:sz="0" w:space="0" w:color="auto"/>
                          </w:divBdr>
                          <w:divsChild>
                            <w:div w:id="105539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209226">
      <w:bodyDiv w:val="1"/>
      <w:marLeft w:val="0"/>
      <w:marRight w:val="0"/>
      <w:marTop w:val="0"/>
      <w:marBottom w:val="0"/>
      <w:divBdr>
        <w:top w:val="none" w:sz="0" w:space="0" w:color="auto"/>
        <w:left w:val="none" w:sz="0" w:space="0" w:color="auto"/>
        <w:bottom w:val="none" w:sz="0" w:space="0" w:color="auto"/>
        <w:right w:val="none" w:sz="0" w:space="0" w:color="auto"/>
      </w:divBdr>
    </w:div>
    <w:div w:id="692340007">
      <w:bodyDiv w:val="1"/>
      <w:marLeft w:val="0"/>
      <w:marRight w:val="0"/>
      <w:marTop w:val="0"/>
      <w:marBottom w:val="0"/>
      <w:divBdr>
        <w:top w:val="none" w:sz="0" w:space="0" w:color="auto"/>
        <w:left w:val="none" w:sz="0" w:space="0" w:color="auto"/>
        <w:bottom w:val="none" w:sz="0" w:space="0" w:color="auto"/>
        <w:right w:val="none" w:sz="0" w:space="0" w:color="auto"/>
      </w:divBdr>
    </w:div>
    <w:div w:id="710346873">
      <w:bodyDiv w:val="1"/>
      <w:marLeft w:val="0"/>
      <w:marRight w:val="0"/>
      <w:marTop w:val="0"/>
      <w:marBottom w:val="0"/>
      <w:divBdr>
        <w:top w:val="none" w:sz="0" w:space="0" w:color="auto"/>
        <w:left w:val="none" w:sz="0" w:space="0" w:color="auto"/>
        <w:bottom w:val="none" w:sz="0" w:space="0" w:color="auto"/>
        <w:right w:val="none" w:sz="0" w:space="0" w:color="auto"/>
      </w:divBdr>
    </w:div>
    <w:div w:id="731736600">
      <w:bodyDiv w:val="1"/>
      <w:marLeft w:val="0"/>
      <w:marRight w:val="0"/>
      <w:marTop w:val="0"/>
      <w:marBottom w:val="0"/>
      <w:divBdr>
        <w:top w:val="none" w:sz="0" w:space="0" w:color="auto"/>
        <w:left w:val="none" w:sz="0" w:space="0" w:color="auto"/>
        <w:bottom w:val="none" w:sz="0" w:space="0" w:color="auto"/>
        <w:right w:val="none" w:sz="0" w:space="0" w:color="auto"/>
      </w:divBdr>
    </w:div>
    <w:div w:id="748574493">
      <w:bodyDiv w:val="1"/>
      <w:marLeft w:val="0"/>
      <w:marRight w:val="0"/>
      <w:marTop w:val="0"/>
      <w:marBottom w:val="0"/>
      <w:divBdr>
        <w:top w:val="none" w:sz="0" w:space="0" w:color="auto"/>
        <w:left w:val="none" w:sz="0" w:space="0" w:color="auto"/>
        <w:bottom w:val="none" w:sz="0" w:space="0" w:color="auto"/>
        <w:right w:val="none" w:sz="0" w:space="0" w:color="auto"/>
      </w:divBdr>
      <w:divsChild>
        <w:div w:id="224993667">
          <w:marLeft w:val="0"/>
          <w:marRight w:val="0"/>
          <w:marTop w:val="0"/>
          <w:marBottom w:val="0"/>
          <w:divBdr>
            <w:top w:val="none" w:sz="0" w:space="0" w:color="auto"/>
            <w:left w:val="none" w:sz="0" w:space="0" w:color="auto"/>
            <w:bottom w:val="none" w:sz="0" w:space="0" w:color="auto"/>
            <w:right w:val="none" w:sz="0" w:space="0" w:color="auto"/>
          </w:divBdr>
          <w:divsChild>
            <w:div w:id="2103523732">
              <w:marLeft w:val="0"/>
              <w:marRight w:val="0"/>
              <w:marTop w:val="0"/>
              <w:marBottom w:val="0"/>
              <w:divBdr>
                <w:top w:val="none" w:sz="0" w:space="0" w:color="auto"/>
                <w:left w:val="none" w:sz="0" w:space="0" w:color="auto"/>
                <w:bottom w:val="none" w:sz="0" w:space="0" w:color="auto"/>
                <w:right w:val="none" w:sz="0" w:space="0" w:color="auto"/>
              </w:divBdr>
              <w:divsChild>
                <w:div w:id="2093812450">
                  <w:marLeft w:val="0"/>
                  <w:marRight w:val="0"/>
                  <w:marTop w:val="0"/>
                  <w:marBottom w:val="0"/>
                  <w:divBdr>
                    <w:top w:val="none" w:sz="0" w:space="0" w:color="auto"/>
                    <w:left w:val="none" w:sz="0" w:space="0" w:color="auto"/>
                    <w:bottom w:val="none" w:sz="0" w:space="0" w:color="auto"/>
                    <w:right w:val="none" w:sz="0" w:space="0" w:color="auto"/>
                  </w:divBdr>
                  <w:divsChild>
                    <w:div w:id="1727949237">
                      <w:marLeft w:val="0"/>
                      <w:marRight w:val="0"/>
                      <w:marTop w:val="0"/>
                      <w:marBottom w:val="0"/>
                      <w:divBdr>
                        <w:top w:val="none" w:sz="0" w:space="0" w:color="auto"/>
                        <w:left w:val="none" w:sz="0" w:space="0" w:color="auto"/>
                        <w:bottom w:val="none" w:sz="0" w:space="0" w:color="auto"/>
                        <w:right w:val="none" w:sz="0" w:space="0" w:color="auto"/>
                      </w:divBdr>
                      <w:divsChild>
                        <w:div w:id="475488839">
                          <w:marLeft w:val="0"/>
                          <w:marRight w:val="0"/>
                          <w:marTop w:val="0"/>
                          <w:marBottom w:val="0"/>
                          <w:divBdr>
                            <w:top w:val="none" w:sz="0" w:space="0" w:color="auto"/>
                            <w:left w:val="none" w:sz="0" w:space="0" w:color="auto"/>
                            <w:bottom w:val="none" w:sz="0" w:space="0" w:color="auto"/>
                            <w:right w:val="none" w:sz="0" w:space="0" w:color="auto"/>
                          </w:divBdr>
                          <w:divsChild>
                            <w:div w:id="98666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7363307">
      <w:bodyDiv w:val="1"/>
      <w:marLeft w:val="0"/>
      <w:marRight w:val="0"/>
      <w:marTop w:val="0"/>
      <w:marBottom w:val="0"/>
      <w:divBdr>
        <w:top w:val="none" w:sz="0" w:space="0" w:color="auto"/>
        <w:left w:val="none" w:sz="0" w:space="0" w:color="auto"/>
        <w:bottom w:val="none" w:sz="0" w:space="0" w:color="auto"/>
        <w:right w:val="none" w:sz="0" w:space="0" w:color="auto"/>
      </w:divBdr>
    </w:div>
    <w:div w:id="807211361">
      <w:bodyDiv w:val="1"/>
      <w:marLeft w:val="0"/>
      <w:marRight w:val="0"/>
      <w:marTop w:val="0"/>
      <w:marBottom w:val="0"/>
      <w:divBdr>
        <w:top w:val="none" w:sz="0" w:space="0" w:color="auto"/>
        <w:left w:val="none" w:sz="0" w:space="0" w:color="auto"/>
        <w:bottom w:val="none" w:sz="0" w:space="0" w:color="auto"/>
        <w:right w:val="none" w:sz="0" w:space="0" w:color="auto"/>
      </w:divBdr>
    </w:div>
    <w:div w:id="814224353">
      <w:bodyDiv w:val="1"/>
      <w:marLeft w:val="0"/>
      <w:marRight w:val="0"/>
      <w:marTop w:val="0"/>
      <w:marBottom w:val="0"/>
      <w:divBdr>
        <w:top w:val="none" w:sz="0" w:space="0" w:color="auto"/>
        <w:left w:val="none" w:sz="0" w:space="0" w:color="auto"/>
        <w:bottom w:val="none" w:sz="0" w:space="0" w:color="auto"/>
        <w:right w:val="none" w:sz="0" w:space="0" w:color="auto"/>
      </w:divBdr>
    </w:div>
    <w:div w:id="817264475">
      <w:bodyDiv w:val="1"/>
      <w:marLeft w:val="0"/>
      <w:marRight w:val="0"/>
      <w:marTop w:val="0"/>
      <w:marBottom w:val="0"/>
      <w:divBdr>
        <w:top w:val="none" w:sz="0" w:space="0" w:color="auto"/>
        <w:left w:val="none" w:sz="0" w:space="0" w:color="auto"/>
        <w:bottom w:val="none" w:sz="0" w:space="0" w:color="auto"/>
        <w:right w:val="none" w:sz="0" w:space="0" w:color="auto"/>
      </w:divBdr>
    </w:div>
    <w:div w:id="820076892">
      <w:bodyDiv w:val="1"/>
      <w:marLeft w:val="0"/>
      <w:marRight w:val="0"/>
      <w:marTop w:val="0"/>
      <w:marBottom w:val="0"/>
      <w:divBdr>
        <w:top w:val="none" w:sz="0" w:space="0" w:color="auto"/>
        <w:left w:val="none" w:sz="0" w:space="0" w:color="auto"/>
        <w:bottom w:val="none" w:sz="0" w:space="0" w:color="auto"/>
        <w:right w:val="none" w:sz="0" w:space="0" w:color="auto"/>
      </w:divBdr>
    </w:div>
    <w:div w:id="824005067">
      <w:bodyDiv w:val="1"/>
      <w:marLeft w:val="0"/>
      <w:marRight w:val="0"/>
      <w:marTop w:val="0"/>
      <w:marBottom w:val="0"/>
      <w:divBdr>
        <w:top w:val="none" w:sz="0" w:space="0" w:color="auto"/>
        <w:left w:val="none" w:sz="0" w:space="0" w:color="auto"/>
        <w:bottom w:val="none" w:sz="0" w:space="0" w:color="auto"/>
        <w:right w:val="none" w:sz="0" w:space="0" w:color="auto"/>
      </w:divBdr>
    </w:div>
    <w:div w:id="854030180">
      <w:bodyDiv w:val="1"/>
      <w:marLeft w:val="0"/>
      <w:marRight w:val="0"/>
      <w:marTop w:val="0"/>
      <w:marBottom w:val="0"/>
      <w:divBdr>
        <w:top w:val="none" w:sz="0" w:space="0" w:color="auto"/>
        <w:left w:val="none" w:sz="0" w:space="0" w:color="auto"/>
        <w:bottom w:val="none" w:sz="0" w:space="0" w:color="auto"/>
        <w:right w:val="none" w:sz="0" w:space="0" w:color="auto"/>
      </w:divBdr>
    </w:div>
    <w:div w:id="854921936">
      <w:bodyDiv w:val="1"/>
      <w:marLeft w:val="0"/>
      <w:marRight w:val="0"/>
      <w:marTop w:val="0"/>
      <w:marBottom w:val="0"/>
      <w:divBdr>
        <w:top w:val="none" w:sz="0" w:space="0" w:color="auto"/>
        <w:left w:val="none" w:sz="0" w:space="0" w:color="auto"/>
        <w:bottom w:val="none" w:sz="0" w:space="0" w:color="auto"/>
        <w:right w:val="none" w:sz="0" w:space="0" w:color="auto"/>
      </w:divBdr>
    </w:div>
    <w:div w:id="867067874">
      <w:bodyDiv w:val="1"/>
      <w:marLeft w:val="0"/>
      <w:marRight w:val="0"/>
      <w:marTop w:val="0"/>
      <w:marBottom w:val="0"/>
      <w:divBdr>
        <w:top w:val="none" w:sz="0" w:space="0" w:color="auto"/>
        <w:left w:val="none" w:sz="0" w:space="0" w:color="auto"/>
        <w:bottom w:val="none" w:sz="0" w:space="0" w:color="auto"/>
        <w:right w:val="none" w:sz="0" w:space="0" w:color="auto"/>
      </w:divBdr>
      <w:divsChild>
        <w:div w:id="1237132216">
          <w:marLeft w:val="0"/>
          <w:marRight w:val="0"/>
          <w:marTop w:val="0"/>
          <w:marBottom w:val="0"/>
          <w:divBdr>
            <w:top w:val="none" w:sz="0" w:space="0" w:color="auto"/>
            <w:left w:val="none" w:sz="0" w:space="0" w:color="auto"/>
            <w:bottom w:val="none" w:sz="0" w:space="0" w:color="auto"/>
            <w:right w:val="none" w:sz="0" w:space="0" w:color="auto"/>
          </w:divBdr>
          <w:divsChild>
            <w:div w:id="318196990">
              <w:marLeft w:val="0"/>
              <w:marRight w:val="0"/>
              <w:marTop w:val="0"/>
              <w:marBottom w:val="0"/>
              <w:divBdr>
                <w:top w:val="none" w:sz="0" w:space="0" w:color="auto"/>
                <w:left w:val="none" w:sz="0" w:space="0" w:color="auto"/>
                <w:bottom w:val="none" w:sz="0" w:space="0" w:color="auto"/>
                <w:right w:val="none" w:sz="0" w:space="0" w:color="auto"/>
              </w:divBdr>
              <w:divsChild>
                <w:div w:id="60057621">
                  <w:marLeft w:val="0"/>
                  <w:marRight w:val="0"/>
                  <w:marTop w:val="0"/>
                  <w:marBottom w:val="0"/>
                  <w:divBdr>
                    <w:top w:val="none" w:sz="0" w:space="0" w:color="auto"/>
                    <w:left w:val="none" w:sz="0" w:space="0" w:color="auto"/>
                    <w:bottom w:val="none" w:sz="0" w:space="0" w:color="auto"/>
                    <w:right w:val="none" w:sz="0" w:space="0" w:color="auto"/>
                  </w:divBdr>
                  <w:divsChild>
                    <w:div w:id="1680037087">
                      <w:marLeft w:val="0"/>
                      <w:marRight w:val="0"/>
                      <w:marTop w:val="0"/>
                      <w:marBottom w:val="0"/>
                      <w:divBdr>
                        <w:top w:val="none" w:sz="0" w:space="0" w:color="auto"/>
                        <w:left w:val="none" w:sz="0" w:space="0" w:color="auto"/>
                        <w:bottom w:val="none" w:sz="0" w:space="0" w:color="auto"/>
                        <w:right w:val="none" w:sz="0" w:space="0" w:color="auto"/>
                      </w:divBdr>
                      <w:divsChild>
                        <w:div w:id="637688944">
                          <w:marLeft w:val="0"/>
                          <w:marRight w:val="0"/>
                          <w:marTop w:val="0"/>
                          <w:marBottom w:val="0"/>
                          <w:divBdr>
                            <w:top w:val="none" w:sz="0" w:space="0" w:color="auto"/>
                            <w:left w:val="none" w:sz="0" w:space="0" w:color="auto"/>
                            <w:bottom w:val="none" w:sz="0" w:space="0" w:color="auto"/>
                            <w:right w:val="none" w:sz="0" w:space="0" w:color="auto"/>
                          </w:divBdr>
                          <w:divsChild>
                            <w:div w:id="1315405163">
                              <w:marLeft w:val="0"/>
                              <w:marRight w:val="0"/>
                              <w:marTop w:val="0"/>
                              <w:marBottom w:val="0"/>
                              <w:divBdr>
                                <w:top w:val="none" w:sz="0" w:space="0" w:color="auto"/>
                                <w:left w:val="none" w:sz="0" w:space="0" w:color="auto"/>
                                <w:bottom w:val="none" w:sz="0" w:space="0" w:color="auto"/>
                                <w:right w:val="none" w:sz="0" w:space="0" w:color="auto"/>
                              </w:divBdr>
                              <w:divsChild>
                                <w:div w:id="2130010578">
                                  <w:marLeft w:val="0"/>
                                  <w:marRight w:val="0"/>
                                  <w:marTop w:val="0"/>
                                  <w:marBottom w:val="0"/>
                                  <w:divBdr>
                                    <w:top w:val="none" w:sz="0" w:space="0" w:color="auto"/>
                                    <w:left w:val="none" w:sz="0" w:space="0" w:color="auto"/>
                                    <w:bottom w:val="none" w:sz="0" w:space="0" w:color="auto"/>
                                    <w:right w:val="none" w:sz="0" w:space="0" w:color="auto"/>
                                  </w:divBdr>
                                  <w:divsChild>
                                    <w:div w:id="1607495444">
                                      <w:marLeft w:val="0"/>
                                      <w:marRight w:val="0"/>
                                      <w:marTop w:val="0"/>
                                      <w:marBottom w:val="0"/>
                                      <w:divBdr>
                                        <w:top w:val="none" w:sz="0" w:space="0" w:color="auto"/>
                                        <w:left w:val="none" w:sz="0" w:space="0" w:color="auto"/>
                                        <w:bottom w:val="none" w:sz="0" w:space="0" w:color="auto"/>
                                        <w:right w:val="none" w:sz="0" w:space="0" w:color="auto"/>
                                      </w:divBdr>
                                      <w:divsChild>
                                        <w:div w:id="1718965730">
                                          <w:marLeft w:val="0"/>
                                          <w:marRight w:val="0"/>
                                          <w:marTop w:val="0"/>
                                          <w:marBottom w:val="0"/>
                                          <w:divBdr>
                                            <w:top w:val="none" w:sz="0" w:space="0" w:color="auto"/>
                                            <w:left w:val="none" w:sz="0" w:space="0" w:color="auto"/>
                                            <w:bottom w:val="none" w:sz="0" w:space="0" w:color="auto"/>
                                            <w:right w:val="none" w:sz="0" w:space="0" w:color="auto"/>
                                          </w:divBdr>
                                          <w:divsChild>
                                            <w:div w:id="2291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799321">
          <w:marLeft w:val="0"/>
          <w:marRight w:val="0"/>
          <w:marTop w:val="0"/>
          <w:marBottom w:val="0"/>
          <w:divBdr>
            <w:top w:val="none" w:sz="0" w:space="0" w:color="auto"/>
            <w:left w:val="none" w:sz="0" w:space="0" w:color="auto"/>
            <w:bottom w:val="none" w:sz="0" w:space="0" w:color="auto"/>
            <w:right w:val="none" w:sz="0" w:space="0" w:color="auto"/>
          </w:divBdr>
          <w:divsChild>
            <w:div w:id="693919415">
              <w:marLeft w:val="0"/>
              <w:marRight w:val="0"/>
              <w:marTop w:val="0"/>
              <w:marBottom w:val="0"/>
              <w:divBdr>
                <w:top w:val="none" w:sz="0" w:space="0" w:color="auto"/>
                <w:left w:val="none" w:sz="0" w:space="0" w:color="auto"/>
                <w:bottom w:val="none" w:sz="0" w:space="0" w:color="auto"/>
                <w:right w:val="none" w:sz="0" w:space="0" w:color="auto"/>
              </w:divBdr>
              <w:divsChild>
                <w:div w:id="1080904517">
                  <w:marLeft w:val="0"/>
                  <w:marRight w:val="0"/>
                  <w:marTop w:val="0"/>
                  <w:marBottom w:val="0"/>
                  <w:divBdr>
                    <w:top w:val="none" w:sz="0" w:space="0" w:color="auto"/>
                    <w:left w:val="none" w:sz="0" w:space="0" w:color="auto"/>
                    <w:bottom w:val="none" w:sz="0" w:space="0" w:color="auto"/>
                    <w:right w:val="none" w:sz="0" w:space="0" w:color="auto"/>
                  </w:divBdr>
                  <w:divsChild>
                    <w:div w:id="419638273">
                      <w:marLeft w:val="0"/>
                      <w:marRight w:val="0"/>
                      <w:marTop w:val="0"/>
                      <w:marBottom w:val="0"/>
                      <w:divBdr>
                        <w:top w:val="none" w:sz="0" w:space="0" w:color="auto"/>
                        <w:left w:val="none" w:sz="0" w:space="0" w:color="auto"/>
                        <w:bottom w:val="none" w:sz="0" w:space="0" w:color="auto"/>
                        <w:right w:val="none" w:sz="0" w:space="0" w:color="auto"/>
                      </w:divBdr>
                      <w:divsChild>
                        <w:div w:id="257101515">
                          <w:marLeft w:val="0"/>
                          <w:marRight w:val="0"/>
                          <w:marTop w:val="0"/>
                          <w:marBottom w:val="0"/>
                          <w:divBdr>
                            <w:top w:val="none" w:sz="0" w:space="0" w:color="auto"/>
                            <w:left w:val="none" w:sz="0" w:space="0" w:color="auto"/>
                            <w:bottom w:val="none" w:sz="0" w:space="0" w:color="auto"/>
                            <w:right w:val="none" w:sz="0" w:space="0" w:color="auto"/>
                          </w:divBdr>
                          <w:divsChild>
                            <w:div w:id="774785717">
                              <w:marLeft w:val="0"/>
                              <w:marRight w:val="0"/>
                              <w:marTop w:val="0"/>
                              <w:marBottom w:val="0"/>
                              <w:divBdr>
                                <w:top w:val="none" w:sz="0" w:space="0" w:color="auto"/>
                                <w:left w:val="none" w:sz="0" w:space="0" w:color="auto"/>
                                <w:bottom w:val="none" w:sz="0" w:space="0" w:color="auto"/>
                                <w:right w:val="none" w:sz="0" w:space="0" w:color="auto"/>
                              </w:divBdr>
                              <w:divsChild>
                                <w:div w:id="1067261872">
                                  <w:marLeft w:val="0"/>
                                  <w:marRight w:val="0"/>
                                  <w:marTop w:val="0"/>
                                  <w:marBottom w:val="0"/>
                                  <w:divBdr>
                                    <w:top w:val="none" w:sz="0" w:space="0" w:color="auto"/>
                                    <w:left w:val="none" w:sz="0" w:space="0" w:color="auto"/>
                                    <w:bottom w:val="none" w:sz="0" w:space="0" w:color="auto"/>
                                    <w:right w:val="none" w:sz="0" w:space="0" w:color="auto"/>
                                  </w:divBdr>
                                  <w:divsChild>
                                    <w:div w:id="1800225407">
                                      <w:marLeft w:val="0"/>
                                      <w:marRight w:val="0"/>
                                      <w:marTop w:val="0"/>
                                      <w:marBottom w:val="0"/>
                                      <w:divBdr>
                                        <w:top w:val="none" w:sz="0" w:space="0" w:color="auto"/>
                                        <w:left w:val="none" w:sz="0" w:space="0" w:color="auto"/>
                                        <w:bottom w:val="none" w:sz="0" w:space="0" w:color="auto"/>
                                        <w:right w:val="none" w:sz="0" w:space="0" w:color="auto"/>
                                      </w:divBdr>
                                      <w:divsChild>
                                        <w:div w:id="200628016">
                                          <w:marLeft w:val="0"/>
                                          <w:marRight w:val="0"/>
                                          <w:marTop w:val="0"/>
                                          <w:marBottom w:val="0"/>
                                          <w:divBdr>
                                            <w:top w:val="none" w:sz="0" w:space="0" w:color="auto"/>
                                            <w:left w:val="none" w:sz="0" w:space="0" w:color="auto"/>
                                            <w:bottom w:val="none" w:sz="0" w:space="0" w:color="auto"/>
                                            <w:right w:val="none" w:sz="0" w:space="0" w:color="auto"/>
                                          </w:divBdr>
                                          <w:divsChild>
                                            <w:div w:id="176850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623480">
                                      <w:marLeft w:val="0"/>
                                      <w:marRight w:val="0"/>
                                      <w:marTop w:val="0"/>
                                      <w:marBottom w:val="0"/>
                                      <w:divBdr>
                                        <w:top w:val="none" w:sz="0" w:space="0" w:color="auto"/>
                                        <w:left w:val="none" w:sz="0" w:space="0" w:color="auto"/>
                                        <w:bottom w:val="none" w:sz="0" w:space="0" w:color="auto"/>
                                        <w:right w:val="none" w:sz="0" w:space="0" w:color="auto"/>
                                      </w:divBdr>
                                      <w:divsChild>
                                        <w:div w:id="1905487794">
                                          <w:marLeft w:val="0"/>
                                          <w:marRight w:val="0"/>
                                          <w:marTop w:val="0"/>
                                          <w:marBottom w:val="0"/>
                                          <w:divBdr>
                                            <w:top w:val="none" w:sz="0" w:space="0" w:color="auto"/>
                                            <w:left w:val="none" w:sz="0" w:space="0" w:color="auto"/>
                                            <w:bottom w:val="none" w:sz="0" w:space="0" w:color="auto"/>
                                            <w:right w:val="none" w:sz="0" w:space="0" w:color="auto"/>
                                          </w:divBdr>
                                          <w:divsChild>
                                            <w:div w:id="2076777237">
                                              <w:marLeft w:val="0"/>
                                              <w:marRight w:val="0"/>
                                              <w:marTop w:val="0"/>
                                              <w:marBottom w:val="0"/>
                                              <w:divBdr>
                                                <w:top w:val="none" w:sz="0" w:space="0" w:color="auto"/>
                                                <w:left w:val="none" w:sz="0" w:space="0" w:color="auto"/>
                                                <w:bottom w:val="none" w:sz="0" w:space="0" w:color="auto"/>
                                                <w:right w:val="none" w:sz="0" w:space="0" w:color="auto"/>
                                              </w:divBdr>
                                              <w:divsChild>
                                                <w:div w:id="39682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9729785">
      <w:bodyDiv w:val="1"/>
      <w:marLeft w:val="0"/>
      <w:marRight w:val="0"/>
      <w:marTop w:val="0"/>
      <w:marBottom w:val="0"/>
      <w:divBdr>
        <w:top w:val="none" w:sz="0" w:space="0" w:color="auto"/>
        <w:left w:val="none" w:sz="0" w:space="0" w:color="auto"/>
        <w:bottom w:val="none" w:sz="0" w:space="0" w:color="auto"/>
        <w:right w:val="none" w:sz="0" w:space="0" w:color="auto"/>
      </w:divBdr>
    </w:div>
    <w:div w:id="891506407">
      <w:bodyDiv w:val="1"/>
      <w:marLeft w:val="0"/>
      <w:marRight w:val="0"/>
      <w:marTop w:val="0"/>
      <w:marBottom w:val="0"/>
      <w:divBdr>
        <w:top w:val="none" w:sz="0" w:space="0" w:color="auto"/>
        <w:left w:val="none" w:sz="0" w:space="0" w:color="auto"/>
        <w:bottom w:val="none" w:sz="0" w:space="0" w:color="auto"/>
        <w:right w:val="none" w:sz="0" w:space="0" w:color="auto"/>
      </w:divBdr>
      <w:divsChild>
        <w:div w:id="513038120">
          <w:marLeft w:val="0"/>
          <w:marRight w:val="0"/>
          <w:marTop w:val="0"/>
          <w:marBottom w:val="0"/>
          <w:divBdr>
            <w:top w:val="none" w:sz="0" w:space="0" w:color="auto"/>
            <w:left w:val="none" w:sz="0" w:space="0" w:color="auto"/>
            <w:bottom w:val="none" w:sz="0" w:space="0" w:color="auto"/>
            <w:right w:val="none" w:sz="0" w:space="0" w:color="auto"/>
          </w:divBdr>
          <w:divsChild>
            <w:div w:id="118375046">
              <w:marLeft w:val="0"/>
              <w:marRight w:val="0"/>
              <w:marTop w:val="0"/>
              <w:marBottom w:val="0"/>
              <w:divBdr>
                <w:top w:val="none" w:sz="0" w:space="0" w:color="auto"/>
                <w:left w:val="none" w:sz="0" w:space="0" w:color="auto"/>
                <w:bottom w:val="none" w:sz="0" w:space="0" w:color="auto"/>
                <w:right w:val="none" w:sz="0" w:space="0" w:color="auto"/>
              </w:divBdr>
              <w:divsChild>
                <w:div w:id="1160460399">
                  <w:marLeft w:val="0"/>
                  <w:marRight w:val="0"/>
                  <w:marTop w:val="0"/>
                  <w:marBottom w:val="0"/>
                  <w:divBdr>
                    <w:top w:val="none" w:sz="0" w:space="0" w:color="auto"/>
                    <w:left w:val="none" w:sz="0" w:space="0" w:color="auto"/>
                    <w:bottom w:val="none" w:sz="0" w:space="0" w:color="auto"/>
                    <w:right w:val="none" w:sz="0" w:space="0" w:color="auto"/>
                  </w:divBdr>
                  <w:divsChild>
                    <w:div w:id="712194581">
                      <w:marLeft w:val="0"/>
                      <w:marRight w:val="0"/>
                      <w:marTop w:val="0"/>
                      <w:marBottom w:val="0"/>
                      <w:divBdr>
                        <w:top w:val="none" w:sz="0" w:space="0" w:color="auto"/>
                        <w:left w:val="none" w:sz="0" w:space="0" w:color="auto"/>
                        <w:bottom w:val="none" w:sz="0" w:space="0" w:color="auto"/>
                        <w:right w:val="none" w:sz="0" w:space="0" w:color="auto"/>
                      </w:divBdr>
                      <w:divsChild>
                        <w:div w:id="2000033588">
                          <w:marLeft w:val="0"/>
                          <w:marRight w:val="0"/>
                          <w:marTop w:val="0"/>
                          <w:marBottom w:val="0"/>
                          <w:divBdr>
                            <w:top w:val="none" w:sz="0" w:space="0" w:color="auto"/>
                            <w:left w:val="none" w:sz="0" w:space="0" w:color="auto"/>
                            <w:bottom w:val="none" w:sz="0" w:space="0" w:color="auto"/>
                            <w:right w:val="none" w:sz="0" w:space="0" w:color="auto"/>
                          </w:divBdr>
                          <w:divsChild>
                            <w:div w:id="27991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933135">
      <w:bodyDiv w:val="1"/>
      <w:marLeft w:val="0"/>
      <w:marRight w:val="0"/>
      <w:marTop w:val="0"/>
      <w:marBottom w:val="0"/>
      <w:divBdr>
        <w:top w:val="none" w:sz="0" w:space="0" w:color="auto"/>
        <w:left w:val="none" w:sz="0" w:space="0" w:color="auto"/>
        <w:bottom w:val="none" w:sz="0" w:space="0" w:color="auto"/>
        <w:right w:val="none" w:sz="0" w:space="0" w:color="auto"/>
      </w:divBdr>
    </w:div>
    <w:div w:id="896354361">
      <w:bodyDiv w:val="1"/>
      <w:marLeft w:val="0"/>
      <w:marRight w:val="0"/>
      <w:marTop w:val="0"/>
      <w:marBottom w:val="0"/>
      <w:divBdr>
        <w:top w:val="none" w:sz="0" w:space="0" w:color="auto"/>
        <w:left w:val="none" w:sz="0" w:space="0" w:color="auto"/>
        <w:bottom w:val="none" w:sz="0" w:space="0" w:color="auto"/>
        <w:right w:val="none" w:sz="0" w:space="0" w:color="auto"/>
      </w:divBdr>
    </w:div>
    <w:div w:id="935092072">
      <w:bodyDiv w:val="1"/>
      <w:marLeft w:val="0"/>
      <w:marRight w:val="0"/>
      <w:marTop w:val="0"/>
      <w:marBottom w:val="0"/>
      <w:divBdr>
        <w:top w:val="none" w:sz="0" w:space="0" w:color="auto"/>
        <w:left w:val="none" w:sz="0" w:space="0" w:color="auto"/>
        <w:bottom w:val="none" w:sz="0" w:space="0" w:color="auto"/>
        <w:right w:val="none" w:sz="0" w:space="0" w:color="auto"/>
      </w:divBdr>
    </w:div>
    <w:div w:id="937567259">
      <w:bodyDiv w:val="1"/>
      <w:marLeft w:val="0"/>
      <w:marRight w:val="0"/>
      <w:marTop w:val="0"/>
      <w:marBottom w:val="0"/>
      <w:divBdr>
        <w:top w:val="none" w:sz="0" w:space="0" w:color="auto"/>
        <w:left w:val="none" w:sz="0" w:space="0" w:color="auto"/>
        <w:bottom w:val="none" w:sz="0" w:space="0" w:color="auto"/>
        <w:right w:val="none" w:sz="0" w:space="0" w:color="auto"/>
      </w:divBdr>
    </w:div>
    <w:div w:id="938945654">
      <w:bodyDiv w:val="1"/>
      <w:marLeft w:val="0"/>
      <w:marRight w:val="0"/>
      <w:marTop w:val="0"/>
      <w:marBottom w:val="0"/>
      <w:divBdr>
        <w:top w:val="none" w:sz="0" w:space="0" w:color="auto"/>
        <w:left w:val="none" w:sz="0" w:space="0" w:color="auto"/>
        <w:bottom w:val="none" w:sz="0" w:space="0" w:color="auto"/>
        <w:right w:val="none" w:sz="0" w:space="0" w:color="auto"/>
      </w:divBdr>
    </w:div>
    <w:div w:id="956790992">
      <w:bodyDiv w:val="1"/>
      <w:marLeft w:val="0"/>
      <w:marRight w:val="0"/>
      <w:marTop w:val="0"/>
      <w:marBottom w:val="0"/>
      <w:divBdr>
        <w:top w:val="none" w:sz="0" w:space="0" w:color="auto"/>
        <w:left w:val="none" w:sz="0" w:space="0" w:color="auto"/>
        <w:bottom w:val="none" w:sz="0" w:space="0" w:color="auto"/>
        <w:right w:val="none" w:sz="0" w:space="0" w:color="auto"/>
      </w:divBdr>
    </w:div>
    <w:div w:id="972832725">
      <w:bodyDiv w:val="1"/>
      <w:marLeft w:val="0"/>
      <w:marRight w:val="0"/>
      <w:marTop w:val="0"/>
      <w:marBottom w:val="0"/>
      <w:divBdr>
        <w:top w:val="none" w:sz="0" w:space="0" w:color="auto"/>
        <w:left w:val="none" w:sz="0" w:space="0" w:color="auto"/>
        <w:bottom w:val="none" w:sz="0" w:space="0" w:color="auto"/>
        <w:right w:val="none" w:sz="0" w:space="0" w:color="auto"/>
      </w:divBdr>
    </w:div>
    <w:div w:id="974456128">
      <w:bodyDiv w:val="1"/>
      <w:marLeft w:val="0"/>
      <w:marRight w:val="0"/>
      <w:marTop w:val="0"/>
      <w:marBottom w:val="0"/>
      <w:divBdr>
        <w:top w:val="none" w:sz="0" w:space="0" w:color="auto"/>
        <w:left w:val="none" w:sz="0" w:space="0" w:color="auto"/>
        <w:bottom w:val="none" w:sz="0" w:space="0" w:color="auto"/>
        <w:right w:val="none" w:sz="0" w:space="0" w:color="auto"/>
      </w:divBdr>
    </w:div>
    <w:div w:id="981422004">
      <w:bodyDiv w:val="1"/>
      <w:marLeft w:val="0"/>
      <w:marRight w:val="0"/>
      <w:marTop w:val="0"/>
      <w:marBottom w:val="0"/>
      <w:divBdr>
        <w:top w:val="none" w:sz="0" w:space="0" w:color="auto"/>
        <w:left w:val="none" w:sz="0" w:space="0" w:color="auto"/>
        <w:bottom w:val="none" w:sz="0" w:space="0" w:color="auto"/>
        <w:right w:val="none" w:sz="0" w:space="0" w:color="auto"/>
      </w:divBdr>
    </w:div>
    <w:div w:id="986014297">
      <w:bodyDiv w:val="1"/>
      <w:marLeft w:val="0"/>
      <w:marRight w:val="0"/>
      <w:marTop w:val="0"/>
      <w:marBottom w:val="0"/>
      <w:divBdr>
        <w:top w:val="none" w:sz="0" w:space="0" w:color="auto"/>
        <w:left w:val="none" w:sz="0" w:space="0" w:color="auto"/>
        <w:bottom w:val="none" w:sz="0" w:space="0" w:color="auto"/>
        <w:right w:val="none" w:sz="0" w:space="0" w:color="auto"/>
      </w:divBdr>
      <w:divsChild>
        <w:div w:id="865483178">
          <w:marLeft w:val="0"/>
          <w:marRight w:val="0"/>
          <w:marTop w:val="0"/>
          <w:marBottom w:val="0"/>
          <w:divBdr>
            <w:top w:val="none" w:sz="0" w:space="0" w:color="auto"/>
            <w:left w:val="none" w:sz="0" w:space="0" w:color="auto"/>
            <w:bottom w:val="none" w:sz="0" w:space="0" w:color="auto"/>
            <w:right w:val="none" w:sz="0" w:space="0" w:color="auto"/>
          </w:divBdr>
          <w:divsChild>
            <w:div w:id="802039138">
              <w:marLeft w:val="0"/>
              <w:marRight w:val="0"/>
              <w:marTop w:val="0"/>
              <w:marBottom w:val="0"/>
              <w:divBdr>
                <w:top w:val="none" w:sz="0" w:space="0" w:color="auto"/>
                <w:left w:val="none" w:sz="0" w:space="0" w:color="auto"/>
                <w:bottom w:val="none" w:sz="0" w:space="0" w:color="auto"/>
                <w:right w:val="none" w:sz="0" w:space="0" w:color="auto"/>
              </w:divBdr>
              <w:divsChild>
                <w:div w:id="335158799">
                  <w:marLeft w:val="0"/>
                  <w:marRight w:val="0"/>
                  <w:marTop w:val="0"/>
                  <w:marBottom w:val="0"/>
                  <w:divBdr>
                    <w:top w:val="none" w:sz="0" w:space="0" w:color="auto"/>
                    <w:left w:val="none" w:sz="0" w:space="0" w:color="auto"/>
                    <w:bottom w:val="none" w:sz="0" w:space="0" w:color="auto"/>
                    <w:right w:val="none" w:sz="0" w:space="0" w:color="auto"/>
                  </w:divBdr>
                  <w:divsChild>
                    <w:div w:id="323321488">
                      <w:marLeft w:val="0"/>
                      <w:marRight w:val="0"/>
                      <w:marTop w:val="0"/>
                      <w:marBottom w:val="0"/>
                      <w:divBdr>
                        <w:top w:val="none" w:sz="0" w:space="0" w:color="auto"/>
                        <w:left w:val="none" w:sz="0" w:space="0" w:color="auto"/>
                        <w:bottom w:val="none" w:sz="0" w:space="0" w:color="auto"/>
                        <w:right w:val="none" w:sz="0" w:space="0" w:color="auto"/>
                      </w:divBdr>
                      <w:divsChild>
                        <w:div w:id="582564949">
                          <w:marLeft w:val="0"/>
                          <w:marRight w:val="0"/>
                          <w:marTop w:val="0"/>
                          <w:marBottom w:val="0"/>
                          <w:divBdr>
                            <w:top w:val="none" w:sz="0" w:space="0" w:color="auto"/>
                            <w:left w:val="none" w:sz="0" w:space="0" w:color="auto"/>
                            <w:bottom w:val="none" w:sz="0" w:space="0" w:color="auto"/>
                            <w:right w:val="none" w:sz="0" w:space="0" w:color="auto"/>
                          </w:divBdr>
                          <w:divsChild>
                            <w:div w:id="183503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752628">
      <w:bodyDiv w:val="1"/>
      <w:marLeft w:val="0"/>
      <w:marRight w:val="0"/>
      <w:marTop w:val="0"/>
      <w:marBottom w:val="0"/>
      <w:divBdr>
        <w:top w:val="none" w:sz="0" w:space="0" w:color="auto"/>
        <w:left w:val="none" w:sz="0" w:space="0" w:color="auto"/>
        <w:bottom w:val="none" w:sz="0" w:space="0" w:color="auto"/>
        <w:right w:val="none" w:sz="0" w:space="0" w:color="auto"/>
      </w:divBdr>
    </w:div>
    <w:div w:id="992830872">
      <w:bodyDiv w:val="1"/>
      <w:marLeft w:val="0"/>
      <w:marRight w:val="0"/>
      <w:marTop w:val="0"/>
      <w:marBottom w:val="0"/>
      <w:divBdr>
        <w:top w:val="none" w:sz="0" w:space="0" w:color="auto"/>
        <w:left w:val="none" w:sz="0" w:space="0" w:color="auto"/>
        <w:bottom w:val="none" w:sz="0" w:space="0" w:color="auto"/>
        <w:right w:val="none" w:sz="0" w:space="0" w:color="auto"/>
      </w:divBdr>
      <w:divsChild>
        <w:div w:id="1590192977">
          <w:marLeft w:val="0"/>
          <w:marRight w:val="0"/>
          <w:marTop w:val="0"/>
          <w:marBottom w:val="0"/>
          <w:divBdr>
            <w:top w:val="none" w:sz="0" w:space="0" w:color="auto"/>
            <w:left w:val="none" w:sz="0" w:space="0" w:color="auto"/>
            <w:bottom w:val="none" w:sz="0" w:space="0" w:color="auto"/>
            <w:right w:val="none" w:sz="0" w:space="0" w:color="auto"/>
          </w:divBdr>
          <w:divsChild>
            <w:div w:id="196635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0839">
      <w:bodyDiv w:val="1"/>
      <w:marLeft w:val="0"/>
      <w:marRight w:val="0"/>
      <w:marTop w:val="0"/>
      <w:marBottom w:val="0"/>
      <w:divBdr>
        <w:top w:val="none" w:sz="0" w:space="0" w:color="auto"/>
        <w:left w:val="none" w:sz="0" w:space="0" w:color="auto"/>
        <w:bottom w:val="none" w:sz="0" w:space="0" w:color="auto"/>
        <w:right w:val="none" w:sz="0" w:space="0" w:color="auto"/>
      </w:divBdr>
    </w:div>
    <w:div w:id="1011761514">
      <w:bodyDiv w:val="1"/>
      <w:marLeft w:val="0"/>
      <w:marRight w:val="0"/>
      <w:marTop w:val="0"/>
      <w:marBottom w:val="0"/>
      <w:divBdr>
        <w:top w:val="none" w:sz="0" w:space="0" w:color="auto"/>
        <w:left w:val="none" w:sz="0" w:space="0" w:color="auto"/>
        <w:bottom w:val="none" w:sz="0" w:space="0" w:color="auto"/>
        <w:right w:val="none" w:sz="0" w:space="0" w:color="auto"/>
      </w:divBdr>
      <w:divsChild>
        <w:div w:id="372116302">
          <w:marLeft w:val="0"/>
          <w:marRight w:val="0"/>
          <w:marTop w:val="0"/>
          <w:marBottom w:val="0"/>
          <w:divBdr>
            <w:top w:val="none" w:sz="0" w:space="0" w:color="auto"/>
            <w:left w:val="none" w:sz="0" w:space="0" w:color="auto"/>
            <w:bottom w:val="none" w:sz="0" w:space="0" w:color="auto"/>
            <w:right w:val="none" w:sz="0" w:space="0" w:color="auto"/>
          </w:divBdr>
          <w:divsChild>
            <w:div w:id="1937709745">
              <w:marLeft w:val="0"/>
              <w:marRight w:val="0"/>
              <w:marTop w:val="0"/>
              <w:marBottom w:val="0"/>
              <w:divBdr>
                <w:top w:val="none" w:sz="0" w:space="0" w:color="auto"/>
                <w:left w:val="none" w:sz="0" w:space="0" w:color="auto"/>
                <w:bottom w:val="none" w:sz="0" w:space="0" w:color="auto"/>
                <w:right w:val="none" w:sz="0" w:space="0" w:color="auto"/>
              </w:divBdr>
              <w:divsChild>
                <w:div w:id="1900984">
                  <w:marLeft w:val="0"/>
                  <w:marRight w:val="0"/>
                  <w:marTop w:val="0"/>
                  <w:marBottom w:val="0"/>
                  <w:divBdr>
                    <w:top w:val="none" w:sz="0" w:space="0" w:color="auto"/>
                    <w:left w:val="none" w:sz="0" w:space="0" w:color="auto"/>
                    <w:bottom w:val="none" w:sz="0" w:space="0" w:color="auto"/>
                    <w:right w:val="none" w:sz="0" w:space="0" w:color="auto"/>
                  </w:divBdr>
                  <w:divsChild>
                    <w:div w:id="19626393">
                      <w:marLeft w:val="0"/>
                      <w:marRight w:val="0"/>
                      <w:marTop w:val="0"/>
                      <w:marBottom w:val="0"/>
                      <w:divBdr>
                        <w:top w:val="none" w:sz="0" w:space="0" w:color="auto"/>
                        <w:left w:val="none" w:sz="0" w:space="0" w:color="auto"/>
                        <w:bottom w:val="none" w:sz="0" w:space="0" w:color="auto"/>
                        <w:right w:val="none" w:sz="0" w:space="0" w:color="auto"/>
                      </w:divBdr>
                      <w:divsChild>
                        <w:div w:id="1774740547">
                          <w:marLeft w:val="0"/>
                          <w:marRight w:val="0"/>
                          <w:marTop w:val="0"/>
                          <w:marBottom w:val="0"/>
                          <w:divBdr>
                            <w:top w:val="none" w:sz="0" w:space="0" w:color="auto"/>
                            <w:left w:val="none" w:sz="0" w:space="0" w:color="auto"/>
                            <w:bottom w:val="none" w:sz="0" w:space="0" w:color="auto"/>
                            <w:right w:val="none" w:sz="0" w:space="0" w:color="auto"/>
                          </w:divBdr>
                          <w:divsChild>
                            <w:div w:id="83789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453172">
      <w:bodyDiv w:val="1"/>
      <w:marLeft w:val="0"/>
      <w:marRight w:val="0"/>
      <w:marTop w:val="0"/>
      <w:marBottom w:val="0"/>
      <w:divBdr>
        <w:top w:val="none" w:sz="0" w:space="0" w:color="auto"/>
        <w:left w:val="none" w:sz="0" w:space="0" w:color="auto"/>
        <w:bottom w:val="none" w:sz="0" w:space="0" w:color="auto"/>
        <w:right w:val="none" w:sz="0" w:space="0" w:color="auto"/>
      </w:divBdr>
    </w:div>
    <w:div w:id="1030491879">
      <w:bodyDiv w:val="1"/>
      <w:marLeft w:val="0"/>
      <w:marRight w:val="0"/>
      <w:marTop w:val="0"/>
      <w:marBottom w:val="0"/>
      <w:divBdr>
        <w:top w:val="none" w:sz="0" w:space="0" w:color="auto"/>
        <w:left w:val="none" w:sz="0" w:space="0" w:color="auto"/>
        <w:bottom w:val="none" w:sz="0" w:space="0" w:color="auto"/>
        <w:right w:val="none" w:sz="0" w:space="0" w:color="auto"/>
      </w:divBdr>
      <w:divsChild>
        <w:div w:id="957948732">
          <w:marLeft w:val="0"/>
          <w:marRight w:val="0"/>
          <w:marTop w:val="0"/>
          <w:marBottom w:val="0"/>
          <w:divBdr>
            <w:top w:val="none" w:sz="0" w:space="0" w:color="auto"/>
            <w:left w:val="none" w:sz="0" w:space="0" w:color="auto"/>
            <w:bottom w:val="none" w:sz="0" w:space="0" w:color="auto"/>
            <w:right w:val="none" w:sz="0" w:space="0" w:color="auto"/>
          </w:divBdr>
          <w:divsChild>
            <w:div w:id="1737896278">
              <w:marLeft w:val="0"/>
              <w:marRight w:val="0"/>
              <w:marTop w:val="0"/>
              <w:marBottom w:val="0"/>
              <w:divBdr>
                <w:top w:val="none" w:sz="0" w:space="0" w:color="auto"/>
                <w:left w:val="none" w:sz="0" w:space="0" w:color="auto"/>
                <w:bottom w:val="none" w:sz="0" w:space="0" w:color="auto"/>
                <w:right w:val="none" w:sz="0" w:space="0" w:color="auto"/>
              </w:divBdr>
              <w:divsChild>
                <w:div w:id="884757749">
                  <w:marLeft w:val="0"/>
                  <w:marRight w:val="0"/>
                  <w:marTop w:val="0"/>
                  <w:marBottom w:val="0"/>
                  <w:divBdr>
                    <w:top w:val="none" w:sz="0" w:space="0" w:color="auto"/>
                    <w:left w:val="none" w:sz="0" w:space="0" w:color="auto"/>
                    <w:bottom w:val="none" w:sz="0" w:space="0" w:color="auto"/>
                    <w:right w:val="none" w:sz="0" w:space="0" w:color="auto"/>
                  </w:divBdr>
                  <w:divsChild>
                    <w:div w:id="452098882">
                      <w:marLeft w:val="0"/>
                      <w:marRight w:val="0"/>
                      <w:marTop w:val="0"/>
                      <w:marBottom w:val="0"/>
                      <w:divBdr>
                        <w:top w:val="none" w:sz="0" w:space="0" w:color="auto"/>
                        <w:left w:val="none" w:sz="0" w:space="0" w:color="auto"/>
                        <w:bottom w:val="none" w:sz="0" w:space="0" w:color="auto"/>
                        <w:right w:val="none" w:sz="0" w:space="0" w:color="auto"/>
                      </w:divBdr>
                      <w:divsChild>
                        <w:div w:id="1269242752">
                          <w:marLeft w:val="0"/>
                          <w:marRight w:val="0"/>
                          <w:marTop w:val="0"/>
                          <w:marBottom w:val="0"/>
                          <w:divBdr>
                            <w:top w:val="none" w:sz="0" w:space="0" w:color="auto"/>
                            <w:left w:val="none" w:sz="0" w:space="0" w:color="auto"/>
                            <w:bottom w:val="none" w:sz="0" w:space="0" w:color="auto"/>
                            <w:right w:val="none" w:sz="0" w:space="0" w:color="auto"/>
                          </w:divBdr>
                          <w:divsChild>
                            <w:div w:id="157708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618466">
      <w:bodyDiv w:val="1"/>
      <w:marLeft w:val="0"/>
      <w:marRight w:val="0"/>
      <w:marTop w:val="0"/>
      <w:marBottom w:val="0"/>
      <w:divBdr>
        <w:top w:val="none" w:sz="0" w:space="0" w:color="auto"/>
        <w:left w:val="none" w:sz="0" w:space="0" w:color="auto"/>
        <w:bottom w:val="none" w:sz="0" w:space="0" w:color="auto"/>
        <w:right w:val="none" w:sz="0" w:space="0" w:color="auto"/>
      </w:divBdr>
      <w:divsChild>
        <w:div w:id="1862282288">
          <w:marLeft w:val="0"/>
          <w:marRight w:val="0"/>
          <w:marTop w:val="0"/>
          <w:marBottom w:val="0"/>
          <w:divBdr>
            <w:top w:val="none" w:sz="0" w:space="0" w:color="auto"/>
            <w:left w:val="none" w:sz="0" w:space="0" w:color="auto"/>
            <w:bottom w:val="none" w:sz="0" w:space="0" w:color="auto"/>
            <w:right w:val="none" w:sz="0" w:space="0" w:color="auto"/>
          </w:divBdr>
          <w:divsChild>
            <w:div w:id="1693073939">
              <w:marLeft w:val="0"/>
              <w:marRight w:val="0"/>
              <w:marTop w:val="0"/>
              <w:marBottom w:val="0"/>
              <w:divBdr>
                <w:top w:val="none" w:sz="0" w:space="0" w:color="auto"/>
                <w:left w:val="none" w:sz="0" w:space="0" w:color="auto"/>
                <w:bottom w:val="none" w:sz="0" w:space="0" w:color="auto"/>
                <w:right w:val="none" w:sz="0" w:space="0" w:color="auto"/>
              </w:divBdr>
              <w:divsChild>
                <w:div w:id="46341878">
                  <w:marLeft w:val="0"/>
                  <w:marRight w:val="0"/>
                  <w:marTop w:val="0"/>
                  <w:marBottom w:val="0"/>
                  <w:divBdr>
                    <w:top w:val="none" w:sz="0" w:space="0" w:color="auto"/>
                    <w:left w:val="none" w:sz="0" w:space="0" w:color="auto"/>
                    <w:bottom w:val="none" w:sz="0" w:space="0" w:color="auto"/>
                    <w:right w:val="none" w:sz="0" w:space="0" w:color="auto"/>
                  </w:divBdr>
                  <w:divsChild>
                    <w:div w:id="928804956">
                      <w:marLeft w:val="0"/>
                      <w:marRight w:val="0"/>
                      <w:marTop w:val="0"/>
                      <w:marBottom w:val="0"/>
                      <w:divBdr>
                        <w:top w:val="none" w:sz="0" w:space="0" w:color="auto"/>
                        <w:left w:val="none" w:sz="0" w:space="0" w:color="auto"/>
                        <w:bottom w:val="none" w:sz="0" w:space="0" w:color="auto"/>
                        <w:right w:val="none" w:sz="0" w:space="0" w:color="auto"/>
                      </w:divBdr>
                      <w:divsChild>
                        <w:div w:id="1705863247">
                          <w:marLeft w:val="0"/>
                          <w:marRight w:val="0"/>
                          <w:marTop w:val="0"/>
                          <w:marBottom w:val="0"/>
                          <w:divBdr>
                            <w:top w:val="none" w:sz="0" w:space="0" w:color="auto"/>
                            <w:left w:val="none" w:sz="0" w:space="0" w:color="auto"/>
                            <w:bottom w:val="none" w:sz="0" w:space="0" w:color="auto"/>
                            <w:right w:val="none" w:sz="0" w:space="0" w:color="auto"/>
                          </w:divBdr>
                          <w:divsChild>
                            <w:div w:id="1795296226">
                              <w:marLeft w:val="0"/>
                              <w:marRight w:val="0"/>
                              <w:marTop w:val="0"/>
                              <w:marBottom w:val="0"/>
                              <w:divBdr>
                                <w:top w:val="none" w:sz="0" w:space="0" w:color="auto"/>
                                <w:left w:val="none" w:sz="0" w:space="0" w:color="auto"/>
                                <w:bottom w:val="none" w:sz="0" w:space="0" w:color="auto"/>
                                <w:right w:val="none" w:sz="0" w:space="0" w:color="auto"/>
                              </w:divBdr>
                              <w:divsChild>
                                <w:div w:id="673656067">
                                  <w:marLeft w:val="0"/>
                                  <w:marRight w:val="0"/>
                                  <w:marTop w:val="0"/>
                                  <w:marBottom w:val="0"/>
                                  <w:divBdr>
                                    <w:top w:val="none" w:sz="0" w:space="0" w:color="auto"/>
                                    <w:left w:val="none" w:sz="0" w:space="0" w:color="auto"/>
                                    <w:bottom w:val="none" w:sz="0" w:space="0" w:color="auto"/>
                                    <w:right w:val="none" w:sz="0" w:space="0" w:color="auto"/>
                                  </w:divBdr>
                                  <w:divsChild>
                                    <w:div w:id="7538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196878">
                      <w:marLeft w:val="0"/>
                      <w:marRight w:val="0"/>
                      <w:marTop w:val="0"/>
                      <w:marBottom w:val="0"/>
                      <w:divBdr>
                        <w:top w:val="none" w:sz="0" w:space="0" w:color="auto"/>
                        <w:left w:val="none" w:sz="0" w:space="0" w:color="auto"/>
                        <w:bottom w:val="none" w:sz="0" w:space="0" w:color="auto"/>
                        <w:right w:val="none" w:sz="0" w:space="0" w:color="auto"/>
                      </w:divBdr>
                      <w:divsChild>
                        <w:div w:id="6087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863503">
      <w:bodyDiv w:val="1"/>
      <w:marLeft w:val="0"/>
      <w:marRight w:val="0"/>
      <w:marTop w:val="0"/>
      <w:marBottom w:val="0"/>
      <w:divBdr>
        <w:top w:val="none" w:sz="0" w:space="0" w:color="auto"/>
        <w:left w:val="none" w:sz="0" w:space="0" w:color="auto"/>
        <w:bottom w:val="none" w:sz="0" w:space="0" w:color="auto"/>
        <w:right w:val="none" w:sz="0" w:space="0" w:color="auto"/>
      </w:divBdr>
      <w:divsChild>
        <w:div w:id="1577739890">
          <w:marLeft w:val="0"/>
          <w:marRight w:val="0"/>
          <w:marTop w:val="0"/>
          <w:marBottom w:val="0"/>
          <w:divBdr>
            <w:top w:val="none" w:sz="0" w:space="0" w:color="auto"/>
            <w:left w:val="none" w:sz="0" w:space="0" w:color="auto"/>
            <w:bottom w:val="none" w:sz="0" w:space="0" w:color="auto"/>
            <w:right w:val="none" w:sz="0" w:space="0" w:color="auto"/>
          </w:divBdr>
          <w:divsChild>
            <w:div w:id="620570065">
              <w:marLeft w:val="0"/>
              <w:marRight w:val="0"/>
              <w:marTop w:val="0"/>
              <w:marBottom w:val="0"/>
              <w:divBdr>
                <w:top w:val="none" w:sz="0" w:space="0" w:color="auto"/>
                <w:left w:val="none" w:sz="0" w:space="0" w:color="auto"/>
                <w:bottom w:val="none" w:sz="0" w:space="0" w:color="auto"/>
                <w:right w:val="none" w:sz="0" w:space="0" w:color="auto"/>
              </w:divBdr>
              <w:divsChild>
                <w:div w:id="1588804116">
                  <w:marLeft w:val="0"/>
                  <w:marRight w:val="0"/>
                  <w:marTop w:val="0"/>
                  <w:marBottom w:val="0"/>
                  <w:divBdr>
                    <w:top w:val="none" w:sz="0" w:space="0" w:color="auto"/>
                    <w:left w:val="none" w:sz="0" w:space="0" w:color="auto"/>
                    <w:bottom w:val="none" w:sz="0" w:space="0" w:color="auto"/>
                    <w:right w:val="none" w:sz="0" w:space="0" w:color="auto"/>
                  </w:divBdr>
                  <w:divsChild>
                    <w:div w:id="977030028">
                      <w:marLeft w:val="0"/>
                      <w:marRight w:val="0"/>
                      <w:marTop w:val="0"/>
                      <w:marBottom w:val="0"/>
                      <w:divBdr>
                        <w:top w:val="none" w:sz="0" w:space="0" w:color="auto"/>
                        <w:left w:val="none" w:sz="0" w:space="0" w:color="auto"/>
                        <w:bottom w:val="none" w:sz="0" w:space="0" w:color="auto"/>
                        <w:right w:val="none" w:sz="0" w:space="0" w:color="auto"/>
                      </w:divBdr>
                      <w:divsChild>
                        <w:div w:id="1972973820">
                          <w:marLeft w:val="0"/>
                          <w:marRight w:val="0"/>
                          <w:marTop w:val="0"/>
                          <w:marBottom w:val="0"/>
                          <w:divBdr>
                            <w:top w:val="none" w:sz="0" w:space="0" w:color="auto"/>
                            <w:left w:val="none" w:sz="0" w:space="0" w:color="auto"/>
                            <w:bottom w:val="none" w:sz="0" w:space="0" w:color="auto"/>
                            <w:right w:val="none" w:sz="0" w:space="0" w:color="auto"/>
                          </w:divBdr>
                          <w:divsChild>
                            <w:div w:id="20612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032149">
      <w:bodyDiv w:val="1"/>
      <w:marLeft w:val="0"/>
      <w:marRight w:val="0"/>
      <w:marTop w:val="0"/>
      <w:marBottom w:val="0"/>
      <w:divBdr>
        <w:top w:val="none" w:sz="0" w:space="0" w:color="auto"/>
        <w:left w:val="none" w:sz="0" w:space="0" w:color="auto"/>
        <w:bottom w:val="none" w:sz="0" w:space="0" w:color="auto"/>
        <w:right w:val="none" w:sz="0" w:space="0" w:color="auto"/>
      </w:divBdr>
    </w:div>
    <w:div w:id="1097750129">
      <w:bodyDiv w:val="1"/>
      <w:marLeft w:val="0"/>
      <w:marRight w:val="0"/>
      <w:marTop w:val="0"/>
      <w:marBottom w:val="0"/>
      <w:divBdr>
        <w:top w:val="none" w:sz="0" w:space="0" w:color="auto"/>
        <w:left w:val="none" w:sz="0" w:space="0" w:color="auto"/>
        <w:bottom w:val="none" w:sz="0" w:space="0" w:color="auto"/>
        <w:right w:val="none" w:sz="0" w:space="0" w:color="auto"/>
      </w:divBdr>
    </w:div>
    <w:div w:id="1129473824">
      <w:bodyDiv w:val="1"/>
      <w:marLeft w:val="0"/>
      <w:marRight w:val="0"/>
      <w:marTop w:val="0"/>
      <w:marBottom w:val="0"/>
      <w:divBdr>
        <w:top w:val="none" w:sz="0" w:space="0" w:color="auto"/>
        <w:left w:val="none" w:sz="0" w:space="0" w:color="auto"/>
        <w:bottom w:val="none" w:sz="0" w:space="0" w:color="auto"/>
        <w:right w:val="none" w:sz="0" w:space="0" w:color="auto"/>
      </w:divBdr>
    </w:div>
    <w:div w:id="1152408220">
      <w:bodyDiv w:val="1"/>
      <w:marLeft w:val="0"/>
      <w:marRight w:val="0"/>
      <w:marTop w:val="0"/>
      <w:marBottom w:val="0"/>
      <w:divBdr>
        <w:top w:val="none" w:sz="0" w:space="0" w:color="auto"/>
        <w:left w:val="none" w:sz="0" w:space="0" w:color="auto"/>
        <w:bottom w:val="none" w:sz="0" w:space="0" w:color="auto"/>
        <w:right w:val="none" w:sz="0" w:space="0" w:color="auto"/>
      </w:divBdr>
    </w:div>
    <w:div w:id="1157259211">
      <w:bodyDiv w:val="1"/>
      <w:marLeft w:val="0"/>
      <w:marRight w:val="0"/>
      <w:marTop w:val="0"/>
      <w:marBottom w:val="0"/>
      <w:divBdr>
        <w:top w:val="none" w:sz="0" w:space="0" w:color="auto"/>
        <w:left w:val="none" w:sz="0" w:space="0" w:color="auto"/>
        <w:bottom w:val="none" w:sz="0" w:space="0" w:color="auto"/>
        <w:right w:val="none" w:sz="0" w:space="0" w:color="auto"/>
      </w:divBdr>
    </w:div>
    <w:div w:id="1167670467">
      <w:bodyDiv w:val="1"/>
      <w:marLeft w:val="0"/>
      <w:marRight w:val="0"/>
      <w:marTop w:val="0"/>
      <w:marBottom w:val="0"/>
      <w:divBdr>
        <w:top w:val="none" w:sz="0" w:space="0" w:color="auto"/>
        <w:left w:val="none" w:sz="0" w:space="0" w:color="auto"/>
        <w:bottom w:val="none" w:sz="0" w:space="0" w:color="auto"/>
        <w:right w:val="none" w:sz="0" w:space="0" w:color="auto"/>
      </w:divBdr>
      <w:divsChild>
        <w:div w:id="774642812">
          <w:marLeft w:val="0"/>
          <w:marRight w:val="0"/>
          <w:marTop w:val="0"/>
          <w:marBottom w:val="0"/>
          <w:divBdr>
            <w:top w:val="none" w:sz="0" w:space="0" w:color="auto"/>
            <w:left w:val="none" w:sz="0" w:space="0" w:color="auto"/>
            <w:bottom w:val="none" w:sz="0" w:space="0" w:color="auto"/>
            <w:right w:val="none" w:sz="0" w:space="0" w:color="auto"/>
          </w:divBdr>
          <w:divsChild>
            <w:div w:id="1319117591">
              <w:marLeft w:val="0"/>
              <w:marRight w:val="0"/>
              <w:marTop w:val="0"/>
              <w:marBottom w:val="0"/>
              <w:divBdr>
                <w:top w:val="none" w:sz="0" w:space="0" w:color="auto"/>
                <w:left w:val="none" w:sz="0" w:space="0" w:color="auto"/>
                <w:bottom w:val="none" w:sz="0" w:space="0" w:color="auto"/>
                <w:right w:val="none" w:sz="0" w:space="0" w:color="auto"/>
              </w:divBdr>
              <w:divsChild>
                <w:div w:id="1964463836">
                  <w:marLeft w:val="0"/>
                  <w:marRight w:val="0"/>
                  <w:marTop w:val="0"/>
                  <w:marBottom w:val="0"/>
                  <w:divBdr>
                    <w:top w:val="none" w:sz="0" w:space="0" w:color="auto"/>
                    <w:left w:val="none" w:sz="0" w:space="0" w:color="auto"/>
                    <w:bottom w:val="none" w:sz="0" w:space="0" w:color="auto"/>
                    <w:right w:val="none" w:sz="0" w:space="0" w:color="auto"/>
                  </w:divBdr>
                  <w:divsChild>
                    <w:div w:id="1089304661">
                      <w:marLeft w:val="0"/>
                      <w:marRight w:val="0"/>
                      <w:marTop w:val="0"/>
                      <w:marBottom w:val="0"/>
                      <w:divBdr>
                        <w:top w:val="none" w:sz="0" w:space="0" w:color="auto"/>
                        <w:left w:val="none" w:sz="0" w:space="0" w:color="auto"/>
                        <w:bottom w:val="none" w:sz="0" w:space="0" w:color="auto"/>
                        <w:right w:val="none" w:sz="0" w:space="0" w:color="auto"/>
                      </w:divBdr>
                      <w:divsChild>
                        <w:div w:id="1513186526">
                          <w:marLeft w:val="0"/>
                          <w:marRight w:val="0"/>
                          <w:marTop w:val="0"/>
                          <w:marBottom w:val="0"/>
                          <w:divBdr>
                            <w:top w:val="none" w:sz="0" w:space="0" w:color="auto"/>
                            <w:left w:val="none" w:sz="0" w:space="0" w:color="auto"/>
                            <w:bottom w:val="none" w:sz="0" w:space="0" w:color="auto"/>
                            <w:right w:val="none" w:sz="0" w:space="0" w:color="auto"/>
                          </w:divBdr>
                          <w:divsChild>
                            <w:div w:id="153676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449034">
      <w:bodyDiv w:val="1"/>
      <w:marLeft w:val="0"/>
      <w:marRight w:val="0"/>
      <w:marTop w:val="0"/>
      <w:marBottom w:val="0"/>
      <w:divBdr>
        <w:top w:val="none" w:sz="0" w:space="0" w:color="auto"/>
        <w:left w:val="none" w:sz="0" w:space="0" w:color="auto"/>
        <w:bottom w:val="none" w:sz="0" w:space="0" w:color="auto"/>
        <w:right w:val="none" w:sz="0" w:space="0" w:color="auto"/>
      </w:divBdr>
      <w:divsChild>
        <w:div w:id="1551725840">
          <w:marLeft w:val="0"/>
          <w:marRight w:val="0"/>
          <w:marTop w:val="0"/>
          <w:marBottom w:val="0"/>
          <w:divBdr>
            <w:top w:val="none" w:sz="0" w:space="0" w:color="auto"/>
            <w:left w:val="none" w:sz="0" w:space="0" w:color="auto"/>
            <w:bottom w:val="none" w:sz="0" w:space="0" w:color="auto"/>
            <w:right w:val="none" w:sz="0" w:space="0" w:color="auto"/>
          </w:divBdr>
          <w:divsChild>
            <w:div w:id="323045944">
              <w:marLeft w:val="0"/>
              <w:marRight w:val="0"/>
              <w:marTop w:val="0"/>
              <w:marBottom w:val="0"/>
              <w:divBdr>
                <w:top w:val="none" w:sz="0" w:space="0" w:color="auto"/>
                <w:left w:val="none" w:sz="0" w:space="0" w:color="auto"/>
                <w:bottom w:val="none" w:sz="0" w:space="0" w:color="auto"/>
                <w:right w:val="none" w:sz="0" w:space="0" w:color="auto"/>
              </w:divBdr>
              <w:divsChild>
                <w:div w:id="1921520542">
                  <w:marLeft w:val="0"/>
                  <w:marRight w:val="0"/>
                  <w:marTop w:val="0"/>
                  <w:marBottom w:val="0"/>
                  <w:divBdr>
                    <w:top w:val="none" w:sz="0" w:space="0" w:color="auto"/>
                    <w:left w:val="none" w:sz="0" w:space="0" w:color="auto"/>
                    <w:bottom w:val="none" w:sz="0" w:space="0" w:color="auto"/>
                    <w:right w:val="none" w:sz="0" w:space="0" w:color="auto"/>
                  </w:divBdr>
                  <w:divsChild>
                    <w:div w:id="355009446">
                      <w:marLeft w:val="0"/>
                      <w:marRight w:val="0"/>
                      <w:marTop w:val="0"/>
                      <w:marBottom w:val="0"/>
                      <w:divBdr>
                        <w:top w:val="none" w:sz="0" w:space="0" w:color="auto"/>
                        <w:left w:val="none" w:sz="0" w:space="0" w:color="auto"/>
                        <w:bottom w:val="none" w:sz="0" w:space="0" w:color="auto"/>
                        <w:right w:val="none" w:sz="0" w:space="0" w:color="auto"/>
                      </w:divBdr>
                      <w:divsChild>
                        <w:div w:id="353113513">
                          <w:marLeft w:val="0"/>
                          <w:marRight w:val="0"/>
                          <w:marTop w:val="0"/>
                          <w:marBottom w:val="0"/>
                          <w:divBdr>
                            <w:top w:val="none" w:sz="0" w:space="0" w:color="auto"/>
                            <w:left w:val="none" w:sz="0" w:space="0" w:color="auto"/>
                            <w:bottom w:val="none" w:sz="0" w:space="0" w:color="auto"/>
                            <w:right w:val="none" w:sz="0" w:space="0" w:color="auto"/>
                          </w:divBdr>
                          <w:divsChild>
                            <w:div w:id="2007783604">
                              <w:marLeft w:val="0"/>
                              <w:marRight w:val="0"/>
                              <w:marTop w:val="0"/>
                              <w:marBottom w:val="0"/>
                              <w:divBdr>
                                <w:top w:val="none" w:sz="0" w:space="0" w:color="auto"/>
                                <w:left w:val="none" w:sz="0" w:space="0" w:color="auto"/>
                                <w:bottom w:val="none" w:sz="0" w:space="0" w:color="auto"/>
                                <w:right w:val="none" w:sz="0" w:space="0" w:color="auto"/>
                              </w:divBdr>
                              <w:divsChild>
                                <w:div w:id="569654680">
                                  <w:marLeft w:val="0"/>
                                  <w:marRight w:val="0"/>
                                  <w:marTop w:val="0"/>
                                  <w:marBottom w:val="0"/>
                                  <w:divBdr>
                                    <w:top w:val="none" w:sz="0" w:space="0" w:color="auto"/>
                                    <w:left w:val="none" w:sz="0" w:space="0" w:color="auto"/>
                                    <w:bottom w:val="none" w:sz="0" w:space="0" w:color="auto"/>
                                    <w:right w:val="none" w:sz="0" w:space="0" w:color="auto"/>
                                  </w:divBdr>
                                  <w:divsChild>
                                    <w:div w:id="762922683">
                                      <w:marLeft w:val="0"/>
                                      <w:marRight w:val="0"/>
                                      <w:marTop w:val="0"/>
                                      <w:marBottom w:val="0"/>
                                      <w:divBdr>
                                        <w:top w:val="none" w:sz="0" w:space="0" w:color="auto"/>
                                        <w:left w:val="none" w:sz="0" w:space="0" w:color="auto"/>
                                        <w:bottom w:val="none" w:sz="0" w:space="0" w:color="auto"/>
                                        <w:right w:val="none" w:sz="0" w:space="0" w:color="auto"/>
                                      </w:divBdr>
                                      <w:divsChild>
                                        <w:div w:id="1688562163">
                                          <w:marLeft w:val="0"/>
                                          <w:marRight w:val="0"/>
                                          <w:marTop w:val="0"/>
                                          <w:marBottom w:val="0"/>
                                          <w:divBdr>
                                            <w:top w:val="none" w:sz="0" w:space="0" w:color="auto"/>
                                            <w:left w:val="none" w:sz="0" w:space="0" w:color="auto"/>
                                            <w:bottom w:val="none" w:sz="0" w:space="0" w:color="auto"/>
                                            <w:right w:val="none" w:sz="0" w:space="0" w:color="auto"/>
                                          </w:divBdr>
                                          <w:divsChild>
                                            <w:div w:id="5464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4704521">
          <w:marLeft w:val="0"/>
          <w:marRight w:val="0"/>
          <w:marTop w:val="0"/>
          <w:marBottom w:val="0"/>
          <w:divBdr>
            <w:top w:val="none" w:sz="0" w:space="0" w:color="auto"/>
            <w:left w:val="none" w:sz="0" w:space="0" w:color="auto"/>
            <w:bottom w:val="none" w:sz="0" w:space="0" w:color="auto"/>
            <w:right w:val="none" w:sz="0" w:space="0" w:color="auto"/>
          </w:divBdr>
          <w:divsChild>
            <w:div w:id="710767483">
              <w:marLeft w:val="0"/>
              <w:marRight w:val="0"/>
              <w:marTop w:val="0"/>
              <w:marBottom w:val="0"/>
              <w:divBdr>
                <w:top w:val="none" w:sz="0" w:space="0" w:color="auto"/>
                <w:left w:val="none" w:sz="0" w:space="0" w:color="auto"/>
                <w:bottom w:val="none" w:sz="0" w:space="0" w:color="auto"/>
                <w:right w:val="none" w:sz="0" w:space="0" w:color="auto"/>
              </w:divBdr>
              <w:divsChild>
                <w:div w:id="728380307">
                  <w:marLeft w:val="0"/>
                  <w:marRight w:val="0"/>
                  <w:marTop w:val="0"/>
                  <w:marBottom w:val="0"/>
                  <w:divBdr>
                    <w:top w:val="none" w:sz="0" w:space="0" w:color="auto"/>
                    <w:left w:val="none" w:sz="0" w:space="0" w:color="auto"/>
                    <w:bottom w:val="none" w:sz="0" w:space="0" w:color="auto"/>
                    <w:right w:val="none" w:sz="0" w:space="0" w:color="auto"/>
                  </w:divBdr>
                  <w:divsChild>
                    <w:div w:id="888372624">
                      <w:marLeft w:val="0"/>
                      <w:marRight w:val="0"/>
                      <w:marTop w:val="0"/>
                      <w:marBottom w:val="0"/>
                      <w:divBdr>
                        <w:top w:val="none" w:sz="0" w:space="0" w:color="auto"/>
                        <w:left w:val="none" w:sz="0" w:space="0" w:color="auto"/>
                        <w:bottom w:val="none" w:sz="0" w:space="0" w:color="auto"/>
                        <w:right w:val="none" w:sz="0" w:space="0" w:color="auto"/>
                      </w:divBdr>
                      <w:divsChild>
                        <w:div w:id="685403168">
                          <w:marLeft w:val="0"/>
                          <w:marRight w:val="0"/>
                          <w:marTop w:val="0"/>
                          <w:marBottom w:val="0"/>
                          <w:divBdr>
                            <w:top w:val="none" w:sz="0" w:space="0" w:color="auto"/>
                            <w:left w:val="none" w:sz="0" w:space="0" w:color="auto"/>
                            <w:bottom w:val="none" w:sz="0" w:space="0" w:color="auto"/>
                            <w:right w:val="none" w:sz="0" w:space="0" w:color="auto"/>
                          </w:divBdr>
                          <w:divsChild>
                            <w:div w:id="250624532">
                              <w:marLeft w:val="0"/>
                              <w:marRight w:val="0"/>
                              <w:marTop w:val="0"/>
                              <w:marBottom w:val="0"/>
                              <w:divBdr>
                                <w:top w:val="none" w:sz="0" w:space="0" w:color="auto"/>
                                <w:left w:val="none" w:sz="0" w:space="0" w:color="auto"/>
                                <w:bottom w:val="none" w:sz="0" w:space="0" w:color="auto"/>
                                <w:right w:val="none" w:sz="0" w:space="0" w:color="auto"/>
                              </w:divBdr>
                              <w:divsChild>
                                <w:div w:id="3408233">
                                  <w:marLeft w:val="0"/>
                                  <w:marRight w:val="0"/>
                                  <w:marTop w:val="0"/>
                                  <w:marBottom w:val="0"/>
                                  <w:divBdr>
                                    <w:top w:val="none" w:sz="0" w:space="0" w:color="auto"/>
                                    <w:left w:val="none" w:sz="0" w:space="0" w:color="auto"/>
                                    <w:bottom w:val="none" w:sz="0" w:space="0" w:color="auto"/>
                                    <w:right w:val="none" w:sz="0" w:space="0" w:color="auto"/>
                                  </w:divBdr>
                                  <w:divsChild>
                                    <w:div w:id="1941450979">
                                      <w:marLeft w:val="0"/>
                                      <w:marRight w:val="0"/>
                                      <w:marTop w:val="0"/>
                                      <w:marBottom w:val="0"/>
                                      <w:divBdr>
                                        <w:top w:val="none" w:sz="0" w:space="0" w:color="auto"/>
                                        <w:left w:val="none" w:sz="0" w:space="0" w:color="auto"/>
                                        <w:bottom w:val="none" w:sz="0" w:space="0" w:color="auto"/>
                                        <w:right w:val="none" w:sz="0" w:space="0" w:color="auto"/>
                                      </w:divBdr>
                                      <w:divsChild>
                                        <w:div w:id="31209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239132">
      <w:bodyDiv w:val="1"/>
      <w:marLeft w:val="0"/>
      <w:marRight w:val="0"/>
      <w:marTop w:val="0"/>
      <w:marBottom w:val="0"/>
      <w:divBdr>
        <w:top w:val="none" w:sz="0" w:space="0" w:color="auto"/>
        <w:left w:val="none" w:sz="0" w:space="0" w:color="auto"/>
        <w:bottom w:val="none" w:sz="0" w:space="0" w:color="auto"/>
        <w:right w:val="none" w:sz="0" w:space="0" w:color="auto"/>
      </w:divBdr>
    </w:div>
    <w:div w:id="1204634818">
      <w:bodyDiv w:val="1"/>
      <w:marLeft w:val="0"/>
      <w:marRight w:val="0"/>
      <w:marTop w:val="0"/>
      <w:marBottom w:val="0"/>
      <w:divBdr>
        <w:top w:val="none" w:sz="0" w:space="0" w:color="auto"/>
        <w:left w:val="none" w:sz="0" w:space="0" w:color="auto"/>
        <w:bottom w:val="none" w:sz="0" w:space="0" w:color="auto"/>
        <w:right w:val="none" w:sz="0" w:space="0" w:color="auto"/>
      </w:divBdr>
      <w:divsChild>
        <w:div w:id="362294023">
          <w:marLeft w:val="0"/>
          <w:marRight w:val="0"/>
          <w:marTop w:val="0"/>
          <w:marBottom w:val="0"/>
          <w:divBdr>
            <w:top w:val="none" w:sz="0" w:space="0" w:color="auto"/>
            <w:left w:val="none" w:sz="0" w:space="0" w:color="auto"/>
            <w:bottom w:val="none" w:sz="0" w:space="0" w:color="auto"/>
            <w:right w:val="none" w:sz="0" w:space="0" w:color="auto"/>
          </w:divBdr>
          <w:divsChild>
            <w:div w:id="1586651357">
              <w:marLeft w:val="0"/>
              <w:marRight w:val="0"/>
              <w:marTop w:val="0"/>
              <w:marBottom w:val="0"/>
              <w:divBdr>
                <w:top w:val="none" w:sz="0" w:space="0" w:color="auto"/>
                <w:left w:val="none" w:sz="0" w:space="0" w:color="auto"/>
                <w:bottom w:val="none" w:sz="0" w:space="0" w:color="auto"/>
                <w:right w:val="none" w:sz="0" w:space="0" w:color="auto"/>
              </w:divBdr>
              <w:divsChild>
                <w:div w:id="1645312988">
                  <w:marLeft w:val="0"/>
                  <w:marRight w:val="0"/>
                  <w:marTop w:val="0"/>
                  <w:marBottom w:val="0"/>
                  <w:divBdr>
                    <w:top w:val="none" w:sz="0" w:space="0" w:color="auto"/>
                    <w:left w:val="none" w:sz="0" w:space="0" w:color="auto"/>
                    <w:bottom w:val="none" w:sz="0" w:space="0" w:color="auto"/>
                    <w:right w:val="none" w:sz="0" w:space="0" w:color="auto"/>
                  </w:divBdr>
                  <w:divsChild>
                    <w:div w:id="694815250">
                      <w:marLeft w:val="0"/>
                      <w:marRight w:val="0"/>
                      <w:marTop w:val="0"/>
                      <w:marBottom w:val="0"/>
                      <w:divBdr>
                        <w:top w:val="none" w:sz="0" w:space="0" w:color="auto"/>
                        <w:left w:val="none" w:sz="0" w:space="0" w:color="auto"/>
                        <w:bottom w:val="none" w:sz="0" w:space="0" w:color="auto"/>
                        <w:right w:val="none" w:sz="0" w:space="0" w:color="auto"/>
                      </w:divBdr>
                      <w:divsChild>
                        <w:div w:id="1196890065">
                          <w:marLeft w:val="0"/>
                          <w:marRight w:val="0"/>
                          <w:marTop w:val="0"/>
                          <w:marBottom w:val="0"/>
                          <w:divBdr>
                            <w:top w:val="none" w:sz="0" w:space="0" w:color="auto"/>
                            <w:left w:val="none" w:sz="0" w:space="0" w:color="auto"/>
                            <w:bottom w:val="none" w:sz="0" w:space="0" w:color="auto"/>
                            <w:right w:val="none" w:sz="0" w:space="0" w:color="auto"/>
                          </w:divBdr>
                          <w:divsChild>
                            <w:div w:id="874587284">
                              <w:marLeft w:val="0"/>
                              <w:marRight w:val="0"/>
                              <w:marTop w:val="0"/>
                              <w:marBottom w:val="0"/>
                              <w:divBdr>
                                <w:top w:val="none" w:sz="0" w:space="0" w:color="auto"/>
                                <w:left w:val="none" w:sz="0" w:space="0" w:color="auto"/>
                                <w:bottom w:val="none" w:sz="0" w:space="0" w:color="auto"/>
                                <w:right w:val="none" w:sz="0" w:space="0" w:color="auto"/>
                              </w:divBdr>
                              <w:divsChild>
                                <w:div w:id="361907139">
                                  <w:marLeft w:val="0"/>
                                  <w:marRight w:val="0"/>
                                  <w:marTop w:val="0"/>
                                  <w:marBottom w:val="0"/>
                                  <w:divBdr>
                                    <w:top w:val="none" w:sz="0" w:space="0" w:color="auto"/>
                                    <w:left w:val="none" w:sz="0" w:space="0" w:color="auto"/>
                                    <w:bottom w:val="none" w:sz="0" w:space="0" w:color="auto"/>
                                    <w:right w:val="none" w:sz="0" w:space="0" w:color="auto"/>
                                  </w:divBdr>
                                  <w:divsChild>
                                    <w:div w:id="418018986">
                                      <w:marLeft w:val="0"/>
                                      <w:marRight w:val="0"/>
                                      <w:marTop w:val="0"/>
                                      <w:marBottom w:val="0"/>
                                      <w:divBdr>
                                        <w:top w:val="none" w:sz="0" w:space="0" w:color="auto"/>
                                        <w:left w:val="none" w:sz="0" w:space="0" w:color="auto"/>
                                        <w:bottom w:val="none" w:sz="0" w:space="0" w:color="auto"/>
                                        <w:right w:val="none" w:sz="0" w:space="0" w:color="auto"/>
                                      </w:divBdr>
                                      <w:divsChild>
                                        <w:div w:id="318775799">
                                          <w:marLeft w:val="0"/>
                                          <w:marRight w:val="0"/>
                                          <w:marTop w:val="0"/>
                                          <w:marBottom w:val="0"/>
                                          <w:divBdr>
                                            <w:top w:val="none" w:sz="0" w:space="0" w:color="auto"/>
                                            <w:left w:val="none" w:sz="0" w:space="0" w:color="auto"/>
                                            <w:bottom w:val="none" w:sz="0" w:space="0" w:color="auto"/>
                                            <w:right w:val="none" w:sz="0" w:space="0" w:color="auto"/>
                                          </w:divBdr>
                                          <w:divsChild>
                                            <w:div w:id="193863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5889036">
          <w:marLeft w:val="0"/>
          <w:marRight w:val="0"/>
          <w:marTop w:val="0"/>
          <w:marBottom w:val="0"/>
          <w:divBdr>
            <w:top w:val="none" w:sz="0" w:space="0" w:color="auto"/>
            <w:left w:val="none" w:sz="0" w:space="0" w:color="auto"/>
            <w:bottom w:val="none" w:sz="0" w:space="0" w:color="auto"/>
            <w:right w:val="none" w:sz="0" w:space="0" w:color="auto"/>
          </w:divBdr>
          <w:divsChild>
            <w:div w:id="664822190">
              <w:marLeft w:val="0"/>
              <w:marRight w:val="0"/>
              <w:marTop w:val="0"/>
              <w:marBottom w:val="0"/>
              <w:divBdr>
                <w:top w:val="none" w:sz="0" w:space="0" w:color="auto"/>
                <w:left w:val="none" w:sz="0" w:space="0" w:color="auto"/>
                <w:bottom w:val="none" w:sz="0" w:space="0" w:color="auto"/>
                <w:right w:val="none" w:sz="0" w:space="0" w:color="auto"/>
              </w:divBdr>
              <w:divsChild>
                <w:div w:id="1290471719">
                  <w:marLeft w:val="0"/>
                  <w:marRight w:val="0"/>
                  <w:marTop w:val="0"/>
                  <w:marBottom w:val="0"/>
                  <w:divBdr>
                    <w:top w:val="none" w:sz="0" w:space="0" w:color="auto"/>
                    <w:left w:val="none" w:sz="0" w:space="0" w:color="auto"/>
                    <w:bottom w:val="none" w:sz="0" w:space="0" w:color="auto"/>
                    <w:right w:val="none" w:sz="0" w:space="0" w:color="auto"/>
                  </w:divBdr>
                  <w:divsChild>
                    <w:div w:id="1739551327">
                      <w:marLeft w:val="0"/>
                      <w:marRight w:val="0"/>
                      <w:marTop w:val="0"/>
                      <w:marBottom w:val="0"/>
                      <w:divBdr>
                        <w:top w:val="none" w:sz="0" w:space="0" w:color="auto"/>
                        <w:left w:val="none" w:sz="0" w:space="0" w:color="auto"/>
                        <w:bottom w:val="none" w:sz="0" w:space="0" w:color="auto"/>
                        <w:right w:val="none" w:sz="0" w:space="0" w:color="auto"/>
                      </w:divBdr>
                      <w:divsChild>
                        <w:div w:id="723873876">
                          <w:marLeft w:val="0"/>
                          <w:marRight w:val="0"/>
                          <w:marTop w:val="0"/>
                          <w:marBottom w:val="0"/>
                          <w:divBdr>
                            <w:top w:val="none" w:sz="0" w:space="0" w:color="auto"/>
                            <w:left w:val="none" w:sz="0" w:space="0" w:color="auto"/>
                            <w:bottom w:val="none" w:sz="0" w:space="0" w:color="auto"/>
                            <w:right w:val="none" w:sz="0" w:space="0" w:color="auto"/>
                          </w:divBdr>
                          <w:divsChild>
                            <w:div w:id="1538423264">
                              <w:marLeft w:val="0"/>
                              <w:marRight w:val="0"/>
                              <w:marTop w:val="0"/>
                              <w:marBottom w:val="0"/>
                              <w:divBdr>
                                <w:top w:val="none" w:sz="0" w:space="0" w:color="auto"/>
                                <w:left w:val="none" w:sz="0" w:space="0" w:color="auto"/>
                                <w:bottom w:val="none" w:sz="0" w:space="0" w:color="auto"/>
                                <w:right w:val="none" w:sz="0" w:space="0" w:color="auto"/>
                              </w:divBdr>
                              <w:divsChild>
                                <w:div w:id="1094329018">
                                  <w:marLeft w:val="0"/>
                                  <w:marRight w:val="0"/>
                                  <w:marTop w:val="0"/>
                                  <w:marBottom w:val="0"/>
                                  <w:divBdr>
                                    <w:top w:val="none" w:sz="0" w:space="0" w:color="auto"/>
                                    <w:left w:val="none" w:sz="0" w:space="0" w:color="auto"/>
                                    <w:bottom w:val="none" w:sz="0" w:space="0" w:color="auto"/>
                                    <w:right w:val="none" w:sz="0" w:space="0" w:color="auto"/>
                                  </w:divBdr>
                                  <w:divsChild>
                                    <w:div w:id="69237738">
                                      <w:marLeft w:val="0"/>
                                      <w:marRight w:val="0"/>
                                      <w:marTop w:val="0"/>
                                      <w:marBottom w:val="0"/>
                                      <w:divBdr>
                                        <w:top w:val="none" w:sz="0" w:space="0" w:color="auto"/>
                                        <w:left w:val="none" w:sz="0" w:space="0" w:color="auto"/>
                                        <w:bottom w:val="none" w:sz="0" w:space="0" w:color="auto"/>
                                        <w:right w:val="none" w:sz="0" w:space="0" w:color="auto"/>
                                      </w:divBdr>
                                      <w:divsChild>
                                        <w:div w:id="760373819">
                                          <w:marLeft w:val="0"/>
                                          <w:marRight w:val="0"/>
                                          <w:marTop w:val="0"/>
                                          <w:marBottom w:val="0"/>
                                          <w:divBdr>
                                            <w:top w:val="none" w:sz="0" w:space="0" w:color="auto"/>
                                            <w:left w:val="none" w:sz="0" w:space="0" w:color="auto"/>
                                            <w:bottom w:val="none" w:sz="0" w:space="0" w:color="auto"/>
                                            <w:right w:val="none" w:sz="0" w:space="0" w:color="auto"/>
                                          </w:divBdr>
                                          <w:divsChild>
                                            <w:div w:id="11538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241301">
                                      <w:marLeft w:val="0"/>
                                      <w:marRight w:val="0"/>
                                      <w:marTop w:val="0"/>
                                      <w:marBottom w:val="0"/>
                                      <w:divBdr>
                                        <w:top w:val="none" w:sz="0" w:space="0" w:color="auto"/>
                                        <w:left w:val="none" w:sz="0" w:space="0" w:color="auto"/>
                                        <w:bottom w:val="none" w:sz="0" w:space="0" w:color="auto"/>
                                        <w:right w:val="none" w:sz="0" w:space="0" w:color="auto"/>
                                      </w:divBdr>
                                      <w:divsChild>
                                        <w:div w:id="2082751748">
                                          <w:marLeft w:val="0"/>
                                          <w:marRight w:val="0"/>
                                          <w:marTop w:val="0"/>
                                          <w:marBottom w:val="0"/>
                                          <w:divBdr>
                                            <w:top w:val="none" w:sz="0" w:space="0" w:color="auto"/>
                                            <w:left w:val="none" w:sz="0" w:space="0" w:color="auto"/>
                                            <w:bottom w:val="none" w:sz="0" w:space="0" w:color="auto"/>
                                            <w:right w:val="none" w:sz="0" w:space="0" w:color="auto"/>
                                          </w:divBdr>
                                          <w:divsChild>
                                            <w:div w:id="735906726">
                                              <w:marLeft w:val="0"/>
                                              <w:marRight w:val="0"/>
                                              <w:marTop w:val="0"/>
                                              <w:marBottom w:val="0"/>
                                              <w:divBdr>
                                                <w:top w:val="none" w:sz="0" w:space="0" w:color="auto"/>
                                                <w:left w:val="none" w:sz="0" w:space="0" w:color="auto"/>
                                                <w:bottom w:val="none" w:sz="0" w:space="0" w:color="auto"/>
                                                <w:right w:val="none" w:sz="0" w:space="0" w:color="auto"/>
                                              </w:divBdr>
                                              <w:divsChild>
                                                <w:div w:id="192822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8183908">
      <w:bodyDiv w:val="1"/>
      <w:marLeft w:val="0"/>
      <w:marRight w:val="0"/>
      <w:marTop w:val="0"/>
      <w:marBottom w:val="0"/>
      <w:divBdr>
        <w:top w:val="none" w:sz="0" w:space="0" w:color="auto"/>
        <w:left w:val="none" w:sz="0" w:space="0" w:color="auto"/>
        <w:bottom w:val="none" w:sz="0" w:space="0" w:color="auto"/>
        <w:right w:val="none" w:sz="0" w:space="0" w:color="auto"/>
      </w:divBdr>
    </w:div>
    <w:div w:id="1212695366">
      <w:bodyDiv w:val="1"/>
      <w:marLeft w:val="0"/>
      <w:marRight w:val="0"/>
      <w:marTop w:val="0"/>
      <w:marBottom w:val="0"/>
      <w:divBdr>
        <w:top w:val="none" w:sz="0" w:space="0" w:color="auto"/>
        <w:left w:val="none" w:sz="0" w:space="0" w:color="auto"/>
        <w:bottom w:val="none" w:sz="0" w:space="0" w:color="auto"/>
        <w:right w:val="none" w:sz="0" w:space="0" w:color="auto"/>
      </w:divBdr>
    </w:div>
    <w:div w:id="1214925570">
      <w:bodyDiv w:val="1"/>
      <w:marLeft w:val="0"/>
      <w:marRight w:val="0"/>
      <w:marTop w:val="0"/>
      <w:marBottom w:val="0"/>
      <w:divBdr>
        <w:top w:val="none" w:sz="0" w:space="0" w:color="auto"/>
        <w:left w:val="none" w:sz="0" w:space="0" w:color="auto"/>
        <w:bottom w:val="none" w:sz="0" w:space="0" w:color="auto"/>
        <w:right w:val="none" w:sz="0" w:space="0" w:color="auto"/>
      </w:divBdr>
    </w:div>
    <w:div w:id="1215004036">
      <w:bodyDiv w:val="1"/>
      <w:marLeft w:val="0"/>
      <w:marRight w:val="0"/>
      <w:marTop w:val="0"/>
      <w:marBottom w:val="0"/>
      <w:divBdr>
        <w:top w:val="none" w:sz="0" w:space="0" w:color="auto"/>
        <w:left w:val="none" w:sz="0" w:space="0" w:color="auto"/>
        <w:bottom w:val="none" w:sz="0" w:space="0" w:color="auto"/>
        <w:right w:val="none" w:sz="0" w:space="0" w:color="auto"/>
      </w:divBdr>
    </w:div>
    <w:div w:id="1232932065">
      <w:bodyDiv w:val="1"/>
      <w:marLeft w:val="0"/>
      <w:marRight w:val="0"/>
      <w:marTop w:val="0"/>
      <w:marBottom w:val="0"/>
      <w:divBdr>
        <w:top w:val="none" w:sz="0" w:space="0" w:color="auto"/>
        <w:left w:val="none" w:sz="0" w:space="0" w:color="auto"/>
        <w:bottom w:val="none" w:sz="0" w:space="0" w:color="auto"/>
        <w:right w:val="none" w:sz="0" w:space="0" w:color="auto"/>
      </w:divBdr>
    </w:div>
    <w:div w:id="1242791126">
      <w:bodyDiv w:val="1"/>
      <w:marLeft w:val="0"/>
      <w:marRight w:val="0"/>
      <w:marTop w:val="0"/>
      <w:marBottom w:val="0"/>
      <w:divBdr>
        <w:top w:val="none" w:sz="0" w:space="0" w:color="auto"/>
        <w:left w:val="none" w:sz="0" w:space="0" w:color="auto"/>
        <w:bottom w:val="none" w:sz="0" w:space="0" w:color="auto"/>
        <w:right w:val="none" w:sz="0" w:space="0" w:color="auto"/>
      </w:divBdr>
    </w:div>
    <w:div w:id="1257055384">
      <w:bodyDiv w:val="1"/>
      <w:marLeft w:val="0"/>
      <w:marRight w:val="0"/>
      <w:marTop w:val="0"/>
      <w:marBottom w:val="0"/>
      <w:divBdr>
        <w:top w:val="none" w:sz="0" w:space="0" w:color="auto"/>
        <w:left w:val="none" w:sz="0" w:space="0" w:color="auto"/>
        <w:bottom w:val="none" w:sz="0" w:space="0" w:color="auto"/>
        <w:right w:val="none" w:sz="0" w:space="0" w:color="auto"/>
      </w:divBdr>
    </w:div>
    <w:div w:id="1284573710">
      <w:bodyDiv w:val="1"/>
      <w:marLeft w:val="0"/>
      <w:marRight w:val="0"/>
      <w:marTop w:val="0"/>
      <w:marBottom w:val="0"/>
      <w:divBdr>
        <w:top w:val="none" w:sz="0" w:space="0" w:color="auto"/>
        <w:left w:val="none" w:sz="0" w:space="0" w:color="auto"/>
        <w:bottom w:val="none" w:sz="0" w:space="0" w:color="auto"/>
        <w:right w:val="none" w:sz="0" w:space="0" w:color="auto"/>
      </w:divBdr>
    </w:div>
    <w:div w:id="1292201081">
      <w:bodyDiv w:val="1"/>
      <w:marLeft w:val="0"/>
      <w:marRight w:val="0"/>
      <w:marTop w:val="0"/>
      <w:marBottom w:val="0"/>
      <w:divBdr>
        <w:top w:val="none" w:sz="0" w:space="0" w:color="auto"/>
        <w:left w:val="none" w:sz="0" w:space="0" w:color="auto"/>
        <w:bottom w:val="none" w:sz="0" w:space="0" w:color="auto"/>
        <w:right w:val="none" w:sz="0" w:space="0" w:color="auto"/>
      </w:divBdr>
      <w:divsChild>
        <w:div w:id="847259326">
          <w:marLeft w:val="0"/>
          <w:marRight w:val="0"/>
          <w:marTop w:val="0"/>
          <w:marBottom w:val="0"/>
          <w:divBdr>
            <w:top w:val="none" w:sz="0" w:space="0" w:color="auto"/>
            <w:left w:val="none" w:sz="0" w:space="0" w:color="auto"/>
            <w:bottom w:val="none" w:sz="0" w:space="0" w:color="auto"/>
            <w:right w:val="none" w:sz="0" w:space="0" w:color="auto"/>
          </w:divBdr>
          <w:divsChild>
            <w:div w:id="518859780">
              <w:marLeft w:val="0"/>
              <w:marRight w:val="0"/>
              <w:marTop w:val="0"/>
              <w:marBottom w:val="0"/>
              <w:divBdr>
                <w:top w:val="none" w:sz="0" w:space="0" w:color="auto"/>
                <w:left w:val="none" w:sz="0" w:space="0" w:color="auto"/>
                <w:bottom w:val="none" w:sz="0" w:space="0" w:color="auto"/>
                <w:right w:val="none" w:sz="0" w:space="0" w:color="auto"/>
              </w:divBdr>
              <w:divsChild>
                <w:div w:id="1583677894">
                  <w:marLeft w:val="0"/>
                  <w:marRight w:val="0"/>
                  <w:marTop w:val="0"/>
                  <w:marBottom w:val="0"/>
                  <w:divBdr>
                    <w:top w:val="none" w:sz="0" w:space="0" w:color="auto"/>
                    <w:left w:val="none" w:sz="0" w:space="0" w:color="auto"/>
                    <w:bottom w:val="none" w:sz="0" w:space="0" w:color="auto"/>
                    <w:right w:val="none" w:sz="0" w:space="0" w:color="auto"/>
                  </w:divBdr>
                  <w:divsChild>
                    <w:div w:id="1928613639">
                      <w:marLeft w:val="0"/>
                      <w:marRight w:val="0"/>
                      <w:marTop w:val="0"/>
                      <w:marBottom w:val="0"/>
                      <w:divBdr>
                        <w:top w:val="none" w:sz="0" w:space="0" w:color="auto"/>
                        <w:left w:val="none" w:sz="0" w:space="0" w:color="auto"/>
                        <w:bottom w:val="none" w:sz="0" w:space="0" w:color="auto"/>
                        <w:right w:val="none" w:sz="0" w:space="0" w:color="auto"/>
                      </w:divBdr>
                      <w:divsChild>
                        <w:div w:id="152990965">
                          <w:marLeft w:val="0"/>
                          <w:marRight w:val="0"/>
                          <w:marTop w:val="0"/>
                          <w:marBottom w:val="0"/>
                          <w:divBdr>
                            <w:top w:val="none" w:sz="0" w:space="0" w:color="auto"/>
                            <w:left w:val="none" w:sz="0" w:space="0" w:color="auto"/>
                            <w:bottom w:val="none" w:sz="0" w:space="0" w:color="auto"/>
                            <w:right w:val="none" w:sz="0" w:space="0" w:color="auto"/>
                          </w:divBdr>
                          <w:divsChild>
                            <w:div w:id="27278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03018">
      <w:bodyDiv w:val="1"/>
      <w:marLeft w:val="0"/>
      <w:marRight w:val="0"/>
      <w:marTop w:val="0"/>
      <w:marBottom w:val="0"/>
      <w:divBdr>
        <w:top w:val="none" w:sz="0" w:space="0" w:color="auto"/>
        <w:left w:val="none" w:sz="0" w:space="0" w:color="auto"/>
        <w:bottom w:val="none" w:sz="0" w:space="0" w:color="auto"/>
        <w:right w:val="none" w:sz="0" w:space="0" w:color="auto"/>
      </w:divBdr>
    </w:div>
    <w:div w:id="1314069158">
      <w:bodyDiv w:val="1"/>
      <w:marLeft w:val="0"/>
      <w:marRight w:val="0"/>
      <w:marTop w:val="0"/>
      <w:marBottom w:val="0"/>
      <w:divBdr>
        <w:top w:val="none" w:sz="0" w:space="0" w:color="auto"/>
        <w:left w:val="none" w:sz="0" w:space="0" w:color="auto"/>
        <w:bottom w:val="none" w:sz="0" w:space="0" w:color="auto"/>
        <w:right w:val="none" w:sz="0" w:space="0" w:color="auto"/>
      </w:divBdr>
    </w:div>
    <w:div w:id="1338073886">
      <w:bodyDiv w:val="1"/>
      <w:marLeft w:val="0"/>
      <w:marRight w:val="0"/>
      <w:marTop w:val="0"/>
      <w:marBottom w:val="0"/>
      <w:divBdr>
        <w:top w:val="none" w:sz="0" w:space="0" w:color="auto"/>
        <w:left w:val="none" w:sz="0" w:space="0" w:color="auto"/>
        <w:bottom w:val="none" w:sz="0" w:space="0" w:color="auto"/>
        <w:right w:val="none" w:sz="0" w:space="0" w:color="auto"/>
      </w:divBdr>
    </w:div>
    <w:div w:id="1351906786">
      <w:bodyDiv w:val="1"/>
      <w:marLeft w:val="0"/>
      <w:marRight w:val="0"/>
      <w:marTop w:val="0"/>
      <w:marBottom w:val="0"/>
      <w:divBdr>
        <w:top w:val="none" w:sz="0" w:space="0" w:color="auto"/>
        <w:left w:val="none" w:sz="0" w:space="0" w:color="auto"/>
        <w:bottom w:val="none" w:sz="0" w:space="0" w:color="auto"/>
        <w:right w:val="none" w:sz="0" w:space="0" w:color="auto"/>
      </w:divBdr>
    </w:div>
    <w:div w:id="1355572993">
      <w:bodyDiv w:val="1"/>
      <w:marLeft w:val="0"/>
      <w:marRight w:val="0"/>
      <w:marTop w:val="0"/>
      <w:marBottom w:val="0"/>
      <w:divBdr>
        <w:top w:val="none" w:sz="0" w:space="0" w:color="auto"/>
        <w:left w:val="none" w:sz="0" w:space="0" w:color="auto"/>
        <w:bottom w:val="none" w:sz="0" w:space="0" w:color="auto"/>
        <w:right w:val="none" w:sz="0" w:space="0" w:color="auto"/>
      </w:divBdr>
      <w:divsChild>
        <w:div w:id="1524634000">
          <w:marLeft w:val="0"/>
          <w:marRight w:val="0"/>
          <w:marTop w:val="0"/>
          <w:marBottom w:val="0"/>
          <w:divBdr>
            <w:top w:val="none" w:sz="0" w:space="0" w:color="auto"/>
            <w:left w:val="none" w:sz="0" w:space="0" w:color="auto"/>
            <w:bottom w:val="none" w:sz="0" w:space="0" w:color="auto"/>
            <w:right w:val="none" w:sz="0" w:space="0" w:color="auto"/>
          </w:divBdr>
          <w:divsChild>
            <w:div w:id="689457086">
              <w:marLeft w:val="0"/>
              <w:marRight w:val="0"/>
              <w:marTop w:val="0"/>
              <w:marBottom w:val="0"/>
              <w:divBdr>
                <w:top w:val="none" w:sz="0" w:space="0" w:color="auto"/>
                <w:left w:val="none" w:sz="0" w:space="0" w:color="auto"/>
                <w:bottom w:val="none" w:sz="0" w:space="0" w:color="auto"/>
                <w:right w:val="none" w:sz="0" w:space="0" w:color="auto"/>
              </w:divBdr>
              <w:divsChild>
                <w:div w:id="110511587">
                  <w:marLeft w:val="0"/>
                  <w:marRight w:val="0"/>
                  <w:marTop w:val="0"/>
                  <w:marBottom w:val="0"/>
                  <w:divBdr>
                    <w:top w:val="none" w:sz="0" w:space="0" w:color="auto"/>
                    <w:left w:val="none" w:sz="0" w:space="0" w:color="auto"/>
                    <w:bottom w:val="none" w:sz="0" w:space="0" w:color="auto"/>
                    <w:right w:val="none" w:sz="0" w:space="0" w:color="auto"/>
                  </w:divBdr>
                  <w:divsChild>
                    <w:div w:id="1880507043">
                      <w:marLeft w:val="0"/>
                      <w:marRight w:val="0"/>
                      <w:marTop w:val="0"/>
                      <w:marBottom w:val="0"/>
                      <w:divBdr>
                        <w:top w:val="none" w:sz="0" w:space="0" w:color="auto"/>
                        <w:left w:val="none" w:sz="0" w:space="0" w:color="auto"/>
                        <w:bottom w:val="none" w:sz="0" w:space="0" w:color="auto"/>
                        <w:right w:val="none" w:sz="0" w:space="0" w:color="auto"/>
                      </w:divBdr>
                      <w:divsChild>
                        <w:div w:id="862668287">
                          <w:marLeft w:val="0"/>
                          <w:marRight w:val="0"/>
                          <w:marTop w:val="0"/>
                          <w:marBottom w:val="0"/>
                          <w:divBdr>
                            <w:top w:val="none" w:sz="0" w:space="0" w:color="auto"/>
                            <w:left w:val="none" w:sz="0" w:space="0" w:color="auto"/>
                            <w:bottom w:val="none" w:sz="0" w:space="0" w:color="auto"/>
                            <w:right w:val="none" w:sz="0" w:space="0" w:color="auto"/>
                          </w:divBdr>
                          <w:divsChild>
                            <w:div w:id="1985313205">
                              <w:marLeft w:val="0"/>
                              <w:marRight w:val="0"/>
                              <w:marTop w:val="0"/>
                              <w:marBottom w:val="0"/>
                              <w:divBdr>
                                <w:top w:val="none" w:sz="0" w:space="0" w:color="auto"/>
                                <w:left w:val="none" w:sz="0" w:space="0" w:color="auto"/>
                                <w:bottom w:val="none" w:sz="0" w:space="0" w:color="auto"/>
                                <w:right w:val="none" w:sz="0" w:space="0" w:color="auto"/>
                              </w:divBdr>
                              <w:divsChild>
                                <w:div w:id="844589707">
                                  <w:marLeft w:val="0"/>
                                  <w:marRight w:val="0"/>
                                  <w:marTop w:val="0"/>
                                  <w:marBottom w:val="0"/>
                                  <w:divBdr>
                                    <w:top w:val="none" w:sz="0" w:space="0" w:color="auto"/>
                                    <w:left w:val="none" w:sz="0" w:space="0" w:color="auto"/>
                                    <w:bottom w:val="none" w:sz="0" w:space="0" w:color="auto"/>
                                    <w:right w:val="none" w:sz="0" w:space="0" w:color="auto"/>
                                  </w:divBdr>
                                  <w:divsChild>
                                    <w:div w:id="1778014516">
                                      <w:marLeft w:val="0"/>
                                      <w:marRight w:val="0"/>
                                      <w:marTop w:val="0"/>
                                      <w:marBottom w:val="0"/>
                                      <w:divBdr>
                                        <w:top w:val="none" w:sz="0" w:space="0" w:color="auto"/>
                                        <w:left w:val="none" w:sz="0" w:space="0" w:color="auto"/>
                                        <w:bottom w:val="none" w:sz="0" w:space="0" w:color="auto"/>
                                        <w:right w:val="none" w:sz="0" w:space="0" w:color="auto"/>
                                      </w:divBdr>
                                      <w:divsChild>
                                        <w:div w:id="929579569">
                                          <w:marLeft w:val="0"/>
                                          <w:marRight w:val="0"/>
                                          <w:marTop w:val="0"/>
                                          <w:marBottom w:val="0"/>
                                          <w:divBdr>
                                            <w:top w:val="none" w:sz="0" w:space="0" w:color="auto"/>
                                            <w:left w:val="none" w:sz="0" w:space="0" w:color="auto"/>
                                            <w:bottom w:val="none" w:sz="0" w:space="0" w:color="auto"/>
                                            <w:right w:val="none" w:sz="0" w:space="0" w:color="auto"/>
                                          </w:divBdr>
                                          <w:divsChild>
                                            <w:div w:id="98057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351068">
          <w:marLeft w:val="0"/>
          <w:marRight w:val="0"/>
          <w:marTop w:val="0"/>
          <w:marBottom w:val="0"/>
          <w:divBdr>
            <w:top w:val="none" w:sz="0" w:space="0" w:color="auto"/>
            <w:left w:val="none" w:sz="0" w:space="0" w:color="auto"/>
            <w:bottom w:val="none" w:sz="0" w:space="0" w:color="auto"/>
            <w:right w:val="none" w:sz="0" w:space="0" w:color="auto"/>
          </w:divBdr>
          <w:divsChild>
            <w:div w:id="942034800">
              <w:marLeft w:val="0"/>
              <w:marRight w:val="0"/>
              <w:marTop w:val="0"/>
              <w:marBottom w:val="0"/>
              <w:divBdr>
                <w:top w:val="none" w:sz="0" w:space="0" w:color="auto"/>
                <w:left w:val="none" w:sz="0" w:space="0" w:color="auto"/>
                <w:bottom w:val="none" w:sz="0" w:space="0" w:color="auto"/>
                <w:right w:val="none" w:sz="0" w:space="0" w:color="auto"/>
              </w:divBdr>
              <w:divsChild>
                <w:div w:id="1382746017">
                  <w:marLeft w:val="0"/>
                  <w:marRight w:val="0"/>
                  <w:marTop w:val="0"/>
                  <w:marBottom w:val="0"/>
                  <w:divBdr>
                    <w:top w:val="none" w:sz="0" w:space="0" w:color="auto"/>
                    <w:left w:val="none" w:sz="0" w:space="0" w:color="auto"/>
                    <w:bottom w:val="none" w:sz="0" w:space="0" w:color="auto"/>
                    <w:right w:val="none" w:sz="0" w:space="0" w:color="auto"/>
                  </w:divBdr>
                  <w:divsChild>
                    <w:div w:id="1594974904">
                      <w:marLeft w:val="0"/>
                      <w:marRight w:val="0"/>
                      <w:marTop w:val="0"/>
                      <w:marBottom w:val="0"/>
                      <w:divBdr>
                        <w:top w:val="none" w:sz="0" w:space="0" w:color="auto"/>
                        <w:left w:val="none" w:sz="0" w:space="0" w:color="auto"/>
                        <w:bottom w:val="none" w:sz="0" w:space="0" w:color="auto"/>
                        <w:right w:val="none" w:sz="0" w:space="0" w:color="auto"/>
                      </w:divBdr>
                      <w:divsChild>
                        <w:div w:id="1720398594">
                          <w:marLeft w:val="0"/>
                          <w:marRight w:val="0"/>
                          <w:marTop w:val="0"/>
                          <w:marBottom w:val="0"/>
                          <w:divBdr>
                            <w:top w:val="none" w:sz="0" w:space="0" w:color="auto"/>
                            <w:left w:val="none" w:sz="0" w:space="0" w:color="auto"/>
                            <w:bottom w:val="none" w:sz="0" w:space="0" w:color="auto"/>
                            <w:right w:val="none" w:sz="0" w:space="0" w:color="auto"/>
                          </w:divBdr>
                          <w:divsChild>
                            <w:div w:id="997267871">
                              <w:marLeft w:val="0"/>
                              <w:marRight w:val="0"/>
                              <w:marTop w:val="0"/>
                              <w:marBottom w:val="0"/>
                              <w:divBdr>
                                <w:top w:val="none" w:sz="0" w:space="0" w:color="auto"/>
                                <w:left w:val="none" w:sz="0" w:space="0" w:color="auto"/>
                                <w:bottom w:val="none" w:sz="0" w:space="0" w:color="auto"/>
                                <w:right w:val="none" w:sz="0" w:space="0" w:color="auto"/>
                              </w:divBdr>
                              <w:divsChild>
                                <w:div w:id="1355351375">
                                  <w:marLeft w:val="0"/>
                                  <w:marRight w:val="0"/>
                                  <w:marTop w:val="0"/>
                                  <w:marBottom w:val="0"/>
                                  <w:divBdr>
                                    <w:top w:val="none" w:sz="0" w:space="0" w:color="auto"/>
                                    <w:left w:val="none" w:sz="0" w:space="0" w:color="auto"/>
                                    <w:bottom w:val="none" w:sz="0" w:space="0" w:color="auto"/>
                                    <w:right w:val="none" w:sz="0" w:space="0" w:color="auto"/>
                                  </w:divBdr>
                                  <w:divsChild>
                                    <w:div w:id="1571424909">
                                      <w:marLeft w:val="0"/>
                                      <w:marRight w:val="0"/>
                                      <w:marTop w:val="0"/>
                                      <w:marBottom w:val="0"/>
                                      <w:divBdr>
                                        <w:top w:val="none" w:sz="0" w:space="0" w:color="auto"/>
                                        <w:left w:val="none" w:sz="0" w:space="0" w:color="auto"/>
                                        <w:bottom w:val="none" w:sz="0" w:space="0" w:color="auto"/>
                                        <w:right w:val="none" w:sz="0" w:space="0" w:color="auto"/>
                                      </w:divBdr>
                                      <w:divsChild>
                                        <w:div w:id="123242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730856">
      <w:bodyDiv w:val="1"/>
      <w:marLeft w:val="0"/>
      <w:marRight w:val="0"/>
      <w:marTop w:val="0"/>
      <w:marBottom w:val="0"/>
      <w:divBdr>
        <w:top w:val="none" w:sz="0" w:space="0" w:color="auto"/>
        <w:left w:val="none" w:sz="0" w:space="0" w:color="auto"/>
        <w:bottom w:val="none" w:sz="0" w:space="0" w:color="auto"/>
        <w:right w:val="none" w:sz="0" w:space="0" w:color="auto"/>
      </w:divBdr>
    </w:div>
    <w:div w:id="1367754357">
      <w:bodyDiv w:val="1"/>
      <w:marLeft w:val="0"/>
      <w:marRight w:val="0"/>
      <w:marTop w:val="0"/>
      <w:marBottom w:val="0"/>
      <w:divBdr>
        <w:top w:val="none" w:sz="0" w:space="0" w:color="auto"/>
        <w:left w:val="none" w:sz="0" w:space="0" w:color="auto"/>
        <w:bottom w:val="none" w:sz="0" w:space="0" w:color="auto"/>
        <w:right w:val="none" w:sz="0" w:space="0" w:color="auto"/>
      </w:divBdr>
    </w:div>
    <w:div w:id="1368334262">
      <w:bodyDiv w:val="1"/>
      <w:marLeft w:val="0"/>
      <w:marRight w:val="0"/>
      <w:marTop w:val="0"/>
      <w:marBottom w:val="0"/>
      <w:divBdr>
        <w:top w:val="none" w:sz="0" w:space="0" w:color="auto"/>
        <w:left w:val="none" w:sz="0" w:space="0" w:color="auto"/>
        <w:bottom w:val="none" w:sz="0" w:space="0" w:color="auto"/>
        <w:right w:val="none" w:sz="0" w:space="0" w:color="auto"/>
      </w:divBdr>
    </w:div>
    <w:div w:id="1375697908">
      <w:bodyDiv w:val="1"/>
      <w:marLeft w:val="0"/>
      <w:marRight w:val="0"/>
      <w:marTop w:val="0"/>
      <w:marBottom w:val="0"/>
      <w:divBdr>
        <w:top w:val="none" w:sz="0" w:space="0" w:color="auto"/>
        <w:left w:val="none" w:sz="0" w:space="0" w:color="auto"/>
        <w:bottom w:val="none" w:sz="0" w:space="0" w:color="auto"/>
        <w:right w:val="none" w:sz="0" w:space="0" w:color="auto"/>
      </w:divBdr>
      <w:divsChild>
        <w:div w:id="887107693">
          <w:marLeft w:val="0"/>
          <w:marRight w:val="0"/>
          <w:marTop w:val="0"/>
          <w:marBottom w:val="0"/>
          <w:divBdr>
            <w:top w:val="none" w:sz="0" w:space="0" w:color="auto"/>
            <w:left w:val="none" w:sz="0" w:space="0" w:color="auto"/>
            <w:bottom w:val="none" w:sz="0" w:space="0" w:color="auto"/>
            <w:right w:val="none" w:sz="0" w:space="0" w:color="auto"/>
          </w:divBdr>
          <w:divsChild>
            <w:div w:id="1819541505">
              <w:marLeft w:val="0"/>
              <w:marRight w:val="0"/>
              <w:marTop w:val="0"/>
              <w:marBottom w:val="0"/>
              <w:divBdr>
                <w:top w:val="none" w:sz="0" w:space="0" w:color="auto"/>
                <w:left w:val="none" w:sz="0" w:space="0" w:color="auto"/>
                <w:bottom w:val="none" w:sz="0" w:space="0" w:color="auto"/>
                <w:right w:val="none" w:sz="0" w:space="0" w:color="auto"/>
              </w:divBdr>
              <w:divsChild>
                <w:div w:id="321354890">
                  <w:marLeft w:val="0"/>
                  <w:marRight w:val="0"/>
                  <w:marTop w:val="0"/>
                  <w:marBottom w:val="0"/>
                  <w:divBdr>
                    <w:top w:val="none" w:sz="0" w:space="0" w:color="auto"/>
                    <w:left w:val="none" w:sz="0" w:space="0" w:color="auto"/>
                    <w:bottom w:val="none" w:sz="0" w:space="0" w:color="auto"/>
                    <w:right w:val="none" w:sz="0" w:space="0" w:color="auto"/>
                  </w:divBdr>
                  <w:divsChild>
                    <w:div w:id="2089421848">
                      <w:marLeft w:val="0"/>
                      <w:marRight w:val="0"/>
                      <w:marTop w:val="0"/>
                      <w:marBottom w:val="0"/>
                      <w:divBdr>
                        <w:top w:val="none" w:sz="0" w:space="0" w:color="auto"/>
                        <w:left w:val="none" w:sz="0" w:space="0" w:color="auto"/>
                        <w:bottom w:val="none" w:sz="0" w:space="0" w:color="auto"/>
                        <w:right w:val="none" w:sz="0" w:space="0" w:color="auto"/>
                      </w:divBdr>
                      <w:divsChild>
                        <w:div w:id="1324815531">
                          <w:marLeft w:val="0"/>
                          <w:marRight w:val="0"/>
                          <w:marTop w:val="0"/>
                          <w:marBottom w:val="0"/>
                          <w:divBdr>
                            <w:top w:val="none" w:sz="0" w:space="0" w:color="auto"/>
                            <w:left w:val="none" w:sz="0" w:space="0" w:color="auto"/>
                            <w:bottom w:val="none" w:sz="0" w:space="0" w:color="auto"/>
                            <w:right w:val="none" w:sz="0" w:space="0" w:color="auto"/>
                          </w:divBdr>
                          <w:divsChild>
                            <w:div w:id="77576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554620">
      <w:bodyDiv w:val="1"/>
      <w:marLeft w:val="0"/>
      <w:marRight w:val="0"/>
      <w:marTop w:val="0"/>
      <w:marBottom w:val="0"/>
      <w:divBdr>
        <w:top w:val="none" w:sz="0" w:space="0" w:color="auto"/>
        <w:left w:val="none" w:sz="0" w:space="0" w:color="auto"/>
        <w:bottom w:val="none" w:sz="0" w:space="0" w:color="auto"/>
        <w:right w:val="none" w:sz="0" w:space="0" w:color="auto"/>
      </w:divBdr>
    </w:div>
    <w:div w:id="1389498711">
      <w:bodyDiv w:val="1"/>
      <w:marLeft w:val="0"/>
      <w:marRight w:val="0"/>
      <w:marTop w:val="0"/>
      <w:marBottom w:val="0"/>
      <w:divBdr>
        <w:top w:val="none" w:sz="0" w:space="0" w:color="auto"/>
        <w:left w:val="none" w:sz="0" w:space="0" w:color="auto"/>
        <w:bottom w:val="none" w:sz="0" w:space="0" w:color="auto"/>
        <w:right w:val="none" w:sz="0" w:space="0" w:color="auto"/>
      </w:divBdr>
      <w:divsChild>
        <w:div w:id="1318607890">
          <w:marLeft w:val="0"/>
          <w:marRight w:val="0"/>
          <w:marTop w:val="0"/>
          <w:marBottom w:val="0"/>
          <w:divBdr>
            <w:top w:val="none" w:sz="0" w:space="0" w:color="auto"/>
            <w:left w:val="none" w:sz="0" w:space="0" w:color="auto"/>
            <w:bottom w:val="none" w:sz="0" w:space="0" w:color="auto"/>
            <w:right w:val="none" w:sz="0" w:space="0" w:color="auto"/>
          </w:divBdr>
          <w:divsChild>
            <w:div w:id="1991514182">
              <w:marLeft w:val="0"/>
              <w:marRight w:val="0"/>
              <w:marTop w:val="0"/>
              <w:marBottom w:val="0"/>
              <w:divBdr>
                <w:top w:val="none" w:sz="0" w:space="0" w:color="auto"/>
                <w:left w:val="none" w:sz="0" w:space="0" w:color="auto"/>
                <w:bottom w:val="none" w:sz="0" w:space="0" w:color="auto"/>
                <w:right w:val="none" w:sz="0" w:space="0" w:color="auto"/>
              </w:divBdr>
              <w:divsChild>
                <w:div w:id="1472943273">
                  <w:marLeft w:val="0"/>
                  <w:marRight w:val="0"/>
                  <w:marTop w:val="0"/>
                  <w:marBottom w:val="0"/>
                  <w:divBdr>
                    <w:top w:val="none" w:sz="0" w:space="0" w:color="auto"/>
                    <w:left w:val="none" w:sz="0" w:space="0" w:color="auto"/>
                    <w:bottom w:val="none" w:sz="0" w:space="0" w:color="auto"/>
                    <w:right w:val="none" w:sz="0" w:space="0" w:color="auto"/>
                  </w:divBdr>
                  <w:divsChild>
                    <w:div w:id="633411097">
                      <w:marLeft w:val="0"/>
                      <w:marRight w:val="0"/>
                      <w:marTop w:val="0"/>
                      <w:marBottom w:val="0"/>
                      <w:divBdr>
                        <w:top w:val="none" w:sz="0" w:space="0" w:color="auto"/>
                        <w:left w:val="none" w:sz="0" w:space="0" w:color="auto"/>
                        <w:bottom w:val="none" w:sz="0" w:space="0" w:color="auto"/>
                        <w:right w:val="none" w:sz="0" w:space="0" w:color="auto"/>
                      </w:divBdr>
                      <w:divsChild>
                        <w:div w:id="187986379">
                          <w:marLeft w:val="0"/>
                          <w:marRight w:val="0"/>
                          <w:marTop w:val="0"/>
                          <w:marBottom w:val="0"/>
                          <w:divBdr>
                            <w:top w:val="none" w:sz="0" w:space="0" w:color="auto"/>
                            <w:left w:val="none" w:sz="0" w:space="0" w:color="auto"/>
                            <w:bottom w:val="none" w:sz="0" w:space="0" w:color="auto"/>
                            <w:right w:val="none" w:sz="0" w:space="0" w:color="auto"/>
                          </w:divBdr>
                          <w:divsChild>
                            <w:div w:id="2050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316251">
      <w:bodyDiv w:val="1"/>
      <w:marLeft w:val="0"/>
      <w:marRight w:val="0"/>
      <w:marTop w:val="0"/>
      <w:marBottom w:val="0"/>
      <w:divBdr>
        <w:top w:val="none" w:sz="0" w:space="0" w:color="auto"/>
        <w:left w:val="none" w:sz="0" w:space="0" w:color="auto"/>
        <w:bottom w:val="none" w:sz="0" w:space="0" w:color="auto"/>
        <w:right w:val="none" w:sz="0" w:space="0" w:color="auto"/>
      </w:divBdr>
    </w:div>
    <w:div w:id="1398505292">
      <w:bodyDiv w:val="1"/>
      <w:marLeft w:val="0"/>
      <w:marRight w:val="0"/>
      <w:marTop w:val="0"/>
      <w:marBottom w:val="0"/>
      <w:divBdr>
        <w:top w:val="none" w:sz="0" w:space="0" w:color="auto"/>
        <w:left w:val="none" w:sz="0" w:space="0" w:color="auto"/>
        <w:bottom w:val="none" w:sz="0" w:space="0" w:color="auto"/>
        <w:right w:val="none" w:sz="0" w:space="0" w:color="auto"/>
      </w:divBdr>
      <w:divsChild>
        <w:div w:id="494758638">
          <w:marLeft w:val="0"/>
          <w:marRight w:val="0"/>
          <w:marTop w:val="0"/>
          <w:marBottom w:val="0"/>
          <w:divBdr>
            <w:top w:val="none" w:sz="0" w:space="0" w:color="auto"/>
            <w:left w:val="none" w:sz="0" w:space="0" w:color="auto"/>
            <w:bottom w:val="none" w:sz="0" w:space="0" w:color="auto"/>
            <w:right w:val="none" w:sz="0" w:space="0" w:color="auto"/>
          </w:divBdr>
          <w:divsChild>
            <w:div w:id="1970091269">
              <w:marLeft w:val="0"/>
              <w:marRight w:val="0"/>
              <w:marTop w:val="0"/>
              <w:marBottom w:val="0"/>
              <w:divBdr>
                <w:top w:val="none" w:sz="0" w:space="0" w:color="auto"/>
                <w:left w:val="none" w:sz="0" w:space="0" w:color="auto"/>
                <w:bottom w:val="none" w:sz="0" w:space="0" w:color="auto"/>
                <w:right w:val="none" w:sz="0" w:space="0" w:color="auto"/>
              </w:divBdr>
              <w:divsChild>
                <w:div w:id="746154762">
                  <w:marLeft w:val="0"/>
                  <w:marRight w:val="0"/>
                  <w:marTop w:val="0"/>
                  <w:marBottom w:val="0"/>
                  <w:divBdr>
                    <w:top w:val="none" w:sz="0" w:space="0" w:color="auto"/>
                    <w:left w:val="none" w:sz="0" w:space="0" w:color="auto"/>
                    <w:bottom w:val="none" w:sz="0" w:space="0" w:color="auto"/>
                    <w:right w:val="none" w:sz="0" w:space="0" w:color="auto"/>
                  </w:divBdr>
                  <w:divsChild>
                    <w:div w:id="624579981">
                      <w:marLeft w:val="0"/>
                      <w:marRight w:val="0"/>
                      <w:marTop w:val="0"/>
                      <w:marBottom w:val="0"/>
                      <w:divBdr>
                        <w:top w:val="none" w:sz="0" w:space="0" w:color="auto"/>
                        <w:left w:val="none" w:sz="0" w:space="0" w:color="auto"/>
                        <w:bottom w:val="none" w:sz="0" w:space="0" w:color="auto"/>
                        <w:right w:val="none" w:sz="0" w:space="0" w:color="auto"/>
                      </w:divBdr>
                      <w:divsChild>
                        <w:div w:id="520242215">
                          <w:marLeft w:val="0"/>
                          <w:marRight w:val="0"/>
                          <w:marTop w:val="0"/>
                          <w:marBottom w:val="0"/>
                          <w:divBdr>
                            <w:top w:val="none" w:sz="0" w:space="0" w:color="auto"/>
                            <w:left w:val="none" w:sz="0" w:space="0" w:color="auto"/>
                            <w:bottom w:val="none" w:sz="0" w:space="0" w:color="auto"/>
                            <w:right w:val="none" w:sz="0" w:space="0" w:color="auto"/>
                          </w:divBdr>
                          <w:divsChild>
                            <w:div w:id="34802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847192">
      <w:bodyDiv w:val="1"/>
      <w:marLeft w:val="0"/>
      <w:marRight w:val="0"/>
      <w:marTop w:val="0"/>
      <w:marBottom w:val="0"/>
      <w:divBdr>
        <w:top w:val="none" w:sz="0" w:space="0" w:color="auto"/>
        <w:left w:val="none" w:sz="0" w:space="0" w:color="auto"/>
        <w:bottom w:val="none" w:sz="0" w:space="0" w:color="auto"/>
        <w:right w:val="none" w:sz="0" w:space="0" w:color="auto"/>
      </w:divBdr>
    </w:div>
    <w:div w:id="1410423931">
      <w:bodyDiv w:val="1"/>
      <w:marLeft w:val="0"/>
      <w:marRight w:val="0"/>
      <w:marTop w:val="0"/>
      <w:marBottom w:val="0"/>
      <w:divBdr>
        <w:top w:val="none" w:sz="0" w:space="0" w:color="auto"/>
        <w:left w:val="none" w:sz="0" w:space="0" w:color="auto"/>
        <w:bottom w:val="none" w:sz="0" w:space="0" w:color="auto"/>
        <w:right w:val="none" w:sz="0" w:space="0" w:color="auto"/>
      </w:divBdr>
      <w:divsChild>
        <w:div w:id="1824079864">
          <w:marLeft w:val="0"/>
          <w:marRight w:val="0"/>
          <w:marTop w:val="0"/>
          <w:marBottom w:val="0"/>
          <w:divBdr>
            <w:top w:val="none" w:sz="0" w:space="0" w:color="auto"/>
            <w:left w:val="none" w:sz="0" w:space="0" w:color="auto"/>
            <w:bottom w:val="none" w:sz="0" w:space="0" w:color="auto"/>
            <w:right w:val="none" w:sz="0" w:space="0" w:color="auto"/>
          </w:divBdr>
          <w:divsChild>
            <w:div w:id="2100906839">
              <w:marLeft w:val="0"/>
              <w:marRight w:val="0"/>
              <w:marTop w:val="0"/>
              <w:marBottom w:val="0"/>
              <w:divBdr>
                <w:top w:val="none" w:sz="0" w:space="0" w:color="auto"/>
                <w:left w:val="none" w:sz="0" w:space="0" w:color="auto"/>
                <w:bottom w:val="none" w:sz="0" w:space="0" w:color="auto"/>
                <w:right w:val="none" w:sz="0" w:space="0" w:color="auto"/>
              </w:divBdr>
              <w:divsChild>
                <w:div w:id="412120969">
                  <w:marLeft w:val="0"/>
                  <w:marRight w:val="0"/>
                  <w:marTop w:val="0"/>
                  <w:marBottom w:val="0"/>
                  <w:divBdr>
                    <w:top w:val="none" w:sz="0" w:space="0" w:color="auto"/>
                    <w:left w:val="none" w:sz="0" w:space="0" w:color="auto"/>
                    <w:bottom w:val="none" w:sz="0" w:space="0" w:color="auto"/>
                    <w:right w:val="none" w:sz="0" w:space="0" w:color="auto"/>
                  </w:divBdr>
                  <w:divsChild>
                    <w:div w:id="365327088">
                      <w:marLeft w:val="0"/>
                      <w:marRight w:val="0"/>
                      <w:marTop w:val="0"/>
                      <w:marBottom w:val="0"/>
                      <w:divBdr>
                        <w:top w:val="none" w:sz="0" w:space="0" w:color="auto"/>
                        <w:left w:val="none" w:sz="0" w:space="0" w:color="auto"/>
                        <w:bottom w:val="none" w:sz="0" w:space="0" w:color="auto"/>
                        <w:right w:val="none" w:sz="0" w:space="0" w:color="auto"/>
                      </w:divBdr>
                      <w:divsChild>
                        <w:div w:id="238561283">
                          <w:marLeft w:val="0"/>
                          <w:marRight w:val="0"/>
                          <w:marTop w:val="0"/>
                          <w:marBottom w:val="0"/>
                          <w:divBdr>
                            <w:top w:val="none" w:sz="0" w:space="0" w:color="auto"/>
                            <w:left w:val="none" w:sz="0" w:space="0" w:color="auto"/>
                            <w:bottom w:val="none" w:sz="0" w:space="0" w:color="auto"/>
                            <w:right w:val="none" w:sz="0" w:space="0" w:color="auto"/>
                          </w:divBdr>
                          <w:divsChild>
                            <w:div w:id="1443913028">
                              <w:marLeft w:val="0"/>
                              <w:marRight w:val="0"/>
                              <w:marTop w:val="0"/>
                              <w:marBottom w:val="0"/>
                              <w:divBdr>
                                <w:top w:val="none" w:sz="0" w:space="0" w:color="auto"/>
                                <w:left w:val="none" w:sz="0" w:space="0" w:color="auto"/>
                                <w:bottom w:val="none" w:sz="0" w:space="0" w:color="auto"/>
                                <w:right w:val="none" w:sz="0" w:space="0" w:color="auto"/>
                              </w:divBdr>
                              <w:divsChild>
                                <w:div w:id="1530678873">
                                  <w:marLeft w:val="0"/>
                                  <w:marRight w:val="0"/>
                                  <w:marTop w:val="0"/>
                                  <w:marBottom w:val="0"/>
                                  <w:divBdr>
                                    <w:top w:val="none" w:sz="0" w:space="0" w:color="auto"/>
                                    <w:left w:val="none" w:sz="0" w:space="0" w:color="auto"/>
                                    <w:bottom w:val="none" w:sz="0" w:space="0" w:color="auto"/>
                                    <w:right w:val="none" w:sz="0" w:space="0" w:color="auto"/>
                                  </w:divBdr>
                                  <w:divsChild>
                                    <w:div w:id="66726421">
                                      <w:marLeft w:val="0"/>
                                      <w:marRight w:val="0"/>
                                      <w:marTop w:val="0"/>
                                      <w:marBottom w:val="0"/>
                                      <w:divBdr>
                                        <w:top w:val="none" w:sz="0" w:space="0" w:color="auto"/>
                                        <w:left w:val="none" w:sz="0" w:space="0" w:color="auto"/>
                                        <w:bottom w:val="none" w:sz="0" w:space="0" w:color="auto"/>
                                        <w:right w:val="none" w:sz="0" w:space="0" w:color="auto"/>
                                      </w:divBdr>
                                      <w:divsChild>
                                        <w:div w:id="916287002">
                                          <w:marLeft w:val="0"/>
                                          <w:marRight w:val="0"/>
                                          <w:marTop w:val="0"/>
                                          <w:marBottom w:val="0"/>
                                          <w:divBdr>
                                            <w:top w:val="none" w:sz="0" w:space="0" w:color="auto"/>
                                            <w:left w:val="none" w:sz="0" w:space="0" w:color="auto"/>
                                            <w:bottom w:val="none" w:sz="0" w:space="0" w:color="auto"/>
                                            <w:right w:val="none" w:sz="0" w:space="0" w:color="auto"/>
                                          </w:divBdr>
                                          <w:divsChild>
                                            <w:div w:id="1714571053">
                                              <w:marLeft w:val="0"/>
                                              <w:marRight w:val="0"/>
                                              <w:marTop w:val="0"/>
                                              <w:marBottom w:val="0"/>
                                              <w:divBdr>
                                                <w:top w:val="none" w:sz="0" w:space="0" w:color="auto"/>
                                                <w:left w:val="none" w:sz="0" w:space="0" w:color="auto"/>
                                                <w:bottom w:val="none" w:sz="0" w:space="0" w:color="auto"/>
                                                <w:right w:val="none" w:sz="0" w:space="0" w:color="auto"/>
                                              </w:divBdr>
                                              <w:divsChild>
                                                <w:div w:id="1530727044">
                                                  <w:marLeft w:val="0"/>
                                                  <w:marRight w:val="0"/>
                                                  <w:marTop w:val="0"/>
                                                  <w:marBottom w:val="0"/>
                                                  <w:divBdr>
                                                    <w:top w:val="none" w:sz="0" w:space="0" w:color="auto"/>
                                                    <w:left w:val="none" w:sz="0" w:space="0" w:color="auto"/>
                                                    <w:bottom w:val="none" w:sz="0" w:space="0" w:color="auto"/>
                                                    <w:right w:val="none" w:sz="0" w:space="0" w:color="auto"/>
                                                  </w:divBdr>
                                                  <w:divsChild>
                                                    <w:div w:id="145732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83998">
                                      <w:marLeft w:val="0"/>
                                      <w:marRight w:val="0"/>
                                      <w:marTop w:val="0"/>
                                      <w:marBottom w:val="0"/>
                                      <w:divBdr>
                                        <w:top w:val="none" w:sz="0" w:space="0" w:color="auto"/>
                                        <w:left w:val="none" w:sz="0" w:space="0" w:color="auto"/>
                                        <w:bottom w:val="none" w:sz="0" w:space="0" w:color="auto"/>
                                        <w:right w:val="none" w:sz="0" w:space="0" w:color="auto"/>
                                      </w:divBdr>
                                      <w:divsChild>
                                        <w:div w:id="6010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438651">
          <w:marLeft w:val="0"/>
          <w:marRight w:val="0"/>
          <w:marTop w:val="0"/>
          <w:marBottom w:val="0"/>
          <w:divBdr>
            <w:top w:val="none" w:sz="0" w:space="0" w:color="auto"/>
            <w:left w:val="none" w:sz="0" w:space="0" w:color="auto"/>
            <w:bottom w:val="none" w:sz="0" w:space="0" w:color="auto"/>
            <w:right w:val="none" w:sz="0" w:space="0" w:color="auto"/>
          </w:divBdr>
          <w:divsChild>
            <w:div w:id="1816800578">
              <w:marLeft w:val="0"/>
              <w:marRight w:val="0"/>
              <w:marTop w:val="0"/>
              <w:marBottom w:val="0"/>
              <w:divBdr>
                <w:top w:val="none" w:sz="0" w:space="0" w:color="auto"/>
                <w:left w:val="none" w:sz="0" w:space="0" w:color="auto"/>
                <w:bottom w:val="none" w:sz="0" w:space="0" w:color="auto"/>
                <w:right w:val="none" w:sz="0" w:space="0" w:color="auto"/>
              </w:divBdr>
              <w:divsChild>
                <w:div w:id="1350910413">
                  <w:marLeft w:val="0"/>
                  <w:marRight w:val="0"/>
                  <w:marTop w:val="0"/>
                  <w:marBottom w:val="0"/>
                  <w:divBdr>
                    <w:top w:val="none" w:sz="0" w:space="0" w:color="auto"/>
                    <w:left w:val="none" w:sz="0" w:space="0" w:color="auto"/>
                    <w:bottom w:val="none" w:sz="0" w:space="0" w:color="auto"/>
                    <w:right w:val="none" w:sz="0" w:space="0" w:color="auto"/>
                  </w:divBdr>
                  <w:divsChild>
                    <w:div w:id="393624402">
                      <w:marLeft w:val="0"/>
                      <w:marRight w:val="0"/>
                      <w:marTop w:val="0"/>
                      <w:marBottom w:val="0"/>
                      <w:divBdr>
                        <w:top w:val="none" w:sz="0" w:space="0" w:color="auto"/>
                        <w:left w:val="none" w:sz="0" w:space="0" w:color="auto"/>
                        <w:bottom w:val="none" w:sz="0" w:space="0" w:color="auto"/>
                        <w:right w:val="none" w:sz="0" w:space="0" w:color="auto"/>
                      </w:divBdr>
                      <w:divsChild>
                        <w:div w:id="9509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543550">
      <w:bodyDiv w:val="1"/>
      <w:marLeft w:val="0"/>
      <w:marRight w:val="0"/>
      <w:marTop w:val="0"/>
      <w:marBottom w:val="0"/>
      <w:divBdr>
        <w:top w:val="none" w:sz="0" w:space="0" w:color="auto"/>
        <w:left w:val="none" w:sz="0" w:space="0" w:color="auto"/>
        <w:bottom w:val="none" w:sz="0" w:space="0" w:color="auto"/>
        <w:right w:val="none" w:sz="0" w:space="0" w:color="auto"/>
      </w:divBdr>
      <w:divsChild>
        <w:div w:id="1917280452">
          <w:marLeft w:val="0"/>
          <w:marRight w:val="0"/>
          <w:marTop w:val="0"/>
          <w:marBottom w:val="0"/>
          <w:divBdr>
            <w:top w:val="none" w:sz="0" w:space="0" w:color="auto"/>
            <w:left w:val="none" w:sz="0" w:space="0" w:color="auto"/>
            <w:bottom w:val="none" w:sz="0" w:space="0" w:color="auto"/>
            <w:right w:val="none" w:sz="0" w:space="0" w:color="auto"/>
          </w:divBdr>
          <w:divsChild>
            <w:div w:id="463929824">
              <w:marLeft w:val="0"/>
              <w:marRight w:val="0"/>
              <w:marTop w:val="0"/>
              <w:marBottom w:val="0"/>
              <w:divBdr>
                <w:top w:val="none" w:sz="0" w:space="0" w:color="auto"/>
                <w:left w:val="none" w:sz="0" w:space="0" w:color="auto"/>
                <w:bottom w:val="none" w:sz="0" w:space="0" w:color="auto"/>
                <w:right w:val="none" w:sz="0" w:space="0" w:color="auto"/>
              </w:divBdr>
              <w:divsChild>
                <w:div w:id="670909816">
                  <w:marLeft w:val="0"/>
                  <w:marRight w:val="0"/>
                  <w:marTop w:val="0"/>
                  <w:marBottom w:val="0"/>
                  <w:divBdr>
                    <w:top w:val="none" w:sz="0" w:space="0" w:color="auto"/>
                    <w:left w:val="none" w:sz="0" w:space="0" w:color="auto"/>
                    <w:bottom w:val="none" w:sz="0" w:space="0" w:color="auto"/>
                    <w:right w:val="none" w:sz="0" w:space="0" w:color="auto"/>
                  </w:divBdr>
                  <w:divsChild>
                    <w:div w:id="2006206613">
                      <w:marLeft w:val="0"/>
                      <w:marRight w:val="0"/>
                      <w:marTop w:val="0"/>
                      <w:marBottom w:val="0"/>
                      <w:divBdr>
                        <w:top w:val="none" w:sz="0" w:space="0" w:color="auto"/>
                        <w:left w:val="none" w:sz="0" w:space="0" w:color="auto"/>
                        <w:bottom w:val="none" w:sz="0" w:space="0" w:color="auto"/>
                        <w:right w:val="none" w:sz="0" w:space="0" w:color="auto"/>
                      </w:divBdr>
                      <w:divsChild>
                        <w:div w:id="1603487038">
                          <w:marLeft w:val="0"/>
                          <w:marRight w:val="0"/>
                          <w:marTop w:val="0"/>
                          <w:marBottom w:val="0"/>
                          <w:divBdr>
                            <w:top w:val="none" w:sz="0" w:space="0" w:color="auto"/>
                            <w:left w:val="none" w:sz="0" w:space="0" w:color="auto"/>
                            <w:bottom w:val="none" w:sz="0" w:space="0" w:color="auto"/>
                            <w:right w:val="none" w:sz="0" w:space="0" w:color="auto"/>
                          </w:divBdr>
                          <w:divsChild>
                            <w:div w:id="13089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066943">
      <w:bodyDiv w:val="1"/>
      <w:marLeft w:val="0"/>
      <w:marRight w:val="0"/>
      <w:marTop w:val="0"/>
      <w:marBottom w:val="0"/>
      <w:divBdr>
        <w:top w:val="none" w:sz="0" w:space="0" w:color="auto"/>
        <w:left w:val="none" w:sz="0" w:space="0" w:color="auto"/>
        <w:bottom w:val="none" w:sz="0" w:space="0" w:color="auto"/>
        <w:right w:val="none" w:sz="0" w:space="0" w:color="auto"/>
      </w:divBdr>
      <w:divsChild>
        <w:div w:id="852457165">
          <w:marLeft w:val="0"/>
          <w:marRight w:val="0"/>
          <w:marTop w:val="0"/>
          <w:marBottom w:val="0"/>
          <w:divBdr>
            <w:top w:val="none" w:sz="0" w:space="0" w:color="auto"/>
            <w:left w:val="none" w:sz="0" w:space="0" w:color="auto"/>
            <w:bottom w:val="none" w:sz="0" w:space="0" w:color="auto"/>
            <w:right w:val="none" w:sz="0" w:space="0" w:color="auto"/>
          </w:divBdr>
          <w:divsChild>
            <w:div w:id="1977029404">
              <w:marLeft w:val="0"/>
              <w:marRight w:val="0"/>
              <w:marTop w:val="0"/>
              <w:marBottom w:val="0"/>
              <w:divBdr>
                <w:top w:val="none" w:sz="0" w:space="0" w:color="auto"/>
                <w:left w:val="none" w:sz="0" w:space="0" w:color="auto"/>
                <w:bottom w:val="none" w:sz="0" w:space="0" w:color="auto"/>
                <w:right w:val="none" w:sz="0" w:space="0" w:color="auto"/>
              </w:divBdr>
              <w:divsChild>
                <w:div w:id="1148739514">
                  <w:marLeft w:val="0"/>
                  <w:marRight w:val="0"/>
                  <w:marTop w:val="0"/>
                  <w:marBottom w:val="0"/>
                  <w:divBdr>
                    <w:top w:val="none" w:sz="0" w:space="0" w:color="auto"/>
                    <w:left w:val="none" w:sz="0" w:space="0" w:color="auto"/>
                    <w:bottom w:val="none" w:sz="0" w:space="0" w:color="auto"/>
                    <w:right w:val="none" w:sz="0" w:space="0" w:color="auto"/>
                  </w:divBdr>
                  <w:divsChild>
                    <w:div w:id="1148787712">
                      <w:marLeft w:val="0"/>
                      <w:marRight w:val="0"/>
                      <w:marTop w:val="0"/>
                      <w:marBottom w:val="0"/>
                      <w:divBdr>
                        <w:top w:val="none" w:sz="0" w:space="0" w:color="auto"/>
                        <w:left w:val="none" w:sz="0" w:space="0" w:color="auto"/>
                        <w:bottom w:val="none" w:sz="0" w:space="0" w:color="auto"/>
                        <w:right w:val="none" w:sz="0" w:space="0" w:color="auto"/>
                      </w:divBdr>
                      <w:divsChild>
                        <w:div w:id="1626237050">
                          <w:marLeft w:val="0"/>
                          <w:marRight w:val="0"/>
                          <w:marTop w:val="0"/>
                          <w:marBottom w:val="0"/>
                          <w:divBdr>
                            <w:top w:val="none" w:sz="0" w:space="0" w:color="auto"/>
                            <w:left w:val="none" w:sz="0" w:space="0" w:color="auto"/>
                            <w:bottom w:val="none" w:sz="0" w:space="0" w:color="auto"/>
                            <w:right w:val="none" w:sz="0" w:space="0" w:color="auto"/>
                          </w:divBdr>
                          <w:divsChild>
                            <w:div w:id="10092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700286">
      <w:bodyDiv w:val="1"/>
      <w:marLeft w:val="0"/>
      <w:marRight w:val="0"/>
      <w:marTop w:val="0"/>
      <w:marBottom w:val="0"/>
      <w:divBdr>
        <w:top w:val="none" w:sz="0" w:space="0" w:color="auto"/>
        <w:left w:val="none" w:sz="0" w:space="0" w:color="auto"/>
        <w:bottom w:val="none" w:sz="0" w:space="0" w:color="auto"/>
        <w:right w:val="none" w:sz="0" w:space="0" w:color="auto"/>
      </w:divBdr>
    </w:div>
    <w:div w:id="1432436360">
      <w:bodyDiv w:val="1"/>
      <w:marLeft w:val="0"/>
      <w:marRight w:val="0"/>
      <w:marTop w:val="0"/>
      <w:marBottom w:val="0"/>
      <w:divBdr>
        <w:top w:val="none" w:sz="0" w:space="0" w:color="auto"/>
        <w:left w:val="none" w:sz="0" w:space="0" w:color="auto"/>
        <w:bottom w:val="none" w:sz="0" w:space="0" w:color="auto"/>
        <w:right w:val="none" w:sz="0" w:space="0" w:color="auto"/>
      </w:divBdr>
      <w:divsChild>
        <w:div w:id="1628703086">
          <w:marLeft w:val="0"/>
          <w:marRight w:val="0"/>
          <w:marTop w:val="0"/>
          <w:marBottom w:val="0"/>
          <w:divBdr>
            <w:top w:val="none" w:sz="0" w:space="0" w:color="auto"/>
            <w:left w:val="none" w:sz="0" w:space="0" w:color="auto"/>
            <w:bottom w:val="none" w:sz="0" w:space="0" w:color="auto"/>
            <w:right w:val="none" w:sz="0" w:space="0" w:color="auto"/>
          </w:divBdr>
          <w:divsChild>
            <w:div w:id="697972732">
              <w:marLeft w:val="0"/>
              <w:marRight w:val="0"/>
              <w:marTop w:val="0"/>
              <w:marBottom w:val="0"/>
              <w:divBdr>
                <w:top w:val="none" w:sz="0" w:space="0" w:color="auto"/>
                <w:left w:val="none" w:sz="0" w:space="0" w:color="auto"/>
                <w:bottom w:val="none" w:sz="0" w:space="0" w:color="auto"/>
                <w:right w:val="none" w:sz="0" w:space="0" w:color="auto"/>
              </w:divBdr>
              <w:divsChild>
                <w:div w:id="766848057">
                  <w:marLeft w:val="0"/>
                  <w:marRight w:val="0"/>
                  <w:marTop w:val="0"/>
                  <w:marBottom w:val="0"/>
                  <w:divBdr>
                    <w:top w:val="none" w:sz="0" w:space="0" w:color="auto"/>
                    <w:left w:val="none" w:sz="0" w:space="0" w:color="auto"/>
                    <w:bottom w:val="none" w:sz="0" w:space="0" w:color="auto"/>
                    <w:right w:val="none" w:sz="0" w:space="0" w:color="auto"/>
                  </w:divBdr>
                  <w:divsChild>
                    <w:div w:id="2034576198">
                      <w:marLeft w:val="0"/>
                      <w:marRight w:val="0"/>
                      <w:marTop w:val="0"/>
                      <w:marBottom w:val="0"/>
                      <w:divBdr>
                        <w:top w:val="none" w:sz="0" w:space="0" w:color="auto"/>
                        <w:left w:val="none" w:sz="0" w:space="0" w:color="auto"/>
                        <w:bottom w:val="none" w:sz="0" w:space="0" w:color="auto"/>
                        <w:right w:val="none" w:sz="0" w:space="0" w:color="auto"/>
                      </w:divBdr>
                      <w:divsChild>
                        <w:div w:id="457456821">
                          <w:marLeft w:val="0"/>
                          <w:marRight w:val="0"/>
                          <w:marTop w:val="0"/>
                          <w:marBottom w:val="0"/>
                          <w:divBdr>
                            <w:top w:val="none" w:sz="0" w:space="0" w:color="auto"/>
                            <w:left w:val="none" w:sz="0" w:space="0" w:color="auto"/>
                            <w:bottom w:val="none" w:sz="0" w:space="0" w:color="auto"/>
                            <w:right w:val="none" w:sz="0" w:space="0" w:color="auto"/>
                          </w:divBdr>
                          <w:divsChild>
                            <w:div w:id="302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600779">
      <w:bodyDiv w:val="1"/>
      <w:marLeft w:val="0"/>
      <w:marRight w:val="0"/>
      <w:marTop w:val="0"/>
      <w:marBottom w:val="0"/>
      <w:divBdr>
        <w:top w:val="none" w:sz="0" w:space="0" w:color="auto"/>
        <w:left w:val="none" w:sz="0" w:space="0" w:color="auto"/>
        <w:bottom w:val="none" w:sz="0" w:space="0" w:color="auto"/>
        <w:right w:val="none" w:sz="0" w:space="0" w:color="auto"/>
      </w:divBdr>
    </w:div>
    <w:div w:id="1440951075">
      <w:bodyDiv w:val="1"/>
      <w:marLeft w:val="0"/>
      <w:marRight w:val="0"/>
      <w:marTop w:val="0"/>
      <w:marBottom w:val="0"/>
      <w:divBdr>
        <w:top w:val="none" w:sz="0" w:space="0" w:color="auto"/>
        <w:left w:val="none" w:sz="0" w:space="0" w:color="auto"/>
        <w:bottom w:val="none" w:sz="0" w:space="0" w:color="auto"/>
        <w:right w:val="none" w:sz="0" w:space="0" w:color="auto"/>
      </w:divBdr>
    </w:div>
    <w:div w:id="1453284062">
      <w:bodyDiv w:val="1"/>
      <w:marLeft w:val="0"/>
      <w:marRight w:val="0"/>
      <w:marTop w:val="0"/>
      <w:marBottom w:val="0"/>
      <w:divBdr>
        <w:top w:val="none" w:sz="0" w:space="0" w:color="auto"/>
        <w:left w:val="none" w:sz="0" w:space="0" w:color="auto"/>
        <w:bottom w:val="none" w:sz="0" w:space="0" w:color="auto"/>
        <w:right w:val="none" w:sz="0" w:space="0" w:color="auto"/>
      </w:divBdr>
      <w:divsChild>
        <w:div w:id="172696447">
          <w:marLeft w:val="0"/>
          <w:marRight w:val="0"/>
          <w:marTop w:val="0"/>
          <w:marBottom w:val="0"/>
          <w:divBdr>
            <w:top w:val="none" w:sz="0" w:space="0" w:color="auto"/>
            <w:left w:val="none" w:sz="0" w:space="0" w:color="auto"/>
            <w:bottom w:val="none" w:sz="0" w:space="0" w:color="auto"/>
            <w:right w:val="none" w:sz="0" w:space="0" w:color="auto"/>
          </w:divBdr>
          <w:divsChild>
            <w:div w:id="1513643939">
              <w:marLeft w:val="0"/>
              <w:marRight w:val="0"/>
              <w:marTop w:val="0"/>
              <w:marBottom w:val="0"/>
              <w:divBdr>
                <w:top w:val="none" w:sz="0" w:space="0" w:color="auto"/>
                <w:left w:val="none" w:sz="0" w:space="0" w:color="auto"/>
                <w:bottom w:val="none" w:sz="0" w:space="0" w:color="auto"/>
                <w:right w:val="none" w:sz="0" w:space="0" w:color="auto"/>
              </w:divBdr>
              <w:divsChild>
                <w:div w:id="1326468154">
                  <w:marLeft w:val="0"/>
                  <w:marRight w:val="0"/>
                  <w:marTop w:val="0"/>
                  <w:marBottom w:val="0"/>
                  <w:divBdr>
                    <w:top w:val="none" w:sz="0" w:space="0" w:color="auto"/>
                    <w:left w:val="none" w:sz="0" w:space="0" w:color="auto"/>
                    <w:bottom w:val="none" w:sz="0" w:space="0" w:color="auto"/>
                    <w:right w:val="none" w:sz="0" w:space="0" w:color="auto"/>
                  </w:divBdr>
                  <w:divsChild>
                    <w:div w:id="1382707603">
                      <w:marLeft w:val="0"/>
                      <w:marRight w:val="0"/>
                      <w:marTop w:val="0"/>
                      <w:marBottom w:val="0"/>
                      <w:divBdr>
                        <w:top w:val="none" w:sz="0" w:space="0" w:color="auto"/>
                        <w:left w:val="none" w:sz="0" w:space="0" w:color="auto"/>
                        <w:bottom w:val="none" w:sz="0" w:space="0" w:color="auto"/>
                        <w:right w:val="none" w:sz="0" w:space="0" w:color="auto"/>
                      </w:divBdr>
                      <w:divsChild>
                        <w:div w:id="336427062">
                          <w:marLeft w:val="0"/>
                          <w:marRight w:val="0"/>
                          <w:marTop w:val="0"/>
                          <w:marBottom w:val="0"/>
                          <w:divBdr>
                            <w:top w:val="none" w:sz="0" w:space="0" w:color="auto"/>
                            <w:left w:val="none" w:sz="0" w:space="0" w:color="auto"/>
                            <w:bottom w:val="none" w:sz="0" w:space="0" w:color="auto"/>
                            <w:right w:val="none" w:sz="0" w:space="0" w:color="auto"/>
                          </w:divBdr>
                          <w:divsChild>
                            <w:div w:id="180231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413424">
      <w:bodyDiv w:val="1"/>
      <w:marLeft w:val="0"/>
      <w:marRight w:val="0"/>
      <w:marTop w:val="0"/>
      <w:marBottom w:val="0"/>
      <w:divBdr>
        <w:top w:val="none" w:sz="0" w:space="0" w:color="auto"/>
        <w:left w:val="none" w:sz="0" w:space="0" w:color="auto"/>
        <w:bottom w:val="none" w:sz="0" w:space="0" w:color="auto"/>
        <w:right w:val="none" w:sz="0" w:space="0" w:color="auto"/>
      </w:divBdr>
    </w:div>
    <w:div w:id="1468431019">
      <w:bodyDiv w:val="1"/>
      <w:marLeft w:val="0"/>
      <w:marRight w:val="0"/>
      <w:marTop w:val="0"/>
      <w:marBottom w:val="0"/>
      <w:divBdr>
        <w:top w:val="none" w:sz="0" w:space="0" w:color="auto"/>
        <w:left w:val="none" w:sz="0" w:space="0" w:color="auto"/>
        <w:bottom w:val="none" w:sz="0" w:space="0" w:color="auto"/>
        <w:right w:val="none" w:sz="0" w:space="0" w:color="auto"/>
      </w:divBdr>
    </w:div>
    <w:div w:id="1480220859">
      <w:bodyDiv w:val="1"/>
      <w:marLeft w:val="0"/>
      <w:marRight w:val="0"/>
      <w:marTop w:val="0"/>
      <w:marBottom w:val="0"/>
      <w:divBdr>
        <w:top w:val="none" w:sz="0" w:space="0" w:color="auto"/>
        <w:left w:val="none" w:sz="0" w:space="0" w:color="auto"/>
        <w:bottom w:val="none" w:sz="0" w:space="0" w:color="auto"/>
        <w:right w:val="none" w:sz="0" w:space="0" w:color="auto"/>
      </w:divBdr>
    </w:div>
    <w:div w:id="1516379972">
      <w:bodyDiv w:val="1"/>
      <w:marLeft w:val="0"/>
      <w:marRight w:val="0"/>
      <w:marTop w:val="0"/>
      <w:marBottom w:val="0"/>
      <w:divBdr>
        <w:top w:val="none" w:sz="0" w:space="0" w:color="auto"/>
        <w:left w:val="none" w:sz="0" w:space="0" w:color="auto"/>
        <w:bottom w:val="none" w:sz="0" w:space="0" w:color="auto"/>
        <w:right w:val="none" w:sz="0" w:space="0" w:color="auto"/>
      </w:divBdr>
    </w:div>
    <w:div w:id="1520967192">
      <w:bodyDiv w:val="1"/>
      <w:marLeft w:val="0"/>
      <w:marRight w:val="0"/>
      <w:marTop w:val="0"/>
      <w:marBottom w:val="0"/>
      <w:divBdr>
        <w:top w:val="none" w:sz="0" w:space="0" w:color="auto"/>
        <w:left w:val="none" w:sz="0" w:space="0" w:color="auto"/>
        <w:bottom w:val="none" w:sz="0" w:space="0" w:color="auto"/>
        <w:right w:val="none" w:sz="0" w:space="0" w:color="auto"/>
      </w:divBdr>
      <w:divsChild>
        <w:div w:id="1159923705">
          <w:marLeft w:val="0"/>
          <w:marRight w:val="0"/>
          <w:marTop w:val="0"/>
          <w:marBottom w:val="0"/>
          <w:divBdr>
            <w:top w:val="none" w:sz="0" w:space="0" w:color="auto"/>
            <w:left w:val="none" w:sz="0" w:space="0" w:color="auto"/>
            <w:bottom w:val="none" w:sz="0" w:space="0" w:color="auto"/>
            <w:right w:val="none" w:sz="0" w:space="0" w:color="auto"/>
          </w:divBdr>
          <w:divsChild>
            <w:div w:id="699597279">
              <w:marLeft w:val="0"/>
              <w:marRight w:val="0"/>
              <w:marTop w:val="0"/>
              <w:marBottom w:val="0"/>
              <w:divBdr>
                <w:top w:val="none" w:sz="0" w:space="0" w:color="auto"/>
                <w:left w:val="none" w:sz="0" w:space="0" w:color="auto"/>
                <w:bottom w:val="none" w:sz="0" w:space="0" w:color="auto"/>
                <w:right w:val="none" w:sz="0" w:space="0" w:color="auto"/>
              </w:divBdr>
              <w:divsChild>
                <w:div w:id="380131202">
                  <w:marLeft w:val="0"/>
                  <w:marRight w:val="0"/>
                  <w:marTop w:val="0"/>
                  <w:marBottom w:val="0"/>
                  <w:divBdr>
                    <w:top w:val="none" w:sz="0" w:space="0" w:color="auto"/>
                    <w:left w:val="none" w:sz="0" w:space="0" w:color="auto"/>
                    <w:bottom w:val="none" w:sz="0" w:space="0" w:color="auto"/>
                    <w:right w:val="none" w:sz="0" w:space="0" w:color="auto"/>
                  </w:divBdr>
                  <w:divsChild>
                    <w:div w:id="1804271713">
                      <w:marLeft w:val="0"/>
                      <w:marRight w:val="0"/>
                      <w:marTop w:val="0"/>
                      <w:marBottom w:val="0"/>
                      <w:divBdr>
                        <w:top w:val="none" w:sz="0" w:space="0" w:color="auto"/>
                        <w:left w:val="none" w:sz="0" w:space="0" w:color="auto"/>
                        <w:bottom w:val="none" w:sz="0" w:space="0" w:color="auto"/>
                        <w:right w:val="none" w:sz="0" w:space="0" w:color="auto"/>
                      </w:divBdr>
                      <w:divsChild>
                        <w:div w:id="659698084">
                          <w:marLeft w:val="0"/>
                          <w:marRight w:val="0"/>
                          <w:marTop w:val="0"/>
                          <w:marBottom w:val="0"/>
                          <w:divBdr>
                            <w:top w:val="none" w:sz="0" w:space="0" w:color="auto"/>
                            <w:left w:val="none" w:sz="0" w:space="0" w:color="auto"/>
                            <w:bottom w:val="none" w:sz="0" w:space="0" w:color="auto"/>
                            <w:right w:val="none" w:sz="0" w:space="0" w:color="auto"/>
                          </w:divBdr>
                          <w:divsChild>
                            <w:div w:id="11354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067201">
      <w:bodyDiv w:val="1"/>
      <w:marLeft w:val="0"/>
      <w:marRight w:val="0"/>
      <w:marTop w:val="0"/>
      <w:marBottom w:val="0"/>
      <w:divBdr>
        <w:top w:val="none" w:sz="0" w:space="0" w:color="auto"/>
        <w:left w:val="none" w:sz="0" w:space="0" w:color="auto"/>
        <w:bottom w:val="none" w:sz="0" w:space="0" w:color="auto"/>
        <w:right w:val="none" w:sz="0" w:space="0" w:color="auto"/>
      </w:divBdr>
    </w:div>
    <w:div w:id="1551917023">
      <w:bodyDiv w:val="1"/>
      <w:marLeft w:val="0"/>
      <w:marRight w:val="0"/>
      <w:marTop w:val="0"/>
      <w:marBottom w:val="0"/>
      <w:divBdr>
        <w:top w:val="none" w:sz="0" w:space="0" w:color="auto"/>
        <w:left w:val="none" w:sz="0" w:space="0" w:color="auto"/>
        <w:bottom w:val="none" w:sz="0" w:space="0" w:color="auto"/>
        <w:right w:val="none" w:sz="0" w:space="0" w:color="auto"/>
      </w:divBdr>
      <w:divsChild>
        <w:div w:id="95028600">
          <w:marLeft w:val="0"/>
          <w:marRight w:val="0"/>
          <w:marTop w:val="0"/>
          <w:marBottom w:val="0"/>
          <w:divBdr>
            <w:top w:val="none" w:sz="0" w:space="0" w:color="auto"/>
            <w:left w:val="none" w:sz="0" w:space="0" w:color="auto"/>
            <w:bottom w:val="none" w:sz="0" w:space="0" w:color="auto"/>
            <w:right w:val="none" w:sz="0" w:space="0" w:color="auto"/>
          </w:divBdr>
          <w:divsChild>
            <w:div w:id="150798383">
              <w:marLeft w:val="0"/>
              <w:marRight w:val="0"/>
              <w:marTop w:val="0"/>
              <w:marBottom w:val="0"/>
              <w:divBdr>
                <w:top w:val="none" w:sz="0" w:space="0" w:color="auto"/>
                <w:left w:val="none" w:sz="0" w:space="0" w:color="auto"/>
                <w:bottom w:val="none" w:sz="0" w:space="0" w:color="auto"/>
                <w:right w:val="none" w:sz="0" w:space="0" w:color="auto"/>
              </w:divBdr>
              <w:divsChild>
                <w:div w:id="2038584036">
                  <w:marLeft w:val="0"/>
                  <w:marRight w:val="0"/>
                  <w:marTop w:val="0"/>
                  <w:marBottom w:val="0"/>
                  <w:divBdr>
                    <w:top w:val="none" w:sz="0" w:space="0" w:color="auto"/>
                    <w:left w:val="none" w:sz="0" w:space="0" w:color="auto"/>
                    <w:bottom w:val="none" w:sz="0" w:space="0" w:color="auto"/>
                    <w:right w:val="none" w:sz="0" w:space="0" w:color="auto"/>
                  </w:divBdr>
                  <w:divsChild>
                    <w:div w:id="1704280412">
                      <w:marLeft w:val="0"/>
                      <w:marRight w:val="0"/>
                      <w:marTop w:val="0"/>
                      <w:marBottom w:val="0"/>
                      <w:divBdr>
                        <w:top w:val="none" w:sz="0" w:space="0" w:color="auto"/>
                        <w:left w:val="none" w:sz="0" w:space="0" w:color="auto"/>
                        <w:bottom w:val="none" w:sz="0" w:space="0" w:color="auto"/>
                        <w:right w:val="none" w:sz="0" w:space="0" w:color="auto"/>
                      </w:divBdr>
                      <w:divsChild>
                        <w:div w:id="294993787">
                          <w:marLeft w:val="0"/>
                          <w:marRight w:val="0"/>
                          <w:marTop w:val="0"/>
                          <w:marBottom w:val="0"/>
                          <w:divBdr>
                            <w:top w:val="none" w:sz="0" w:space="0" w:color="auto"/>
                            <w:left w:val="none" w:sz="0" w:space="0" w:color="auto"/>
                            <w:bottom w:val="none" w:sz="0" w:space="0" w:color="auto"/>
                            <w:right w:val="none" w:sz="0" w:space="0" w:color="auto"/>
                          </w:divBdr>
                          <w:divsChild>
                            <w:div w:id="8752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500063">
      <w:bodyDiv w:val="1"/>
      <w:marLeft w:val="0"/>
      <w:marRight w:val="0"/>
      <w:marTop w:val="0"/>
      <w:marBottom w:val="0"/>
      <w:divBdr>
        <w:top w:val="none" w:sz="0" w:space="0" w:color="auto"/>
        <w:left w:val="none" w:sz="0" w:space="0" w:color="auto"/>
        <w:bottom w:val="none" w:sz="0" w:space="0" w:color="auto"/>
        <w:right w:val="none" w:sz="0" w:space="0" w:color="auto"/>
      </w:divBdr>
      <w:divsChild>
        <w:div w:id="1249119796">
          <w:marLeft w:val="0"/>
          <w:marRight w:val="0"/>
          <w:marTop w:val="0"/>
          <w:marBottom w:val="0"/>
          <w:divBdr>
            <w:top w:val="none" w:sz="0" w:space="0" w:color="auto"/>
            <w:left w:val="none" w:sz="0" w:space="0" w:color="auto"/>
            <w:bottom w:val="none" w:sz="0" w:space="0" w:color="auto"/>
            <w:right w:val="none" w:sz="0" w:space="0" w:color="auto"/>
          </w:divBdr>
          <w:divsChild>
            <w:div w:id="993217657">
              <w:marLeft w:val="0"/>
              <w:marRight w:val="0"/>
              <w:marTop w:val="0"/>
              <w:marBottom w:val="0"/>
              <w:divBdr>
                <w:top w:val="none" w:sz="0" w:space="0" w:color="auto"/>
                <w:left w:val="none" w:sz="0" w:space="0" w:color="auto"/>
                <w:bottom w:val="none" w:sz="0" w:space="0" w:color="auto"/>
                <w:right w:val="none" w:sz="0" w:space="0" w:color="auto"/>
              </w:divBdr>
              <w:divsChild>
                <w:div w:id="862092538">
                  <w:marLeft w:val="0"/>
                  <w:marRight w:val="0"/>
                  <w:marTop w:val="0"/>
                  <w:marBottom w:val="0"/>
                  <w:divBdr>
                    <w:top w:val="none" w:sz="0" w:space="0" w:color="auto"/>
                    <w:left w:val="none" w:sz="0" w:space="0" w:color="auto"/>
                    <w:bottom w:val="none" w:sz="0" w:space="0" w:color="auto"/>
                    <w:right w:val="none" w:sz="0" w:space="0" w:color="auto"/>
                  </w:divBdr>
                  <w:divsChild>
                    <w:div w:id="142544351">
                      <w:marLeft w:val="0"/>
                      <w:marRight w:val="0"/>
                      <w:marTop w:val="0"/>
                      <w:marBottom w:val="0"/>
                      <w:divBdr>
                        <w:top w:val="none" w:sz="0" w:space="0" w:color="auto"/>
                        <w:left w:val="none" w:sz="0" w:space="0" w:color="auto"/>
                        <w:bottom w:val="none" w:sz="0" w:space="0" w:color="auto"/>
                        <w:right w:val="none" w:sz="0" w:space="0" w:color="auto"/>
                      </w:divBdr>
                      <w:divsChild>
                        <w:div w:id="1383021259">
                          <w:marLeft w:val="0"/>
                          <w:marRight w:val="0"/>
                          <w:marTop w:val="0"/>
                          <w:marBottom w:val="0"/>
                          <w:divBdr>
                            <w:top w:val="none" w:sz="0" w:space="0" w:color="auto"/>
                            <w:left w:val="none" w:sz="0" w:space="0" w:color="auto"/>
                            <w:bottom w:val="none" w:sz="0" w:space="0" w:color="auto"/>
                            <w:right w:val="none" w:sz="0" w:space="0" w:color="auto"/>
                          </w:divBdr>
                          <w:divsChild>
                            <w:div w:id="189677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731912">
      <w:bodyDiv w:val="1"/>
      <w:marLeft w:val="0"/>
      <w:marRight w:val="0"/>
      <w:marTop w:val="0"/>
      <w:marBottom w:val="0"/>
      <w:divBdr>
        <w:top w:val="none" w:sz="0" w:space="0" w:color="auto"/>
        <w:left w:val="none" w:sz="0" w:space="0" w:color="auto"/>
        <w:bottom w:val="none" w:sz="0" w:space="0" w:color="auto"/>
        <w:right w:val="none" w:sz="0" w:space="0" w:color="auto"/>
      </w:divBdr>
      <w:divsChild>
        <w:div w:id="1248147846">
          <w:marLeft w:val="0"/>
          <w:marRight w:val="0"/>
          <w:marTop w:val="0"/>
          <w:marBottom w:val="0"/>
          <w:divBdr>
            <w:top w:val="none" w:sz="0" w:space="0" w:color="auto"/>
            <w:left w:val="none" w:sz="0" w:space="0" w:color="auto"/>
            <w:bottom w:val="none" w:sz="0" w:space="0" w:color="auto"/>
            <w:right w:val="none" w:sz="0" w:space="0" w:color="auto"/>
          </w:divBdr>
          <w:divsChild>
            <w:div w:id="730276755">
              <w:marLeft w:val="0"/>
              <w:marRight w:val="0"/>
              <w:marTop w:val="0"/>
              <w:marBottom w:val="0"/>
              <w:divBdr>
                <w:top w:val="none" w:sz="0" w:space="0" w:color="auto"/>
                <w:left w:val="none" w:sz="0" w:space="0" w:color="auto"/>
                <w:bottom w:val="none" w:sz="0" w:space="0" w:color="auto"/>
                <w:right w:val="none" w:sz="0" w:space="0" w:color="auto"/>
              </w:divBdr>
              <w:divsChild>
                <w:div w:id="1349600529">
                  <w:marLeft w:val="0"/>
                  <w:marRight w:val="0"/>
                  <w:marTop w:val="0"/>
                  <w:marBottom w:val="0"/>
                  <w:divBdr>
                    <w:top w:val="none" w:sz="0" w:space="0" w:color="auto"/>
                    <w:left w:val="none" w:sz="0" w:space="0" w:color="auto"/>
                    <w:bottom w:val="none" w:sz="0" w:space="0" w:color="auto"/>
                    <w:right w:val="none" w:sz="0" w:space="0" w:color="auto"/>
                  </w:divBdr>
                  <w:divsChild>
                    <w:div w:id="1174371539">
                      <w:marLeft w:val="0"/>
                      <w:marRight w:val="0"/>
                      <w:marTop w:val="0"/>
                      <w:marBottom w:val="0"/>
                      <w:divBdr>
                        <w:top w:val="none" w:sz="0" w:space="0" w:color="auto"/>
                        <w:left w:val="none" w:sz="0" w:space="0" w:color="auto"/>
                        <w:bottom w:val="none" w:sz="0" w:space="0" w:color="auto"/>
                        <w:right w:val="none" w:sz="0" w:space="0" w:color="auto"/>
                      </w:divBdr>
                      <w:divsChild>
                        <w:div w:id="1982998162">
                          <w:marLeft w:val="0"/>
                          <w:marRight w:val="0"/>
                          <w:marTop w:val="0"/>
                          <w:marBottom w:val="0"/>
                          <w:divBdr>
                            <w:top w:val="none" w:sz="0" w:space="0" w:color="auto"/>
                            <w:left w:val="none" w:sz="0" w:space="0" w:color="auto"/>
                            <w:bottom w:val="none" w:sz="0" w:space="0" w:color="auto"/>
                            <w:right w:val="none" w:sz="0" w:space="0" w:color="auto"/>
                          </w:divBdr>
                          <w:divsChild>
                            <w:div w:id="191235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46569">
      <w:bodyDiv w:val="1"/>
      <w:marLeft w:val="0"/>
      <w:marRight w:val="0"/>
      <w:marTop w:val="0"/>
      <w:marBottom w:val="0"/>
      <w:divBdr>
        <w:top w:val="none" w:sz="0" w:space="0" w:color="auto"/>
        <w:left w:val="none" w:sz="0" w:space="0" w:color="auto"/>
        <w:bottom w:val="none" w:sz="0" w:space="0" w:color="auto"/>
        <w:right w:val="none" w:sz="0" w:space="0" w:color="auto"/>
      </w:divBdr>
    </w:div>
    <w:div w:id="1586764027">
      <w:bodyDiv w:val="1"/>
      <w:marLeft w:val="0"/>
      <w:marRight w:val="0"/>
      <w:marTop w:val="0"/>
      <w:marBottom w:val="0"/>
      <w:divBdr>
        <w:top w:val="none" w:sz="0" w:space="0" w:color="auto"/>
        <w:left w:val="none" w:sz="0" w:space="0" w:color="auto"/>
        <w:bottom w:val="none" w:sz="0" w:space="0" w:color="auto"/>
        <w:right w:val="none" w:sz="0" w:space="0" w:color="auto"/>
      </w:divBdr>
    </w:div>
    <w:div w:id="1602909997">
      <w:bodyDiv w:val="1"/>
      <w:marLeft w:val="0"/>
      <w:marRight w:val="0"/>
      <w:marTop w:val="0"/>
      <w:marBottom w:val="0"/>
      <w:divBdr>
        <w:top w:val="none" w:sz="0" w:space="0" w:color="auto"/>
        <w:left w:val="none" w:sz="0" w:space="0" w:color="auto"/>
        <w:bottom w:val="none" w:sz="0" w:space="0" w:color="auto"/>
        <w:right w:val="none" w:sz="0" w:space="0" w:color="auto"/>
      </w:divBdr>
      <w:divsChild>
        <w:div w:id="79299066">
          <w:marLeft w:val="0"/>
          <w:marRight w:val="0"/>
          <w:marTop w:val="0"/>
          <w:marBottom w:val="0"/>
          <w:divBdr>
            <w:top w:val="none" w:sz="0" w:space="0" w:color="auto"/>
            <w:left w:val="none" w:sz="0" w:space="0" w:color="auto"/>
            <w:bottom w:val="none" w:sz="0" w:space="0" w:color="auto"/>
            <w:right w:val="none" w:sz="0" w:space="0" w:color="auto"/>
          </w:divBdr>
          <w:divsChild>
            <w:div w:id="200943419">
              <w:marLeft w:val="0"/>
              <w:marRight w:val="0"/>
              <w:marTop w:val="0"/>
              <w:marBottom w:val="0"/>
              <w:divBdr>
                <w:top w:val="none" w:sz="0" w:space="0" w:color="auto"/>
                <w:left w:val="none" w:sz="0" w:space="0" w:color="auto"/>
                <w:bottom w:val="none" w:sz="0" w:space="0" w:color="auto"/>
                <w:right w:val="none" w:sz="0" w:space="0" w:color="auto"/>
              </w:divBdr>
              <w:divsChild>
                <w:div w:id="2052921362">
                  <w:marLeft w:val="0"/>
                  <w:marRight w:val="0"/>
                  <w:marTop w:val="0"/>
                  <w:marBottom w:val="0"/>
                  <w:divBdr>
                    <w:top w:val="none" w:sz="0" w:space="0" w:color="auto"/>
                    <w:left w:val="none" w:sz="0" w:space="0" w:color="auto"/>
                    <w:bottom w:val="none" w:sz="0" w:space="0" w:color="auto"/>
                    <w:right w:val="none" w:sz="0" w:space="0" w:color="auto"/>
                  </w:divBdr>
                  <w:divsChild>
                    <w:div w:id="641815104">
                      <w:marLeft w:val="0"/>
                      <w:marRight w:val="0"/>
                      <w:marTop w:val="0"/>
                      <w:marBottom w:val="0"/>
                      <w:divBdr>
                        <w:top w:val="none" w:sz="0" w:space="0" w:color="auto"/>
                        <w:left w:val="none" w:sz="0" w:space="0" w:color="auto"/>
                        <w:bottom w:val="none" w:sz="0" w:space="0" w:color="auto"/>
                        <w:right w:val="none" w:sz="0" w:space="0" w:color="auto"/>
                      </w:divBdr>
                      <w:divsChild>
                        <w:div w:id="1743791981">
                          <w:marLeft w:val="0"/>
                          <w:marRight w:val="0"/>
                          <w:marTop w:val="0"/>
                          <w:marBottom w:val="0"/>
                          <w:divBdr>
                            <w:top w:val="none" w:sz="0" w:space="0" w:color="auto"/>
                            <w:left w:val="none" w:sz="0" w:space="0" w:color="auto"/>
                            <w:bottom w:val="none" w:sz="0" w:space="0" w:color="auto"/>
                            <w:right w:val="none" w:sz="0" w:space="0" w:color="auto"/>
                          </w:divBdr>
                          <w:divsChild>
                            <w:div w:id="922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397041">
      <w:bodyDiv w:val="1"/>
      <w:marLeft w:val="0"/>
      <w:marRight w:val="0"/>
      <w:marTop w:val="0"/>
      <w:marBottom w:val="0"/>
      <w:divBdr>
        <w:top w:val="none" w:sz="0" w:space="0" w:color="auto"/>
        <w:left w:val="none" w:sz="0" w:space="0" w:color="auto"/>
        <w:bottom w:val="none" w:sz="0" w:space="0" w:color="auto"/>
        <w:right w:val="none" w:sz="0" w:space="0" w:color="auto"/>
      </w:divBdr>
    </w:div>
    <w:div w:id="1613394606">
      <w:bodyDiv w:val="1"/>
      <w:marLeft w:val="0"/>
      <w:marRight w:val="0"/>
      <w:marTop w:val="0"/>
      <w:marBottom w:val="0"/>
      <w:divBdr>
        <w:top w:val="none" w:sz="0" w:space="0" w:color="auto"/>
        <w:left w:val="none" w:sz="0" w:space="0" w:color="auto"/>
        <w:bottom w:val="none" w:sz="0" w:space="0" w:color="auto"/>
        <w:right w:val="none" w:sz="0" w:space="0" w:color="auto"/>
      </w:divBdr>
    </w:div>
    <w:div w:id="1619677152">
      <w:bodyDiv w:val="1"/>
      <w:marLeft w:val="0"/>
      <w:marRight w:val="0"/>
      <w:marTop w:val="0"/>
      <w:marBottom w:val="0"/>
      <w:divBdr>
        <w:top w:val="none" w:sz="0" w:space="0" w:color="auto"/>
        <w:left w:val="none" w:sz="0" w:space="0" w:color="auto"/>
        <w:bottom w:val="none" w:sz="0" w:space="0" w:color="auto"/>
        <w:right w:val="none" w:sz="0" w:space="0" w:color="auto"/>
      </w:divBdr>
    </w:div>
    <w:div w:id="1626308188">
      <w:bodyDiv w:val="1"/>
      <w:marLeft w:val="0"/>
      <w:marRight w:val="0"/>
      <w:marTop w:val="0"/>
      <w:marBottom w:val="0"/>
      <w:divBdr>
        <w:top w:val="none" w:sz="0" w:space="0" w:color="auto"/>
        <w:left w:val="none" w:sz="0" w:space="0" w:color="auto"/>
        <w:bottom w:val="none" w:sz="0" w:space="0" w:color="auto"/>
        <w:right w:val="none" w:sz="0" w:space="0" w:color="auto"/>
      </w:divBdr>
    </w:div>
    <w:div w:id="1630433023">
      <w:bodyDiv w:val="1"/>
      <w:marLeft w:val="0"/>
      <w:marRight w:val="0"/>
      <w:marTop w:val="0"/>
      <w:marBottom w:val="0"/>
      <w:divBdr>
        <w:top w:val="none" w:sz="0" w:space="0" w:color="auto"/>
        <w:left w:val="none" w:sz="0" w:space="0" w:color="auto"/>
        <w:bottom w:val="none" w:sz="0" w:space="0" w:color="auto"/>
        <w:right w:val="none" w:sz="0" w:space="0" w:color="auto"/>
      </w:divBdr>
    </w:div>
    <w:div w:id="1630894849">
      <w:bodyDiv w:val="1"/>
      <w:marLeft w:val="0"/>
      <w:marRight w:val="0"/>
      <w:marTop w:val="0"/>
      <w:marBottom w:val="0"/>
      <w:divBdr>
        <w:top w:val="none" w:sz="0" w:space="0" w:color="auto"/>
        <w:left w:val="none" w:sz="0" w:space="0" w:color="auto"/>
        <w:bottom w:val="none" w:sz="0" w:space="0" w:color="auto"/>
        <w:right w:val="none" w:sz="0" w:space="0" w:color="auto"/>
      </w:divBdr>
    </w:div>
    <w:div w:id="1667053428">
      <w:bodyDiv w:val="1"/>
      <w:marLeft w:val="0"/>
      <w:marRight w:val="0"/>
      <w:marTop w:val="0"/>
      <w:marBottom w:val="0"/>
      <w:divBdr>
        <w:top w:val="none" w:sz="0" w:space="0" w:color="auto"/>
        <w:left w:val="none" w:sz="0" w:space="0" w:color="auto"/>
        <w:bottom w:val="none" w:sz="0" w:space="0" w:color="auto"/>
        <w:right w:val="none" w:sz="0" w:space="0" w:color="auto"/>
      </w:divBdr>
    </w:div>
    <w:div w:id="1671059458">
      <w:bodyDiv w:val="1"/>
      <w:marLeft w:val="0"/>
      <w:marRight w:val="0"/>
      <w:marTop w:val="0"/>
      <w:marBottom w:val="0"/>
      <w:divBdr>
        <w:top w:val="none" w:sz="0" w:space="0" w:color="auto"/>
        <w:left w:val="none" w:sz="0" w:space="0" w:color="auto"/>
        <w:bottom w:val="none" w:sz="0" w:space="0" w:color="auto"/>
        <w:right w:val="none" w:sz="0" w:space="0" w:color="auto"/>
      </w:divBdr>
      <w:divsChild>
        <w:div w:id="922183773">
          <w:marLeft w:val="0"/>
          <w:marRight w:val="0"/>
          <w:marTop w:val="0"/>
          <w:marBottom w:val="0"/>
          <w:divBdr>
            <w:top w:val="none" w:sz="0" w:space="0" w:color="auto"/>
            <w:left w:val="none" w:sz="0" w:space="0" w:color="auto"/>
            <w:bottom w:val="none" w:sz="0" w:space="0" w:color="auto"/>
            <w:right w:val="none" w:sz="0" w:space="0" w:color="auto"/>
          </w:divBdr>
          <w:divsChild>
            <w:div w:id="1158234044">
              <w:marLeft w:val="0"/>
              <w:marRight w:val="0"/>
              <w:marTop w:val="0"/>
              <w:marBottom w:val="0"/>
              <w:divBdr>
                <w:top w:val="none" w:sz="0" w:space="0" w:color="auto"/>
                <w:left w:val="none" w:sz="0" w:space="0" w:color="auto"/>
                <w:bottom w:val="none" w:sz="0" w:space="0" w:color="auto"/>
                <w:right w:val="none" w:sz="0" w:space="0" w:color="auto"/>
              </w:divBdr>
              <w:divsChild>
                <w:div w:id="727649072">
                  <w:marLeft w:val="0"/>
                  <w:marRight w:val="0"/>
                  <w:marTop w:val="0"/>
                  <w:marBottom w:val="0"/>
                  <w:divBdr>
                    <w:top w:val="none" w:sz="0" w:space="0" w:color="auto"/>
                    <w:left w:val="none" w:sz="0" w:space="0" w:color="auto"/>
                    <w:bottom w:val="none" w:sz="0" w:space="0" w:color="auto"/>
                    <w:right w:val="none" w:sz="0" w:space="0" w:color="auto"/>
                  </w:divBdr>
                  <w:divsChild>
                    <w:div w:id="1808476834">
                      <w:marLeft w:val="0"/>
                      <w:marRight w:val="0"/>
                      <w:marTop w:val="0"/>
                      <w:marBottom w:val="0"/>
                      <w:divBdr>
                        <w:top w:val="none" w:sz="0" w:space="0" w:color="auto"/>
                        <w:left w:val="none" w:sz="0" w:space="0" w:color="auto"/>
                        <w:bottom w:val="none" w:sz="0" w:space="0" w:color="auto"/>
                        <w:right w:val="none" w:sz="0" w:space="0" w:color="auto"/>
                      </w:divBdr>
                      <w:divsChild>
                        <w:div w:id="831986973">
                          <w:marLeft w:val="0"/>
                          <w:marRight w:val="0"/>
                          <w:marTop w:val="0"/>
                          <w:marBottom w:val="0"/>
                          <w:divBdr>
                            <w:top w:val="none" w:sz="0" w:space="0" w:color="auto"/>
                            <w:left w:val="none" w:sz="0" w:space="0" w:color="auto"/>
                            <w:bottom w:val="none" w:sz="0" w:space="0" w:color="auto"/>
                            <w:right w:val="none" w:sz="0" w:space="0" w:color="auto"/>
                          </w:divBdr>
                          <w:divsChild>
                            <w:div w:id="12930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818664">
      <w:bodyDiv w:val="1"/>
      <w:marLeft w:val="0"/>
      <w:marRight w:val="0"/>
      <w:marTop w:val="0"/>
      <w:marBottom w:val="0"/>
      <w:divBdr>
        <w:top w:val="none" w:sz="0" w:space="0" w:color="auto"/>
        <w:left w:val="none" w:sz="0" w:space="0" w:color="auto"/>
        <w:bottom w:val="none" w:sz="0" w:space="0" w:color="auto"/>
        <w:right w:val="none" w:sz="0" w:space="0" w:color="auto"/>
      </w:divBdr>
    </w:div>
    <w:div w:id="1691836445">
      <w:bodyDiv w:val="1"/>
      <w:marLeft w:val="0"/>
      <w:marRight w:val="0"/>
      <w:marTop w:val="0"/>
      <w:marBottom w:val="0"/>
      <w:divBdr>
        <w:top w:val="none" w:sz="0" w:space="0" w:color="auto"/>
        <w:left w:val="none" w:sz="0" w:space="0" w:color="auto"/>
        <w:bottom w:val="none" w:sz="0" w:space="0" w:color="auto"/>
        <w:right w:val="none" w:sz="0" w:space="0" w:color="auto"/>
      </w:divBdr>
    </w:div>
    <w:div w:id="1698266689">
      <w:bodyDiv w:val="1"/>
      <w:marLeft w:val="0"/>
      <w:marRight w:val="0"/>
      <w:marTop w:val="0"/>
      <w:marBottom w:val="0"/>
      <w:divBdr>
        <w:top w:val="none" w:sz="0" w:space="0" w:color="auto"/>
        <w:left w:val="none" w:sz="0" w:space="0" w:color="auto"/>
        <w:bottom w:val="none" w:sz="0" w:space="0" w:color="auto"/>
        <w:right w:val="none" w:sz="0" w:space="0" w:color="auto"/>
      </w:divBdr>
      <w:divsChild>
        <w:div w:id="1908999872">
          <w:marLeft w:val="0"/>
          <w:marRight w:val="0"/>
          <w:marTop w:val="0"/>
          <w:marBottom w:val="0"/>
          <w:divBdr>
            <w:top w:val="none" w:sz="0" w:space="0" w:color="auto"/>
            <w:left w:val="none" w:sz="0" w:space="0" w:color="auto"/>
            <w:bottom w:val="none" w:sz="0" w:space="0" w:color="auto"/>
            <w:right w:val="none" w:sz="0" w:space="0" w:color="auto"/>
          </w:divBdr>
          <w:divsChild>
            <w:div w:id="1922638830">
              <w:marLeft w:val="0"/>
              <w:marRight w:val="0"/>
              <w:marTop w:val="0"/>
              <w:marBottom w:val="0"/>
              <w:divBdr>
                <w:top w:val="none" w:sz="0" w:space="0" w:color="auto"/>
                <w:left w:val="none" w:sz="0" w:space="0" w:color="auto"/>
                <w:bottom w:val="none" w:sz="0" w:space="0" w:color="auto"/>
                <w:right w:val="none" w:sz="0" w:space="0" w:color="auto"/>
              </w:divBdr>
              <w:divsChild>
                <w:div w:id="1998917552">
                  <w:marLeft w:val="0"/>
                  <w:marRight w:val="0"/>
                  <w:marTop w:val="0"/>
                  <w:marBottom w:val="0"/>
                  <w:divBdr>
                    <w:top w:val="none" w:sz="0" w:space="0" w:color="auto"/>
                    <w:left w:val="none" w:sz="0" w:space="0" w:color="auto"/>
                    <w:bottom w:val="none" w:sz="0" w:space="0" w:color="auto"/>
                    <w:right w:val="none" w:sz="0" w:space="0" w:color="auto"/>
                  </w:divBdr>
                  <w:divsChild>
                    <w:div w:id="1623606910">
                      <w:marLeft w:val="0"/>
                      <w:marRight w:val="0"/>
                      <w:marTop w:val="0"/>
                      <w:marBottom w:val="0"/>
                      <w:divBdr>
                        <w:top w:val="none" w:sz="0" w:space="0" w:color="auto"/>
                        <w:left w:val="none" w:sz="0" w:space="0" w:color="auto"/>
                        <w:bottom w:val="none" w:sz="0" w:space="0" w:color="auto"/>
                        <w:right w:val="none" w:sz="0" w:space="0" w:color="auto"/>
                      </w:divBdr>
                      <w:divsChild>
                        <w:div w:id="631637719">
                          <w:marLeft w:val="0"/>
                          <w:marRight w:val="0"/>
                          <w:marTop w:val="0"/>
                          <w:marBottom w:val="0"/>
                          <w:divBdr>
                            <w:top w:val="none" w:sz="0" w:space="0" w:color="auto"/>
                            <w:left w:val="none" w:sz="0" w:space="0" w:color="auto"/>
                            <w:bottom w:val="none" w:sz="0" w:space="0" w:color="auto"/>
                            <w:right w:val="none" w:sz="0" w:space="0" w:color="auto"/>
                          </w:divBdr>
                          <w:divsChild>
                            <w:div w:id="835651585">
                              <w:marLeft w:val="0"/>
                              <w:marRight w:val="0"/>
                              <w:marTop w:val="0"/>
                              <w:marBottom w:val="0"/>
                              <w:divBdr>
                                <w:top w:val="none" w:sz="0" w:space="0" w:color="auto"/>
                                <w:left w:val="none" w:sz="0" w:space="0" w:color="auto"/>
                                <w:bottom w:val="none" w:sz="0" w:space="0" w:color="auto"/>
                                <w:right w:val="none" w:sz="0" w:space="0" w:color="auto"/>
                              </w:divBdr>
                              <w:divsChild>
                                <w:div w:id="1213158033">
                                  <w:marLeft w:val="0"/>
                                  <w:marRight w:val="0"/>
                                  <w:marTop w:val="0"/>
                                  <w:marBottom w:val="0"/>
                                  <w:divBdr>
                                    <w:top w:val="none" w:sz="0" w:space="0" w:color="auto"/>
                                    <w:left w:val="none" w:sz="0" w:space="0" w:color="auto"/>
                                    <w:bottom w:val="none" w:sz="0" w:space="0" w:color="auto"/>
                                    <w:right w:val="none" w:sz="0" w:space="0" w:color="auto"/>
                                  </w:divBdr>
                                  <w:divsChild>
                                    <w:div w:id="530336748">
                                      <w:marLeft w:val="0"/>
                                      <w:marRight w:val="0"/>
                                      <w:marTop w:val="0"/>
                                      <w:marBottom w:val="0"/>
                                      <w:divBdr>
                                        <w:top w:val="none" w:sz="0" w:space="0" w:color="auto"/>
                                        <w:left w:val="none" w:sz="0" w:space="0" w:color="auto"/>
                                        <w:bottom w:val="none" w:sz="0" w:space="0" w:color="auto"/>
                                        <w:right w:val="none" w:sz="0" w:space="0" w:color="auto"/>
                                      </w:divBdr>
                                      <w:divsChild>
                                        <w:div w:id="1110318720">
                                          <w:marLeft w:val="0"/>
                                          <w:marRight w:val="0"/>
                                          <w:marTop w:val="0"/>
                                          <w:marBottom w:val="0"/>
                                          <w:divBdr>
                                            <w:top w:val="none" w:sz="0" w:space="0" w:color="auto"/>
                                            <w:left w:val="none" w:sz="0" w:space="0" w:color="auto"/>
                                            <w:bottom w:val="none" w:sz="0" w:space="0" w:color="auto"/>
                                            <w:right w:val="none" w:sz="0" w:space="0" w:color="auto"/>
                                          </w:divBdr>
                                          <w:divsChild>
                                            <w:div w:id="112253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4164951">
          <w:marLeft w:val="0"/>
          <w:marRight w:val="0"/>
          <w:marTop w:val="0"/>
          <w:marBottom w:val="0"/>
          <w:divBdr>
            <w:top w:val="none" w:sz="0" w:space="0" w:color="auto"/>
            <w:left w:val="none" w:sz="0" w:space="0" w:color="auto"/>
            <w:bottom w:val="none" w:sz="0" w:space="0" w:color="auto"/>
            <w:right w:val="none" w:sz="0" w:space="0" w:color="auto"/>
          </w:divBdr>
          <w:divsChild>
            <w:div w:id="1429080978">
              <w:marLeft w:val="0"/>
              <w:marRight w:val="0"/>
              <w:marTop w:val="0"/>
              <w:marBottom w:val="0"/>
              <w:divBdr>
                <w:top w:val="none" w:sz="0" w:space="0" w:color="auto"/>
                <w:left w:val="none" w:sz="0" w:space="0" w:color="auto"/>
                <w:bottom w:val="none" w:sz="0" w:space="0" w:color="auto"/>
                <w:right w:val="none" w:sz="0" w:space="0" w:color="auto"/>
              </w:divBdr>
              <w:divsChild>
                <w:div w:id="1856456848">
                  <w:marLeft w:val="0"/>
                  <w:marRight w:val="0"/>
                  <w:marTop w:val="0"/>
                  <w:marBottom w:val="0"/>
                  <w:divBdr>
                    <w:top w:val="none" w:sz="0" w:space="0" w:color="auto"/>
                    <w:left w:val="none" w:sz="0" w:space="0" w:color="auto"/>
                    <w:bottom w:val="none" w:sz="0" w:space="0" w:color="auto"/>
                    <w:right w:val="none" w:sz="0" w:space="0" w:color="auto"/>
                  </w:divBdr>
                  <w:divsChild>
                    <w:div w:id="179245477">
                      <w:marLeft w:val="0"/>
                      <w:marRight w:val="0"/>
                      <w:marTop w:val="0"/>
                      <w:marBottom w:val="0"/>
                      <w:divBdr>
                        <w:top w:val="none" w:sz="0" w:space="0" w:color="auto"/>
                        <w:left w:val="none" w:sz="0" w:space="0" w:color="auto"/>
                        <w:bottom w:val="none" w:sz="0" w:space="0" w:color="auto"/>
                        <w:right w:val="none" w:sz="0" w:space="0" w:color="auto"/>
                      </w:divBdr>
                      <w:divsChild>
                        <w:div w:id="1056777926">
                          <w:marLeft w:val="0"/>
                          <w:marRight w:val="0"/>
                          <w:marTop w:val="0"/>
                          <w:marBottom w:val="0"/>
                          <w:divBdr>
                            <w:top w:val="none" w:sz="0" w:space="0" w:color="auto"/>
                            <w:left w:val="none" w:sz="0" w:space="0" w:color="auto"/>
                            <w:bottom w:val="none" w:sz="0" w:space="0" w:color="auto"/>
                            <w:right w:val="none" w:sz="0" w:space="0" w:color="auto"/>
                          </w:divBdr>
                          <w:divsChild>
                            <w:div w:id="2110849456">
                              <w:marLeft w:val="0"/>
                              <w:marRight w:val="0"/>
                              <w:marTop w:val="0"/>
                              <w:marBottom w:val="0"/>
                              <w:divBdr>
                                <w:top w:val="none" w:sz="0" w:space="0" w:color="auto"/>
                                <w:left w:val="none" w:sz="0" w:space="0" w:color="auto"/>
                                <w:bottom w:val="none" w:sz="0" w:space="0" w:color="auto"/>
                                <w:right w:val="none" w:sz="0" w:space="0" w:color="auto"/>
                              </w:divBdr>
                              <w:divsChild>
                                <w:div w:id="949433014">
                                  <w:marLeft w:val="0"/>
                                  <w:marRight w:val="0"/>
                                  <w:marTop w:val="0"/>
                                  <w:marBottom w:val="0"/>
                                  <w:divBdr>
                                    <w:top w:val="none" w:sz="0" w:space="0" w:color="auto"/>
                                    <w:left w:val="none" w:sz="0" w:space="0" w:color="auto"/>
                                    <w:bottom w:val="none" w:sz="0" w:space="0" w:color="auto"/>
                                    <w:right w:val="none" w:sz="0" w:space="0" w:color="auto"/>
                                  </w:divBdr>
                                  <w:divsChild>
                                    <w:div w:id="785198191">
                                      <w:marLeft w:val="0"/>
                                      <w:marRight w:val="0"/>
                                      <w:marTop w:val="0"/>
                                      <w:marBottom w:val="0"/>
                                      <w:divBdr>
                                        <w:top w:val="none" w:sz="0" w:space="0" w:color="auto"/>
                                        <w:left w:val="none" w:sz="0" w:space="0" w:color="auto"/>
                                        <w:bottom w:val="none" w:sz="0" w:space="0" w:color="auto"/>
                                        <w:right w:val="none" w:sz="0" w:space="0" w:color="auto"/>
                                      </w:divBdr>
                                      <w:divsChild>
                                        <w:div w:id="1395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2248111">
      <w:bodyDiv w:val="1"/>
      <w:marLeft w:val="0"/>
      <w:marRight w:val="0"/>
      <w:marTop w:val="0"/>
      <w:marBottom w:val="0"/>
      <w:divBdr>
        <w:top w:val="none" w:sz="0" w:space="0" w:color="auto"/>
        <w:left w:val="none" w:sz="0" w:space="0" w:color="auto"/>
        <w:bottom w:val="none" w:sz="0" w:space="0" w:color="auto"/>
        <w:right w:val="none" w:sz="0" w:space="0" w:color="auto"/>
      </w:divBdr>
    </w:div>
    <w:div w:id="1708486432">
      <w:bodyDiv w:val="1"/>
      <w:marLeft w:val="0"/>
      <w:marRight w:val="0"/>
      <w:marTop w:val="0"/>
      <w:marBottom w:val="0"/>
      <w:divBdr>
        <w:top w:val="none" w:sz="0" w:space="0" w:color="auto"/>
        <w:left w:val="none" w:sz="0" w:space="0" w:color="auto"/>
        <w:bottom w:val="none" w:sz="0" w:space="0" w:color="auto"/>
        <w:right w:val="none" w:sz="0" w:space="0" w:color="auto"/>
      </w:divBdr>
    </w:div>
    <w:div w:id="1715277909">
      <w:bodyDiv w:val="1"/>
      <w:marLeft w:val="0"/>
      <w:marRight w:val="0"/>
      <w:marTop w:val="0"/>
      <w:marBottom w:val="0"/>
      <w:divBdr>
        <w:top w:val="none" w:sz="0" w:space="0" w:color="auto"/>
        <w:left w:val="none" w:sz="0" w:space="0" w:color="auto"/>
        <w:bottom w:val="none" w:sz="0" w:space="0" w:color="auto"/>
        <w:right w:val="none" w:sz="0" w:space="0" w:color="auto"/>
      </w:divBdr>
    </w:div>
    <w:div w:id="1716655737">
      <w:bodyDiv w:val="1"/>
      <w:marLeft w:val="0"/>
      <w:marRight w:val="0"/>
      <w:marTop w:val="0"/>
      <w:marBottom w:val="0"/>
      <w:divBdr>
        <w:top w:val="none" w:sz="0" w:space="0" w:color="auto"/>
        <w:left w:val="none" w:sz="0" w:space="0" w:color="auto"/>
        <w:bottom w:val="none" w:sz="0" w:space="0" w:color="auto"/>
        <w:right w:val="none" w:sz="0" w:space="0" w:color="auto"/>
      </w:divBdr>
    </w:div>
    <w:div w:id="1723211750">
      <w:bodyDiv w:val="1"/>
      <w:marLeft w:val="0"/>
      <w:marRight w:val="0"/>
      <w:marTop w:val="0"/>
      <w:marBottom w:val="0"/>
      <w:divBdr>
        <w:top w:val="none" w:sz="0" w:space="0" w:color="auto"/>
        <w:left w:val="none" w:sz="0" w:space="0" w:color="auto"/>
        <w:bottom w:val="none" w:sz="0" w:space="0" w:color="auto"/>
        <w:right w:val="none" w:sz="0" w:space="0" w:color="auto"/>
      </w:divBdr>
      <w:divsChild>
        <w:div w:id="116334033">
          <w:marLeft w:val="0"/>
          <w:marRight w:val="0"/>
          <w:marTop w:val="0"/>
          <w:marBottom w:val="0"/>
          <w:divBdr>
            <w:top w:val="none" w:sz="0" w:space="0" w:color="auto"/>
            <w:left w:val="none" w:sz="0" w:space="0" w:color="auto"/>
            <w:bottom w:val="none" w:sz="0" w:space="0" w:color="auto"/>
            <w:right w:val="none" w:sz="0" w:space="0" w:color="auto"/>
          </w:divBdr>
          <w:divsChild>
            <w:div w:id="2066446892">
              <w:marLeft w:val="0"/>
              <w:marRight w:val="0"/>
              <w:marTop w:val="0"/>
              <w:marBottom w:val="0"/>
              <w:divBdr>
                <w:top w:val="none" w:sz="0" w:space="0" w:color="auto"/>
                <w:left w:val="none" w:sz="0" w:space="0" w:color="auto"/>
                <w:bottom w:val="none" w:sz="0" w:space="0" w:color="auto"/>
                <w:right w:val="none" w:sz="0" w:space="0" w:color="auto"/>
              </w:divBdr>
              <w:divsChild>
                <w:div w:id="968240468">
                  <w:marLeft w:val="0"/>
                  <w:marRight w:val="0"/>
                  <w:marTop w:val="0"/>
                  <w:marBottom w:val="0"/>
                  <w:divBdr>
                    <w:top w:val="none" w:sz="0" w:space="0" w:color="auto"/>
                    <w:left w:val="none" w:sz="0" w:space="0" w:color="auto"/>
                    <w:bottom w:val="none" w:sz="0" w:space="0" w:color="auto"/>
                    <w:right w:val="none" w:sz="0" w:space="0" w:color="auto"/>
                  </w:divBdr>
                  <w:divsChild>
                    <w:div w:id="982003066">
                      <w:marLeft w:val="0"/>
                      <w:marRight w:val="0"/>
                      <w:marTop w:val="0"/>
                      <w:marBottom w:val="0"/>
                      <w:divBdr>
                        <w:top w:val="none" w:sz="0" w:space="0" w:color="auto"/>
                        <w:left w:val="none" w:sz="0" w:space="0" w:color="auto"/>
                        <w:bottom w:val="none" w:sz="0" w:space="0" w:color="auto"/>
                        <w:right w:val="none" w:sz="0" w:space="0" w:color="auto"/>
                      </w:divBdr>
                      <w:divsChild>
                        <w:div w:id="1124423250">
                          <w:marLeft w:val="0"/>
                          <w:marRight w:val="0"/>
                          <w:marTop w:val="0"/>
                          <w:marBottom w:val="0"/>
                          <w:divBdr>
                            <w:top w:val="none" w:sz="0" w:space="0" w:color="auto"/>
                            <w:left w:val="none" w:sz="0" w:space="0" w:color="auto"/>
                            <w:bottom w:val="none" w:sz="0" w:space="0" w:color="auto"/>
                            <w:right w:val="none" w:sz="0" w:space="0" w:color="auto"/>
                          </w:divBdr>
                          <w:divsChild>
                            <w:div w:id="178849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8169365">
      <w:bodyDiv w:val="1"/>
      <w:marLeft w:val="0"/>
      <w:marRight w:val="0"/>
      <w:marTop w:val="0"/>
      <w:marBottom w:val="0"/>
      <w:divBdr>
        <w:top w:val="none" w:sz="0" w:space="0" w:color="auto"/>
        <w:left w:val="none" w:sz="0" w:space="0" w:color="auto"/>
        <w:bottom w:val="none" w:sz="0" w:space="0" w:color="auto"/>
        <w:right w:val="none" w:sz="0" w:space="0" w:color="auto"/>
      </w:divBdr>
    </w:div>
    <w:div w:id="1767112827">
      <w:bodyDiv w:val="1"/>
      <w:marLeft w:val="0"/>
      <w:marRight w:val="0"/>
      <w:marTop w:val="0"/>
      <w:marBottom w:val="0"/>
      <w:divBdr>
        <w:top w:val="none" w:sz="0" w:space="0" w:color="auto"/>
        <w:left w:val="none" w:sz="0" w:space="0" w:color="auto"/>
        <w:bottom w:val="none" w:sz="0" w:space="0" w:color="auto"/>
        <w:right w:val="none" w:sz="0" w:space="0" w:color="auto"/>
      </w:divBdr>
      <w:divsChild>
        <w:div w:id="450705278">
          <w:marLeft w:val="0"/>
          <w:marRight w:val="0"/>
          <w:marTop w:val="0"/>
          <w:marBottom w:val="0"/>
          <w:divBdr>
            <w:top w:val="none" w:sz="0" w:space="0" w:color="auto"/>
            <w:left w:val="none" w:sz="0" w:space="0" w:color="auto"/>
            <w:bottom w:val="none" w:sz="0" w:space="0" w:color="auto"/>
            <w:right w:val="none" w:sz="0" w:space="0" w:color="auto"/>
          </w:divBdr>
          <w:divsChild>
            <w:div w:id="992028081">
              <w:marLeft w:val="0"/>
              <w:marRight w:val="0"/>
              <w:marTop w:val="0"/>
              <w:marBottom w:val="0"/>
              <w:divBdr>
                <w:top w:val="none" w:sz="0" w:space="0" w:color="auto"/>
                <w:left w:val="none" w:sz="0" w:space="0" w:color="auto"/>
                <w:bottom w:val="none" w:sz="0" w:space="0" w:color="auto"/>
                <w:right w:val="none" w:sz="0" w:space="0" w:color="auto"/>
              </w:divBdr>
              <w:divsChild>
                <w:div w:id="999774382">
                  <w:marLeft w:val="0"/>
                  <w:marRight w:val="0"/>
                  <w:marTop w:val="0"/>
                  <w:marBottom w:val="0"/>
                  <w:divBdr>
                    <w:top w:val="none" w:sz="0" w:space="0" w:color="auto"/>
                    <w:left w:val="none" w:sz="0" w:space="0" w:color="auto"/>
                    <w:bottom w:val="none" w:sz="0" w:space="0" w:color="auto"/>
                    <w:right w:val="none" w:sz="0" w:space="0" w:color="auto"/>
                  </w:divBdr>
                  <w:divsChild>
                    <w:div w:id="683749054">
                      <w:marLeft w:val="0"/>
                      <w:marRight w:val="0"/>
                      <w:marTop w:val="0"/>
                      <w:marBottom w:val="0"/>
                      <w:divBdr>
                        <w:top w:val="none" w:sz="0" w:space="0" w:color="auto"/>
                        <w:left w:val="none" w:sz="0" w:space="0" w:color="auto"/>
                        <w:bottom w:val="none" w:sz="0" w:space="0" w:color="auto"/>
                        <w:right w:val="none" w:sz="0" w:space="0" w:color="auto"/>
                      </w:divBdr>
                      <w:divsChild>
                        <w:div w:id="298732213">
                          <w:marLeft w:val="0"/>
                          <w:marRight w:val="0"/>
                          <w:marTop w:val="0"/>
                          <w:marBottom w:val="0"/>
                          <w:divBdr>
                            <w:top w:val="none" w:sz="0" w:space="0" w:color="auto"/>
                            <w:left w:val="none" w:sz="0" w:space="0" w:color="auto"/>
                            <w:bottom w:val="none" w:sz="0" w:space="0" w:color="auto"/>
                            <w:right w:val="none" w:sz="0" w:space="0" w:color="auto"/>
                          </w:divBdr>
                          <w:divsChild>
                            <w:div w:id="183776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707544">
      <w:bodyDiv w:val="1"/>
      <w:marLeft w:val="0"/>
      <w:marRight w:val="0"/>
      <w:marTop w:val="0"/>
      <w:marBottom w:val="0"/>
      <w:divBdr>
        <w:top w:val="none" w:sz="0" w:space="0" w:color="auto"/>
        <w:left w:val="none" w:sz="0" w:space="0" w:color="auto"/>
        <w:bottom w:val="none" w:sz="0" w:space="0" w:color="auto"/>
        <w:right w:val="none" w:sz="0" w:space="0" w:color="auto"/>
      </w:divBdr>
    </w:div>
    <w:div w:id="1791583940">
      <w:bodyDiv w:val="1"/>
      <w:marLeft w:val="0"/>
      <w:marRight w:val="0"/>
      <w:marTop w:val="0"/>
      <w:marBottom w:val="0"/>
      <w:divBdr>
        <w:top w:val="none" w:sz="0" w:space="0" w:color="auto"/>
        <w:left w:val="none" w:sz="0" w:space="0" w:color="auto"/>
        <w:bottom w:val="none" w:sz="0" w:space="0" w:color="auto"/>
        <w:right w:val="none" w:sz="0" w:space="0" w:color="auto"/>
      </w:divBdr>
      <w:divsChild>
        <w:div w:id="2012684473">
          <w:marLeft w:val="0"/>
          <w:marRight w:val="0"/>
          <w:marTop w:val="0"/>
          <w:marBottom w:val="0"/>
          <w:divBdr>
            <w:top w:val="none" w:sz="0" w:space="0" w:color="auto"/>
            <w:left w:val="none" w:sz="0" w:space="0" w:color="auto"/>
            <w:bottom w:val="none" w:sz="0" w:space="0" w:color="auto"/>
            <w:right w:val="none" w:sz="0" w:space="0" w:color="auto"/>
          </w:divBdr>
          <w:divsChild>
            <w:div w:id="1203906202">
              <w:marLeft w:val="0"/>
              <w:marRight w:val="0"/>
              <w:marTop w:val="0"/>
              <w:marBottom w:val="0"/>
              <w:divBdr>
                <w:top w:val="none" w:sz="0" w:space="0" w:color="auto"/>
                <w:left w:val="none" w:sz="0" w:space="0" w:color="auto"/>
                <w:bottom w:val="none" w:sz="0" w:space="0" w:color="auto"/>
                <w:right w:val="none" w:sz="0" w:space="0" w:color="auto"/>
              </w:divBdr>
              <w:divsChild>
                <w:div w:id="224608729">
                  <w:marLeft w:val="0"/>
                  <w:marRight w:val="0"/>
                  <w:marTop w:val="0"/>
                  <w:marBottom w:val="0"/>
                  <w:divBdr>
                    <w:top w:val="none" w:sz="0" w:space="0" w:color="auto"/>
                    <w:left w:val="none" w:sz="0" w:space="0" w:color="auto"/>
                    <w:bottom w:val="none" w:sz="0" w:space="0" w:color="auto"/>
                    <w:right w:val="none" w:sz="0" w:space="0" w:color="auto"/>
                  </w:divBdr>
                  <w:divsChild>
                    <w:div w:id="116723830">
                      <w:marLeft w:val="0"/>
                      <w:marRight w:val="0"/>
                      <w:marTop w:val="0"/>
                      <w:marBottom w:val="0"/>
                      <w:divBdr>
                        <w:top w:val="none" w:sz="0" w:space="0" w:color="auto"/>
                        <w:left w:val="none" w:sz="0" w:space="0" w:color="auto"/>
                        <w:bottom w:val="none" w:sz="0" w:space="0" w:color="auto"/>
                        <w:right w:val="none" w:sz="0" w:space="0" w:color="auto"/>
                      </w:divBdr>
                      <w:divsChild>
                        <w:div w:id="216404450">
                          <w:marLeft w:val="0"/>
                          <w:marRight w:val="0"/>
                          <w:marTop w:val="0"/>
                          <w:marBottom w:val="0"/>
                          <w:divBdr>
                            <w:top w:val="none" w:sz="0" w:space="0" w:color="auto"/>
                            <w:left w:val="none" w:sz="0" w:space="0" w:color="auto"/>
                            <w:bottom w:val="none" w:sz="0" w:space="0" w:color="auto"/>
                            <w:right w:val="none" w:sz="0" w:space="0" w:color="auto"/>
                          </w:divBdr>
                          <w:divsChild>
                            <w:div w:id="75301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355034">
      <w:bodyDiv w:val="1"/>
      <w:marLeft w:val="0"/>
      <w:marRight w:val="0"/>
      <w:marTop w:val="0"/>
      <w:marBottom w:val="0"/>
      <w:divBdr>
        <w:top w:val="none" w:sz="0" w:space="0" w:color="auto"/>
        <w:left w:val="none" w:sz="0" w:space="0" w:color="auto"/>
        <w:bottom w:val="none" w:sz="0" w:space="0" w:color="auto"/>
        <w:right w:val="none" w:sz="0" w:space="0" w:color="auto"/>
      </w:divBdr>
      <w:divsChild>
        <w:div w:id="1331055430">
          <w:marLeft w:val="0"/>
          <w:marRight w:val="0"/>
          <w:marTop w:val="0"/>
          <w:marBottom w:val="0"/>
          <w:divBdr>
            <w:top w:val="none" w:sz="0" w:space="0" w:color="auto"/>
            <w:left w:val="none" w:sz="0" w:space="0" w:color="auto"/>
            <w:bottom w:val="none" w:sz="0" w:space="0" w:color="auto"/>
            <w:right w:val="none" w:sz="0" w:space="0" w:color="auto"/>
          </w:divBdr>
          <w:divsChild>
            <w:div w:id="325324409">
              <w:marLeft w:val="0"/>
              <w:marRight w:val="0"/>
              <w:marTop w:val="0"/>
              <w:marBottom w:val="0"/>
              <w:divBdr>
                <w:top w:val="none" w:sz="0" w:space="0" w:color="auto"/>
                <w:left w:val="none" w:sz="0" w:space="0" w:color="auto"/>
                <w:bottom w:val="none" w:sz="0" w:space="0" w:color="auto"/>
                <w:right w:val="none" w:sz="0" w:space="0" w:color="auto"/>
              </w:divBdr>
              <w:divsChild>
                <w:div w:id="958607190">
                  <w:marLeft w:val="0"/>
                  <w:marRight w:val="0"/>
                  <w:marTop w:val="0"/>
                  <w:marBottom w:val="0"/>
                  <w:divBdr>
                    <w:top w:val="none" w:sz="0" w:space="0" w:color="auto"/>
                    <w:left w:val="none" w:sz="0" w:space="0" w:color="auto"/>
                    <w:bottom w:val="none" w:sz="0" w:space="0" w:color="auto"/>
                    <w:right w:val="none" w:sz="0" w:space="0" w:color="auto"/>
                  </w:divBdr>
                  <w:divsChild>
                    <w:div w:id="1617759241">
                      <w:marLeft w:val="0"/>
                      <w:marRight w:val="0"/>
                      <w:marTop w:val="0"/>
                      <w:marBottom w:val="0"/>
                      <w:divBdr>
                        <w:top w:val="none" w:sz="0" w:space="0" w:color="auto"/>
                        <w:left w:val="none" w:sz="0" w:space="0" w:color="auto"/>
                        <w:bottom w:val="none" w:sz="0" w:space="0" w:color="auto"/>
                        <w:right w:val="none" w:sz="0" w:space="0" w:color="auto"/>
                      </w:divBdr>
                      <w:divsChild>
                        <w:div w:id="480462949">
                          <w:marLeft w:val="0"/>
                          <w:marRight w:val="0"/>
                          <w:marTop w:val="0"/>
                          <w:marBottom w:val="0"/>
                          <w:divBdr>
                            <w:top w:val="none" w:sz="0" w:space="0" w:color="auto"/>
                            <w:left w:val="none" w:sz="0" w:space="0" w:color="auto"/>
                            <w:bottom w:val="none" w:sz="0" w:space="0" w:color="auto"/>
                            <w:right w:val="none" w:sz="0" w:space="0" w:color="auto"/>
                          </w:divBdr>
                          <w:divsChild>
                            <w:div w:id="13090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905887">
      <w:bodyDiv w:val="1"/>
      <w:marLeft w:val="0"/>
      <w:marRight w:val="0"/>
      <w:marTop w:val="0"/>
      <w:marBottom w:val="0"/>
      <w:divBdr>
        <w:top w:val="none" w:sz="0" w:space="0" w:color="auto"/>
        <w:left w:val="none" w:sz="0" w:space="0" w:color="auto"/>
        <w:bottom w:val="none" w:sz="0" w:space="0" w:color="auto"/>
        <w:right w:val="none" w:sz="0" w:space="0" w:color="auto"/>
      </w:divBdr>
    </w:div>
    <w:div w:id="1830634248">
      <w:bodyDiv w:val="1"/>
      <w:marLeft w:val="0"/>
      <w:marRight w:val="0"/>
      <w:marTop w:val="0"/>
      <w:marBottom w:val="0"/>
      <w:divBdr>
        <w:top w:val="none" w:sz="0" w:space="0" w:color="auto"/>
        <w:left w:val="none" w:sz="0" w:space="0" w:color="auto"/>
        <w:bottom w:val="none" w:sz="0" w:space="0" w:color="auto"/>
        <w:right w:val="none" w:sz="0" w:space="0" w:color="auto"/>
      </w:divBdr>
      <w:divsChild>
        <w:div w:id="1355617438">
          <w:marLeft w:val="0"/>
          <w:marRight w:val="0"/>
          <w:marTop w:val="0"/>
          <w:marBottom w:val="0"/>
          <w:divBdr>
            <w:top w:val="none" w:sz="0" w:space="0" w:color="auto"/>
            <w:left w:val="none" w:sz="0" w:space="0" w:color="auto"/>
            <w:bottom w:val="none" w:sz="0" w:space="0" w:color="auto"/>
            <w:right w:val="none" w:sz="0" w:space="0" w:color="auto"/>
          </w:divBdr>
          <w:divsChild>
            <w:div w:id="1634097160">
              <w:marLeft w:val="0"/>
              <w:marRight w:val="0"/>
              <w:marTop w:val="0"/>
              <w:marBottom w:val="0"/>
              <w:divBdr>
                <w:top w:val="none" w:sz="0" w:space="0" w:color="auto"/>
                <w:left w:val="none" w:sz="0" w:space="0" w:color="auto"/>
                <w:bottom w:val="none" w:sz="0" w:space="0" w:color="auto"/>
                <w:right w:val="none" w:sz="0" w:space="0" w:color="auto"/>
              </w:divBdr>
              <w:divsChild>
                <w:div w:id="1959330842">
                  <w:marLeft w:val="0"/>
                  <w:marRight w:val="0"/>
                  <w:marTop w:val="0"/>
                  <w:marBottom w:val="0"/>
                  <w:divBdr>
                    <w:top w:val="none" w:sz="0" w:space="0" w:color="auto"/>
                    <w:left w:val="none" w:sz="0" w:space="0" w:color="auto"/>
                    <w:bottom w:val="none" w:sz="0" w:space="0" w:color="auto"/>
                    <w:right w:val="none" w:sz="0" w:space="0" w:color="auto"/>
                  </w:divBdr>
                  <w:divsChild>
                    <w:div w:id="407266801">
                      <w:marLeft w:val="0"/>
                      <w:marRight w:val="0"/>
                      <w:marTop w:val="0"/>
                      <w:marBottom w:val="0"/>
                      <w:divBdr>
                        <w:top w:val="none" w:sz="0" w:space="0" w:color="auto"/>
                        <w:left w:val="none" w:sz="0" w:space="0" w:color="auto"/>
                        <w:bottom w:val="none" w:sz="0" w:space="0" w:color="auto"/>
                        <w:right w:val="none" w:sz="0" w:space="0" w:color="auto"/>
                      </w:divBdr>
                      <w:divsChild>
                        <w:div w:id="515075404">
                          <w:marLeft w:val="0"/>
                          <w:marRight w:val="0"/>
                          <w:marTop w:val="0"/>
                          <w:marBottom w:val="0"/>
                          <w:divBdr>
                            <w:top w:val="none" w:sz="0" w:space="0" w:color="auto"/>
                            <w:left w:val="none" w:sz="0" w:space="0" w:color="auto"/>
                            <w:bottom w:val="none" w:sz="0" w:space="0" w:color="auto"/>
                            <w:right w:val="none" w:sz="0" w:space="0" w:color="auto"/>
                          </w:divBdr>
                          <w:divsChild>
                            <w:div w:id="1954247048">
                              <w:marLeft w:val="0"/>
                              <w:marRight w:val="0"/>
                              <w:marTop w:val="0"/>
                              <w:marBottom w:val="0"/>
                              <w:divBdr>
                                <w:top w:val="none" w:sz="0" w:space="0" w:color="auto"/>
                                <w:left w:val="none" w:sz="0" w:space="0" w:color="auto"/>
                                <w:bottom w:val="none" w:sz="0" w:space="0" w:color="auto"/>
                                <w:right w:val="none" w:sz="0" w:space="0" w:color="auto"/>
                              </w:divBdr>
                              <w:divsChild>
                                <w:div w:id="1745295842">
                                  <w:marLeft w:val="0"/>
                                  <w:marRight w:val="0"/>
                                  <w:marTop w:val="0"/>
                                  <w:marBottom w:val="0"/>
                                  <w:divBdr>
                                    <w:top w:val="none" w:sz="0" w:space="0" w:color="auto"/>
                                    <w:left w:val="none" w:sz="0" w:space="0" w:color="auto"/>
                                    <w:bottom w:val="none" w:sz="0" w:space="0" w:color="auto"/>
                                    <w:right w:val="none" w:sz="0" w:space="0" w:color="auto"/>
                                  </w:divBdr>
                                  <w:divsChild>
                                    <w:div w:id="1688675700">
                                      <w:marLeft w:val="0"/>
                                      <w:marRight w:val="0"/>
                                      <w:marTop w:val="0"/>
                                      <w:marBottom w:val="0"/>
                                      <w:divBdr>
                                        <w:top w:val="none" w:sz="0" w:space="0" w:color="auto"/>
                                        <w:left w:val="none" w:sz="0" w:space="0" w:color="auto"/>
                                        <w:bottom w:val="none" w:sz="0" w:space="0" w:color="auto"/>
                                        <w:right w:val="none" w:sz="0" w:space="0" w:color="auto"/>
                                      </w:divBdr>
                                      <w:divsChild>
                                        <w:div w:id="1986274666">
                                          <w:marLeft w:val="0"/>
                                          <w:marRight w:val="0"/>
                                          <w:marTop w:val="0"/>
                                          <w:marBottom w:val="0"/>
                                          <w:divBdr>
                                            <w:top w:val="none" w:sz="0" w:space="0" w:color="auto"/>
                                            <w:left w:val="none" w:sz="0" w:space="0" w:color="auto"/>
                                            <w:bottom w:val="none" w:sz="0" w:space="0" w:color="auto"/>
                                            <w:right w:val="none" w:sz="0" w:space="0" w:color="auto"/>
                                          </w:divBdr>
                                          <w:divsChild>
                                            <w:div w:id="79607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327409">
          <w:marLeft w:val="0"/>
          <w:marRight w:val="0"/>
          <w:marTop w:val="0"/>
          <w:marBottom w:val="0"/>
          <w:divBdr>
            <w:top w:val="none" w:sz="0" w:space="0" w:color="auto"/>
            <w:left w:val="none" w:sz="0" w:space="0" w:color="auto"/>
            <w:bottom w:val="none" w:sz="0" w:space="0" w:color="auto"/>
            <w:right w:val="none" w:sz="0" w:space="0" w:color="auto"/>
          </w:divBdr>
          <w:divsChild>
            <w:div w:id="1313287534">
              <w:marLeft w:val="0"/>
              <w:marRight w:val="0"/>
              <w:marTop w:val="0"/>
              <w:marBottom w:val="0"/>
              <w:divBdr>
                <w:top w:val="none" w:sz="0" w:space="0" w:color="auto"/>
                <w:left w:val="none" w:sz="0" w:space="0" w:color="auto"/>
                <w:bottom w:val="none" w:sz="0" w:space="0" w:color="auto"/>
                <w:right w:val="none" w:sz="0" w:space="0" w:color="auto"/>
              </w:divBdr>
              <w:divsChild>
                <w:div w:id="1256742891">
                  <w:marLeft w:val="0"/>
                  <w:marRight w:val="0"/>
                  <w:marTop w:val="0"/>
                  <w:marBottom w:val="0"/>
                  <w:divBdr>
                    <w:top w:val="none" w:sz="0" w:space="0" w:color="auto"/>
                    <w:left w:val="none" w:sz="0" w:space="0" w:color="auto"/>
                    <w:bottom w:val="none" w:sz="0" w:space="0" w:color="auto"/>
                    <w:right w:val="none" w:sz="0" w:space="0" w:color="auto"/>
                  </w:divBdr>
                  <w:divsChild>
                    <w:div w:id="1581137526">
                      <w:marLeft w:val="0"/>
                      <w:marRight w:val="0"/>
                      <w:marTop w:val="0"/>
                      <w:marBottom w:val="0"/>
                      <w:divBdr>
                        <w:top w:val="none" w:sz="0" w:space="0" w:color="auto"/>
                        <w:left w:val="none" w:sz="0" w:space="0" w:color="auto"/>
                        <w:bottom w:val="none" w:sz="0" w:space="0" w:color="auto"/>
                        <w:right w:val="none" w:sz="0" w:space="0" w:color="auto"/>
                      </w:divBdr>
                      <w:divsChild>
                        <w:div w:id="149057126">
                          <w:marLeft w:val="0"/>
                          <w:marRight w:val="0"/>
                          <w:marTop w:val="0"/>
                          <w:marBottom w:val="0"/>
                          <w:divBdr>
                            <w:top w:val="none" w:sz="0" w:space="0" w:color="auto"/>
                            <w:left w:val="none" w:sz="0" w:space="0" w:color="auto"/>
                            <w:bottom w:val="none" w:sz="0" w:space="0" w:color="auto"/>
                            <w:right w:val="none" w:sz="0" w:space="0" w:color="auto"/>
                          </w:divBdr>
                          <w:divsChild>
                            <w:div w:id="1726635201">
                              <w:marLeft w:val="0"/>
                              <w:marRight w:val="0"/>
                              <w:marTop w:val="0"/>
                              <w:marBottom w:val="0"/>
                              <w:divBdr>
                                <w:top w:val="none" w:sz="0" w:space="0" w:color="auto"/>
                                <w:left w:val="none" w:sz="0" w:space="0" w:color="auto"/>
                                <w:bottom w:val="none" w:sz="0" w:space="0" w:color="auto"/>
                                <w:right w:val="none" w:sz="0" w:space="0" w:color="auto"/>
                              </w:divBdr>
                              <w:divsChild>
                                <w:div w:id="1782336270">
                                  <w:marLeft w:val="0"/>
                                  <w:marRight w:val="0"/>
                                  <w:marTop w:val="0"/>
                                  <w:marBottom w:val="0"/>
                                  <w:divBdr>
                                    <w:top w:val="none" w:sz="0" w:space="0" w:color="auto"/>
                                    <w:left w:val="none" w:sz="0" w:space="0" w:color="auto"/>
                                    <w:bottom w:val="none" w:sz="0" w:space="0" w:color="auto"/>
                                    <w:right w:val="none" w:sz="0" w:space="0" w:color="auto"/>
                                  </w:divBdr>
                                  <w:divsChild>
                                    <w:div w:id="1012680298">
                                      <w:marLeft w:val="0"/>
                                      <w:marRight w:val="0"/>
                                      <w:marTop w:val="0"/>
                                      <w:marBottom w:val="0"/>
                                      <w:divBdr>
                                        <w:top w:val="none" w:sz="0" w:space="0" w:color="auto"/>
                                        <w:left w:val="none" w:sz="0" w:space="0" w:color="auto"/>
                                        <w:bottom w:val="none" w:sz="0" w:space="0" w:color="auto"/>
                                        <w:right w:val="none" w:sz="0" w:space="0" w:color="auto"/>
                                      </w:divBdr>
                                      <w:divsChild>
                                        <w:div w:id="206100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930986">
      <w:bodyDiv w:val="1"/>
      <w:marLeft w:val="0"/>
      <w:marRight w:val="0"/>
      <w:marTop w:val="0"/>
      <w:marBottom w:val="0"/>
      <w:divBdr>
        <w:top w:val="none" w:sz="0" w:space="0" w:color="auto"/>
        <w:left w:val="none" w:sz="0" w:space="0" w:color="auto"/>
        <w:bottom w:val="none" w:sz="0" w:space="0" w:color="auto"/>
        <w:right w:val="none" w:sz="0" w:space="0" w:color="auto"/>
      </w:divBdr>
      <w:divsChild>
        <w:div w:id="67191055">
          <w:marLeft w:val="0"/>
          <w:marRight w:val="0"/>
          <w:marTop w:val="0"/>
          <w:marBottom w:val="0"/>
          <w:divBdr>
            <w:top w:val="none" w:sz="0" w:space="0" w:color="auto"/>
            <w:left w:val="none" w:sz="0" w:space="0" w:color="auto"/>
            <w:bottom w:val="none" w:sz="0" w:space="0" w:color="auto"/>
            <w:right w:val="none" w:sz="0" w:space="0" w:color="auto"/>
          </w:divBdr>
          <w:divsChild>
            <w:div w:id="861211485">
              <w:marLeft w:val="0"/>
              <w:marRight w:val="0"/>
              <w:marTop w:val="0"/>
              <w:marBottom w:val="0"/>
              <w:divBdr>
                <w:top w:val="none" w:sz="0" w:space="0" w:color="auto"/>
                <w:left w:val="none" w:sz="0" w:space="0" w:color="auto"/>
                <w:bottom w:val="none" w:sz="0" w:space="0" w:color="auto"/>
                <w:right w:val="none" w:sz="0" w:space="0" w:color="auto"/>
              </w:divBdr>
              <w:divsChild>
                <w:div w:id="2125417866">
                  <w:marLeft w:val="0"/>
                  <w:marRight w:val="0"/>
                  <w:marTop w:val="0"/>
                  <w:marBottom w:val="0"/>
                  <w:divBdr>
                    <w:top w:val="none" w:sz="0" w:space="0" w:color="auto"/>
                    <w:left w:val="none" w:sz="0" w:space="0" w:color="auto"/>
                    <w:bottom w:val="none" w:sz="0" w:space="0" w:color="auto"/>
                    <w:right w:val="none" w:sz="0" w:space="0" w:color="auto"/>
                  </w:divBdr>
                  <w:divsChild>
                    <w:div w:id="1497333739">
                      <w:marLeft w:val="0"/>
                      <w:marRight w:val="0"/>
                      <w:marTop w:val="0"/>
                      <w:marBottom w:val="0"/>
                      <w:divBdr>
                        <w:top w:val="none" w:sz="0" w:space="0" w:color="auto"/>
                        <w:left w:val="none" w:sz="0" w:space="0" w:color="auto"/>
                        <w:bottom w:val="none" w:sz="0" w:space="0" w:color="auto"/>
                        <w:right w:val="none" w:sz="0" w:space="0" w:color="auto"/>
                      </w:divBdr>
                      <w:divsChild>
                        <w:div w:id="431780808">
                          <w:marLeft w:val="0"/>
                          <w:marRight w:val="0"/>
                          <w:marTop w:val="0"/>
                          <w:marBottom w:val="0"/>
                          <w:divBdr>
                            <w:top w:val="none" w:sz="0" w:space="0" w:color="auto"/>
                            <w:left w:val="none" w:sz="0" w:space="0" w:color="auto"/>
                            <w:bottom w:val="none" w:sz="0" w:space="0" w:color="auto"/>
                            <w:right w:val="none" w:sz="0" w:space="0" w:color="auto"/>
                          </w:divBdr>
                          <w:divsChild>
                            <w:div w:id="48039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725390">
      <w:bodyDiv w:val="1"/>
      <w:marLeft w:val="0"/>
      <w:marRight w:val="0"/>
      <w:marTop w:val="0"/>
      <w:marBottom w:val="0"/>
      <w:divBdr>
        <w:top w:val="none" w:sz="0" w:space="0" w:color="auto"/>
        <w:left w:val="none" w:sz="0" w:space="0" w:color="auto"/>
        <w:bottom w:val="none" w:sz="0" w:space="0" w:color="auto"/>
        <w:right w:val="none" w:sz="0" w:space="0" w:color="auto"/>
      </w:divBdr>
      <w:divsChild>
        <w:div w:id="2128350682">
          <w:marLeft w:val="0"/>
          <w:marRight w:val="0"/>
          <w:marTop w:val="0"/>
          <w:marBottom w:val="0"/>
          <w:divBdr>
            <w:top w:val="none" w:sz="0" w:space="0" w:color="auto"/>
            <w:left w:val="none" w:sz="0" w:space="0" w:color="auto"/>
            <w:bottom w:val="none" w:sz="0" w:space="0" w:color="auto"/>
            <w:right w:val="none" w:sz="0" w:space="0" w:color="auto"/>
          </w:divBdr>
          <w:divsChild>
            <w:div w:id="1935361993">
              <w:marLeft w:val="0"/>
              <w:marRight w:val="0"/>
              <w:marTop w:val="0"/>
              <w:marBottom w:val="0"/>
              <w:divBdr>
                <w:top w:val="none" w:sz="0" w:space="0" w:color="auto"/>
                <w:left w:val="none" w:sz="0" w:space="0" w:color="auto"/>
                <w:bottom w:val="none" w:sz="0" w:space="0" w:color="auto"/>
                <w:right w:val="none" w:sz="0" w:space="0" w:color="auto"/>
              </w:divBdr>
              <w:divsChild>
                <w:div w:id="168299093">
                  <w:marLeft w:val="0"/>
                  <w:marRight w:val="0"/>
                  <w:marTop w:val="0"/>
                  <w:marBottom w:val="0"/>
                  <w:divBdr>
                    <w:top w:val="none" w:sz="0" w:space="0" w:color="auto"/>
                    <w:left w:val="none" w:sz="0" w:space="0" w:color="auto"/>
                    <w:bottom w:val="none" w:sz="0" w:space="0" w:color="auto"/>
                    <w:right w:val="none" w:sz="0" w:space="0" w:color="auto"/>
                  </w:divBdr>
                  <w:divsChild>
                    <w:div w:id="406196582">
                      <w:marLeft w:val="0"/>
                      <w:marRight w:val="0"/>
                      <w:marTop w:val="0"/>
                      <w:marBottom w:val="0"/>
                      <w:divBdr>
                        <w:top w:val="none" w:sz="0" w:space="0" w:color="auto"/>
                        <w:left w:val="none" w:sz="0" w:space="0" w:color="auto"/>
                        <w:bottom w:val="none" w:sz="0" w:space="0" w:color="auto"/>
                        <w:right w:val="none" w:sz="0" w:space="0" w:color="auto"/>
                      </w:divBdr>
                      <w:divsChild>
                        <w:div w:id="626663166">
                          <w:marLeft w:val="0"/>
                          <w:marRight w:val="0"/>
                          <w:marTop w:val="0"/>
                          <w:marBottom w:val="0"/>
                          <w:divBdr>
                            <w:top w:val="none" w:sz="0" w:space="0" w:color="auto"/>
                            <w:left w:val="none" w:sz="0" w:space="0" w:color="auto"/>
                            <w:bottom w:val="none" w:sz="0" w:space="0" w:color="auto"/>
                            <w:right w:val="none" w:sz="0" w:space="0" w:color="auto"/>
                          </w:divBdr>
                          <w:divsChild>
                            <w:div w:id="9631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647949">
      <w:bodyDiv w:val="1"/>
      <w:marLeft w:val="0"/>
      <w:marRight w:val="0"/>
      <w:marTop w:val="0"/>
      <w:marBottom w:val="0"/>
      <w:divBdr>
        <w:top w:val="none" w:sz="0" w:space="0" w:color="auto"/>
        <w:left w:val="none" w:sz="0" w:space="0" w:color="auto"/>
        <w:bottom w:val="none" w:sz="0" w:space="0" w:color="auto"/>
        <w:right w:val="none" w:sz="0" w:space="0" w:color="auto"/>
      </w:divBdr>
      <w:divsChild>
        <w:div w:id="1237478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0507513">
      <w:bodyDiv w:val="1"/>
      <w:marLeft w:val="0"/>
      <w:marRight w:val="0"/>
      <w:marTop w:val="0"/>
      <w:marBottom w:val="0"/>
      <w:divBdr>
        <w:top w:val="none" w:sz="0" w:space="0" w:color="auto"/>
        <w:left w:val="none" w:sz="0" w:space="0" w:color="auto"/>
        <w:bottom w:val="none" w:sz="0" w:space="0" w:color="auto"/>
        <w:right w:val="none" w:sz="0" w:space="0" w:color="auto"/>
      </w:divBdr>
    </w:div>
    <w:div w:id="1879269744">
      <w:bodyDiv w:val="1"/>
      <w:marLeft w:val="0"/>
      <w:marRight w:val="0"/>
      <w:marTop w:val="0"/>
      <w:marBottom w:val="0"/>
      <w:divBdr>
        <w:top w:val="none" w:sz="0" w:space="0" w:color="auto"/>
        <w:left w:val="none" w:sz="0" w:space="0" w:color="auto"/>
        <w:bottom w:val="none" w:sz="0" w:space="0" w:color="auto"/>
        <w:right w:val="none" w:sz="0" w:space="0" w:color="auto"/>
      </w:divBdr>
    </w:div>
    <w:div w:id="1888831254">
      <w:bodyDiv w:val="1"/>
      <w:marLeft w:val="0"/>
      <w:marRight w:val="0"/>
      <w:marTop w:val="0"/>
      <w:marBottom w:val="0"/>
      <w:divBdr>
        <w:top w:val="none" w:sz="0" w:space="0" w:color="auto"/>
        <w:left w:val="none" w:sz="0" w:space="0" w:color="auto"/>
        <w:bottom w:val="none" w:sz="0" w:space="0" w:color="auto"/>
        <w:right w:val="none" w:sz="0" w:space="0" w:color="auto"/>
      </w:divBdr>
      <w:divsChild>
        <w:div w:id="651838064">
          <w:marLeft w:val="0"/>
          <w:marRight w:val="0"/>
          <w:marTop w:val="0"/>
          <w:marBottom w:val="0"/>
          <w:divBdr>
            <w:top w:val="none" w:sz="0" w:space="0" w:color="auto"/>
            <w:left w:val="none" w:sz="0" w:space="0" w:color="auto"/>
            <w:bottom w:val="none" w:sz="0" w:space="0" w:color="auto"/>
            <w:right w:val="none" w:sz="0" w:space="0" w:color="auto"/>
          </w:divBdr>
          <w:divsChild>
            <w:div w:id="2286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0434">
      <w:bodyDiv w:val="1"/>
      <w:marLeft w:val="0"/>
      <w:marRight w:val="0"/>
      <w:marTop w:val="0"/>
      <w:marBottom w:val="0"/>
      <w:divBdr>
        <w:top w:val="none" w:sz="0" w:space="0" w:color="auto"/>
        <w:left w:val="none" w:sz="0" w:space="0" w:color="auto"/>
        <w:bottom w:val="none" w:sz="0" w:space="0" w:color="auto"/>
        <w:right w:val="none" w:sz="0" w:space="0" w:color="auto"/>
      </w:divBdr>
      <w:divsChild>
        <w:div w:id="293994906">
          <w:marLeft w:val="0"/>
          <w:marRight w:val="0"/>
          <w:marTop w:val="0"/>
          <w:marBottom w:val="0"/>
          <w:divBdr>
            <w:top w:val="none" w:sz="0" w:space="0" w:color="auto"/>
            <w:left w:val="none" w:sz="0" w:space="0" w:color="auto"/>
            <w:bottom w:val="none" w:sz="0" w:space="0" w:color="auto"/>
            <w:right w:val="none" w:sz="0" w:space="0" w:color="auto"/>
          </w:divBdr>
          <w:divsChild>
            <w:div w:id="1993637133">
              <w:marLeft w:val="0"/>
              <w:marRight w:val="0"/>
              <w:marTop w:val="0"/>
              <w:marBottom w:val="0"/>
              <w:divBdr>
                <w:top w:val="none" w:sz="0" w:space="0" w:color="auto"/>
                <w:left w:val="none" w:sz="0" w:space="0" w:color="auto"/>
                <w:bottom w:val="none" w:sz="0" w:space="0" w:color="auto"/>
                <w:right w:val="none" w:sz="0" w:space="0" w:color="auto"/>
              </w:divBdr>
              <w:divsChild>
                <w:div w:id="1686709961">
                  <w:marLeft w:val="0"/>
                  <w:marRight w:val="0"/>
                  <w:marTop w:val="0"/>
                  <w:marBottom w:val="0"/>
                  <w:divBdr>
                    <w:top w:val="none" w:sz="0" w:space="0" w:color="auto"/>
                    <w:left w:val="none" w:sz="0" w:space="0" w:color="auto"/>
                    <w:bottom w:val="none" w:sz="0" w:space="0" w:color="auto"/>
                    <w:right w:val="none" w:sz="0" w:space="0" w:color="auto"/>
                  </w:divBdr>
                  <w:divsChild>
                    <w:div w:id="829445472">
                      <w:marLeft w:val="0"/>
                      <w:marRight w:val="0"/>
                      <w:marTop w:val="0"/>
                      <w:marBottom w:val="0"/>
                      <w:divBdr>
                        <w:top w:val="none" w:sz="0" w:space="0" w:color="auto"/>
                        <w:left w:val="none" w:sz="0" w:space="0" w:color="auto"/>
                        <w:bottom w:val="none" w:sz="0" w:space="0" w:color="auto"/>
                        <w:right w:val="none" w:sz="0" w:space="0" w:color="auto"/>
                      </w:divBdr>
                      <w:divsChild>
                        <w:div w:id="721439824">
                          <w:marLeft w:val="0"/>
                          <w:marRight w:val="0"/>
                          <w:marTop w:val="0"/>
                          <w:marBottom w:val="0"/>
                          <w:divBdr>
                            <w:top w:val="none" w:sz="0" w:space="0" w:color="auto"/>
                            <w:left w:val="none" w:sz="0" w:space="0" w:color="auto"/>
                            <w:bottom w:val="none" w:sz="0" w:space="0" w:color="auto"/>
                            <w:right w:val="none" w:sz="0" w:space="0" w:color="auto"/>
                          </w:divBdr>
                          <w:divsChild>
                            <w:div w:id="37998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801764">
      <w:bodyDiv w:val="1"/>
      <w:marLeft w:val="0"/>
      <w:marRight w:val="0"/>
      <w:marTop w:val="0"/>
      <w:marBottom w:val="0"/>
      <w:divBdr>
        <w:top w:val="none" w:sz="0" w:space="0" w:color="auto"/>
        <w:left w:val="none" w:sz="0" w:space="0" w:color="auto"/>
        <w:bottom w:val="none" w:sz="0" w:space="0" w:color="auto"/>
        <w:right w:val="none" w:sz="0" w:space="0" w:color="auto"/>
      </w:divBdr>
    </w:div>
    <w:div w:id="1929076703">
      <w:bodyDiv w:val="1"/>
      <w:marLeft w:val="0"/>
      <w:marRight w:val="0"/>
      <w:marTop w:val="0"/>
      <w:marBottom w:val="0"/>
      <w:divBdr>
        <w:top w:val="none" w:sz="0" w:space="0" w:color="auto"/>
        <w:left w:val="none" w:sz="0" w:space="0" w:color="auto"/>
        <w:bottom w:val="none" w:sz="0" w:space="0" w:color="auto"/>
        <w:right w:val="none" w:sz="0" w:space="0" w:color="auto"/>
      </w:divBdr>
    </w:div>
    <w:div w:id="1948200046">
      <w:bodyDiv w:val="1"/>
      <w:marLeft w:val="0"/>
      <w:marRight w:val="0"/>
      <w:marTop w:val="0"/>
      <w:marBottom w:val="0"/>
      <w:divBdr>
        <w:top w:val="none" w:sz="0" w:space="0" w:color="auto"/>
        <w:left w:val="none" w:sz="0" w:space="0" w:color="auto"/>
        <w:bottom w:val="none" w:sz="0" w:space="0" w:color="auto"/>
        <w:right w:val="none" w:sz="0" w:space="0" w:color="auto"/>
      </w:divBdr>
    </w:div>
    <w:div w:id="1952976459">
      <w:bodyDiv w:val="1"/>
      <w:marLeft w:val="0"/>
      <w:marRight w:val="0"/>
      <w:marTop w:val="0"/>
      <w:marBottom w:val="0"/>
      <w:divBdr>
        <w:top w:val="none" w:sz="0" w:space="0" w:color="auto"/>
        <w:left w:val="none" w:sz="0" w:space="0" w:color="auto"/>
        <w:bottom w:val="none" w:sz="0" w:space="0" w:color="auto"/>
        <w:right w:val="none" w:sz="0" w:space="0" w:color="auto"/>
      </w:divBdr>
      <w:divsChild>
        <w:div w:id="597173604">
          <w:marLeft w:val="0"/>
          <w:marRight w:val="0"/>
          <w:marTop w:val="0"/>
          <w:marBottom w:val="0"/>
          <w:divBdr>
            <w:top w:val="none" w:sz="0" w:space="0" w:color="auto"/>
            <w:left w:val="none" w:sz="0" w:space="0" w:color="auto"/>
            <w:bottom w:val="none" w:sz="0" w:space="0" w:color="auto"/>
            <w:right w:val="none" w:sz="0" w:space="0" w:color="auto"/>
          </w:divBdr>
          <w:divsChild>
            <w:div w:id="1411924741">
              <w:marLeft w:val="0"/>
              <w:marRight w:val="0"/>
              <w:marTop w:val="0"/>
              <w:marBottom w:val="0"/>
              <w:divBdr>
                <w:top w:val="none" w:sz="0" w:space="0" w:color="auto"/>
                <w:left w:val="none" w:sz="0" w:space="0" w:color="auto"/>
                <w:bottom w:val="none" w:sz="0" w:space="0" w:color="auto"/>
                <w:right w:val="none" w:sz="0" w:space="0" w:color="auto"/>
              </w:divBdr>
              <w:divsChild>
                <w:div w:id="2055695857">
                  <w:marLeft w:val="0"/>
                  <w:marRight w:val="0"/>
                  <w:marTop w:val="0"/>
                  <w:marBottom w:val="0"/>
                  <w:divBdr>
                    <w:top w:val="none" w:sz="0" w:space="0" w:color="auto"/>
                    <w:left w:val="none" w:sz="0" w:space="0" w:color="auto"/>
                    <w:bottom w:val="none" w:sz="0" w:space="0" w:color="auto"/>
                    <w:right w:val="none" w:sz="0" w:space="0" w:color="auto"/>
                  </w:divBdr>
                  <w:divsChild>
                    <w:div w:id="1403065535">
                      <w:marLeft w:val="0"/>
                      <w:marRight w:val="0"/>
                      <w:marTop w:val="0"/>
                      <w:marBottom w:val="0"/>
                      <w:divBdr>
                        <w:top w:val="none" w:sz="0" w:space="0" w:color="auto"/>
                        <w:left w:val="none" w:sz="0" w:space="0" w:color="auto"/>
                        <w:bottom w:val="none" w:sz="0" w:space="0" w:color="auto"/>
                        <w:right w:val="none" w:sz="0" w:space="0" w:color="auto"/>
                      </w:divBdr>
                      <w:divsChild>
                        <w:div w:id="1340544687">
                          <w:marLeft w:val="0"/>
                          <w:marRight w:val="0"/>
                          <w:marTop w:val="0"/>
                          <w:marBottom w:val="0"/>
                          <w:divBdr>
                            <w:top w:val="none" w:sz="0" w:space="0" w:color="auto"/>
                            <w:left w:val="none" w:sz="0" w:space="0" w:color="auto"/>
                            <w:bottom w:val="none" w:sz="0" w:space="0" w:color="auto"/>
                            <w:right w:val="none" w:sz="0" w:space="0" w:color="auto"/>
                          </w:divBdr>
                          <w:divsChild>
                            <w:div w:id="172644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937398">
      <w:bodyDiv w:val="1"/>
      <w:marLeft w:val="0"/>
      <w:marRight w:val="0"/>
      <w:marTop w:val="0"/>
      <w:marBottom w:val="0"/>
      <w:divBdr>
        <w:top w:val="none" w:sz="0" w:space="0" w:color="auto"/>
        <w:left w:val="none" w:sz="0" w:space="0" w:color="auto"/>
        <w:bottom w:val="none" w:sz="0" w:space="0" w:color="auto"/>
        <w:right w:val="none" w:sz="0" w:space="0" w:color="auto"/>
      </w:divBdr>
      <w:divsChild>
        <w:div w:id="1923903272">
          <w:marLeft w:val="0"/>
          <w:marRight w:val="0"/>
          <w:marTop w:val="0"/>
          <w:marBottom w:val="0"/>
          <w:divBdr>
            <w:top w:val="none" w:sz="0" w:space="0" w:color="auto"/>
            <w:left w:val="none" w:sz="0" w:space="0" w:color="auto"/>
            <w:bottom w:val="none" w:sz="0" w:space="0" w:color="auto"/>
            <w:right w:val="none" w:sz="0" w:space="0" w:color="auto"/>
          </w:divBdr>
          <w:divsChild>
            <w:div w:id="255329620">
              <w:marLeft w:val="0"/>
              <w:marRight w:val="0"/>
              <w:marTop w:val="0"/>
              <w:marBottom w:val="0"/>
              <w:divBdr>
                <w:top w:val="none" w:sz="0" w:space="0" w:color="auto"/>
                <w:left w:val="none" w:sz="0" w:space="0" w:color="auto"/>
                <w:bottom w:val="none" w:sz="0" w:space="0" w:color="auto"/>
                <w:right w:val="none" w:sz="0" w:space="0" w:color="auto"/>
              </w:divBdr>
              <w:divsChild>
                <w:div w:id="407923510">
                  <w:marLeft w:val="0"/>
                  <w:marRight w:val="0"/>
                  <w:marTop w:val="0"/>
                  <w:marBottom w:val="0"/>
                  <w:divBdr>
                    <w:top w:val="none" w:sz="0" w:space="0" w:color="auto"/>
                    <w:left w:val="none" w:sz="0" w:space="0" w:color="auto"/>
                    <w:bottom w:val="none" w:sz="0" w:space="0" w:color="auto"/>
                    <w:right w:val="none" w:sz="0" w:space="0" w:color="auto"/>
                  </w:divBdr>
                  <w:divsChild>
                    <w:div w:id="1279098352">
                      <w:marLeft w:val="0"/>
                      <w:marRight w:val="0"/>
                      <w:marTop w:val="0"/>
                      <w:marBottom w:val="0"/>
                      <w:divBdr>
                        <w:top w:val="none" w:sz="0" w:space="0" w:color="auto"/>
                        <w:left w:val="none" w:sz="0" w:space="0" w:color="auto"/>
                        <w:bottom w:val="none" w:sz="0" w:space="0" w:color="auto"/>
                        <w:right w:val="none" w:sz="0" w:space="0" w:color="auto"/>
                      </w:divBdr>
                      <w:divsChild>
                        <w:div w:id="912084949">
                          <w:marLeft w:val="0"/>
                          <w:marRight w:val="0"/>
                          <w:marTop w:val="0"/>
                          <w:marBottom w:val="0"/>
                          <w:divBdr>
                            <w:top w:val="none" w:sz="0" w:space="0" w:color="auto"/>
                            <w:left w:val="none" w:sz="0" w:space="0" w:color="auto"/>
                            <w:bottom w:val="none" w:sz="0" w:space="0" w:color="auto"/>
                            <w:right w:val="none" w:sz="0" w:space="0" w:color="auto"/>
                          </w:divBdr>
                          <w:divsChild>
                            <w:div w:id="89955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875702">
      <w:bodyDiv w:val="1"/>
      <w:marLeft w:val="0"/>
      <w:marRight w:val="0"/>
      <w:marTop w:val="0"/>
      <w:marBottom w:val="0"/>
      <w:divBdr>
        <w:top w:val="none" w:sz="0" w:space="0" w:color="auto"/>
        <w:left w:val="none" w:sz="0" w:space="0" w:color="auto"/>
        <w:bottom w:val="none" w:sz="0" w:space="0" w:color="auto"/>
        <w:right w:val="none" w:sz="0" w:space="0" w:color="auto"/>
      </w:divBdr>
    </w:div>
    <w:div w:id="1964648974">
      <w:bodyDiv w:val="1"/>
      <w:marLeft w:val="0"/>
      <w:marRight w:val="0"/>
      <w:marTop w:val="0"/>
      <w:marBottom w:val="0"/>
      <w:divBdr>
        <w:top w:val="none" w:sz="0" w:space="0" w:color="auto"/>
        <w:left w:val="none" w:sz="0" w:space="0" w:color="auto"/>
        <w:bottom w:val="none" w:sz="0" w:space="0" w:color="auto"/>
        <w:right w:val="none" w:sz="0" w:space="0" w:color="auto"/>
      </w:divBdr>
    </w:div>
    <w:div w:id="1983462385">
      <w:bodyDiv w:val="1"/>
      <w:marLeft w:val="0"/>
      <w:marRight w:val="0"/>
      <w:marTop w:val="0"/>
      <w:marBottom w:val="0"/>
      <w:divBdr>
        <w:top w:val="none" w:sz="0" w:space="0" w:color="auto"/>
        <w:left w:val="none" w:sz="0" w:space="0" w:color="auto"/>
        <w:bottom w:val="none" w:sz="0" w:space="0" w:color="auto"/>
        <w:right w:val="none" w:sz="0" w:space="0" w:color="auto"/>
      </w:divBdr>
    </w:div>
    <w:div w:id="2000382278">
      <w:bodyDiv w:val="1"/>
      <w:marLeft w:val="0"/>
      <w:marRight w:val="0"/>
      <w:marTop w:val="0"/>
      <w:marBottom w:val="0"/>
      <w:divBdr>
        <w:top w:val="none" w:sz="0" w:space="0" w:color="auto"/>
        <w:left w:val="none" w:sz="0" w:space="0" w:color="auto"/>
        <w:bottom w:val="none" w:sz="0" w:space="0" w:color="auto"/>
        <w:right w:val="none" w:sz="0" w:space="0" w:color="auto"/>
      </w:divBdr>
    </w:div>
    <w:div w:id="2000494183">
      <w:bodyDiv w:val="1"/>
      <w:marLeft w:val="0"/>
      <w:marRight w:val="0"/>
      <w:marTop w:val="0"/>
      <w:marBottom w:val="0"/>
      <w:divBdr>
        <w:top w:val="none" w:sz="0" w:space="0" w:color="auto"/>
        <w:left w:val="none" w:sz="0" w:space="0" w:color="auto"/>
        <w:bottom w:val="none" w:sz="0" w:space="0" w:color="auto"/>
        <w:right w:val="none" w:sz="0" w:space="0" w:color="auto"/>
      </w:divBdr>
    </w:div>
    <w:div w:id="2014795816">
      <w:bodyDiv w:val="1"/>
      <w:marLeft w:val="0"/>
      <w:marRight w:val="0"/>
      <w:marTop w:val="0"/>
      <w:marBottom w:val="0"/>
      <w:divBdr>
        <w:top w:val="none" w:sz="0" w:space="0" w:color="auto"/>
        <w:left w:val="none" w:sz="0" w:space="0" w:color="auto"/>
        <w:bottom w:val="none" w:sz="0" w:space="0" w:color="auto"/>
        <w:right w:val="none" w:sz="0" w:space="0" w:color="auto"/>
      </w:divBdr>
      <w:divsChild>
        <w:div w:id="1321235095">
          <w:marLeft w:val="0"/>
          <w:marRight w:val="0"/>
          <w:marTop w:val="0"/>
          <w:marBottom w:val="0"/>
          <w:divBdr>
            <w:top w:val="none" w:sz="0" w:space="0" w:color="auto"/>
            <w:left w:val="none" w:sz="0" w:space="0" w:color="auto"/>
            <w:bottom w:val="none" w:sz="0" w:space="0" w:color="auto"/>
            <w:right w:val="none" w:sz="0" w:space="0" w:color="auto"/>
          </w:divBdr>
          <w:divsChild>
            <w:div w:id="1228108616">
              <w:marLeft w:val="0"/>
              <w:marRight w:val="0"/>
              <w:marTop w:val="0"/>
              <w:marBottom w:val="0"/>
              <w:divBdr>
                <w:top w:val="none" w:sz="0" w:space="0" w:color="auto"/>
                <w:left w:val="none" w:sz="0" w:space="0" w:color="auto"/>
                <w:bottom w:val="none" w:sz="0" w:space="0" w:color="auto"/>
                <w:right w:val="none" w:sz="0" w:space="0" w:color="auto"/>
              </w:divBdr>
              <w:divsChild>
                <w:div w:id="2025090321">
                  <w:marLeft w:val="0"/>
                  <w:marRight w:val="0"/>
                  <w:marTop w:val="0"/>
                  <w:marBottom w:val="0"/>
                  <w:divBdr>
                    <w:top w:val="none" w:sz="0" w:space="0" w:color="auto"/>
                    <w:left w:val="none" w:sz="0" w:space="0" w:color="auto"/>
                    <w:bottom w:val="none" w:sz="0" w:space="0" w:color="auto"/>
                    <w:right w:val="none" w:sz="0" w:space="0" w:color="auto"/>
                  </w:divBdr>
                  <w:divsChild>
                    <w:div w:id="1674988803">
                      <w:marLeft w:val="0"/>
                      <w:marRight w:val="0"/>
                      <w:marTop w:val="0"/>
                      <w:marBottom w:val="0"/>
                      <w:divBdr>
                        <w:top w:val="none" w:sz="0" w:space="0" w:color="auto"/>
                        <w:left w:val="none" w:sz="0" w:space="0" w:color="auto"/>
                        <w:bottom w:val="none" w:sz="0" w:space="0" w:color="auto"/>
                        <w:right w:val="none" w:sz="0" w:space="0" w:color="auto"/>
                      </w:divBdr>
                      <w:divsChild>
                        <w:div w:id="1887640020">
                          <w:marLeft w:val="0"/>
                          <w:marRight w:val="0"/>
                          <w:marTop w:val="0"/>
                          <w:marBottom w:val="0"/>
                          <w:divBdr>
                            <w:top w:val="none" w:sz="0" w:space="0" w:color="auto"/>
                            <w:left w:val="none" w:sz="0" w:space="0" w:color="auto"/>
                            <w:bottom w:val="none" w:sz="0" w:space="0" w:color="auto"/>
                            <w:right w:val="none" w:sz="0" w:space="0" w:color="auto"/>
                          </w:divBdr>
                          <w:divsChild>
                            <w:div w:id="220137766">
                              <w:marLeft w:val="0"/>
                              <w:marRight w:val="0"/>
                              <w:marTop w:val="0"/>
                              <w:marBottom w:val="0"/>
                              <w:divBdr>
                                <w:top w:val="none" w:sz="0" w:space="0" w:color="auto"/>
                                <w:left w:val="none" w:sz="0" w:space="0" w:color="auto"/>
                                <w:bottom w:val="none" w:sz="0" w:space="0" w:color="auto"/>
                                <w:right w:val="none" w:sz="0" w:space="0" w:color="auto"/>
                              </w:divBdr>
                              <w:divsChild>
                                <w:div w:id="685137884">
                                  <w:marLeft w:val="0"/>
                                  <w:marRight w:val="0"/>
                                  <w:marTop w:val="0"/>
                                  <w:marBottom w:val="0"/>
                                  <w:divBdr>
                                    <w:top w:val="none" w:sz="0" w:space="0" w:color="auto"/>
                                    <w:left w:val="none" w:sz="0" w:space="0" w:color="auto"/>
                                    <w:bottom w:val="none" w:sz="0" w:space="0" w:color="auto"/>
                                    <w:right w:val="none" w:sz="0" w:space="0" w:color="auto"/>
                                  </w:divBdr>
                                  <w:divsChild>
                                    <w:div w:id="387413742">
                                      <w:marLeft w:val="0"/>
                                      <w:marRight w:val="0"/>
                                      <w:marTop w:val="0"/>
                                      <w:marBottom w:val="0"/>
                                      <w:divBdr>
                                        <w:top w:val="none" w:sz="0" w:space="0" w:color="auto"/>
                                        <w:left w:val="none" w:sz="0" w:space="0" w:color="auto"/>
                                        <w:bottom w:val="none" w:sz="0" w:space="0" w:color="auto"/>
                                        <w:right w:val="none" w:sz="0" w:space="0" w:color="auto"/>
                                      </w:divBdr>
                                      <w:divsChild>
                                        <w:div w:id="1405569080">
                                          <w:marLeft w:val="0"/>
                                          <w:marRight w:val="0"/>
                                          <w:marTop w:val="0"/>
                                          <w:marBottom w:val="0"/>
                                          <w:divBdr>
                                            <w:top w:val="none" w:sz="0" w:space="0" w:color="auto"/>
                                            <w:left w:val="none" w:sz="0" w:space="0" w:color="auto"/>
                                            <w:bottom w:val="none" w:sz="0" w:space="0" w:color="auto"/>
                                            <w:right w:val="none" w:sz="0" w:space="0" w:color="auto"/>
                                          </w:divBdr>
                                          <w:divsChild>
                                            <w:div w:id="4857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999746">
          <w:marLeft w:val="0"/>
          <w:marRight w:val="0"/>
          <w:marTop w:val="0"/>
          <w:marBottom w:val="0"/>
          <w:divBdr>
            <w:top w:val="none" w:sz="0" w:space="0" w:color="auto"/>
            <w:left w:val="none" w:sz="0" w:space="0" w:color="auto"/>
            <w:bottom w:val="none" w:sz="0" w:space="0" w:color="auto"/>
            <w:right w:val="none" w:sz="0" w:space="0" w:color="auto"/>
          </w:divBdr>
          <w:divsChild>
            <w:div w:id="331836626">
              <w:marLeft w:val="0"/>
              <w:marRight w:val="0"/>
              <w:marTop w:val="0"/>
              <w:marBottom w:val="0"/>
              <w:divBdr>
                <w:top w:val="none" w:sz="0" w:space="0" w:color="auto"/>
                <w:left w:val="none" w:sz="0" w:space="0" w:color="auto"/>
                <w:bottom w:val="none" w:sz="0" w:space="0" w:color="auto"/>
                <w:right w:val="none" w:sz="0" w:space="0" w:color="auto"/>
              </w:divBdr>
              <w:divsChild>
                <w:div w:id="1773551924">
                  <w:marLeft w:val="0"/>
                  <w:marRight w:val="0"/>
                  <w:marTop w:val="0"/>
                  <w:marBottom w:val="0"/>
                  <w:divBdr>
                    <w:top w:val="none" w:sz="0" w:space="0" w:color="auto"/>
                    <w:left w:val="none" w:sz="0" w:space="0" w:color="auto"/>
                    <w:bottom w:val="none" w:sz="0" w:space="0" w:color="auto"/>
                    <w:right w:val="none" w:sz="0" w:space="0" w:color="auto"/>
                  </w:divBdr>
                  <w:divsChild>
                    <w:div w:id="749355165">
                      <w:marLeft w:val="0"/>
                      <w:marRight w:val="0"/>
                      <w:marTop w:val="0"/>
                      <w:marBottom w:val="0"/>
                      <w:divBdr>
                        <w:top w:val="none" w:sz="0" w:space="0" w:color="auto"/>
                        <w:left w:val="none" w:sz="0" w:space="0" w:color="auto"/>
                        <w:bottom w:val="none" w:sz="0" w:space="0" w:color="auto"/>
                        <w:right w:val="none" w:sz="0" w:space="0" w:color="auto"/>
                      </w:divBdr>
                      <w:divsChild>
                        <w:div w:id="659389103">
                          <w:marLeft w:val="0"/>
                          <w:marRight w:val="0"/>
                          <w:marTop w:val="0"/>
                          <w:marBottom w:val="0"/>
                          <w:divBdr>
                            <w:top w:val="none" w:sz="0" w:space="0" w:color="auto"/>
                            <w:left w:val="none" w:sz="0" w:space="0" w:color="auto"/>
                            <w:bottom w:val="none" w:sz="0" w:space="0" w:color="auto"/>
                            <w:right w:val="none" w:sz="0" w:space="0" w:color="auto"/>
                          </w:divBdr>
                          <w:divsChild>
                            <w:div w:id="59638632">
                              <w:marLeft w:val="0"/>
                              <w:marRight w:val="0"/>
                              <w:marTop w:val="0"/>
                              <w:marBottom w:val="0"/>
                              <w:divBdr>
                                <w:top w:val="none" w:sz="0" w:space="0" w:color="auto"/>
                                <w:left w:val="none" w:sz="0" w:space="0" w:color="auto"/>
                                <w:bottom w:val="none" w:sz="0" w:space="0" w:color="auto"/>
                                <w:right w:val="none" w:sz="0" w:space="0" w:color="auto"/>
                              </w:divBdr>
                              <w:divsChild>
                                <w:div w:id="607276638">
                                  <w:marLeft w:val="0"/>
                                  <w:marRight w:val="0"/>
                                  <w:marTop w:val="0"/>
                                  <w:marBottom w:val="0"/>
                                  <w:divBdr>
                                    <w:top w:val="none" w:sz="0" w:space="0" w:color="auto"/>
                                    <w:left w:val="none" w:sz="0" w:space="0" w:color="auto"/>
                                    <w:bottom w:val="none" w:sz="0" w:space="0" w:color="auto"/>
                                    <w:right w:val="none" w:sz="0" w:space="0" w:color="auto"/>
                                  </w:divBdr>
                                  <w:divsChild>
                                    <w:div w:id="112943468">
                                      <w:marLeft w:val="0"/>
                                      <w:marRight w:val="0"/>
                                      <w:marTop w:val="0"/>
                                      <w:marBottom w:val="0"/>
                                      <w:divBdr>
                                        <w:top w:val="none" w:sz="0" w:space="0" w:color="auto"/>
                                        <w:left w:val="none" w:sz="0" w:space="0" w:color="auto"/>
                                        <w:bottom w:val="none" w:sz="0" w:space="0" w:color="auto"/>
                                        <w:right w:val="none" w:sz="0" w:space="0" w:color="auto"/>
                                      </w:divBdr>
                                      <w:divsChild>
                                        <w:div w:id="68224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349900">
      <w:bodyDiv w:val="1"/>
      <w:marLeft w:val="0"/>
      <w:marRight w:val="0"/>
      <w:marTop w:val="0"/>
      <w:marBottom w:val="0"/>
      <w:divBdr>
        <w:top w:val="none" w:sz="0" w:space="0" w:color="auto"/>
        <w:left w:val="none" w:sz="0" w:space="0" w:color="auto"/>
        <w:bottom w:val="none" w:sz="0" w:space="0" w:color="auto"/>
        <w:right w:val="none" w:sz="0" w:space="0" w:color="auto"/>
      </w:divBdr>
    </w:div>
    <w:div w:id="2028754634">
      <w:bodyDiv w:val="1"/>
      <w:marLeft w:val="0"/>
      <w:marRight w:val="0"/>
      <w:marTop w:val="0"/>
      <w:marBottom w:val="0"/>
      <w:divBdr>
        <w:top w:val="none" w:sz="0" w:space="0" w:color="auto"/>
        <w:left w:val="none" w:sz="0" w:space="0" w:color="auto"/>
        <w:bottom w:val="none" w:sz="0" w:space="0" w:color="auto"/>
        <w:right w:val="none" w:sz="0" w:space="0" w:color="auto"/>
      </w:divBdr>
    </w:div>
    <w:div w:id="2032149428">
      <w:bodyDiv w:val="1"/>
      <w:marLeft w:val="0"/>
      <w:marRight w:val="0"/>
      <w:marTop w:val="0"/>
      <w:marBottom w:val="0"/>
      <w:divBdr>
        <w:top w:val="none" w:sz="0" w:space="0" w:color="auto"/>
        <w:left w:val="none" w:sz="0" w:space="0" w:color="auto"/>
        <w:bottom w:val="none" w:sz="0" w:space="0" w:color="auto"/>
        <w:right w:val="none" w:sz="0" w:space="0" w:color="auto"/>
      </w:divBdr>
    </w:div>
    <w:div w:id="2039237547">
      <w:bodyDiv w:val="1"/>
      <w:marLeft w:val="0"/>
      <w:marRight w:val="0"/>
      <w:marTop w:val="0"/>
      <w:marBottom w:val="0"/>
      <w:divBdr>
        <w:top w:val="none" w:sz="0" w:space="0" w:color="auto"/>
        <w:left w:val="none" w:sz="0" w:space="0" w:color="auto"/>
        <w:bottom w:val="none" w:sz="0" w:space="0" w:color="auto"/>
        <w:right w:val="none" w:sz="0" w:space="0" w:color="auto"/>
      </w:divBdr>
    </w:div>
    <w:div w:id="2047018765">
      <w:bodyDiv w:val="1"/>
      <w:marLeft w:val="0"/>
      <w:marRight w:val="0"/>
      <w:marTop w:val="0"/>
      <w:marBottom w:val="0"/>
      <w:divBdr>
        <w:top w:val="none" w:sz="0" w:space="0" w:color="auto"/>
        <w:left w:val="none" w:sz="0" w:space="0" w:color="auto"/>
        <w:bottom w:val="none" w:sz="0" w:space="0" w:color="auto"/>
        <w:right w:val="none" w:sz="0" w:space="0" w:color="auto"/>
      </w:divBdr>
    </w:div>
    <w:div w:id="2062559136">
      <w:bodyDiv w:val="1"/>
      <w:marLeft w:val="0"/>
      <w:marRight w:val="0"/>
      <w:marTop w:val="0"/>
      <w:marBottom w:val="0"/>
      <w:divBdr>
        <w:top w:val="none" w:sz="0" w:space="0" w:color="auto"/>
        <w:left w:val="none" w:sz="0" w:space="0" w:color="auto"/>
        <w:bottom w:val="none" w:sz="0" w:space="0" w:color="auto"/>
        <w:right w:val="none" w:sz="0" w:space="0" w:color="auto"/>
      </w:divBdr>
      <w:divsChild>
        <w:div w:id="1732381583">
          <w:marLeft w:val="0"/>
          <w:marRight w:val="0"/>
          <w:marTop w:val="0"/>
          <w:marBottom w:val="0"/>
          <w:divBdr>
            <w:top w:val="none" w:sz="0" w:space="0" w:color="auto"/>
            <w:left w:val="none" w:sz="0" w:space="0" w:color="auto"/>
            <w:bottom w:val="none" w:sz="0" w:space="0" w:color="auto"/>
            <w:right w:val="none" w:sz="0" w:space="0" w:color="auto"/>
          </w:divBdr>
          <w:divsChild>
            <w:div w:id="1094472245">
              <w:marLeft w:val="0"/>
              <w:marRight w:val="0"/>
              <w:marTop w:val="0"/>
              <w:marBottom w:val="0"/>
              <w:divBdr>
                <w:top w:val="none" w:sz="0" w:space="0" w:color="auto"/>
                <w:left w:val="none" w:sz="0" w:space="0" w:color="auto"/>
                <w:bottom w:val="none" w:sz="0" w:space="0" w:color="auto"/>
                <w:right w:val="none" w:sz="0" w:space="0" w:color="auto"/>
              </w:divBdr>
              <w:divsChild>
                <w:div w:id="1388143274">
                  <w:marLeft w:val="0"/>
                  <w:marRight w:val="0"/>
                  <w:marTop w:val="0"/>
                  <w:marBottom w:val="0"/>
                  <w:divBdr>
                    <w:top w:val="none" w:sz="0" w:space="0" w:color="auto"/>
                    <w:left w:val="none" w:sz="0" w:space="0" w:color="auto"/>
                    <w:bottom w:val="none" w:sz="0" w:space="0" w:color="auto"/>
                    <w:right w:val="none" w:sz="0" w:space="0" w:color="auto"/>
                  </w:divBdr>
                  <w:divsChild>
                    <w:div w:id="407389077">
                      <w:marLeft w:val="0"/>
                      <w:marRight w:val="0"/>
                      <w:marTop w:val="0"/>
                      <w:marBottom w:val="0"/>
                      <w:divBdr>
                        <w:top w:val="none" w:sz="0" w:space="0" w:color="auto"/>
                        <w:left w:val="none" w:sz="0" w:space="0" w:color="auto"/>
                        <w:bottom w:val="none" w:sz="0" w:space="0" w:color="auto"/>
                        <w:right w:val="none" w:sz="0" w:space="0" w:color="auto"/>
                      </w:divBdr>
                      <w:divsChild>
                        <w:div w:id="459570749">
                          <w:marLeft w:val="0"/>
                          <w:marRight w:val="0"/>
                          <w:marTop w:val="0"/>
                          <w:marBottom w:val="0"/>
                          <w:divBdr>
                            <w:top w:val="none" w:sz="0" w:space="0" w:color="auto"/>
                            <w:left w:val="none" w:sz="0" w:space="0" w:color="auto"/>
                            <w:bottom w:val="none" w:sz="0" w:space="0" w:color="auto"/>
                            <w:right w:val="none" w:sz="0" w:space="0" w:color="auto"/>
                          </w:divBdr>
                          <w:divsChild>
                            <w:div w:id="2969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703354">
      <w:bodyDiv w:val="1"/>
      <w:marLeft w:val="0"/>
      <w:marRight w:val="0"/>
      <w:marTop w:val="0"/>
      <w:marBottom w:val="0"/>
      <w:divBdr>
        <w:top w:val="none" w:sz="0" w:space="0" w:color="auto"/>
        <w:left w:val="none" w:sz="0" w:space="0" w:color="auto"/>
        <w:bottom w:val="none" w:sz="0" w:space="0" w:color="auto"/>
        <w:right w:val="none" w:sz="0" w:space="0" w:color="auto"/>
      </w:divBdr>
    </w:div>
    <w:div w:id="2070499536">
      <w:bodyDiv w:val="1"/>
      <w:marLeft w:val="0"/>
      <w:marRight w:val="0"/>
      <w:marTop w:val="0"/>
      <w:marBottom w:val="0"/>
      <w:divBdr>
        <w:top w:val="none" w:sz="0" w:space="0" w:color="auto"/>
        <w:left w:val="none" w:sz="0" w:space="0" w:color="auto"/>
        <w:bottom w:val="none" w:sz="0" w:space="0" w:color="auto"/>
        <w:right w:val="none" w:sz="0" w:space="0" w:color="auto"/>
      </w:divBdr>
      <w:divsChild>
        <w:div w:id="2017881766">
          <w:marLeft w:val="0"/>
          <w:marRight w:val="0"/>
          <w:marTop w:val="0"/>
          <w:marBottom w:val="0"/>
          <w:divBdr>
            <w:top w:val="none" w:sz="0" w:space="0" w:color="auto"/>
            <w:left w:val="none" w:sz="0" w:space="0" w:color="auto"/>
            <w:bottom w:val="none" w:sz="0" w:space="0" w:color="auto"/>
            <w:right w:val="none" w:sz="0" w:space="0" w:color="auto"/>
          </w:divBdr>
          <w:divsChild>
            <w:div w:id="1408309116">
              <w:marLeft w:val="0"/>
              <w:marRight w:val="0"/>
              <w:marTop w:val="0"/>
              <w:marBottom w:val="0"/>
              <w:divBdr>
                <w:top w:val="none" w:sz="0" w:space="0" w:color="auto"/>
                <w:left w:val="none" w:sz="0" w:space="0" w:color="auto"/>
                <w:bottom w:val="none" w:sz="0" w:space="0" w:color="auto"/>
                <w:right w:val="none" w:sz="0" w:space="0" w:color="auto"/>
              </w:divBdr>
              <w:divsChild>
                <w:div w:id="1083453222">
                  <w:marLeft w:val="0"/>
                  <w:marRight w:val="0"/>
                  <w:marTop w:val="0"/>
                  <w:marBottom w:val="0"/>
                  <w:divBdr>
                    <w:top w:val="none" w:sz="0" w:space="0" w:color="auto"/>
                    <w:left w:val="none" w:sz="0" w:space="0" w:color="auto"/>
                    <w:bottom w:val="none" w:sz="0" w:space="0" w:color="auto"/>
                    <w:right w:val="none" w:sz="0" w:space="0" w:color="auto"/>
                  </w:divBdr>
                  <w:divsChild>
                    <w:div w:id="958997972">
                      <w:marLeft w:val="0"/>
                      <w:marRight w:val="0"/>
                      <w:marTop w:val="0"/>
                      <w:marBottom w:val="0"/>
                      <w:divBdr>
                        <w:top w:val="none" w:sz="0" w:space="0" w:color="auto"/>
                        <w:left w:val="none" w:sz="0" w:space="0" w:color="auto"/>
                        <w:bottom w:val="none" w:sz="0" w:space="0" w:color="auto"/>
                        <w:right w:val="none" w:sz="0" w:space="0" w:color="auto"/>
                      </w:divBdr>
                      <w:divsChild>
                        <w:div w:id="823401175">
                          <w:marLeft w:val="0"/>
                          <w:marRight w:val="0"/>
                          <w:marTop w:val="0"/>
                          <w:marBottom w:val="0"/>
                          <w:divBdr>
                            <w:top w:val="none" w:sz="0" w:space="0" w:color="auto"/>
                            <w:left w:val="none" w:sz="0" w:space="0" w:color="auto"/>
                            <w:bottom w:val="none" w:sz="0" w:space="0" w:color="auto"/>
                            <w:right w:val="none" w:sz="0" w:space="0" w:color="auto"/>
                          </w:divBdr>
                          <w:divsChild>
                            <w:div w:id="50740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040702">
      <w:bodyDiv w:val="1"/>
      <w:marLeft w:val="0"/>
      <w:marRight w:val="0"/>
      <w:marTop w:val="0"/>
      <w:marBottom w:val="0"/>
      <w:divBdr>
        <w:top w:val="none" w:sz="0" w:space="0" w:color="auto"/>
        <w:left w:val="none" w:sz="0" w:space="0" w:color="auto"/>
        <w:bottom w:val="none" w:sz="0" w:space="0" w:color="auto"/>
        <w:right w:val="none" w:sz="0" w:space="0" w:color="auto"/>
      </w:divBdr>
    </w:div>
    <w:div w:id="2082561184">
      <w:bodyDiv w:val="1"/>
      <w:marLeft w:val="0"/>
      <w:marRight w:val="0"/>
      <w:marTop w:val="0"/>
      <w:marBottom w:val="0"/>
      <w:divBdr>
        <w:top w:val="none" w:sz="0" w:space="0" w:color="auto"/>
        <w:left w:val="none" w:sz="0" w:space="0" w:color="auto"/>
        <w:bottom w:val="none" w:sz="0" w:space="0" w:color="auto"/>
        <w:right w:val="none" w:sz="0" w:space="0" w:color="auto"/>
      </w:divBdr>
    </w:div>
    <w:div w:id="2091151413">
      <w:bodyDiv w:val="1"/>
      <w:marLeft w:val="0"/>
      <w:marRight w:val="0"/>
      <w:marTop w:val="0"/>
      <w:marBottom w:val="0"/>
      <w:divBdr>
        <w:top w:val="none" w:sz="0" w:space="0" w:color="auto"/>
        <w:left w:val="none" w:sz="0" w:space="0" w:color="auto"/>
        <w:bottom w:val="none" w:sz="0" w:space="0" w:color="auto"/>
        <w:right w:val="none" w:sz="0" w:space="0" w:color="auto"/>
      </w:divBdr>
    </w:div>
    <w:div w:id="2105031365">
      <w:bodyDiv w:val="1"/>
      <w:marLeft w:val="0"/>
      <w:marRight w:val="0"/>
      <w:marTop w:val="0"/>
      <w:marBottom w:val="0"/>
      <w:divBdr>
        <w:top w:val="none" w:sz="0" w:space="0" w:color="auto"/>
        <w:left w:val="none" w:sz="0" w:space="0" w:color="auto"/>
        <w:bottom w:val="none" w:sz="0" w:space="0" w:color="auto"/>
        <w:right w:val="none" w:sz="0" w:space="0" w:color="auto"/>
      </w:divBdr>
    </w:div>
    <w:div w:id="2107193772">
      <w:bodyDiv w:val="1"/>
      <w:marLeft w:val="0"/>
      <w:marRight w:val="0"/>
      <w:marTop w:val="0"/>
      <w:marBottom w:val="0"/>
      <w:divBdr>
        <w:top w:val="none" w:sz="0" w:space="0" w:color="auto"/>
        <w:left w:val="none" w:sz="0" w:space="0" w:color="auto"/>
        <w:bottom w:val="none" w:sz="0" w:space="0" w:color="auto"/>
        <w:right w:val="none" w:sz="0" w:space="0" w:color="auto"/>
      </w:divBdr>
    </w:div>
    <w:div w:id="2128893445">
      <w:bodyDiv w:val="1"/>
      <w:marLeft w:val="0"/>
      <w:marRight w:val="0"/>
      <w:marTop w:val="0"/>
      <w:marBottom w:val="0"/>
      <w:divBdr>
        <w:top w:val="none" w:sz="0" w:space="0" w:color="auto"/>
        <w:left w:val="none" w:sz="0" w:space="0" w:color="auto"/>
        <w:bottom w:val="none" w:sz="0" w:space="0" w:color="auto"/>
        <w:right w:val="none" w:sz="0" w:space="0" w:color="auto"/>
      </w:divBdr>
    </w:div>
    <w:div w:id="2131779792">
      <w:bodyDiv w:val="1"/>
      <w:marLeft w:val="0"/>
      <w:marRight w:val="0"/>
      <w:marTop w:val="0"/>
      <w:marBottom w:val="0"/>
      <w:divBdr>
        <w:top w:val="none" w:sz="0" w:space="0" w:color="auto"/>
        <w:left w:val="none" w:sz="0" w:space="0" w:color="auto"/>
        <w:bottom w:val="none" w:sz="0" w:space="0" w:color="auto"/>
        <w:right w:val="none" w:sz="0" w:space="0" w:color="auto"/>
      </w:divBdr>
    </w:div>
    <w:div w:id="2134402590">
      <w:bodyDiv w:val="1"/>
      <w:marLeft w:val="0"/>
      <w:marRight w:val="0"/>
      <w:marTop w:val="0"/>
      <w:marBottom w:val="0"/>
      <w:divBdr>
        <w:top w:val="none" w:sz="0" w:space="0" w:color="auto"/>
        <w:left w:val="none" w:sz="0" w:space="0" w:color="auto"/>
        <w:bottom w:val="none" w:sz="0" w:space="0" w:color="auto"/>
        <w:right w:val="none" w:sz="0" w:space="0" w:color="auto"/>
      </w:divBdr>
    </w:div>
    <w:div w:id="2137024396">
      <w:bodyDiv w:val="1"/>
      <w:marLeft w:val="0"/>
      <w:marRight w:val="0"/>
      <w:marTop w:val="0"/>
      <w:marBottom w:val="0"/>
      <w:divBdr>
        <w:top w:val="none" w:sz="0" w:space="0" w:color="auto"/>
        <w:left w:val="none" w:sz="0" w:space="0" w:color="auto"/>
        <w:bottom w:val="none" w:sz="0" w:space="0" w:color="auto"/>
        <w:right w:val="none" w:sz="0" w:space="0" w:color="auto"/>
      </w:divBdr>
    </w:div>
    <w:div w:id="2138912000">
      <w:bodyDiv w:val="1"/>
      <w:marLeft w:val="0"/>
      <w:marRight w:val="0"/>
      <w:marTop w:val="0"/>
      <w:marBottom w:val="0"/>
      <w:divBdr>
        <w:top w:val="none" w:sz="0" w:space="0" w:color="auto"/>
        <w:left w:val="none" w:sz="0" w:space="0" w:color="auto"/>
        <w:bottom w:val="none" w:sz="0" w:space="0" w:color="auto"/>
        <w:right w:val="none" w:sz="0" w:space="0" w:color="auto"/>
      </w:divBdr>
      <w:divsChild>
        <w:div w:id="1461993710">
          <w:marLeft w:val="0"/>
          <w:marRight w:val="0"/>
          <w:marTop w:val="0"/>
          <w:marBottom w:val="0"/>
          <w:divBdr>
            <w:top w:val="none" w:sz="0" w:space="0" w:color="auto"/>
            <w:left w:val="none" w:sz="0" w:space="0" w:color="auto"/>
            <w:bottom w:val="none" w:sz="0" w:space="0" w:color="auto"/>
            <w:right w:val="none" w:sz="0" w:space="0" w:color="auto"/>
          </w:divBdr>
          <w:divsChild>
            <w:div w:id="544298629">
              <w:marLeft w:val="0"/>
              <w:marRight w:val="0"/>
              <w:marTop w:val="0"/>
              <w:marBottom w:val="0"/>
              <w:divBdr>
                <w:top w:val="none" w:sz="0" w:space="0" w:color="auto"/>
                <w:left w:val="none" w:sz="0" w:space="0" w:color="auto"/>
                <w:bottom w:val="none" w:sz="0" w:space="0" w:color="auto"/>
                <w:right w:val="none" w:sz="0" w:space="0" w:color="auto"/>
              </w:divBdr>
              <w:divsChild>
                <w:div w:id="1575159709">
                  <w:marLeft w:val="0"/>
                  <w:marRight w:val="0"/>
                  <w:marTop w:val="0"/>
                  <w:marBottom w:val="0"/>
                  <w:divBdr>
                    <w:top w:val="none" w:sz="0" w:space="0" w:color="auto"/>
                    <w:left w:val="none" w:sz="0" w:space="0" w:color="auto"/>
                    <w:bottom w:val="none" w:sz="0" w:space="0" w:color="auto"/>
                    <w:right w:val="none" w:sz="0" w:space="0" w:color="auto"/>
                  </w:divBdr>
                  <w:divsChild>
                    <w:div w:id="1961565639">
                      <w:marLeft w:val="0"/>
                      <w:marRight w:val="0"/>
                      <w:marTop w:val="0"/>
                      <w:marBottom w:val="0"/>
                      <w:divBdr>
                        <w:top w:val="none" w:sz="0" w:space="0" w:color="auto"/>
                        <w:left w:val="none" w:sz="0" w:space="0" w:color="auto"/>
                        <w:bottom w:val="none" w:sz="0" w:space="0" w:color="auto"/>
                        <w:right w:val="none" w:sz="0" w:space="0" w:color="auto"/>
                      </w:divBdr>
                      <w:divsChild>
                        <w:div w:id="1057320877">
                          <w:marLeft w:val="0"/>
                          <w:marRight w:val="0"/>
                          <w:marTop w:val="0"/>
                          <w:marBottom w:val="0"/>
                          <w:divBdr>
                            <w:top w:val="none" w:sz="0" w:space="0" w:color="auto"/>
                            <w:left w:val="none" w:sz="0" w:space="0" w:color="auto"/>
                            <w:bottom w:val="none" w:sz="0" w:space="0" w:color="auto"/>
                            <w:right w:val="none" w:sz="0" w:space="0" w:color="auto"/>
                          </w:divBdr>
                          <w:divsChild>
                            <w:div w:id="2267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chart" Target="charts/chart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4.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file:///D:\New%20folder%20(2)\&#1605;&#1576;&#1575;&#1585;&#1603;%20&#1594;&#1575;&#1583;&#1607;\&#1605;&#1576;&#1575;&#1585;&#1603;%20-%20Copy.docx" TargetMode="External"/><Relationship Id="rId14" Type="http://schemas.openxmlformats.org/officeDocument/2006/relationships/diagramColors" Target="diagrams/colors1.xml"/><Relationship Id="rId22" Type="http://schemas.openxmlformats.org/officeDocument/2006/relationships/chart" Target="charts/chart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3-E7AC-4F70-82E1-60C8985AFC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4-E7AC-4F70-82E1-60C8985AFC05}"/>
              </c:ext>
            </c:extLst>
          </c:dPt>
          <c:dLbls>
            <c:dLbl>
              <c:idx val="0"/>
              <c:layout>
                <c:manualLayout>
                  <c:x val="-0.10526930227471568"/>
                  <c:y val="-0.12111907886514187"/>
                </c:manualLayout>
              </c:layout>
              <c:spPr>
                <a:noFill/>
                <a:ln>
                  <a:noFill/>
                </a:ln>
                <a:effectLst/>
              </c:spPr>
              <c:txPr>
                <a:bodyPr rot="0" spcFirstLastPara="1" vertOverflow="ellipsis" vert="horz" wrap="square" anchor="ctr" anchorCtr="1"/>
                <a:lstStyle/>
                <a:p>
                  <a:pPr>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3-E7AC-4F70-82E1-60C8985AFC05}"/>
                </c:ext>
              </c:extLst>
            </c:dLbl>
            <c:dLbl>
              <c:idx val="1"/>
              <c:spPr>
                <a:noFill/>
                <a:ln>
                  <a:noFill/>
                </a:ln>
                <a:effectLst/>
              </c:spPr>
              <c:txPr>
                <a:bodyPr rot="0" spcFirstLastPara="1" vertOverflow="ellipsis" vert="horz" wrap="square" anchor="ctr" anchorCtr="1"/>
                <a:lstStyle/>
                <a:p>
                  <a:pPr>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8.8425062098270224E-2"/>
                      <c:h val="0.12797615565513448"/>
                    </c:manualLayout>
                  </c15:layout>
                </c:ext>
                <c:ext xmlns:c16="http://schemas.microsoft.com/office/drawing/2014/chart" uri="{C3380CC4-5D6E-409C-BE32-E72D297353CC}">
                  <c16:uniqueId val="{00000004-E7AC-4F70-82E1-60C8985AFC05}"/>
                </c:ext>
              </c:extLst>
            </c:dLbl>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c:v>
                </c:pt>
                <c:pt idx="1">
                  <c:v>Female</c:v>
                </c:pt>
              </c:strCache>
            </c:strRef>
          </c:cat>
          <c:val>
            <c:numRef>
              <c:f>Sheet1!$B$2:$B$5</c:f>
              <c:numCache>
                <c:formatCode>General</c:formatCode>
                <c:ptCount val="2"/>
                <c:pt idx="0">
                  <c:v>128</c:v>
                </c:pt>
                <c:pt idx="1">
                  <c:v>68</c:v>
                </c:pt>
              </c:numCache>
            </c:numRef>
          </c:val>
          <c:extLst>
            <c:ext xmlns:c16="http://schemas.microsoft.com/office/drawing/2014/chart" uri="{C3380CC4-5D6E-409C-BE32-E72D297353CC}">
              <c16:uniqueId val="{00000000-E7AC-4F70-82E1-60C8985AFC0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446-49D4-B861-6936D00205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46-49D4-B861-6936D00205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6-5446-49D4-B861-6936D002053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46C-4DE6-9793-6A1980896EA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46C-4DE6-9793-6A1980896EA9}"/>
              </c:ext>
            </c:extLst>
          </c:dPt>
          <c:dLbls>
            <c:dLbl>
              <c:idx val="0"/>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1-5446-49D4-B861-6936D0020539}"/>
                </c:ext>
              </c:extLst>
            </c:dLbl>
            <c:dLbl>
              <c:idx val="1"/>
              <c:layout>
                <c:manualLayout>
                  <c:x val="-9.2336016396170728E-2"/>
                  <c:y val="-0.21739761835608482"/>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0.12037037037037036"/>
                      <c:h val="0.12797619047619047"/>
                    </c:manualLayout>
                  </c15:layout>
                </c:ext>
                <c:ext xmlns:c16="http://schemas.microsoft.com/office/drawing/2014/chart" uri="{C3380CC4-5D6E-409C-BE32-E72D297353CC}">
                  <c16:uniqueId val="{00000003-5446-49D4-B861-6936D0020539}"/>
                </c:ext>
              </c:extLst>
            </c:dLbl>
            <c:dLbl>
              <c:idx val="2"/>
              <c:spPr>
                <a:noFill/>
                <a:ln>
                  <a:noFill/>
                </a:ln>
                <a:effectLst/>
              </c:spPr>
              <c:txPr>
                <a:bodyPr rot="0" spcFirstLastPara="1" vertOverflow="ellipsis" vert="horz" wrap="square" anchor="ctr" anchorCtr="1"/>
                <a:lstStyle/>
                <a:p>
                  <a:pPr rtl="0">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extLst>
                <c:ext xmlns:c16="http://schemas.microsoft.com/office/drawing/2014/chart" uri="{C3380CC4-5D6E-409C-BE32-E72D297353CC}">
                  <c16:uniqueId val="{00000006-5446-49D4-B861-6936D0020539}"/>
                </c:ext>
              </c:extLst>
            </c:dLbl>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18–25 years</c:v>
                </c:pt>
                <c:pt idx="1">
                  <c:v>26–35 years</c:v>
                </c:pt>
                <c:pt idx="2">
                  <c:v>36–45 years</c:v>
                </c:pt>
                <c:pt idx="3">
                  <c:v>46–55 years</c:v>
                </c:pt>
                <c:pt idx="4">
                  <c:v>56 years or older</c:v>
                </c:pt>
              </c:strCache>
            </c:strRef>
          </c:cat>
          <c:val>
            <c:numRef>
              <c:f>Sheet1!$B$2:$B$6</c:f>
              <c:numCache>
                <c:formatCode>General</c:formatCode>
                <c:ptCount val="5"/>
                <c:pt idx="0">
                  <c:v>39</c:v>
                </c:pt>
                <c:pt idx="1">
                  <c:v>78</c:v>
                </c:pt>
                <c:pt idx="2">
                  <c:v>59</c:v>
                </c:pt>
                <c:pt idx="3">
                  <c:v>18</c:v>
                </c:pt>
                <c:pt idx="4">
                  <c:v>2</c:v>
                </c:pt>
              </c:numCache>
            </c:numRef>
          </c:val>
          <c:extLst>
            <c:ext xmlns:c16="http://schemas.microsoft.com/office/drawing/2014/chart" uri="{C3380CC4-5D6E-409C-BE32-E72D297353CC}">
              <c16:uniqueId val="{00000004-5446-49D4-B861-6936D002053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E6-457B-B66B-BAD64B3FDF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E6-457B-B66B-BAD64B3FDF4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E6-457B-B66B-BAD64B3FDF4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E6-457B-B66B-BAD64B3FDF4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FE6-457B-B66B-BAD64B3FDF43}"/>
              </c:ext>
            </c:extLst>
          </c:dPt>
          <c:dLbls>
            <c:dLbl>
              <c:idx val="0"/>
              <c:layout>
                <c:manualLayout>
                  <c:x val="-5.9077482390365824E-2"/>
                  <c:y val="0.18594844092281038"/>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1-9FE6-457B-B66B-BAD64B3FDF43}"/>
                </c:ext>
              </c:extLst>
            </c:dLbl>
            <c:dLbl>
              <c:idx val="1"/>
              <c:layout>
                <c:manualLayout>
                  <c:x val="-9.2336016396170728E-2"/>
                  <c:y val="-0.21739761835608482"/>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0.12037037037037036"/>
                      <c:h val="0.12797619047619047"/>
                    </c:manualLayout>
                  </c15:layout>
                </c:ext>
                <c:ext xmlns:c16="http://schemas.microsoft.com/office/drawing/2014/chart" uri="{C3380CC4-5D6E-409C-BE32-E72D297353CC}">
                  <c16:uniqueId val="{00000003-9FE6-457B-B66B-BAD64B3FDF43}"/>
                </c:ext>
              </c:extLst>
            </c:dLbl>
            <c:spPr>
              <a:noFill/>
              <a:ln>
                <a:noFill/>
              </a:ln>
              <a:effectLst/>
            </c:spPr>
            <c:txPr>
              <a:bodyPr rot="0" spcFirstLastPara="1" vertOverflow="ellipsis" vert="horz" wrap="square" anchor="ctr" anchorCtr="1"/>
              <a:lstStyle/>
              <a:p>
                <a:pPr rtl="0">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High school diploma or equivalent</c:v>
                </c:pt>
                <c:pt idx="1">
                  <c:v>Bachelor’s degree</c:v>
                </c:pt>
                <c:pt idx="2">
                  <c:v>Master’s degree</c:v>
                </c:pt>
                <c:pt idx="3">
                  <c:v>Doctoral degree</c:v>
                </c:pt>
                <c:pt idx="4">
                  <c:v>Other</c:v>
                </c:pt>
              </c:strCache>
            </c:strRef>
          </c:cat>
          <c:val>
            <c:numRef>
              <c:f>Sheet1!$B$2:$B$6</c:f>
              <c:numCache>
                <c:formatCode>General</c:formatCode>
                <c:ptCount val="5"/>
                <c:pt idx="0">
                  <c:v>20</c:v>
                </c:pt>
                <c:pt idx="1">
                  <c:v>108</c:v>
                </c:pt>
                <c:pt idx="2">
                  <c:v>49</c:v>
                </c:pt>
                <c:pt idx="3">
                  <c:v>10</c:v>
                </c:pt>
                <c:pt idx="4">
                  <c:v>9</c:v>
                </c:pt>
              </c:numCache>
            </c:numRef>
          </c:val>
          <c:extLst>
            <c:ext xmlns:c16="http://schemas.microsoft.com/office/drawing/2014/chart" uri="{C3380CC4-5D6E-409C-BE32-E72D297353CC}">
              <c16:uniqueId val="{0000000A-9FE6-457B-B66B-BAD64B3FDF43}"/>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1218942724184013"/>
          <c:y val="0.11624077824189286"/>
          <c:w val="0.46963288586881652"/>
          <c:h val="0.7254716408521815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4D9-47FB-B226-53A19DDE07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4D9-47FB-B226-53A19DDE07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4D9-47FB-B226-53A19DDE07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4D9-47FB-B226-53A19DDE07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4D9-47FB-B226-53A19DDE0753}"/>
              </c:ext>
            </c:extLst>
          </c:dPt>
          <c:dLbls>
            <c:dLbl>
              <c:idx val="0"/>
              <c:layout>
                <c:manualLayout>
                  <c:x val="-5.9077482390365824E-2"/>
                  <c:y val="0.18594844092281038"/>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1-94D9-47FB-B226-53A19DDE0753}"/>
                </c:ext>
              </c:extLst>
            </c:dLbl>
            <c:dLbl>
              <c:idx val="1"/>
              <c:layout>
                <c:manualLayout>
                  <c:x val="-0.1082414161420007"/>
                  <c:y val="-0.10527426625981492"/>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0.12037037037037036"/>
                      <c:h val="0.12797619047619047"/>
                    </c:manualLayout>
                  </c15:layout>
                </c:ext>
                <c:ext xmlns:c16="http://schemas.microsoft.com/office/drawing/2014/chart" uri="{C3380CC4-5D6E-409C-BE32-E72D297353CC}">
                  <c16:uniqueId val="{00000003-94D9-47FB-B226-53A19DDE0753}"/>
                </c:ext>
              </c:extLst>
            </c:dLbl>
            <c:spPr>
              <a:noFill/>
              <a:ln>
                <a:noFill/>
              </a:ln>
              <a:effectLst/>
            </c:spPr>
            <c:txPr>
              <a:bodyPr rot="0" spcFirstLastPara="1" vertOverflow="ellipsis" vert="horz" wrap="square" anchor="ctr" anchorCtr="1"/>
              <a:lstStyle/>
              <a:p>
                <a:pPr rtl="0">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Less than 1 year</c:v>
                </c:pt>
                <c:pt idx="1">
                  <c:v>1–3 years</c:v>
                </c:pt>
                <c:pt idx="2">
                  <c:v>4–6 years</c:v>
                </c:pt>
                <c:pt idx="3">
                  <c:v>7–10 years</c:v>
                </c:pt>
                <c:pt idx="4">
                  <c:v>More than 10 years</c:v>
                </c:pt>
              </c:strCache>
            </c:strRef>
          </c:cat>
          <c:val>
            <c:numRef>
              <c:f>Sheet1!$B$2:$B$6</c:f>
              <c:numCache>
                <c:formatCode>General</c:formatCode>
                <c:ptCount val="5"/>
                <c:pt idx="0">
                  <c:v>29</c:v>
                </c:pt>
                <c:pt idx="1">
                  <c:v>59</c:v>
                </c:pt>
                <c:pt idx="2">
                  <c:v>49</c:v>
                </c:pt>
                <c:pt idx="3">
                  <c:v>35</c:v>
                </c:pt>
                <c:pt idx="4">
                  <c:v>24</c:v>
                </c:pt>
              </c:numCache>
            </c:numRef>
          </c:val>
          <c:extLst>
            <c:ext xmlns:c16="http://schemas.microsoft.com/office/drawing/2014/chart" uri="{C3380CC4-5D6E-409C-BE32-E72D297353CC}">
              <c16:uniqueId val="{0000000A-94D9-47FB-B226-53A19DDE0753}"/>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1218942724184013"/>
          <c:y val="0.2423795308697835"/>
          <c:w val="0.46963288586881652"/>
          <c:h val="0.5993328882242907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579682140959374"/>
          <c:y val="0.14659243277841846"/>
          <c:w val="0.27689734079763545"/>
          <c:h val="0.85340756722158151"/>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CC-4363-88D9-ECFE0D207DC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CC-4363-88D9-ECFE0D207DC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4CC-4363-88D9-ECFE0D207DC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4CC-4363-88D9-ECFE0D207DC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4CC-4363-88D9-ECFE0D207DC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436-4011-8960-2A29B4C80619}"/>
              </c:ext>
            </c:extLst>
          </c:dPt>
          <c:dLbls>
            <c:dLbl>
              <c:idx val="0"/>
              <c:layout>
                <c:manualLayout>
                  <c:x val="-8.6344012724380817E-2"/>
                  <c:y val="0.18594844092281038"/>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1-C4CC-4363-88D9-ECFE0D207DC4}"/>
                </c:ext>
              </c:extLst>
            </c:dLbl>
            <c:dLbl>
              <c:idx val="1"/>
              <c:layout>
                <c:manualLayout>
                  <c:x val="-0.1082414161420007"/>
                  <c:y val="-0.10527426625981492"/>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0.12037037037037036"/>
                      <c:h val="0.12797619047619047"/>
                    </c:manualLayout>
                  </c15:layout>
                </c:ext>
                <c:ext xmlns:c16="http://schemas.microsoft.com/office/drawing/2014/chart" uri="{C3380CC4-5D6E-409C-BE32-E72D297353CC}">
                  <c16:uniqueId val="{00000003-C4CC-4363-88D9-ECFE0D207DC4}"/>
                </c:ext>
              </c:extLst>
            </c:dLbl>
            <c:spPr>
              <a:noFill/>
              <a:ln>
                <a:noFill/>
              </a:ln>
              <a:effectLst/>
            </c:spPr>
            <c:txPr>
              <a:bodyPr rot="0" spcFirstLastPara="1" vertOverflow="ellipsis" vert="horz" wrap="square" anchor="ctr" anchorCtr="1"/>
              <a:lstStyle/>
              <a:p>
                <a:pPr rtl="0">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Entry-level</c:v>
                </c:pt>
                <c:pt idx="1">
                  <c:v>Mid-level</c:v>
                </c:pt>
                <c:pt idx="2">
                  <c:v>Senior-level</c:v>
                </c:pt>
                <c:pt idx="3">
                  <c:v>Management</c:v>
                </c:pt>
                <c:pt idx="4">
                  <c:v>Executive</c:v>
                </c:pt>
                <c:pt idx="5">
                  <c:v>Other</c:v>
                </c:pt>
              </c:strCache>
            </c:strRef>
          </c:cat>
          <c:val>
            <c:numRef>
              <c:f>Sheet1!$B$2:$B$7</c:f>
              <c:numCache>
                <c:formatCode>General</c:formatCode>
                <c:ptCount val="6"/>
                <c:pt idx="0">
                  <c:v>59</c:v>
                </c:pt>
                <c:pt idx="1">
                  <c:v>69</c:v>
                </c:pt>
                <c:pt idx="2">
                  <c:v>29</c:v>
                </c:pt>
                <c:pt idx="3">
                  <c:v>24</c:v>
                </c:pt>
                <c:pt idx="4">
                  <c:v>10</c:v>
                </c:pt>
                <c:pt idx="5">
                  <c:v>5</c:v>
                </c:pt>
              </c:numCache>
            </c:numRef>
          </c:val>
          <c:extLst>
            <c:ext xmlns:c16="http://schemas.microsoft.com/office/drawing/2014/chart" uri="{C3380CC4-5D6E-409C-BE32-E72D297353CC}">
              <c16:uniqueId val="{0000000A-C4CC-4363-88D9-ECFE0D207DC4}"/>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1218942724184013"/>
          <c:y val="0.35450286653901969"/>
          <c:w val="0.46963288586881652"/>
          <c:h val="0.4872095525550546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579682140959374"/>
          <c:y val="0.14659243277841846"/>
          <c:w val="0.27689734079763545"/>
          <c:h val="0.85340756722158151"/>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C8-4F79-8E70-599C1FC1635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C8-4F79-8E70-599C1FC1635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AC8-4F79-8E70-599C1FC1635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AC8-4F79-8E70-599C1FC1635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AC8-4F79-8E70-599C1FC1635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AC8-4F79-8E70-599C1FC16357}"/>
              </c:ext>
            </c:extLst>
          </c:dPt>
          <c:dLbls>
            <c:dLbl>
              <c:idx val="0"/>
              <c:layout>
                <c:manualLayout>
                  <c:x val="-0.10452169961372419"/>
                  <c:y val="0.15090989852617401"/>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9.199074074074072E-2"/>
                      <c:h val="0.13749999999999998"/>
                    </c:manualLayout>
                  </c15:layout>
                </c:ext>
                <c:ext xmlns:c16="http://schemas.microsoft.com/office/drawing/2014/chart" uri="{C3380CC4-5D6E-409C-BE32-E72D297353CC}">
                  <c16:uniqueId val="{00000001-2AC8-4F79-8E70-599C1FC16357}"/>
                </c:ext>
              </c:extLst>
            </c:dLbl>
            <c:dLbl>
              <c:idx val="1"/>
              <c:layout>
                <c:manualLayout>
                  <c:x val="-8.7791518391489409E-2"/>
                  <c:y val="-0.10527426625981492"/>
                </c:manualLayout>
              </c:layout>
              <c:spPr>
                <a:noFill/>
                <a:ln>
                  <a:noFill/>
                </a:ln>
                <a:effectLst/>
              </c:spPr>
              <c:txPr>
                <a:bodyPr rot="0" spcFirstLastPara="1" vertOverflow="ellipsis" vert="horz" wrap="square" anchor="ctr" anchorCtr="1"/>
                <a:lstStyle/>
                <a:p>
                  <a:pPr rtl="0">
                    <a:defRPr sz="1200" b="0" i="0" u="none" strike="noStrike" kern="1200" baseline="0">
                      <a:solidFill>
                        <a:schemeClr val="bg1"/>
                      </a:solidFill>
                      <a:latin typeface="+mn-lt"/>
                      <a:ea typeface="+mn-ea"/>
                      <a:cs typeface="+mj-cs"/>
                    </a:defRPr>
                  </a:pPr>
                  <a:endParaRPr lang="ar-EG"/>
                </a:p>
              </c:txPr>
              <c:showLegendKey val="0"/>
              <c:showVal val="0"/>
              <c:showCatName val="0"/>
              <c:showSerName val="0"/>
              <c:showPercent val="1"/>
              <c:showBubbleSize val="0"/>
              <c:extLst>
                <c:ext xmlns:c15="http://schemas.microsoft.com/office/drawing/2012/chart" uri="{CE6537A1-D6FC-4f65-9D91-7224C49458BB}">
                  <c15:layout>
                    <c:manualLayout>
                      <c:w val="0.12037037037037036"/>
                      <c:h val="0.12797619047619047"/>
                    </c:manualLayout>
                  </c15:layout>
                </c:ext>
                <c:ext xmlns:c16="http://schemas.microsoft.com/office/drawing/2014/chart" uri="{C3380CC4-5D6E-409C-BE32-E72D297353CC}">
                  <c16:uniqueId val="{00000003-2AC8-4F79-8E70-599C1FC16357}"/>
                </c:ext>
              </c:extLst>
            </c:dLbl>
            <c:spPr>
              <a:noFill/>
              <a:ln>
                <a:noFill/>
              </a:ln>
              <a:effectLst/>
            </c:spPr>
            <c:txPr>
              <a:bodyPr rot="0" spcFirstLastPara="1" vertOverflow="ellipsis" vert="horz" wrap="square" anchor="ctr" anchorCtr="1"/>
              <a:lstStyle/>
              <a:p>
                <a:pPr rtl="0">
                  <a:defRPr sz="1200" b="0" i="0" u="none" strike="noStrike" kern="1200" baseline="0">
                    <a:solidFill>
                      <a:schemeClr val="tx1">
                        <a:lumMod val="75000"/>
                        <a:lumOff val="25000"/>
                      </a:schemeClr>
                    </a:solidFill>
                    <a:latin typeface="+mn-lt"/>
                    <a:ea typeface="+mn-ea"/>
                    <a:cs typeface="+mj-cs"/>
                  </a:defRPr>
                </a:pPr>
                <a:endParaRPr lang="ar-E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5"/>
                <c:pt idx="0">
                  <c:v>Account Management / Sales</c:v>
                </c:pt>
                <c:pt idx="1">
                  <c:v>Risk Management / Compliance</c:v>
                </c:pt>
                <c:pt idx="2">
                  <c:v>Operations</c:v>
                </c:pt>
                <c:pt idx="3">
                  <c:v>IT / Technology</c:v>
                </c:pt>
                <c:pt idx="4">
                  <c:v>Finance / Other</c:v>
                </c:pt>
              </c:strCache>
            </c:strRef>
          </c:cat>
          <c:val>
            <c:numRef>
              <c:f>Sheet1!$B$2:$B$7</c:f>
              <c:numCache>
                <c:formatCode>General</c:formatCode>
                <c:ptCount val="6"/>
                <c:pt idx="0">
                  <c:v>69</c:v>
                </c:pt>
                <c:pt idx="1">
                  <c:v>39</c:v>
                </c:pt>
                <c:pt idx="2">
                  <c:v>39</c:v>
                </c:pt>
                <c:pt idx="3">
                  <c:v>29</c:v>
                </c:pt>
                <c:pt idx="4">
                  <c:v>20</c:v>
                </c:pt>
              </c:numCache>
            </c:numRef>
          </c:val>
          <c:extLst>
            <c:ext xmlns:c16="http://schemas.microsoft.com/office/drawing/2014/chart" uri="{C3380CC4-5D6E-409C-BE32-E72D297353CC}">
              <c16:uniqueId val="{0000000C-2AC8-4F79-8E70-599C1FC16357}"/>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1218942724184013"/>
          <c:y val="0.35450286653901969"/>
          <c:w val="0.46963288586881652"/>
          <c:h val="0.4872095525550546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j-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00423D-58DC-4D22-915B-9AA28A39247A}" type="doc">
      <dgm:prSet loTypeId="urn:microsoft.com/office/officeart/2005/8/layout/list1" loCatId="list" qsTypeId="urn:microsoft.com/office/officeart/2005/8/quickstyle/simple1" qsCatId="simple" csTypeId="urn:microsoft.com/office/officeart/2005/8/colors/accent3_1" csCatId="accent3" phldr="1"/>
      <dgm:spPr/>
      <dgm:t>
        <a:bodyPr/>
        <a:lstStyle/>
        <a:p>
          <a:endParaRPr lang="en-US"/>
        </a:p>
      </dgm:t>
    </dgm:pt>
    <dgm:pt modelId="{0F74E2E6-47CA-43A3-A1CC-9FB257D4FCFF}">
      <dgm:prSet phldrT="[Text]"/>
      <dgm:spPr/>
      <dgm:t>
        <a:bodyPr/>
        <a:lstStyle/>
        <a:p>
          <a:r>
            <a:rPr lang="en-US"/>
            <a:t>Chapter 1: Introduction</a:t>
          </a:r>
        </a:p>
      </dgm:t>
    </dgm:pt>
    <dgm:pt modelId="{332AC20A-6C5D-4EB1-8C59-C7A1D854C56C}" type="parTrans" cxnId="{7731C438-4F45-4BC5-8852-006AA54D5950}">
      <dgm:prSet/>
      <dgm:spPr/>
      <dgm:t>
        <a:bodyPr/>
        <a:lstStyle/>
        <a:p>
          <a:endParaRPr lang="en-US"/>
        </a:p>
      </dgm:t>
    </dgm:pt>
    <dgm:pt modelId="{B291CA31-AA72-404B-B58E-0C358886DDFE}" type="sibTrans" cxnId="{7731C438-4F45-4BC5-8852-006AA54D5950}">
      <dgm:prSet/>
      <dgm:spPr/>
      <dgm:t>
        <a:bodyPr/>
        <a:lstStyle/>
        <a:p>
          <a:endParaRPr lang="en-US"/>
        </a:p>
      </dgm:t>
    </dgm:pt>
    <dgm:pt modelId="{6ED120AE-A102-428A-99EC-F2F6644FC32C}">
      <dgm:prSet phldrT="[Text]"/>
      <dgm:spPr/>
      <dgm:t>
        <a:bodyPr/>
        <a:lstStyle/>
        <a:p>
          <a:r>
            <a:rPr lang="en-US"/>
            <a:t>Chapter 2 : Literature Review</a:t>
          </a:r>
        </a:p>
      </dgm:t>
    </dgm:pt>
    <dgm:pt modelId="{C64D65B4-DAB6-4C8B-A6D7-FC2837947891}" type="parTrans" cxnId="{3CD02872-3A2D-46B9-8E84-3DD2CC966B86}">
      <dgm:prSet/>
      <dgm:spPr/>
      <dgm:t>
        <a:bodyPr/>
        <a:lstStyle/>
        <a:p>
          <a:endParaRPr lang="en-US"/>
        </a:p>
      </dgm:t>
    </dgm:pt>
    <dgm:pt modelId="{838B7629-3F6A-4B01-A8D5-D1F9415CB645}" type="sibTrans" cxnId="{3CD02872-3A2D-46B9-8E84-3DD2CC966B86}">
      <dgm:prSet/>
      <dgm:spPr/>
      <dgm:t>
        <a:bodyPr/>
        <a:lstStyle/>
        <a:p>
          <a:endParaRPr lang="en-US"/>
        </a:p>
      </dgm:t>
    </dgm:pt>
    <dgm:pt modelId="{108E417C-0BBC-4157-9EF0-8D3DF51E7468}">
      <dgm:prSet phldrT="[Text]"/>
      <dgm:spPr/>
      <dgm:t>
        <a:bodyPr/>
        <a:lstStyle/>
        <a:p>
          <a:r>
            <a:rPr lang="en-US"/>
            <a:t>Chapter 3 : Research Methodology</a:t>
          </a:r>
        </a:p>
      </dgm:t>
    </dgm:pt>
    <dgm:pt modelId="{A6409A22-1162-4DD5-A406-E337096E7B56}" type="parTrans" cxnId="{DDFF6A02-C30F-45BA-AD29-AC01E250242F}">
      <dgm:prSet/>
      <dgm:spPr/>
      <dgm:t>
        <a:bodyPr/>
        <a:lstStyle/>
        <a:p>
          <a:endParaRPr lang="en-US"/>
        </a:p>
      </dgm:t>
    </dgm:pt>
    <dgm:pt modelId="{08F775C3-2E02-4F26-A93D-48E09C4464F9}" type="sibTrans" cxnId="{DDFF6A02-C30F-45BA-AD29-AC01E250242F}">
      <dgm:prSet/>
      <dgm:spPr/>
      <dgm:t>
        <a:bodyPr/>
        <a:lstStyle/>
        <a:p>
          <a:endParaRPr lang="en-US"/>
        </a:p>
      </dgm:t>
    </dgm:pt>
    <dgm:pt modelId="{E3317C0A-4DBB-4300-9AED-21D78908B3AE}">
      <dgm:prSet/>
      <dgm:spPr/>
      <dgm:t>
        <a:bodyPr/>
        <a:lstStyle/>
        <a:p>
          <a:r>
            <a:rPr lang="en-US"/>
            <a:t>Chapter 5 : Findings Discussion and Conclusion</a:t>
          </a:r>
        </a:p>
      </dgm:t>
    </dgm:pt>
    <dgm:pt modelId="{D0C79BF4-DDE2-494C-BC9F-3A0C2A372A9B}" type="parTrans" cxnId="{5ADDA99E-DB9C-43A5-823D-61836DA1711D}">
      <dgm:prSet/>
      <dgm:spPr/>
      <dgm:t>
        <a:bodyPr/>
        <a:lstStyle/>
        <a:p>
          <a:endParaRPr lang="en-US"/>
        </a:p>
      </dgm:t>
    </dgm:pt>
    <dgm:pt modelId="{5BE09955-2607-4C6D-A5E5-B61712EDC2A3}" type="sibTrans" cxnId="{5ADDA99E-DB9C-43A5-823D-61836DA1711D}">
      <dgm:prSet/>
      <dgm:spPr/>
      <dgm:t>
        <a:bodyPr/>
        <a:lstStyle/>
        <a:p>
          <a:endParaRPr lang="en-US"/>
        </a:p>
      </dgm:t>
    </dgm:pt>
    <dgm:pt modelId="{489711E6-CDBD-49CF-9535-4D8F879C2496}">
      <dgm:prSet/>
      <dgm:spPr/>
      <dgm:t>
        <a:bodyPr/>
        <a:lstStyle/>
        <a:p>
          <a:r>
            <a:rPr lang="en-US"/>
            <a:t>Chapter 4 : Statistical Analysis</a:t>
          </a:r>
        </a:p>
      </dgm:t>
    </dgm:pt>
    <dgm:pt modelId="{8A97E0AB-CE4F-4990-8575-95CB221CE09F}" type="sibTrans" cxnId="{407C96AD-1096-400B-9A93-3B2C5C87C08A}">
      <dgm:prSet/>
      <dgm:spPr/>
      <dgm:t>
        <a:bodyPr/>
        <a:lstStyle/>
        <a:p>
          <a:endParaRPr lang="en-US"/>
        </a:p>
      </dgm:t>
    </dgm:pt>
    <dgm:pt modelId="{9693B391-2635-498F-AE47-A8F4BFF97483}" type="parTrans" cxnId="{407C96AD-1096-400B-9A93-3B2C5C87C08A}">
      <dgm:prSet/>
      <dgm:spPr/>
      <dgm:t>
        <a:bodyPr/>
        <a:lstStyle/>
        <a:p>
          <a:endParaRPr lang="en-US"/>
        </a:p>
      </dgm:t>
    </dgm:pt>
    <dgm:pt modelId="{B4E4E014-C577-4A32-B370-BAFEAF10CFFB}" type="pres">
      <dgm:prSet presAssocID="{1C00423D-58DC-4D22-915B-9AA28A39247A}" presName="linear" presStyleCnt="0">
        <dgm:presLayoutVars>
          <dgm:dir/>
          <dgm:animLvl val="lvl"/>
          <dgm:resizeHandles val="exact"/>
        </dgm:presLayoutVars>
      </dgm:prSet>
      <dgm:spPr/>
    </dgm:pt>
    <dgm:pt modelId="{2FF43488-F407-4235-BA3C-6347C1B77015}" type="pres">
      <dgm:prSet presAssocID="{0F74E2E6-47CA-43A3-A1CC-9FB257D4FCFF}" presName="parentLin" presStyleCnt="0"/>
      <dgm:spPr/>
    </dgm:pt>
    <dgm:pt modelId="{A60D0819-F6A4-4CA6-B128-40BE47858B70}" type="pres">
      <dgm:prSet presAssocID="{0F74E2E6-47CA-43A3-A1CC-9FB257D4FCFF}" presName="parentLeftMargin" presStyleLbl="node1" presStyleIdx="0" presStyleCnt="5"/>
      <dgm:spPr/>
    </dgm:pt>
    <dgm:pt modelId="{7EA2709B-8C9C-4094-AE9A-8A4606CFF6AC}" type="pres">
      <dgm:prSet presAssocID="{0F74E2E6-47CA-43A3-A1CC-9FB257D4FCFF}" presName="parentText" presStyleLbl="node1" presStyleIdx="0" presStyleCnt="5">
        <dgm:presLayoutVars>
          <dgm:chMax val="0"/>
          <dgm:bulletEnabled val="1"/>
        </dgm:presLayoutVars>
      </dgm:prSet>
      <dgm:spPr/>
    </dgm:pt>
    <dgm:pt modelId="{5F305AF8-4FBC-4CDD-A8B6-D9C95F9FBD4C}" type="pres">
      <dgm:prSet presAssocID="{0F74E2E6-47CA-43A3-A1CC-9FB257D4FCFF}" presName="negativeSpace" presStyleCnt="0"/>
      <dgm:spPr/>
    </dgm:pt>
    <dgm:pt modelId="{53290194-3A2B-469B-893F-D810D80A2B28}" type="pres">
      <dgm:prSet presAssocID="{0F74E2E6-47CA-43A3-A1CC-9FB257D4FCFF}" presName="childText" presStyleLbl="conFgAcc1" presStyleIdx="0" presStyleCnt="5">
        <dgm:presLayoutVars>
          <dgm:bulletEnabled val="1"/>
        </dgm:presLayoutVars>
      </dgm:prSet>
      <dgm:spPr/>
    </dgm:pt>
    <dgm:pt modelId="{E3D7A40C-71EB-4CA5-AB4B-996DAF7EA20C}" type="pres">
      <dgm:prSet presAssocID="{B291CA31-AA72-404B-B58E-0C358886DDFE}" presName="spaceBetweenRectangles" presStyleCnt="0"/>
      <dgm:spPr/>
    </dgm:pt>
    <dgm:pt modelId="{4E50ACA4-F15A-44A6-90B7-B431CB276D52}" type="pres">
      <dgm:prSet presAssocID="{6ED120AE-A102-428A-99EC-F2F6644FC32C}" presName="parentLin" presStyleCnt="0"/>
      <dgm:spPr/>
    </dgm:pt>
    <dgm:pt modelId="{3BCDC446-71F4-4692-BF4A-62EF3BAC209D}" type="pres">
      <dgm:prSet presAssocID="{6ED120AE-A102-428A-99EC-F2F6644FC32C}" presName="parentLeftMargin" presStyleLbl="node1" presStyleIdx="0" presStyleCnt="5"/>
      <dgm:spPr/>
    </dgm:pt>
    <dgm:pt modelId="{D6F89E39-5F55-4E44-A650-09B286D14B76}" type="pres">
      <dgm:prSet presAssocID="{6ED120AE-A102-428A-99EC-F2F6644FC32C}" presName="parentText" presStyleLbl="node1" presStyleIdx="1" presStyleCnt="5">
        <dgm:presLayoutVars>
          <dgm:chMax val="0"/>
          <dgm:bulletEnabled val="1"/>
        </dgm:presLayoutVars>
      </dgm:prSet>
      <dgm:spPr/>
    </dgm:pt>
    <dgm:pt modelId="{E6E704E4-9801-4CCD-89C6-8FD845E574C5}" type="pres">
      <dgm:prSet presAssocID="{6ED120AE-A102-428A-99EC-F2F6644FC32C}" presName="negativeSpace" presStyleCnt="0"/>
      <dgm:spPr/>
    </dgm:pt>
    <dgm:pt modelId="{15910C69-8C66-4C00-BDF4-F7A8A3D51C2A}" type="pres">
      <dgm:prSet presAssocID="{6ED120AE-A102-428A-99EC-F2F6644FC32C}" presName="childText" presStyleLbl="conFgAcc1" presStyleIdx="1" presStyleCnt="5">
        <dgm:presLayoutVars>
          <dgm:bulletEnabled val="1"/>
        </dgm:presLayoutVars>
      </dgm:prSet>
      <dgm:spPr/>
    </dgm:pt>
    <dgm:pt modelId="{BBDD0AB8-8A42-46D0-88D2-3DAD9C2D29CF}" type="pres">
      <dgm:prSet presAssocID="{838B7629-3F6A-4B01-A8D5-D1F9415CB645}" presName="spaceBetweenRectangles" presStyleCnt="0"/>
      <dgm:spPr/>
    </dgm:pt>
    <dgm:pt modelId="{E5532BBC-F460-42F5-A44D-584F2D4EDDFE}" type="pres">
      <dgm:prSet presAssocID="{108E417C-0BBC-4157-9EF0-8D3DF51E7468}" presName="parentLin" presStyleCnt="0"/>
      <dgm:spPr/>
    </dgm:pt>
    <dgm:pt modelId="{1021394D-1BFC-4078-B21D-4E2584573142}" type="pres">
      <dgm:prSet presAssocID="{108E417C-0BBC-4157-9EF0-8D3DF51E7468}" presName="parentLeftMargin" presStyleLbl="node1" presStyleIdx="1" presStyleCnt="5"/>
      <dgm:spPr/>
    </dgm:pt>
    <dgm:pt modelId="{1FD49C17-585D-4E5E-8DF0-70F5275A4009}" type="pres">
      <dgm:prSet presAssocID="{108E417C-0BBC-4157-9EF0-8D3DF51E7468}" presName="parentText" presStyleLbl="node1" presStyleIdx="2" presStyleCnt="5">
        <dgm:presLayoutVars>
          <dgm:chMax val="0"/>
          <dgm:bulletEnabled val="1"/>
        </dgm:presLayoutVars>
      </dgm:prSet>
      <dgm:spPr/>
    </dgm:pt>
    <dgm:pt modelId="{92FC0550-B2C8-4EE3-A9A4-1F404F66665B}" type="pres">
      <dgm:prSet presAssocID="{108E417C-0BBC-4157-9EF0-8D3DF51E7468}" presName="negativeSpace" presStyleCnt="0"/>
      <dgm:spPr/>
    </dgm:pt>
    <dgm:pt modelId="{0B8450B8-41D0-4145-88DB-0C0778AB005E}" type="pres">
      <dgm:prSet presAssocID="{108E417C-0BBC-4157-9EF0-8D3DF51E7468}" presName="childText" presStyleLbl="conFgAcc1" presStyleIdx="2" presStyleCnt="5">
        <dgm:presLayoutVars>
          <dgm:bulletEnabled val="1"/>
        </dgm:presLayoutVars>
      </dgm:prSet>
      <dgm:spPr/>
    </dgm:pt>
    <dgm:pt modelId="{F1FB96C1-F694-4EA8-908E-5F1420CCF192}" type="pres">
      <dgm:prSet presAssocID="{08F775C3-2E02-4F26-A93D-48E09C4464F9}" presName="spaceBetweenRectangles" presStyleCnt="0"/>
      <dgm:spPr/>
    </dgm:pt>
    <dgm:pt modelId="{7D5B51C3-FC64-4057-8D59-DCCC96434CAC}" type="pres">
      <dgm:prSet presAssocID="{489711E6-CDBD-49CF-9535-4D8F879C2496}" presName="parentLin" presStyleCnt="0"/>
      <dgm:spPr/>
    </dgm:pt>
    <dgm:pt modelId="{63AE6A6D-F4ED-41E2-BA8C-A5E11CC04095}" type="pres">
      <dgm:prSet presAssocID="{489711E6-CDBD-49CF-9535-4D8F879C2496}" presName="parentLeftMargin" presStyleLbl="node1" presStyleIdx="2" presStyleCnt="5"/>
      <dgm:spPr/>
    </dgm:pt>
    <dgm:pt modelId="{024724D7-259F-410F-A1F5-D88AE3378FB9}" type="pres">
      <dgm:prSet presAssocID="{489711E6-CDBD-49CF-9535-4D8F879C2496}" presName="parentText" presStyleLbl="node1" presStyleIdx="3" presStyleCnt="5">
        <dgm:presLayoutVars>
          <dgm:chMax val="0"/>
          <dgm:bulletEnabled val="1"/>
        </dgm:presLayoutVars>
      </dgm:prSet>
      <dgm:spPr/>
    </dgm:pt>
    <dgm:pt modelId="{DB41DAC8-9E6F-4B8B-BE4E-89AA35BD7B6F}" type="pres">
      <dgm:prSet presAssocID="{489711E6-CDBD-49CF-9535-4D8F879C2496}" presName="negativeSpace" presStyleCnt="0"/>
      <dgm:spPr/>
    </dgm:pt>
    <dgm:pt modelId="{9EC75372-4756-4A8F-834D-D33157DAE998}" type="pres">
      <dgm:prSet presAssocID="{489711E6-CDBD-49CF-9535-4D8F879C2496}" presName="childText" presStyleLbl="conFgAcc1" presStyleIdx="3" presStyleCnt="5">
        <dgm:presLayoutVars>
          <dgm:bulletEnabled val="1"/>
        </dgm:presLayoutVars>
      </dgm:prSet>
      <dgm:spPr/>
    </dgm:pt>
    <dgm:pt modelId="{7CA028A5-725E-4101-B88F-C946741CA8E9}" type="pres">
      <dgm:prSet presAssocID="{8A97E0AB-CE4F-4990-8575-95CB221CE09F}" presName="spaceBetweenRectangles" presStyleCnt="0"/>
      <dgm:spPr/>
    </dgm:pt>
    <dgm:pt modelId="{F391A9B3-D1A6-43F6-8E14-AA75C5549404}" type="pres">
      <dgm:prSet presAssocID="{E3317C0A-4DBB-4300-9AED-21D78908B3AE}" presName="parentLin" presStyleCnt="0"/>
      <dgm:spPr/>
    </dgm:pt>
    <dgm:pt modelId="{F3D31AA2-BAA6-44E3-9AA7-56401244E8F7}" type="pres">
      <dgm:prSet presAssocID="{E3317C0A-4DBB-4300-9AED-21D78908B3AE}" presName="parentLeftMargin" presStyleLbl="node1" presStyleIdx="3" presStyleCnt="5"/>
      <dgm:spPr/>
    </dgm:pt>
    <dgm:pt modelId="{91D81715-E8F6-450D-AA65-3E011643C725}" type="pres">
      <dgm:prSet presAssocID="{E3317C0A-4DBB-4300-9AED-21D78908B3AE}" presName="parentText" presStyleLbl="node1" presStyleIdx="4" presStyleCnt="5">
        <dgm:presLayoutVars>
          <dgm:chMax val="0"/>
          <dgm:bulletEnabled val="1"/>
        </dgm:presLayoutVars>
      </dgm:prSet>
      <dgm:spPr/>
    </dgm:pt>
    <dgm:pt modelId="{16F90A4C-37CB-4528-B974-D38E2F9466F8}" type="pres">
      <dgm:prSet presAssocID="{E3317C0A-4DBB-4300-9AED-21D78908B3AE}" presName="negativeSpace" presStyleCnt="0"/>
      <dgm:spPr/>
    </dgm:pt>
    <dgm:pt modelId="{5A782E77-05A1-49A8-81B8-7D7C16DBA952}" type="pres">
      <dgm:prSet presAssocID="{E3317C0A-4DBB-4300-9AED-21D78908B3AE}" presName="childText" presStyleLbl="conFgAcc1" presStyleIdx="4" presStyleCnt="5">
        <dgm:presLayoutVars>
          <dgm:bulletEnabled val="1"/>
        </dgm:presLayoutVars>
      </dgm:prSet>
      <dgm:spPr/>
    </dgm:pt>
  </dgm:ptLst>
  <dgm:cxnLst>
    <dgm:cxn modelId="{DDFF6A02-C30F-45BA-AD29-AC01E250242F}" srcId="{1C00423D-58DC-4D22-915B-9AA28A39247A}" destId="{108E417C-0BBC-4157-9EF0-8D3DF51E7468}" srcOrd="2" destOrd="0" parTransId="{A6409A22-1162-4DD5-A406-E337096E7B56}" sibTransId="{08F775C3-2E02-4F26-A93D-48E09C4464F9}"/>
    <dgm:cxn modelId="{A2C11903-AB7F-4C52-94E8-1FFE31F8E84F}" type="presOf" srcId="{108E417C-0BBC-4157-9EF0-8D3DF51E7468}" destId="{1021394D-1BFC-4078-B21D-4E2584573142}" srcOrd="0" destOrd="0" presId="urn:microsoft.com/office/officeart/2005/8/layout/list1"/>
    <dgm:cxn modelId="{38135620-E6E8-4950-8523-52BFD9D2C1CD}" type="presOf" srcId="{6ED120AE-A102-428A-99EC-F2F6644FC32C}" destId="{D6F89E39-5F55-4E44-A650-09B286D14B76}" srcOrd="1" destOrd="0" presId="urn:microsoft.com/office/officeart/2005/8/layout/list1"/>
    <dgm:cxn modelId="{7731C438-4F45-4BC5-8852-006AA54D5950}" srcId="{1C00423D-58DC-4D22-915B-9AA28A39247A}" destId="{0F74E2E6-47CA-43A3-A1CC-9FB257D4FCFF}" srcOrd="0" destOrd="0" parTransId="{332AC20A-6C5D-4EB1-8C59-C7A1D854C56C}" sibTransId="{B291CA31-AA72-404B-B58E-0C358886DDFE}"/>
    <dgm:cxn modelId="{9D5F4060-695F-40AE-8329-553B9F0BFC5C}" type="presOf" srcId="{108E417C-0BBC-4157-9EF0-8D3DF51E7468}" destId="{1FD49C17-585D-4E5E-8DF0-70F5275A4009}" srcOrd="1" destOrd="0" presId="urn:microsoft.com/office/officeart/2005/8/layout/list1"/>
    <dgm:cxn modelId="{37C44F4F-AF9B-4709-8D07-FC6E79BD44C1}" type="presOf" srcId="{0F74E2E6-47CA-43A3-A1CC-9FB257D4FCFF}" destId="{A60D0819-F6A4-4CA6-B128-40BE47858B70}" srcOrd="0" destOrd="0" presId="urn:microsoft.com/office/officeart/2005/8/layout/list1"/>
    <dgm:cxn modelId="{3CD02872-3A2D-46B9-8E84-3DD2CC966B86}" srcId="{1C00423D-58DC-4D22-915B-9AA28A39247A}" destId="{6ED120AE-A102-428A-99EC-F2F6644FC32C}" srcOrd="1" destOrd="0" parTransId="{C64D65B4-DAB6-4C8B-A6D7-FC2837947891}" sibTransId="{838B7629-3F6A-4B01-A8D5-D1F9415CB645}"/>
    <dgm:cxn modelId="{93C4D252-27F5-4727-9E26-5F0D149FCB4A}" type="presOf" srcId="{489711E6-CDBD-49CF-9535-4D8F879C2496}" destId="{024724D7-259F-410F-A1F5-D88AE3378FB9}" srcOrd="1" destOrd="0" presId="urn:microsoft.com/office/officeart/2005/8/layout/list1"/>
    <dgm:cxn modelId="{A04C5154-22ED-4A3A-9BBB-DD4CF4EB5D6E}" type="presOf" srcId="{489711E6-CDBD-49CF-9535-4D8F879C2496}" destId="{63AE6A6D-F4ED-41E2-BA8C-A5E11CC04095}" srcOrd="0" destOrd="0" presId="urn:microsoft.com/office/officeart/2005/8/layout/list1"/>
    <dgm:cxn modelId="{56B6055A-5F43-4E9C-BF5A-532B2FD6046D}" type="presOf" srcId="{6ED120AE-A102-428A-99EC-F2F6644FC32C}" destId="{3BCDC446-71F4-4692-BF4A-62EF3BAC209D}" srcOrd="0" destOrd="0" presId="urn:microsoft.com/office/officeart/2005/8/layout/list1"/>
    <dgm:cxn modelId="{5ADDA99E-DB9C-43A5-823D-61836DA1711D}" srcId="{1C00423D-58DC-4D22-915B-9AA28A39247A}" destId="{E3317C0A-4DBB-4300-9AED-21D78908B3AE}" srcOrd="4" destOrd="0" parTransId="{D0C79BF4-DDE2-494C-BC9F-3A0C2A372A9B}" sibTransId="{5BE09955-2607-4C6D-A5E5-B61712EDC2A3}"/>
    <dgm:cxn modelId="{407C96AD-1096-400B-9A93-3B2C5C87C08A}" srcId="{1C00423D-58DC-4D22-915B-9AA28A39247A}" destId="{489711E6-CDBD-49CF-9535-4D8F879C2496}" srcOrd="3" destOrd="0" parTransId="{9693B391-2635-498F-AE47-A8F4BFF97483}" sibTransId="{8A97E0AB-CE4F-4990-8575-95CB221CE09F}"/>
    <dgm:cxn modelId="{639834C0-5C28-41F2-A888-BE28272D2E42}" type="presOf" srcId="{0F74E2E6-47CA-43A3-A1CC-9FB257D4FCFF}" destId="{7EA2709B-8C9C-4094-AE9A-8A4606CFF6AC}" srcOrd="1" destOrd="0" presId="urn:microsoft.com/office/officeart/2005/8/layout/list1"/>
    <dgm:cxn modelId="{1FF607C6-0385-4527-A65B-A7A365B1011F}" type="presOf" srcId="{E3317C0A-4DBB-4300-9AED-21D78908B3AE}" destId="{91D81715-E8F6-450D-AA65-3E011643C725}" srcOrd="1" destOrd="0" presId="urn:microsoft.com/office/officeart/2005/8/layout/list1"/>
    <dgm:cxn modelId="{55287DFB-C2F6-44D8-AB6A-55BC8036B331}" type="presOf" srcId="{1C00423D-58DC-4D22-915B-9AA28A39247A}" destId="{B4E4E014-C577-4A32-B370-BAFEAF10CFFB}" srcOrd="0" destOrd="0" presId="urn:microsoft.com/office/officeart/2005/8/layout/list1"/>
    <dgm:cxn modelId="{00DDCFFD-9504-43B5-A2D5-69B72CEC4890}" type="presOf" srcId="{E3317C0A-4DBB-4300-9AED-21D78908B3AE}" destId="{F3D31AA2-BAA6-44E3-9AA7-56401244E8F7}" srcOrd="0" destOrd="0" presId="urn:microsoft.com/office/officeart/2005/8/layout/list1"/>
    <dgm:cxn modelId="{7EA6B7D7-B4BD-4B59-8F49-E7C3A0BD364A}" type="presParOf" srcId="{B4E4E014-C577-4A32-B370-BAFEAF10CFFB}" destId="{2FF43488-F407-4235-BA3C-6347C1B77015}" srcOrd="0" destOrd="0" presId="urn:microsoft.com/office/officeart/2005/8/layout/list1"/>
    <dgm:cxn modelId="{6FC62DD0-748E-4229-96FE-7B4FDFA992CD}" type="presParOf" srcId="{2FF43488-F407-4235-BA3C-6347C1B77015}" destId="{A60D0819-F6A4-4CA6-B128-40BE47858B70}" srcOrd="0" destOrd="0" presId="urn:microsoft.com/office/officeart/2005/8/layout/list1"/>
    <dgm:cxn modelId="{0C19C427-49EC-4C1D-88EF-6CE09C42C4BB}" type="presParOf" srcId="{2FF43488-F407-4235-BA3C-6347C1B77015}" destId="{7EA2709B-8C9C-4094-AE9A-8A4606CFF6AC}" srcOrd="1" destOrd="0" presId="urn:microsoft.com/office/officeart/2005/8/layout/list1"/>
    <dgm:cxn modelId="{4796603E-EDFE-483E-82BD-81731070AE19}" type="presParOf" srcId="{B4E4E014-C577-4A32-B370-BAFEAF10CFFB}" destId="{5F305AF8-4FBC-4CDD-A8B6-D9C95F9FBD4C}" srcOrd="1" destOrd="0" presId="urn:microsoft.com/office/officeart/2005/8/layout/list1"/>
    <dgm:cxn modelId="{D6609046-BC97-409B-84FF-DE1B565D2572}" type="presParOf" srcId="{B4E4E014-C577-4A32-B370-BAFEAF10CFFB}" destId="{53290194-3A2B-469B-893F-D810D80A2B28}" srcOrd="2" destOrd="0" presId="urn:microsoft.com/office/officeart/2005/8/layout/list1"/>
    <dgm:cxn modelId="{A18B600F-B8AF-41B8-B6A0-7781DED38AA1}" type="presParOf" srcId="{B4E4E014-C577-4A32-B370-BAFEAF10CFFB}" destId="{E3D7A40C-71EB-4CA5-AB4B-996DAF7EA20C}" srcOrd="3" destOrd="0" presId="urn:microsoft.com/office/officeart/2005/8/layout/list1"/>
    <dgm:cxn modelId="{322D3B01-3122-4596-9DCB-A35686C5DE35}" type="presParOf" srcId="{B4E4E014-C577-4A32-B370-BAFEAF10CFFB}" destId="{4E50ACA4-F15A-44A6-90B7-B431CB276D52}" srcOrd="4" destOrd="0" presId="urn:microsoft.com/office/officeart/2005/8/layout/list1"/>
    <dgm:cxn modelId="{86036DE4-BB1E-41A9-9189-AB03057558BE}" type="presParOf" srcId="{4E50ACA4-F15A-44A6-90B7-B431CB276D52}" destId="{3BCDC446-71F4-4692-BF4A-62EF3BAC209D}" srcOrd="0" destOrd="0" presId="urn:microsoft.com/office/officeart/2005/8/layout/list1"/>
    <dgm:cxn modelId="{F10537A6-174B-4E09-846D-9F83F5D46C14}" type="presParOf" srcId="{4E50ACA4-F15A-44A6-90B7-B431CB276D52}" destId="{D6F89E39-5F55-4E44-A650-09B286D14B76}" srcOrd="1" destOrd="0" presId="urn:microsoft.com/office/officeart/2005/8/layout/list1"/>
    <dgm:cxn modelId="{20E99805-6B3C-45A0-B33F-30DF7AB2E31A}" type="presParOf" srcId="{B4E4E014-C577-4A32-B370-BAFEAF10CFFB}" destId="{E6E704E4-9801-4CCD-89C6-8FD845E574C5}" srcOrd="5" destOrd="0" presId="urn:microsoft.com/office/officeart/2005/8/layout/list1"/>
    <dgm:cxn modelId="{F6A7D487-43CA-4EE4-AAC2-08E5C7CA2073}" type="presParOf" srcId="{B4E4E014-C577-4A32-B370-BAFEAF10CFFB}" destId="{15910C69-8C66-4C00-BDF4-F7A8A3D51C2A}" srcOrd="6" destOrd="0" presId="urn:microsoft.com/office/officeart/2005/8/layout/list1"/>
    <dgm:cxn modelId="{14CE2862-2F3B-425A-8295-EC66CF4A8864}" type="presParOf" srcId="{B4E4E014-C577-4A32-B370-BAFEAF10CFFB}" destId="{BBDD0AB8-8A42-46D0-88D2-3DAD9C2D29CF}" srcOrd="7" destOrd="0" presId="urn:microsoft.com/office/officeart/2005/8/layout/list1"/>
    <dgm:cxn modelId="{27DEDE0E-2867-4994-BF74-DB46E4734AFD}" type="presParOf" srcId="{B4E4E014-C577-4A32-B370-BAFEAF10CFFB}" destId="{E5532BBC-F460-42F5-A44D-584F2D4EDDFE}" srcOrd="8" destOrd="0" presId="urn:microsoft.com/office/officeart/2005/8/layout/list1"/>
    <dgm:cxn modelId="{C54F52F1-3E4F-4403-B9FC-5BA3F82F0605}" type="presParOf" srcId="{E5532BBC-F460-42F5-A44D-584F2D4EDDFE}" destId="{1021394D-1BFC-4078-B21D-4E2584573142}" srcOrd="0" destOrd="0" presId="urn:microsoft.com/office/officeart/2005/8/layout/list1"/>
    <dgm:cxn modelId="{4C791146-7D63-4CAC-A760-59715DAEFF1D}" type="presParOf" srcId="{E5532BBC-F460-42F5-A44D-584F2D4EDDFE}" destId="{1FD49C17-585D-4E5E-8DF0-70F5275A4009}" srcOrd="1" destOrd="0" presId="urn:microsoft.com/office/officeart/2005/8/layout/list1"/>
    <dgm:cxn modelId="{09157359-4375-475A-A6E2-04DEE36B1DAD}" type="presParOf" srcId="{B4E4E014-C577-4A32-B370-BAFEAF10CFFB}" destId="{92FC0550-B2C8-4EE3-A9A4-1F404F66665B}" srcOrd="9" destOrd="0" presId="urn:microsoft.com/office/officeart/2005/8/layout/list1"/>
    <dgm:cxn modelId="{55E9643D-0D73-48E5-A4FD-4530077ED0F4}" type="presParOf" srcId="{B4E4E014-C577-4A32-B370-BAFEAF10CFFB}" destId="{0B8450B8-41D0-4145-88DB-0C0778AB005E}" srcOrd="10" destOrd="0" presId="urn:microsoft.com/office/officeart/2005/8/layout/list1"/>
    <dgm:cxn modelId="{4AAA9BA8-87B1-478D-BA6A-DD26F5BE40D6}" type="presParOf" srcId="{B4E4E014-C577-4A32-B370-BAFEAF10CFFB}" destId="{F1FB96C1-F694-4EA8-908E-5F1420CCF192}" srcOrd="11" destOrd="0" presId="urn:microsoft.com/office/officeart/2005/8/layout/list1"/>
    <dgm:cxn modelId="{F206ED50-CA1C-4C89-83BC-FF04EC777AB5}" type="presParOf" srcId="{B4E4E014-C577-4A32-B370-BAFEAF10CFFB}" destId="{7D5B51C3-FC64-4057-8D59-DCCC96434CAC}" srcOrd="12" destOrd="0" presId="urn:microsoft.com/office/officeart/2005/8/layout/list1"/>
    <dgm:cxn modelId="{DEC8EEBC-8484-41FE-8919-60BB25640721}" type="presParOf" srcId="{7D5B51C3-FC64-4057-8D59-DCCC96434CAC}" destId="{63AE6A6D-F4ED-41E2-BA8C-A5E11CC04095}" srcOrd="0" destOrd="0" presId="urn:microsoft.com/office/officeart/2005/8/layout/list1"/>
    <dgm:cxn modelId="{2210D37C-32D0-4D2A-B69E-A2144CE98FC5}" type="presParOf" srcId="{7D5B51C3-FC64-4057-8D59-DCCC96434CAC}" destId="{024724D7-259F-410F-A1F5-D88AE3378FB9}" srcOrd="1" destOrd="0" presId="urn:microsoft.com/office/officeart/2005/8/layout/list1"/>
    <dgm:cxn modelId="{FDDFEFBF-1CD0-4E0E-A5CA-11772A300C76}" type="presParOf" srcId="{B4E4E014-C577-4A32-B370-BAFEAF10CFFB}" destId="{DB41DAC8-9E6F-4B8B-BE4E-89AA35BD7B6F}" srcOrd="13" destOrd="0" presId="urn:microsoft.com/office/officeart/2005/8/layout/list1"/>
    <dgm:cxn modelId="{C2EB3A42-1DBE-476C-AA56-8531BFE80B08}" type="presParOf" srcId="{B4E4E014-C577-4A32-B370-BAFEAF10CFFB}" destId="{9EC75372-4756-4A8F-834D-D33157DAE998}" srcOrd="14" destOrd="0" presId="urn:microsoft.com/office/officeart/2005/8/layout/list1"/>
    <dgm:cxn modelId="{9E7C8845-E43F-456F-B858-F516C6BEAE8F}" type="presParOf" srcId="{B4E4E014-C577-4A32-B370-BAFEAF10CFFB}" destId="{7CA028A5-725E-4101-B88F-C946741CA8E9}" srcOrd="15" destOrd="0" presId="urn:microsoft.com/office/officeart/2005/8/layout/list1"/>
    <dgm:cxn modelId="{A3BDBC72-AA6E-4A9F-A3A8-67533C5A6DA7}" type="presParOf" srcId="{B4E4E014-C577-4A32-B370-BAFEAF10CFFB}" destId="{F391A9B3-D1A6-43F6-8E14-AA75C5549404}" srcOrd="16" destOrd="0" presId="urn:microsoft.com/office/officeart/2005/8/layout/list1"/>
    <dgm:cxn modelId="{4893752B-B14E-4DDB-8BEC-8752950F1A48}" type="presParOf" srcId="{F391A9B3-D1A6-43F6-8E14-AA75C5549404}" destId="{F3D31AA2-BAA6-44E3-9AA7-56401244E8F7}" srcOrd="0" destOrd="0" presId="urn:microsoft.com/office/officeart/2005/8/layout/list1"/>
    <dgm:cxn modelId="{0764828B-7311-4BC8-9FFE-6BAFD94A7BEA}" type="presParOf" srcId="{F391A9B3-D1A6-43F6-8E14-AA75C5549404}" destId="{91D81715-E8F6-450D-AA65-3E011643C725}" srcOrd="1" destOrd="0" presId="urn:microsoft.com/office/officeart/2005/8/layout/list1"/>
    <dgm:cxn modelId="{1D09905C-7442-4875-ACBC-3B73E22C74FF}" type="presParOf" srcId="{B4E4E014-C577-4A32-B370-BAFEAF10CFFB}" destId="{16F90A4C-37CB-4528-B974-D38E2F9466F8}" srcOrd="17" destOrd="0" presId="urn:microsoft.com/office/officeart/2005/8/layout/list1"/>
    <dgm:cxn modelId="{7E815C79-5A03-4C58-9B6D-771EB8E7C92C}" type="presParOf" srcId="{B4E4E014-C577-4A32-B370-BAFEAF10CFFB}" destId="{5A782E77-05A1-49A8-81B8-7D7C16DBA952}"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90194-3A2B-469B-893F-D810D80A2B28}">
      <dsp:nvSpPr>
        <dsp:cNvPr id="0" name=""/>
        <dsp:cNvSpPr/>
      </dsp:nvSpPr>
      <dsp:spPr>
        <a:xfrm>
          <a:off x="0" y="257039"/>
          <a:ext cx="548640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EA2709B-8C9C-4094-AE9A-8A4606CFF6AC}">
      <dsp:nvSpPr>
        <dsp:cNvPr id="0" name=""/>
        <dsp:cNvSpPr/>
      </dsp:nvSpPr>
      <dsp:spPr>
        <a:xfrm>
          <a:off x="274320" y="50399"/>
          <a:ext cx="3840480"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Chapter 1: Introduction</a:t>
          </a:r>
        </a:p>
      </dsp:txBody>
      <dsp:txXfrm>
        <a:off x="294495" y="70574"/>
        <a:ext cx="3800130" cy="372930"/>
      </dsp:txXfrm>
    </dsp:sp>
    <dsp:sp modelId="{15910C69-8C66-4C00-BDF4-F7A8A3D51C2A}">
      <dsp:nvSpPr>
        <dsp:cNvPr id="0" name=""/>
        <dsp:cNvSpPr/>
      </dsp:nvSpPr>
      <dsp:spPr>
        <a:xfrm>
          <a:off x="0" y="892080"/>
          <a:ext cx="548640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6F89E39-5F55-4E44-A650-09B286D14B76}">
      <dsp:nvSpPr>
        <dsp:cNvPr id="0" name=""/>
        <dsp:cNvSpPr/>
      </dsp:nvSpPr>
      <dsp:spPr>
        <a:xfrm>
          <a:off x="274320" y="685440"/>
          <a:ext cx="3840480"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Chapter 2 : Literature Review</a:t>
          </a:r>
        </a:p>
      </dsp:txBody>
      <dsp:txXfrm>
        <a:off x="294495" y="705615"/>
        <a:ext cx="3800130" cy="372930"/>
      </dsp:txXfrm>
    </dsp:sp>
    <dsp:sp modelId="{0B8450B8-41D0-4145-88DB-0C0778AB005E}">
      <dsp:nvSpPr>
        <dsp:cNvPr id="0" name=""/>
        <dsp:cNvSpPr/>
      </dsp:nvSpPr>
      <dsp:spPr>
        <a:xfrm>
          <a:off x="0" y="1527120"/>
          <a:ext cx="548640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FD49C17-585D-4E5E-8DF0-70F5275A4009}">
      <dsp:nvSpPr>
        <dsp:cNvPr id="0" name=""/>
        <dsp:cNvSpPr/>
      </dsp:nvSpPr>
      <dsp:spPr>
        <a:xfrm>
          <a:off x="274320" y="1320480"/>
          <a:ext cx="3840480"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Chapter 3 : Research Methodology</a:t>
          </a:r>
        </a:p>
      </dsp:txBody>
      <dsp:txXfrm>
        <a:off x="294495" y="1340655"/>
        <a:ext cx="3800130" cy="372930"/>
      </dsp:txXfrm>
    </dsp:sp>
    <dsp:sp modelId="{9EC75372-4756-4A8F-834D-D33157DAE998}">
      <dsp:nvSpPr>
        <dsp:cNvPr id="0" name=""/>
        <dsp:cNvSpPr/>
      </dsp:nvSpPr>
      <dsp:spPr>
        <a:xfrm>
          <a:off x="0" y="2162160"/>
          <a:ext cx="548640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4724D7-259F-410F-A1F5-D88AE3378FB9}">
      <dsp:nvSpPr>
        <dsp:cNvPr id="0" name=""/>
        <dsp:cNvSpPr/>
      </dsp:nvSpPr>
      <dsp:spPr>
        <a:xfrm>
          <a:off x="274320" y="1955520"/>
          <a:ext cx="3840480"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Chapter 4 : Statistical Analysis</a:t>
          </a:r>
        </a:p>
      </dsp:txBody>
      <dsp:txXfrm>
        <a:off x="294495" y="1975695"/>
        <a:ext cx="3800130" cy="372930"/>
      </dsp:txXfrm>
    </dsp:sp>
    <dsp:sp modelId="{5A782E77-05A1-49A8-81B8-7D7C16DBA952}">
      <dsp:nvSpPr>
        <dsp:cNvPr id="0" name=""/>
        <dsp:cNvSpPr/>
      </dsp:nvSpPr>
      <dsp:spPr>
        <a:xfrm>
          <a:off x="0" y="2797200"/>
          <a:ext cx="5486400" cy="352800"/>
        </a:xfrm>
        <a:prstGeom prst="rect">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D81715-E8F6-450D-AA65-3E011643C725}">
      <dsp:nvSpPr>
        <dsp:cNvPr id="0" name=""/>
        <dsp:cNvSpPr/>
      </dsp:nvSpPr>
      <dsp:spPr>
        <a:xfrm>
          <a:off x="274320" y="2590560"/>
          <a:ext cx="3840480" cy="413280"/>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t>Chapter 5 : Findings Discussion and Conclusion</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AC3F4-8D99-4D12-8612-EEB9502FF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52573</Words>
  <Characters>299667</Characters>
  <Application>Microsoft Office Word</Application>
  <DocSecurity>0</DocSecurity>
  <Lines>2497</Lines>
  <Paragraphs>703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mubarak alqahtani</cp:lastModifiedBy>
  <cp:revision>2</cp:revision>
  <cp:lastPrinted>2025-11-21T11:17:00Z</cp:lastPrinted>
  <dcterms:created xsi:type="dcterms:W3CDTF">2025-11-21T13:37:00Z</dcterms:created>
  <dcterms:modified xsi:type="dcterms:W3CDTF">2025-11-21T13:37:00Z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