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024DBF" w:rsidRDefault="00024DBF"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B11B65" w:rsidRDefault="0075159D" w:rsidP="0098206D">
      <w:pPr>
        <w:spacing w:line="360" w:lineRule="auto"/>
        <w:ind w:left="-337" w:right="993" w:firstLine="567"/>
        <w:jc w:val="center"/>
        <w:rPr>
          <w:rFonts w:ascii="Simplified Arabic" w:hAnsi="Simplified Arabic" w:cs="Simplified Arabic"/>
          <w:b/>
          <w:bCs/>
          <w:sz w:val="28"/>
          <w:szCs w:val="28"/>
          <w:rtl/>
        </w:rPr>
      </w:pPr>
      <w:r w:rsidRPr="00AD4645">
        <w:rPr>
          <w:rFonts w:ascii="Simplified Arabic" w:hAnsi="Simplified Arabic" w:cs="Simplified Arabic"/>
          <w:b/>
          <w:bCs/>
          <w:sz w:val="28"/>
          <w:szCs w:val="28"/>
          <w:rtl/>
        </w:rPr>
        <w:t xml:space="preserve">العلاقة بين التضخم والبطالة  في </w:t>
      </w:r>
      <w:r w:rsidR="003E5F1E">
        <w:rPr>
          <w:rFonts w:ascii="Simplified Arabic" w:hAnsi="Simplified Arabic" w:cs="Simplified Arabic" w:hint="cs"/>
          <w:b/>
          <w:bCs/>
          <w:sz w:val="28"/>
          <w:szCs w:val="28"/>
          <w:rtl/>
        </w:rPr>
        <w:t xml:space="preserve">الممكلة العربية </w:t>
      </w:r>
      <w:r w:rsidRPr="00AD4645">
        <w:rPr>
          <w:rFonts w:ascii="Simplified Arabic" w:hAnsi="Simplified Arabic" w:cs="Simplified Arabic"/>
          <w:b/>
          <w:bCs/>
          <w:sz w:val="28"/>
          <w:szCs w:val="28"/>
          <w:rtl/>
        </w:rPr>
        <w:t>السعودية</w:t>
      </w: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AD4645" w:rsidRPr="00AD4645" w:rsidRDefault="00AD4645" w:rsidP="0098206D">
      <w:pPr>
        <w:spacing w:line="360" w:lineRule="auto"/>
        <w:ind w:left="-337" w:right="993" w:firstLine="567"/>
        <w:jc w:val="center"/>
        <w:rPr>
          <w:rFonts w:ascii="Simplified Arabic" w:hAnsi="Simplified Arabic" w:cs="Simplified Arabic"/>
          <w:b/>
          <w:bCs/>
          <w:sz w:val="28"/>
          <w:szCs w:val="28"/>
          <w:rtl/>
        </w:rPr>
      </w:pPr>
    </w:p>
    <w:p w:rsidR="0075159D" w:rsidRPr="00AD4645" w:rsidRDefault="0075159D" w:rsidP="0098206D">
      <w:pPr>
        <w:spacing w:line="360" w:lineRule="auto"/>
        <w:ind w:left="-337" w:right="993" w:firstLine="567"/>
        <w:rPr>
          <w:rFonts w:ascii="Simplified Arabic" w:hAnsi="Simplified Arabic" w:cs="Simplified Arabic"/>
          <w:b/>
          <w:bCs/>
          <w:rtl/>
        </w:rPr>
      </w:pPr>
      <w:r w:rsidRPr="00AD4645">
        <w:rPr>
          <w:rFonts w:ascii="Simplified Arabic" w:hAnsi="Simplified Arabic" w:cs="Simplified Arabic"/>
          <w:b/>
          <w:bCs/>
          <w:rtl/>
        </w:rPr>
        <w:lastRenderedPageBreak/>
        <w:t>ملخص البحث</w:t>
      </w:r>
    </w:p>
    <w:p w:rsidR="00D3536C" w:rsidRPr="00AD4645" w:rsidRDefault="00A06D86" w:rsidP="003E71AE">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هدفت هذه الدراسة إلى تحليل العلاقة بين البطالة والتضخم وإلقاء الضوء على واقع التضخم والبطالة في الاقتصاد ال</w:t>
      </w:r>
      <w:r w:rsidR="00EB64EB">
        <w:rPr>
          <w:rFonts w:ascii="Simplified Arabic" w:hAnsi="Simplified Arabic" w:cs="Simplified Arabic" w:hint="cs"/>
          <w:rtl/>
        </w:rPr>
        <w:t xml:space="preserve">سعودي </w:t>
      </w:r>
      <w:r w:rsidRPr="00AD4645">
        <w:rPr>
          <w:rFonts w:ascii="Simplified Arabic" w:hAnsi="Simplified Arabic" w:cs="Simplified Arabic"/>
          <w:rtl/>
        </w:rPr>
        <w:t>، وتحديد أثر كل من ظاهرتي التضخم والبطالة على النمو الاقتصادي المتمثل في الناتج المحلي الإجمالي</w:t>
      </w:r>
      <w:r w:rsidR="00EB64EB">
        <w:rPr>
          <w:rFonts w:ascii="Simplified Arabic" w:hAnsi="Simplified Arabic" w:cs="Simplified Arabic" w:hint="cs"/>
          <w:rtl/>
        </w:rPr>
        <w:t>،</w:t>
      </w:r>
      <w:r w:rsidRPr="00AD4645">
        <w:rPr>
          <w:rFonts w:ascii="Simplified Arabic" w:hAnsi="Simplified Arabic" w:cs="Simplified Arabic"/>
          <w:rtl/>
        </w:rPr>
        <w:t>اعتمد الباحث على المنهج الوصفي التحليلي،ولتحقيق هدف الدراسة تم تقدير معادلة منحنى فيليبس باستخدام صيغة التحويل العكسي</w:t>
      </w:r>
      <w:r w:rsidR="000708DB" w:rsidRPr="00AD4645">
        <w:rPr>
          <w:rFonts w:ascii="Simplified Arabic" w:hAnsi="Simplified Arabic" w:cs="Simplified Arabic"/>
          <w:rtl/>
        </w:rPr>
        <w:t>،</w:t>
      </w:r>
      <w:r w:rsidRPr="00AD4645">
        <w:rPr>
          <w:rFonts w:ascii="Simplified Arabic" w:hAnsi="Simplified Arabic" w:cs="Simplified Arabic"/>
          <w:rtl/>
        </w:rPr>
        <w:t xml:space="preserve"> وأظهرت نتائج الدراسة وجود علاقة طردية متزامنة بين معدل التضخم والبطالة في المملكة العربية السعودية، حيث أن ارتفاع التضخم بمقدار وحدة واحدة يؤدي إلى زيادة البطالة، والحد الأدنى الذي لا ينخفض </w:t>
      </w:r>
      <w:r w:rsidRPr="00AD4645">
        <w:rPr>
          <w:rFonts w:ascii="Simplified Arabic" w:hAnsi="Simplified Arabic" w:cstheme="majorBidi"/>
          <w:rtl/>
        </w:rPr>
        <w:t>​​</w:t>
      </w:r>
      <w:r w:rsidRPr="00AD4645">
        <w:rPr>
          <w:rFonts w:ascii="Simplified Arabic" w:hAnsi="Simplified Arabic" w:cs="Simplified Arabic"/>
          <w:rtl/>
        </w:rPr>
        <w:t xml:space="preserve">معدل البطالة تحته في المتوسط </w:t>
      </w:r>
      <w:r w:rsidRPr="00AD4645">
        <w:rPr>
          <w:rFonts w:ascii="Simplified Arabic" w:hAnsi="Simplified Arabic" w:cstheme="majorBidi"/>
          <w:rtl/>
        </w:rPr>
        <w:t>​​</w:t>
      </w:r>
      <w:r w:rsidRPr="00AD4645">
        <w:rPr>
          <w:rFonts w:ascii="Simplified Arabic" w:hAnsi="Simplified Arabic" w:cs="Simplified Arabic"/>
          <w:rtl/>
        </w:rPr>
        <w:t xml:space="preserve">مهما ارتفع معدل التضخم. كما اعتمدت الدراسة على كل من برنامج </w:t>
      </w:r>
      <w:r w:rsidRPr="00AD4645">
        <w:rPr>
          <w:rFonts w:ascii="Simplified Arabic" w:hAnsi="Simplified Arabic" w:cs="Simplified Arabic"/>
        </w:rPr>
        <w:t>SPSS</w:t>
      </w:r>
      <w:r w:rsidRPr="00AD4645">
        <w:rPr>
          <w:rFonts w:ascii="Simplified Arabic" w:hAnsi="Simplified Arabic" w:cs="Simplified Arabic"/>
          <w:rtl/>
        </w:rPr>
        <w:t xml:space="preserve"> الإحصائي وبرنامج (</w:t>
      </w:r>
      <w:r w:rsidRPr="00AD4645">
        <w:rPr>
          <w:rFonts w:ascii="Simplified Arabic" w:hAnsi="Simplified Arabic" w:cs="Simplified Arabic"/>
        </w:rPr>
        <w:t>E-Views 7</w:t>
      </w:r>
      <w:r w:rsidRPr="00AD4645">
        <w:rPr>
          <w:rFonts w:ascii="Simplified Arabic" w:hAnsi="Simplified Arabic" w:cs="Simplified Arabic"/>
          <w:rtl/>
        </w:rPr>
        <w:t>)، واستخدمت مجموعة من الأساليب الإحصائية التي تناسب متغيرات الدراسة وتخدم فرضياتها، حيث تم اختبار فرضيات الدراسة باستخدام اختبار الانحدار الخطي المتعدد، وتم استخدام منهجية جرينجر لاختبار العلاقة السببية بين متغيرات الدراسة. وخلصت الدراسة إلى أنه لا يوجد تأثير دال إحصائياً بين معدل التضخم وفقاً لأسعار المستهلك ومعدل نمو الناتج المحلي الإجمالي، وأنه يوجد تأثير دال إحصائياً بين معدل البطالة ومعدل نمو الناتج المحلي الإجمالي خلال الفترة المدروسة،كما أوصت الدراسة بضرورة حشد كافة القوى الإنتاجية الكامنة في الاقتصاد والبحث عن كيفية زيادة الناتج المحلي الإجمالي من خلال تفعيل عمل كافة القطاعات الاقتصادية، وتوجيه الاستثمارات إلى المجالات التي تتوافق مع الموارد  المتاحة. وأوصت الدراسة بضرورة معرفة الأسباب الكامنة وراء هذه العلاقة المتزامنة الإيجابية بين البطالة والتضخم حتى نتمكن من رسم السياسات الاقتصادية المناسبة.</w:t>
      </w:r>
    </w:p>
    <w:p w:rsidR="00D3536C" w:rsidRDefault="00D3536C"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D3536C" w:rsidRPr="00AD4645" w:rsidRDefault="00D3536C" w:rsidP="0098206D">
      <w:pPr>
        <w:tabs>
          <w:tab w:val="left" w:pos="6467"/>
        </w:tabs>
        <w:spacing w:line="360" w:lineRule="auto"/>
        <w:ind w:right="993" w:firstLine="567"/>
        <w:jc w:val="right"/>
        <w:rPr>
          <w:b/>
          <w:bCs/>
        </w:rPr>
      </w:pPr>
      <w:r w:rsidRPr="00AD4645">
        <w:rPr>
          <w:b/>
          <w:bCs/>
        </w:rPr>
        <w:t>Abstract</w:t>
      </w:r>
    </w:p>
    <w:p w:rsidR="00D3536C" w:rsidRPr="00AD4645" w:rsidRDefault="00D3536C" w:rsidP="0098206D">
      <w:pPr>
        <w:tabs>
          <w:tab w:val="left" w:pos="6467"/>
        </w:tabs>
        <w:spacing w:line="360" w:lineRule="auto"/>
        <w:ind w:right="993" w:firstLine="567"/>
        <w:jc w:val="right"/>
        <w:rPr>
          <w:rtl/>
        </w:rPr>
      </w:pPr>
      <w:r w:rsidRPr="00AD4645">
        <w:t>This study aimed to analyze the relationship between unemployment and inflation and to shed light on the reality of inflation and unemployment in the Egyptian economy, and to determine the impact of both inflation and unemployment phenomena on economic growth represented by the gross domestic product. The researcher relied on the descriptive analytical approach</w:t>
      </w:r>
      <w:r w:rsidR="00AD4645" w:rsidRPr="00AD4645">
        <w:t>.</w:t>
      </w:r>
    </w:p>
    <w:p w:rsidR="00D3536C" w:rsidRPr="00AD4645" w:rsidRDefault="00D3536C" w:rsidP="0098206D">
      <w:pPr>
        <w:tabs>
          <w:tab w:val="left" w:pos="6467"/>
        </w:tabs>
        <w:spacing w:line="360" w:lineRule="auto"/>
        <w:ind w:right="993" w:firstLine="567"/>
        <w:jc w:val="right"/>
      </w:pPr>
      <w:r w:rsidRPr="00AD4645">
        <w:t>To achieve the study's objective, the Phillips curve equation was estimated using the inverse transformation formula. The results of the study showed a direct simultaneous relationship between the inflation rate and unemployment in the Kingdom of Saudi Arabia. An increase in inflation by one unit leads to an increase in unemployment, and the minimum limit below which the unemployment rate does not decrease on average, no matter how high the inflation rate is</w:t>
      </w:r>
      <w:r w:rsidRPr="00AD4645">
        <w:rPr>
          <w:rtl/>
        </w:rPr>
        <w:t>.</w:t>
      </w:r>
    </w:p>
    <w:p w:rsidR="00233D5B" w:rsidRPr="00AD4645" w:rsidRDefault="00D3536C" w:rsidP="0098206D">
      <w:pPr>
        <w:tabs>
          <w:tab w:val="left" w:pos="6467"/>
        </w:tabs>
        <w:spacing w:line="360" w:lineRule="auto"/>
        <w:ind w:right="993" w:firstLine="567"/>
        <w:jc w:val="right"/>
        <w:rPr>
          <w:rtl/>
        </w:rPr>
      </w:pPr>
      <w:r w:rsidRPr="00AD4645">
        <w:t>The study also relied on both the SPSS statistical program and the (E-Views 7) program, and used a set of statistical methods that suit the study variables and serve its hypotheses, as the study hypotheses were tested using the multiple linear regression test, and the Granger methodology was used to test the causal relationship between the study variables. The study concluded that there is no statistically significant effect between the inflation rate according to consumer prices and the GDP growth rate, and that there is a statistically significant effect between the unemployment rate and the GDP growth rate in the Arab Republic of Egypt during the period studied. The study also recommended the necessity of mobilizing all the latent productive forces in the economy and searching for how to increase the GDP by activating the work of all economic sectors, and directing investments to areas that are compatible with the available Egyptian resources. The study recommended the necessity of knowing the underlying reasons behind this positive synchronous relationship between unemployment and inflation in order to be able to draw up appropriate economic policies</w:t>
      </w:r>
      <w:r w:rsidRPr="00AD4645">
        <w:rPr>
          <w:rtl/>
        </w:rPr>
        <w:t>.</w:t>
      </w:r>
    </w:p>
    <w:p w:rsidR="00233D5B" w:rsidRDefault="00233D5B"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233D5B" w:rsidRPr="00AD4645" w:rsidRDefault="00AD4645"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hint="cs"/>
          <w:b/>
          <w:bCs/>
          <w:sz w:val="28"/>
          <w:szCs w:val="28"/>
          <w:rtl/>
        </w:rPr>
        <w:t xml:space="preserve">اهداف </w:t>
      </w:r>
      <w:r w:rsidR="00233D5B" w:rsidRPr="00AD4645">
        <w:rPr>
          <w:rFonts w:ascii="Simplified Arabic" w:hAnsi="Simplified Arabic" w:cs="Simplified Arabic"/>
          <w:b/>
          <w:bCs/>
          <w:sz w:val="28"/>
          <w:szCs w:val="28"/>
          <w:rtl/>
        </w:rPr>
        <w:t xml:space="preserve"> الدراسة</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 التعرف على مفهوم البطالة والتضخم .</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2/ التعرف على   العلاقة بين التضخم والبطالة في النظام السعودي.</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3/  تحديد الآثار الاجتماعية التي ترتبت على ظاهرة التضخم المستورد  في المجتمع السعودي .</w:t>
      </w:r>
    </w:p>
    <w:p w:rsidR="00D3536C"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4/ التعرف على الآثار الاقتصادية التي ترتبت على ظاهرة التضخم المستورد  في المجتمع السعودي.</w:t>
      </w:r>
    </w:p>
    <w:p w:rsidR="00D3536C"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5/ التعرف على  الآثار الأمنية التي ترتبت على ظاهرة التضخم المستورد  في المجتمع السعودي.</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5/ تحديد السياسات والحلول التي تم اتخاذها لمواجهة ظاهرة التضخم المستورد  في المجتمع السعودي.</w:t>
      </w:r>
    </w:p>
    <w:p w:rsidR="00D3536C"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6/ التعرف على  الحلول المناسبة للحد من الآثار الناتجة عن هذه الظاهرة.</w:t>
      </w:r>
    </w:p>
    <w:p w:rsidR="00233D5B" w:rsidRPr="00AD4645" w:rsidRDefault="00233D5B" w:rsidP="0098206D">
      <w:pPr>
        <w:spacing w:line="360" w:lineRule="auto"/>
        <w:ind w:left="-337" w:right="993" w:firstLine="567"/>
        <w:rPr>
          <w:rFonts w:ascii="Simplified Arabic" w:hAnsi="Simplified Arabic" w:cs="Simplified Arabic"/>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 xml:space="preserve">الكلمات المفتاحية </w:t>
      </w:r>
      <w:r w:rsidR="00233D5B" w:rsidRPr="00AD4645">
        <w:rPr>
          <w:rFonts w:ascii="Simplified Arabic" w:hAnsi="Simplified Arabic" w:cs="Simplified Arabic"/>
          <w:b/>
          <w:bCs/>
          <w:sz w:val="28"/>
          <w:szCs w:val="28"/>
          <w:rtl/>
        </w:rPr>
        <w:t>:</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البطالة / التضخم / التضخم المستورد .</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Pr>
        <w:t>Unemployment / inflation / imported inflation</w:t>
      </w:r>
      <w:r w:rsidRPr="00AD4645">
        <w:rPr>
          <w:rFonts w:ascii="Simplified Arabic" w:hAnsi="Simplified Arabic" w:cs="Simplified Arabic"/>
          <w:rtl/>
        </w:rPr>
        <w:t>.</w:t>
      </w:r>
    </w:p>
    <w:p w:rsidR="00233D5B" w:rsidRDefault="00233D5B"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Pr="00AD4645" w:rsidRDefault="00AD4645" w:rsidP="0098206D">
      <w:pPr>
        <w:spacing w:line="360" w:lineRule="auto"/>
        <w:ind w:left="-337" w:right="993" w:firstLine="567"/>
        <w:rPr>
          <w:rFonts w:ascii="Simplified Arabic" w:hAnsi="Simplified Arabic" w:cs="Simplified Arabic"/>
          <w:rtl/>
        </w:rPr>
      </w:pPr>
    </w:p>
    <w:p w:rsidR="00E52767"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المقدمة</w:t>
      </w:r>
    </w:p>
    <w:p w:rsidR="00E52767"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التضخم ينتج عن ارتفاع أسعار السلع والخدمات المستوردة من الخارج والتي تشكل نسبة كبيرة من تجارة المملكة، وهو ما ينعكس على شكل ارتفاع المستوى العام للأسعار على المستوى المحلي، ويتأثر هذا النوع من التضخم بعدد من العوامل من أهمها شروط التبادل التجاري بين المملكة وشركائها التجاريين، كما يتأثر بسياسة سعر الصرف الثابت التي تنتهجها المملكة من خلال ربط عملتها الوطنية (الريال) بالدولار الأمريكي، بالإضافة إلى نمو وسائل الدفع مقارنة بالمعروض الفعلي من السلع والخدمات وغيرها من العوامل التي ترفع معدلات التضخم بشكل عام على مستوى المملكة،وتهدف الدراسة الحالية إلى تقدير معدل التضخم المستورد في المملكة العربية السعودية وتحديد معدلاته الحالية بناءً على عدد من المؤشرات والمعايير الاقتصادية والإحصائية، فضلاً عن التنبؤ بقيمته المستقبلية،و تتمثل مشكلة البحث في أن اقتصاد المملكة من الاقتصادات المنفتحة على العالم الخارجي في تجارتها الخارجية مما يعزز مساهمة التضخم المستورد في إجمالي الضغوط التضخمية التي عانى منها الاقتصاد السعودي في السنوات الأخيرة والتي امتدت آثارها الاقتصادية والاجتماعية إلى كافة الأفراد وقد اعتمدت الدراسة على المنهج الوصفي التحليلي القياسي لتحقيق أهدافها البحثية وقد توصلت الدراسة إلى عدد من النتائج المهمة والتي تشير بشكل عام إلى تزايد مساهمة التضخم المستورد في إجمالي الضغوط التضخمية التي عانى منها الاقتصاد السعودي خلال الفترة الماضية وما زال يعاني منها حتى يومنا هذا. وطرحت الدراسة عدداً من التوصيات المهمة، منها ضرورة زيادة حجم الطاقة الإنتاجية المحلية الحقيقية للسلع المستوردة، مما يؤدي إلى زيادة المعروض منها وتقليل حجم وارداتها من العالم الخارجي، مع إعادة النظر في نمط التبادل التجاري بين المملكة وشركائها التجاريين بهدف إعادة توزيع واردات المملكة جغرافياً من العالم الخارجي، وخاصة مع الولايات المتحدة الأمريكية ودول الاتحاد الأوروبي، والنظر في ربط الريال بسلة من عملات الشركاء التجاريين الرئيسيين، وخاصة اليورو والدولار والين والجنيه الإسترليني بنسب متفاوتة بالتنسيق مع سياسة دول قمة مجلس التعاون الخليجي التي تنص على اعتماد الدولار كمرساة مشتركة لعملات دول المجلس، مع تفعيل دور كل من السياسة المالية والنقدية في معالجة التضخم المستورد.</w:t>
      </w:r>
      <w:r w:rsidR="00446B2C" w:rsidRPr="00AD4645">
        <w:rPr>
          <w:rFonts w:ascii="Simplified Arabic" w:hAnsi="Simplified Arabic" w:cs="Simplified Arabic"/>
          <w:rtl/>
        </w:rPr>
        <w:t>( البسام ،2017، 21).</w:t>
      </w:r>
    </w:p>
    <w:p w:rsidR="00446B2C" w:rsidRDefault="00446B2C" w:rsidP="0098206D">
      <w:pPr>
        <w:spacing w:line="360" w:lineRule="auto"/>
        <w:ind w:left="-337" w:right="993" w:firstLine="567"/>
        <w:rPr>
          <w:rFonts w:ascii="Simplified Arabic" w:hAnsi="Simplified Arabic" w:cs="Simplified Arabic"/>
          <w:b/>
          <w:bCs/>
          <w:rtl/>
        </w:rPr>
      </w:pPr>
    </w:p>
    <w:p w:rsidR="00AD4645" w:rsidRDefault="00AD4645" w:rsidP="0098206D">
      <w:pPr>
        <w:spacing w:line="360" w:lineRule="auto"/>
        <w:ind w:left="-337" w:right="993" w:firstLine="567"/>
        <w:rPr>
          <w:rFonts w:ascii="Simplified Arabic" w:hAnsi="Simplified Arabic" w:cs="Simplified Arabic"/>
          <w:b/>
          <w:bCs/>
          <w:rtl/>
        </w:rPr>
      </w:pPr>
    </w:p>
    <w:p w:rsidR="00AD4645" w:rsidRDefault="00AD4645" w:rsidP="0098206D">
      <w:pPr>
        <w:spacing w:line="360" w:lineRule="auto"/>
        <w:ind w:left="-337" w:right="993" w:firstLine="567"/>
        <w:rPr>
          <w:rFonts w:ascii="Simplified Arabic" w:hAnsi="Simplified Arabic" w:cs="Simplified Arabic"/>
          <w:b/>
          <w:bCs/>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 xml:space="preserve">مشكلة البحث </w:t>
      </w:r>
    </w:p>
    <w:p w:rsidR="00E52767"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هناك علاقة وثيقة بين البطالة والتضخم، حيث تؤدي البطالة في كثير من الأحيان إلى التضخم في المجتمعات. وتتمثل مشكلة الدراسة في الضغوط التضخمية المتزايدة التي تعرض لها الاقتصاد السعودي في السنوات الأخيرة، والتي تشكل تحديًا كبيرًا لصناع القرار، ويشكل التضخم المستورد أحد أهم مصادره. وما يزيد الطين بلة هو الآثار والتداعيات الاقتصادية والاجتماعية التي يتركها التضخم المستورد على الأفراد في المجتمع السعودي.</w:t>
      </w:r>
    </w:p>
    <w:p w:rsidR="00446B2C" w:rsidRPr="00AD4645" w:rsidRDefault="00446B2C" w:rsidP="0098206D">
      <w:pPr>
        <w:spacing w:line="360" w:lineRule="auto"/>
        <w:ind w:left="-337" w:right="993" w:firstLine="567"/>
        <w:rPr>
          <w:rFonts w:ascii="Simplified Arabic" w:hAnsi="Simplified Arabic" w:cs="Simplified Arabic"/>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 xml:space="preserve">اسئلة البحث </w:t>
      </w:r>
    </w:p>
    <w:p w:rsidR="00D3536C" w:rsidRPr="00AD4645" w:rsidRDefault="00E52767"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  ما هي  العلاقة بين التضخم والبطالة في النظام السعودي؟</w:t>
      </w:r>
    </w:p>
    <w:p w:rsidR="00E52767"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2/ </w:t>
      </w:r>
      <w:r w:rsidR="00E52767" w:rsidRPr="00AD4645">
        <w:rPr>
          <w:rFonts w:ascii="Simplified Arabic" w:hAnsi="Simplified Arabic" w:cs="Simplified Arabic"/>
          <w:rtl/>
        </w:rPr>
        <w:t xml:space="preserve"> ما الآثار الاجتماعية التي ترتبت على ظاهرة التضخم المستورد  في المجتمع السعود</w:t>
      </w:r>
      <w:r w:rsidRPr="00AD4645">
        <w:rPr>
          <w:rFonts w:ascii="Simplified Arabic" w:hAnsi="Simplified Arabic" w:cs="Simplified Arabic"/>
          <w:rtl/>
        </w:rPr>
        <w:t>ي ؟ .</w:t>
      </w:r>
    </w:p>
    <w:p w:rsidR="00E52767"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3/ </w:t>
      </w:r>
      <w:r w:rsidR="00E52767" w:rsidRPr="00AD4645">
        <w:rPr>
          <w:rFonts w:ascii="Simplified Arabic" w:hAnsi="Simplified Arabic" w:cs="Simplified Arabic"/>
          <w:rtl/>
        </w:rPr>
        <w:t>ما الآثار الاقتصادية التي ترتبت على ظاهرة التضخم المستورد  في المجتمع السعودي</w:t>
      </w:r>
      <w:r w:rsidRPr="00AD4645">
        <w:rPr>
          <w:rFonts w:ascii="Simplified Arabic" w:hAnsi="Simplified Arabic" w:cs="Simplified Arabic"/>
          <w:rtl/>
        </w:rPr>
        <w:t>؟</w:t>
      </w:r>
    </w:p>
    <w:p w:rsidR="00E52767"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4/</w:t>
      </w:r>
      <w:r w:rsidR="00E52767" w:rsidRPr="00AD4645">
        <w:rPr>
          <w:rFonts w:ascii="Simplified Arabic" w:hAnsi="Simplified Arabic" w:cs="Simplified Arabic"/>
          <w:rtl/>
        </w:rPr>
        <w:t>ما الآثار الأمنية التي ترتبت على ظاهرة التضخم المستورد  في المجتمع السعودي</w:t>
      </w:r>
      <w:r w:rsidRPr="00AD4645">
        <w:rPr>
          <w:rFonts w:ascii="Simplified Arabic" w:hAnsi="Simplified Arabic" w:cs="Simplified Arabic"/>
          <w:rtl/>
        </w:rPr>
        <w:t>؟</w:t>
      </w:r>
    </w:p>
    <w:p w:rsidR="00D3536C"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5/</w:t>
      </w:r>
      <w:r w:rsidR="00E52767" w:rsidRPr="00AD4645">
        <w:rPr>
          <w:rFonts w:ascii="Simplified Arabic" w:hAnsi="Simplified Arabic" w:cs="Simplified Arabic"/>
          <w:rtl/>
        </w:rPr>
        <w:t>ما السياسات والحلول التي تم اتخاذها لمواجهة ظاهرة التضخم المستورد  في المجتمع السعودي</w:t>
      </w:r>
      <w:r w:rsidRPr="00AD4645">
        <w:rPr>
          <w:rFonts w:ascii="Simplified Arabic" w:hAnsi="Simplified Arabic" w:cs="Simplified Arabic"/>
          <w:rtl/>
        </w:rPr>
        <w:t>؟</w:t>
      </w:r>
    </w:p>
    <w:p w:rsidR="00E52767"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6/</w:t>
      </w:r>
      <w:r w:rsidR="00E52767" w:rsidRPr="00AD4645">
        <w:rPr>
          <w:rFonts w:ascii="Simplified Arabic" w:hAnsi="Simplified Arabic" w:cs="Simplified Arabic"/>
          <w:rtl/>
        </w:rPr>
        <w:t>ما هي الحلول المناسبة للحد من الآثار الناتجة عن هذه الظاهرة</w:t>
      </w:r>
      <w:r w:rsidRPr="00AD4645">
        <w:rPr>
          <w:rFonts w:ascii="Simplified Arabic" w:hAnsi="Simplified Arabic" w:cs="Simplified Arabic"/>
          <w:rtl/>
        </w:rPr>
        <w:t>؟</w:t>
      </w:r>
    </w:p>
    <w:p w:rsidR="00AD4645" w:rsidRDefault="00AD4645" w:rsidP="0098206D">
      <w:pPr>
        <w:spacing w:line="360" w:lineRule="auto"/>
        <w:ind w:left="-337" w:right="993" w:firstLine="567"/>
        <w:rPr>
          <w:rFonts w:ascii="Simplified Arabic" w:hAnsi="Simplified Arabic" w:cs="Simplified Arabic"/>
          <w:b/>
          <w:bCs/>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أهمية البحث</w:t>
      </w:r>
      <w:r w:rsidR="00E52767" w:rsidRPr="00AD4645">
        <w:rPr>
          <w:rFonts w:ascii="Simplified Arabic" w:hAnsi="Simplified Arabic" w:cs="Simplified Arabic"/>
          <w:b/>
          <w:bCs/>
          <w:sz w:val="28"/>
          <w:szCs w:val="28"/>
          <w:rtl/>
        </w:rPr>
        <w:t>:</w:t>
      </w:r>
    </w:p>
    <w:p w:rsidR="00A06D86"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ويؤكد الواقع أن معدل التضخم في المملكة هو نتيجة لعدد من العوامل المتعددة التي تعمل بشكل مترابط، ويؤثر كل منها على الآخر، وبعض هذه العوامل ذات طبيعة محلية وتتعلق بالظروف الداخلية للاقتصاد السعودي، مثل المعروض النقدي، وأسعار الفائدة، والطلب الفعال على الأفراد، والمعروض الحقيقي من السلع والخدمات، وبعضها ذات طبيعة خارجية وتتعلق بظروف التجارة الدولية ومستويات الأسعار الخارجية التي قد تحدث في الأسواق الدولية، وفي ضوء ذلك رأينا أهمية دراسة التضخم المستورد كأحد الروافد الرئيسية للتضخم في المملكة.</w:t>
      </w:r>
    </w:p>
    <w:p w:rsidR="00A06D86"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وتبرز أهمية هذه الدراسة من خلال تسليط الضوء على مفهوم التضخم المستورد ومؤشراته وواقعه ومدى تأثر اقتصاد المملكة بأسعار السلع المستوردة من الخارج من جهة. وتتناول في ذات الوقت آثارها العملية وتداعياتها السلبية، من جهة أخرى، في محاولة لإيجاد الحلول المناسبة لكيفية حل مشكلة التضخم المستورد في المملكة، أو على الأقل الحد من آثاره وتداعياته</w:t>
      </w:r>
      <w:r w:rsidR="00446B2C" w:rsidRPr="00AD4645">
        <w:rPr>
          <w:rFonts w:ascii="Simplified Arabic" w:hAnsi="Simplified Arabic" w:cs="Simplified Arabic"/>
          <w:rtl/>
        </w:rPr>
        <w:t>،</w:t>
      </w:r>
      <w:r w:rsidRPr="00AD4645">
        <w:rPr>
          <w:rFonts w:ascii="Simplified Arabic" w:hAnsi="Simplified Arabic" w:cs="Simplified Arabic"/>
          <w:rtl/>
        </w:rPr>
        <w:t xml:space="preserve"> والجدير بالذكر أن الدراسة الحالية تعد من الدراسات القليلة التي تناولت قضية التضخم المستورد على مستوى المملكة العربية السعودية.</w:t>
      </w:r>
      <w:r w:rsidR="00446B2C" w:rsidRPr="00AD4645">
        <w:rPr>
          <w:rFonts w:ascii="Simplified Arabic" w:hAnsi="Simplified Arabic" w:cs="Simplified Arabic"/>
          <w:rtl/>
        </w:rPr>
        <w:t>( الحنيطي ،2010، 92).</w:t>
      </w:r>
    </w:p>
    <w:p w:rsidR="00446B2C"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كما يمثل عنصر العمالة أو ما يشار إليه بالموارد البشرية، بما في ذلك الجوانب المعرفية والمهارية، أحد محددات النمو الاقتصادي في المملكة. وقد بدأ ذلك مع عصر النفط في أوائل السبعينيات من القرن الماضي، حيث أصبحت الطموحات في تحقيق التنمية الاقتصادية كبيرة، وأصبح تحقيق مجتمع الرفاهة وتقاسم عائدات النفط يتطلب توفير العديد من الخدمات الحكومية التي شملت، بالإضافة إلى الوظائف التقليدية للدولة (الدفاع والأمن والعدالة)، خدمات التعليم والصحة العامة والإسكان والمرافق ومختلف عناصر البنية الأساسية والإسكان والرعاية الاجتماعية. ومع توافر الموارد المالية، ازداد الطلب على العمالة الأجنبية لسد العجز الشديد في المعروض من العمالة الوطنية، التي كانت تفتقر إلى الكثير من المعارف الأساسية اللازمة لإدارة مختلف الأعمال الحكومية، وافتقارها إلى الجانب المهاري في العديد من الوظائف، وخاصة في قطاع البناء، أو المتخصصين والمهنيين مثل المعلمين والأطباء والمهندسين والمحاسبين... إلخ، ناهيك عن العمل المهني في القطاع المنزلي. ومع وفرة العمالة الأجنبية الرخيصة، ودرجة مرونتها العالية، اعتمد أصحاب الأعمال السعوديون بشكل كبير على هذه العمالة، التي تأتي من بلدانهم، متعلمة ومدربة ومؤهلة للعمل في معظم الحالات. ونتيجة لذلك، لم يعد لدى المنشآت التجارية حافز كبير للاستثمار في رفع المهارات أو زيادة الإنتاجية من خلال الاستثمار في التكنولوجيا المتقدمة، أو إجراء تغييرات تكنولوجية في أساليب الإنتاج، وانخفض حافزها لتوظيف قوة عاملة وطنية لا تقبل أجوراً مماثلة للعمالة الأجنبية أو ظروف وشروط العمل. كما أسفرت حقبة النفط الأولى (السبعينيات وأوائل الثمانينيات) عن متغيرين أساسيين: </w:t>
      </w:r>
    </w:p>
    <w:p w:rsidR="00527A85" w:rsidRPr="00AD4645" w:rsidRDefault="00A06D86" w:rsidP="0098206D">
      <w:pPr>
        <w:spacing w:line="360" w:lineRule="auto"/>
        <w:ind w:left="-337" w:right="993" w:firstLine="567"/>
        <w:rPr>
          <w:rFonts w:ascii="Simplified Arabic" w:hAnsi="Simplified Arabic" w:cs="Simplified Arabic"/>
          <w:b/>
          <w:bCs/>
          <w:rtl/>
        </w:rPr>
      </w:pPr>
      <w:r w:rsidRPr="00AD4645">
        <w:rPr>
          <w:rFonts w:ascii="Simplified Arabic" w:hAnsi="Simplified Arabic" w:cs="Simplified Arabic"/>
          <w:b/>
          <w:bCs/>
          <w:rtl/>
        </w:rPr>
        <w:t>الأول: زيادة كبيرة في معدلات المواليد</w:t>
      </w:r>
      <w:r w:rsidR="00527A85" w:rsidRPr="00AD4645">
        <w:rPr>
          <w:rFonts w:ascii="Simplified Arabic" w:hAnsi="Simplified Arabic" w:cs="Simplified Arabic"/>
          <w:b/>
          <w:bCs/>
          <w:rtl/>
        </w:rPr>
        <w:t>.</w:t>
      </w:r>
    </w:p>
    <w:p w:rsidR="00446B2C" w:rsidRPr="00AD4645" w:rsidRDefault="00A06D86" w:rsidP="0098206D">
      <w:pPr>
        <w:spacing w:line="360" w:lineRule="auto"/>
        <w:ind w:left="-337" w:right="993" w:firstLine="567"/>
        <w:rPr>
          <w:rFonts w:ascii="Simplified Arabic" w:hAnsi="Simplified Arabic" w:cs="Simplified Arabic"/>
          <w:b/>
          <w:bCs/>
          <w:rtl/>
        </w:rPr>
      </w:pPr>
      <w:r w:rsidRPr="00AD4645">
        <w:rPr>
          <w:rFonts w:ascii="Simplified Arabic" w:hAnsi="Simplified Arabic" w:cs="Simplified Arabic"/>
          <w:b/>
          <w:bCs/>
          <w:rtl/>
        </w:rPr>
        <w:t>والثاني: زيادة في القدرة الاستيعابية للعملية التعليمية</w:t>
      </w:r>
      <w:r w:rsidR="00446B2C" w:rsidRPr="00AD4645">
        <w:rPr>
          <w:rFonts w:ascii="Simplified Arabic" w:hAnsi="Simplified Arabic" w:cs="Simplified Arabic"/>
          <w:b/>
          <w:bCs/>
          <w:rtl/>
        </w:rPr>
        <w:t>:</w:t>
      </w:r>
    </w:p>
    <w:p w:rsidR="00A06D86" w:rsidRPr="00AD4645" w:rsidRDefault="00A06D86"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وخاصة في مرحلتي التعليم الأساسي والجامعي إلى حد كبير. وهكذا، بمجرد أن بزغ فجر الألفية الثالثة، أصبح مواليد الثمانينيات من القرن الماضي من الوافدين الجدد إلى سوق العمل والباحثين عن عمل، في حين استوعب القطاع الحكومي أعداداً كبيرة من الوافدين الجدد إلى سوق العمل من السعوديين، فيما أصبح يعرف بتوطين الوظائف، أي سعودة الوظائف الحكومية، واستخدام الراتب الحكومي المرتفع كأداة لتوزيع الثروة النفطية</w:t>
      </w:r>
      <w:r w:rsidR="00527A85" w:rsidRPr="00AD4645">
        <w:rPr>
          <w:rFonts w:ascii="Simplified Arabic" w:hAnsi="Simplified Arabic" w:cs="Simplified Arabic"/>
          <w:rtl/>
        </w:rPr>
        <w:t>،</w:t>
      </w:r>
      <w:r w:rsidRPr="00AD4645">
        <w:rPr>
          <w:rFonts w:ascii="Simplified Arabic" w:hAnsi="Simplified Arabic" w:cs="Simplified Arabic"/>
          <w:rtl/>
        </w:rPr>
        <w:t xml:space="preserve"> ومع مرور الوقت، أصبح القطاع الحكومي مشبعاً باستيعاب العمالة، حيث بلغت نسبة موظفي الدولة إلى عدد السكان 1:27.8، وهذا يعني أنه لكل 29 شخصاً تقريباً من السكان، كان هناك موظف حكومي يخدمهم في المملكة عام 1431هـ. (مؤسسة النقد العربي السعودي، 2010).</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ونظراً لمحدودية قدرة القطاع الحكومي بطبيعة الحال، وبما أن الحكومة ليست القطاع الإنتاجي الوحيد في أي اقتصاد، فإن طلب القطاع الخاص على العمالة السعودية كان محدوداً لأسباب عديدة حدت من رغبة القطاع الخاص في استيعاب جزء كبير من الداخلين الجدد إلى سوق العمل، بالإضافة إلى عزوف أعداد كبيرة من العمالة السعودية عن العمل في القطاع الخاص لأسباب عديدة بعضها مشترك مع جانب الطلب، مثل مستوى الأجور، والفارق الكبير في المزايا بين العمل في الحكومة والعمل في القطاع الخاص.</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بذلت الحكومة بعد ذلك العديد من الجهود للتأثير على محددات سوق العمل وتغييرها، فأعلنت عن نهج جديد للتنمية يقوم على اقتصاد السوق، وشجعت المبادرات الخاصة، ووسعت نطاق عمل القطاع الخاص، وقدمت العديد من الحوافز لتشجيع القطاع الخاص والأفراد على بدء الأعمال في مختلف قطاعات النشاط الاقتصادي، ونفذت برنامجاً واسع النطاق للخصخصة، ونفذت عملية السعودة، وأعلنت عن استراتيجية وطنية للتوظيف، ودعمت القطاع الخاص بهدف توفير وظائف جديدة للسعوديين والمساهمة في سعودة الوظائف القائمة. جاءت خطة التنمية التاسعة (2010-2014) كغيرها من خطط التنمية السابقة فيما يتعلق بالقوى العاملة، حيث استهدفت زيادة نسبة العمالة الوطنية في إجمالي القوى العاملة من نحو 48% في عام 1431/1430هـ (2009م) إلى نحو 53.6% في عام 1436/1435هـ (2014م)، وذلك من خلال توفير 1.1 مليون فرصة عمل لتشغيل الداخلين الجدد إلى سوق العمل. وخفض معدل البطالة بين السعوديين من نحو 9.6% في عام 2009م إلى نحو 5.5% بنهاية الخطة في عام 2014م دون تشخيص اقتصادي للمشكلة وأبعادها، وبالتالي دون سياسات اقتصادية محددة. وزارة الاقتصاد والتخطيط، (2010م). ومن هنا فإن زيادة مشاركة السعوديين في القوى العاملة بشكل عام، وفي القطاع الخاص بشكل خاص، وزيادة مساهمة المرأة في العمل، ومواجهة مشكلة البطالة، تعد من التحديات الرئيسية التي تواجه الاقتصاد السعودي، وزيادة نسبة السعوديين العاملين هي أهم مؤشر على نجاح الخطة في هذا المجال. وعلى مستوى الدراسات والبحوث التطبيقية، يلاحظ أنه على الرغم من تعدد الدراسات التي تناولت قضية البطالة في المملكة، إلا أنه نادراً ما توجد دراسة تناولت القضية من حيث أنواعها (بطالة هيكلية – احتكاكية – دورية) أو من حيث الأبعاد المتعددة للظاهرة التي تميز الاقتصاد السعودي عن غيره من الاقتصادات النامية والمتقدمة.</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البطالة كظاهرة اقتصادية (واجتماعية من حيث آثارها) لها أنواعها وأسبابها المرتبطة بحالة الاقتصاد الوطني ومعدل الاستثمار والنمو والتطورات التكنولوجية وظروف سوق العمل، بالإضافة إلى ارتباطها بحالة السكان والقوى العاملة وتركيبتها السكانية، بالإضافة إلى طبيعة سوق العمل ودور كل من الحكومة والقطاع الخاص في النشاط الاقتصادي.</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وعليه فإن فهم ظاهرة البطالة بين السعوديين من منظور اقتصادي، وتحليلها من حيث الأنواع والأبعاد والتحديات يكشف عن جذور الظاهرة وأسبابها، ويساعد في وضع السياسات الاقتصادية اللازمة لمعالجتها، ومن هنا تأتي أهمية هذه الدراسة التي تعتمد على المنطق الاقتصادي في فهم الظاهرة وتشخيصها واقتراح السياسات الاقتصادية اللازمة لمعالجتها.</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وتسعى هذه الدراسة من خلال محاولة التعرف على التضخم والارتفاع الكبير في الأسعار في كافة مناحي الحياة إلى تحديد الآثار السلبية التي قد تصاحبه. </w:t>
      </w:r>
    </w:p>
    <w:p w:rsidR="00E52767"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وتعد هذه الدراسة من الدراسات الأولية التي تناولت الأبعاد الاجتماعية والاقتصادية والأمنية لظاهرة غلاء المعيشة في المجتمع السعودي  حيث لم تتم دراسة هذا الموضوع من قبل المتخصصين في علم الاجتماع في حدود الأهداف التي انطلقت منها، لذلك تتجلى أهمية الدراسة الحالية في أنها تركز على موضوع يشغل أذهان العديد من المواطنين داخل المجتمع السعودي، وخاصة الأسر ذات الدخل المحدود، على الرغم من أن ظاهرة غلاء المعيشة أصبحت مشكلة تعاني منها كافة الأنظمة الاقتصادية والاجتماعية في الوقت الحاضر، لذا فإن النتائج التي سيتمكن الباحث من التوصل إليها ستساعد متخذي القرار على العمل على مواجهة هذه الظاهرة ومعالجتها من خلال رسم السياسات والبرامج التي تضمن ذلك مستقبلاً، بحيث لا تتزايد آثارها ولا تتطور أبعادها، وبذلك تكون هذه الدراسة مساهمة جديدة من حيث موضوعها وأهدافها ومجالاتها، فضلاً عن كونها إضافة جديدة للتراث السوسيولوجي في المجتمع السعودي.</w:t>
      </w:r>
      <w:r w:rsidR="00446B2C" w:rsidRPr="00AD4645">
        <w:rPr>
          <w:rFonts w:ascii="Simplified Arabic" w:hAnsi="Simplified Arabic" w:cs="Simplified Arabic"/>
          <w:rtl/>
        </w:rPr>
        <w:t>( العباس ،2018، 35).</w:t>
      </w:r>
    </w:p>
    <w:p w:rsidR="00AD4645" w:rsidRDefault="00AD4645" w:rsidP="0098206D">
      <w:pPr>
        <w:spacing w:line="360" w:lineRule="auto"/>
        <w:ind w:left="-337" w:right="993" w:firstLine="567"/>
        <w:rPr>
          <w:rFonts w:ascii="Simplified Arabic" w:hAnsi="Simplified Arabic" w:cs="Simplified Arabic"/>
          <w:rtl/>
        </w:rPr>
      </w:pPr>
    </w:p>
    <w:p w:rsidR="0098206D" w:rsidRDefault="0098206D" w:rsidP="0098206D">
      <w:pPr>
        <w:spacing w:line="360" w:lineRule="auto"/>
        <w:ind w:left="-337" w:right="993" w:firstLine="567"/>
        <w:rPr>
          <w:rFonts w:ascii="Simplified Arabic" w:hAnsi="Simplified Arabic" w:cs="Simplified Arabic"/>
          <w:rtl/>
        </w:rPr>
      </w:pPr>
    </w:p>
    <w:p w:rsidR="0098206D" w:rsidRDefault="0098206D" w:rsidP="0098206D">
      <w:pPr>
        <w:spacing w:line="360" w:lineRule="auto"/>
        <w:ind w:left="-337" w:right="993" w:firstLine="567"/>
        <w:rPr>
          <w:rFonts w:ascii="Simplified Arabic" w:hAnsi="Simplified Arabic" w:cs="Simplified Arabic"/>
          <w:rtl/>
        </w:rPr>
      </w:pPr>
    </w:p>
    <w:p w:rsidR="0098206D" w:rsidRDefault="0098206D" w:rsidP="0098206D">
      <w:pPr>
        <w:spacing w:line="360" w:lineRule="auto"/>
        <w:ind w:left="-337" w:right="993" w:firstLine="567"/>
        <w:rPr>
          <w:rFonts w:ascii="Simplified Arabic" w:hAnsi="Simplified Arabic" w:cs="Simplified Arabic"/>
          <w:rtl/>
        </w:rPr>
      </w:pPr>
    </w:p>
    <w:p w:rsidR="0098206D" w:rsidRDefault="0098206D" w:rsidP="0098206D">
      <w:pPr>
        <w:spacing w:line="360" w:lineRule="auto"/>
        <w:ind w:left="-337" w:right="993" w:firstLine="567"/>
        <w:rPr>
          <w:rFonts w:ascii="Simplified Arabic" w:hAnsi="Simplified Arabic" w:cs="Simplified Arabic"/>
          <w:rtl/>
        </w:rPr>
      </w:pPr>
    </w:p>
    <w:p w:rsidR="0098206D" w:rsidRDefault="0098206D" w:rsidP="0098206D">
      <w:pPr>
        <w:spacing w:line="360" w:lineRule="auto"/>
        <w:ind w:left="-337" w:right="993" w:firstLine="567"/>
        <w:rPr>
          <w:rFonts w:ascii="Simplified Arabic" w:hAnsi="Simplified Arabic" w:cs="Simplified Arabic"/>
          <w:rtl/>
        </w:rPr>
      </w:pPr>
    </w:p>
    <w:p w:rsidR="0098206D" w:rsidRPr="00AD4645" w:rsidRDefault="0098206D" w:rsidP="0098206D">
      <w:pPr>
        <w:spacing w:line="360" w:lineRule="auto"/>
        <w:ind w:left="-337" w:right="993" w:firstLine="567"/>
        <w:rPr>
          <w:rFonts w:ascii="Simplified Arabic" w:hAnsi="Simplified Arabic" w:cs="Simplified Arabic"/>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أهد</w:t>
      </w:r>
      <w:r w:rsidR="00E52767" w:rsidRPr="00AD4645">
        <w:rPr>
          <w:rFonts w:ascii="Simplified Arabic" w:hAnsi="Simplified Arabic" w:cs="Simplified Arabic"/>
          <w:b/>
          <w:bCs/>
          <w:sz w:val="28"/>
          <w:szCs w:val="28"/>
          <w:rtl/>
        </w:rPr>
        <w:t>ا</w:t>
      </w:r>
      <w:r w:rsidRPr="00AD4645">
        <w:rPr>
          <w:rFonts w:ascii="Simplified Arabic" w:hAnsi="Simplified Arabic" w:cs="Simplified Arabic"/>
          <w:b/>
          <w:bCs/>
          <w:sz w:val="28"/>
          <w:szCs w:val="28"/>
          <w:rtl/>
        </w:rPr>
        <w:t>ف البحث</w:t>
      </w:r>
      <w:r w:rsidR="00E52767" w:rsidRPr="00AD4645">
        <w:rPr>
          <w:rFonts w:ascii="Simplified Arabic" w:hAnsi="Simplified Arabic" w:cs="Simplified Arabic"/>
          <w:b/>
          <w:bCs/>
          <w:sz w:val="28"/>
          <w:szCs w:val="28"/>
          <w:rtl/>
        </w:rPr>
        <w:t>:</w:t>
      </w:r>
    </w:p>
    <w:p w:rsidR="00E52767" w:rsidRPr="00AD4645" w:rsidRDefault="00E52767"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 التعرف على مفهوم البطالة .</w:t>
      </w:r>
    </w:p>
    <w:p w:rsidR="00E52767" w:rsidRPr="00AD4645" w:rsidRDefault="00E52767"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2/ التعرف على مفهوم التضخم .</w:t>
      </w:r>
    </w:p>
    <w:p w:rsidR="00E52767" w:rsidRPr="00AD4645" w:rsidRDefault="00E52767"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3/ تحديد العلاقة بين التضخم والبطالة في النظام السعودي.</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4/ </w:t>
      </w:r>
      <w:r w:rsidR="00371659" w:rsidRPr="00AD4645">
        <w:rPr>
          <w:rFonts w:ascii="Simplified Arabic" w:hAnsi="Simplified Arabic" w:cs="Simplified Arabic"/>
          <w:rtl/>
        </w:rPr>
        <w:t>استعراض مفهوم التضخم المستورد والوقوف على أهم أسبابه وقنوات اتصاله</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5/ </w:t>
      </w:r>
      <w:r w:rsidR="00371659" w:rsidRPr="00AD4645">
        <w:rPr>
          <w:rFonts w:ascii="Simplified Arabic" w:hAnsi="Simplified Arabic" w:cs="Simplified Arabic"/>
          <w:rtl/>
        </w:rPr>
        <w:t>تقدير معدل التضخم المستورد بالمملكة</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6/</w:t>
      </w:r>
      <w:r w:rsidR="00371659" w:rsidRPr="00AD4645">
        <w:rPr>
          <w:rFonts w:ascii="Simplified Arabic" w:hAnsi="Simplified Arabic" w:cs="Simplified Arabic"/>
          <w:rtl/>
        </w:rPr>
        <w:t>التنبؤ بقيمة التضخم المستورد .</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7/</w:t>
      </w:r>
      <w:r w:rsidR="00371659" w:rsidRPr="00AD4645">
        <w:rPr>
          <w:rFonts w:ascii="Simplified Arabic" w:hAnsi="Simplified Arabic" w:cs="Simplified Arabic"/>
          <w:rtl/>
        </w:rPr>
        <w:t>الوقوف على دور التضخم المستورد في تغذية الضغوط التضخمية بالمملكة</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8/</w:t>
      </w:r>
      <w:r w:rsidR="00371659" w:rsidRPr="00AD4645">
        <w:rPr>
          <w:rFonts w:ascii="Simplified Arabic" w:hAnsi="Simplified Arabic" w:cs="Simplified Arabic"/>
          <w:rtl/>
        </w:rPr>
        <w:t>الوقوف على الآثار الاقتصادية للتضخم المستورد على الاقتصاد السعودي</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9/</w:t>
      </w:r>
      <w:r w:rsidR="00371659" w:rsidRPr="00AD4645">
        <w:rPr>
          <w:rFonts w:ascii="Simplified Arabic" w:hAnsi="Simplified Arabic" w:cs="Simplified Arabic"/>
          <w:rtl/>
        </w:rPr>
        <w:t>التعرف على الأبعاد الاجتماعية لغلاء المعيشة في المجتمع السعودي</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10/</w:t>
      </w:r>
      <w:r w:rsidR="00371659" w:rsidRPr="00AD4645">
        <w:rPr>
          <w:rFonts w:ascii="Simplified Arabic" w:hAnsi="Simplified Arabic" w:cs="Simplified Arabic"/>
          <w:rtl/>
        </w:rPr>
        <w:t>التعرف على الأبعاد الأمنية لغلاء المعيشة في المجتمع السعودي</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1/</w:t>
      </w:r>
      <w:r w:rsidR="00371659" w:rsidRPr="00AD4645">
        <w:rPr>
          <w:rFonts w:ascii="Simplified Arabic" w:hAnsi="Simplified Arabic" w:cs="Simplified Arabic"/>
          <w:rtl/>
        </w:rPr>
        <w:t>التعرف على السياسات التي تم اتخاذها لمواجهة ظاهرة غلاء المعيشة في المجتمع السعودي</w:t>
      </w:r>
      <w:r w:rsidR="00371659" w:rsidRPr="00AD4645">
        <w:rPr>
          <w:rFonts w:ascii="Simplified Arabic" w:hAnsi="Simplified Arabic" w:cs="Simplified Arabic"/>
        </w:rPr>
        <w:t>.</w:t>
      </w:r>
    </w:p>
    <w:p w:rsidR="00371659" w:rsidRPr="00AD4645" w:rsidRDefault="00D3536C"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12/</w:t>
      </w:r>
      <w:r w:rsidR="00371659" w:rsidRPr="00AD4645">
        <w:rPr>
          <w:rFonts w:ascii="Simplified Arabic" w:hAnsi="Simplified Arabic" w:cs="Simplified Arabic"/>
          <w:rtl/>
        </w:rPr>
        <w:t>اقتراح بعض الحلول المناسبة للحد من الآثار الناتجة عن ظاهرة غلاء المعيشة</w:t>
      </w:r>
      <w:r w:rsidR="00371659" w:rsidRPr="00AD4645">
        <w:rPr>
          <w:rFonts w:ascii="Simplified Arabic" w:hAnsi="Simplified Arabic" w:cs="Simplified Arabic"/>
        </w:rPr>
        <w:t>.</w:t>
      </w:r>
    </w:p>
    <w:p w:rsidR="00E52767" w:rsidRPr="00AD4645" w:rsidRDefault="00E52767" w:rsidP="0098206D">
      <w:pPr>
        <w:spacing w:line="360" w:lineRule="auto"/>
        <w:ind w:left="-337" w:right="993" w:firstLine="567"/>
        <w:rPr>
          <w:rFonts w:ascii="Simplified Arabic" w:hAnsi="Simplified Arabic" w:cs="Simplified Arabic"/>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حدود الدراسة</w:t>
      </w:r>
      <w:r w:rsidR="00371659" w:rsidRPr="00AD4645">
        <w:rPr>
          <w:rFonts w:ascii="Simplified Arabic" w:hAnsi="Simplified Arabic" w:cs="Simplified Arabic"/>
          <w:b/>
          <w:bCs/>
          <w:sz w:val="28"/>
          <w:szCs w:val="28"/>
          <w:rtl/>
        </w:rPr>
        <w:t>:</w:t>
      </w:r>
    </w:p>
    <w:p w:rsidR="00371659" w:rsidRPr="00AD4645" w:rsidRDefault="00371659"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الحدود المكانية  :المملكة العربية السعودية</w:t>
      </w:r>
    </w:p>
    <w:p w:rsidR="00371659" w:rsidRPr="00AD4645" w:rsidRDefault="00371659"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الحدود الزماينة : 202</w:t>
      </w:r>
      <w:r w:rsidR="00D3536C" w:rsidRPr="00AD4645">
        <w:rPr>
          <w:rFonts w:ascii="Simplified Arabic" w:hAnsi="Simplified Arabic" w:cs="Simplified Arabic"/>
          <w:rtl/>
        </w:rPr>
        <w:t>4</w:t>
      </w:r>
      <w:r w:rsidRPr="00AD4645">
        <w:rPr>
          <w:rFonts w:ascii="Simplified Arabic" w:hAnsi="Simplified Arabic" w:cs="Simplified Arabic"/>
          <w:rtl/>
        </w:rPr>
        <w:t>م</w:t>
      </w:r>
    </w:p>
    <w:p w:rsidR="00D3536C" w:rsidRPr="00AD4645" w:rsidRDefault="00371659"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الحدود الموضوعية :</w:t>
      </w:r>
      <w:r w:rsidR="00D3536C" w:rsidRPr="00AD4645">
        <w:rPr>
          <w:rFonts w:ascii="Simplified Arabic" w:hAnsi="Simplified Arabic" w:cs="Simplified Arabic"/>
          <w:rtl/>
        </w:rPr>
        <w:t xml:space="preserve"> العلاقة بين التضخم والبطالة  في السعودية </w:t>
      </w:r>
    </w:p>
    <w:p w:rsidR="00371659" w:rsidRDefault="00371659"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75159D" w:rsidRPr="00AD4645" w:rsidRDefault="0075159D"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المصطلحات المفاهيمية والاجرائية</w:t>
      </w:r>
      <w:r w:rsidR="00E52767" w:rsidRPr="00AD4645">
        <w:rPr>
          <w:rFonts w:ascii="Simplified Arabic" w:hAnsi="Simplified Arabic" w:cs="Simplified Arabic"/>
          <w:b/>
          <w:bCs/>
          <w:sz w:val="28"/>
          <w:szCs w:val="28"/>
          <w:rtl/>
        </w:rPr>
        <w:t>:</w:t>
      </w:r>
    </w:p>
    <w:p w:rsidR="006B644A" w:rsidRPr="00AD4645" w:rsidRDefault="006B644A"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اولا : مفهوم التض</w:t>
      </w:r>
      <w:r w:rsidR="00DE259F" w:rsidRPr="00AD4645">
        <w:rPr>
          <w:rFonts w:ascii="Simplified Arabic" w:hAnsi="Simplified Arabic" w:cs="Simplified Arabic"/>
          <w:b/>
          <w:bCs/>
          <w:sz w:val="28"/>
          <w:szCs w:val="28"/>
          <w:rtl/>
        </w:rPr>
        <w:t xml:space="preserve">خم </w:t>
      </w:r>
      <w:r w:rsidRPr="00AD4645">
        <w:rPr>
          <w:rFonts w:ascii="Simplified Arabic" w:hAnsi="Simplified Arabic" w:cs="Simplified Arabic"/>
          <w:b/>
          <w:bCs/>
          <w:sz w:val="28"/>
          <w:szCs w:val="28"/>
          <w:rtl/>
        </w:rPr>
        <w:t>:</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لقد شهد مفهوم التضخم تطورات واسعة النطاق، حيث استند بعض هذه المفاهيم إلى مفهوم النظرية الكينزية، بينما استند البعض الآخر إلى نظرية كمية النقود، فضلاً عن التطورات الحديثة في النظريات التي تفسر ظاهرة التضخم. لذلك لا بد من وجود تعريفات متعددة، بالإضافة إلى تعدد أسباب ومصادر التضخم. وعليه، يعرف التضخم بأنه عملية الارتفاع المستمر في المستوى العام للأسعار على مدى فترة طويلة من الزمن، أي أنه عملية انخفاض مستمر في القيمة الحقيقية للنقود. </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اتفق النقاد والمؤيدون للفكر الكينزي وفريدمان على أن التضخم ظاهرة نقدية في الأمد البعيد وهو حالة من الارتفاع المستمر للأسعار. كما تم تعريف التضخم بأنه:</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حركة الأسعار إلى الأعلى الناتجة عن زيادة الطلب عن قدرة العرض. التضخم يعني أيضا - حالة الارتفاع المستمر للأسعار ويعكس حالة الخلل بين القطاع النقدي وقطاع السلع، وهو التغير النسبي في المستوى العام للأسعار، أي أن التضخم يحدث عندما يرتفع المستوى العام للأسعار، ويحسب باستخدام أرقام مؤشر الأسعار لآلاف المنتجات الفردية، أي أن مؤشر أسعار المستهلك يقيس التكلفة، كما أكد فريدمان أن التضخم هو خلل بين المعروض من النقود والطلب عليها وأن ظاهرة المعروض النقدي المفرط هي المسؤولة عن ظاهرة التضخم، ولا ينبغي لنا أن ندرس العلاقة بين كمية النقود وحجم المعروض من السلع والخدمات فقط، بل على أساس مدى تأثيرها على زيادة متوسط </w:t>
      </w:r>
      <w:r w:rsidRPr="00AD4645">
        <w:rPr>
          <w:rFonts w:ascii="Simplified Arabic" w:hAnsi="Simplified Arabic" w:cstheme="majorBidi"/>
          <w:rtl/>
        </w:rPr>
        <w:t>​​</w:t>
      </w:r>
      <w:r w:rsidRPr="00AD4645">
        <w:rPr>
          <w:rFonts w:ascii="Simplified Arabic" w:hAnsi="Simplified Arabic" w:cs="Simplified Arabic"/>
          <w:rtl/>
        </w:rPr>
        <w:t>حصة وحدة الناتج المحلي الإجمالي من كمية النقود نفسها.</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تعريفات التضخم المبنية على نظرية كمية النقود ترى أن توسع المعروض النقدي هو السبب وارتفاع الأسعار هو النتيجة، ولكنها مشكوك فيها فيما يتعلق بإثباتها من منظور ميداني، لأنه في ألمانيا ظهرت حالة عكسية للعلاقة بين السبب والنتيجة.</w:t>
      </w:r>
      <w:r w:rsidR="00446B2C" w:rsidRPr="00AD4645">
        <w:rPr>
          <w:rFonts w:ascii="Simplified Arabic" w:hAnsi="Simplified Arabic" w:cs="Simplified Arabic"/>
          <w:rtl/>
        </w:rPr>
        <w:t>(معتوق ،2015، 48).</w:t>
      </w:r>
    </w:p>
    <w:p w:rsidR="00527A85" w:rsidRPr="00AD4645" w:rsidRDefault="00527A85"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ثانياً: مفهوم البطالة:</w:t>
      </w:r>
    </w:p>
    <w:p w:rsidR="00527A85" w:rsidRPr="00AD4645" w:rsidRDefault="00527A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بالمعنى الاقتصادي الذي يقتصر على عنصر العمل ويشير إلى العاطلين عن العمل، يمكن الأخذ بعين الاعتبار عدة مفاهيم للعاطلين عن العمل، منها:</w:t>
      </w:r>
    </w:p>
    <w:p w:rsidR="00E52767" w:rsidRPr="00AD4645" w:rsidRDefault="00527A85" w:rsidP="001C5B72">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يُعرَّف العاطلون عن العمل بأنهم أولئك الأشخاص الذين كانوا يعملون سابقاً ولكنهم كانوا عاطلين عن العمل وقت إجراء التعداد أو العد، وهذا التعريف لا يشمل إلا من كان يعمل سابقاً، ولكنه لا يشمل مثلاً الخريجين الجدد الباحثين عن عمل ولم يكونوا من قبل جزءاً من قوة العمل. ولذلك تعاني الدول والحكومات وخاصة الفقيرة من ظاهرة البطالة، حيث أن لهذه الظاهرة عواقب سلبية على المجتمعات وتظهر هذه العواقب في صورة أمراض نفسية واجتماعية خطيرة تتحول إلى جريمة، وبالتالي يتحول كثير من الفقراء إلى متسولين يتسولون قوت يومهم بإذلال ومهانة يصعب علاجها في المستقبل، لأنه إذا تم استغلالها فإن علاجها يتطلب الكثير من الوقت والجهد والمال.</w:t>
      </w:r>
      <w:r w:rsidR="00446B2C" w:rsidRPr="00AD4645">
        <w:rPr>
          <w:rFonts w:ascii="Simplified Arabic" w:hAnsi="Simplified Arabic" w:cs="Simplified Arabic"/>
          <w:rtl/>
        </w:rPr>
        <w:t>( خصاونة ،016، 118).</w:t>
      </w:r>
    </w:p>
    <w:p w:rsidR="001C5B72" w:rsidRPr="001C5B72" w:rsidRDefault="001C5B72" w:rsidP="001C5B72">
      <w:pPr>
        <w:spacing w:line="360" w:lineRule="auto"/>
        <w:ind w:left="-337" w:right="993" w:firstLine="284"/>
        <w:rPr>
          <w:rFonts w:ascii="Simplified Arabic" w:hAnsi="Simplified Arabic" w:cs="Simplified Arabic" w:hint="cs"/>
          <w:b/>
          <w:bCs/>
          <w:rtl/>
        </w:rPr>
      </w:pPr>
      <w:r w:rsidRPr="001C5B72">
        <w:rPr>
          <w:rFonts w:ascii="Simplified Arabic" w:hAnsi="Simplified Arabic" w:cs="Simplified Arabic" w:hint="cs"/>
          <w:b/>
          <w:bCs/>
          <w:rtl/>
        </w:rPr>
        <w:t xml:space="preserve">الافكار الخاصة بالبحث </w:t>
      </w:r>
    </w:p>
    <w:p w:rsidR="001C5B72" w:rsidRPr="001C5B72" w:rsidRDefault="001C5B72" w:rsidP="001C5B72">
      <w:pPr>
        <w:spacing w:line="360" w:lineRule="auto"/>
        <w:ind w:left="-337" w:right="993"/>
        <w:rPr>
          <w:rFonts w:ascii="Simplified Arabic" w:hAnsi="Simplified Arabic" w:cs="Simplified Arabic" w:hint="cs"/>
          <w:rtl/>
        </w:rPr>
      </w:pPr>
      <w:r w:rsidRPr="001C5B72">
        <w:rPr>
          <w:rFonts w:ascii="Simplified Arabic" w:hAnsi="Simplified Arabic" w:cs="Simplified Arabic" w:hint="cs"/>
          <w:rtl/>
        </w:rPr>
        <w:t>سوف يتم في هذا البحث تناول الافكار البحثية الاتية :</w:t>
      </w:r>
    </w:p>
    <w:p w:rsidR="001C5B72" w:rsidRPr="001C5B72" w:rsidRDefault="001C5B72" w:rsidP="001C5B72">
      <w:pPr>
        <w:spacing w:line="360" w:lineRule="auto"/>
        <w:ind w:left="-337" w:right="993"/>
        <w:rPr>
          <w:rFonts w:ascii="Simplified Arabic" w:hAnsi="Simplified Arabic" w:cs="Simplified Arabic" w:hint="cs"/>
          <w:rtl/>
        </w:rPr>
      </w:pPr>
      <w:r w:rsidRPr="001C5B72">
        <w:rPr>
          <w:rFonts w:ascii="Simplified Arabic" w:hAnsi="Simplified Arabic" w:cs="Simplified Arabic" w:hint="cs"/>
          <w:rtl/>
        </w:rPr>
        <w:t xml:space="preserve">1/ مفهوم التضخم  والتضخم المستورد </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2/ </w:t>
      </w:r>
      <w:r w:rsidRPr="001C5B72">
        <w:rPr>
          <w:rFonts w:ascii="Simplified Arabic" w:hAnsi="Simplified Arabic" w:cs="Simplified Arabic"/>
          <w:rtl/>
        </w:rPr>
        <w:t xml:space="preserve">أسباب التضخم بالمملكة العربية السعودية </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3/ </w:t>
      </w:r>
      <w:r w:rsidRPr="001C5B72">
        <w:rPr>
          <w:rFonts w:ascii="Simplified Arabic" w:hAnsi="Simplified Arabic" w:cs="Simplified Arabic"/>
          <w:rtl/>
        </w:rPr>
        <w:t>مؤشرات التضخم المستورد</w:t>
      </w:r>
      <w:r w:rsidRPr="001C5B72">
        <w:rPr>
          <w:rFonts w:ascii="Simplified Arabic" w:hAnsi="Simplified Arabic" w:cs="Simplified Arabic"/>
        </w:rPr>
        <w:t>:</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4/ </w:t>
      </w:r>
      <w:r w:rsidRPr="001C5B72">
        <w:rPr>
          <w:rFonts w:ascii="Simplified Arabic" w:hAnsi="Simplified Arabic" w:cs="Simplified Arabic"/>
          <w:rtl/>
        </w:rPr>
        <w:t>دور التضخم المستورد في تغذية الضغوط التضخمية بالمملكة العربية السعودية</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5/</w:t>
      </w:r>
      <w:r w:rsidRPr="001C5B72">
        <w:rPr>
          <w:rFonts w:ascii="Simplified Arabic" w:hAnsi="Simplified Arabic" w:cs="Simplified Arabic"/>
          <w:rtl/>
        </w:rPr>
        <w:t>الآثار الاقتصادية للتضخم المستورد</w:t>
      </w:r>
      <w:r w:rsidRPr="001C5B72">
        <w:rPr>
          <w:rFonts w:ascii="Simplified Arabic" w:hAnsi="Simplified Arabic" w:cs="Simplified Arabic"/>
        </w:rPr>
        <w:t>:</w:t>
      </w:r>
    </w:p>
    <w:p w:rsidR="001C5B72" w:rsidRPr="001C5B72" w:rsidRDefault="001C5B72" w:rsidP="001C5B72">
      <w:pPr>
        <w:spacing w:line="360" w:lineRule="auto"/>
        <w:ind w:left="-337" w:right="993"/>
        <w:rPr>
          <w:rFonts w:ascii="Simplified Arabic" w:hAnsi="Simplified Arabic" w:cs="Simplified Arabic"/>
          <w:rtl/>
        </w:rPr>
      </w:pPr>
      <w:r w:rsidRPr="001C5B72">
        <w:rPr>
          <w:rFonts w:ascii="Simplified Arabic" w:hAnsi="Simplified Arabic" w:cs="Simplified Arabic" w:hint="cs"/>
          <w:rtl/>
        </w:rPr>
        <w:t xml:space="preserve">6/ </w:t>
      </w:r>
      <w:r w:rsidRPr="001C5B72">
        <w:rPr>
          <w:rFonts w:ascii="Simplified Arabic" w:hAnsi="Simplified Arabic" w:cs="Simplified Arabic"/>
          <w:rtl/>
        </w:rPr>
        <w:t xml:space="preserve"> مفهوم البطالة وأنواعها</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7/ </w:t>
      </w:r>
      <w:r w:rsidRPr="001C5B72">
        <w:rPr>
          <w:rFonts w:ascii="Simplified Arabic" w:hAnsi="Simplified Arabic" w:cs="Simplified Arabic"/>
          <w:rtl/>
        </w:rPr>
        <w:t>خصائص البطالة بين السعوديين</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8/ </w:t>
      </w:r>
      <w:r w:rsidRPr="001C5B72">
        <w:rPr>
          <w:rFonts w:ascii="Simplified Arabic" w:hAnsi="Simplified Arabic" w:cs="Simplified Arabic"/>
          <w:rtl/>
        </w:rPr>
        <w:t>تقييم جهود حل مشكلة البطالة في المملكة</w:t>
      </w:r>
    </w:p>
    <w:p w:rsidR="001C5B72" w:rsidRPr="001C5B72" w:rsidRDefault="001C5B72" w:rsidP="001C5B72">
      <w:pPr>
        <w:spacing w:line="360" w:lineRule="auto"/>
        <w:ind w:left="-337" w:right="993"/>
        <w:rPr>
          <w:rFonts w:ascii="Simplified Arabic" w:hAnsi="Simplified Arabic" w:cs="Simplified Arabic"/>
        </w:rPr>
      </w:pPr>
      <w:r w:rsidRPr="001C5B72">
        <w:rPr>
          <w:rFonts w:ascii="Simplified Arabic" w:hAnsi="Simplified Arabic" w:cs="Simplified Arabic" w:hint="cs"/>
          <w:rtl/>
        </w:rPr>
        <w:t xml:space="preserve">9/ </w:t>
      </w:r>
      <w:r w:rsidRPr="001C5B72">
        <w:rPr>
          <w:rFonts w:ascii="Simplified Arabic" w:hAnsi="Simplified Arabic" w:cs="Simplified Arabic"/>
          <w:rtl/>
        </w:rPr>
        <w:t>مراجعة و تطوير السياسات والبرامج القائمة</w:t>
      </w:r>
    </w:p>
    <w:p w:rsidR="001C5B72" w:rsidRPr="001C5B72" w:rsidRDefault="001C5B72" w:rsidP="001C5B72">
      <w:pPr>
        <w:spacing w:line="360" w:lineRule="auto"/>
        <w:ind w:left="-337" w:right="993"/>
        <w:rPr>
          <w:rFonts w:ascii="Simplified Arabic" w:hAnsi="Simplified Arabic" w:cs="Simplified Arabic" w:hint="cs"/>
          <w:rtl/>
        </w:rPr>
      </w:pPr>
      <w:r w:rsidRPr="001C5B72">
        <w:rPr>
          <w:rFonts w:ascii="Simplified Arabic" w:hAnsi="Simplified Arabic" w:cs="Simplified Arabic" w:hint="cs"/>
          <w:rtl/>
        </w:rPr>
        <w:t xml:space="preserve">10/ </w:t>
      </w:r>
      <w:r w:rsidRPr="001C5B72">
        <w:rPr>
          <w:rFonts w:ascii="Simplified Arabic" w:hAnsi="Simplified Arabic" w:cs="Simplified Arabic"/>
          <w:rtl/>
        </w:rPr>
        <w:t>السياسات والحلول المقترحة</w:t>
      </w:r>
    </w:p>
    <w:p w:rsidR="001C5B72" w:rsidRPr="001C5B72" w:rsidRDefault="001C5B72" w:rsidP="001C5B72">
      <w:pPr>
        <w:spacing w:line="360" w:lineRule="auto"/>
        <w:ind w:left="-337" w:right="993"/>
        <w:rPr>
          <w:rFonts w:ascii="Simplified Arabic" w:hAnsi="Simplified Arabic" w:cs="Simplified Arabic"/>
          <w:rtl/>
        </w:rPr>
      </w:pPr>
      <w:r w:rsidRPr="001C5B72">
        <w:rPr>
          <w:rFonts w:ascii="Simplified Arabic" w:hAnsi="Simplified Arabic" w:cs="Simplified Arabic" w:hint="cs"/>
          <w:rtl/>
        </w:rPr>
        <w:t xml:space="preserve">ثم سيتم تناول موضوع الدراسة وهو </w:t>
      </w:r>
      <w:r w:rsidRPr="001C5B72">
        <w:rPr>
          <w:rFonts w:ascii="Simplified Arabic" w:hAnsi="Simplified Arabic" w:cs="Simplified Arabic"/>
          <w:rtl/>
        </w:rPr>
        <w:t>العلاقة بين التضخم والبطالة  في الممكلة العربية السعودية</w:t>
      </w:r>
      <w:r w:rsidRPr="001C5B72">
        <w:rPr>
          <w:rFonts w:ascii="Simplified Arabic" w:hAnsi="Simplified Arabic" w:cs="Simplified Arabic" w:hint="cs"/>
          <w:rtl/>
        </w:rPr>
        <w:t>.</w:t>
      </w: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AD4645" w:rsidRDefault="00AD4645" w:rsidP="0098206D">
      <w:pPr>
        <w:spacing w:line="360" w:lineRule="auto"/>
        <w:ind w:left="-337" w:right="993" w:firstLine="567"/>
        <w:rPr>
          <w:rFonts w:ascii="Simplified Arabic" w:hAnsi="Simplified Arabic" w:cs="Simplified Arabic"/>
          <w:rtl/>
        </w:rPr>
      </w:pPr>
    </w:p>
    <w:p w:rsidR="0075159D" w:rsidRPr="00AD4645" w:rsidRDefault="001C5B72" w:rsidP="0098206D">
      <w:pPr>
        <w:spacing w:line="360" w:lineRule="auto"/>
        <w:ind w:left="-337" w:right="993" w:firstLine="567"/>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0075159D" w:rsidRPr="00AD4645">
        <w:rPr>
          <w:rFonts w:ascii="Simplified Arabic" w:hAnsi="Simplified Arabic" w:cs="Simplified Arabic"/>
          <w:b/>
          <w:bCs/>
          <w:sz w:val="28"/>
          <w:szCs w:val="28"/>
          <w:rtl/>
        </w:rPr>
        <w:t xml:space="preserve">لإطار النظري </w:t>
      </w:r>
      <w:r w:rsidR="00E52767" w:rsidRPr="00AD4645">
        <w:rPr>
          <w:rFonts w:ascii="Simplified Arabic" w:hAnsi="Simplified Arabic" w:cs="Simplified Arabic"/>
          <w:b/>
          <w:bCs/>
          <w:sz w:val="28"/>
          <w:szCs w:val="28"/>
          <w:rtl/>
        </w:rPr>
        <w:t>:</w:t>
      </w:r>
    </w:p>
    <w:p w:rsidR="00E52767" w:rsidRPr="00AD4645" w:rsidRDefault="00371659" w:rsidP="0098206D">
      <w:pPr>
        <w:spacing w:line="360" w:lineRule="auto"/>
        <w:ind w:left="-337" w:right="993" w:firstLine="567"/>
        <w:rPr>
          <w:rFonts w:ascii="Simplified Arabic" w:hAnsi="Simplified Arabic" w:cs="Simplified Arabic"/>
          <w:b/>
          <w:bCs/>
          <w:sz w:val="28"/>
          <w:szCs w:val="28"/>
          <w:rtl/>
        </w:rPr>
      </w:pPr>
      <w:r w:rsidRPr="00AD4645">
        <w:rPr>
          <w:rFonts w:ascii="Simplified Arabic" w:hAnsi="Simplified Arabic" w:cs="Simplified Arabic"/>
          <w:b/>
          <w:bCs/>
          <w:sz w:val="28"/>
          <w:szCs w:val="28"/>
          <w:rtl/>
        </w:rPr>
        <w:t>المبحث الاول :</w:t>
      </w:r>
      <w:r w:rsidR="00A968D2" w:rsidRPr="00AD4645">
        <w:rPr>
          <w:rFonts w:ascii="Simplified Arabic" w:hAnsi="Simplified Arabic" w:cs="Simplified Arabic"/>
          <w:b/>
          <w:bCs/>
          <w:sz w:val="28"/>
          <w:szCs w:val="28"/>
          <w:rtl/>
        </w:rPr>
        <w:t>ماهية</w:t>
      </w:r>
      <w:r w:rsidR="00E52767" w:rsidRPr="00AD4645">
        <w:rPr>
          <w:rFonts w:ascii="Simplified Arabic" w:hAnsi="Simplified Arabic" w:cs="Simplified Arabic"/>
          <w:b/>
          <w:bCs/>
          <w:sz w:val="28"/>
          <w:szCs w:val="28"/>
          <w:rtl/>
        </w:rPr>
        <w:t xml:space="preserve"> التضخم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مفهوم التضخم له أهمية كبيرة في دراسة النقود والبنوك، حيث يعمل التفكير الكلاسيكي على ربط ارتفاع الأسعار وكمية النقود وانتشار التضخم بعد الحرب العالمية الثانية، مما أدى إلى الاهتمام بدراسته، والمفهوم الشائع للتضخم هو زيادة كمية النقود مع انخفاض قيمتها وارتفاع الأسعار، وهو انخفاض في القدرة الشرائية للفرد، وهناك عدة أنواع للتضخم، منها التضخم في ظل قاعدة الذهب، والذي يحدث عندما تزداد كمية الذهب المتدفقة إلى الدولة، مما يؤدي إلى زيادة الائتمان، والتضخم الدائم، والذي يعرف بالتضخم المتصاعد أو الزاحف، وهو عندما تزداد القدرة الشرائية بنسبة أكبر من زيادة المعروض من السلع وعوامل الإنتاج، وخاصة خدمات العمل، وهنا يكون التضخم ثابتًا إما بسبب زيادة الطلب على العرض أو زيادة الدخول النقدية، ويعرف تضخم الطلب بأنه ارتفاع حلزوني في الأسعار بسبب زيادة الطلب على العرض، أي أن هذا النوع ينشأ بسبب زيادة الدخول النقدية لدى الأفراد دون أي زيادة في الإنتاج، ونجد أن تضخم الطلب يحدث في زمن السلم نتيجة تفاؤل رجال الأعمال بالمستقبل، ويحدث التضخم أيضًا في الدول النامية عندما تنفق الحكومات على مشاريع التنمية التي تستغرق وقتًا طويلاً لاسترداد تكاليف بنائها، وفي حالة الحرب ورغم الدور الذي يلعبه التجار هنا كبير في زيادة التضخم، إلا أن الحكومة تعمل على زيادة الطلب والإنفاق الحكومي. وهناك أيضًا تضخم دفع التكاليف، والذي يحدث عندما يكون سبب الارتفاع الحلزوني للأسعار نتيجة لزيادة التكاليف، وخاصة زيادة الأجور. (العباس، 2018)</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يعتبر التضخم الجامح من أخطر الأنواع لأن الأسعار ترتفع بمعدل مرتفع جدًا، بحيث تنخفض قيمة النقود بدرجة كبيرة جدًا، وقد تصبح هذه النقود عديمة القيمة وغير مفيدة بعد فترة من الزمن، وهنا تكمن الخطورة. ومن أمثلة التضخم الجامح ما حدث في أمريكا قبل الحرب العالمية الأولى وأثناء الحرب الأهلية، وما حدث في ألمانيا وروسيا بعد الحرب العالمية الأولى، وما حدث في رومانيا والصين بعد الحرب العالمية الثانية. للتضخم آثار سلبية عديدة إلا أنه له بعض الآثار الإيجابية حيث يعمل على دفع عجلة التقدم والنمو إلى الأمام من خلال التغيرات في الأسعار ونهاية البطالة مع استمرار التضخم، ويعمل التضخم على تكوين المدخرات اللازمة للتنمية حيث يؤدي إلى التضخم الذي يعمل على زيادة الدخل بين الطبقات الغنية على حساب الطبقات الفقيرة، كما أن وجود النقابات العمالية جعل من الصعب العمل على خفض الأجور، وأيضا من خلال الادخار الإجباري حيث تعمل الدولة على تمويل التنمية من خلال زيادة إصدار النقود مما يؤدي إلى زيادة الائتمان بسبب زيادة الإقراض، ولمعالجة التضخم يتم كبح انخفاض القدرة الشرائية من خلال ترشيد الاستهلاك واتباع سياسة انكماشية في الدول من خلال تقليل الإنفاق الحكومي وتأجيل بعض الأنشطة الاقتصادية في الدولة. (</w:t>
      </w:r>
      <w:r w:rsidR="00446B2C" w:rsidRPr="00AD4645">
        <w:rPr>
          <w:rFonts w:ascii="Simplified Arabic" w:hAnsi="Simplified Arabic" w:cs="Simplified Arabic"/>
          <w:rtl/>
        </w:rPr>
        <w:t xml:space="preserve">معتوق </w:t>
      </w:r>
      <w:r w:rsidRPr="00AD4645">
        <w:rPr>
          <w:rFonts w:ascii="Simplified Arabic" w:hAnsi="Simplified Arabic" w:cs="Simplified Arabic"/>
          <w:rtl/>
        </w:rPr>
        <w:t>، 2015).</w:t>
      </w:r>
    </w:p>
    <w:p w:rsidR="00E52767" w:rsidRPr="00AD4645" w:rsidRDefault="00E52767" w:rsidP="0098206D">
      <w:pPr>
        <w:spacing w:line="360" w:lineRule="auto"/>
        <w:ind w:left="-337" w:right="993" w:firstLine="567"/>
        <w:rPr>
          <w:rFonts w:ascii="Simplified Arabic" w:hAnsi="Simplified Arabic" w:cs="Simplified Arabic"/>
          <w:b/>
          <w:bCs/>
          <w:sz w:val="28"/>
          <w:szCs w:val="28"/>
        </w:rPr>
      </w:pPr>
      <w:r w:rsidRPr="00AD4645">
        <w:rPr>
          <w:rFonts w:ascii="Simplified Arabic" w:hAnsi="Simplified Arabic" w:cs="Simplified Arabic"/>
          <w:b/>
          <w:bCs/>
          <w:sz w:val="28"/>
          <w:szCs w:val="28"/>
          <w:rtl/>
        </w:rPr>
        <w:t xml:space="preserve"> أسباب التضخم المستورد بالمملكة العربية السعودية</w:t>
      </w:r>
    </w:p>
    <w:p w:rsidR="00322AC3" w:rsidRPr="00AD4645" w:rsidRDefault="00E52767"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w:t>
      </w:r>
      <w:r w:rsidR="00322AC3" w:rsidRPr="00AD4645">
        <w:rPr>
          <w:rFonts w:ascii="Simplified Arabic" w:hAnsi="Simplified Arabic" w:cs="Simplified Arabic"/>
          <w:rtl/>
        </w:rPr>
        <w:t>ونعلم أن الاقتصاد السعودي منفتح على العالم الخارجي ولا توجد عليه أي قيود، مع قاعدة إنتاجية محدودة وطلب متزايد على السلع المستوردة، وكل ذلك يجعل اقتصاد المملكة عرضة لتأثير التضخم المستورد، إلى جانب بعض العوامل الأخرى، ومنها اختيار المملكة لنظام سعر الصرف الثابت وربط عملتها بالدولار، الذي قد يتغير مقابل العملات الأخرى، وخاصة اليورو والجنيه الإسترليني والين الياباني، فضلاً عن ارتفاع الأسعار في بلد المنشأ بسبب ارتفاع تكاليف الإنتاج أو زيادة الطلب عليها، وخاصة على السلع الأولية والمواد الخام والطاقة والموارد البشرية، فضلاً عن انخفاض مستوى ضبط الأسعار في الأسواق المحلية، فضلاً عن التأثيرات السعرية الناتجة عن عوامل خارجية تتعلق بظروف السوق الدولية، فضلاً عن ارتفاع أسعار الغذاء العالمية بسبب انخفاض إنتاج الحبوب العالمي وانخفاض المعروض الحقيقي منها، مع فرض بعض الدول المصدرة للمنتجات الزراعية رسوماً جمركية عالية وفرض قيود على صادراتها،ونضيف أيضاً ارتفاع مستوى المعيشة ومعدلات النمو في عدد من الدول التي تتعامل معها المملكة، وخاصة الصين والهند، في ظل ظهور طبقة من الأثرياء في البلدين لا يقل عددهم عن 300 مليون نسمة ينتمون إلى الطبقة المتوسطة لكنهم يتمتعون بقوة شرائية عالية، مما أدى إلى خلق طلب إضافي على الحبوب واللحوم، وبالتالي زيادة الطلب على القمح والأرز. وتشكل الألبان واللحوم أهم واردات المملكة. (الحنطي، 2011)</w:t>
      </w:r>
    </w:p>
    <w:p w:rsidR="00322AC3"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وكذلك توجه الدول الصناعية الكبرى لإنتاج الوقود الحيوي من القمح والذرة وفول الصويا، حيث اتجهت الولايات المتحدة والبرازيل ودول الاتحاد الأوروبي نحو مضاعفة إنتاج الوقود الحيوي الذي يبلغ حالياً أكثر من 10 مليون طن ومن المقرر أن يرتفع إلى 21 مليون طن قبل عام 2016، مع قيام الولايات المتحدة الأمريكية بخفض قيمة الدولار بهدف معالجة العجز المستمر والمتزايد في ميزانها التجاري، مما أدى إلى زيادة قيمة صادراتها إلى العالم الخارجي وكذلك ارتفاع أسعار النفط ومن ثم زيادة تضخم التكاليف في الدول المستوردة له بما في ذلك دول الاتحاد الأوروبي والولايات المتحدة الأمريكية والدول الغربية بشكل عام، وباعتبار أن معظم واردات المملكة من تلك الدول فإننا نستورد التضخم من تلك الدول التي ساهم النفط فيها بحصة كبيرة وهو ما يعرف بتضخم إعادة التصدير. (عبد القادر، 2014).</w:t>
      </w:r>
    </w:p>
    <w:p w:rsidR="00371659" w:rsidRPr="0098206D" w:rsidRDefault="00371659" w:rsidP="0098206D">
      <w:pPr>
        <w:spacing w:line="360" w:lineRule="auto"/>
        <w:ind w:left="-337" w:right="993" w:firstLine="567"/>
        <w:rPr>
          <w:rFonts w:ascii="Simplified Arabic" w:hAnsi="Simplified Arabic" w:cs="Simplified Arabic"/>
          <w:b/>
          <w:bCs/>
          <w:sz w:val="28"/>
          <w:szCs w:val="28"/>
        </w:rPr>
      </w:pPr>
      <w:r w:rsidRPr="0098206D">
        <w:rPr>
          <w:rFonts w:ascii="Simplified Arabic" w:hAnsi="Simplified Arabic" w:cs="Simplified Arabic"/>
          <w:b/>
          <w:bCs/>
          <w:sz w:val="28"/>
          <w:szCs w:val="28"/>
          <w:rtl/>
        </w:rPr>
        <w:t>مفهوم التضخم المستورد</w:t>
      </w:r>
      <w:r w:rsidRPr="0098206D">
        <w:rPr>
          <w:rFonts w:ascii="Simplified Arabic" w:hAnsi="Simplified Arabic" w:cs="Simplified Arabic"/>
          <w:b/>
          <w:bCs/>
          <w:sz w:val="28"/>
          <w:szCs w:val="28"/>
        </w:rPr>
        <w:t>:</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يعرف التضخم المستورد بأنه التضخم الذي يوجد في دولة ما ويحدث نتيجة ارتفاع الأسعار في الأسواق الخارجية التي تعتمد عليها الدولة المعنية في وارداتها، وتزداد مشكلة التضخم المستورد حدة في الدولة التي تعاني من درجة عالية من التعرض الاقتصادي في اقتصادها (الحناتي، 1996).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وترى بعض الدراسات أن التضخم المستورد هو شكل مستقل من أشكال التضخم ينتج عن تغير في العلاقات الاقتصادية الدولية لصالح أو ضد مصلحة الدول المعنية، حيث أن لكل دولة ميزان مدفوعاتها الخاص بها، والذي يمثل بياناً محاسبياً يعكس المعاملات الاقتصادية التي تتم بين المقيمين في دولة ما والمقيمين في دول أخرى خلال فترة زمنية محددة، عادة ما تكون سنة. لذلك فإن تبادل العلاقات الاقتصادية الدولية للدول المعنية مع بقية دول العالم، والذي يظهر على شكل فائض أو عجز في ميزان مدفوعاتها، قد يكون سبباً رئيسياً لما يسمى بالتضخم المستورد (مركز أضواء للدراسات والبحوث الاستراتيجية، 2013).</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وترى بعض الدراسات الأخرى أن التضخم المستورد يحدث عندما يعتمد اقتصاد الدولة بشكل كبير على السلع والخدمات المستوردة، مما يجعلها أكثر عرضة لهذا النوع من التضخم، ويزداد التأثير عليه عندما تكون الدولة المصدرة تعاني بالفعل من معدلات تضخم مرتفعة (عبد الجبار، 2006).</w:t>
      </w:r>
    </w:p>
    <w:p w:rsidR="00322AC3"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في حين ترى بعض الدراسات الأخرى أن التضخم المستورد يعد أحد المصادر الرئيسية لتأجيج عملية التضخم في الدول النامية، وخاصة الدول المصدرة للنفط، ويتوقف ذلك على الأهمية النسبية للواردات في الاقتصاد الوطني وطبيعة التركيب الهيكلي لهذه الواردات وكذلك طبيعة توجهها الجغرافي، فعندما تكون نسبة الواردات إلى إجمالي السلع المعروضة في السوق مرتفعة فإن التغير في أسعار السلع المستوردة في الدول المصدرة ينتقل إلى المستهلك في الدول المصدرة، مما يؤدي إلى ارتفاع الأسعار في الدولة المستوردة، ويظهر هذا التأثير بشكل أكثر وضوحاً في الدول النفطية التي تتميز بضعف مرونة نظام الإنتاج. (الدسوقي ، 2011).</w:t>
      </w: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Pr="00AD4645" w:rsidRDefault="00862542" w:rsidP="0098206D">
      <w:pPr>
        <w:spacing w:line="360" w:lineRule="auto"/>
        <w:ind w:left="-337" w:right="993" w:firstLine="567"/>
        <w:rPr>
          <w:rFonts w:ascii="Simplified Arabic" w:hAnsi="Simplified Arabic" w:cs="Simplified Arabic"/>
          <w:rtl/>
        </w:rPr>
      </w:pPr>
    </w:p>
    <w:p w:rsidR="00371659" w:rsidRPr="00862542" w:rsidRDefault="00371659"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 xml:space="preserve">أسباب التضخم المستورد بالمملكة العربية السعودية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ونظراً لطبيعة الاقتصاد السعودي المنفتح على العالم الخارجي والذي لا توجد عليه أي قيود على حركة السلع والخدمات، وفي ظل القاعدة الإنتاجية المحدودة والطلب المتزايد على السلع المستوردة، فإن ذلك يجعل اقتصاد المملكة العربية السعودية أكثر عرضة للتأثر بالتضخم المستورد، والذي يمكن إرجاعه إلى العوامل التالية: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 اختيار المملكة لنظام سعر الصرف الثابت وربطها الريال بالدولار، مما يترتب عليه أي تغير في سعر صرف الدولار أمام العملات الرئيسية في اتجاه معين، مما قد يترتب عليه تغير قيمة الريال أمام هذه العملات في الاتجاه ذاته، وهو ما لوحظ مؤخراً من انخفاض قيمة سعر صرف الريال أمام معظم العملات الرئيسية، وخاصة اليورو والجنيه الإسترليني والين الياباني (البسام، 2007)</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2/ ارتفاع الأسعار في بلد المنشأ بسبب ارتفاع تكاليف الإنتاج أو زيادة الطلب عليها، وخاصة بالنسبة للسلع الأولية والمواد الخام والطاقة والموارد البشرية، جونجمو (تشوي، 1985).</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3/ انخفاض مستوى الرقابة على الأسعار في الأسواق المحلية.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4/ التأثيرات السعرية الناتجة عن عوامل خارجية تتعلق بظروف السوق العالمية.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5/ ارتفاع أسعار الغذاء العالمية نتيجة لتراجع إنتاج الحبوب العالمي وانخفاض المعروض الحقيقي منها.</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6/ فرض بعض الدول المصدرة للمنتجات الزراعية رسوماً جمركية عالية وقيوداً على صادراتها.</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7/ ارتفاع مستوى المعيشة ومعدلات النمو في عدد من الدول التي تتعامل معها المملكة وخاصة الصين والهند في ظل ظهور طبقة من الأثرياء في كلا البلدين لا يقل عددهم عن 300 مليون نسمة ينتمون إلى الطبقة المتوسطة لكنهم يتمتعون بقوة شرائية عالية، مما أدى إلى خلق طلب إضافي على الحبوب واللحوم، وبالتالي زيادة الطلب على القمح والأرز ومنتجات الألبان واللحوم التي تمثل واردات أساسية للمملكة.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8/ توجه الدول الصناعية الكبرى نحو إنتاج الوقود الحيوي من القمح والذرة وفول الصويا، حيث اتجهت الولايات المتحدة والبرازيل ودول الاتحاد الأوروبي نحو مضاعفة إنتاج الوقود الحيوي الذي يبلغ حالياً أكثر من 10 مليون طن ومن المقرر أن يرتفع إلى 21 مليون طن قبل عام 2016.</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9/ قامت الولايات المتحدة الأمريكية بخفض قيمة الدولار بهدف معالجة العجز المستمر والمتزايد في ميزانها التجاري، مما أدى إلى زيادة قيمة صادراتها إلى العالم الخارجي. (الرويس، 2009)</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10/ ارتفاع أسعار النفط وبالتالي زيادة تضخم التكاليف في الدول المستوردة له، بما في ذلك دول الاتحاد الأوروبي والولايات المتحدة الأمريكية والدول الغربية بشكل عام، وباعتبار أن معظم واردات المملكة من تلك الدول، فإننا نستورد التضخم من تلك الدول، والتي ساهم النفط فيها بحصة كبيرة، وهو ما يعرف بتضخم إعادة التصدير. (بوزيان، لخديمي، 2012).</w:t>
      </w:r>
    </w:p>
    <w:p w:rsidR="00371659" w:rsidRPr="00862542" w:rsidRDefault="00371659"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مؤشرات التضخم المستورد</w:t>
      </w:r>
      <w:r w:rsidRPr="00862542">
        <w:rPr>
          <w:rFonts w:ascii="Simplified Arabic" w:hAnsi="Simplified Arabic" w:cs="Simplified Arabic"/>
          <w:b/>
          <w:bCs/>
          <w:sz w:val="28"/>
          <w:szCs w:val="28"/>
        </w:rPr>
        <w:t>:</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التضخم المستورد له عدد من المؤشرات الهامة والتي يمكن تلخيصها على النحو التالي:</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1/ ارتفاع متوسط </w:t>
      </w:r>
      <w:r w:rsidRPr="00AD4645">
        <w:rPr>
          <w:rFonts w:ascii="Simplified Arabic" w:hAnsi="Simplified Arabic" w:cstheme="majorBidi"/>
          <w:rtl/>
        </w:rPr>
        <w:t>​​</w:t>
      </w:r>
      <w:r w:rsidRPr="00AD4645">
        <w:rPr>
          <w:rFonts w:ascii="Simplified Arabic" w:hAnsi="Simplified Arabic" w:cs="Simplified Arabic"/>
          <w:rtl/>
        </w:rPr>
        <w:t>الميل للاستيراد: يشير ارتفاع نسبة الواردات إلى الناتج المحلي الإجمالي بالأسعار الجارية إلى التبعية الاقتصادية والاعتماد المتزايد على الخارج لتأمين السلع المختلفة.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2/ طبيعة التركيب الهيكلي للواردات: يشير هذا المفهوم إلى نوع وتركيبة الواردات، حيث وجد أن الدول التي تستورد مختلف السلع الغذائية والاستهلاكية وسلع المعدات والآلات والسلع الوسيطة تكون أكثر عرضة من غيرها للتضخم المستورد، وخاصة إذا كانت هذه الواردات مهمة ولا غنى عنها ولديها طلب غير مرن.</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3/ النمو المفرط في الواردات: إن زيادة كمية وقيمة الواردات من شأنها أن تؤثر إيجابا على مستويات التضخم المستورد في ظل ارتفاع مستوى الأسعار العالمية، وخاصة إذا كان المعروض من هذه السلع غير مرن في السوق العالمية.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4/ التحيز في التعامل مع الواردات مع الدول الصناعية المتقدمة: من المعروف أن الدول الصناعية (الولايات المتحدة – أوروبا الغربية – اليابان) هي أهم دول العالم من حيث إنتاج السلع الكمالية والمعدات والتكنولوجيا. 5/ مدى ارتفاع أسعار الواردات: بعد الصدمة النفطية التي تعرض لها العالم خلال الفترة 1973-1974 نتج عن ذلك ارتفاع تكاليف إنتاج المواد في العالم مما أدى إلى ارتفاع مفاجئ في أسعار المواد المختلفة (غذائية – استهلاكية – وسيطة...الخ) وذلك لأن النفط يدخل ضمن تكاليف إنتاج كافة السلع مما جعل الدول المستوردة تدفع ثمن ارتفاع تكاليف إنتاج المواد التي تستوردها وبالتالي ساهم ذلك في انتقال معدلات التضخم إليها. 6/ العلاقة التي توضح تأثير القوى الخارجية على مستوى الأسعار المحلية والتي يتم التعبير عنها بقسمة الخسائر الناتجة عن ارتفاع أسعار الواردات على إجمالي الإنفاق القومي بالأسعار الجارية كنسبة مئوية.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7/ طبيعة هيكل الواردات للدولة المستوردة: كلما كان تركيب هذا الهيكل يدل على وجود السلع الأساسية في هذا الهيكل من جهة، ومع زيادة حجم هذه الواردات من هذه السلع من جهة أخرى، كلما زادت فرصة تأثر هذه الدولة بالتضخم المستورد، ويمكن الاستدلال على ذلك من خلال ما يعرف بمرونة الطلب المحلي على الواردات، حيث أن ارتفاع هذه النسبة يعكس درجة الانفتاح الاقتصادي لاقتصاد المملكة على الاقتصاديات العالمية.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8/ درجة التعرض الاقتصادي: ومن خلالها يمكن الاستدلال على مدى انفتاح اقتصاد المملكة على الاقتصاد الدولي ومدى تأثير السياسات الاقتصادية الخارجية على اقتصاد المملكة، ويعبر عن هذا المؤشر بنسبة التجارة الخارجية إلى الناتج المحلي الإجمالي، والتي تدل على مدى تأثير ارتفاع أسعار الواردات على الأسعار المحلية، كما تدل في نفس الوقت على مدى حساسية اقتصاد المملكة بشكل متزايد للتضخم المستورد.</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9/ نسبة الامتصاص المحلي إلى الناتج القومي: وتمثل مدى قدرة النشاط الاقتصادي المحلي على تلبية احتياجات الإنفاق المحلي.</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10/ طبيعة التوزيع الجغرافي للواردات: وتعكس عدد الدول التي تستورد منها المملكة من جهة، وتعكس في ذات الوقت مستويات التضخم في هذه الدول من جهة أخرى (بويلان، وكادي، 1987).</w:t>
      </w:r>
    </w:p>
    <w:p w:rsidR="00371659" w:rsidRPr="00862542" w:rsidRDefault="00371659"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دور التضخم المستورد في تغذية الضغوط التضخمية بالمملكة العربية السعودية</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تزامن الدور المتزايد للتضخم المستورد عالمياً مع انفتاح الاقتصادات العربية النفطية، ومن بينها الاقتصاد السعودي، بدرجة غير مسبوقة على المستوى العالمي، وخاصة في ظل الاستيراد المكثف للسلع والخدمات. وبالإضافة إلى ذلك، من المرجح أن يعزز حجم وهيكل التجارة الخارجية للمملكة، وخاصة مكون الواردات، اتجاهات التضخم المستورد في المملكة. أما التضخم المستورد على مستوى المملكة فهو انعكاس للتطور الذي حدث في حجم التجارة الخارجية ودرجة الانفتاح الاقتصادي الذي شهدته المملكة في الفترة الأخيرة، باعتبار أن هذين العاملين قد عرضا السياسة الاقتصادية الداخلية للمملكة للتأثر بالتطورات الاقتصادية التي حدثت على المستوى الدولي من خلال مسار التجارة الدولية. ومما ساعد في هذا الأمر طبيعة النمط الاستهلاكي وطبيعة السوق في المملكة، والتي تقوم على التوسع في الواردات لتغطية احتياجات السوق المحلية في ظل الأهمية النسبية المتزايدة للواردات في الاقتصاد الوطني السعودي. ومن المعروف أن أسعار هذه المنتجات تلعب دوراً كبيراً في التأثير على مستوى الأسعار المحلية على مستوى المملكة، وخاصة إذا كانت أسعار هذه السلع مرتفعة في بلد المنشأ، والجدير بالذكر أن المملكة تعاني من التضخم المعروف بالتضخم المكبوت أو الخفي، والذي لا ترتفع فيه الأسعار بشكل كبير بسبب وجود الدعم الحكومي الذي تقدمه الحكومة السعودية، والجدير بالذكر أن ارتفاع معدل التضخم المستورد يتجلى بشكل رئيسي في مجموعة الأغذية والمشروبات ومجموعة السلع والخدمات الأخرى، والتي تشمل السلع الشخصية مثل مواد التنظيف والعناية الشخصية والهدايا والمجوهرات والساعات وغيرها، وهو ما ينعكس إيجاباً على معدلات التضخم المحلية (العجاجي، 2010).</w:t>
      </w:r>
    </w:p>
    <w:p w:rsidR="00371659" w:rsidRPr="00862542" w:rsidRDefault="00371659"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الآثار الاقتصادية للتضخم المستورد</w:t>
      </w:r>
      <w:r w:rsidRPr="00862542">
        <w:rPr>
          <w:rFonts w:ascii="Simplified Arabic" w:hAnsi="Simplified Arabic" w:cs="Simplified Arabic"/>
          <w:b/>
          <w:bCs/>
          <w:sz w:val="28"/>
          <w:szCs w:val="28"/>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تظهر آثار التضخم المستورد بصورة أكثر وضوحاً عندما تكون الدول المصدرة تعاني أصلاً من التضخم، حيث ينشأ عن ذلك انتقال التضخم من الدولة المصدرة إلى الدول المستوردة (القحطاني وآخرون، 2011)</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هذا وللتضخم المستورد عدد من الآثار والتداعيات من الناحية الاقتصادية والتي يمكن إيجازها على النحو التالي</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1/ارتفاع كلفة الاستثمار المحلي</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2/ارتفاع أسعار الأراضي والعقارات</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3/ المساهمة في زيادة درجة التفاوت في توزيع الدخل بين أفراد المجتمع السعودي</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4/النمو المفرط في قطاع الخدمات</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5/</w:t>
      </w:r>
      <w:r w:rsidRPr="00AD4645">
        <w:rPr>
          <w:rFonts w:ascii="Simplified Arabic" w:hAnsi="Simplified Arabic" w:cs="Simplified Arabic"/>
        </w:rPr>
        <w:t xml:space="preserve"> </w:t>
      </w:r>
      <w:r w:rsidRPr="00AD4645">
        <w:rPr>
          <w:rFonts w:ascii="Simplified Arabic" w:hAnsi="Simplified Arabic" w:cs="Simplified Arabic"/>
          <w:rtl/>
        </w:rPr>
        <w:t>زيادة العجز في ميزان المدفوعات</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6/ المساهمة في زيادة حجم المديونية الخارجية</w:t>
      </w:r>
      <w:r w:rsidRPr="00AD4645">
        <w:rPr>
          <w:rFonts w:ascii="Simplified Arabic" w:hAnsi="Simplified Arabic" w:cs="Simplified Arabic"/>
        </w:rPr>
        <w:t>.</w:t>
      </w:r>
    </w:p>
    <w:p w:rsidR="00371659" w:rsidRPr="00AD4645" w:rsidRDefault="00371659"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7/المساهمة في ارتفاع نفقات المعيشة وتناقص الدخول الحقيقية لأفراد المجتمع السعودي</w:t>
      </w:r>
      <w:r w:rsidRPr="00AD4645">
        <w:rPr>
          <w:rFonts w:ascii="Simplified Arabic" w:hAnsi="Simplified Arabic" w:cs="Simplified Arabic"/>
        </w:rPr>
        <w:t>.</w:t>
      </w:r>
    </w:p>
    <w:p w:rsidR="00371659" w:rsidRDefault="00371659"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8/زيادة درجة التبعية الاقتصادية للعالم الخارجي (صحيفة الاقتصادية الإلكترونية، 2010)</w:t>
      </w:r>
      <w:r w:rsidR="00862542">
        <w:rPr>
          <w:rFonts w:ascii="Simplified Arabic" w:hAnsi="Simplified Arabic" w:cs="Simplified Arabic" w:hint="cs"/>
          <w:rtl/>
        </w:rPr>
        <w:t>.</w:t>
      </w: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Default="00862542" w:rsidP="0098206D">
      <w:pPr>
        <w:spacing w:line="360" w:lineRule="auto"/>
        <w:ind w:left="-337" w:right="993" w:firstLine="567"/>
        <w:rPr>
          <w:rFonts w:ascii="Simplified Arabic" w:hAnsi="Simplified Arabic" w:cs="Simplified Arabic"/>
          <w:rtl/>
        </w:rPr>
      </w:pPr>
    </w:p>
    <w:p w:rsidR="00862542" w:rsidRPr="00AD4645" w:rsidRDefault="00862542" w:rsidP="0098206D">
      <w:pPr>
        <w:spacing w:line="360" w:lineRule="auto"/>
        <w:ind w:left="-337" w:right="993" w:firstLine="567"/>
        <w:rPr>
          <w:rFonts w:ascii="Simplified Arabic" w:hAnsi="Simplified Arabic" w:cs="Simplified Arabic"/>
        </w:rPr>
      </w:pPr>
    </w:p>
    <w:p w:rsidR="00E52767" w:rsidRPr="00862542" w:rsidRDefault="00A968D2" w:rsidP="0098206D">
      <w:pPr>
        <w:spacing w:line="360" w:lineRule="auto"/>
        <w:ind w:left="-337" w:right="993" w:firstLine="567"/>
        <w:rPr>
          <w:rFonts w:ascii="Simplified Arabic" w:hAnsi="Simplified Arabic" w:cs="Simplified Arabic"/>
          <w:b/>
          <w:bCs/>
          <w:sz w:val="28"/>
          <w:szCs w:val="28"/>
          <w:rtl/>
        </w:rPr>
      </w:pPr>
      <w:r w:rsidRPr="00862542">
        <w:rPr>
          <w:rFonts w:ascii="Simplified Arabic" w:hAnsi="Simplified Arabic" w:cs="Simplified Arabic"/>
          <w:b/>
          <w:bCs/>
          <w:sz w:val="28"/>
          <w:szCs w:val="28"/>
          <w:rtl/>
        </w:rPr>
        <w:t xml:space="preserve">المبحث الثاني : </w:t>
      </w:r>
      <w:r w:rsidR="00E52767" w:rsidRPr="00862542">
        <w:rPr>
          <w:rFonts w:ascii="Simplified Arabic" w:hAnsi="Simplified Arabic" w:cs="Simplified Arabic"/>
          <w:b/>
          <w:bCs/>
          <w:sz w:val="28"/>
          <w:szCs w:val="28"/>
          <w:rtl/>
        </w:rPr>
        <w:t>م</w:t>
      </w:r>
      <w:r w:rsidRPr="00862542">
        <w:rPr>
          <w:rFonts w:ascii="Simplified Arabic" w:hAnsi="Simplified Arabic" w:cs="Simplified Arabic"/>
          <w:b/>
          <w:bCs/>
          <w:sz w:val="28"/>
          <w:szCs w:val="28"/>
          <w:rtl/>
        </w:rPr>
        <w:t>اهية</w:t>
      </w:r>
      <w:r w:rsidR="00E52767" w:rsidRPr="00862542">
        <w:rPr>
          <w:rFonts w:ascii="Simplified Arabic" w:hAnsi="Simplified Arabic" w:cs="Simplified Arabic"/>
          <w:b/>
          <w:bCs/>
          <w:sz w:val="28"/>
          <w:szCs w:val="28"/>
          <w:rtl/>
        </w:rPr>
        <w:t xml:space="preserve"> البطالة :</w:t>
      </w:r>
    </w:p>
    <w:p w:rsidR="00322AC3" w:rsidRPr="00862542" w:rsidRDefault="00322AC3" w:rsidP="0098206D">
      <w:pPr>
        <w:spacing w:line="360" w:lineRule="auto"/>
        <w:ind w:left="-337" w:right="993" w:firstLine="567"/>
        <w:rPr>
          <w:rFonts w:ascii="Simplified Arabic" w:hAnsi="Simplified Arabic" w:cs="Simplified Arabic"/>
          <w:b/>
          <w:bCs/>
          <w:sz w:val="28"/>
          <w:szCs w:val="28"/>
          <w:rtl/>
        </w:rPr>
      </w:pPr>
      <w:r w:rsidRPr="00862542">
        <w:rPr>
          <w:rFonts w:ascii="Simplified Arabic" w:hAnsi="Simplified Arabic" w:cs="Simplified Arabic"/>
          <w:b/>
          <w:bCs/>
          <w:sz w:val="28"/>
          <w:szCs w:val="28"/>
          <w:rtl/>
        </w:rPr>
        <w:t>أولاً: مفهوم البطالة وأنواعها</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من الناحية النظرية، تُعرَّف البطالة بأنها عدد الأشخاص في سن العمل (16 سنة فأكثر) الذين لا يعملون، ولكنهم راغبون وقادرون على العمل، ويبحثون عن عمل. وبالتالي، هناك عناصر رئيسية في وصف من يعتبر عاطلاً عن العمل، وهي أن يكون الشخص في سن العمل، وكان يعمل أو هو وافد جديد إلى سوق العمل، أي عاطل عن العمل، وراغب وقادر على العمل، ويبحث عن فرص عمل أو كان يبحث عن عمل لفترة. (باركين، 2010)</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وعلى الرغم من وضوح المفهوم النظري، إلا أن الإحصاءات والحسابات الوطنية قد تختلف من دولة إلى أخرى في تحديد بعض العناصر مثل فترة البطالة، وفترة البحث عن عمل، والعمر. وعادة ما تقتصر بيانات البطالة على البحوث والمسوحات الأسرية التي تجريها المؤسسات الحكومية المسؤولة، أو البحوث والمسوحات للمنشآت، وكذلك سجلات مكتب العمل، بالإضافة إلى تقديرات إحصائية أخرى تعتمد على حجم السكان، والتركيبة العمرية، وحالة النمو الاقتصادي.</w:t>
      </w:r>
    </w:p>
    <w:p w:rsidR="005A0CC6"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ترتبط البطالة بالعديد من المشاكل الاجتماعية والثقافية، فهي تخلق ضغوطاً نفسية واجتماعية على العاطلين عن العمل وأسرهم، وقد تؤدي إلى اضطرابات اجتماعية أو تفتح الباب للانحرافات. ومن الناحية الاقتصادية تمثل البطالة إهداراً للطاقات الإنتاجية التي تم إعدادها وإنفاقها حتى تأهلت لسوق العمل، وبالتالي فإن عدم تشغيلها يمثل خسارة للإنتاج والدخل كان من الممكن تحقيقهما، بالإضافة إلى ما يترتب على ذلك من سوء توزيع الدخل والثروة في المجتمع. ومن هنا تحظى مشكلة البطالة باهتمام الساسة والاقتصاديين في الوقت نفسه، حيث يهتم الاقتصاديون بمستوى التشغيل والإنتاج والوصول بهما إلى مستوى التشغيل الكامل، وخاصة فيما يتعلق بعنصر العمل. وتمثل مشكلتا البطالة والتضخم طرفي دورة الأعمال التي تعيشها اقتصادات السوق، حيث تتناوب حالة البطالة والركود مع حالة التضخم والازدهار، وإن كان تزامنهما غير مستبعد في بعض الحالات، كما حدث في أواخر سبعينيات القرن الماضي، عندما شهد الاقتصاد العالمي ما عرف بظاهرة الركود التضخمي أو التضخم الركودي. تجدر الإشارة إلى أن التشغيل الكامل لا يعني الوصول بمعدل البطالة في الاقتصاد الوطني إلى الصفر، حيث يعرف الاقتصاديون مستوى التشغيل الكامل بأنه المستوى الذي يصل عنده معدل البطالة إلى ما يعرف بالمعدل الطبيعي، مما يعني وجود مستوى معين من البطالة يسمى المعدل الطبيعي للبطالة، وإذا تحقق يمكن القول بأن الاقتصاد قد وصل إلى مستوى التشغيل الكامل. (صمويلسون ونوردهاوس، 1998) وهذا في الواقع مرتبط بما يعرف بأنواع البطالة حسب مصادرها، حيث يقسم الاقتصاديون البطالة إلى: البطالة الاحتكاكية، الناتجة عن دوران العمالة، والبطالة الهيكلية الناتجة عن عدم التوافق بين مدخلات سوق العمل (عرض العمالة) واحتياجات سوق العمل (الطلب على العمالة)، ثم البطالة الدورية، أي الناتجة عن دورة الأعمال، وأحيانا يضاف إليها ما يعرف بالبطالة الموسمية الناتجة عن العمل في مواسم معينة دون غيرها على مدار العام (باركين، 2010).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وتنشأ البطالة الاحتكاكية عن الصعوبات والتكاليف المرتبطة بالبحث عن عمل، سواء في شكل جهد أو حتى تكاليف مالية مرتبطة بالبحث والاتصال والوقت اللازم لذلك، وقد تفرض بعض السياسات والإجراءات الحكومية صعوبات في الحصول على وظيفة أو عمل، كما في حالة فرض متطلبات أو مواصفات معينة على شاغلي الوظائف. ولكن المصدر الرئيسي للبطالة الاحتكاكية يأتي من قوة العمل نفسها، حيث يتنقل الأفراد باستمرار بين المناطق والمناطق والوظائف، أو خلال مراحل مختلفة من دورة الحياة.</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لذلك، وبغض النظر عن مستوى الأداء الاقتصادي، لا بد من وجود نسبة معينة من القوى العاملة في حالة من البطالة بسبب دوران العمالة التلقائي، والذي ينتج عنه الانتقال من وظيفة إلى أخرى أو من منصب إلى آخر، وغالبا ما يكون طوعيا</w:t>
      </w:r>
      <w:r w:rsidR="00412D59" w:rsidRPr="00AD4645">
        <w:rPr>
          <w:rFonts w:ascii="Simplified Arabic" w:hAnsi="Simplified Arabic" w:cs="Simplified Arabic"/>
          <w:rtl/>
        </w:rPr>
        <w:t>،</w:t>
      </w:r>
      <w:r w:rsidRPr="00AD4645">
        <w:rPr>
          <w:rFonts w:ascii="Simplified Arabic" w:hAnsi="Simplified Arabic" w:cs="Simplified Arabic"/>
          <w:rtl/>
        </w:rPr>
        <w:t xml:space="preserve"> بالإضافة إلى ذلك، فإن الدخول إلى سوق العمل أو العودة إليه يفرض استعدادات ومتطلبات ويتطلب بعض الوقت، سواء للداخلين الجدد حتى يحصلوا على الوظيفة المناسبة، أو لمن يعودون إلى العمل، مثل المرأة التي انسحبت من سوق العمل لأغراض عائلية ثم عادت إليه.</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أما البطالة الهيكلية، فمصدرها هو عدم التوافق أو التوافق بين مهارات الداخلين أو الباحثين عن عمل واحتياجات سوق العمل، والحاجة إلى التدريب واكتساب مهارات معينة، وعدم مرونة الأجور، وخاصة في الاتجاه النزولي. وأحيانا تكون البطالة الاحتكاكية بسبب نوع من التمييز، كما في حالة الجنس، بالإضافة إلى عدم التوافق الجغرافي. وقد تحدث البطالة الهيكلية أيضا بسبب اختلال التوازن بين الأجور السائدة والأجر المتوازن في السوق. </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إن البطالة البنيوية تنشأ عن الفجوة بين الطلب والعرض في سوق العمل، حيث يزداد الطلب على وظائف ومهارات معينة مع التقدم التكنولوجي والتغيرات في بيئة العمل، وينخفض </w:t>
      </w:r>
      <w:r w:rsidRPr="00AD4645">
        <w:rPr>
          <w:rFonts w:ascii="Simplified Arabic" w:hAnsi="Simplified Arabic" w:cstheme="majorBidi"/>
          <w:rtl/>
        </w:rPr>
        <w:t>​​</w:t>
      </w:r>
      <w:r w:rsidRPr="00AD4645">
        <w:rPr>
          <w:rFonts w:ascii="Simplified Arabic" w:hAnsi="Simplified Arabic" w:cs="Simplified Arabic"/>
          <w:rtl/>
        </w:rPr>
        <w:t>بالنسبة لبعض الوظائف والمهارات في وقت لا يستجيب فيه العرض لهذه التطورات بنفس السرعة. والبطالة الدورية هي نوع البطالة التي تنشأ عن انخفاض مستوى الناتج المحلي الإجمالي إلى ما دون مستواه المحتمل أو الممكن، وبالتالي ترتبط جزئياً بالطلب الكلي على العمالة، حيث يؤدي انخفاض معدل الاستثمار، أو انخفاض مستوى الطلب الكلي بشكل عام، وبالتالي معدل النمو الاقتصادي، بطبيعة الحال إلى نوع من الركود ومن ثم البطالة في معظم أجزاء الاقتصاد الوطني، ولا تتركز جغرافياً أو مهنياً</w:t>
      </w:r>
      <w:r w:rsidR="00412D59" w:rsidRPr="00AD4645">
        <w:rPr>
          <w:rFonts w:ascii="Simplified Arabic" w:hAnsi="Simplified Arabic" w:cs="Simplified Arabic"/>
          <w:rtl/>
        </w:rPr>
        <w:t xml:space="preserve"> </w:t>
      </w:r>
      <w:r w:rsidRPr="00AD4645">
        <w:rPr>
          <w:rFonts w:ascii="Simplified Arabic" w:hAnsi="Simplified Arabic" w:cs="Simplified Arabic"/>
          <w:rtl/>
        </w:rPr>
        <w:t xml:space="preserve"> يمثل المعدل الطبيعي للبطالة مجموع البطالة الاحتكاكية والبطالة الهيكلية، عندما يكون الناتج المحلي الإجمالي عند مستوى الناتج المحتمل. وهذا يعني أن أي اقتصاد معرض، في أي وقت من دورة الأعمال وبصرف النظر عن مستوى التشغيل والإنتاج، لمستوى أدنى من البطالة، والذي يختلف إلى حد ما بين البلدان. </w:t>
      </w:r>
      <w:r w:rsidRPr="00AD4645">
        <w:rPr>
          <w:rFonts w:ascii="Simplified Arabic" w:hAnsi="Simplified Arabic" w:cstheme="majorBidi"/>
          <w:rtl/>
        </w:rPr>
        <w:t>​​</w:t>
      </w:r>
      <w:r w:rsidRPr="00AD4645">
        <w:rPr>
          <w:rFonts w:ascii="Simplified Arabic" w:hAnsi="Simplified Arabic" w:cs="Simplified Arabic"/>
          <w:rtl/>
        </w:rPr>
        <w:t>ويعتمد المعدل الطبيعي للبطالة على التغيرات الديموغرافية، وخاصة نسبة العمال غير المهرة، وتكاليف البحث عن عمل بما في ذلك إعانات البطالة، والتغيرات الهيكلية في الاقتصاد الوطني مثل الانتقال إلى اقتصاد المعرفة والتغيرات في الحد الأدنى للأجور.</w:t>
      </w:r>
      <w:r w:rsidR="00446B2C" w:rsidRPr="00AD4645">
        <w:rPr>
          <w:rFonts w:ascii="Simplified Arabic" w:hAnsi="Simplified Arabic" w:cs="Simplified Arabic"/>
          <w:rtl/>
        </w:rPr>
        <w:t>( قدي ،2013 ، 66).</w:t>
      </w:r>
    </w:p>
    <w:p w:rsidR="001B16E3" w:rsidRPr="00862542" w:rsidRDefault="001B16E3"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ثانيًا</w:t>
      </w:r>
      <w:r w:rsidRPr="00862542">
        <w:rPr>
          <w:rFonts w:ascii="Simplified Arabic" w:hAnsi="Simplified Arabic" w:cs="Simplified Arabic"/>
          <w:b/>
          <w:bCs/>
          <w:sz w:val="28"/>
          <w:szCs w:val="28"/>
        </w:rPr>
        <w:t xml:space="preserve">: </w:t>
      </w:r>
      <w:r w:rsidRPr="00862542">
        <w:rPr>
          <w:rFonts w:ascii="Simplified Arabic" w:hAnsi="Simplified Arabic" w:cs="Simplified Arabic"/>
          <w:b/>
          <w:bCs/>
          <w:sz w:val="28"/>
          <w:szCs w:val="28"/>
          <w:rtl/>
        </w:rPr>
        <w:t>خصائص البطالة بين السعوديين</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تعتمد وسائل علاج البطالة وفعاليتها في المملكة على التشخيص الدقيق لخصائص وأبعاد المشكلة، فهي مشكلة اقتصادية بالدرجة الأولى، وفيما يلي أهم هذه الخصائص:</w:t>
      </w:r>
    </w:p>
    <w:p w:rsidR="00322AC3" w:rsidRPr="006119CD" w:rsidRDefault="00412D59" w:rsidP="0098206D">
      <w:pPr>
        <w:spacing w:line="360" w:lineRule="auto"/>
        <w:ind w:left="-337" w:right="993" w:firstLine="567"/>
        <w:rPr>
          <w:rFonts w:ascii="Simplified Arabic" w:hAnsi="Simplified Arabic" w:cs="Simplified Arabic"/>
          <w:b/>
          <w:bCs/>
          <w:sz w:val="28"/>
          <w:szCs w:val="28"/>
          <w:rtl/>
        </w:rPr>
      </w:pPr>
      <w:r w:rsidRPr="006119CD">
        <w:rPr>
          <w:rFonts w:ascii="Simplified Arabic" w:hAnsi="Simplified Arabic" w:cs="Simplified Arabic"/>
          <w:b/>
          <w:bCs/>
          <w:sz w:val="28"/>
          <w:szCs w:val="28"/>
          <w:rtl/>
        </w:rPr>
        <w:t xml:space="preserve">1/ </w:t>
      </w:r>
      <w:r w:rsidR="00322AC3" w:rsidRPr="006119CD">
        <w:rPr>
          <w:rFonts w:ascii="Simplified Arabic" w:hAnsi="Simplified Arabic" w:cs="Simplified Arabic"/>
          <w:b/>
          <w:bCs/>
          <w:sz w:val="28"/>
          <w:szCs w:val="28"/>
          <w:rtl/>
        </w:rPr>
        <w:t xml:space="preserve"> البطالة بين السعوديين هي بطالة هيكلية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يشير تطور معدلات البطالة على المستوى الوطني في المملكة إلى أنها تراوحت بين 4.3% عام 1999، و6.3% عام 2006، وانخفضت حتى استقرت عند 5.2% عام 2009. وأهم ما يمكن استخلاصه من هذه المعدلات أنها كانت مستقرة إلى حد كبير، ولم يصاحبها أي تقلبات حتى أثناء الأزمة المالية الأخيرة، حيث بلغت 5.7% عام 2009، على المستوى الوطني، وهو معدل منخفض مقارنة بما عانته الدول الصناعية في أعقاب الأزمة المالية الأخيرة (منظمة العمل الدولية، 2010).</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معدل البطالة على المستوى الكلي منخفض مقارنة بنظيره في الدول الصناعية التي ما زالت تعاني من تأثير الأزمة المالية التي أدت إلى حالة من الركود، ثم ارتفعت معدلات البطالة إلى معدلات تجاوزت 10% في بعض الدول، وإن كانت بدأت بالانخفاض مع تطبيق السياسات المالية التوسعية في تلك الدول وبداية حالة التعافي.</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وهذا يعني أن مشكلة البطالة في المملكة ليست حادة على المستوى الوطني واستقرت حول معدلات تتراوح بين 4.3% - 6.3% على مدى فترة طويلة (1999-2010)، وهذا يعني أنه على المستوى الكلي لا توجد مشكلة بطالة مرتبطة بالدرجة الأولى بمستوى النشاط الاقتصادي، حيث استطاعت المملكة من خلال الطلب الكلي والإنفاق العام بشكل خاص تحقيق الاستقرار الاقتصادي خلال سنوات الأزمة المالية ومن ثم؛ وبالتالي فإن الاقتصاد السعودي لا يعاني من مشكلة البطالة الدورية على المستوى الوطني، والبطالة بين السعوديين ترجع بالدرجة الأولى إلى اختلالات حادة في سوق العمل وفجوات بين الطلب والعرض من القوى العاملة السعودية. ويتضح ذلك من شدة مشكلة البطالة بين السعوديين، حيث استمرت في الارتفاع من 8.1% عام 1999 إلى 10.5% عام 2009، في حين بلغت ذروتها عام 2006 بمعدل 12%، حيث يزيد هذا المعدل عن ضعف معدل البطالة على المستوى الوطني، رغم أنه كان خلال سنوات الطفرة، مما يؤكد أن البطالة بين السعوديين هي بطالة هيكلية في معظمها، وليست بطالة دورية مرتبطة بشكل مباشر بحالة النمو الاقتصادي.. إيفانز ومكورميك، (1994)</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ولا يوجد دليل أفضل على ذلك من أنها ظلت مرتفعة حتى خلال الفترات التي شهدت ارتفاع أسعار النفط العالمية، والتي سبقت الأزمة المالية الأخيرة، حيث بلغ معدل البطالة على المستوى الوطني 12% عام 2006</w:t>
      </w:r>
      <w:r w:rsidR="00412D59" w:rsidRPr="00AD4645">
        <w:rPr>
          <w:rFonts w:ascii="Simplified Arabic" w:hAnsi="Simplified Arabic" w:cs="Simplified Arabic"/>
          <w:rtl/>
        </w:rPr>
        <w:t>.</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سجل هذا المعدل معدلاً غير مسبوق بين الشباب، حيث بلغ 31.8% خلال العام نفسه</w:t>
      </w:r>
      <w:r w:rsidR="00412D59" w:rsidRPr="00AD4645">
        <w:rPr>
          <w:rFonts w:ascii="Simplified Arabic" w:hAnsi="Simplified Arabic" w:cs="Simplified Arabic"/>
          <w:rtl/>
        </w:rPr>
        <w:t>،</w:t>
      </w:r>
      <w:r w:rsidRPr="00AD4645">
        <w:rPr>
          <w:rFonts w:ascii="Simplified Arabic" w:hAnsi="Simplified Arabic" w:cs="Simplified Arabic"/>
          <w:rtl/>
        </w:rPr>
        <w:t xml:space="preserve">وفي اقتصاد مثل الاقتصاد السعودي الذي يبلغ عدد سكانه 27.14 مليون نسمة (2010) ويعمل في مؤسساته وقطاعاته نحو 8.6 مليون عامل، حيث يتقاعد آلاف العمال سنويا ويدخل سوق العمل سنويا عدد مماثل أو أكثر، يعمل كل هؤلاء في نحو 800 ألف منشأة تجارية تنتج سلعا وخدمات تقدر بنحو 841.2 مليار ريال (بأسعار 2009 الثابتة). </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وبعض هذه المنشآت تخرج من العمل وبعضها يدخل سوق العمل لأول مرة وبعضها يوسع نشاطه. وكل هذه العمليات والتطورات تخلق احتكاكات وحركات لا يمكن تجنبها، مما يخلق نوعا من البطالة الهيكلية. إن وجود حد أدنى من البطالة (الاحتكاكية والبنيوية) يسميه الاقتصاديون معدل البطالة الطبيعي الذي تستطيع الاقتصادات الوطنية التعايش معه لا يشكل خلافاً بين الاقتصاديين، لكنه يعد مرتفعاً بين السعوديين، وذلك بسبب العوامل الديموغرافية التي دفعت أعداداً كبيرة من الشباب إلى سوق العمل بعد عصر النفط الأول، بالإضافة إلى التشرذم الصارخ في سوق العمل، وطول فترة الانتظار أو التعايش مع البطالة، وهو ما يشكل بعداً آخر للبطالة بين السعوديين في المملكة.</w:t>
      </w:r>
    </w:p>
    <w:p w:rsidR="001B16E3" w:rsidRPr="00862542" w:rsidRDefault="00412D59" w:rsidP="0098206D">
      <w:pPr>
        <w:spacing w:line="360" w:lineRule="auto"/>
        <w:ind w:left="-337" w:right="993" w:firstLine="567"/>
        <w:rPr>
          <w:rFonts w:ascii="Simplified Arabic" w:hAnsi="Simplified Arabic" w:cs="Simplified Arabic"/>
          <w:b/>
          <w:bCs/>
          <w:sz w:val="28"/>
          <w:szCs w:val="28"/>
        </w:rPr>
      </w:pPr>
      <w:r w:rsidRPr="00862542">
        <w:rPr>
          <w:rFonts w:ascii="Simplified Arabic" w:hAnsi="Simplified Arabic" w:cs="Simplified Arabic"/>
          <w:b/>
          <w:bCs/>
          <w:sz w:val="28"/>
          <w:szCs w:val="28"/>
          <w:rtl/>
        </w:rPr>
        <w:t xml:space="preserve">2/ </w:t>
      </w:r>
      <w:r w:rsidR="001B16E3" w:rsidRPr="00862542">
        <w:rPr>
          <w:rFonts w:ascii="Simplified Arabic" w:hAnsi="Simplified Arabic" w:cs="Simplified Arabic"/>
          <w:b/>
          <w:bCs/>
          <w:sz w:val="28"/>
          <w:szCs w:val="28"/>
        </w:rPr>
        <w:t xml:space="preserve"> </w:t>
      </w:r>
      <w:r w:rsidR="001B16E3" w:rsidRPr="00862542">
        <w:rPr>
          <w:rFonts w:ascii="Simplified Arabic" w:hAnsi="Simplified Arabic" w:cs="Simplified Arabic"/>
          <w:b/>
          <w:bCs/>
          <w:sz w:val="28"/>
          <w:szCs w:val="28"/>
          <w:rtl/>
        </w:rPr>
        <w:t>تجزئة سوق العمل</w:t>
      </w:r>
    </w:p>
    <w:p w:rsidR="00412D59" w:rsidRPr="00AD4645" w:rsidRDefault="00322AC3" w:rsidP="0098206D">
      <w:pPr>
        <w:spacing w:line="360" w:lineRule="auto"/>
        <w:ind w:left="-337" w:right="993" w:firstLine="567"/>
        <w:rPr>
          <w:rFonts w:ascii="Simplified Arabic" w:hAnsi="Simplified Arabic" w:cs="Simplified Arabic"/>
          <w:b/>
          <w:bCs/>
          <w:rtl/>
        </w:rPr>
      </w:pPr>
      <w:r w:rsidRPr="00AD4645">
        <w:rPr>
          <w:rFonts w:ascii="Simplified Arabic" w:hAnsi="Simplified Arabic" w:cs="Simplified Arabic"/>
          <w:rtl/>
        </w:rPr>
        <w:t xml:space="preserve">يتسم سوق العمل السعودي بمجموعة من الاختلالات التي انعكست بدورها على معدلات التشغيل والبطالة بين السعوديين. وأول مظاهر الاختلال هو ارتفاع معدل مشاركة الأجانب في القوى العاملة، على الرغم من الجهود التي تبذلها الحكومة للحد من استقدام العمالة الأجنبية وتشجيع السعوديين على الالتحاق بسوق العمل في القطاع الخاص. إلا أن القوى العاملة الأجنبية لا تزال تفوق نظيرتها السعودية. ففي حين بلغ عدد الأجانب 4.324 مليون فرد، يمثلون 50.2%، بلغ عدد القوى العاملة السعودية 4.286 مليون فرد، يمثلون 49.8% في عام 2009. </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مسح القوى العاملة، (2009).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ومن ناحية أخرى، يتركز العمال السعوديون في الحكومة، حيث يمثلون 90% من المشتغلين في عام 2009، بينما يتركز العمال الوافدون في القطاع الخاص، حيث يمثلون أكثر من 90.1% من المشتغلين في عام 2009. (الجدول رقم 4)</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ومما يؤكد الطبيعة الهيكلية للبطالة بين السعوديين هو التشرذم الواضح الناتج عن رغبة السعوديين الشديدة في العمل في الجهاز الحكومي. في حين يلاحظ التوجه الواضح للقطاع الخاص واعتماده الشديد على العمالة الأجنبية التي تعمل بأجور منخفضة نسبياً، وفي ظروف عمل غير جاذبة للسعوديين، حيث يبلغ متوسط </w:t>
      </w:r>
      <w:r w:rsidRPr="00AD4645">
        <w:rPr>
          <w:rFonts w:ascii="Simplified Arabic" w:hAnsi="Simplified Arabic" w:cstheme="majorBidi"/>
          <w:rtl/>
        </w:rPr>
        <w:t>​​</w:t>
      </w:r>
      <w:r w:rsidRPr="00AD4645">
        <w:rPr>
          <w:rFonts w:ascii="Simplified Arabic" w:hAnsi="Simplified Arabic" w:cs="Simplified Arabic"/>
          <w:rtl/>
        </w:rPr>
        <w:t xml:space="preserve">أجر السعوديين حوالي 3.6 أضعاف أجر الأجانب، وبالتالي يشكل السعوديون 92% من القوى العاملة في الجهاز الحكومي، و13% فقط من القوى العاملة في القطاع الخاص. ورغم أن الاقتصاد السعودي شهد توسعاً كبيراً في بعض القطاعات مثل تجارة الجملة والتجزئة والصناعات التحويلية والبناء، وهي من أكبر القطاعات استيعاباً للعمالة بعد الإدارة العامة، إلا أنها غير جاذبة للسعوديين، حيث بلغت مشاركتها نحو 21% و22.6% و10% من إجمالي عدد العاملين في هذه الأنشطة على التوالي في عام 2009 (سام، 2010).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ويتأكد هذا من خلال حقيقة أن الزيادة السنوية في فرص العمل، والتي بلغت 19.100 فرصة عمل في عام 2009، لم تساعد في خفض معدل البطالة، وذلك لأن غالبية هذه الزيادة تم استيعابها في قطاع البناء، بفضل مشاريع البناء العملاقة التي تنفذها الحكومة من الميزانية العامة، إلا أن هذا القطاع ليس جاذباً للسعوديين بطبيعة الحال لأنه يتطلب عمالة مهرة وفنيين ومهندسين، بالإضافة إلى ظروف العمل غير المواتية للسعوديين (</w:t>
      </w:r>
      <w:r w:rsidRPr="00AD4645">
        <w:rPr>
          <w:rFonts w:ascii="Simplified Arabic" w:hAnsi="Simplified Arabic" w:cs="Simplified Arabic"/>
        </w:rPr>
        <w:t>ILO G20 Country Briefs, 2010</w:t>
      </w:r>
      <w:r w:rsidRPr="00AD4645">
        <w:rPr>
          <w:rFonts w:ascii="Simplified Arabic" w:hAnsi="Simplified Arabic" w:cs="Simplified Arabic"/>
          <w:rtl/>
        </w:rPr>
        <w:t>). ومن الواضح أن جهود الحكومة لم تسفر عن أي نجاحات ملحوظة في مجال توطين العمالة في القطاع الخاص، حيث كانت نسبة العمالة الوافدة إلى إجمالي عدد العاملين في القطاع الخاص في تزايد. (ساما، 2010)</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وبالتالي أصبح القطاع الحكومي الملاذ الآمن للقوى العاملة السعودية، بما يتمتع به من مستويات دخل أعلى ومزايا أفضل وظروف عمل أكثر ملاءمة للسعوديين. وفي حين وجد القطاع الخاص طريقه إلى الخارج؛ فإن الأسواق المحيطة مكتظة بالسكان، وبها قوة عاملة مدربة ورخيصة، وتتمتع بثقافة عمل متوافقة مع عمل القطاع الخاص، بما في ذلك المهارات والجدية والانضباط. وهي القيم التي يحملها هؤلاء العمال، وخاصة من البلدان ذات التاريخ الأطول في التصنيع والتنمية، مثل كوريا الجنوبية والفلبين وإندونيسيا وتركيا ومصر</w:t>
      </w:r>
      <w:r w:rsidR="00412D59" w:rsidRPr="00AD4645">
        <w:rPr>
          <w:rFonts w:ascii="Simplified Arabic" w:hAnsi="Simplified Arabic" w:cs="Simplified Arabic"/>
          <w:rtl/>
        </w:rPr>
        <w:t>،</w:t>
      </w:r>
      <w:r w:rsidRPr="00AD4645">
        <w:rPr>
          <w:rFonts w:ascii="Simplified Arabic" w:hAnsi="Simplified Arabic" w:cs="Simplified Arabic"/>
          <w:rtl/>
        </w:rPr>
        <w:t xml:space="preserve"> وهذا يوضح بوضوح تجزئة سوق العمل في المملكة.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ففي حين تتركز العمالة الوطنية في القطاع الحكومي، يعتمد القطاع الخاص على العمالة الوافدة. والأسباب والدوافع واضحة، حيث استغلت الحكومة عائدات النفط لرفع مستوى معيشة المواطنين من خلال توظيفهم في الحكومة والقطاع العام كأداة لرفع مستوى الرفاه ووسيلة لتوزيع الفوائض المالية من الثروة النفطية، وفي الوقت نفسه اتجه القطاع الخاص إلى الأسواق المحيطة المكتظة بالسكان والمزودة بقوى عاملة مدربة لتلبية احتياجاته من العمالة الوافدة بأجور أقل بكثير من تلك الموجودة في الحكومة والقطاع العام. (2010، فورستنليشنر، وروتليدج)</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وقد ساعد هذا النوع من التشرذم في سوق العمل على زيادة معدلات البطالة السائدة بين المواطنين على وجه الخصوص، وهي نتيجة منطقية لتزايد أعداد الداخلين الجدد من الشباب السعوديين إلى سوق العمل واستعدادهم للانتظار لفترات طويلة حتى تأتي الفرصة، أو الانسحاب من سوق العمل كما هو الحال بالنسبة للنساء. </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ومع توسع القطاع الحكومي وصعوبة مواجهة ضغوط السوق في القطاع الخاص الذي يدار على أسس اقتصادية ويهدف إلى تعظيم الأرباح، فإن فرص العمل لم تمثل منفذاً لامتصاص قدر مناسب من الزيادة في القوى العاملة السعودية.</w:t>
      </w:r>
    </w:p>
    <w:p w:rsidR="006119CD" w:rsidRDefault="00322AC3" w:rsidP="006119C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وهذا يعكس أحد الاختلالات في سوق العمل في المملكة، وبين السعوديين على وجه الخصوص، والطبيعة الهيكلية للبطالة بين السعوديين، حيث يتزايد الطلب على العمالة الفنية كالمهندسين والفنيين والعمالة الماهرة، وخاصة في الشركات التي تنفذ مشاريع استثمارية حكومية، والتي لم يستجب لها العرض بالسرعة المطلوبة، حيث كانت استجابة الشباب لتنمية مهاراتهم محدودة. </w:t>
      </w:r>
    </w:p>
    <w:p w:rsidR="00322AC3" w:rsidRPr="006119CD" w:rsidRDefault="006119CD" w:rsidP="006119CD">
      <w:pPr>
        <w:spacing w:line="360" w:lineRule="auto"/>
        <w:ind w:left="-337" w:right="993" w:firstLine="567"/>
        <w:rPr>
          <w:rFonts w:ascii="Simplified Arabic" w:hAnsi="Simplified Arabic" w:cs="Simplified Arabic"/>
          <w:b/>
          <w:bCs/>
          <w:sz w:val="28"/>
          <w:szCs w:val="28"/>
          <w:rtl/>
        </w:rPr>
      </w:pPr>
      <w:r w:rsidRPr="006119CD">
        <w:rPr>
          <w:rFonts w:ascii="Simplified Arabic" w:hAnsi="Simplified Arabic" w:cs="Simplified Arabic" w:hint="cs"/>
          <w:b/>
          <w:bCs/>
          <w:sz w:val="28"/>
          <w:szCs w:val="28"/>
          <w:rtl/>
        </w:rPr>
        <w:t xml:space="preserve">3/ </w:t>
      </w:r>
      <w:r w:rsidR="00322AC3" w:rsidRPr="006119CD">
        <w:rPr>
          <w:rFonts w:ascii="Simplified Arabic" w:hAnsi="Simplified Arabic" w:cs="Simplified Arabic"/>
          <w:b/>
          <w:bCs/>
          <w:sz w:val="28"/>
          <w:szCs w:val="28"/>
          <w:rtl/>
        </w:rPr>
        <w:t>وجود فجوة في معدل البطالة بين الإناث والذكور</w:t>
      </w:r>
      <w:r w:rsidR="00412D59" w:rsidRPr="006119CD">
        <w:rPr>
          <w:rFonts w:ascii="Simplified Arabic" w:hAnsi="Simplified Arabic" w:cs="Simplified Arabic"/>
          <w:b/>
          <w:bCs/>
          <w:sz w:val="28"/>
          <w:szCs w:val="28"/>
          <w:rtl/>
        </w:rPr>
        <w:t>.</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كما أن من أهم سمات ظاهرة البطالة بين السعوديين في المملكة وجود فجوة بين معدلات البطالة بين الإناث والذكور، فبينما كانت البطالة بين الإناث 3 أضعاف البطالة بين الذكور خلال الفترة 2006-2008، اتسعت الفجوة بشكل كبير في عام 2008 لتصل إلى 4 أضعاف. في حين ارتفع معدل البطالة بين الإناث إلى 26.9%، ارتفع معدل البطالة بين الذكور بنسبة محدودة (0.2 نقطة مئوية) ليصل إلى 6.8%، وهو خلل هيكلي واضح يعكس إلى حد كبير تقلص فرص العمل للنساء، وتزايد أعداد الداخلين الجدد إلى سوق العمل، والذي من المتوقع أن يستمر في السنوات القادمة، وخاصة بين خريجات </w:t>
      </w:r>
      <w:r w:rsidRPr="00AD4645">
        <w:rPr>
          <w:rFonts w:ascii="Simplified Arabic" w:hAnsi="Simplified Arabic" w:cstheme="majorBidi"/>
          <w:rtl/>
        </w:rPr>
        <w:t>​​</w:t>
      </w:r>
      <w:r w:rsidRPr="00AD4645">
        <w:rPr>
          <w:rFonts w:ascii="Simplified Arabic" w:hAnsi="Simplified Arabic" w:cs="Simplified Arabic"/>
          <w:rtl/>
        </w:rPr>
        <w:t>الجامعات السعوديات، وتزايد رغبة الأسر في توظيف الخريجات. (منظمة العمل الدولية، 2010 أ)</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ويمكن تفسير هذه الاتجاهات في ضوء خصائص سوق العمل، وخاصة انخفاض نسبة الإناث في قوة العمل، والتي بلغت 15% في عام 2009، وذلك بسبب عاملين رئيسيين: هيمنة الذكور على العمالة الأجنبية، والقوى الديموغرافية المحلية.</w:t>
      </w:r>
    </w:p>
    <w:p w:rsidR="00322AC3" w:rsidRPr="00324B26" w:rsidRDefault="00324B26" w:rsidP="0098206D">
      <w:pPr>
        <w:spacing w:line="360" w:lineRule="auto"/>
        <w:ind w:left="-337" w:right="993" w:firstLine="567"/>
        <w:rPr>
          <w:rFonts w:ascii="Simplified Arabic" w:hAnsi="Simplified Arabic" w:cs="Simplified Arabic"/>
          <w:b/>
          <w:bCs/>
          <w:sz w:val="28"/>
          <w:szCs w:val="28"/>
          <w:rtl/>
        </w:rPr>
      </w:pPr>
      <w:r w:rsidRPr="00324B26">
        <w:rPr>
          <w:rFonts w:ascii="Simplified Arabic" w:hAnsi="Simplified Arabic" w:cs="Simplified Arabic" w:hint="cs"/>
          <w:b/>
          <w:bCs/>
          <w:sz w:val="28"/>
          <w:szCs w:val="28"/>
          <w:rtl/>
        </w:rPr>
        <w:t>4</w:t>
      </w:r>
      <w:r w:rsidR="00412D59" w:rsidRPr="00324B26">
        <w:rPr>
          <w:rFonts w:ascii="Simplified Arabic" w:hAnsi="Simplified Arabic" w:cs="Simplified Arabic"/>
          <w:b/>
          <w:bCs/>
          <w:sz w:val="28"/>
          <w:szCs w:val="28"/>
          <w:rtl/>
        </w:rPr>
        <w:t xml:space="preserve">/ </w:t>
      </w:r>
      <w:r w:rsidR="00322AC3" w:rsidRPr="00324B26">
        <w:rPr>
          <w:rFonts w:ascii="Simplified Arabic" w:hAnsi="Simplified Arabic" w:cs="Simplified Arabic"/>
          <w:b/>
          <w:bCs/>
          <w:sz w:val="28"/>
          <w:szCs w:val="28"/>
          <w:rtl/>
        </w:rPr>
        <w:t xml:space="preserve"> ارتفاع معدل البطالة بين الشباب والداخلين الجدد إلى سوق العمل</w:t>
      </w:r>
    </w:p>
    <w:p w:rsidR="00322AC3"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يمكن القول أن إحدى السمات الرئيسية للبطالة في المملكة العربية السعودية هي تركيزها بين الداخلين الجدد من الشباب، والعائدين، وخاصة النساء. وعلى النقيض مما يحدث في الاقتصادات المتقدمة، فإن من يفقدون وظائفهم يمثلون النسبة الأكبر بين فئات البطالة التي تشمل الداخلين الجدد والعائدين، ومن يفقدون وظائفهم، ومن يتركون العمل. وتعكس هذه الظاهرة التغير الديموغرافي الذي شهدته البلاد منذ منتصف السبعينيات وأوائل التسعينيات من القرن الماضي، وما رافقه من طفرة أدت إلى زيادة معدل المواليد، الذي أصبح مع بداية الألفية الثالثة وحتى الآن من الشباب في سن العمل، الذين تخرجوا من الجامعات أو أكملوا سنوات التعليم الثانوي والفني ودخلوا سوق العمل، في وقت لم تحدث فيه تحولات هيكلية كافية في الاقتصاد الوطني لاستيعاب هؤلاء الداخلين الجدد، في قطاعات تستوعب العمالة، مثل الصناعات التحويلية، وتشبع القطاع الحكومي بالعمالة السعودية، واستمرار تفضيل القطاع الخاص للعمالة الأجنبية. وتكمن خطورة هذه الخاصية في طول الفترة التي قد يظل فيها هؤلاء الشباب عاطلين عن العمل، حيث تتزايد معاناتهم مع مرور الوقت، وقد يفقدون حماسهم، خاصة مع غياب برامج التدريب التأهيلي المتقدمة أو التدريب التحويلي التي تساعدهم على التكيف مع فرص العمل التي قد تتاح في القطاع الخاص، بالإضافة إلى مشكلة فجوة الأجور بين الحكومة ومؤسسات الأعمال التي تسعى إلى تعظيم الربح وربط الأجور بالإنتاجية، وتوافر إمدادات كافية من العمالة الأجنبية ذات المهارات العالية والأجور المنخفضة. وبذلك شهدت ظاهرة البطالة في المملكة ارتفاعاً في معدلها بين الشباب الذين تتراوح أعمارهم بين 20 و40 عاماً، ليصل إلى 30.2%، وهو ما يعادل ثلاثة أضعاف معدل البطالة بين السعوديين عموماً. ولم يشهد هذا المعدل أي تحسن ملموس في السنوات الأخيرة، حيث بلغ 31.8% في عام 2006، ثم انخفض إلى 29%، و27.8% في عامي 2007، و2008 على التوالي، ثم ارتفع مرة أخرى حتى تجاوز 30% بين الشباب. (منظمة العمل الدولية، 2011، ص49).</w:t>
      </w:r>
    </w:p>
    <w:p w:rsidR="00324B26" w:rsidRDefault="00324B26" w:rsidP="0098206D">
      <w:pPr>
        <w:spacing w:line="360" w:lineRule="auto"/>
        <w:ind w:left="-337" w:right="993" w:firstLine="567"/>
        <w:rPr>
          <w:rFonts w:ascii="Simplified Arabic" w:hAnsi="Simplified Arabic" w:cs="Simplified Arabic"/>
          <w:rtl/>
        </w:rPr>
      </w:pPr>
    </w:p>
    <w:p w:rsidR="00324B26" w:rsidRPr="00AD4645" w:rsidRDefault="00324B26" w:rsidP="0098206D">
      <w:pPr>
        <w:spacing w:line="360" w:lineRule="auto"/>
        <w:ind w:left="-337" w:right="993" w:firstLine="567"/>
        <w:rPr>
          <w:rFonts w:ascii="Simplified Arabic" w:hAnsi="Simplified Arabic" w:cs="Simplified Arabic"/>
          <w:rtl/>
        </w:rPr>
      </w:pPr>
    </w:p>
    <w:p w:rsidR="001B16E3" w:rsidRPr="00324B26" w:rsidRDefault="00324B26" w:rsidP="0098206D">
      <w:pPr>
        <w:spacing w:line="360" w:lineRule="auto"/>
        <w:ind w:left="-337" w:right="993" w:firstLine="567"/>
        <w:rPr>
          <w:rFonts w:ascii="Simplified Arabic" w:hAnsi="Simplified Arabic" w:cs="Simplified Arabic"/>
          <w:b/>
          <w:bCs/>
          <w:sz w:val="28"/>
          <w:szCs w:val="28"/>
        </w:rPr>
      </w:pPr>
      <w:r w:rsidRPr="00324B26">
        <w:rPr>
          <w:rFonts w:ascii="Simplified Arabic" w:hAnsi="Simplified Arabic" w:cs="Simplified Arabic" w:hint="cs"/>
          <w:b/>
          <w:bCs/>
          <w:sz w:val="28"/>
          <w:szCs w:val="28"/>
          <w:rtl/>
        </w:rPr>
        <w:t>5</w:t>
      </w:r>
      <w:r w:rsidR="00412D59" w:rsidRPr="00324B26">
        <w:rPr>
          <w:rFonts w:ascii="Simplified Arabic" w:hAnsi="Simplified Arabic" w:cs="Simplified Arabic"/>
          <w:b/>
          <w:bCs/>
          <w:sz w:val="28"/>
          <w:szCs w:val="28"/>
          <w:rtl/>
        </w:rPr>
        <w:t>/</w:t>
      </w:r>
      <w:r w:rsidR="001B16E3" w:rsidRPr="00324B26">
        <w:rPr>
          <w:rFonts w:ascii="Simplified Arabic" w:hAnsi="Simplified Arabic" w:cs="Simplified Arabic"/>
          <w:b/>
          <w:bCs/>
          <w:sz w:val="28"/>
          <w:szCs w:val="28"/>
        </w:rPr>
        <w:t xml:space="preserve"> </w:t>
      </w:r>
      <w:r w:rsidR="001B16E3" w:rsidRPr="00324B26">
        <w:rPr>
          <w:rFonts w:ascii="Simplified Arabic" w:hAnsi="Simplified Arabic" w:cs="Simplified Arabic"/>
          <w:b/>
          <w:bCs/>
          <w:sz w:val="28"/>
          <w:szCs w:val="28"/>
          <w:rtl/>
        </w:rPr>
        <w:t>انخفاض معدل المشاركة في قوة العمل</w:t>
      </w:r>
    </w:p>
    <w:p w:rsidR="00A968D2"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معدل مشاركة القوى العاملة من المؤشرات المهمة لسوق العمل، بالإضافة إلى معدل البطالة. فإذا كان معدل البطالة يدل على عدد الأفراد الراغبين في العمل ولكنهم لا يجدون فرصة عمل، فإن معدل مشاركة القوى العاملة يدل على عدد الأفراد في سن العمل الراغبين في الحصول على عمل، أي أنه يدل على نسبة القوى العاملة إلى السكان في سن العمل. ولا يقل مؤشر مشاركة القوى العاملة أهمية عن معدل البطالة في الدلالة على سوق العمل والاختلالات التي يعاني منها. وتشير البيانات المتوفرة والأكثر دقة إلى أن معدل مشاركة المواطنين بلغ 37.5% عام 1427هـ، ثم انخفض إلى 36.7%، وبلغ هذا المعدل 61.7% بين الذكور، و11.7% بين الإناث عام 1430/1431هـ (2009م). (خطة التنمية التاسعة، ص 168). وهذا يعني على المستوى الوطني أن 63.3% ممن هم في سن العمل هم خارج القوى العاملة، أي أنهم انسحبوا من سوق العمل لأسباب مختلفة. ومنهم من توقف عن البحث عن عمل؛ بسبب صعوبة إيجاد فرصة عمل مناسبة أو طول فترة الانتظار، ومنهم من يشعر بالإحباط، ومنهم من يفضل الانتظار خارج قوة العمل حتى تتوفر وظائف حكومية. ورغم أن الغالبية العظمى من الذين لم يعودوا مشاركين في قوة العمل هم من الإناث وربات البيوت، إلا أن المؤشر على المستوى الوطني لا يقل خطورة عن مؤشر البطالة، إذ إن انسحاب 63 شخصاً (ذكوراً وإناثاً) من كل 100 شخص ممن هم في سن العمل من سوق العمل ليصبحوا خارج قوة العمل، يعني إهدار الكثير من الطاقة الإنتاجية والموارد البشرية على وجه الخصوص، التي تنفق عليها المملكة الكثير طوال سنوات التعليم وغيرها من جوانب الرعاية الصحية والاجتماعية، دون إعطائهم الفرصة للمشاركة في العمليات الإنتاجية.</w:t>
      </w:r>
    </w:p>
    <w:p w:rsidR="001B16E3" w:rsidRPr="00324B26" w:rsidRDefault="001B16E3" w:rsidP="0098206D">
      <w:pPr>
        <w:spacing w:line="360" w:lineRule="auto"/>
        <w:ind w:left="-337" w:right="993" w:firstLine="567"/>
        <w:rPr>
          <w:rFonts w:ascii="Simplified Arabic" w:hAnsi="Simplified Arabic" w:cs="Simplified Arabic"/>
          <w:b/>
          <w:bCs/>
          <w:sz w:val="28"/>
          <w:szCs w:val="28"/>
        </w:rPr>
      </w:pPr>
      <w:r w:rsidRPr="00324B26">
        <w:rPr>
          <w:rFonts w:ascii="Simplified Arabic" w:hAnsi="Simplified Arabic" w:cs="Simplified Arabic"/>
          <w:b/>
          <w:bCs/>
          <w:sz w:val="28"/>
          <w:szCs w:val="28"/>
          <w:rtl/>
        </w:rPr>
        <w:t>تقييم جهود حل مشكلة البطالة في المملكة</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وتبذل المملكة جهوداً واسعة النطاق لمعالجة مشكلة البطالة، ولعل أبرزها تشغيل السعوديين في القطاع الخاص على حساب العمالة الوافدة، فيما يعرف بالسعودة. وتعود بداية هذا التوجه إلى القرار الوزاري رقم (50) لعام 1415هـ، الذي ألزم المنشآت الخاصة التي تشغل 20 عاملاً فأكثر بتوظيف ما لا يقل عن 5% من قوتها العاملة سنوياً من السعوديين. إلا أن هذه النسبة حددت عند 30% في جميع الأنشطة باستثناء قطاع المقاولات والتشغيل والصيانة والنظافة للمشاريع الحكومية، الذي حددت نسبته عند 5%، وفي قطاع المقاولات للمشاريع الخاصة عند 10%، وفي القطاع الصناعي عند 30%، وفي الصناعات التحويلية عند 15-20%. (الكتاب الإحصائي السنوي لوزارة العمل 1430-1431 و2009م).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ويشكل هذا التوجه إدراكاً مبكراً لخطورة استمرار سياسة التوظيف الواسع للسعوديين في القطاع العام، والتي كانت تقوم على خلق وظائف برواتب سخية وأمان وظيفي حتى سن التقاعد. ولكن استمراره على المدى البعيد والفوارق الكبيرة في المزايا بين العمل في الحكومة والقطاع الخاص خلقت طلباً متزايداً على العمل الحكومي وأثرت على المهارات التي يجب اكتسابها لتأمين وظيفة في سوق العمل.</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ولذلك سعت الحكومة من خلال عدد من الجهات المسؤولة عن التدريب والتأهيل ومن خلال المؤسسات التعليمية على مختلف المستويات إلى معالجة الفجوة بين القدرات والمهارات المكتسبة وتلك المطلوبة للعمل في القطاع الخاص، بالإضافة إلى الفجوة الكبيرة في الأجور.</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وهكذا تركزت أغلب الجهود على عملية توطين الوظائف في منشآت الأعمال الخاصة من خلال عدد من التشريعات وتوفير قدر من الحوافز، بالإضافة إلى الاهتمام بالتدريب والتأهيل للعمالة السعودية. وفيما يلي نعرض لأهم هذه الجهود، حيث يتم تأهيل وتوظيف القوى العاملة الوطنية في إطار منظومة متكاملة من الجهات العامة والمؤسسات التعليمية والتدريبية.</w:t>
      </w:r>
    </w:p>
    <w:p w:rsidR="001B16E3" w:rsidRPr="00324B26" w:rsidRDefault="00412D59" w:rsidP="0098206D">
      <w:pPr>
        <w:spacing w:line="360" w:lineRule="auto"/>
        <w:ind w:left="-337" w:right="993" w:firstLine="567"/>
        <w:rPr>
          <w:rFonts w:ascii="Simplified Arabic" w:hAnsi="Simplified Arabic" w:cs="Simplified Arabic"/>
          <w:b/>
          <w:bCs/>
          <w:sz w:val="28"/>
          <w:szCs w:val="28"/>
        </w:rPr>
      </w:pPr>
      <w:r w:rsidRPr="00324B26">
        <w:rPr>
          <w:rFonts w:ascii="Simplified Arabic" w:hAnsi="Simplified Arabic" w:cs="Simplified Arabic"/>
          <w:b/>
          <w:bCs/>
          <w:sz w:val="28"/>
          <w:szCs w:val="28"/>
          <w:rtl/>
        </w:rPr>
        <w:t>1/</w:t>
      </w:r>
      <w:r w:rsidR="001B16E3" w:rsidRPr="00324B26">
        <w:rPr>
          <w:rFonts w:ascii="Simplified Arabic" w:hAnsi="Simplified Arabic" w:cs="Simplified Arabic"/>
          <w:b/>
          <w:bCs/>
          <w:sz w:val="28"/>
          <w:szCs w:val="28"/>
        </w:rPr>
        <w:t xml:space="preserve"> </w:t>
      </w:r>
      <w:r w:rsidR="001B16E3" w:rsidRPr="00324B26">
        <w:rPr>
          <w:rFonts w:ascii="Simplified Arabic" w:hAnsi="Simplified Arabic" w:cs="Simplified Arabic"/>
          <w:b/>
          <w:bCs/>
          <w:sz w:val="28"/>
          <w:szCs w:val="28"/>
          <w:rtl/>
        </w:rPr>
        <w:t>إستراتيجية التوظيف السعودية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أقر مجلس الوزراء في 5/8/1430هـ الموافق يوليو 2009م استراتيجية التشغيل السعودية، والتي تهدف إلى تحقيق التشغيل الكامل وزيادة نسبة السعوديين في القوى العاملة ورفع الإنتاجية إلى ما يقارب إنتاجية الدول المتقدمة (دول منظمة التعاون الاقتصادي والتنمية). وتغطي الاستراتيجية إطاراً زمنياً طويلاً يبلغ 25 عاماً، مقسمة إلى 3 مراحل، ولكل منها هدف محدد. ففي المدى القريب، استهدفت الاستراتيجية السيطرة على البطالة، وفي المدى المتوسط، استهدفت الخطة خفض معدل البطالة، وفي المدى البعيد، استهدفت الخطة القضاء على البطالة وتحقيق ميزة تنافسية للاقتصاد الوطني تعتمد على الموارد البشرية. (استراتيجية التشغيل السعودية، 2009م)</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واعتمدت الاستراتيجية على تحقيق الأهداف قصيرة المدى (مدتها سنتان) في تقليل الاعتماد على العمالة الأجنبية، وتوظيف السعوديين والسعوديات بمعدلات تعادل عدد الداخلين الجدد إلى سوق العمل. بالإضافة إلى آليات محددة تتضمن توسيع نظم المعلومات حول سوق العمل، وإعطاء الأولوية المطلقة لتوظيف المواطنين وتقديم الحوافز للقطاع الخاص لتوظيف السعوديين، وتحسين المهارات. وفي المدى المتوسط </w:t>
      </w:r>
      <w:r w:rsidRPr="00AD4645">
        <w:rPr>
          <w:rFonts w:ascii="Simplified Arabic" w:hAnsi="Simplified Arabic" w:cstheme="majorBidi"/>
          <w:rtl/>
        </w:rPr>
        <w:t>​​</w:t>
      </w:r>
      <w:r w:rsidRPr="00AD4645">
        <w:rPr>
          <w:rFonts w:ascii="Simplified Arabic" w:hAnsi="Simplified Arabic" w:cs="Simplified Arabic"/>
          <w:rtl/>
        </w:rPr>
        <w:t>(الثلاث سنوات التي تلي السنتين الأوليين)، كان الهدف هو الاستمرار في خفض معدل البطالة من خلال سياسات تهدف إلى زيادة مستوى التشغيل، وزيادة معدل المشاركة، ورفع الإنتاجية.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أما في المدى البعيد (20 سنة بعد السنوات الخمس الأولى)، فقد استهدفت الاستراتيجية تحقيق التشغيل الكامل للعمالة ومن ثم القضاء على البطالة، ورفع تنافسية الاقتصاد الوطني على أساس رفع إنتاجية العمل، وإعادة هيكلة سوق العمل.</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ولا يتوقع أن تقدم الاستراتيجية مساهمة كبيرة، حيث اتخذت نهجاً إدارياً واعتبرت المشكلة واحدة من مشكلات وزارة العمل التي يمكن تطبيق نهج التخطيط الاستراتيجي لحلها. وهي نهج يتعلق بالمؤسسات التجارية التي تعمل في المقام الأول في بيئة تنافسية وتسعى إلى تحقيق أهدافها، متجاهلة أنها مشكلة اقتصادية كلية لها مفهوم وأسباب وطرق علاج حسب نوعها.</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وعلى الرغم من السياسات والآليات التي تضمنتها الاستراتيجية والتي تركز بشكل مباشر على العديد من جوانب مشكلة البطالة، إلا أنها تعاملت مع المشكلة وكأنها مهمة مؤسسية لوزارة العمل يمكن وضع استراتيجية لتنفيذها من خلال موظفي الوزارة وتعاونهم مع الوزارات الأخرى، كما تعاملت معها كمهمة يمكن إنجازها خلال فترة زمنية تصل إلى 25 عاماً، وليس كمشكلة اقتصادية تتطلب تحليل أسبابها والحلول الاقتصادية لها.</w:t>
      </w:r>
      <w:r w:rsidR="00446B2C" w:rsidRPr="00AD4645">
        <w:rPr>
          <w:rFonts w:ascii="Simplified Arabic" w:hAnsi="Simplified Arabic" w:cs="Simplified Arabic"/>
          <w:rtl/>
        </w:rPr>
        <w:t xml:space="preserve">( ابو النيل ،1987، 16). </w:t>
      </w:r>
    </w:p>
    <w:p w:rsidR="00322AC3" w:rsidRPr="00324B26" w:rsidRDefault="00412D59" w:rsidP="0098206D">
      <w:pPr>
        <w:spacing w:line="360" w:lineRule="auto"/>
        <w:ind w:left="-337" w:right="993" w:firstLine="567"/>
        <w:rPr>
          <w:rFonts w:ascii="Simplified Arabic" w:hAnsi="Simplified Arabic" w:cs="Simplified Arabic"/>
          <w:b/>
          <w:bCs/>
          <w:sz w:val="28"/>
          <w:szCs w:val="28"/>
          <w:rtl/>
        </w:rPr>
      </w:pPr>
      <w:r w:rsidRPr="00324B26">
        <w:rPr>
          <w:rFonts w:ascii="Simplified Arabic" w:hAnsi="Simplified Arabic" w:cs="Simplified Arabic"/>
          <w:b/>
          <w:bCs/>
          <w:sz w:val="28"/>
          <w:szCs w:val="28"/>
          <w:rtl/>
        </w:rPr>
        <w:t>2/</w:t>
      </w:r>
      <w:r w:rsidR="00322AC3" w:rsidRPr="00324B26">
        <w:rPr>
          <w:rFonts w:ascii="Simplified Arabic" w:hAnsi="Simplified Arabic" w:cs="Simplified Arabic"/>
          <w:b/>
          <w:bCs/>
          <w:sz w:val="28"/>
          <w:szCs w:val="28"/>
          <w:rtl/>
        </w:rPr>
        <w:t xml:space="preserve"> جهود وزارة العمل في التدريب والتأهيل</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تدعم وزارة العمل عملية توطين الوظائف من خلال عدة محاور، منها تطوير التشريعات لإحلال العمالة الوافدة بالعمالة السعودية، ويدعم صندوق تنمية الموارد البشرية هذا التوجه بقوة من خلال تشجيع القطاع الخاص على توظيف السعوديين وتقديم العديد من الحوافز لهذا الغرض، بالإضافة إلى منع توظيف الأجانب في 40 وظيفة ودعم وتدريب العمالة الوطنية في القطاع الخاص، كما يقدم الصندوق حوافز للقطاع الخاص قبل عملية التوظيف والتدريب على رأس العمل ومنح الإعانات ودعم أجور السعوديين العاملين في القطاع الخاص. ونجح الصندوق خلال السنوات الخمس الأولى من إنشائه في عام 2002 في دعم 52 ألف سعودي وسعودية بتكلفة 150 مليون دولار، أي أن الصندوق يدعم نحو 10 آلاف سعودي سنويا، ومن المتوقع أن تستمر هذه المبالغ في الارتفاع، وتقديم المزيد من الدعم للقطاع الخاص في هذا الصدد. وأعلن الصندوق عن استعداده لدفع نصف الراتب السنوي للسعوديين مقدما للعاملين في القطاع الخاص لأول مرة في السنة الأولى بدلا من دفع 50% بعد نهاية السنة الأولى، إلا أن هذا الدعم يستمر لمدة عامين فقط.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استمر الصندوق في دفع 75% من المزايا والبدلات للسعوديين تحت التدريب في القطاع الخاص. وأنشأ الصندوق مؤخرا وحدة نسائية، استشعارا منه لخطر البطالة بين الإناث. كما تم إنشاء برنامج المنظمة الوطنية للتدريب المشترك، الذي يستهدف التدريب في مهن محددة وفقا لمتطلبات سوق العمل للتوظيف، وإشراك القطاع الخاص في عملية التدريب، وزيادة الطاقة الاستيعابية لبرامج التدريب المهني.</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وتتضمن برامج صندوق تنمية الموارد البشرية عدداً من البرامج الأخرى أبرزها تدريب رواد الأعمال (المنظمين) من أصحاب الأعمال من خلال تكنولوجيا الأعمال، حيث يتحمل الصندوق كافة تكاليف البرنامج، ويستفيد منه العاطلون عن العمل ومن لا تتناسب مؤهلاتهم مع سوق العمل، حيث يتم تدريبهم على مهارات استخدام تكنولوجيا المعلومات من أجل النجاح في المشاريع الصغيرة التي ينوون إنشائها وإدارتها. وتتضمن برامج الصندوق برنامج التشغيل والصيانة لتشجيع الباحثين عن عمل على وظائف عقود التشغيل والصيانة، وبرنامج التدريب الصحي وفق سياسة التدريب المرتبطة بالتوظيف، وبرنامج تأهيل أخصائي الموارد البشرية، وتقديم المشورة الفنية والإدارية للتدريب، ودعم أصحاب المشاريع الصغيرة للاستمرار والنجاح من خلال تقديم بدل مقطوع (3000 ريال) شهرياً، وبرنامج العمل عن بعد لدعم توظيف المرأة، وبرنامج التوظيف المباشر المقدم للقطاع الخاص، وبرنامج التوجيه المهني الموجه لطلاب المدارس والباحثين عن عمل، وبرنامج التدريب المرتبط بالتوظيف في القطاع الخاص، وبرنامج ماهر 12/12 لتأهيل الكوادر المتخصصة وهي برامج تدريبية غير مرتبطة بالتوظيف، وكذلك التدريب على رأس العمل والتي تهدف إلى رفع المهارات الإدارية، وقد حققت هذه الجهود نجاحات ملحوظة في العديد من الوظائف الإدارية والمهنية والكتابية والمساندة، ولكن لا تزال هناك فئات مستبعدة من هذه البرامج لعدم توافق مؤهلاتها الجامعية أو ميولها الوظيفية وتفضل الانسحاب مؤقتاً من سوق العمل أو تفضل الانتظار حتى تحصل على وظيفة حكومية.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وعلى الرغم من أهمية هذه التشريعات وضرورة الارتقاء ببرامج التدريب والتأهيل إلا أنها ما زالت بحاجة إلى الدعم من خلال معالجة أسباب المشكلة الرئيسية وهي الفوارق بين الأجور والمزايا في القطاع الحكومي ونظيراتها في القطاع الخاص وضرورة خفضها لصالح العمل في القطاع الخاص كما سيتم توضيحه لاحقاً.</w:t>
      </w:r>
      <w:r w:rsidR="00446B2C" w:rsidRPr="00AD4645">
        <w:rPr>
          <w:rFonts w:ascii="Simplified Arabic" w:hAnsi="Simplified Arabic" w:cs="Simplified Arabic"/>
          <w:rtl/>
        </w:rPr>
        <w:t>(</w:t>
      </w:r>
      <w:r w:rsidR="000704CE" w:rsidRPr="00AD4645">
        <w:rPr>
          <w:rFonts w:ascii="Simplified Arabic" w:hAnsi="Simplified Arabic" w:cs="Simplified Arabic"/>
          <w:rtl/>
        </w:rPr>
        <w:t xml:space="preserve"> الاسمري ،2011، 77).</w:t>
      </w:r>
    </w:p>
    <w:p w:rsidR="00322AC3" w:rsidRPr="00324B26" w:rsidRDefault="00412D59" w:rsidP="0098206D">
      <w:pPr>
        <w:spacing w:line="360" w:lineRule="auto"/>
        <w:ind w:left="-337" w:right="993" w:firstLine="567"/>
        <w:rPr>
          <w:rFonts w:ascii="Simplified Arabic" w:hAnsi="Simplified Arabic" w:cs="Simplified Arabic"/>
          <w:b/>
          <w:bCs/>
          <w:sz w:val="28"/>
          <w:szCs w:val="28"/>
          <w:rtl/>
        </w:rPr>
      </w:pPr>
      <w:r w:rsidRPr="00324B26">
        <w:rPr>
          <w:rFonts w:ascii="Simplified Arabic" w:hAnsi="Simplified Arabic" w:cs="Simplified Arabic"/>
          <w:b/>
          <w:bCs/>
          <w:sz w:val="28"/>
          <w:szCs w:val="28"/>
          <w:rtl/>
        </w:rPr>
        <w:t>3/</w:t>
      </w:r>
      <w:r w:rsidR="00322AC3" w:rsidRPr="00324B26">
        <w:rPr>
          <w:rFonts w:ascii="Simplified Arabic" w:hAnsi="Simplified Arabic" w:cs="Simplified Arabic"/>
          <w:b/>
          <w:bCs/>
          <w:sz w:val="28"/>
          <w:szCs w:val="28"/>
          <w:rtl/>
        </w:rPr>
        <w:t>دور القطاع الخاص</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قدرة القطاع الخاص على توليد فرص عمل جديدة تمثل تحدياً كبيراً في ضوء تجربة السنوات السابقة والوضع الحالي حيث كانت نتائج الجهود المبذولة في هذا الاتجاه محدودة جداً ومازال العمال الوافدون يشكلون النسبة الأكبر من العاملين في القطاع الخاص بنسبة 89% عام 2006 ولم يحققوا أي تحسن ملموس في الأعوام (2008، 2009) بل ارتفعوا إلى 86.7%، 90% على التوالي. (مؤسسة النقد العربي السعودي، 2010)</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هذه النتائج أقل بكثير من المتوقع، فالمشاريع العملاقة التي بدأ تنفيذها خلال الخطة الخمسية الثامنة (2005-2009) تنفذها شركات أو اتحادات كبرى، ولم تسفر عن أي علاقات مترابطة ذات شأن مع المؤسسات الصغيرة والمتوسطة، ولم توفر فرص عمل كافية للمواطنين رغم التشريعات الملزمة والحوافز التي أصدرها مجلس الوزراء. وتوقعت الخطة الخمسية الثامنة انخفاض البطالة إلى 140 ألف شخص بنهاية عام 2009 مقارنة بالوضع الذي كان سائداً قبل الخطة في عام 2004، حيث بلغ عدد العاطلين عن العمل 270 ألف شخص، لكن هذا لم يحدث. (منظمة العمل الدولية، 2011، ص 49)</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في الواقع، إن حل مشكلة البطالة، وإن كان يتطلب جزئياً تفعيل وتطوير عملية توطين العمالة السعودية في القطاع الخاص، إلا أن هذا التوجه لابد أن يدعم بمعالجة أسباب عزوف السعوديين عن العمل في القطاع الخاص أيضاً، ومعالجة أسباب تفضيل القطاع الخاص تشغيل غير السعوديين. وقد لا يتطلب الأمر إعداد السعوديين للعمل في القطاع الخاص فحسب، بل قد يتطلب أيضاً إعداد القطاع الخاص نفسه للعمل لدى السعوديين واستيعاب أعداد كبيرة منهم. وهناك أسباب عديدة لعزوف السعوديين عن العمل في القطاع الخاص وتفضيلهم للقطاع الخاص تشغيل الأجانب، منها الفارق في الأجور والمزايا بين العمل في الحكومة والعمل في القطاع الخاص، وعدم امتلاك السعوديين للمهارات المطلوبة للعمل في العديد من الوظائف المهنية أو الفنية أو الإدارية، بالإضافة إلى افتقارهم لبعض ثقافة العمل في القطاع الخاص، كالانضباط والجدية وربط الأجور بالإنتاجية، وهو ما لا يطبق في الجهات الحكومية. ولكن من ناحية أخرى يلاحظ أن بيئة العمل غير ملائمة في كثير من منشآت القطاع الخاص، وبالتالي انخفاض الإنتاجية، وبالتالي انخفاض الأجور، وغيرها من مزايا التأمين الاجتماعي وحقوق العمال التي قد يقبلها الأجانب.</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لذلك فإن هذا التوجه لا يتوقع أن يقدم حلاً جذرياً لمشكلة البطالة بين السعوديين، دون أن يستكمل بإعادة هيكلة بعض مجالات العمل والأنشطة في منشآت الأعمال الخاصة لتحسين أسلوب العمل وتحسين بيئته، وبالتالي رفع مستويات الإنتاجية والأجور، وفتح مجالات عمل جديدة وجذابة في العديد من الأنشطة الإنتاجية السلعية والخدمية وفي مشاريع التنمية في القطاع الخاص.</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الاقتصاد السعودي لا يزال في حاجة إلى جهود تنموية لتنويع بنية الاقتصاد الوطني بالتوسع في عدد من الأنشطة الحيوية مثل الصناعات التحويلية التي تتسم بالاتساع والاتساع، بالإضافة إلى دعم الاتجاه الحالي نحو الخصخصة وزيادة دور القطاع الخاص في توليد الناتج والتشغيل في المجالات الإنتاجية العالية والأجرية.</w:t>
      </w:r>
      <w:r w:rsidR="000704CE" w:rsidRPr="00AD4645">
        <w:rPr>
          <w:rFonts w:ascii="Simplified Arabic" w:hAnsi="Simplified Arabic" w:cs="Simplified Arabic"/>
          <w:rtl/>
        </w:rPr>
        <w:t>( البسام ،2007، 140).</w:t>
      </w:r>
    </w:p>
    <w:p w:rsidR="00322AC3" w:rsidRPr="00324B26" w:rsidRDefault="00412D59" w:rsidP="0098206D">
      <w:pPr>
        <w:spacing w:line="360" w:lineRule="auto"/>
        <w:ind w:left="-337" w:right="993" w:firstLine="567"/>
        <w:rPr>
          <w:rFonts w:ascii="Simplified Arabic" w:hAnsi="Simplified Arabic" w:cs="Simplified Arabic"/>
          <w:b/>
          <w:bCs/>
          <w:sz w:val="28"/>
          <w:szCs w:val="28"/>
          <w:rtl/>
        </w:rPr>
      </w:pPr>
      <w:r w:rsidRPr="00324B26">
        <w:rPr>
          <w:rFonts w:ascii="Simplified Arabic" w:hAnsi="Simplified Arabic" w:cs="Simplified Arabic"/>
          <w:b/>
          <w:bCs/>
          <w:sz w:val="28"/>
          <w:szCs w:val="28"/>
          <w:rtl/>
        </w:rPr>
        <w:t>4/</w:t>
      </w:r>
      <w:r w:rsidR="00322AC3" w:rsidRPr="00324B26">
        <w:rPr>
          <w:rFonts w:ascii="Simplified Arabic" w:hAnsi="Simplified Arabic" w:cs="Simplified Arabic"/>
          <w:b/>
          <w:bCs/>
          <w:sz w:val="28"/>
          <w:szCs w:val="28"/>
          <w:rtl/>
        </w:rPr>
        <w:t xml:space="preserve"> السياسات الاقتصادية الكلية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السياسات الكلية الممكنة لمعالجة مشكلة البطالة تتمثل في السياسة المالية بالدرجة الأولى، ثم السياسة النقدية بحيث يتم تنسيقها لزيادة الطلب الكلي ورفع معدل الاستثمار بما يحفز المزيد من التشغيل والإنتاج ويخلق فرص عمل إضافية. ورغم فعالية هذه السياسات في الأمد القريب، فإن تأثيرها قد يكون محدوداً في الأمد البعيد، وخاصة إذا سُمح للأجور بالارتفاع وحوافز الاستثمار بالانخفاض، وبالتالي انخفاض العرض الكلي والناتج الحقيقي، وبالتالي انخفاض فرص العمل. وتشير بيانات الناتج المحلي الإجمالي في المملكة إلى أن معدل نموه يتقلب من سنة إلى أخرى، حيث بلغ 3.6% خلال الفترة 2001-2010، وهو معدل متواضع بالنسبة لدولة تسعى إلى تحقيق التوسع والتنويع في بنيتها الاقتصادية، وفتح فرص العمل أمام السعوديين، فضلاً عن بلوغه معدلات نمو منخفضة للغاية وصلت إلى أقل من واحد في بعض السنوات (0.55- 13- 16) في الأعوام 2001 و2002 و2009 على التوالي. كما كان الارتباط واضحاً بين معدل النمو الاقتصادي المنخفض ومعدل البطالة، وخاصة بين الشباب والوافدين الجدد والباحثين عن عمل</w:t>
      </w:r>
      <w:r w:rsidR="00412D59" w:rsidRPr="00AD4645">
        <w:rPr>
          <w:rFonts w:ascii="Simplified Arabic" w:hAnsi="Simplified Arabic" w:cs="Simplified Arabic"/>
          <w:rtl/>
        </w:rPr>
        <w:t>،</w:t>
      </w:r>
      <w:r w:rsidRPr="00AD4645">
        <w:rPr>
          <w:rFonts w:ascii="Simplified Arabic" w:hAnsi="Simplified Arabic" w:cs="Simplified Arabic"/>
          <w:rtl/>
        </w:rPr>
        <w:t xml:space="preserve"> تطور معدل البطالة بين الشباب والقوى العاملة السعودية والإجمالي، حيث تراجع التحسن في معدل البطالة بين الشباب في عامي 2007 و2008 ليصل إلى 29% و27.8% على التوالي، بعد أن بلغ ذروته في عام 2009. ويقدر هذا المعدل بنحو ثلاثة أضعاف معدل البطالة بين السعوديين عموماً، والذي بلغ 10.5%، وثلاثة أضعاف معدل البطالة على المستوى الوطني، والذي بلغ 5.7% في العام نفسه. ومن هنا، يلاحظ أن النمو الاقتصادي في المملكة لم يكن ثابتاً ولا منتظماً، حيث لا يزال قطاع النفط يهيمن على مسار النشاط الاقتصادي، ولا يزال الإنفاق الحكومي والإنفاق الاستثماري الحكومي يشكلان عاملاً رئيسياً في تحريك الاقتصاد الوطني. (منظمة العمل الدولية، إبريل/نيسان 2010 ب)</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اتسم النمو الاقتصادي بالاعتماد على الأنشطة كثيفة رأس المال، وفي مقدمتها قطاع النفط وقطاع الخدمات المصرفية، وبالتالي لم يكن هناك توسع كبير في القطاعات والأنشطة الاقتصادية كثيفة العمالة، وخاصة قطاع التصنيع، الذي يعتمد على الاستثمارات الخاصة المحلية والأجنبية.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ولمعالجة البطالة الهيكلية الناجمة عن الاختلالات الجوهرية في سوق العمل، كما هو الحال في المملكة، لابد من خلق فرص العمل من خلال نمو الاقتصاد الوطني. ولكي يكون للنمو تأثير في معالجة البطالة، فلابد أن يكون ثابتاً ويستند إلى توسع الأنشطة كثيفة العمالة، ولابد أن يصاحب ذلك تغييرات هيكلية في سوق العمل، بما في ذلك تطوير قوانين العمل والتأمينات الاجتماعية والرعاية الصحية، ومعالجة مشكلة تجزئة سوق العمل بين الحكومة والقطاع الخاص بأبعادها المختلفة.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لذلك فإن هذا التوجه لا يتوقع أن يقدم حلاً جذرياً لمشكلة البطالة بين السعوديين، دون أن يستكمل بإعادة هيكلة بعض مجالات العمل والأنشطة في منشآت الأعمال الخاصة لتحسين أسلوب العمل وتحسين بيئته، وبالتالي رفع مستويات الإنتاجية والأجور، وفتح مجالات عمل جديدة وجذابة في العديد من الأنشطة الإنتاجية السلعية والخدمية وفي مشاريع التنمية في القطاع الخاص.</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الاقتصاد السعودي لا يزال في حاجة إلى جهود تنموية لتنويع بنية الاقتصاد الوطني بالتوسع في عدد من الأنشطة الحيوية مثل الصناعات التحويلية التي تتسم بالاتساع والاتساع، بالإضافة إلى دعم الاتجاه الحالي نحو الخصخصة وزيادة دور القطاع الخاص في توليد الناتج والتشغيل في المجالات الإنتاجية العالية والأجرية.</w:t>
      </w:r>
      <w:r w:rsidR="000704CE" w:rsidRPr="00AD4645">
        <w:rPr>
          <w:rFonts w:ascii="Simplified Arabic" w:hAnsi="Simplified Arabic" w:cs="Simplified Arabic"/>
          <w:rtl/>
        </w:rPr>
        <w:t>( حسن ،1990، 56).</w:t>
      </w:r>
    </w:p>
    <w:p w:rsidR="00322AC3" w:rsidRPr="00324B26" w:rsidRDefault="00412D59" w:rsidP="0098206D">
      <w:pPr>
        <w:spacing w:line="360" w:lineRule="auto"/>
        <w:ind w:left="-337" w:right="993" w:firstLine="567"/>
        <w:rPr>
          <w:rFonts w:ascii="Simplified Arabic" w:hAnsi="Simplified Arabic" w:cs="Simplified Arabic"/>
          <w:b/>
          <w:bCs/>
          <w:sz w:val="28"/>
          <w:szCs w:val="28"/>
          <w:rtl/>
        </w:rPr>
      </w:pPr>
      <w:r w:rsidRPr="00324B26">
        <w:rPr>
          <w:rFonts w:ascii="Simplified Arabic" w:hAnsi="Simplified Arabic" w:cs="Simplified Arabic"/>
          <w:b/>
          <w:bCs/>
          <w:sz w:val="28"/>
          <w:szCs w:val="28"/>
          <w:rtl/>
        </w:rPr>
        <w:t xml:space="preserve">5/ </w:t>
      </w:r>
      <w:r w:rsidR="00322AC3" w:rsidRPr="00324B26">
        <w:rPr>
          <w:rFonts w:ascii="Simplified Arabic" w:hAnsi="Simplified Arabic" w:cs="Simplified Arabic"/>
          <w:b/>
          <w:bCs/>
          <w:sz w:val="28"/>
          <w:szCs w:val="28"/>
          <w:rtl/>
        </w:rPr>
        <w:t xml:space="preserve"> السياسات الاقتصادية الكلية</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إن السياسات الكلية الممكنة لمعالجة مشكلة البطالة تتمثل في السياسة المالية بالدرجة الأولى، ثم السياسة النقدية بحيث يتم تنسيقها لزيادة الطلب الكلي ورفع معدل الاستثمار بما يحفز المزيد من التشغيل والإنتاج ويخلق فرص عمل إضافية. ورغم فعالية هذه السياسات في الأمد القريب، فإن تأثيرها قد يكون محدوداً في الأمد البعيد، وخاصة إذا سُمح للأجور بالارتفاع وحوافز الاستثمار بالانخفاض، وبالتالي انخفاض العرض الكلي والناتج الحقيقي، وبالتالي انخفاض فرص العمل. وتشير بيانات الناتج المحلي الإجمالي في المملكة إلى أن معدل نموه يتقلب من سنة إلى أخرى، حيث بلغ 3.6% خلال الفترة 2001-2010، وهو معدل متواضع بالنسبة لدولة تسعى إلى تحقيق التوسع والتنويع في بنيتها الاقتصادية، وفتح فرص العمل أمام السعوديين، فضلاً عن بلوغه معدلات نمو منخفضة للغاية وصلت إلى أقل من واحد في بعض السنوات (0.55- 13- 16) في الأعوام 2001 و2002 و2009 على التوالي. كما كان الارتباط واضحاً بين معدل النمو الاقتصادي المنخفض ومعدل البطالة، وخاصة بين الشباب والوافدين الجدد والباحثين عن عمل. ويوضح الجدول رقم (3) تطور معدل البطالة بين الشباب والقوى العاملة السعودية والإجمالي، حيث تراجع التحسن في معدل البطالة بين الشباب في عامي 2007 و2008 ليصل إلى 29% و27.8% على التوالي، بعد أن بلغ ذروته في عام 2009.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ويقدر هذا المعدل بنحو ثلاثة أضعاف معدل البطالة بين السعوديين عموماً، والذي بلغ 10.5%، وثلاثة أضعاف معدل البطالة على المستوى الوطني، والذي بلغ 5.7% في العام نفسه. ومن هنا، يلاحظ أن النمو الاقتصادي في المملكة لم يكن ثابتاً ولا منتظماً، حيث لا يزال قطاع النفط يهيمن على مسار النشاط الاقتصادي، ولا يزال الإنفاق الحكومي والإنفاق الاستثماري الحكومي يشكلان عاملاً رئيسياً في تحريك الاقتصاد الوطني. (منظمة العمل الدولية، إبريل/نيسان 2010 ب)</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اتسم النمو الاقتصادي بالاعتماد على الأنشطة كثيفة رأس المال، وفي مقدمتها قطاع النفط وقطاع الخدمات المصرفية، وبالتالي لم يكن هناك توسع كبير في القطاعات والأنشطة الاقتصادية كثيفة العمالة، وخاصة قطاع التصنيع، الذي يعتمد على الاستثمارات الخاصة المحلية والأجنبية.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ولمعالجة البطالة الهيكلية الناجمة عن الاختلالات الجوهرية في سوق العمل، كما هو الحال في المملكة، لابد من خلق فرص العمل من خلال نمو الاقتصاد الوطني. ولكي يكون للنمو تأثير في معالجة البطالة، فلابد أن يكون ثابتاً ويستند إلى توسع الأنشطة كثيفة العمالة، ولابد أن يصاحب ذلك تغييرات هيكلية في سوق العمل، بما في ذلك تطوير قوانين العمل والتأمينات الاجتماعية والرعاية الصحية، ومعالجة مشكلة تجزئة سوق العمل بين الحكومة والقطاع الخاص بأبعادها المختلفة.</w:t>
      </w:r>
    </w:p>
    <w:p w:rsidR="000704CE"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وتشير بيانات تكوين رأس المال الثابت حسب نوع الأصل الرأسمالي </w:t>
      </w:r>
      <w:r w:rsidR="00412D59" w:rsidRPr="00AD4645">
        <w:rPr>
          <w:rFonts w:ascii="Simplified Arabic" w:hAnsi="Simplified Arabic" w:cs="Simplified Arabic"/>
          <w:rtl/>
        </w:rPr>
        <w:t xml:space="preserve"> </w:t>
      </w:r>
      <w:r w:rsidRPr="00AD4645">
        <w:rPr>
          <w:rFonts w:ascii="Simplified Arabic" w:hAnsi="Simplified Arabic" w:cs="Simplified Arabic"/>
          <w:rtl/>
        </w:rPr>
        <w:t>إلى أن تشييد المباني السكنية وغير السكنية والإنشاءات الأخرى يشكل الجزء الأكبر من مكونات تكوين رأس المال الثابت، حيث بلغ نحو 46.7% من إجمالي التكوين في عام 2009، كما شكلت معدات النقل نحو 13.6%، في حين بلغت حصة الآلات والمعدات نحو 30.4%، يذهب الجزء الأكبر منها إلى قطاع النفط والحكومة، مما يشير إلى ضعف الأصول الإنتاجية المتولدة في القطاع الخاص، وبالتالي ضعف قدرته على توليد فرص عمل إضافية. أما السبب الثاني فيعود إلى تأثير الإزاحة، وهو ما تؤكده الدراسات النظرية والتطبيقية. فمن منظور نظري اقتصادي، فإن زيادة الإنفاق الحكومي يؤدي إلى انخفاض الاستثمار الخاص والنفقات الأخرى التي تتأثر بسعر الفائدة لتنخفض بنفس المقدار، خاصة إذا لم تكن هناك طاقات إنتاجية خاملة، أو لم يكن القطاع الخاص يتمتع بالمرونة الكافية، ولم تقم السلطات النقدية برفع أسعار الفائدة. وهذا على الرغم من التأثير المضاعف للإنفاق الحكومي والذي قد يتراوح بين 2-3 مرات، ومع الأخذ في الاعتبار ردود أفعال السوق المالية والسياسات النقدية التي سيتم تبنيها في مواجهة التوسع في الناتج والتضخم، مما يؤثر سلباً على الاستثمارات المحلية والأجنبية، ناهيك عن محدودية الطاقة الاستيعابية للاقتصاد الوطني. (صمويل</w:t>
      </w:r>
      <w:r w:rsidR="00412D59" w:rsidRPr="00AD4645">
        <w:rPr>
          <w:rFonts w:ascii="Simplified Arabic" w:hAnsi="Simplified Arabic" w:cs="Simplified Arabic"/>
          <w:rtl/>
        </w:rPr>
        <w:t xml:space="preserve"> </w:t>
      </w:r>
      <w:r w:rsidRPr="00AD4645">
        <w:rPr>
          <w:rFonts w:ascii="Simplified Arabic" w:hAnsi="Simplified Arabic" w:cs="Simplified Arabic"/>
          <w:rtl/>
        </w:rPr>
        <w:t>سون ونوردهاوس 1998)</w:t>
      </w:r>
      <w:r w:rsidR="000704CE" w:rsidRPr="00AD4645">
        <w:rPr>
          <w:rFonts w:ascii="Simplified Arabic" w:hAnsi="Simplified Arabic" w:cs="Simplified Arabic"/>
          <w:rtl/>
        </w:rPr>
        <w:t>.</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وتشير التجارب العملية إلى أن تأثير الإزاحة الذي يؤدي إليه التوسع في الإنفاق الحكومي يمكن الحد منه في حالة وجود قدرات خاملة وفشل السلطات النقدية في رفع أسعار الفائدة. وباختصار: تلعب جهود التطوير المؤسسي والتنظيمي لسوق العمل التي تقوم بها الأجهزة العامة ومؤسسات التدريب والتأهيل والتعليم دوراً مهماً في تأهيل السعوديين للعمل في القطاع الخاص. إلا أن ذلك يجب أن يصاحبه إعداد وتطوير وتحديث منشآت القطاع الخاص ذاتها وإصلاح أنظمة التأمينات الاجتماعية والتأمينات الصحية وقوانين العمل لتوفير بيئة عمل مناسبة ورفع الإنتاجية والأجور وزيادة جاذبيتها للعمال السعوديين. كما أن هناك حاجة إلى تكامل هذه الجهود مع السياسات الاقتصادية الشاملة التي يجب أن تستهدف خلق فرص عمل جديدة للسعوديين في القطاع الخاص من خلال تنفيذ القدر المناسب من الاستثمارات الحديثة في قطاعات الأنشطة السلعية والخدمية اللازمة لتنويع بنية الاقتصاد الوطني.</w:t>
      </w:r>
      <w:r w:rsidR="000704CE" w:rsidRPr="00AD4645">
        <w:rPr>
          <w:rFonts w:ascii="Simplified Arabic" w:hAnsi="Simplified Arabic" w:cs="Simplified Arabic"/>
          <w:rtl/>
        </w:rPr>
        <w:t>( سلميان ، 2009، 83).</w:t>
      </w:r>
    </w:p>
    <w:p w:rsidR="001B16E3" w:rsidRPr="006F32D7" w:rsidRDefault="001B16E3"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مراجعة و تطوير السياسات والبرامج القائمة</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يتضح مما سبق أن مشكلة البطالة بين السعوديين هي مشكلة هيكلية واحتكاكية في المقام الأول، ولكنها لا تعكس ديناميكية التنمية الاقتصادية والتقدم التكنولوجي كما هو الحال في الاقتصادات الصناعية المتقدمة. بالإضافة إلى ذلك، فهي ذات طبيعة خاصة تتمثل في طول الفترة الزمنية التي يقضيها العاطلون عن العمل بسبب الاختلالات الجوهرية في سوق العمل، وارتباطها جزئياً بانخفاض مستوى النمو في الأنشطة الاقتصادية التي توفر فرص عمل مناسبة للداخلين الجدد إلى سوق العمل. وبالتالي فهي تختلف جذرياً عن مشاكل البطالة الدورية التي تواجهها الدول المتقدمة، والتي ترتفع بشكل كبير في أوقات الركود وتنخفض شدتها في أوقات الرخاء، متأثرة بمستوى الطلب الكلي ومستوى التشغيل والإنتاج. كما تبين أن أهم أسباب هذه الظاهرة تعود إلى تجزئة سوق العمل، حيث يشغل السعوديون معظم الوظائف الحكومية ويهيمن العمال الأجانب على فرص العمل في القطاع الخاص. كما لوحظ وجود فجوة كبيرة وعدم توافق بين مهارات وقيم العمل لدى السعوديين (عرض العمل) والمهارات وقيم العمل التي يحتاجها القطاع الخاص السعودي، بالإضافة إلى التفاوت في مستويات الأجور وظروف العمل والمزايا في الحكومة مقارنة بنظرائهم في القطاع الخاص لصالح القطاع الحكومي، مما خلق نوعاً من عدم التوافق المتبادل، حيث لا يمتلك السعوديون المهارات وقيم العمل التي يحتاجها القطاع الخاص، ولا يمتلك القطاع الخاص الأجور والمزايا التي يسعى إليها العمال السعوديون. ومن نتائج الاعتماد على توظيف السعوديين في الحكومة ومنحهم رواتب عالية كوسيلة لتوزيع الثروة النفطية ورفع مستوى الرفاهة الاجتماعية، عزوف السعوديين عن اكتساب المهارات والمعارف والقدرات المطلوبة للعمل في القطاع الخاص، وتفضيلهم الانتظار حتى تتاح وظيفة حكومية، أو الانسحاب من سوق العمل، كما يحدث مع النساء. وساعد اتساع الفجوة بين مهارات مخرجات التعليم ومتطلبات سوق العمل في تأكيد طبيعة البطالة كمشكلة هيكلية.</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 وفي مواجهة كل ذلك، سعت الحكومة إلى العمل على عدة محاور، أهمها التركيز على تدريب وتأهيل القوى العاملة السعودية، وتحفيز القطاع الخاص على توظيف السعوديين (عملية السعودة)، وتشجيع العمل الحر وريادة الأعمال، وهي كلها جهود لا تعالج جذور المشكلة وأسبابها. </w:t>
      </w:r>
    </w:p>
    <w:p w:rsidR="00412D59"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كما سعت الحكومة إلى دعم أجور العاملين السعوديين في القطاع الخاص لتضييق الفجوة بينها وبين الأجور في القطاع الحكومي. </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إلا أن مشكلة البطالة بين السعوديين ظلت من أهم المشاكل التي تواجه الحكومة دون حل، حيث إن مزايا العمل في الحكومة كثيرة. وعلى الرغم من أهمية الجهود التي تبذلها العديد من الجهات في عمليات التدريب والتأهيل وتحفيز المنشآت الخاصة على توظيف السعوديين، وتحفيز العمالة السعودية على العمل في القطاع الخاص، أو مزاولة العمل الحر، إلا أن هذه الإجراءات ما زالت تفتقر إلى التعامل مع أسباب وطبيعة المشكلة، الناتجة عن اختلال التوازن في سوق العمل بشقيه: الطلب على العمالة والعرض منها، والفجوة بين المهارات وقيم العمل التي تتميز بها القوى العاملة السعودية والمهارات وقيم العمل التي يحتاجها القطاع الخاص، بالإضافة إلى الاختلاف بين ظروف العمل في الحكومة ومؤسساتها، والعمل في القطاع الخاص ومنشآته، والتي أغلبها منشآت صغيرة، والتفاوت في مستوى الأجور والمزايا السائدة بين القطاعين. وفي ضوء كل ما سبق، نعرض فيما يلي مجالات ووسائل تطوير السياسات والبرامج المطبقة بحيث تتمكن من معالجة جوانب وجذور المشكلة بشكل فعال، ومعالجة أسبابها، والمساهمة في وضع حد لها.</w:t>
      </w: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 xml:space="preserve">1/ </w:t>
      </w:r>
      <w:r w:rsidR="001B16E3" w:rsidRPr="006F32D7">
        <w:rPr>
          <w:rFonts w:ascii="Simplified Arabic" w:hAnsi="Simplified Arabic" w:cs="Simplified Arabic"/>
          <w:b/>
          <w:bCs/>
          <w:sz w:val="28"/>
          <w:szCs w:val="28"/>
          <w:rtl/>
        </w:rPr>
        <w:t>تطوير سياسات التوظف بالحكومة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لقد أصبح تشبع القطاع الحكومي بالعمالة الوطنية أمراً واقعاً، ولم يعد من الممكن استيعاب المزيد من السعوديين للعمل في الحكومة إلا بقدر عمليات الإحلال بسبب التقاعد أو الترقية أو أي توسعات في الجهاز الإداري الحكومي. وبالتالي لم يعد من المناسب الاستمرار في الاعتماد على التوظيف الحكومي لاستيعاب العمالة السعودية أو الخريجين الجدد.</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يجب إعادة النظر في استخدام سياسة الأجور كأداة لتوزيع الثروة وتحسين مستوى المعيشة، ويجب أن ترتكز الوظيفة وفرصة العمل على أسس اقتصادية تربط الأجور بالإنتاجية، بحيث لا يهدر الدخل المتولد والقوة العاملة معاً، والتي يجب إعدادها للمشاركة في العملية الإنتاجية وتوليد قيمة مضافة تعادل الأجور المدفوعة.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وبقدر ما ساهمت سياسة التوظيف الحكومية للسعوديين في رفع مستوى الدخل وتحسين مستويات المعيشة، إلا أنها ساهمت في تفتيت سوق العمل، حيث فضل السعوديون الانتظار بلا عمل -في حالة من البطالة- أو خارج القوة العاملة، حتى يحصلوا على وظيفة حكومية تضمن لهم العديد من المزايا المالية والاجتماعية. (فورستنلشنر، إنجو وروتليدج، 2010)</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لذلك أصبح تطوير هذه السياسة ضرورياً، فالعمل في الحكومة كأي قطاع آخر لابد أن يرتبط أولاً بالحاجة إلى العمل، وثانياً لابد أن يرتبط الأجر بالإنتاجية، بحيث يتم توزيع الثروة ورفع مستويات الدخل وتحسين ظروف المعيشة وتحقيق مجتمع الرفاهة من خلال العديد من الوسائل الأخرى، بعيداً عن سوق العمل.</w:t>
      </w:r>
    </w:p>
    <w:p w:rsidR="00322AC3" w:rsidRPr="006F32D7" w:rsidRDefault="00412D59"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2/</w:t>
      </w:r>
      <w:r w:rsidR="00322AC3" w:rsidRPr="006F32D7">
        <w:rPr>
          <w:rFonts w:ascii="Simplified Arabic" w:hAnsi="Simplified Arabic" w:cs="Simplified Arabic"/>
          <w:b/>
          <w:bCs/>
          <w:sz w:val="28"/>
          <w:szCs w:val="28"/>
          <w:rtl/>
        </w:rPr>
        <w:t xml:space="preserve"> مراجعة سياسة السعودة</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من الضروري أيضاً مراجعة سياسات السعودة بحيث لا تعتمد فقط على عمليات الإحلال، وعلى مجرد دعم الأجور في القطاع الخاص وتقليص الفجوة مع القطاع الحكومي إدارياً، بل وأيضاً على خلق فرص عمل عالية الإنتاجية وعالية الأجر في المؤسسات الحديثة والمتقدمة في القطاع الخاص.</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ويتم ذلك من خلال تطوير وتحديث أنشطة القطاع الخاص القائمة، ودخول مجالات العمل ذات التقنية العالية، وإقامة المشروعات والاستثمارات في أنشطة حديثة عالية الإنتاجية وعالية الدخل، وبالتالي فتح فرص عمل أوسع أمام السعوديين في مجالات العمل المتقدمة، حيث يلاحظ أن مساهمات السعوديين في أنشطة التصنيع والبناء وحتى التجارة قد انخفضت، حيث وصلت إلى: 22.6%، و10%، و21% في عام 2009 على التوالي. وتعتبر هذه القطاعات مهيأة لهذا التطور، وأبرزها قطاع التصنيع الذي لا تزال مساهمته في الناتج المحلي الإجمالي محدودة (12.6% في عام 2010)، على الرغم من أهميته في تحقيق التنمية وتنوع أنشطته، بالإضافة إلى تنوع احتياجاته من القوى العاملة التي تشمل الفنيين والعمال المهرة والمهندسين والمهنيين من مختلف التخصصات الإدارية، وهي كلها وظائف جاذبة للسعوديين، إذا ما دعمتها مستويات أجور عالية تتناسب مع الإنتاجية العالية للعمل في مثل هذه الصناعات ذات المستوى التكنولوجي العالي.</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ويرتبط ذلك بسياسات التعليم، إذ إن توفير فرص العمل المنتجة للسعوديين يتطلب إصلاح عملية التعليم، وخاصة التعليم العالي، لجعله موجهاً نحو السوق من خلال تطوير البرامج التعليمية بما يتماشى مع احتياجات السوق من المعرفة والمهارات، من خلال ما يعرف بالتعليم التعاوني، أي دمج عملية التدريب في المؤسسات والمنشآت التجارية أثناء الدراسة بالمناهج التعليمية، مما يساعد في تأهيل الطلاب للعمل وتزويدهم بثقافة العمل في القطاع الخاص ومتطلباته، والحصول على فرصة عمل أسرع، بالإضافة إلى إعداد قطاع الأعمال لقبول السعوديين للعمل. وقد أحرزت دولتا قطر والإمارات تقدماً في هذا الاتجاه، وهو تحول في السياسات لمواجهة مشاكل التشغيل والبطالة بين المواطنين، بعد أن كان التركيز على توطين الوظائف مع تحويل الاقتصاد الوطني من اقتصاد واحد يعتمد على قطاع الكربوهيدرات، إلى سياسات تعتمد على التعليم والتنويع الاقتصادي، وذلك من خلال تطوير التعليم بالتركيز على التخصصات المهنية والعملية مثل الرياضيات والعلوم، ورفع قدرات الطلاب في اللغات الأجنبية (فورستنليشنر، إنغو وروتليدج، 2010).</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وهذا يعني أن نجاح التوطين وحل مشكلة البطالة يتطلب أمرين متزامنين: تزويد القوى العاملة السعودية بمعارف ومهارات وقيم عمل عالية المستوى لرفع الإنتاجية، ومن ناحية أخرى تطوير أنشطة القطاع الخاص ودخول مجالات عمل جديدة عالية التقنية جاذبة للعمالة السعودية، سواء من حيث بيئة العمل أو مستوى الأجور.</w:t>
      </w:r>
    </w:p>
    <w:p w:rsidR="00322AC3" w:rsidRPr="00AD4645" w:rsidRDefault="00322AC3"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وهذا يبدو منطقياً، فتنويع بنية الاقتصاد الوطني، وخاصة من خلال زيادة دور الصناعات التحويلية عالية التقنية وزيادة عنصر المعرفة فيها، يتطلب بدوره عمالة ماهرة، ولابد أن يلعب التعليم دوراً في توفيرها، حتى يتمكن من إنتاج خريجين قادرين على منافسة نظرائهم الأجانب.</w:t>
      </w:r>
    </w:p>
    <w:p w:rsidR="00A968D2" w:rsidRPr="00AD4645" w:rsidRDefault="00322AC3"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وهذا يعني أن التحول نحو الأنشطة والصناعات ذات التقنية العالية والمدخلات المعرفية العالية، والتي تعمل على تنويع بنية الاقتصاد الوطني كسياسة ثابتة وأساسية، سيساعد في جعل القطاع الخاص أكثر جاذبية من خلال تقديم أجور سخية للعاملين الذين يجب أن يتمتعوا بمستوى عالٍ من المهارة، وهو ما يجب أن يقابله تطوير المخرجات التعليمية، بدءًا من التعليم الأساسي، وأن تقوم العملية التعليمية على تطوير القدرات وصقل المهارات، من خلال إدخال نظام التعليم التعاوني المطبق حاليًا في العديد من الجامعات الكندية والأميركية. وباختصار: إذا كان العمال السعوديون بحاجة إلى التدريب والإعداد والتأهيل للعمل في القطاع الخاص، فإن منشآت القطاع الخاص تحتاج أيضًا إلى إعادة الهيكلة والدخول في أنشطة عالية الإنتاجية وعالية الأجر.</w:t>
      </w:r>
      <w:r w:rsidR="000704CE" w:rsidRPr="00AD4645">
        <w:rPr>
          <w:rFonts w:ascii="Simplified Arabic" w:hAnsi="Simplified Arabic" w:cs="Simplified Arabic"/>
          <w:rtl/>
        </w:rPr>
        <w:t>( الظاهري ، 1427، 92).</w:t>
      </w: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3/</w:t>
      </w:r>
      <w:r w:rsidR="001B16E3"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tl/>
        </w:rPr>
        <w:t>إعادة النظر في دور الدولة في النشاط الاقتصادي</w:t>
      </w:r>
    </w:p>
    <w:p w:rsidR="00412D59"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ولقد بدأت الحكومة مؤخراً في السماح للقطاع الخاص بالمشاركة في الأنشطة الاقتصادية والقيام بدور أكبر في توليد الدخل وفرص العمل. ولابد أن يتزامن ذلك مع مراجعة دور الدولة ليصبح مقتصراً على الوظيفة الاجتماعية، وتحقيق مجتمع الرفاهة الاجتماعية من خلال توفير السلع العامة، وتوفير خدمات الرعاية الاجتماعية والضمان الاجتماعي، وإعداد نظام متقدم للتأمينات الاجتماعية والتأمين ضد البطالة ودعم الفقراء. وتاريخياً كانت الوظيفة الأساسية للدولة هي تقديم الخدمات العامة من خلال الموازنة العامة للدولة. </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وفي المملكة، كما في الدول النفطية التي تعتمد في المقام الأول على عائدات النفط وعوائد الاستثمارات الفائضة، تشمل الخدمات العامة كل ما يتصل بوظائف الدولة التقليدية من دفاع وأمن وعدالة، ومرافق عامة مثل الطرق والجسور، وخدمات اجتماعية مثل التعليم والصحة العامة. ورغم أن هذا الدور يتطابق مع أدوار الحكومات في مختلف دول العالم، إلا أن ما يميز المملكة ــ وغيرها من الدول النفطية ــ هو أن هذه الخدمات تمول من خلال الثروة النفطية، ممثلة في عائداتها أو عوائد استثمار فوائضها. لذلك فإن الحكومة هنا لا تقوم فقط بتوفير السلع العامة كبديل للقطاع الخاص، بل تقوم أيضاً بتمويل هذه الخدمات من ثروتها النفطية دون الحاجة إلى فرض الضرائب بشتى أنواعها، وبالتالي تقوم أيضاً بتوزيع الثروة النفطية بشكل أكثر عدالة. إلا أن الحكومات في الدول النفطية لم تتوقف عند هذا الحد، بل استخدمت سياسة التوظيف الحكومي ومستويات الأجور المرتفعة كوسيلة إضافية لتوزيع الثروة النفطية، مما خلق تفتتاً في سوق العمل. لذا فإن إعادة النظر في هذه السياسة أصبحت حتمية، ولا يزال أمام الحكومة عدة بدائل لتحقيق مجتمع الرفاهة دون التسبب في تشوهات في سوق العمل، من خلال تحسين الخدمات الاجتماعية والمرافق العامة والتعليم والصحة، وكلها ممولة من عائدات النفط، حيث يحصل كل المواطنين على نصيبهم من الخدمات الحكومية بمجرد استحقاقهم لها ودون تعويض، دون أن يكون التوظيف الحكومي وسيلة لتوزيع الثروة. كما تحتاج أنظمة التأمين الاجتماعي والضمان الاجتماعي ودعم الفقراء إلى تطوير شامل، فكل هذه الأنظمة هي حالياً من المسؤوليات الاجتماعية للدول، وأهم أدوات الحكومات في إعادة توزيع الثروة والدخل. وتشير إحدى الدراسات إلى أنه يمكن وصف الدولة بأنها دولة رعاية اجتماعية عندما تنفق الحكومة ما لا يقل عن 20% من ميزانيتها السنوية على خدمات الرعاية الاجتماعية، والتي تشمل الضمان الاجتماعي ودعم الفقراء، وتعويضات البطالة، والرعاية الصحية، والتعليم، وغيرها من الخدمات الاجتماعية. وعلى وجه التحديد، هناك حاجة إلى تطوير نظام التأمينات الاجتماعية كنظام حكومي تشرف عليه الحكومة وتنظمه وتديره، من خلال إنشاء صناديق لجمع أموال الاشتراك من موظفي الحكومة والقطاع الخاص والمهن الحرة، والإشراف على إدارة واستثمار الأموال الفائضة من هذه الصناديق، ودفع المستحقات من المعاشات أو التعويضات المختلفة. ورغم أن توفير نظام التأمينات الاجتماعية يقع ضمن نطاق الوظائف الاجتماعية للحكومات، إلا أنه يمثل في المملكة خطوة أساسية في تصحيح التشوهات في سوق العمل، حيث يقلل من الفارق في المزايا التي يحصل عليها موظفو الحكومة عن نظرائهم في القطاع الخاص، ويضمن التأمين ضد عدد من المخاطر التي تهدد أمن وسلامة موظفي القطاع الخاص وأسرهم. كما سيستمر التأمين الاجتماعي في لعب دوره كواحدة من شبكات الأمان الاجتماعي في المجتمع.</w:t>
      </w:r>
      <w:r w:rsidR="000704CE" w:rsidRPr="00AD4645">
        <w:rPr>
          <w:rFonts w:ascii="Simplified Arabic" w:hAnsi="Simplified Arabic" w:cs="Simplified Arabic"/>
          <w:rtl/>
        </w:rPr>
        <w:t>( العساف ،2003، 48).</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أما نظام الضمان الاجتماعي ودعم الفقراء فهو يقوم على مسؤولية المجتمع ممثلاً بالحكومة في توفير ظروف معيشية لائقة وحد أدنى من الدخل لفئة من أفراد المجتمع تمنعهم ظروفهم الاجتماعية أو المادية أو الاقتصادية من الحصول على دخل أو حد أدنى من الدخل اللازم لحياة كريمة، وتشمل هذه الفئات الأيتام وكبار السن والأرامل والمطلقات وكبار السن وغيرهم ممن لا تتوفر لهم ظروف معيشية لائقة من مصادر دخلهم الخاصة. ويختلف نظام الضمان الاجتماعي ودعم الفقراء عن نظام التأمينات الاجتماعية في أن الأول يمول من الموازنة العامة، بينما يمول الثاني من أسهم الاشتراك التي يتقاسمها العمال وأصحاب الأعمال والحكومة. ويمكن النظر إلى برنامج دعم الفقراء كشكل آخر من أشكال إعادة توزيع الثروة النفطية، حيث تعتمد الموازنة العامة للمملكة على إيراداتها، بينما تمول أنظمة الضمان الاجتماعي في الدول الأخرى من عائدات الضرائب، والتي تدخل معاشات الضمان الاجتماعي في تصنيف نفقات التحويل الحكومية، حيث يتم تحويل جزء من عائدات الضرائب المحصلة من الأغنياء إلى الفقراء المستحقين للضمان الاجتماعي. إن التمييز بين هذين النظامين مهم، فالتأمين الاجتماعي يشمل العاملين في الحكومة والقطاع الخاص ويقوم على اشتراكات يتم تحصيلها في صناديق خاصة يتم إدارتها نيابة عنهم ويؤمن ضد عدة مخاطر مثل الإصابة والعجز والمرض والشيخوخة والبطالة، ويقلل من الفارق في المزايا بين العمل الحكومي والعمل في القطاع الخاص، كما أنه من الممكن زيادة حصة الحكومة في اشتراكات التأمين الاجتماعي لتخفيف أعبائها على العاملين أنفسهم وأصحاب العمل. كما يمثل نظام التأمين الاجتماعي للعاملين في الحكومة والقطاع الخاص وأسرهم شبكة الأمان الاجتماعي الأولى وأهم أدوات سياسات الحماية الاجتماعية، وأحد الحوافز المهمة للعمل في القطاع الخاص، وتمثل هذه السياسة أداة مهمة في المملكة، حيث يرتبط تفضيل السعوديين للعمل الحكومي بارتفاع الأجور وبعض المزايا الاجتماعية الأخرى، وأهمها نظام التأمينات الاجتماعية ومعاشات التقاعد الأعلى، لذلك فإن تطوير نظام التأمينات الاجتماعية، وخاصة للعاملين في القطاع الخاص، سواء من حيث تغطيته أو المخاطر المؤمن عليها وحصص الاشتراك وضمان الحد الأدنى للمعاش، سيشكل أداة فعالة في تحفيز العمل في القطاع الخاص. كما أن التأكيد على إدراج تعويضات البطالة ضمن نظام التأمينات الاجتماعية يساعد أيضاً في حل مشكلة حرية القطاع الخاص في الاستغناء عن العمال في ظروف محددة، فالموظف الحكومي لا يتعرض لمخاطر الفصل أو التسريح أو تخفيض الأجور، في حين يتعرض موظفو القطاع الخاص لكل هذه المخاطر، على الرغم من أي ضوابط قد توضع لتنظيم استخدامها، إلا أنها ستبقى قائمة بسبب طبيعة العمل في القطاع الخاص. لذا يجب تفعيل نظام التأمينات الاجتماعية لموظفي القطاع الخاص وإدراجه ضمن تعويضات البطالة، ووضع ضوابط دقيقة في قانون العمل لضمان التوازن بين حقوق العمال وحقوق أصحاب العمل.</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ونظراً لوجود بعض فئات العاملين في القطاعات غير الرسمية خارج إطار قطاعات الأعمال الرسمية فإن نظام التأمينات الاجتماعية سيبقى غير كاف لمعالجة هذه الفئات، لذا فمن المناسب تطوير أنظمة لتوفير الحماية الاجتماعية وتوفير سبل الحصول على التعويض في حالة البطالة أو أي شكل من أشكال المساعدة الاجتماعية.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قامت العديد من الدول المتقدمة بمراجعة العديد من أنظمة الحماية الاجتماعية في أعقاب الأزمة المالية الأخيرة (2008-2009)، مثل تعويضات البطالة والتأمين الصحي ومعاشات التقاعد للمسنين ورعاية الأطفال، وتم توسيع نطاق عملها، وشكلت إحدى الأدوات لمعالجة الأزمة، وخاصة في مجال التشغيل والبطالة. (منظمة العمل الدولية، 2010 ج)</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ورغم أن التأمين ضد البطالة يعمل أيضاً كأداة لمعالجة البطالة الدورية، ويثبت الإنفاق الاستهلاكي في حالات الركود، ويوفر الحماية من الوقوع في براثن الفقر، إلا أنه يتمتع بمزايا إضافية في المملكة، حيث يقلل من فجوة الأجور بين العمل في الحكومة والقطاع الخاص، ويمثل حافزاً للعمل في المنشآت الخاصة أو العمل الحر. 4- تنظيم التعاملات في سوق العمل</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وظيفة تنظيم التعاملات في الأسواق هي إحدى ركائز اقتصاد السوق، وتكتسب أهميتها في المملكة مع توجه النظام الاقتصادي نحو اقتصاد السوق، وتوسع عملية الخصخصة في السنوات الأخيرة، وفتح المجال أمام الاستثمارات الخاصة الوطنية والأجنبية للعمل في العديد من المجالات وقيادة عملية التنمية. كما تكتسب أهميتها من الدور الذي يجب أن تلعبه تشريعات العمل في معالجة الاختلالات في سوق العمل الحالية، حيث تنظم هذه التشريعات العلاقات القائمة بين العمال وأصحاب العمل، وتضمن حقوق وواجبات الطرفين، وتضع حداً أدنى للأجور، وتشرف على صناديق التأمينات الاجتماعية العامة والخاصة.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شكلت سياسات استقدام العمالة الأجنبية، وخاصة لأصحاب الأعمال في المملكة - ودول الخليج الأخرى - مصدر دخل دون أية أعباء من خلال ما يعرف بالكفالة، حيث شكل النظام في نهاية المطاف مصدراً لاختلال التوازن في سوق العمل في المملكة.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طبقت المملكة العديد من الحوافز وأصدرت عدداً من القوانين لتشجيع القطاع الخاص على توظيف السعوديين ودفع السعوديين للعمل في القطاع الخاص، إلا أن النتائج لم تكن مرضية، حيث لا تزال الانقسامات والتشرذم حادة وواضحة، حيث يعتمد القطاع الخاص على الأجانب بنسبة 1.90% من عمالته في عام 2009، ويبدو أن النسبة لم تنخفض كثيراً خلال السنوات الماضية (ساما، 2010).</w:t>
      </w:r>
    </w:p>
    <w:p w:rsidR="00A968D2"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ولقد سعت دول المنطقة إلى تنفيذ سياسات مماثلة، حيث حاولت البحرين رفع تكلفة العمالة الأجنبية بفرض ضريبة على المنشآت الخاصة التي توظف الأجانب. كما شددت عُمان من تطبيق حصص العمالة الوطنية، وقصرت بعض الوظائف والمهن على المواطنين. ولكن النتائج كانت مخيبة للآمال أيضاً، ولا يزال عدد الأجانب في تزايد. ولذلك فإن عملية تنظيم استقدام العمالة الأجنبية لابد وأن تبدأ بتحويلها من عملية تحقق الأرباح إلى عملية مكلفة تزيد من تكاليف الاستقدام من أجل تقليص الحافز إلى توظيف العمالة الأجنبية.</w:t>
      </w: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 xml:space="preserve">4/ </w:t>
      </w:r>
      <w:r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tl/>
        </w:rPr>
        <w:t>تفعيل دور السياسة المالية والنقدية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يعتمد الاقتصاد السعودي (كغيره من الاقتصادات النفطية) بطبيعته على الدور الرئيسي الذي تلعبه الميزانية العامة، الأداة الرئيسية للسياسة المالية، في إدارة وتحفيز الاقتصاد الوطني. وبما أن الحكومة لا تفرض ضرائب على الدخل أو الإنفاق، فإن أدوات السياسة المالية تتمثل في جانب الإنفاق العام من الميزانية والدين العام.</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وتشير تجارب السنوات الماضية إلى أن التوسع في الإنفاق العام، وخاصة الإنفاق الاستثماري على العديد من المشاريع العملاقة التي تنفذها الحكومة من خلال الميزانية العامة، أدى إلى خلق فرص عمل للعمالة الأجنبية بسبب طبيعة فرص العمل المطلوبة، والتي تعتمد بشكل رئيسي على العمالة الفنية والماهرة والمهندسين من الوافدين دون استفادة السعوديين منها بسبب فارق الأجور، وطبيعة هذه الوظائف التي لا تتوافق مع ثقافة العمل لدى العمالة السعودية، وتفضيلها للعمل الإداري، بالإضافة إلى التأثير الإزاحي للاستثمارات الخاصة؛ بسبب محدودية القدرة الاستيعابية للاقتصاد الوطني.</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ولتفعيل السياسة المالية المتمثلة بالإنفاق الاستثماري الكبير في خلق فرص العمل للسعوديين، فلابد من العمل على أكثر من محور، منها أن تتضمن شروط العطاءات التي تتقدم بها الشركات لتنفيذ المشاريع الاستثمارية خطة لتدريب وتوظيف نسبة من العمالة السعودية على رأس العمل بالتعاون مع وزارة العمل.</w:t>
      </w:r>
    </w:p>
    <w:p w:rsidR="00047EE4" w:rsidRDefault="00047EE4" w:rsidP="00EB64EB">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أنه من المناسب تشجيع الشركات الكبرى التي تتولى تنفيذ مشاريع البنية التحتية وغيرها على التعاقد من الباطن مع الشركات السعودية الصغيرة والمتوسطة لتنفيذ أعمال الدعم أو توريد المدخلات، وذلك لتفعيل الأثر المضاعف من خلال علاقات مترابطة للأمام والخلف تحفز توفير فرص العمل للشركات الصغيرة والمتوسطة وتشجع على إنشاء مشاريع جديدة، وإعطاء الأفضلية للشركات التي تعتمد على فن إنتاجي كثيف في العمالة الوطنية وتوفر فرص عمل بالتعاقد من الباطن للشركات المتوسطة والصغيرة ذات الكثافة العمالية العالية. ولابد من العلم أن الأثر النهائي للإنفاق الاستثماري الحكومي على العمالة الوطنية يعتمد على كل من الأثر المباشر على العمالة المطلوبة لتنفيذ المشاريع الاستثمارية، والأثر المباشر على الشركات الصغيرة والمتوسطة التي يتم التعاقد من الباطن لتنفيذ أعمال محددة. ويتوقف ذلك على ما تستطيع وزارة الاقتصاد والتخطيط القيام به لتشجيع الشركات الكبرى على المساهمة في توفير فرص العمل للسعوديين. وهناك تجارب رائدة في هذا المجال عقب الأزمة المالية الأخيرة؛ حيث تمكنت إندونيسيا من خلق نحو 750 ألف فرصة عمل في عام 2009 نتيجة لإنفاقها 7.6 مليار دولار على مشاريع البنية الأساسية. كما وافقت على 2.82 مليار دولار في عام 2009 لتنفيذ مشاريع من شأنها خلق فرص عمل تقدر بنحو 650 ألف وظيفة، وأنفقت الولايات المتحدة 4.4 مليار دولار على مشاريع البنية الأساسية التي خلقت نحو 60 ألف فرصة عمل بشكل مباشر أو غير مباشر حتى نهاية سبتمبر 2009 (منظمة العمل الدولية، أبريل 2009). كما أن تجزئة الاستثمارات العامة وعدم تركيزها، وتوزيعها على عدة مناقصات فرعية يحفز المؤسسات الصغيرة والمتوسطة في مناطق المملكة، القادرة على حشد وتدريب العمالة الوطنية بدعم من الجهات المسؤولة عن التدريب والتأهيل. ومن ناحية أخرى، يمكن للسياسة النقدية أن تلعب دوراً داعماً للسياسة المالية في هذا المجال للحد من تأثير النزوح، الذي تمارسه الاستثمارات الحكومية الكبيرة، على استثمارات القطاع الخاص، من خلال خفض أسعار الفائدة في النظام المصرفي. وكان للانخفاض الكبير في أسعار الفائدة في سوق السندات أثر كبير في الحد من تأثير النزوح خلال الفترة التي أعقبت الأزمة الأخيرة في أغلب بلدان مجموعة العشرين المتقدمة. (منظمة العمل الدولية، إبريل/نيسان 2010).</w:t>
      </w:r>
    </w:p>
    <w:p w:rsidR="006F32D7" w:rsidRPr="00AD4645" w:rsidRDefault="006F32D7" w:rsidP="0098206D">
      <w:pPr>
        <w:spacing w:line="360" w:lineRule="auto"/>
        <w:ind w:left="-337" w:right="993" w:firstLine="567"/>
        <w:rPr>
          <w:rFonts w:ascii="Simplified Arabic" w:hAnsi="Simplified Arabic" w:cs="Simplified Arabic"/>
          <w:rtl/>
        </w:rPr>
      </w:pP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 xml:space="preserve">5/ </w:t>
      </w:r>
      <w:r w:rsidR="001B16E3"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tl/>
        </w:rPr>
        <w:t>تطوير وسائل تدعيم المشروعات الصغيرة والمتوسطة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تعتبر المشاريع الصغيرة مستودعاً كبيراً للعمالة، وتمثل المشاريع الصغيرة والمتوسطة نسبة كبيرة جداً من إجمالي المنشآت التجارية في أغلب دول العالم، حيث تمثل نحو 99% من إجمالي المنشآت التجارية في أوروبا، وتضم 67% من العاملين في القطاع الخاص. وفي إندونيسيا تساهم المشاريع الصغيرة والمتوسطة بأكثر من نصف الناتج المحلي الإجمالي ونحو 95% من القوى العاملة، وفي الولايات المتحدة تعمل ثلث القوى العاملة في مشاريع توظف 50 عاملاً أو أقل. (منظمة العمل الدولية، مجموعة العشرين، 2010).</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ومن هنا فإن دعم المشاريع الصغيرة والمتوسطة في المملكة العربية السعودية يمثل مدخلاً مهماً لمواجهة مشكلة البطالة بين السعوديين، من خلال مساعدتهم على التغلب على مشاكل التمويل، وتذليل الصعوبات في الوصول إلى الحجم المناسب للأعمال، مما يمكنهم من الحصول على فرص عمل في المشاريع الاستثمارية، وتوفير أساليب التدريب، سواء للعمالة المطلوبة للعمل في مثل هذه المشاريع، أو تدريب صغار المديرين والمبتكرين لقيادة الأعمال، بالإضافة إلى تمكينهم من المشاركة في تنفيذ المشاريع الاستثمارية الحكومية.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وفي هذا المجال تستطيع الحكومة أن تقدم الضمانات اللازمة لهذه المشاريع للحصول على التمويل اللازم من البنوك، وتسهيل عمليات الدفع، وتمكينها من السحب على المكشوف، وسرعة سداد ديونها، خاصة في ظل الظروف الركودية لضمان استمراريتها.</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ولأن المشاريع الجديدة عادة ما تكون أكثر عرضة للفشل، فإن دعم هذه المشاريع في المراحل الأولى من عملها أمر ضروري ويزيد من معدل بقاء واستمرارية المشاريع.</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ويتم إسناد هذا الدور إلى جهة حكومية متخصصة تنظم وتدعم المشاريع الصغيرة، وتتعاون مع البنوك المحلية وغرف التجارة والصناعة وغيرها من الجهات الداعمة التي يمكنها القيام بأعمال التدريب والتأهيل للمديرين والرواد الجدد، وأن يتم ذلك دون تمييز بين الرجل والمرأة، وتوفير نفس الفرص للتوجيه والتدريب.</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أن تصميم برامج البنية التحتية التي تنفذها الحكومة لتشمل إسناد بعض الأعمال للمشاريع الصغيرة والمتوسطة له تأثير كبير على فرص العمل للسعوديين إذا ما استكملت بأعمال التدريب والتأهيل، أكثر مما توفره الشركات الكبرى من فرص عمل. لذا فإن المناقصات الصغيرة وتقسيم الأعمال الكبيرة يزيد من فرص المشاريع.</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وتستطيع الحكومة أن تتخذ عدداً من الإجراءات في هذا المجال، منها إعطاء المنشآت الصغيرة والمتوسطة الفرصة لتنفيذ مشاريع صغيرة مثل بناء المدارس، أو تنفيذ إحدى العمليات أو التوريدات في المشاريع الكبيرة، والتأكيد على عدم وجود حد أدنى لحجم الشركات في مثل هذه الحالات، ومن الممكن أيضاً قصر تنفيذ نسبة معينة من الأعمال والعقود الحكومية على المنشآت الصغيرة والمتوسطة، وإعطاء أفضلية للعطاءات المقدمة من الشركات الصغيرة التي تضم عدداً كبيراً من العمالة السعودية.</w:t>
      </w:r>
      <w:r w:rsidR="000704CE" w:rsidRPr="00AD4645">
        <w:rPr>
          <w:rFonts w:ascii="Simplified Arabic" w:hAnsi="Simplified Arabic" w:cs="Simplified Arabic"/>
          <w:rtl/>
        </w:rPr>
        <w:t>(</w:t>
      </w:r>
      <w:r w:rsidR="00375D3F" w:rsidRPr="00AD4645">
        <w:rPr>
          <w:rFonts w:ascii="Simplified Arabic" w:hAnsi="Simplified Arabic" w:cs="Simplified Arabic"/>
          <w:rtl/>
        </w:rPr>
        <w:t xml:space="preserve"> غطاس ،2005، 136).</w:t>
      </w: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6/</w:t>
      </w:r>
      <w:r w:rsidR="001B16E3"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tl/>
        </w:rPr>
        <w:t>تقديم حوافز مؤقتة للشركات الخاصة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وتتضمن هذه الحوافز السعي إلى زيادة الطلب على العمالة السعودية من خلال قيام الحكومة بدفع حصص العمال وأصحاب الأعمال في نظام التأمينات الاجتماعية لفترة محدودة، ثم تقليص هذا الدعم تدريجياً حتى تستقر العمالة وترتفع إنتاجيتها. ويقتصر دعم العمالة السعودية بهذا الشكل على العمالة ذات الأجور المنخفضة، حتى لا تتأثر أجورهم الفعلية سلباً بخصم اشتراكات التأمينات الاجتماعية، وزيادة الحوافز للمشاريع لتوظيفهم وزيادة الطلب عليهم. ويمثل دعم الأجور الذي تقدمه الحكومة حالياً للشركات الخاصة التي توظف السعوديين مدخلاً مهماً في هذا المجال، ولكن يجب أن يقتصر على فئات محددة، وخاصة الشباب والشابات، بما يساعد على تقليل حدة البطالة بين هذه الفئة التي تمثل غالبية العاطلين عن العمل، ويشجعهم على الالتحاق بالقوى العاملة ويحفز القطاع الخاص على توظيفهم. وتجدر الإشارة إلى ضرورة تصميم هذه السياسات وتنفيذها ومتابعتها بعناية ومراجعتها من وقت لآخر، لضمان الجدية في التنفيذ وتجنب التلاعب. 8- تطوير برامج التدريب والتأهيل ورفع المهارات</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لقد قدم صندوق تنمية الموارد البشرية وبرنامج المنظمة الوطنية للتدريب المشترك العديد من البرامج في مجال التدريب والتأهيل ورفع المهارات، مما ساهم بشكل أساسي في زيادة فرص العمل للسعوديين، وقد توسعت العديد من دول العالم في مجال خدمات التوظيف العام التي تلعب الهيئة فيها دوراً رئيسياً، وطورت أنشطتها من خلال تنويع البرامج التي تقدمها وزيادة مرونتها وتحفيزها والاعتماد على المدربين ذوي الخبرة.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بالإضافة إلى إمكانية تنفيذ فكرة التدريب التعاوني، حيث يمكن للصندوق التعاقد مع منشآت القطاع الخاص التي تحدد أنواعاً ومهارات معينة يجب توافرها في العمالة التي يمكنها توظيفها، وتتعهد بتوفير التسهيلات اللازمة لتدريب وتأهيل العمالة للعمل في هذه المنشآت، على أن يكون ذلك جزءاً من التدريب على رأس العمل، أي في الشركات ذاتها.</w:t>
      </w:r>
    </w:p>
    <w:p w:rsidR="00412D59"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ومن الممكن أيضاً تعزيز التعاون والتنسيق مع غرف التجارة والصناعة وغيرها من الهيئات الخاصة ذات الصلة بالأعمال والتشغيل لتوسيع مجالات التدريب التي يقدمها الصندوق أو الاعتماد على الخبرات المتوفرة في القطاع الخاص. وفي ظل ندرة فرص العمل الجديدة والمنافسة الشديدة مع العمالة الأجنبية، فمن الضروري مواصلة دعم جهود خدمات التشغيل التي تسعى إلى تقديم المساعدة في البحث عن عمل وتوظيفهم في الوظائف المتاحة. </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ويمكن تصنيف الباحثين عن عمل وإيلاء اهتمام أكبر للداخلين الجدد إلى سوق العمل الذين يحتاجون إلى فترات إعداد وتأهيل أطول، وخاصة خريجي الجامعات، وعدم اقتصار خدمات التأهيل والتدريب على العمالة النظامية. ومن الضروري التنسيق بين صندوق تنمية الموارد البشرية والجامعات ووزارة العمل حتى يتمكن الصندوق من تأهيل الفائض من خريجي التخصصات الجامعية وإعادة تدريبهم في برامج تعرف بالتأهيل لتزويدهم بالمهارات التطبيقية الأساسية والمهارات العامة في أنظمة المعلومات وتكنولوجيا المعلومات والحاسب الآلي واللغات الأجنبية. وفي هذا الصدد يقترح تغيير ثقافة "العمل أولاً" إلى "التدريب أولاً" لحل مشكلة العاطلين عن العمل منذ فترة طويلة أو الذين يجدون صعوبات كبيرة في الحصول على عمل بسبب نقص الخبرة. وتتضمن أنشطة إعادة تأهيل العاطلين عن العمل منذ فترة طويلة جهداً خاصاً يجمع بين التوجيه المكثف والمساعدة في البحث عن عمل وتنمية المهارات والحصول على الدعم أحياناً كما حدث في برنامج قروض التعليم والتدريب. وقد تواجه الحكومة قريباً الحاجة إلى وضع سياسات لنقل الأشخاص الذين بدأوا في تلقي إعانات البطالة دون تأمين أو اشتراك مسبق بسبب عدم وجود عمل سابق، خاصة في ظل صعوبة الحصول على فرص عمل في الظروف الحالية. ورداً على ذلك يقترح ربط الحصول على إعانات البطالة المؤقتة بضرورة الالتحاق بأحد برامج صندوق تنمية الموارد البشرية الحالية.</w:t>
      </w:r>
    </w:p>
    <w:p w:rsidR="00412D59"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كما أن برامج التأهيل والتدريب ورفع المهارات أو اكتساب مهارات جديدة، تساعد أيضاً في دعم التحرك الحكومي الأخير نحو تحديد الحد الأدنى للأجور، الأمر الذي سيفرض صعوبات على القطاع الخاص، ويزيد من صعوبة توظيف السعوديين فيه، ويقلل الطلب على العمالة السعودية. </w:t>
      </w:r>
    </w:p>
    <w:p w:rsidR="00047EE4"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لذا فإن نجاح برامج التأهيل والتدريب في تزويد السعوديين العاملين في القطاع الخاص أو الداخلين الجدد إلى سوق العمل بمهارات جديدة أو معارف أوسع أو صقل مهاراتهم، سيعمل على زيادة إنتاجيتهم لتبرير زيادة الحد الأدنى للأجور.</w:t>
      </w:r>
      <w:r w:rsidR="00375D3F" w:rsidRPr="00AD4645">
        <w:rPr>
          <w:rFonts w:ascii="Simplified Arabic" w:hAnsi="Simplified Arabic" w:cs="Simplified Arabic"/>
          <w:rtl/>
        </w:rPr>
        <w:t>( القحطاني لا، 2004، 171).</w:t>
      </w:r>
    </w:p>
    <w:p w:rsidR="006F32D7" w:rsidRPr="00AD4645" w:rsidRDefault="006F32D7" w:rsidP="0098206D">
      <w:pPr>
        <w:spacing w:line="360" w:lineRule="auto"/>
        <w:ind w:left="-337" w:right="993" w:firstLine="567"/>
        <w:rPr>
          <w:rFonts w:ascii="Simplified Arabic" w:hAnsi="Simplified Arabic" w:cs="Simplified Arabic"/>
          <w:rtl/>
        </w:rPr>
      </w:pPr>
    </w:p>
    <w:p w:rsidR="00047EE4" w:rsidRPr="006F32D7" w:rsidRDefault="00047EE4"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السياسات والحلول المقترحة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يتضح مما سبق أن البطالة في المملكة مشكلة اقتصادية ذات طبيعة خاصة وأبعاد متعددة، لذا فإن معالجتها تتطلب العمل على عدة محاور في وقت واحد على النحو التالي:</w:t>
      </w:r>
    </w:p>
    <w:p w:rsidR="00047EE4" w:rsidRPr="006F32D7" w:rsidRDefault="00412D59"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1/</w:t>
      </w:r>
      <w:r w:rsidR="00047EE4" w:rsidRPr="006F32D7">
        <w:rPr>
          <w:rFonts w:ascii="Simplified Arabic" w:hAnsi="Simplified Arabic" w:cs="Simplified Arabic"/>
          <w:b/>
          <w:bCs/>
          <w:sz w:val="28"/>
          <w:szCs w:val="28"/>
          <w:rtl/>
        </w:rPr>
        <w:t xml:space="preserve"> خلق المزيد من فرص العمل للسعوديين في القطاع الخاص</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من المعلوم أن توفير فرصة عمل إضافية له مردود، وله تكلفته أيضاً، فالمسألة ليست مجرد تسجيل شخص على كشوف الرواتب، فالعامل يحتاج إلى قدر معين من العناصر الإنتاجية الأخرى، التي تكمله لكي يعمل وينتج ويستحق حصة في الناتج حسب مساهمته في القيمة المضافة. وهذا القدر من العناصر الأخرى هو ما يعرف بالاستثمار أو تكوين الأصول الإنتاجية.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لذلك فإن الأمر يتطلب المزيد من الاستثمارات، أي المزيد من المشاريع الخاصة لزيادة الطلب على القوى العاملة. وإذا أردنا تشغيل العاطلين عن العمل في القطاع الخاص، فلابد أن نخلق لهم فرص عمل في القطاع الخاص، ليس فقط من خلال عمليات الإحلال، أي توطين الوظائف، بل وأيضاً من خلال خلق فرص عمل جديدة.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ويرجع ذلك إلى سببين: السبب الأول: أن أغلب فرص العمل الحالية في القطاع الخاص هي في قطاعات تقليدية ذات إنتاجية منخفضة تتناسب مع الأجور المدفوعة للوافدين العاملين فيها، كما أن بعضها بطبيعته الحالية لا يتوافق مع ثقافة العمل لدى أغلب السعوديين، مثل المهن الحرة وأعمال الصيانة والعمالة الفنية وغيرها من العمالة النظامية والماهرة في قطاعات التجارة والفنادق والخدمة المنزلية والبناء.</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من ناحية أخرى، لا تزال مساهمة القطاع الخاص في النشاط الاقتصادي وتوليد الناتج المحلي الإجمالي محدودة، حيث بلغت 47.8% في عام 2010. وبالتالي فإن مجالات العمل واسعة أمام القطاع الخاص في ظل التوجه الحالي نحو الخصخصة وزيادة مساهمة القطاع الخاص في النشاط الاقتصادي، وارتفاع معدل نمو أنشطته، الذي لا يزال أقل من نظيره في القطاع الحكومي.</w:t>
      </w:r>
    </w:p>
    <w:p w:rsidR="00047EE4" w:rsidRPr="006F32D7" w:rsidRDefault="00412D59"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2/</w:t>
      </w:r>
      <w:r w:rsidR="00047EE4" w:rsidRPr="006F32D7">
        <w:rPr>
          <w:rFonts w:ascii="Simplified Arabic" w:hAnsi="Simplified Arabic" w:cs="Simplified Arabic"/>
          <w:b/>
          <w:bCs/>
          <w:sz w:val="28"/>
          <w:szCs w:val="28"/>
          <w:rtl/>
        </w:rPr>
        <w:t xml:space="preserve"> تحديث وتطوير منشآت الأعمال في القطاع الخاص</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بيئة وظروف العمل في القطاع الخاص حالياً لا تشكل فرص عمل جاذبة للسعوديين، على الرغم من جهود الحكومة لتحسين هذه الظروف بكل السبل. لذا فإن تحسين هياكل وبيئة العمل في منشآت القطاع الخاص شرط ضروري للمساهمة في توفير فرص عمل عالية الإنتاجية وعالية الأجر وجذابة للسعوديين، وهذا يتطلب ما يلي:</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إعادة هيكلة العديد من المشاريع والمنشآت الخاصة؛ وتطوير هياكلها وتحديث وسائل إنتاجها؛ بما يساعد على رفع إنتاجية العمالة؛ وبالتالي تمكينها من دفع أجور أعلى تجذب العمال السعوديين مع تغير بيئة العمل.</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على سبيل المثال، إذا تم تنظيم وتطوير العمل في قطاع الفنادق والقرى السياحية والأجنحة المفروشة والخدمات السياحية وخدمات الإرشاد بشكل يتناسب مع أهمية هذه الخدمات، وتطويره لتوفير بيئة عمل مناسبة وتحقيق عائد أعلى لصاحب العمل، فسيمكنها ذلك من دفع أجور أعلى للسعوديين.</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إن تنظيم العمل في القطاعات غير الرسمية في العديد من المجالات، مثل تجارة التجزئة والخدمات المنزلية والمجتمعية، وعلى غرار ما حدث في خدمات الأمن، سيساعد على رفع الإنتاجية وتطوير بيئة العمل وتحسين مستويات الأجور واستقطاب أعداد إضافية من العمال السعوديين المنتظمين والمهرة.</w:t>
      </w:r>
    </w:p>
    <w:p w:rsidR="00A968D2"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وسوف يتوسع القطاع الخاص في أنشطة التكنولوجيا الحديثة في قطاعات جديدة مثل الإلكترونيات والهندسة الحيوية والاتصالات والخدمات المالية والمصرفية، وبالتالي خلق فرص عمل ذات إنتاجية عالية ومستويات أجور مرتفعة.</w:t>
      </w:r>
    </w:p>
    <w:p w:rsidR="001B16E3" w:rsidRPr="006F32D7" w:rsidRDefault="00412D59" w:rsidP="0098206D">
      <w:pPr>
        <w:spacing w:line="360" w:lineRule="auto"/>
        <w:ind w:left="-337" w:right="993" w:firstLine="567"/>
        <w:rPr>
          <w:rFonts w:ascii="Simplified Arabic" w:hAnsi="Simplified Arabic" w:cs="Simplified Arabic"/>
          <w:b/>
          <w:bCs/>
          <w:sz w:val="28"/>
          <w:szCs w:val="28"/>
        </w:rPr>
      </w:pPr>
      <w:r w:rsidRPr="006F32D7">
        <w:rPr>
          <w:rFonts w:ascii="Simplified Arabic" w:hAnsi="Simplified Arabic" w:cs="Simplified Arabic"/>
          <w:b/>
          <w:bCs/>
          <w:sz w:val="28"/>
          <w:szCs w:val="28"/>
          <w:rtl/>
        </w:rPr>
        <w:t>3/</w:t>
      </w:r>
      <w:r w:rsidR="001B16E3" w:rsidRPr="006F32D7">
        <w:rPr>
          <w:rFonts w:ascii="Simplified Arabic" w:hAnsi="Simplified Arabic" w:cs="Simplified Arabic"/>
          <w:b/>
          <w:bCs/>
          <w:sz w:val="28"/>
          <w:szCs w:val="28"/>
        </w:rPr>
        <w:t xml:space="preserve"> </w:t>
      </w:r>
      <w:r w:rsidR="001B16E3" w:rsidRPr="006F32D7">
        <w:rPr>
          <w:rFonts w:ascii="Simplified Arabic" w:hAnsi="Simplified Arabic" w:cs="Simplified Arabic"/>
          <w:b/>
          <w:bCs/>
          <w:sz w:val="28"/>
          <w:szCs w:val="28"/>
          <w:rtl/>
        </w:rPr>
        <w:t>إعداد قوة العمل السعودية للعمل في القطاع الخاص المتطور</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وعلى جانب العرض هناك عدة عناصر أساسية أولها الاستمرار في دعم جهود مختلف الجهات الحكومية والأهلية التي تقدم خدمات التدريب والتأهيل وأبرزها صندوق تنمية الموارد البشرية وجهوده المتنوعة وبرامجه العديدة للأفراد المؤهلين وغير المؤهلين، وضرورة الاهتمام بمراكز التدريب وتجهيزها ودعم التعاون مع منشآت القطاع الخاص في مجال التدريب على رأس العمل وإشراكها في تطوير برامج التدريب وإعدادها على أعلى مستوى، وهو ما يشكل حجر الأساس في فاعلية برامج التدريب وتحقيق أهدافها، لذا فإن إشراك منشآت الأعمال وإداراتها ذات العلاقة في إعداد وتنفيذ برامج التدريب أمر ضروري، كما أن دور مؤسسات التعليم الأساسي والمهني والجامعي له أهمية خاصة في تأهيل الخريجين لسوق العمل وتزويدهم بالمعارف والمهارات اللازمة لشغل الوظائف عالية الإنتاجية. ويمكن تطبيق نظام التعليم والتدريب التعاوني الذي تطبقه العديد من الجامعات العالمية مثل جامعة واترلو الكندية والتي تعد رائدة في هذا المجال حيث يتم توزيع المقررات بين التدريس الفصلي والتدريب في منشآت الأعمال من خلال عقود التدريب أو العمل بدوام جزئي مما يساعد الطلاب على اكتساب ثقافة الأعمال وقيم العمل والمهارات اللازمة ويضمن فرص العمل فور التخرج. وباختصار: إن مشكلة البطالة بين السعوديين ذات طبيعة خاصة، وتنمية سوق العمل بطرفيه جانب الطلب وجانب العرض شرطان ضروريان لحل المشكلة وخفض معدل البطالة إلى أدنى حد، ولكن هذين الشرطين غير كافيين، فالشرط الكافي هو تنفيذ قدر مناسب من الاستثمارات في القطاعين الخاص والعام والتي تضيف إلى القدرات الإنتاجية وتخلق فرص عمل عمانية إضافية بتقنيات عالية وإنتاجية عالية وأجور مناسبة.</w:t>
      </w:r>
      <w:r w:rsidR="00375D3F" w:rsidRPr="00AD4645">
        <w:rPr>
          <w:rFonts w:ascii="Simplified Arabic" w:hAnsi="Simplified Arabic" w:cs="Simplified Arabic"/>
          <w:rtl/>
        </w:rPr>
        <w:t>( نوري ،2000، 70).</w:t>
      </w:r>
    </w:p>
    <w:p w:rsidR="00047EE4" w:rsidRPr="006F32D7" w:rsidRDefault="00412D59"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4/</w:t>
      </w:r>
      <w:r w:rsidR="00047EE4" w:rsidRPr="006F32D7">
        <w:rPr>
          <w:rFonts w:ascii="Simplified Arabic" w:hAnsi="Simplified Arabic" w:cs="Simplified Arabic"/>
          <w:b/>
          <w:bCs/>
          <w:sz w:val="28"/>
          <w:szCs w:val="28"/>
          <w:rtl/>
        </w:rPr>
        <w:t xml:space="preserve"> إجراء حوار بين الأطراف ذات الصلة</w:t>
      </w:r>
    </w:p>
    <w:p w:rsidR="00047EE4" w:rsidRPr="00AD4645" w:rsidRDefault="00047EE4"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يمثل الحوار والتشاور بين الأطراف المعنية بقضية التشغيل والبطالة مدخلاً أساسياً للوصول إلى قناعات وإجماع حول عدد من القضايا. إن الأطراف المعنية بالتوظيف في المملكة تشمل الجهات الحكومية، والقطاع الخاص، ومنظمات القطاع الخاص كالغرف التجارية والصناعية، وممثلي الباحثين عن عمل والطلاب، والجهات المسؤولة عن التدريب والتأهيل، ولا يجوز إقصاء طرف على حساب طرف آخر، أو وضع السياسات والإجراءات منفردة دون توافق عام، حتى تتولد القناعات العامة وتجد الحلول طريقها إلى التنفيذ. وهناك عدة محاور للحوار:</w:t>
      </w:r>
    </w:p>
    <w:p w:rsidR="00047EE4"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أ/ </w:t>
      </w:r>
      <w:r w:rsidR="00047EE4" w:rsidRPr="00AD4645">
        <w:rPr>
          <w:rFonts w:ascii="Simplified Arabic" w:hAnsi="Simplified Arabic" w:cs="Simplified Arabic"/>
          <w:rtl/>
        </w:rPr>
        <w:t>أدوات السياسة المالية، وخاصة الإنفاق العام، والبحث عن سبل تفعيلها، مثل: تفعيل دور المشاريع الاستثمارية العامة في تشغيل السعوديين.</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ب/ </w:t>
      </w:r>
      <w:r w:rsidR="001B16E3" w:rsidRPr="00AD4645">
        <w:rPr>
          <w:rFonts w:ascii="Simplified Arabic" w:hAnsi="Simplified Arabic" w:cs="Simplified Arabic"/>
          <w:rtl/>
        </w:rPr>
        <w:t>دعم البرامج التدريبية للعاملين في المنشآت الخاصة، التي يقودها صندوق تنمية الموارد البشرية</w:t>
      </w:r>
      <w:r w:rsidR="001B16E3" w:rsidRPr="00AD4645">
        <w:rPr>
          <w:rFonts w:ascii="Simplified Arabic" w:hAnsi="Simplified Arabic" w:cs="Simplified Arabic"/>
        </w:rPr>
        <w:t>.</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ج/ </w:t>
      </w:r>
      <w:r w:rsidR="001B16E3" w:rsidRPr="00AD4645">
        <w:rPr>
          <w:rFonts w:ascii="Simplified Arabic" w:hAnsi="Simplified Arabic" w:cs="Simplified Arabic"/>
          <w:rtl/>
        </w:rPr>
        <w:t xml:space="preserve"> وضع حد أدنى للأجور، مع السعي لربط الأجر بالإنتاجية</w:t>
      </w:r>
      <w:r w:rsidR="001B16E3" w:rsidRPr="00AD4645">
        <w:rPr>
          <w:rFonts w:ascii="Simplified Arabic" w:hAnsi="Simplified Arabic" w:cs="Simplified Arabic"/>
        </w:rPr>
        <w:t>.</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د/ </w:t>
      </w:r>
      <w:r w:rsidR="001B16E3" w:rsidRPr="00AD4645">
        <w:rPr>
          <w:rFonts w:ascii="Simplified Arabic" w:hAnsi="Simplified Arabic" w:cs="Simplified Arabic"/>
          <w:rtl/>
        </w:rPr>
        <w:t xml:space="preserve"> وضع قواعد لتشجيع علاقات العمل الرسمية والتشريع لذلك</w:t>
      </w:r>
      <w:r w:rsidR="001B16E3" w:rsidRPr="00AD4645">
        <w:rPr>
          <w:rFonts w:ascii="Simplified Arabic" w:hAnsi="Simplified Arabic" w:cs="Simplified Arabic"/>
        </w:rPr>
        <w:t>.</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ه/ </w:t>
      </w:r>
      <w:r w:rsidR="001B16E3" w:rsidRPr="00AD4645">
        <w:rPr>
          <w:rFonts w:ascii="Simplified Arabic" w:hAnsi="Simplified Arabic" w:cs="Simplified Arabic"/>
          <w:rtl/>
        </w:rPr>
        <w:t xml:space="preserve"> التدخل المباشر من خلال تقديم الاستشارات أو الدعم المالي؛ لإعادة هيكلة بعض المنشآت، بغرض زيادة فرص العمل والتشغيل للسعوديين، على أن يكون هذا التوجه بناء على طلب منشآت الأعمال</w:t>
      </w:r>
      <w:r w:rsidR="001B16E3" w:rsidRPr="00AD4645">
        <w:rPr>
          <w:rFonts w:ascii="Simplified Arabic" w:hAnsi="Simplified Arabic" w:cs="Simplified Arabic"/>
        </w:rPr>
        <w:t xml:space="preserve"> Demand Driven </w:t>
      </w:r>
      <w:r w:rsidR="001B16E3" w:rsidRPr="00AD4645">
        <w:rPr>
          <w:rFonts w:ascii="Simplified Arabic" w:hAnsi="Simplified Arabic" w:cs="Simplified Arabic"/>
          <w:rtl/>
        </w:rPr>
        <w:t>من خلال توفير مجموعة من الحوافز والدعم لإعادة هيكلة المنشآت وتأهيلها لاستيعاب مزيد من العمالة السعودية المدربة</w:t>
      </w:r>
      <w:r w:rsidR="001B16E3" w:rsidRPr="00AD4645">
        <w:rPr>
          <w:rFonts w:ascii="Simplified Arabic" w:hAnsi="Simplified Arabic" w:cs="Simplified Arabic"/>
        </w:rPr>
        <w:t>.</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ز/ </w:t>
      </w:r>
      <w:r w:rsidR="001B16E3" w:rsidRPr="00AD4645">
        <w:rPr>
          <w:rFonts w:ascii="Simplified Arabic" w:hAnsi="Simplified Arabic" w:cs="Simplified Arabic"/>
          <w:rtl/>
        </w:rPr>
        <w:t xml:space="preserve"> إشراك القطاع الخاص في مجالس إدارات الجهات الحكومية المسئولة عن التشغيل والتدريب والتأهيل</w:t>
      </w:r>
      <w:r w:rsidR="001B16E3" w:rsidRPr="00AD4645">
        <w:rPr>
          <w:rFonts w:ascii="Simplified Arabic" w:hAnsi="Simplified Arabic" w:cs="Simplified Arabic"/>
        </w:rPr>
        <w:t>.</w:t>
      </w:r>
    </w:p>
    <w:p w:rsidR="001B16E3" w:rsidRPr="00AD4645" w:rsidRDefault="009E2085" w:rsidP="0098206D">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 xml:space="preserve">ح/ </w:t>
      </w:r>
      <w:r w:rsidR="001B16E3" w:rsidRPr="00AD4645">
        <w:rPr>
          <w:rFonts w:ascii="Simplified Arabic" w:hAnsi="Simplified Arabic" w:cs="Simplified Arabic"/>
          <w:rtl/>
        </w:rPr>
        <w:t xml:space="preserve"> مساعدة أصحاب الأعمال، والعاملين في حالات الأزمات للتوصل إلى حلول وسط تحول دون الاستغناء عن عدد كبير من العاملين، أو إعادة هيكلة المنشآت، وفي معالجة صور العمل غير القانوني، وفي التأهيل أو إعادة التأهيل للعاملين، وزيادة فرص التدريب على رأس العمل</w:t>
      </w:r>
      <w:r w:rsidR="001B16E3" w:rsidRPr="00AD4645">
        <w:rPr>
          <w:rFonts w:ascii="Simplified Arabic" w:hAnsi="Simplified Arabic" w:cs="Simplified Arabic"/>
        </w:rPr>
        <w:t>.</w:t>
      </w:r>
    </w:p>
    <w:p w:rsidR="009E2085" w:rsidRPr="006F32D7" w:rsidRDefault="00412D59"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 xml:space="preserve">5/ </w:t>
      </w:r>
      <w:r w:rsidR="001B16E3" w:rsidRPr="006F32D7">
        <w:rPr>
          <w:rFonts w:ascii="Simplified Arabic" w:hAnsi="Simplified Arabic" w:cs="Simplified Arabic"/>
          <w:b/>
          <w:bCs/>
          <w:sz w:val="28"/>
          <w:szCs w:val="28"/>
        </w:rPr>
        <w:t xml:space="preserve"> </w:t>
      </w:r>
      <w:r w:rsidR="009E2085" w:rsidRPr="006F32D7">
        <w:rPr>
          <w:rFonts w:ascii="Simplified Arabic" w:hAnsi="Simplified Arabic" w:cs="Simplified Arabic"/>
          <w:b/>
          <w:bCs/>
          <w:sz w:val="28"/>
          <w:szCs w:val="28"/>
          <w:rtl/>
        </w:rPr>
        <w:t>تكامل السياسات لمكافحة البطالة</w:t>
      </w:r>
    </w:p>
    <w:p w:rsidR="009E2085"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يمكن القول أن ضمان نجاح هذه السياسات يكمن في ضرورة التكامل والتنسيق بين الجوانب الأساسية التي تعكسها، وهي السياسات الاقتصادية الكلية (السياسة المالية والنقدية بشكل رئيسي)، وسياسات التشغيل وسوق العمل، ومن ثم سياسات الحماية والضمان الاجتماعي. وكما لاحظنا، هناك تداخل كبير، وخاصة بين سياسات التشغيل والضمان الاجتماعي، مما يشير إلى فائدة متزايدة إذا تم التعامل مع المشكلة في إطار حزمة متكاملة من هذه السياسات مجتمعة. السياسات الاقتصادية التي تدفع النمو الاقتصادي إلى الأمام تساعد في توفير المزيد من فرص العمل والتشغيل ومعالجة البطالة، إذا استند النمو إلى سياسات محددة لتشغيل السعوديين وإعدادهم لسوق العمل، مدعومة بسياسات الضمان الاجتماعي التي توفر الاستقرار وفرص العمل في القطاع الخاص.</w:t>
      </w:r>
    </w:p>
    <w:p w:rsidR="009E2085"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أن تصميم سياسات التشغيل وسوق العمل بشكل جيد من شأنه أن يزيد بشكل كبير من إمكانيات النمو الاقتصادي، كما أن الإنفاق الاستثماري الحكومي يخلق المزيد من فرص العمل لكل وحدة استثمارية عندما يتم التخطيط للإنفاق العام كجزء من استراتيجية لمعالجة مشكلة البطالة وإنعاش السوق المحلية بالعمل من خلال دعم المشاريع الصغيرة والمتوسطة وبرامج تدريب العمالة.</w:t>
      </w:r>
    </w:p>
    <w:p w:rsidR="009E2085"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ومن ناحية أخرى فإن تطوير كل من نظام التأمينات الاجتماعية ونظام الضمان الاجتماعي من شأنه أن يؤدي إلى استقرار التوظيف والعودة إلى سوق العمل ومكافحة الفقر.</w:t>
      </w:r>
    </w:p>
    <w:p w:rsidR="009E2085"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ورغم أن برامج الضمان الاجتماعي تخدم أغراضاً اجتماعية أساسية، حيث توفر الحماية لأفراد المجتمع من عدة مخاطر مثل الإعاقة والشيخوخة والوفاة ومكافحة الفقر، فإنها تؤدي أيضاً وظيفة اقتصادية على المدى القصير، حيث تدعم الطلب الكلي، وخاصة في أوقات الركود، وعلى المدى الطويل، حيث تساعد في بناء رأس المال البشري، وزيادة إنتاجية العمل، وبالتالي دعم استمرارية التنمية والنمو الاقتصادي من خلال تحقيق الاستقرار في قوة العمل.</w:t>
      </w:r>
    </w:p>
    <w:p w:rsidR="009E2085"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يشكل الحوار المجتمعي حول سوق العمل آلية مهمة لضمان تركيز السياسات المختلفة على الأولويات والاحتياجات التي تهم جميع الأطراف وضمان تنفيذها بنجاح. ولا شك أن تطوير برامج التدريب التي توليها المملكة اهتماماً كبيراً، وتوسيعها لتشمل فئات جديدة، مثل خريجي الجامعات في تخصصات معينة، يساعد في إعداد القوى العاملة للمساهمة في النمو مستقبلاً، استجابة للاكتشافات والتطورات التكنولوجية، ومواجهة أهم سمات البطالة بين السعوديين، وهي ارتفاع معدل البطالة بين الداخلين الجدد إلى سوق العمل، وفئة الشباب بشكل عام والإناث بشكل خاص.</w:t>
      </w:r>
    </w:p>
    <w:p w:rsidR="00412D59"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العلاقة بين التضخم والبطالة في النظام السعودي: البطالة والتضخم متشابكان، حيث تتناوب البطالة والركود مع التضخم والازدهار، وفي بعض الأحيان تتزامنان، كما حدث في أواخر السبعينيات من القرن الماضي، عندما شهد الاقتصاد العالمي ما عرف بظاهرة الركود التضخمي أو التضخم الركودي. ولا يعني التشغيل الكامل الوصول إلى البطالة الصفرية في الاقتصاد الوطني، حيث يعرف الاقتصاديون مستوى التشغيل الكامل بأنه المستوى الذي يصل عنده معدل البطالة إلى ما يعرف بالمعدل الطبيعي، مما يعني وجود مستوى معين من البطالة يسمى المعدل الطبيعي للبطالة. </w:t>
      </w:r>
    </w:p>
    <w:p w:rsidR="001B16E3" w:rsidRPr="00AD4645" w:rsidRDefault="009E2085"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وإذا تحقق ذلك فيمكن القول بأن الاقتصاد قد وصل إلى مستوى التشغيل الكامل. ويقسم الاقتصاديون البطالة إلى بطالة هيكلية ناتجة عن عدم التوافق بين عرض العمل والطلب عليه، وبطالة احتكاكية ناتجة عن دوران العمالة. ونضيف نوعين آخرين: البطالة الدورية أي الناتجة عن دورة الأعمال، والبطالة الموسمية الناتجة عن العمل في مواسم معينة دون غيرها على مدار العام. (البسام، 2017).</w:t>
      </w:r>
    </w:p>
    <w:p w:rsidR="00E52767" w:rsidRDefault="00E5276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Pr="00AD4645" w:rsidRDefault="006F32D7" w:rsidP="0098206D">
      <w:pPr>
        <w:spacing w:line="360" w:lineRule="auto"/>
        <w:ind w:left="-337" w:right="993" w:firstLine="567"/>
        <w:rPr>
          <w:rFonts w:ascii="Simplified Arabic" w:hAnsi="Simplified Arabic" w:cs="Simplified Arabic"/>
          <w:rtl/>
        </w:rPr>
      </w:pPr>
    </w:p>
    <w:p w:rsidR="0075159D" w:rsidRPr="006F32D7" w:rsidRDefault="0075159D"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الدراسات السابقة</w:t>
      </w:r>
    </w:p>
    <w:p w:rsidR="00625F4F" w:rsidRPr="006F32D7" w:rsidRDefault="00625F4F"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 xml:space="preserve">اولا : دراسات حول البطالة </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حظيت قضايا السكان وسوق العمل والتشغيل والبطالة في المملكة، كما في دول مجلس التعاون الخليجي الأخرى، باهتمام العديد من مراكز الأبحاث والوزارات المسؤولة والباحثين، وإن كان التركيز قد انصب بشكل أكبر على قضايا التركيبة السكانية وهيكل القوى العاملة وإحلال العمالة الوطنية محل العمالة الأجنبية ودراسة الآثار الاجتماعية والثقافية لاختلال التوازن في التركيبة السكانية وهيكل القوى العاملة الناتج عن زيادة العمالة الوافدة.</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وكانت الدراسات والأدبيات التي تناولت قضية البطالة في المملكة وفيرة، وجاء الكثير منها في إطار تناول قضية التشغيل والاهتمام بالعنصر البشري بشكل عام، وهو ما حظي باهتمام كبير من المسؤولين وعالجته خطط التنمية المتعاقبة. وتزايد الاهتمام بقضية البطالة مع ظهور ظاهرة البطالة بين الأجيال الشابة التي التحقت حديثاً بسوق العمل، وكان من الضروري البحث عن حلول لمواجهتها، خاصة من خلال دعوات توطين الوظائف أو ما يعرف بالسعودة، وهي أسهل الطرق لتشغيل السعوديين نظرياً.</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كما تناولت بعض الدراسات والبحوث قضايا البطالة ضمن ثنايا الدراسات العامة حول الأداء الاقتصادي ومشكلات التنمية وتطوير هياكل الاقتصاديات النفطية وتحقيق معدلات نمو اقتصادي مرتفعة وتحقيق مستويات معيشية أفضل للسكان. وتعود أسباب تأخر معالجة قضايا البطالة في البحوث إلى عدم ظهورها بشكل جدي إلا في الآونة الأخيرة، نتيجة للوفرة المالية التي حققتها دول الخليج نتيجة ارتفاع أسعار النفط وقيام الحكومة بتوفير مجموعة واسعة من الخدمات، وتوسع خطط وبرامج التنمية التي أدت إلى زيادة الطلب على العمالة الوافدة الماهرة والعادية، مع قيام الحكومات بتوفير فرص العمل للمواطنين في الأجهزة الحكومية بشكل خاص. ولكن بعض الدراسات تشير إلى أن الوفرة المالية رافقها انفجار سكاني في المملكة، مع اهتمام واسع بالتعليم، وتحول في الثقافات التي سمحت للمرأة بدخول سوق العمل، وهو ما أدى في السنوات الأخيرة إلى زيادة المعروض من العمالة من السكان الوطنيين، وزيادة مشاركة المرأة في العمل، وبالتالي زيادة الدعم الحكومي لعملية السعودة أو استبدال العمالة الوافدة بالعمالة الوطنية، باعتبار أن قدرة الحكومة على استيعاب العمالة الإضافية في القطاع الحكومي كانت محدودة مقارنة بالراغبين في العمل في الحكومة في وقت كانت فيه استجابة القطاع الخاص لتشغيل السعوديين محدودة للغاية. ومن ناحية أخرى، كانت رغبة العمالة الوطنية في العمل في القطاع الخاص مشروطة بمستوى عال من العائد، بالإضافة إلى مشكلة عدم التوافق بين مخرجات عمليات التعليم والتدريب ومتطلبات سوق العمل في القطاع الخاص. ومن هنا بدأت مشكلة البطالة بين السعوديين بالظهور بشكل أساسي، وبدأ الاهتمام بالدراسات التي تركز بشكل أساسي على ظاهرة البطالة وقضايا تشغيل المواطنين. وقد تنوعت مناهج هذه الدراسات في تناولها للقضية، ووضعتها في مقدمة القضايا الجديرة بالاهتمام، إلا أن أهم ما يمكن استنتاجه من أغلب هذه الدراسات هو ميلها إلى التركيز على عملية السعودة كمنهج أساسي لحل المشكلة، دون التطرق إلى أنواع البطالة وأبعادها، ومن ثم التعرف على أسبابها الحقيقية. ومن أهم الدراسات التي ركزت على الجانب الديموغرافي لقضية البطالة دراسة (2003) جويتز، والتي أشارت إلى أن العوامل الديموغرافية أصبحت مشكلة داخلية في الاقتصاد السعودي بسبب الزيادة الكبيرة في عدد المواليد التي جاءت نتيجة للزواج الكبير في أوائل تسعينيات القرن العشرين وهم الآن في سن العمل. كما ناقشت دراسة كابيشيفسكي (2006) معضلة السكان في دول مجلس التعاون الخليجي، بما في ذلك المملكة العربية السعودية، والمحددات الاقتصادية والسياسية للسياسات المتعلقة بالقوى العاملة، وخاصة آثار العمالة الوافدة، سواء العربية أو الآسيوية، على السكان الوطنيين، وتركيبة القوى العاملة وتعرضها للتفتت الشديد في سوق العمل على الرغم من دورها في تسريع عملية النمو وزيادة الأداء.</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وفي إحدى أوراق العمل التي أعدها صندوق النقد العربي (2007) كبودار حول أسباب ارتفاع معدل البطالة، تمت الإشارة إلى أن قوانين العمل قد تكون أحد الأسباب وراء زيادة معدلات البطالة، كما أن الصدمات التي تؤثر على الاقتصاد الكلي ومعدل النمو تعد عاملاً محدداً لمعدل البطالة، في حين أن زيادة الإنتاجية وانخفاض كل من معدل التضخم وأسعار الفائدة يساعدان على خفض معدل البطالة. أما دراسة (2003) تايكر فقد ركزت على قضية البطالة في المملكة من النواحي الديموغرافية والاقتصادية الكلية وسوق العمل، إلا أن الدراسة طبقت على الفترة من 2000-2004م، حيث كان معدل البطالة حوالي 3-4%، وكانت مشاركة المرأة في القوى العاملة محدودة، إلا أنها أكدت أن هناك تحدياً ناتجاً عن انفجار سكاني سيحدث في المستقبل عندما يصل أطفال عصر الطفرة النفطية (1992) إلى سن العمل، وهو ما يحدث حالياً. وبينما ركزت بعض الدراسات (2008) التي أجراها كيندرز وأويليامز على الاقتصاد السعودي على خطورة مشكلة التضخم في الأمد القريب على الرغم من النمو المرتفع الذي حققه الاقتصاد السعودي منذ عام 2003، ومع ارتفاع أسعار النفط وصل معدل النمو إلى متوسط </w:t>
      </w:r>
      <w:r w:rsidRPr="00AD4645">
        <w:rPr>
          <w:rFonts w:ascii="Simplified Arabic" w:hAnsi="Simplified Arabic" w:cstheme="majorBidi"/>
          <w:rtl/>
        </w:rPr>
        <w:t>​​</w:t>
      </w:r>
      <w:r w:rsidRPr="00AD4645">
        <w:rPr>
          <w:rFonts w:ascii="Simplified Arabic" w:hAnsi="Simplified Arabic" w:cs="Simplified Arabic"/>
          <w:rtl/>
        </w:rPr>
        <w:t>نحو 5.4% خلال الفترة من 2003-2007، إلا أن هناك تأكيداً على أن البطالة بين الشباب لا تزال مرتفعة، مما يعكس عدم التوافق بين مخرجات التعليم ونوع المهارات مع الطلب على العمالة، بالإضافة إلى الأجور المرتفعة التي تدفعها الحكومة للسعوديين، وهو ما يمثل مشكلة أساسية في الأمد البعيد.</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وفي دراسة مهمة عن سوق العمل في المملكة أعدها مشتركاً البنك الدولي ووزارة الاقتصاد والتخطيط (1984) سراج الدين وآخرون ونشرت في كتاب، ركزت الدراسة على التحديات التي واجهت سوق العمل في المملكة خلال الخطة الخمسية الثالثة (1970-1975)، وهدفت إلى محاولة فهم التغيرات التي طرأت على ظروف سوق العمل في أواخر السبعينيات من القرن الماضي.</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وعلى الرغم من أهمية النتائج التي توصلت إليها، إلا أن ظروف سوق العمل تغيرت بشكل كبير في الوقت الحاضر، إلا أن منهج الدراسة يظل مفيداً في التطبيق.</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ومن الدراسات المهمة في هذا الصدد دراسة الدوسري وآخرون (2005)، التي قدمت منهجا متكاملا لحل مشكلة البطالة في سوق العمل السعودي، من خلال تحليل أسبابها وما يميزها عن الدول الأخرى، والاعتماد المتزايد على العمالة الأجنبية الذي أدى إلى تعميق البطالة بين السعوديين، كما قدمت منهجا متكاملا لتحسين التعاون بين مختلف الجهات الحكومية وتشجيع مساهمة القطاع الخاص في النشاط الاقتصادي، وتطوير قانون العمل وإصدار مجموعة من القوانين والتشريعات لتنظيم سوق العمل والتوظيف، وخاصة في القطاع الخاص، وتنظيم عملية استقدام العمالة الأجنبية. تتناول الدراسة (عماد موسى 2008) أثر النمو الاقتصادي على البطالة في الدول العربية، حيث تختبر الدراسة مدى ملاءمة قانون أوكن الذي يؤكد وجود علاقة ارتباط بين سوق الناتج (والنمو الاقتصادي) وسوق العمل، وذلك من خلال وجود علاقة سببية بين معدل النمو الاقتصادي في الأجل القصير ومعدل البطالة، وتخلص الدراسة إلى أن عدم إمكانية تطبيق قانون أوكن في الدول العربية موضوع الدراسة يتناقض مع العديد من النتائج التطبيقية التي تدعم وجود القانون في الدول المتقدمة، وعزت ذلك إلى ركود الأسواق في الدول العربية وعدم تنوع الهياكل الاقتصادية فيها، وهو ما ينطبق بطبيعة الحال على الاقتصاد السعودي.</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وتشير دراسة (حسن وساسانبور، 2008) حول البطالة في مصر إلى أن النمو الاقتصادي لا يؤدي بالضرورة إلى انخفاض كبير في معدلات البطالة إلا إذا كان ثابتاً، ويرتكز على توسع الأنشطة كثيفة العمالة، ويصاحبه تغيرات هيكلية في سوق العمل.</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وخلصت دراسة (البدوي ولويزو، 2008) إلى أن انتشار ظاهرة القطاع غير الرسمي في أغلب الدول العربية يؤدي إلى انخفاض النمو الاقتصادي بسبب سوء توزيع الموارد والاستخدام غير الكفء للخدمات الحكومية، مما يضر بالنمو الاقتصادي والتشغيل والمشاريع الصغيرة والمتناهية الصغر.</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وتتناول دراسة (إنجو وإميلي، 2010) جانباً مهماً من مشكلة البطالة يتعلق بمفهوم البطالة وطريقة حساب معدل البطالة السنوي، حيث ترى أن أهم ما يميز معدل البطالة هو أبعاده المتعددة، حيث يتضمن عدد العاطلين عن العمل ونسبتهم من إجمالي قوة العمل، ومن ثم تاريخ أو توقيت البطالة.</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البعد الثالث يتعلق بطول فترة البطالة أي البعد الزمني الذي يقيس معدل السكان المعرضين للبطالة.</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لقد أصبحت البطالة في السعودية ظاهرة طويلة الأمد، ولعل من أهم عيوب إحصاءات معدلات البطالة أنها تقيس رصيد العاطلين عن العمل أي أعدادهم أو نسبتهم إلى قوة العمل في نقطة زمنية محددة سواء في منتصف العام أو في نهايته دون الأخذ في الاعتبار الفترة التي قضاها العاطل عن العمل أي الفترة التي عاشها عاطلاً عن العمل حيث تم اعتباره ضمن هذه الفئة.</w:t>
      </w:r>
    </w:p>
    <w:p w:rsidR="00F500DA"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وفي دراسة حول إطار السياسات لفهم البطالة في الدول العربية، اعتمد أحسن وليو (2008) على خمس أطروحات حول العلاقة بين البطالة وكل من معدل نمو الناتج المحلي الإجمالي، ورأس المال البشري، ومشاركة القوى العاملة، وخدمات رأس المال، والعولمة، ثم رصدا مجموعة من النتائج التطبيقية التي أظهرت أن زيادة معدل النمو الاقتصادي بمقدار نقطة مئوية واحدة يؤدي إلى انخفاض معدل البطالة بنحو 3.2%، وأن زيادة متوسط </w:t>
      </w:r>
      <w:r w:rsidRPr="00AD4645">
        <w:rPr>
          <w:rFonts w:ascii="Simplified Arabic" w:hAnsi="Simplified Arabic" w:cstheme="majorBidi"/>
          <w:rtl/>
        </w:rPr>
        <w:t>​​</w:t>
      </w:r>
      <w:r w:rsidRPr="00AD4645">
        <w:rPr>
          <w:rFonts w:ascii="Simplified Arabic" w:hAnsi="Simplified Arabic" w:cs="Simplified Arabic"/>
          <w:rtl/>
        </w:rPr>
        <w:t>العمر المتوقع عند الولادة بنحو 2.7 سنة يؤدي إلى زيادة معدل البطالة بنحو 3.7%، كما تؤدي التقلبات في معدل النمو الاقتصادي إلى زيادة معدل البطالة.</w:t>
      </w:r>
    </w:p>
    <w:p w:rsidR="00A968D2" w:rsidRPr="00AD4645" w:rsidRDefault="00F500DA"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وتنتهي دراسة العباس (2008) إلى نتيجة مهمة وهي أن ممارسات التنمية المتمثلة في استخدام العمالة في القطاع الحكومي لرفع مستويات رفاهية المواطنين كما في المملكة العربية السعودية أدت إلى تفتت عميق لسوق العمل وانعكس ذلك على اتجاه المواطنين للعمل في القطاع الحكومي واعتماد القطاع الخاص على تشغيل الوافدين. ويخلص إلى أنه مهما نما الاقتصاد الوطني فإن مشكلة البطالة لا يمكن حلها إلا بتفعيل وتنمية توطين العمالة الوطنية في القطاع الخاص. وتؤكد دراسة عبد الرحمن ومحمد (2008) حول سوق العمل في الجزائر وأثر السياسات الاقتصادية الكلية على معدلات البطالة أن السياسة المالية التوسعية التي انتهجتها الحكومة برفع الإنفاق العام لزيادة معدل النمو الاقتصادي والتشغيل لم يكن لها أي أثر يخدم هذا المنظور. وعزت الدراسة سبب ذلك إلى ضعف جهاز الإنتاج وإمكانياته المحدودة، وأن معدلات التشغيل في الاقتصاد الجزائري تظل خاضعة لمعدلات النمو المحققة والتي بدورها تخضع لارتفاع أسعار النفط في الأسواق العالمية. وقد أجرت منظمة العمل الدولية عدداً من الدراسات والأبحاث حول البطالة والتشغيل في دول مجموعة العشرين ومن بينها المملكة العربية السعودية، وأشارت في العديد من هذه الدراسات إلى أن الاقتصاد السعودي نجح في التغلب على الأثر الركودي للأزمة المالية (2008-2009). لكن مشكلة البطالة في المملكة هي مشكلة هيكلية، حيث ينقسم سوق العمل بين غالبية السعوديين العاملين في الحكومة والوافدين العاملين في القطاع الخاص، وأشار إلى أن التوسع في الإنفاق العام على المشاريع الكبرى لم يساعد في توفير فرص العمل للسعوديين بسبب نقص المهارات المطلوبة من السعوديين للعمل في مثل هذه المشاريع (منظمة العمل الدولية، 2011).</w:t>
      </w:r>
    </w:p>
    <w:p w:rsidR="00625F4F" w:rsidRPr="006F32D7" w:rsidRDefault="00625F4F" w:rsidP="0098206D">
      <w:pPr>
        <w:spacing w:line="360" w:lineRule="auto"/>
        <w:ind w:left="-337" w:right="993" w:firstLine="567"/>
        <w:rPr>
          <w:rFonts w:ascii="Simplified Arabic" w:hAnsi="Simplified Arabic" w:cs="Simplified Arabic"/>
          <w:b/>
          <w:bCs/>
          <w:sz w:val="28"/>
          <w:szCs w:val="28"/>
          <w:rtl/>
        </w:rPr>
      </w:pPr>
      <w:r w:rsidRPr="006F32D7">
        <w:rPr>
          <w:rFonts w:ascii="Simplified Arabic" w:hAnsi="Simplified Arabic" w:cs="Simplified Arabic"/>
          <w:b/>
          <w:bCs/>
          <w:sz w:val="28"/>
          <w:szCs w:val="28"/>
          <w:rtl/>
        </w:rPr>
        <w:t xml:space="preserve">ثانيا : دراسات حول البطالة والتخضم </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دراسة (زركوش، فرحان، زغير، 2019) بعنوان: قياس وتحليل العلاقة بين البطالة والتضخم والنمو الاقتصادي في العراق للفترة الممتدة (2003-2014) باستخدام نموذج </w:t>
      </w:r>
      <w:r w:rsidRPr="00AD4645">
        <w:rPr>
          <w:rFonts w:ascii="Simplified Arabic" w:hAnsi="Simplified Arabic" w:cs="Simplified Arabic"/>
        </w:rPr>
        <w:t>ARDL</w:t>
      </w:r>
      <w:r w:rsidRPr="00AD4645">
        <w:rPr>
          <w:rFonts w:ascii="Simplified Arabic" w:hAnsi="Simplified Arabic" w:cs="Simplified Arabic"/>
          <w:rtl/>
        </w:rPr>
        <w:t>.</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هدفت الدراسة إلى معرفة الأساليب التي تساعد في الحفاظ على الاستقرار النسبي في الأسعار المحلية وتحقيق معدل تشغيل مرتفع أو تشغيل كامل وتحقيق نمو اقتصادي سريع ومستدام ودراسة مدى تأثير البطالة والتضخم بشكل ملحوظ على النمو الاقتصادي. وقد توصلت الدراسة إلى أن التضخم لا يؤثر على البطالة بل تؤثر البطالة على التضخم بالإضافة إلى وجود علاقة سببية ثنائية الاتجاه بين البطالة والنمو الاقتصادي.</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دراسة (أمير، عبد الباسط، 2017) بعنوان: العلاقة بين التضخم والنمو الاقتصادي في الجزائر باستخدام نموذج عينة التضخم.</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اعتمد الباحثون على سلسلة زمنية للفترة الممتدة بين 1980-2016م باستخدام معدل نمو الناتج المحلي الإجمالي الحقيقي ومعدل التضخم في مؤشر أسعار المستهلك. وتوصلت الدراسة إلى وجود علاقة غير خطية بين المتغيرين من خلال وجود تأثير في حدود 6.5% وأنه تحت هذا المستوى لا يوجد تأثير للتضخم على النمو الاقتصادي، في حين أن المستويات التي تزيد عن 6.5% من معدلات التضخم لها تأثير سلبي قوي على النمو الاقتصادي.</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وكانت الدراسة (حيمور، 2018) بعنوان دراسة العلاقة السببية بين التضخم ومعدلات البطالة في الجزائر باستخدام منهج القياس الاقتصادي.</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وهدفت الدراسة إلى توضيح العلاقة بين البطالة والتضخم في الاقتصاد الجزائري في الفترة 2000-2017. ولتوضيح هذه العلاقة تم استخدام الأساليب والتقنيات الكمية للمساعدة في القياس والتقدير. وتوصلنا إلى وجود تأثير ضعيف لمعدل التضخم على معدل البطالة خلال فترة الدراسة. كما أظهر اختبار السببية لجرانجر عدم وجود علاقة سببية بينهما. كما أظهر أن النموذج الأمثل الذي يدرس العلاقة بين البطالة والتضخم هو النموذج غير الخطي. وقد تبين أن هناك علاقة عكسية بينهما وهو ما يتفق مع منحنى فيليبس إلا أن العلاقة بينهما علاقة ضعيفة وهو ما أثبته معامل التحديد.</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وقد جاءت الدراسة (الزين، 2020) بعنوان قياس التضخم على معدل البطالة في السودان في الفترة من 2007-2016م، وناقشت الدراسة البطالة كأحد الآثار التي ظهرت نتيجة لتطبيق سياسات الإصلاح والتعديل الهيكلي والخصخصة التي أدت إلى تسريح آلاف العمال لصالح الصالح العام. وتنمو البطالة في السودان بشكل ملحوظ حيث أنها أعلى من المتوسط </w:t>
      </w:r>
      <w:r w:rsidRPr="00AD4645">
        <w:rPr>
          <w:rFonts w:ascii="Simplified Arabic" w:hAnsi="Simplified Arabic" w:cstheme="majorBidi"/>
          <w:rtl/>
        </w:rPr>
        <w:t>​​</w:t>
      </w:r>
      <w:r w:rsidRPr="00AD4645">
        <w:rPr>
          <w:rFonts w:ascii="Simplified Arabic" w:hAnsi="Simplified Arabic" w:cs="Simplified Arabic"/>
          <w:rtl/>
        </w:rPr>
        <w:t xml:space="preserve">العالمي (13.2) والمتوسط </w:t>
      </w:r>
      <w:r w:rsidRPr="00AD4645">
        <w:rPr>
          <w:rFonts w:ascii="Simplified Arabic" w:hAnsi="Simplified Arabic" w:cstheme="majorBidi"/>
          <w:rtl/>
        </w:rPr>
        <w:t>​​</w:t>
      </w:r>
      <w:r w:rsidRPr="00AD4645">
        <w:rPr>
          <w:rFonts w:ascii="Simplified Arabic" w:hAnsi="Simplified Arabic" w:cs="Simplified Arabic"/>
          <w:rtl/>
        </w:rPr>
        <w:t xml:space="preserve">العربي (15)، وأكدت نتائج مسح القوى العاملة لعام 2011 أن معدل البطالة في السودان يقدر بحوالي (18.5)، بينما يقدر معدل البطالة بين الشباب (25 سنة فأكثر) بحوالي (14.5). تتمثل مشكلة البحث في الإجابة على السؤال الرئيسي التالي: إلى متى ستؤثر معدلات التضخم على معدلات البطالة في السودان خلال الفترة 2007-2016؟ وتأتي أهمية البحث من أهميته في تناوله لموضوع في غاية الأهمية وهو ارتفاع معدلات البطالة في المجتمع السوداني، بالإضافة إلى دراسة متغير التضخم كأحد عناصر الاقتصاد في السودان. وهدف البحث إلى توضيح مفهوم البطالة والتضخم، والتعرف على محددات البطالة والتضخم في السودان. وافترض البحث عدة فرضيات منها: توجد علاقة ذات دلالة إحصائية بين معدلات البطالة والطلب الكلي في السودان. واتبع البحث المنهج الوصفي لوصف الإطار النظري، والتحليل الإحصائي من خلال برنامج </w:t>
      </w:r>
      <w:r w:rsidRPr="00AD4645">
        <w:rPr>
          <w:rFonts w:ascii="Simplified Arabic" w:hAnsi="Simplified Arabic" w:cs="Simplified Arabic"/>
        </w:rPr>
        <w:t>SPSS</w:t>
      </w:r>
      <w:r w:rsidRPr="00AD4645">
        <w:rPr>
          <w:rFonts w:ascii="Simplified Arabic" w:hAnsi="Simplified Arabic" w:cs="Simplified Arabic"/>
          <w:rtl/>
        </w:rPr>
        <w:t xml:space="preserve"> لتحليل الإطار التطبيقي، والمنهج التاريخي لتتبع الدراسات السابقة المتعلقة بموضوع البحث، والمنهج الاستقرائي لصياغة مشكلة البحث وفرضياته. وخرجت الدراسة بعدة نتائج منها: توجد فروق بين متغيرات البحث وفقاً للتأثير من سنة إلى أخرى. وأثبت النموذج ثبات معدلات البطالة وعدم تأثرها بالمتغيرات الاقتصادية الأخرى. وفي ضوء النتائج خرجت الدراسة بعدة توصيات منها: ضرورة توفير المزيد من الأنشطة التشغيلية للحد من معدلات البطالة، وضرورة تطوير السياسات المالية والاقتصادية التي تساهم في خفض معدلات التضخم وتوفير فرص العمل.</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جاءت الدراسة (بلقاسم، 2021) بعنوان تأثير التضخم والنمو الاقتصادي على البطالة في الجزائر خلال الفترة (1970-2019): دراسة قياسية اقتصادية. هدفت هذه الدراسة إلى الإجابة عن الإشكالية التالية: إلى أي مدى تؤثر معدلات التضخم والنمو الاقتصادي على معدل البطالة في الجزائر خلال الفترة (1970-2019)؟ ولتحقيق هذا الهدف استخدمنا اختبارات الجذر المفرد (</w:t>
      </w:r>
      <w:r w:rsidRPr="00AD4645">
        <w:rPr>
          <w:rFonts w:ascii="Simplified Arabic" w:hAnsi="Simplified Arabic" w:cs="Simplified Arabic"/>
        </w:rPr>
        <w:t>FDF</w:t>
      </w:r>
      <w:r w:rsidRPr="00AD4645">
        <w:rPr>
          <w:rFonts w:ascii="Simplified Arabic" w:hAnsi="Simplified Arabic" w:cs="Simplified Arabic"/>
          <w:rtl/>
        </w:rPr>
        <w:t>)، واختبار حدود بيساران (2001) وآخرون، ونماذج الانحدار الذاتي ذات الفجوات الموزعة (</w:t>
      </w:r>
      <w:r w:rsidRPr="00AD4645">
        <w:rPr>
          <w:rFonts w:ascii="Simplified Arabic" w:hAnsi="Simplified Arabic" w:cs="Simplified Arabic"/>
        </w:rPr>
        <w:t>ARDL</w:t>
      </w:r>
      <w:r w:rsidRPr="00AD4645">
        <w:rPr>
          <w:rFonts w:ascii="Simplified Arabic" w:hAnsi="Simplified Arabic" w:cs="Simplified Arabic"/>
          <w:rtl/>
        </w:rPr>
        <w:t>)، والاختبارات التشخيصية لنموذج الدراسة، واختبارات الاستقرار الهيكلي. وقد قادتنا نتائج الدراسة إلى وجود علاقة طردية طويلة الأمد بين التضخم ومعدلات البطالة. كما أظهرت الدراسة وجود علاقة عكسية طويلة الأمد بين معدل البطالة ومتغيري النمو الاقتصادي وأسعار النفط. بالإضافة إلى ذلك، فإن قيمة معامل تصحيح الخطأ في النموذج الديناميكي تشير إلى أن معدل البطالة يتكيف نحو قيمته التوازنية في كل فترة بنسبة 18.2048%، أي أن معدل البطالة يستغرق خمس سنوات وأربعة أشهر للتكيف نحو قيمته التوازنية. وقد جاءت الدراسة (بن خليفة، 2017) بعنوان تأثير بعض المتغيرات الاقتصادية الكلية على البطالة في الجزائر: دراسة قياسية خلال الفترة 1980-2014. وهدف البحث إلى تسليط الضوء على التداخل والتأثير المتبادل بين بعض المتغيرات الاقتصادية الكلية على معدل البطالة في الجزائر، وتحليل أسباب انتشار هذه الظاهرة، من خلال توظيف البيانات الإحصائية لبعض المتغيرات الاقتصادية والبطالة في الجزائر. وخلصنا إلى تقدير معدلات البطالة في الجزائر من خلال أشعة الانحدار الذاتي، ومن خلال هذا النموذج يمكن القول أن النمو الاقتصادي هو المؤثر المباشر الأول على معدلات البطالة في الجزائر خلال فترة الدراسة 1980-2013، وليس لحجم السكان ومعدل التضخم أي تأثير عليها، وللوصول إلى نتائج أفضل يجب زيادة النمو الاقتصادي والناتج المحلي الإجمالي، وكانت الدراسة (البطراني، 2021) بعنوان تأثير معدلات التضخم والبطالة على النمو الاقتصادي: دراسة حالة جمهورية مصر العربية.</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 xml:space="preserve">هدفت الدراسة إلى إلقاء الضوء على واقع التضخم والبطالة في الاقتصاد المصري، وتحديد أثر كل من ظاهرتي التضخم والبطالة على النمو الاقتصادي المتمثل في الناتج المحلي الإجمالي، واعتمد الباحث على المنهج الوصفي التحليلي، واعتمدت عملية جمع البيانات على التقارير المنشورة على موقع البنك الدولي والبنك المركزي المصري خلال الفترة ما بين (2000م، 2018م) لقياس متغيرات الدراسة، حيث مثل المتغير المستقل معدل التضخم وفقاً لأسعار المستهلك، ومعدل البطالة لإجمالي قوة العمل، بينما مثل المتغير التابع معدل النمو الاقتصادي والذي مثله معدل نمو الناتج المحلي الإجمالي بأسعار عوامل الإنتاج، كما اعتمدت الدراسة على كل من برنامج </w:t>
      </w:r>
      <w:r w:rsidRPr="00AD4645">
        <w:rPr>
          <w:rFonts w:ascii="Simplified Arabic" w:hAnsi="Simplified Arabic" w:cs="Simplified Arabic"/>
        </w:rPr>
        <w:t>SPSS</w:t>
      </w:r>
      <w:r w:rsidRPr="00AD4645">
        <w:rPr>
          <w:rFonts w:ascii="Simplified Arabic" w:hAnsi="Simplified Arabic" w:cs="Simplified Arabic"/>
          <w:rtl/>
        </w:rPr>
        <w:t xml:space="preserve"> الإحصائي وبرنامج (</w:t>
      </w:r>
      <w:r w:rsidRPr="00AD4645">
        <w:rPr>
          <w:rFonts w:ascii="Simplified Arabic" w:hAnsi="Simplified Arabic" w:cs="Simplified Arabic"/>
        </w:rPr>
        <w:t>E-Views 7</w:t>
      </w:r>
      <w:r w:rsidRPr="00AD4645">
        <w:rPr>
          <w:rFonts w:ascii="Simplified Arabic" w:hAnsi="Simplified Arabic" w:cs="Simplified Arabic"/>
          <w:rtl/>
        </w:rPr>
        <w:t>)، واستخدمت مجموعة من الأساليب الإحصائية التي تناسب متغيرات الدراسة وتخدم فرضياتها، حيث تم اختبار فرضيات الدراسة باستخدام اختبار الانحدار الخطي المتعدد، وتم استخدام منهجية جرينجر لاختبار العلاقة السببية بين متغيرات الدراسة. وتوصلت الدراسة إلى عدم وجود أثر ذي دلالة إحصائية بين معدل التضخم وفقاً لأسعار المستهلك ومعدل نمو الناتج المحلي الإجمالي، كما يوجد أثر ذي دلالة إحصائية بين معدل البطالة ومعدل نمو الناتج المحلي الإجمالي في جمهورية مصر العربية خلال الفترة المدروسة، كما أوصت الدراسة بضرورة حشد كافة القوى الإنتاجية الكامنة في الاقتصاد المصري والبحث عن كيفية زيادة الناتج المحلي الإجمالي من خلال تفعيل عمل كافة القطاعات الاقتصادية وتوجيه الاستثمارات إلى المجالات التي تتوافق مع الموارد المصرية المتاحة.</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وقد جاءت الدراسة (زواد، 2020) بعنوان العلاقة بين البطالة والتضخم في الجزائر: دراسة قياسية لمنحنى فيليبس في الجزائر خلال الفترة 2001-2018. هدفت الدراسة إلى تحليل وقياس العلاقة بين البطالة والتضخم في الجزائر للفترة 2001-2018، وذلك بإسقاط أفكار النظرية الأولى لمنحنى فيليبس على حالة الاقتصاد الجزائري بالاعتماد على أدوات وأساليب إحصائية باستخدام ما يسمى بحجج بوكس-كوكس لقياس علاقة غير خطية بين متغيرين، وكانت النتيجة مطابقة لنظرية فيليبس أي وجود علاقة عكسية غير خطية بين كل من معدلات البطالة والتضخم في الجزائر. وفي دراسة أجرتها آمال الحمراني (1425هـ) بعنوان: كيف نعالج الفقر إداريا واقتصاديا لمواجهة غلاء المعيشة، عزت الباحثة أهميتها إلى جهودها في الحد من مشكلة الفقر ومعالجتها ومواجهتها للتغلب على غلاء المعيشة، وقد انطلقت لتحقيق ذلك من خلال الأهداف التالية: التعرف على الأسباب المؤدية إلى الفقر ومظاهره؛ مكافحة الفقر بما يمكن عمله وإنجازه نتيجة لارتفاع غلاء المعيشة؛ وضع استراتيجية لمواجهة الفقر؛ ومعالجة الفقر إدارياً واقتصادياً، وقد تم جمع مادة الدراسة الميدانية من 50 فرداً يمثلون عينة الدراسة والتي شملت فئات مختلفة من الفقراء وبعض الأسر المحتاجة ومجموعة من العاطلين عن العمل في محافظة جدة، ومن أهم النتائج التي توصلت إليها: هناك تغير واضح داخل المجتمع وفقاً للتغيرات التي طرأت على المجتمع نتيجة ارتفاع تكاليف المعيشة، وأنه إذا حصل العامل على عمل بأجر يساهم في معيشته فإن كافة المشاكل التي نتجت عن مشاكل ارتفاع تكاليف المعيشة سوف تحل، كما تضمنت الباحثة في نتائجها بعض التوصيات ومنها: توفير فرص عمل تلبي احتياجات الفرد المعيشية، ومحاولة إيجاد فرص عمل للأشخاص الذين يمرون بمرحلة الفقر نتيجة ارتفاع تكاليف المعيشة، واستيفاء شروط الإقراض، والحصول على الخدمات بتكلفة أقل وجودة أفضل في كافة المجالات القيمة والتعليمية وغيرها.</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سعت أماني حامد الظاهري (1427هـ) من خلال دراستها الموسومة بـ: العوامل الاجتماعية المؤدية إلى ظاهرة التسول نتيجة غلاء المعيشة، إلى البحث عن العوامل الاجتماعية التي تدفع الفرد إلى ارتكاب بعض الأخطاء المخالفة للشارع العربي الإسلامي. والكشف عن العوامل الاجتماعية المؤدية إلى ظاهرة التسول نتيجة غلاء المعيشة، وكذلك الكشف عن الآثار الاجتماعية لهذه الظاهرة. وقد شملت عينة دراستها جميع وحدات المجتمع، وبلغ عددها 25 فرداً من المتسولين في محافظة جدة. واعتمدت الباحثة على المسح الاجتماعي كمنهج لدراستها لاستكشاف حجم الظاهرة باستخدام أداة الاستبانة لكافة البيانات الميدانية. وتوصلت إلى أهم النتائج: أن المستوى الاقتصادي للأسرة قد يكون السبب الرئيسي وراء هذه المشكلات، وكذلك أن النفقات المرتفعة المتعلقة بالمعيشة هي التي تدفع الفرد إلى ارتكاب مثل هذه المشكلات وتعريضه لذلك نتيجة غلاء المعيشة. هدفت دراسة أجرتها أميرة غطاس (2005) بعنوان: التضخم وأثره على ارتفاع الأسعار، إلى التعرف على مشكلة التضخم وأبرز أنواعها؛ والتعرض لتفسير شامل من خلال النظريات التي تدرس هذه الظاهرة؛ والتطرق إلى الآثار الناتجة عن التضخم؛ والتعرض للأساليب العلاجية للحد من هذه المشكلة. واعتمدت الباحثة على أسلوب المسح الشامل من خلال الدراسة الميدانية، واعتمدت على عينة عشوائية مكونة من 200 فرد تم اختيارهم من مجتمع الدراسة. وتوصلت الباحثة إلى النتائج التالية، ومن أهمها: القلق الشديد من وجود التضخم يعود إلى الآثار الاجتماعية والاقتصادية الناتجة عن التضخم؛ هناك انخفاض في القوة الشرائية عند ارتفاع مستويات الأسعار؛ ارتفاع معدلات الأسعار يؤدي إلى إضعاف الدافع الفردي؛ يؤثر التضخم على الرخاء والنمو الاقتصادي. أكدت دراسة لأسواق دبي (2007) بعنوان: غول التضخم يلتهم زيادات الرواتب في دول الخليج أن تكلفة المعيشة في دول مجلس التعاون الخليجي ارتفعت بنسبة 24% خلال عام 2006، يلتهم بذلك الزيادة في الأجور التي قدرت الدراسة ارتفاعها بما يتراوح بين 15% و21% خلال العامين السابقين لهذه الدراسة. وأشارت إلى أن الزيادات المتوالية في تكلفة المعيشة التي التهمت زيادات الأجور أسفرت عن فجوة عميقة بين الإحساس بحجم الزيادات المستحقة في الأجور والتوقعات الفعلية للزيادة، مما أدى إلى زيادة الشعور العام لدى الموظفين بعدم الرضا عن ظروف عملهم الحالية، وذلك وفقاً لما نشرته صحيفة الرياض السعودية يوم الأربعاء 12-12-2007.</w:t>
      </w:r>
    </w:p>
    <w:p w:rsidR="007F741D" w:rsidRPr="00AD4645" w:rsidRDefault="007F741D" w:rsidP="0098206D">
      <w:pPr>
        <w:spacing w:line="360" w:lineRule="auto"/>
        <w:ind w:left="-337" w:right="993" w:firstLine="567"/>
        <w:rPr>
          <w:rFonts w:ascii="Simplified Arabic" w:hAnsi="Simplified Arabic" w:cs="Simplified Arabic"/>
          <w:rtl/>
        </w:rPr>
      </w:pPr>
      <w:r w:rsidRPr="00AD4645">
        <w:rPr>
          <w:rFonts w:ascii="Simplified Arabic" w:hAnsi="Simplified Arabic" w:cs="Simplified Arabic"/>
          <w:rtl/>
        </w:rPr>
        <w:t>وكشفت الدراسة الميدانية التي أجراها موقع بيت.كوم وشركة يوجوف سراج أن أدنى معدلات زيادة الرواتب في المنطقة كانت في السعودية، حيث بلغت 12% خلال الاثني عشر شهراً الماضية من أبريل/نيسان 2007، مقارنة بـ 17% في الكويت وقطر، بينما بلغت في البحرين 13% وفي الإمارات 15%. وفي المقابل، بلغت معدلات غلاء المعيشة أعلى مستوياتها في الإمارات، حيث تجاوزت 28%، بينما بلغت في قطر والكويت نحو 27% و26% على التوالي. وسجلت البحرين والسعودية أدنى معدلات التضخم، حيث بلغت معدلات غلاء المعيشة 19% و20% على التوالي خلال الاثني عشر شهراً الماضية من عام 2007، وكانت الإمارات الأسوأ من حيث معدلات التضخم وانخفاض القدرة الشرائية للمستهلك، حيث تجاوز معدل غلاء المعيشة زيادة الأجور بنحو 13%. وقالت الدراسة "رغم أن الحديث عن ارتفاع تكاليف المعيشة سيستمر لفترة طويلة، إلا أن البعض يرى أننا نقترب من نهاية دورة أو مرحلة من ارتفاع تكاليف المعيشة، ويتم التعامل مع الزيادات المتوقعة في تكاليف المعيشة من خلال مجموعة متنوعة من الأساليب على مستوى المنطقة، وتختلف من مكان إلى آخر، فتارة يكون ذلك من خلال الحد من زيادات الإيجارات، وتارة أخرى من خلال تدخل الجهات الحكومية المختلفة، وتارة أخرى من خلال انخفاض أسعار السلع الاستهلاكية نتيجة ضعف القدرة الشرائية". وأشارت الدراسة إلى أنه استناداً إلى أن أقل نسبة من التوقعات المتعلقة بزيادة الأجور والرواتب في السعودية بلغت 27%، الأمر الذي يتطلب من أصحاب الأعمال البحث عن حوافز للموظفين الذين يشعرون أنهم يستحقون الزيادة، بسبب ارتفاع تكاليف المعيشة، ويرى الموظفون المتخصصون في كل من الإمارات والبحرين أن الزيادات المطلوبة لمواكبة ارتفاع تكاليف المعيشة يجب أن تكون في حدود 33% مقارنة بـ 32% في قطر و28% في الكويت خلال الفترة المقبلة. وفي استطلاع للرأي أجراه مركز الدراسات الاستراتيجية عام 2008 في الجامعة الأردنية بعنوان: غلاء المعيشة أكبر مشكلة تواجه الأردنيين، أظهر الاستطلاع أن ارتفاع الأسعار وغلاء المعيشة هما أهم المشاكل التي تواجه الأردن، بينما رأى نصف العينة المشمولة في الاستطلاع أن وضعهم الاقتصادي قد ساء خلال السنوات الثلاث الماضية. كما أظهر الاستطلاع أن (48.8%) من الذين أدلوا بآرائهم أكدوا أن "مشكلة ارتفاع الأسعار وغلاء المعيشة هي أهم مشكلة تواجه البلاد، ويجب على الحكومة معالجتها". وأجري الاستطلاع على عينة مكونة من 1500 شخص. وجاءت مشكلتا الفقر والبطالة في المرتبة الثانية بنسبة (20.9%) و(12.5%) على التوالي، كما رأى أكثر من نصف المشاركين في الاستطلاع (54.7%) أن "الوضع الاقتصادي لأسرهم قد ساء مقارنة بما كان عليه قبل ثلاث سنوات". وقد شهد الأردن، حيث يبلغ الحد الأدنى لدخل الفرد الشهري 155 دولاراً، مؤخراً ارتفاعاً حاداً في أسعار المواد الغذائية الأساسية. وكانت الحكومة الأردنية قد رفعت الدعم عن قطاع المشتقات النفطية من موازنة ذلك العام، مما أدى إلى ارتفاع أسعار الوقود، كما قررت رفع تعرفة الكهرباء بنسبة تصل إلى 38%. وكان الأردن، الذي يستورد معظم احتياجاته من النفط الخام، قد رفع أسعار المشتقات النفطية أربعة أضعاف منذ الغزو الأميركي للعراق في عام 2003.</w:t>
      </w:r>
    </w:p>
    <w:p w:rsidR="0075159D" w:rsidRDefault="007F741D" w:rsidP="0098206D">
      <w:pPr>
        <w:spacing w:line="360" w:lineRule="auto"/>
        <w:ind w:left="-337" w:right="993" w:firstLine="567"/>
        <w:rPr>
          <w:rFonts w:ascii="Simplified Arabic" w:hAnsi="Simplified Arabic" w:cs="Simplified Arabic" w:hint="cs"/>
          <w:rtl/>
        </w:rPr>
      </w:pPr>
      <w:r w:rsidRPr="00AD4645">
        <w:rPr>
          <w:rFonts w:ascii="Simplified Arabic" w:hAnsi="Simplified Arabic" w:cs="Simplified Arabic"/>
          <w:rtl/>
        </w:rPr>
        <w:t>وفي دراسة للأسمري (2010) بعنوان دور المستهلك في مواجهة ظاهرة غلاء المعيشة في المجتمع السعودي: دراسة تطبيقية على عينة من أرباب الأسر السعودية المقيمة في جدة، سعى الباحث إلى التعرف على دور المستهلك وسلوكه -نتيجة لثقافة اجتماعية استهلاكية- في مواجهة ظاهرة غلاء المعيشة في المجتمع السعودي، ومدى التغير في نمط الاستهلاك بعد التغيرات السريعة والمتتالية في الآونة الأخيرة في مستوى أسعار الموارد واحتياجات المستهلكين. وتندرج هذه الدراسة ضمن منظومة الدراسات الاجتماعية الوصفية لمجتمع البحث من أرباب الأسر السعودية المقيمة في جدة. وقد تم اختيار رب الأسرة كفرد رئيسي لجمع بيانات الدراسة لأنه المصدر الأساسي للدخل وعادة ما يكون العضو الأكثر تأثيراً في اتخاذ القرار وتوجيه عملية الاستهلاك لدى الأسرة، ولأن السلوك الاستهلاكي لدى الأسرة يأخذ طابعاً جماعياً وفقاً لمصادر الدخل المتاحة ووفقاً لطبيعة الأبعاد والاتجاهات الاستهلاكية لدى الأسرة. وقد طبقت الدراسة على عينة مكونة من 330 رب أسرة، وكانت أهم النتائج: سيطرة النمط الاستهلاكي بأبعاده الاقتصادية والثقافية والاجتماعية، تلك الأبعاد التي تكرس ثقافة الاستهلاك المفرط (مثل حجم المسكن، الولائم والمناسبات العامة، الاستهلاك الفني المفرط، اتباع الموضة والكماليات...)، في وقت أصبح من الضروري فيه تغليب العقلانية في الإنفاق والتوجه نحو ثقافة الادخار والإنتاج، فيما خرجت الدراسة ببعض النتائج الضمنية التي أشارت إلى بعض الآثار الاجتماعية السلبية لارتفاع أسعار السلع الاستهلاكية مثل: تهديد كيان الأسرة، من خلال عدم القدرة على تلبية احتياجاتها بنسبة (42.3%)، أو زيادة المشاكل الأسرية بنسبة (34%)، أو زيادة ساعات عمل عائل الأسرة بنسبة (10%)، ودفع العديد من أرباب الأسر إلى العمل الإضافي والذي يكون بطبيعة الحال على حساب الوقت المفترض أن يقضوه مع أسرهم. وقد يؤدي ارتفاع الأسعار إلى أنواع من التوتر والضغوط النفسية، بلغت نسبتها (13.7%) لدى المبحوثين، وقد يعود ذلك إلى شعور عائل الأسرة بعدم القدرة على تلبية احتياجات أسرته وما يترتب على ذلك من مشاعر العجز والإحباط، ولعل هذه النسب تشير بشكل أو بآخر إلى إدراك المبحوثين لتأثير العامل الاقتصادي المتمثل بارتفاع أسعار السلع الاستهلاكية على الأمور النفسية والاجتماعية، وأبرزها تأثير هذه الظاهرة على تماسك الأسرة، بالإضافة إلى بعض الآثار الاقتصادية الناتجة عن ارتفاع الأسعار مثل: زيادة الديون بنسبة (44.3%)، والتي قد تنتج عن القروض البنكية والاقتراض من الأقارب والأصدقاء لتغطية نفقاتهم الاستهلاكية، وعدم قدرة الأسر على الادخار بنسبة (21.7%)، وهو أحد أهم المكونات الاقتصادية لتطور الأسرة والمجتمع بشكل عام، وانخفاض مستوى المعيشة بنسبة (18.3%)، وانخفاض القدرة الشرائية للعملة بنسبة (15.7%).</w:t>
      </w:r>
    </w:p>
    <w:p w:rsidR="00471A40" w:rsidRDefault="00471A40" w:rsidP="0098206D">
      <w:pPr>
        <w:spacing w:line="360" w:lineRule="auto"/>
        <w:ind w:left="-337" w:right="993" w:firstLine="567"/>
        <w:rPr>
          <w:rFonts w:ascii="Simplified Arabic" w:hAnsi="Simplified Arabic" w:cs="Simplified Arabic" w:hint="cs"/>
          <w:rtl/>
        </w:rPr>
      </w:pPr>
    </w:p>
    <w:p w:rsidR="00471A40" w:rsidRDefault="00471A40" w:rsidP="0098206D">
      <w:pPr>
        <w:spacing w:line="360" w:lineRule="auto"/>
        <w:ind w:left="-337" w:right="993" w:firstLine="567"/>
        <w:rPr>
          <w:rFonts w:ascii="Simplified Arabic" w:hAnsi="Simplified Arabic" w:cs="Simplified Arabic" w:hint="cs"/>
          <w:rtl/>
        </w:rPr>
      </w:pPr>
    </w:p>
    <w:p w:rsidR="00471A40" w:rsidRDefault="00471A40" w:rsidP="0098206D">
      <w:pPr>
        <w:spacing w:line="360" w:lineRule="auto"/>
        <w:ind w:left="-337" w:right="993" w:firstLine="567"/>
        <w:rPr>
          <w:rFonts w:ascii="Simplified Arabic" w:hAnsi="Simplified Arabic" w:cs="Simplified Arabic" w:hint="cs"/>
          <w:rtl/>
        </w:rPr>
      </w:pPr>
    </w:p>
    <w:p w:rsidR="00471A40" w:rsidRDefault="00471A40" w:rsidP="0098206D">
      <w:pPr>
        <w:spacing w:line="360" w:lineRule="auto"/>
        <w:ind w:left="-337" w:right="993" w:firstLine="567"/>
        <w:rPr>
          <w:rFonts w:ascii="Simplified Arabic" w:hAnsi="Simplified Arabic" w:cs="Simplified Arabic" w:hint="cs"/>
          <w:rtl/>
        </w:rPr>
      </w:pPr>
    </w:p>
    <w:p w:rsidR="00471A40" w:rsidRDefault="00471A40" w:rsidP="0098206D">
      <w:pPr>
        <w:spacing w:line="360" w:lineRule="auto"/>
        <w:ind w:left="-337" w:right="993" w:firstLine="567"/>
        <w:rPr>
          <w:rFonts w:ascii="Simplified Arabic" w:hAnsi="Simplified Arabic" w:cs="Simplified Arabic" w:hint="cs"/>
          <w:rtl/>
        </w:rPr>
      </w:pPr>
    </w:p>
    <w:p w:rsidR="001C5B72" w:rsidRPr="00471A40" w:rsidRDefault="001C5B72" w:rsidP="001C5B72">
      <w:pPr>
        <w:spacing w:line="360" w:lineRule="auto"/>
        <w:ind w:left="-337" w:right="993" w:firstLine="567"/>
        <w:rPr>
          <w:rFonts w:ascii="Simplified Arabic" w:hAnsi="Simplified Arabic" w:cs="Simplified Arabic" w:hint="cs"/>
          <w:b/>
          <w:bCs/>
          <w:rtl/>
        </w:rPr>
      </w:pPr>
      <w:r w:rsidRPr="00471A40">
        <w:rPr>
          <w:rFonts w:ascii="Simplified Arabic" w:hAnsi="Simplified Arabic" w:cs="Simplified Arabic" w:hint="cs"/>
          <w:b/>
          <w:bCs/>
          <w:rtl/>
        </w:rPr>
        <w:t>ما يميز الدراسة الحالية عن الدراسات السابقة :</w:t>
      </w:r>
    </w:p>
    <w:p w:rsidR="00471A40" w:rsidRPr="00AD4645" w:rsidRDefault="001C5B72" w:rsidP="00471A40">
      <w:pPr>
        <w:spacing w:line="360" w:lineRule="auto"/>
        <w:ind w:left="-337" w:right="993" w:firstLine="567"/>
        <w:rPr>
          <w:rFonts w:ascii="Simplified Arabic" w:hAnsi="Simplified Arabic" w:cs="Simplified Arabic"/>
        </w:rPr>
      </w:pPr>
      <w:r w:rsidRPr="00AD4645">
        <w:rPr>
          <w:rFonts w:ascii="Simplified Arabic" w:hAnsi="Simplified Arabic" w:cs="Simplified Arabic"/>
          <w:rtl/>
        </w:rPr>
        <w:t>إلى تحليل العلاقة بين البطالة والتضخم وإلقاء الضوء على واقع التضخم والبطالة في الاقتصاد ال</w:t>
      </w:r>
      <w:r>
        <w:rPr>
          <w:rFonts w:ascii="Simplified Arabic" w:hAnsi="Simplified Arabic" w:cs="Simplified Arabic" w:hint="cs"/>
          <w:rtl/>
        </w:rPr>
        <w:t xml:space="preserve">سعودي </w:t>
      </w:r>
      <w:r w:rsidRPr="00AD4645">
        <w:rPr>
          <w:rFonts w:ascii="Simplified Arabic" w:hAnsi="Simplified Arabic" w:cs="Simplified Arabic"/>
          <w:rtl/>
        </w:rPr>
        <w:t>، وتحديد أثر كل من ظاهرتي التضخم والبطالة على النمو الاقتصادي المتمثل في الناتج المحلي الإجمالي</w:t>
      </w:r>
      <w:r>
        <w:rPr>
          <w:rFonts w:ascii="Simplified Arabic" w:hAnsi="Simplified Arabic" w:cs="Simplified Arabic" w:hint="cs"/>
          <w:rtl/>
        </w:rPr>
        <w:t xml:space="preserve">،كما تعمل هذه الدراسة الى توضيح </w:t>
      </w:r>
      <w:r w:rsidR="00471A40" w:rsidRPr="00AD4645">
        <w:rPr>
          <w:rFonts w:ascii="Simplified Arabic" w:hAnsi="Simplified Arabic" w:cs="Simplified Arabic"/>
          <w:rtl/>
        </w:rPr>
        <w:t>دور التضخم المستورد في تغذية الضغوط التضخمية بالمملكة</w:t>
      </w:r>
      <w:r w:rsidR="00471A40">
        <w:rPr>
          <w:rFonts w:ascii="Simplified Arabic" w:hAnsi="Simplified Arabic" w:cs="Simplified Arabic" w:hint="cs"/>
          <w:rtl/>
        </w:rPr>
        <w:t xml:space="preserve"> مع </w:t>
      </w:r>
      <w:r w:rsidR="00471A40" w:rsidRPr="00AD4645">
        <w:rPr>
          <w:rFonts w:ascii="Simplified Arabic" w:hAnsi="Simplified Arabic" w:cs="Simplified Arabic"/>
          <w:rtl/>
        </w:rPr>
        <w:t>الوقوف على الآثار الاقتصادية للتضخم المستورد على الاقتصاد السعودي</w:t>
      </w:r>
      <w:r w:rsidR="00471A40">
        <w:rPr>
          <w:rFonts w:ascii="Simplified Arabic" w:hAnsi="Simplified Arabic" w:cs="Simplified Arabic" w:hint="cs"/>
          <w:rtl/>
        </w:rPr>
        <w:t xml:space="preserve"> ،و</w:t>
      </w:r>
      <w:r w:rsidR="00471A40" w:rsidRPr="00AD4645">
        <w:rPr>
          <w:rFonts w:ascii="Simplified Arabic" w:hAnsi="Simplified Arabic" w:cs="Simplified Arabic"/>
          <w:rtl/>
        </w:rPr>
        <w:t>التعرف على الأبعاد الاجتماعية لغلاء المعيشة في المجتمع السعودي</w:t>
      </w:r>
      <w:r w:rsidR="00471A40">
        <w:rPr>
          <w:rFonts w:ascii="Simplified Arabic" w:hAnsi="Simplified Arabic" w:cs="Simplified Arabic" w:hint="cs"/>
          <w:rtl/>
        </w:rPr>
        <w:t>،و</w:t>
      </w:r>
      <w:r w:rsidR="00471A40" w:rsidRPr="00AD4645">
        <w:rPr>
          <w:rFonts w:ascii="Simplified Arabic" w:hAnsi="Simplified Arabic" w:cs="Simplified Arabic"/>
          <w:rtl/>
        </w:rPr>
        <w:t>التعرف على الأبعاد الأمنية لغلاء المعيشة في المجتمع السعودي</w:t>
      </w:r>
      <w:r w:rsidR="00471A40">
        <w:rPr>
          <w:rFonts w:ascii="Simplified Arabic" w:hAnsi="Simplified Arabic" w:cs="Simplified Arabic" w:hint="cs"/>
          <w:rtl/>
        </w:rPr>
        <w:t xml:space="preserve"> وتحديد</w:t>
      </w:r>
      <w:r w:rsidR="00471A40" w:rsidRPr="00AD4645">
        <w:rPr>
          <w:rFonts w:ascii="Simplified Arabic" w:hAnsi="Simplified Arabic" w:cs="Simplified Arabic"/>
          <w:rtl/>
        </w:rPr>
        <w:t>على السياسات التي تم اتخاذها لمواجهة ظاهرة غلاء المعيشة في المجتمع السعودي</w:t>
      </w:r>
      <w:r w:rsidR="00471A40">
        <w:rPr>
          <w:rFonts w:ascii="Simplified Arabic" w:hAnsi="Simplified Arabic" w:cs="Simplified Arabic" w:hint="cs"/>
          <w:rtl/>
        </w:rPr>
        <w:t>،و</w:t>
      </w:r>
      <w:r w:rsidR="00471A40" w:rsidRPr="00AD4645">
        <w:rPr>
          <w:rFonts w:ascii="Simplified Arabic" w:hAnsi="Simplified Arabic" w:cs="Simplified Arabic"/>
          <w:rtl/>
        </w:rPr>
        <w:t>اقتراح بعض الحلول المناسبة للحد من الآثار الناتجة عن ظاهرة غلاء المعيشة</w:t>
      </w:r>
      <w:r w:rsidR="00471A40" w:rsidRPr="00AD4645">
        <w:rPr>
          <w:rFonts w:ascii="Simplified Arabic" w:hAnsi="Simplified Arabic" w:cs="Simplified Arabic"/>
        </w:rPr>
        <w:t>.</w:t>
      </w:r>
    </w:p>
    <w:p w:rsidR="001C5B72" w:rsidRDefault="001C5B72" w:rsidP="001C5B72">
      <w:pPr>
        <w:spacing w:line="360" w:lineRule="auto"/>
        <w:ind w:left="-337" w:right="993" w:firstLine="567"/>
        <w:rPr>
          <w:rFonts w:ascii="Simplified Arabic" w:hAnsi="Simplified Arabic" w:cs="Simplified Arabic" w:hint="cs"/>
          <w:rtl/>
        </w:rPr>
      </w:pPr>
      <w:r>
        <w:rPr>
          <w:rFonts w:ascii="Simplified Arabic" w:hAnsi="Simplified Arabic" w:cs="Simplified Arabic" w:hint="cs"/>
          <w:rtl/>
        </w:rPr>
        <w:t xml:space="preserve"> </w:t>
      </w:r>
    </w:p>
    <w:p w:rsidR="001C5B72" w:rsidRDefault="001C5B72" w:rsidP="0098206D">
      <w:pPr>
        <w:spacing w:line="360" w:lineRule="auto"/>
        <w:ind w:left="-337" w:right="993" w:firstLine="567"/>
        <w:rPr>
          <w:rFonts w:ascii="Simplified Arabic" w:hAnsi="Simplified Arabic" w:cs="Simplified Arabic" w:hint="cs"/>
          <w:rtl/>
        </w:rPr>
      </w:pPr>
    </w:p>
    <w:p w:rsidR="001C5B72" w:rsidRDefault="001C5B72" w:rsidP="0098206D">
      <w:pPr>
        <w:spacing w:line="360" w:lineRule="auto"/>
        <w:ind w:left="-337" w:right="993" w:firstLine="567"/>
        <w:rPr>
          <w:rFonts w:ascii="Simplified Arabic" w:hAnsi="Simplified Arabic" w:cs="Simplified Arabic" w:hint="cs"/>
          <w:rtl/>
        </w:rPr>
      </w:pPr>
    </w:p>
    <w:p w:rsidR="001C5B72" w:rsidRDefault="001C5B72" w:rsidP="0098206D">
      <w:pPr>
        <w:spacing w:line="360" w:lineRule="auto"/>
        <w:ind w:left="-337" w:right="993" w:firstLine="567"/>
        <w:rPr>
          <w:rFonts w:ascii="Simplified Arabic" w:hAnsi="Simplified Arabic" w:cs="Simplified Arabic" w:hint="cs"/>
          <w:rtl/>
        </w:rPr>
      </w:pPr>
    </w:p>
    <w:p w:rsidR="001C5B72" w:rsidRDefault="001C5B72" w:rsidP="0098206D">
      <w:pPr>
        <w:spacing w:line="360" w:lineRule="auto"/>
        <w:ind w:left="-337" w:right="993" w:firstLine="567"/>
        <w:rPr>
          <w:rFonts w:ascii="Simplified Arabic" w:hAnsi="Simplified Arabic" w:cs="Simplified Arabic" w:hint="cs"/>
          <w:rtl/>
        </w:rPr>
      </w:pPr>
    </w:p>
    <w:p w:rsidR="001C5B72" w:rsidRPr="00AD4645" w:rsidRDefault="001C5B72" w:rsidP="0098206D">
      <w:pPr>
        <w:spacing w:line="360" w:lineRule="auto"/>
        <w:ind w:left="-337" w:right="993" w:firstLine="567"/>
        <w:rPr>
          <w:rFonts w:ascii="Simplified Arabic" w:hAnsi="Simplified Arabic" w:cs="Simplified Arabic"/>
          <w:rtl/>
        </w:rPr>
      </w:pPr>
    </w:p>
    <w:p w:rsidR="007F741D" w:rsidRDefault="007F741D"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Default="006F32D7" w:rsidP="0098206D">
      <w:pPr>
        <w:spacing w:line="360" w:lineRule="auto"/>
        <w:ind w:left="-337" w:right="993" w:firstLine="567"/>
        <w:rPr>
          <w:rFonts w:ascii="Simplified Arabic" w:hAnsi="Simplified Arabic" w:cs="Simplified Arabic"/>
          <w:rtl/>
        </w:rPr>
      </w:pPr>
    </w:p>
    <w:p w:rsidR="006F32D7" w:rsidRPr="00AD4645" w:rsidRDefault="006F32D7" w:rsidP="0098206D">
      <w:pPr>
        <w:spacing w:line="360" w:lineRule="auto"/>
        <w:ind w:left="-337" w:right="993" w:firstLine="567"/>
        <w:rPr>
          <w:rFonts w:ascii="Simplified Arabic" w:hAnsi="Simplified Arabic" w:cs="Simplified Arabic"/>
          <w:rtl/>
        </w:rPr>
      </w:pPr>
    </w:p>
    <w:sectPr w:rsidR="006F32D7" w:rsidRPr="00AD4645" w:rsidSect="00AD4645">
      <w:footerReference w:type="even" r:id="rId8"/>
      <w:footerReference w:type="default" r:id="rId9"/>
      <w:pgSz w:w="11906" w:h="16838"/>
      <w:pgMar w:top="1418" w:right="1469" w:bottom="1474" w:left="709" w:header="709" w:footer="709" w:gutter="0"/>
      <w:pgNumType w:start="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4A3" w:rsidRDefault="00BE24A3" w:rsidP="009B44BE">
      <w:r>
        <w:separator/>
      </w:r>
    </w:p>
  </w:endnote>
  <w:endnote w:type="continuationSeparator" w:id="1">
    <w:p w:rsidR="00BE24A3" w:rsidRDefault="00BE24A3" w:rsidP="009B44B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DecoType Naskh Swashes">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mylotus">
    <w:altName w:val="Times New Roman"/>
    <w:charset w:val="00"/>
    <w:family w:val="auto"/>
    <w:pitch w:val="variable"/>
    <w:sig w:usb0="00000000" w:usb1="80000000" w:usb2="00000008" w:usb3="00000000" w:csb0="00000043" w:csb1="00000000"/>
  </w:font>
  <w:font w:name="AL-Mateen">
    <w:charset w:val="B2"/>
    <w:family w:val="auto"/>
    <w:pitch w:val="variable"/>
    <w:sig w:usb0="00002001" w:usb1="00000000" w:usb2="00000000" w:usb3="00000000" w:csb0="00000040" w:csb1="00000000"/>
  </w:font>
  <w:font w:name="DecoType Naskh Extensions">
    <w:charset w:val="B2"/>
    <w:family w:val="auto"/>
    <w:pitch w:val="variable"/>
    <w:sig w:usb0="00002001" w:usb1="80000000" w:usb2="00000008"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B2C" w:rsidRDefault="000338B3" w:rsidP="00BC410C">
    <w:pPr>
      <w:pStyle w:val="Footer"/>
      <w:framePr w:wrap="around" w:vAnchor="text" w:hAnchor="text" w:xAlign="center" w:y="1"/>
      <w:rPr>
        <w:rStyle w:val="PageNumber"/>
      </w:rPr>
    </w:pPr>
    <w:r>
      <w:rPr>
        <w:rStyle w:val="PageNumber"/>
      </w:rPr>
      <w:fldChar w:fldCharType="begin"/>
    </w:r>
    <w:r w:rsidR="00446B2C">
      <w:rPr>
        <w:rStyle w:val="PageNumber"/>
      </w:rPr>
      <w:instrText xml:space="preserve">PAGE  </w:instrText>
    </w:r>
    <w:r>
      <w:rPr>
        <w:rStyle w:val="PageNumber"/>
      </w:rPr>
      <w:fldChar w:fldCharType="end"/>
    </w:r>
  </w:p>
  <w:p w:rsidR="00446B2C" w:rsidRDefault="00446B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B2C" w:rsidRPr="00C15C1A" w:rsidRDefault="000338B3" w:rsidP="00BC410C">
    <w:pPr>
      <w:pStyle w:val="Footer"/>
      <w:framePr w:wrap="around" w:vAnchor="text" w:hAnchor="text" w:xAlign="center" w:y="1"/>
      <w:rPr>
        <w:rStyle w:val="PageNumber"/>
        <w:b/>
        <w:bCs/>
      </w:rPr>
    </w:pPr>
    <w:r w:rsidRPr="00C15C1A">
      <w:rPr>
        <w:rStyle w:val="PageNumber"/>
        <w:b/>
        <w:bCs/>
      </w:rPr>
      <w:fldChar w:fldCharType="begin"/>
    </w:r>
    <w:r w:rsidR="00446B2C" w:rsidRPr="00C15C1A">
      <w:rPr>
        <w:rStyle w:val="PageNumber"/>
        <w:b/>
        <w:bCs/>
      </w:rPr>
      <w:instrText xml:space="preserve">PAGE  </w:instrText>
    </w:r>
    <w:r w:rsidRPr="00C15C1A">
      <w:rPr>
        <w:rStyle w:val="PageNumber"/>
        <w:b/>
        <w:bCs/>
      </w:rPr>
      <w:fldChar w:fldCharType="separate"/>
    </w:r>
    <w:r w:rsidR="00BE24A3">
      <w:rPr>
        <w:rStyle w:val="PageNumber"/>
        <w:b/>
        <w:bCs/>
        <w:noProof/>
        <w:rtl/>
      </w:rPr>
      <w:t>1</w:t>
    </w:r>
    <w:r w:rsidRPr="00C15C1A">
      <w:rPr>
        <w:rStyle w:val="PageNumber"/>
        <w:b/>
        <w:bCs/>
      </w:rPr>
      <w:fldChar w:fldCharType="end"/>
    </w:r>
  </w:p>
  <w:p w:rsidR="00446B2C" w:rsidRDefault="00446B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4A3" w:rsidRDefault="00BE24A3" w:rsidP="009B44BE">
      <w:r>
        <w:separator/>
      </w:r>
    </w:p>
  </w:footnote>
  <w:footnote w:type="continuationSeparator" w:id="1">
    <w:p w:rsidR="00BE24A3" w:rsidRDefault="00BE24A3" w:rsidP="009B44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2BBA"/>
    <w:multiLevelType w:val="hybridMultilevel"/>
    <w:tmpl w:val="6D1C4D9C"/>
    <w:lvl w:ilvl="0" w:tplc="9F284352">
      <w:start w:val="6"/>
      <w:numFmt w:val="bullet"/>
      <w:lvlText w:val="-"/>
      <w:lvlJc w:val="left"/>
      <w:pPr>
        <w:ind w:left="720" w:hanging="360"/>
      </w:pPr>
      <w:rPr>
        <w:rFonts w:ascii="Arial" w:eastAsiaTheme="minorHAnsi" w:hAnsi="Arial" w:cs="Arial" w:hint="default"/>
      </w:rPr>
    </w:lvl>
    <w:lvl w:ilvl="1" w:tplc="0CFA1888" w:tentative="1">
      <w:start w:val="1"/>
      <w:numFmt w:val="bullet"/>
      <w:lvlText w:val="o"/>
      <w:lvlJc w:val="left"/>
      <w:pPr>
        <w:ind w:left="1440" w:hanging="360"/>
      </w:pPr>
      <w:rPr>
        <w:rFonts w:ascii="Courier New" w:hAnsi="Courier New" w:cs="Courier New" w:hint="default"/>
      </w:rPr>
    </w:lvl>
    <w:lvl w:ilvl="2" w:tplc="A1ACD79E" w:tentative="1">
      <w:start w:val="1"/>
      <w:numFmt w:val="bullet"/>
      <w:lvlText w:val=""/>
      <w:lvlJc w:val="left"/>
      <w:pPr>
        <w:ind w:left="2160" w:hanging="360"/>
      </w:pPr>
      <w:rPr>
        <w:rFonts w:ascii="Wingdings" w:hAnsi="Wingdings" w:hint="default"/>
      </w:rPr>
    </w:lvl>
    <w:lvl w:ilvl="3" w:tplc="8ADEF318" w:tentative="1">
      <w:start w:val="1"/>
      <w:numFmt w:val="bullet"/>
      <w:lvlText w:val=""/>
      <w:lvlJc w:val="left"/>
      <w:pPr>
        <w:ind w:left="2880" w:hanging="360"/>
      </w:pPr>
      <w:rPr>
        <w:rFonts w:ascii="Symbol" w:hAnsi="Symbol" w:hint="default"/>
      </w:rPr>
    </w:lvl>
    <w:lvl w:ilvl="4" w:tplc="6942682A" w:tentative="1">
      <w:start w:val="1"/>
      <w:numFmt w:val="bullet"/>
      <w:lvlText w:val="o"/>
      <w:lvlJc w:val="left"/>
      <w:pPr>
        <w:ind w:left="3600" w:hanging="360"/>
      </w:pPr>
      <w:rPr>
        <w:rFonts w:ascii="Courier New" w:hAnsi="Courier New" w:cs="Courier New" w:hint="default"/>
      </w:rPr>
    </w:lvl>
    <w:lvl w:ilvl="5" w:tplc="A432BFF0" w:tentative="1">
      <w:start w:val="1"/>
      <w:numFmt w:val="bullet"/>
      <w:lvlText w:val=""/>
      <w:lvlJc w:val="left"/>
      <w:pPr>
        <w:ind w:left="4320" w:hanging="360"/>
      </w:pPr>
      <w:rPr>
        <w:rFonts w:ascii="Wingdings" w:hAnsi="Wingdings" w:hint="default"/>
      </w:rPr>
    </w:lvl>
    <w:lvl w:ilvl="6" w:tplc="FB8CB878" w:tentative="1">
      <w:start w:val="1"/>
      <w:numFmt w:val="bullet"/>
      <w:lvlText w:val=""/>
      <w:lvlJc w:val="left"/>
      <w:pPr>
        <w:ind w:left="5040" w:hanging="360"/>
      </w:pPr>
      <w:rPr>
        <w:rFonts w:ascii="Symbol" w:hAnsi="Symbol" w:hint="default"/>
      </w:rPr>
    </w:lvl>
    <w:lvl w:ilvl="7" w:tplc="479CA84C" w:tentative="1">
      <w:start w:val="1"/>
      <w:numFmt w:val="bullet"/>
      <w:lvlText w:val="o"/>
      <w:lvlJc w:val="left"/>
      <w:pPr>
        <w:ind w:left="5760" w:hanging="360"/>
      </w:pPr>
      <w:rPr>
        <w:rFonts w:ascii="Courier New" w:hAnsi="Courier New" w:cs="Courier New" w:hint="default"/>
      </w:rPr>
    </w:lvl>
    <w:lvl w:ilvl="8" w:tplc="15D05478" w:tentative="1">
      <w:start w:val="1"/>
      <w:numFmt w:val="bullet"/>
      <w:lvlText w:val=""/>
      <w:lvlJc w:val="left"/>
      <w:pPr>
        <w:ind w:left="6480" w:hanging="360"/>
      </w:pPr>
      <w:rPr>
        <w:rFonts w:ascii="Wingdings" w:hAnsi="Wingdings" w:hint="default"/>
      </w:rPr>
    </w:lvl>
  </w:abstractNum>
  <w:abstractNum w:abstractNumId="1">
    <w:nsid w:val="06D847F1"/>
    <w:multiLevelType w:val="multilevel"/>
    <w:tmpl w:val="46D0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957F3F"/>
    <w:multiLevelType w:val="hybridMultilevel"/>
    <w:tmpl w:val="ECE00356"/>
    <w:lvl w:ilvl="0" w:tplc="C97C57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71315E"/>
    <w:multiLevelType w:val="hybridMultilevel"/>
    <w:tmpl w:val="4E64CBAE"/>
    <w:lvl w:ilvl="0" w:tplc="04090001">
      <w:start w:val="1"/>
      <w:numFmt w:val="bullet"/>
      <w:lvlText w:val=""/>
      <w:lvlJc w:val="left"/>
      <w:pPr>
        <w:ind w:left="-42" w:hanging="360"/>
      </w:pPr>
      <w:rPr>
        <w:rFonts w:ascii="Symbol" w:hAnsi="Symbol" w:hint="default"/>
      </w:rPr>
    </w:lvl>
    <w:lvl w:ilvl="1" w:tplc="04090003" w:tentative="1">
      <w:start w:val="1"/>
      <w:numFmt w:val="bullet"/>
      <w:lvlText w:val="o"/>
      <w:lvlJc w:val="left"/>
      <w:pPr>
        <w:ind w:left="678" w:hanging="360"/>
      </w:pPr>
      <w:rPr>
        <w:rFonts w:ascii="Courier New" w:hAnsi="Courier New" w:cs="Courier New" w:hint="default"/>
      </w:rPr>
    </w:lvl>
    <w:lvl w:ilvl="2" w:tplc="04090005" w:tentative="1">
      <w:start w:val="1"/>
      <w:numFmt w:val="bullet"/>
      <w:lvlText w:val=""/>
      <w:lvlJc w:val="left"/>
      <w:pPr>
        <w:ind w:left="1398" w:hanging="360"/>
      </w:pPr>
      <w:rPr>
        <w:rFonts w:ascii="Wingdings" w:hAnsi="Wingdings" w:hint="default"/>
      </w:rPr>
    </w:lvl>
    <w:lvl w:ilvl="3" w:tplc="04090001" w:tentative="1">
      <w:start w:val="1"/>
      <w:numFmt w:val="bullet"/>
      <w:lvlText w:val=""/>
      <w:lvlJc w:val="left"/>
      <w:pPr>
        <w:ind w:left="2118" w:hanging="360"/>
      </w:pPr>
      <w:rPr>
        <w:rFonts w:ascii="Symbol" w:hAnsi="Symbol" w:hint="default"/>
      </w:rPr>
    </w:lvl>
    <w:lvl w:ilvl="4" w:tplc="04090003" w:tentative="1">
      <w:start w:val="1"/>
      <w:numFmt w:val="bullet"/>
      <w:lvlText w:val="o"/>
      <w:lvlJc w:val="left"/>
      <w:pPr>
        <w:ind w:left="2838" w:hanging="360"/>
      </w:pPr>
      <w:rPr>
        <w:rFonts w:ascii="Courier New" w:hAnsi="Courier New" w:cs="Courier New" w:hint="default"/>
      </w:rPr>
    </w:lvl>
    <w:lvl w:ilvl="5" w:tplc="04090005" w:tentative="1">
      <w:start w:val="1"/>
      <w:numFmt w:val="bullet"/>
      <w:lvlText w:val=""/>
      <w:lvlJc w:val="left"/>
      <w:pPr>
        <w:ind w:left="3558" w:hanging="360"/>
      </w:pPr>
      <w:rPr>
        <w:rFonts w:ascii="Wingdings" w:hAnsi="Wingdings" w:hint="default"/>
      </w:rPr>
    </w:lvl>
    <w:lvl w:ilvl="6" w:tplc="04090001" w:tentative="1">
      <w:start w:val="1"/>
      <w:numFmt w:val="bullet"/>
      <w:lvlText w:val=""/>
      <w:lvlJc w:val="left"/>
      <w:pPr>
        <w:ind w:left="4278" w:hanging="360"/>
      </w:pPr>
      <w:rPr>
        <w:rFonts w:ascii="Symbol" w:hAnsi="Symbol" w:hint="default"/>
      </w:rPr>
    </w:lvl>
    <w:lvl w:ilvl="7" w:tplc="04090003" w:tentative="1">
      <w:start w:val="1"/>
      <w:numFmt w:val="bullet"/>
      <w:lvlText w:val="o"/>
      <w:lvlJc w:val="left"/>
      <w:pPr>
        <w:ind w:left="4998" w:hanging="360"/>
      </w:pPr>
      <w:rPr>
        <w:rFonts w:ascii="Courier New" w:hAnsi="Courier New" w:cs="Courier New" w:hint="default"/>
      </w:rPr>
    </w:lvl>
    <w:lvl w:ilvl="8" w:tplc="04090005" w:tentative="1">
      <w:start w:val="1"/>
      <w:numFmt w:val="bullet"/>
      <w:lvlText w:val=""/>
      <w:lvlJc w:val="left"/>
      <w:pPr>
        <w:ind w:left="5718" w:hanging="360"/>
      </w:pPr>
      <w:rPr>
        <w:rFonts w:ascii="Wingdings" w:hAnsi="Wingdings" w:hint="default"/>
      </w:rPr>
    </w:lvl>
  </w:abstractNum>
  <w:abstractNum w:abstractNumId="4">
    <w:nsid w:val="0BB967D2"/>
    <w:multiLevelType w:val="hybridMultilevel"/>
    <w:tmpl w:val="B6B6F98C"/>
    <w:lvl w:ilvl="0" w:tplc="5BFE79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E40BF4"/>
    <w:multiLevelType w:val="hybridMultilevel"/>
    <w:tmpl w:val="9F60A456"/>
    <w:lvl w:ilvl="0" w:tplc="0478EF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04072C"/>
    <w:multiLevelType w:val="hybridMultilevel"/>
    <w:tmpl w:val="3A287B5E"/>
    <w:lvl w:ilvl="0" w:tplc="55D097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D359CC"/>
    <w:multiLevelType w:val="hybridMultilevel"/>
    <w:tmpl w:val="C9BCC4E8"/>
    <w:lvl w:ilvl="0" w:tplc="2DE2A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653B23"/>
    <w:multiLevelType w:val="hybridMultilevel"/>
    <w:tmpl w:val="01B280AC"/>
    <w:lvl w:ilvl="0" w:tplc="04090001">
      <w:start w:val="1"/>
      <w:numFmt w:val="bullet"/>
      <w:lvlText w:val=""/>
      <w:lvlJc w:val="left"/>
      <w:pPr>
        <w:ind w:left="242" w:hanging="360"/>
      </w:pPr>
      <w:rPr>
        <w:rFonts w:ascii="Symbol" w:hAnsi="Symbol" w:hint="default"/>
      </w:rPr>
    </w:lvl>
    <w:lvl w:ilvl="1" w:tplc="04090003" w:tentative="1">
      <w:start w:val="1"/>
      <w:numFmt w:val="bullet"/>
      <w:lvlText w:val="o"/>
      <w:lvlJc w:val="left"/>
      <w:pPr>
        <w:ind w:left="962" w:hanging="360"/>
      </w:pPr>
      <w:rPr>
        <w:rFonts w:ascii="Courier New" w:hAnsi="Courier New" w:cs="Courier New" w:hint="default"/>
      </w:rPr>
    </w:lvl>
    <w:lvl w:ilvl="2" w:tplc="04090005" w:tentative="1">
      <w:start w:val="1"/>
      <w:numFmt w:val="bullet"/>
      <w:lvlText w:val=""/>
      <w:lvlJc w:val="left"/>
      <w:pPr>
        <w:ind w:left="1682" w:hanging="360"/>
      </w:pPr>
      <w:rPr>
        <w:rFonts w:ascii="Wingdings" w:hAnsi="Wingdings" w:hint="default"/>
      </w:rPr>
    </w:lvl>
    <w:lvl w:ilvl="3" w:tplc="04090001" w:tentative="1">
      <w:start w:val="1"/>
      <w:numFmt w:val="bullet"/>
      <w:lvlText w:val=""/>
      <w:lvlJc w:val="left"/>
      <w:pPr>
        <w:ind w:left="2402" w:hanging="360"/>
      </w:pPr>
      <w:rPr>
        <w:rFonts w:ascii="Symbol" w:hAnsi="Symbol" w:hint="default"/>
      </w:rPr>
    </w:lvl>
    <w:lvl w:ilvl="4" w:tplc="04090003" w:tentative="1">
      <w:start w:val="1"/>
      <w:numFmt w:val="bullet"/>
      <w:lvlText w:val="o"/>
      <w:lvlJc w:val="left"/>
      <w:pPr>
        <w:ind w:left="3122" w:hanging="360"/>
      </w:pPr>
      <w:rPr>
        <w:rFonts w:ascii="Courier New" w:hAnsi="Courier New" w:cs="Courier New" w:hint="default"/>
      </w:rPr>
    </w:lvl>
    <w:lvl w:ilvl="5" w:tplc="04090005" w:tentative="1">
      <w:start w:val="1"/>
      <w:numFmt w:val="bullet"/>
      <w:lvlText w:val=""/>
      <w:lvlJc w:val="left"/>
      <w:pPr>
        <w:ind w:left="3842" w:hanging="360"/>
      </w:pPr>
      <w:rPr>
        <w:rFonts w:ascii="Wingdings" w:hAnsi="Wingdings" w:hint="default"/>
      </w:rPr>
    </w:lvl>
    <w:lvl w:ilvl="6" w:tplc="04090001" w:tentative="1">
      <w:start w:val="1"/>
      <w:numFmt w:val="bullet"/>
      <w:lvlText w:val=""/>
      <w:lvlJc w:val="left"/>
      <w:pPr>
        <w:ind w:left="4562" w:hanging="360"/>
      </w:pPr>
      <w:rPr>
        <w:rFonts w:ascii="Symbol" w:hAnsi="Symbol" w:hint="default"/>
      </w:rPr>
    </w:lvl>
    <w:lvl w:ilvl="7" w:tplc="04090003" w:tentative="1">
      <w:start w:val="1"/>
      <w:numFmt w:val="bullet"/>
      <w:lvlText w:val="o"/>
      <w:lvlJc w:val="left"/>
      <w:pPr>
        <w:ind w:left="5282" w:hanging="360"/>
      </w:pPr>
      <w:rPr>
        <w:rFonts w:ascii="Courier New" w:hAnsi="Courier New" w:cs="Courier New" w:hint="default"/>
      </w:rPr>
    </w:lvl>
    <w:lvl w:ilvl="8" w:tplc="04090005" w:tentative="1">
      <w:start w:val="1"/>
      <w:numFmt w:val="bullet"/>
      <w:lvlText w:val=""/>
      <w:lvlJc w:val="left"/>
      <w:pPr>
        <w:ind w:left="6002" w:hanging="360"/>
      </w:pPr>
      <w:rPr>
        <w:rFonts w:ascii="Wingdings" w:hAnsi="Wingdings" w:hint="default"/>
      </w:rPr>
    </w:lvl>
  </w:abstractNum>
  <w:abstractNum w:abstractNumId="9">
    <w:nsid w:val="286A1F36"/>
    <w:multiLevelType w:val="hybridMultilevel"/>
    <w:tmpl w:val="17FA546E"/>
    <w:lvl w:ilvl="0" w:tplc="D9508CFE">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ED0E87"/>
    <w:multiLevelType w:val="multilevel"/>
    <w:tmpl w:val="1A8CE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C14D07"/>
    <w:multiLevelType w:val="hybridMultilevel"/>
    <w:tmpl w:val="4C6C6336"/>
    <w:lvl w:ilvl="0" w:tplc="C588807A">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FD22C6"/>
    <w:multiLevelType w:val="multilevel"/>
    <w:tmpl w:val="92E4B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176DEB"/>
    <w:multiLevelType w:val="hybridMultilevel"/>
    <w:tmpl w:val="3322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994773"/>
    <w:multiLevelType w:val="hybridMultilevel"/>
    <w:tmpl w:val="78EC6B84"/>
    <w:lvl w:ilvl="0" w:tplc="B130096A">
      <w:start w:val="1"/>
      <w:numFmt w:val="arabicAlpha"/>
      <w:lvlText w:val="%1-"/>
      <w:lvlJc w:val="left"/>
      <w:pPr>
        <w:ind w:left="-402" w:hanging="360"/>
      </w:pPr>
      <w:rPr>
        <w:rFonts w:hint="default"/>
      </w:rPr>
    </w:lvl>
    <w:lvl w:ilvl="1" w:tplc="04090019" w:tentative="1">
      <w:start w:val="1"/>
      <w:numFmt w:val="lowerLetter"/>
      <w:lvlText w:val="%2."/>
      <w:lvlJc w:val="left"/>
      <w:pPr>
        <w:ind w:left="318" w:hanging="360"/>
      </w:pPr>
    </w:lvl>
    <w:lvl w:ilvl="2" w:tplc="0409001B" w:tentative="1">
      <w:start w:val="1"/>
      <w:numFmt w:val="lowerRoman"/>
      <w:lvlText w:val="%3."/>
      <w:lvlJc w:val="right"/>
      <w:pPr>
        <w:ind w:left="1038" w:hanging="180"/>
      </w:pPr>
    </w:lvl>
    <w:lvl w:ilvl="3" w:tplc="0409000F" w:tentative="1">
      <w:start w:val="1"/>
      <w:numFmt w:val="decimal"/>
      <w:lvlText w:val="%4."/>
      <w:lvlJc w:val="left"/>
      <w:pPr>
        <w:ind w:left="1758" w:hanging="360"/>
      </w:pPr>
    </w:lvl>
    <w:lvl w:ilvl="4" w:tplc="04090019" w:tentative="1">
      <w:start w:val="1"/>
      <w:numFmt w:val="lowerLetter"/>
      <w:lvlText w:val="%5."/>
      <w:lvlJc w:val="left"/>
      <w:pPr>
        <w:ind w:left="2478" w:hanging="360"/>
      </w:pPr>
    </w:lvl>
    <w:lvl w:ilvl="5" w:tplc="0409001B" w:tentative="1">
      <w:start w:val="1"/>
      <w:numFmt w:val="lowerRoman"/>
      <w:lvlText w:val="%6."/>
      <w:lvlJc w:val="right"/>
      <w:pPr>
        <w:ind w:left="3198" w:hanging="180"/>
      </w:pPr>
    </w:lvl>
    <w:lvl w:ilvl="6" w:tplc="0409000F" w:tentative="1">
      <w:start w:val="1"/>
      <w:numFmt w:val="decimal"/>
      <w:lvlText w:val="%7."/>
      <w:lvlJc w:val="left"/>
      <w:pPr>
        <w:ind w:left="3918" w:hanging="360"/>
      </w:pPr>
    </w:lvl>
    <w:lvl w:ilvl="7" w:tplc="04090019" w:tentative="1">
      <w:start w:val="1"/>
      <w:numFmt w:val="lowerLetter"/>
      <w:lvlText w:val="%8."/>
      <w:lvlJc w:val="left"/>
      <w:pPr>
        <w:ind w:left="4638" w:hanging="360"/>
      </w:pPr>
    </w:lvl>
    <w:lvl w:ilvl="8" w:tplc="0409001B" w:tentative="1">
      <w:start w:val="1"/>
      <w:numFmt w:val="lowerRoman"/>
      <w:lvlText w:val="%9."/>
      <w:lvlJc w:val="right"/>
      <w:pPr>
        <w:ind w:left="5358" w:hanging="180"/>
      </w:pPr>
    </w:lvl>
  </w:abstractNum>
  <w:abstractNum w:abstractNumId="15">
    <w:nsid w:val="64A30648"/>
    <w:multiLevelType w:val="hybridMultilevel"/>
    <w:tmpl w:val="A7D29F16"/>
    <w:lvl w:ilvl="0" w:tplc="F8A6A8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E10D25"/>
    <w:multiLevelType w:val="multilevel"/>
    <w:tmpl w:val="DBCEF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4600E5"/>
    <w:multiLevelType w:val="multilevel"/>
    <w:tmpl w:val="DD14DA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89421C"/>
    <w:multiLevelType w:val="multilevel"/>
    <w:tmpl w:val="E7DC99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B991966"/>
    <w:multiLevelType w:val="hybridMultilevel"/>
    <w:tmpl w:val="26B2C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993528"/>
    <w:multiLevelType w:val="hybridMultilevel"/>
    <w:tmpl w:val="00E21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AA6117"/>
    <w:multiLevelType w:val="multilevel"/>
    <w:tmpl w:val="EC3E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A7B1BC5"/>
    <w:multiLevelType w:val="hybridMultilevel"/>
    <w:tmpl w:val="056C5A3E"/>
    <w:lvl w:ilvl="0" w:tplc="FB184CAA">
      <w:start w:val="1"/>
      <w:numFmt w:val="decimal"/>
      <w:pStyle w:val="1"/>
      <w:lvlText w:val="(%1)"/>
      <w:lvlJc w:val="left"/>
      <w:pPr>
        <w:tabs>
          <w:tab w:val="num" w:pos="360"/>
        </w:tabs>
        <w:ind w:left="360" w:hanging="360"/>
      </w:pPr>
      <w:rPr>
        <w:rFonts w:cs="Times New Roman"/>
        <w:sz w:val="24"/>
        <w:szCs w:val="24"/>
        <w:vertAlign w:val="superscript"/>
      </w:rPr>
    </w:lvl>
    <w:lvl w:ilvl="1" w:tplc="04090003">
      <w:start w:val="1"/>
      <w:numFmt w:val="decimal"/>
      <w:lvlText w:val="%2."/>
      <w:lvlJc w:val="left"/>
      <w:pPr>
        <w:tabs>
          <w:tab w:val="num" w:pos="900"/>
        </w:tabs>
        <w:ind w:left="900" w:hanging="360"/>
      </w:pPr>
      <w:rPr>
        <w:rFonts w:cs="Times New Roman"/>
      </w:rPr>
    </w:lvl>
    <w:lvl w:ilvl="2" w:tplc="04090005">
      <w:start w:val="1"/>
      <w:numFmt w:val="decimal"/>
      <w:lvlText w:val="%3."/>
      <w:lvlJc w:val="left"/>
      <w:pPr>
        <w:tabs>
          <w:tab w:val="num" w:pos="1620"/>
        </w:tabs>
        <w:ind w:left="1620" w:hanging="360"/>
      </w:pPr>
      <w:rPr>
        <w:rFonts w:cs="Times New Roman"/>
      </w:rPr>
    </w:lvl>
    <w:lvl w:ilvl="3" w:tplc="04090001">
      <w:start w:val="1"/>
      <w:numFmt w:val="decimal"/>
      <w:lvlText w:val="%4."/>
      <w:lvlJc w:val="left"/>
      <w:pPr>
        <w:tabs>
          <w:tab w:val="num" w:pos="2340"/>
        </w:tabs>
        <w:ind w:left="2340" w:hanging="360"/>
      </w:pPr>
      <w:rPr>
        <w:rFonts w:cs="Times New Roman"/>
      </w:rPr>
    </w:lvl>
    <w:lvl w:ilvl="4" w:tplc="04090003">
      <w:start w:val="1"/>
      <w:numFmt w:val="decimal"/>
      <w:lvlText w:val="%5."/>
      <w:lvlJc w:val="left"/>
      <w:pPr>
        <w:tabs>
          <w:tab w:val="num" w:pos="3060"/>
        </w:tabs>
        <w:ind w:left="3060" w:hanging="360"/>
      </w:pPr>
      <w:rPr>
        <w:rFonts w:cs="Times New Roman"/>
      </w:rPr>
    </w:lvl>
    <w:lvl w:ilvl="5" w:tplc="04090005">
      <w:start w:val="1"/>
      <w:numFmt w:val="decimal"/>
      <w:lvlText w:val="%6."/>
      <w:lvlJc w:val="left"/>
      <w:pPr>
        <w:tabs>
          <w:tab w:val="num" w:pos="3780"/>
        </w:tabs>
        <w:ind w:left="3780" w:hanging="360"/>
      </w:pPr>
      <w:rPr>
        <w:rFonts w:cs="Times New Roman"/>
      </w:rPr>
    </w:lvl>
    <w:lvl w:ilvl="6" w:tplc="04090001">
      <w:start w:val="1"/>
      <w:numFmt w:val="decimal"/>
      <w:lvlText w:val="%7."/>
      <w:lvlJc w:val="left"/>
      <w:pPr>
        <w:tabs>
          <w:tab w:val="num" w:pos="4500"/>
        </w:tabs>
        <w:ind w:left="4500" w:hanging="360"/>
      </w:pPr>
      <w:rPr>
        <w:rFonts w:cs="Times New Roman"/>
      </w:rPr>
    </w:lvl>
    <w:lvl w:ilvl="7" w:tplc="04090003">
      <w:start w:val="1"/>
      <w:numFmt w:val="decimal"/>
      <w:lvlText w:val="%8."/>
      <w:lvlJc w:val="left"/>
      <w:pPr>
        <w:tabs>
          <w:tab w:val="num" w:pos="5220"/>
        </w:tabs>
        <w:ind w:left="5220" w:hanging="360"/>
      </w:pPr>
      <w:rPr>
        <w:rFonts w:cs="Times New Roman"/>
      </w:rPr>
    </w:lvl>
    <w:lvl w:ilvl="8" w:tplc="04090005">
      <w:start w:val="1"/>
      <w:numFmt w:val="decimal"/>
      <w:lvlText w:val="%9."/>
      <w:lvlJc w:val="left"/>
      <w:pPr>
        <w:tabs>
          <w:tab w:val="num" w:pos="5940"/>
        </w:tabs>
        <w:ind w:left="5940" w:hanging="360"/>
      </w:pPr>
      <w:rPr>
        <w:rFonts w:cs="Times New Roman"/>
      </w:rPr>
    </w:lvl>
  </w:abstractNum>
  <w:num w:numId="1">
    <w:abstractNumId w:val="22"/>
  </w:num>
  <w:num w:numId="2">
    <w:abstractNumId w:val="0"/>
  </w:num>
  <w:num w:numId="3">
    <w:abstractNumId w:val="19"/>
  </w:num>
  <w:num w:numId="4">
    <w:abstractNumId w:val="8"/>
  </w:num>
  <w:num w:numId="5">
    <w:abstractNumId w:val="20"/>
  </w:num>
  <w:num w:numId="6">
    <w:abstractNumId w:val="3"/>
  </w:num>
  <w:num w:numId="7">
    <w:abstractNumId w:val="13"/>
  </w:num>
  <w:num w:numId="8">
    <w:abstractNumId w:val="11"/>
  </w:num>
  <w:num w:numId="9">
    <w:abstractNumId w:val="7"/>
  </w:num>
  <w:num w:numId="10">
    <w:abstractNumId w:val="2"/>
  </w:num>
  <w:num w:numId="11">
    <w:abstractNumId w:val="6"/>
  </w:num>
  <w:num w:numId="12">
    <w:abstractNumId w:val="9"/>
  </w:num>
  <w:num w:numId="13">
    <w:abstractNumId w:val="15"/>
  </w:num>
  <w:num w:numId="14">
    <w:abstractNumId w:val="4"/>
  </w:num>
  <w:num w:numId="15">
    <w:abstractNumId w:val="5"/>
  </w:num>
  <w:num w:numId="16">
    <w:abstractNumId w:val="10"/>
  </w:num>
  <w:num w:numId="17">
    <w:abstractNumId w:val="18"/>
  </w:num>
  <w:num w:numId="18">
    <w:abstractNumId w:val="16"/>
  </w:num>
  <w:num w:numId="19">
    <w:abstractNumId w:val="12"/>
  </w:num>
  <w:num w:numId="20">
    <w:abstractNumId w:val="17"/>
  </w:num>
  <w:num w:numId="21">
    <w:abstractNumId w:val="21"/>
  </w:num>
  <w:num w:numId="22">
    <w:abstractNumId w:val="1"/>
  </w:num>
  <w:num w:numId="23">
    <w:abstractNumId w:val="1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hideSpellingErrors/>
  <w:defaultTabStop w:val="720"/>
  <w:characterSpacingControl w:val="doNotCompress"/>
  <w:savePreviewPicture/>
  <w:hdrShapeDefaults>
    <o:shapedefaults v:ext="edit" spidmax="222210">
      <o:colormenu v:ext="edit" fillcolor="none [664]"/>
    </o:shapedefaults>
  </w:hdrShapeDefaults>
  <w:footnotePr>
    <w:footnote w:id="0"/>
    <w:footnote w:id="1"/>
  </w:footnotePr>
  <w:endnotePr>
    <w:endnote w:id="0"/>
    <w:endnote w:id="1"/>
  </w:endnotePr>
  <w:compat/>
  <w:rsids>
    <w:rsidRoot w:val="007D5974"/>
    <w:rsid w:val="00002616"/>
    <w:rsid w:val="0001356A"/>
    <w:rsid w:val="000173E0"/>
    <w:rsid w:val="00024DBF"/>
    <w:rsid w:val="00027EA1"/>
    <w:rsid w:val="00033763"/>
    <w:rsid w:val="000338B3"/>
    <w:rsid w:val="00037DA5"/>
    <w:rsid w:val="00041A8E"/>
    <w:rsid w:val="00042C60"/>
    <w:rsid w:val="000432E4"/>
    <w:rsid w:val="00046971"/>
    <w:rsid w:val="00047DB1"/>
    <w:rsid w:val="00047EE4"/>
    <w:rsid w:val="000561F5"/>
    <w:rsid w:val="00063826"/>
    <w:rsid w:val="00066432"/>
    <w:rsid w:val="000704CE"/>
    <w:rsid w:val="000708DB"/>
    <w:rsid w:val="000749F0"/>
    <w:rsid w:val="0007642D"/>
    <w:rsid w:val="00090E65"/>
    <w:rsid w:val="00095741"/>
    <w:rsid w:val="000A4309"/>
    <w:rsid w:val="000A5605"/>
    <w:rsid w:val="000A7207"/>
    <w:rsid w:val="000B3017"/>
    <w:rsid w:val="000B618A"/>
    <w:rsid w:val="000D1AB0"/>
    <w:rsid w:val="000D3948"/>
    <w:rsid w:val="000D5058"/>
    <w:rsid w:val="000E129B"/>
    <w:rsid w:val="000F064A"/>
    <w:rsid w:val="000F3C9D"/>
    <w:rsid w:val="000F4495"/>
    <w:rsid w:val="00100F77"/>
    <w:rsid w:val="00112213"/>
    <w:rsid w:val="00114352"/>
    <w:rsid w:val="001153D9"/>
    <w:rsid w:val="00116203"/>
    <w:rsid w:val="00124F96"/>
    <w:rsid w:val="00132C68"/>
    <w:rsid w:val="00132E87"/>
    <w:rsid w:val="00133F12"/>
    <w:rsid w:val="00134588"/>
    <w:rsid w:val="00144B82"/>
    <w:rsid w:val="00145368"/>
    <w:rsid w:val="00146479"/>
    <w:rsid w:val="00147456"/>
    <w:rsid w:val="001524E8"/>
    <w:rsid w:val="0015315D"/>
    <w:rsid w:val="00161576"/>
    <w:rsid w:val="00161E9A"/>
    <w:rsid w:val="001641BD"/>
    <w:rsid w:val="00165EB3"/>
    <w:rsid w:val="0017172C"/>
    <w:rsid w:val="00172496"/>
    <w:rsid w:val="00173B3E"/>
    <w:rsid w:val="00174FD5"/>
    <w:rsid w:val="00176856"/>
    <w:rsid w:val="00180490"/>
    <w:rsid w:val="00180BAA"/>
    <w:rsid w:val="00180D6F"/>
    <w:rsid w:val="001936FC"/>
    <w:rsid w:val="00195736"/>
    <w:rsid w:val="001A2046"/>
    <w:rsid w:val="001A5EA8"/>
    <w:rsid w:val="001B16E3"/>
    <w:rsid w:val="001C163E"/>
    <w:rsid w:val="001C2892"/>
    <w:rsid w:val="001C3D32"/>
    <w:rsid w:val="001C5B72"/>
    <w:rsid w:val="001C628B"/>
    <w:rsid w:val="001D00E7"/>
    <w:rsid w:val="001D34A4"/>
    <w:rsid w:val="001D4192"/>
    <w:rsid w:val="001D4567"/>
    <w:rsid w:val="001D6329"/>
    <w:rsid w:val="001E0FAB"/>
    <w:rsid w:val="001E671E"/>
    <w:rsid w:val="001F0E4F"/>
    <w:rsid w:val="001F29B0"/>
    <w:rsid w:val="001F2A7F"/>
    <w:rsid w:val="001F30A2"/>
    <w:rsid w:val="001F4CA4"/>
    <w:rsid w:val="001F4E14"/>
    <w:rsid w:val="001F67E8"/>
    <w:rsid w:val="001F74E3"/>
    <w:rsid w:val="001F777E"/>
    <w:rsid w:val="00203BE7"/>
    <w:rsid w:val="00206971"/>
    <w:rsid w:val="002113AA"/>
    <w:rsid w:val="0021299C"/>
    <w:rsid w:val="002200BF"/>
    <w:rsid w:val="002214C4"/>
    <w:rsid w:val="0022272B"/>
    <w:rsid w:val="002233CB"/>
    <w:rsid w:val="00225531"/>
    <w:rsid w:val="002301E0"/>
    <w:rsid w:val="00230B6A"/>
    <w:rsid w:val="00233D5B"/>
    <w:rsid w:val="00237206"/>
    <w:rsid w:val="00245AFF"/>
    <w:rsid w:val="00246E8B"/>
    <w:rsid w:val="0025005B"/>
    <w:rsid w:val="002516DA"/>
    <w:rsid w:val="00256542"/>
    <w:rsid w:val="00256611"/>
    <w:rsid w:val="00256F8D"/>
    <w:rsid w:val="00260533"/>
    <w:rsid w:val="00260851"/>
    <w:rsid w:val="00264374"/>
    <w:rsid w:val="002648DE"/>
    <w:rsid w:val="00266954"/>
    <w:rsid w:val="00271E74"/>
    <w:rsid w:val="00273E6F"/>
    <w:rsid w:val="00274A21"/>
    <w:rsid w:val="00274CA1"/>
    <w:rsid w:val="0029692B"/>
    <w:rsid w:val="002B4894"/>
    <w:rsid w:val="002C191B"/>
    <w:rsid w:val="002C1F7A"/>
    <w:rsid w:val="002C24F5"/>
    <w:rsid w:val="002C2D7A"/>
    <w:rsid w:val="002C3752"/>
    <w:rsid w:val="002E0F5F"/>
    <w:rsid w:val="002E3A88"/>
    <w:rsid w:val="002E3E4F"/>
    <w:rsid w:val="002E5487"/>
    <w:rsid w:val="002F1009"/>
    <w:rsid w:val="002F426C"/>
    <w:rsid w:val="002F4A0C"/>
    <w:rsid w:val="00300389"/>
    <w:rsid w:val="00306F81"/>
    <w:rsid w:val="00310CC9"/>
    <w:rsid w:val="00314DBB"/>
    <w:rsid w:val="00316142"/>
    <w:rsid w:val="00322AC3"/>
    <w:rsid w:val="00322D09"/>
    <w:rsid w:val="003237CF"/>
    <w:rsid w:val="00323A01"/>
    <w:rsid w:val="00324B26"/>
    <w:rsid w:val="00331021"/>
    <w:rsid w:val="0033295F"/>
    <w:rsid w:val="00340645"/>
    <w:rsid w:val="00341181"/>
    <w:rsid w:val="00343390"/>
    <w:rsid w:val="00344D64"/>
    <w:rsid w:val="003539DF"/>
    <w:rsid w:val="003611E2"/>
    <w:rsid w:val="00361D21"/>
    <w:rsid w:val="00362363"/>
    <w:rsid w:val="00362CAE"/>
    <w:rsid w:val="00365ABC"/>
    <w:rsid w:val="00371659"/>
    <w:rsid w:val="00372151"/>
    <w:rsid w:val="00372963"/>
    <w:rsid w:val="00372FBC"/>
    <w:rsid w:val="00375D3F"/>
    <w:rsid w:val="003805D7"/>
    <w:rsid w:val="00392A02"/>
    <w:rsid w:val="003930DB"/>
    <w:rsid w:val="00393471"/>
    <w:rsid w:val="003A4650"/>
    <w:rsid w:val="003A5FFE"/>
    <w:rsid w:val="003A6E1C"/>
    <w:rsid w:val="003A74A2"/>
    <w:rsid w:val="003B66A5"/>
    <w:rsid w:val="003B69CE"/>
    <w:rsid w:val="003C04AC"/>
    <w:rsid w:val="003C2D84"/>
    <w:rsid w:val="003C439E"/>
    <w:rsid w:val="003C4B93"/>
    <w:rsid w:val="003C6621"/>
    <w:rsid w:val="003C7BC1"/>
    <w:rsid w:val="003D2FF0"/>
    <w:rsid w:val="003D3C8D"/>
    <w:rsid w:val="003D5023"/>
    <w:rsid w:val="003E1E77"/>
    <w:rsid w:val="003E36D6"/>
    <w:rsid w:val="003E5D8B"/>
    <w:rsid w:val="003E5F1E"/>
    <w:rsid w:val="003E71AE"/>
    <w:rsid w:val="003F0506"/>
    <w:rsid w:val="003F4472"/>
    <w:rsid w:val="004011B7"/>
    <w:rsid w:val="00407C2B"/>
    <w:rsid w:val="00407F03"/>
    <w:rsid w:val="00412609"/>
    <w:rsid w:val="00412D59"/>
    <w:rsid w:val="00421A9E"/>
    <w:rsid w:val="00423B10"/>
    <w:rsid w:val="00424C0F"/>
    <w:rsid w:val="00426061"/>
    <w:rsid w:val="00427531"/>
    <w:rsid w:val="00432003"/>
    <w:rsid w:val="004328F5"/>
    <w:rsid w:val="00440B56"/>
    <w:rsid w:val="00446B2C"/>
    <w:rsid w:val="004523A0"/>
    <w:rsid w:val="00454B1F"/>
    <w:rsid w:val="00471A40"/>
    <w:rsid w:val="00475DEE"/>
    <w:rsid w:val="004841B4"/>
    <w:rsid w:val="00485C64"/>
    <w:rsid w:val="004867DD"/>
    <w:rsid w:val="004A02A0"/>
    <w:rsid w:val="004A2DA2"/>
    <w:rsid w:val="004A315B"/>
    <w:rsid w:val="004A5D00"/>
    <w:rsid w:val="004A5D0D"/>
    <w:rsid w:val="004A6067"/>
    <w:rsid w:val="004B05B0"/>
    <w:rsid w:val="004B096F"/>
    <w:rsid w:val="004B1B33"/>
    <w:rsid w:val="004B1F41"/>
    <w:rsid w:val="004B453D"/>
    <w:rsid w:val="004C2310"/>
    <w:rsid w:val="004D0407"/>
    <w:rsid w:val="004D0C4C"/>
    <w:rsid w:val="004D1FAF"/>
    <w:rsid w:val="004E1E86"/>
    <w:rsid w:val="004E3C3D"/>
    <w:rsid w:val="004E660D"/>
    <w:rsid w:val="00500DDE"/>
    <w:rsid w:val="00504490"/>
    <w:rsid w:val="005140A9"/>
    <w:rsid w:val="00514D8E"/>
    <w:rsid w:val="00516E41"/>
    <w:rsid w:val="0051767D"/>
    <w:rsid w:val="00523CD8"/>
    <w:rsid w:val="0052473E"/>
    <w:rsid w:val="00524F3A"/>
    <w:rsid w:val="00527A85"/>
    <w:rsid w:val="005304E0"/>
    <w:rsid w:val="005421F8"/>
    <w:rsid w:val="00542898"/>
    <w:rsid w:val="00547B15"/>
    <w:rsid w:val="00552274"/>
    <w:rsid w:val="0056044F"/>
    <w:rsid w:val="00561503"/>
    <w:rsid w:val="00570BB1"/>
    <w:rsid w:val="00581F7B"/>
    <w:rsid w:val="00586CDF"/>
    <w:rsid w:val="00587A8F"/>
    <w:rsid w:val="00587AFA"/>
    <w:rsid w:val="00593550"/>
    <w:rsid w:val="0059416A"/>
    <w:rsid w:val="005A0CC6"/>
    <w:rsid w:val="005A453C"/>
    <w:rsid w:val="005A71B8"/>
    <w:rsid w:val="005A755A"/>
    <w:rsid w:val="005C3480"/>
    <w:rsid w:val="005C405D"/>
    <w:rsid w:val="005C4FC2"/>
    <w:rsid w:val="005D235E"/>
    <w:rsid w:val="005D257B"/>
    <w:rsid w:val="005E04AE"/>
    <w:rsid w:val="005E4341"/>
    <w:rsid w:val="005F4B7F"/>
    <w:rsid w:val="005F701F"/>
    <w:rsid w:val="00604559"/>
    <w:rsid w:val="006109E9"/>
    <w:rsid w:val="00610AE2"/>
    <w:rsid w:val="006119CD"/>
    <w:rsid w:val="00623AB4"/>
    <w:rsid w:val="00625F4F"/>
    <w:rsid w:val="00626F82"/>
    <w:rsid w:val="006273DE"/>
    <w:rsid w:val="00640518"/>
    <w:rsid w:val="00646861"/>
    <w:rsid w:val="00647647"/>
    <w:rsid w:val="00650E63"/>
    <w:rsid w:val="006536E6"/>
    <w:rsid w:val="00653C8D"/>
    <w:rsid w:val="00654BF4"/>
    <w:rsid w:val="00656AF4"/>
    <w:rsid w:val="006619EC"/>
    <w:rsid w:val="00667893"/>
    <w:rsid w:val="006718D1"/>
    <w:rsid w:val="00674C2D"/>
    <w:rsid w:val="006779E3"/>
    <w:rsid w:val="0068547F"/>
    <w:rsid w:val="00687C49"/>
    <w:rsid w:val="00691779"/>
    <w:rsid w:val="006A1B46"/>
    <w:rsid w:val="006A5D00"/>
    <w:rsid w:val="006A6D06"/>
    <w:rsid w:val="006B4789"/>
    <w:rsid w:val="006B5F53"/>
    <w:rsid w:val="006B644A"/>
    <w:rsid w:val="006B7A52"/>
    <w:rsid w:val="006C1E28"/>
    <w:rsid w:val="006D2E77"/>
    <w:rsid w:val="006D58F6"/>
    <w:rsid w:val="006D6ACE"/>
    <w:rsid w:val="006D6E3D"/>
    <w:rsid w:val="006E0570"/>
    <w:rsid w:val="006E1F8E"/>
    <w:rsid w:val="006E2CA4"/>
    <w:rsid w:val="006E47D6"/>
    <w:rsid w:val="006F05EB"/>
    <w:rsid w:val="006F32D7"/>
    <w:rsid w:val="006F5078"/>
    <w:rsid w:val="006F61E0"/>
    <w:rsid w:val="00703236"/>
    <w:rsid w:val="00705807"/>
    <w:rsid w:val="007234ED"/>
    <w:rsid w:val="00723FC0"/>
    <w:rsid w:val="00726AA3"/>
    <w:rsid w:val="00727F30"/>
    <w:rsid w:val="00737190"/>
    <w:rsid w:val="00747F6B"/>
    <w:rsid w:val="0075080C"/>
    <w:rsid w:val="00750FF2"/>
    <w:rsid w:val="0075159D"/>
    <w:rsid w:val="00756774"/>
    <w:rsid w:val="007608A2"/>
    <w:rsid w:val="007620DF"/>
    <w:rsid w:val="0077011A"/>
    <w:rsid w:val="00770C46"/>
    <w:rsid w:val="00771FF5"/>
    <w:rsid w:val="0077417B"/>
    <w:rsid w:val="007828DD"/>
    <w:rsid w:val="007869E5"/>
    <w:rsid w:val="007908F6"/>
    <w:rsid w:val="007914E5"/>
    <w:rsid w:val="00796D6B"/>
    <w:rsid w:val="007A07CF"/>
    <w:rsid w:val="007A1568"/>
    <w:rsid w:val="007A1717"/>
    <w:rsid w:val="007A337E"/>
    <w:rsid w:val="007A54A5"/>
    <w:rsid w:val="007B0D71"/>
    <w:rsid w:val="007B4EBC"/>
    <w:rsid w:val="007B51DE"/>
    <w:rsid w:val="007C0AF7"/>
    <w:rsid w:val="007C2C1B"/>
    <w:rsid w:val="007C43E2"/>
    <w:rsid w:val="007C4A2F"/>
    <w:rsid w:val="007D1356"/>
    <w:rsid w:val="007D3464"/>
    <w:rsid w:val="007D5974"/>
    <w:rsid w:val="007D6427"/>
    <w:rsid w:val="007E3B9D"/>
    <w:rsid w:val="007F0038"/>
    <w:rsid w:val="007F05EA"/>
    <w:rsid w:val="007F418A"/>
    <w:rsid w:val="007F44D6"/>
    <w:rsid w:val="007F741D"/>
    <w:rsid w:val="00800668"/>
    <w:rsid w:val="00802EFE"/>
    <w:rsid w:val="0080516F"/>
    <w:rsid w:val="008054EB"/>
    <w:rsid w:val="0080678E"/>
    <w:rsid w:val="0081058D"/>
    <w:rsid w:val="00816B5B"/>
    <w:rsid w:val="00817EDB"/>
    <w:rsid w:val="00822EF9"/>
    <w:rsid w:val="00823C82"/>
    <w:rsid w:val="00827428"/>
    <w:rsid w:val="00831CB9"/>
    <w:rsid w:val="00832088"/>
    <w:rsid w:val="008343FE"/>
    <w:rsid w:val="00835D2F"/>
    <w:rsid w:val="00835E45"/>
    <w:rsid w:val="00841A57"/>
    <w:rsid w:val="00842341"/>
    <w:rsid w:val="008519EA"/>
    <w:rsid w:val="00852666"/>
    <w:rsid w:val="00854672"/>
    <w:rsid w:val="00854BA2"/>
    <w:rsid w:val="008574A8"/>
    <w:rsid w:val="00862542"/>
    <w:rsid w:val="0086388A"/>
    <w:rsid w:val="00867B75"/>
    <w:rsid w:val="00873D81"/>
    <w:rsid w:val="00892D66"/>
    <w:rsid w:val="00893D61"/>
    <w:rsid w:val="008A21C7"/>
    <w:rsid w:val="008A6B8E"/>
    <w:rsid w:val="008B65C2"/>
    <w:rsid w:val="008B7718"/>
    <w:rsid w:val="008B7EE8"/>
    <w:rsid w:val="008C1998"/>
    <w:rsid w:val="008C1CFF"/>
    <w:rsid w:val="008C77D5"/>
    <w:rsid w:val="008D02BF"/>
    <w:rsid w:val="008D3B98"/>
    <w:rsid w:val="008D3EFD"/>
    <w:rsid w:val="008D6576"/>
    <w:rsid w:val="008E4D3E"/>
    <w:rsid w:val="008E50C0"/>
    <w:rsid w:val="008E63A4"/>
    <w:rsid w:val="008F3065"/>
    <w:rsid w:val="008F4A8B"/>
    <w:rsid w:val="008F637B"/>
    <w:rsid w:val="009100A8"/>
    <w:rsid w:val="00914A43"/>
    <w:rsid w:val="00916EC1"/>
    <w:rsid w:val="00921A01"/>
    <w:rsid w:val="00923316"/>
    <w:rsid w:val="00924D6E"/>
    <w:rsid w:val="009337A0"/>
    <w:rsid w:val="00937C01"/>
    <w:rsid w:val="0094037E"/>
    <w:rsid w:val="00947A39"/>
    <w:rsid w:val="00950EE6"/>
    <w:rsid w:val="00952A34"/>
    <w:rsid w:val="00952A5D"/>
    <w:rsid w:val="00954445"/>
    <w:rsid w:val="00957082"/>
    <w:rsid w:val="00962DB6"/>
    <w:rsid w:val="0097147D"/>
    <w:rsid w:val="00973561"/>
    <w:rsid w:val="009801DC"/>
    <w:rsid w:val="0098206D"/>
    <w:rsid w:val="00992AB0"/>
    <w:rsid w:val="009A1FC6"/>
    <w:rsid w:val="009A6755"/>
    <w:rsid w:val="009A78E8"/>
    <w:rsid w:val="009B152B"/>
    <w:rsid w:val="009B44BE"/>
    <w:rsid w:val="009B7044"/>
    <w:rsid w:val="009B710C"/>
    <w:rsid w:val="009C4BAD"/>
    <w:rsid w:val="009C4D30"/>
    <w:rsid w:val="009D1DFD"/>
    <w:rsid w:val="009D1FE5"/>
    <w:rsid w:val="009D5F11"/>
    <w:rsid w:val="009E2085"/>
    <w:rsid w:val="009E7D9D"/>
    <w:rsid w:val="009F519F"/>
    <w:rsid w:val="009F5682"/>
    <w:rsid w:val="009F738F"/>
    <w:rsid w:val="00A0095B"/>
    <w:rsid w:val="00A0191D"/>
    <w:rsid w:val="00A03189"/>
    <w:rsid w:val="00A05728"/>
    <w:rsid w:val="00A06D86"/>
    <w:rsid w:val="00A10012"/>
    <w:rsid w:val="00A12CE1"/>
    <w:rsid w:val="00A15C0F"/>
    <w:rsid w:val="00A20BDD"/>
    <w:rsid w:val="00A32ECA"/>
    <w:rsid w:val="00A35239"/>
    <w:rsid w:val="00A364D1"/>
    <w:rsid w:val="00A44652"/>
    <w:rsid w:val="00A45CF2"/>
    <w:rsid w:val="00A466D8"/>
    <w:rsid w:val="00A51596"/>
    <w:rsid w:val="00A54201"/>
    <w:rsid w:val="00A55928"/>
    <w:rsid w:val="00A56C92"/>
    <w:rsid w:val="00A5712D"/>
    <w:rsid w:val="00A64781"/>
    <w:rsid w:val="00A710F3"/>
    <w:rsid w:val="00A71526"/>
    <w:rsid w:val="00A72C7E"/>
    <w:rsid w:val="00A76FCF"/>
    <w:rsid w:val="00A76FE4"/>
    <w:rsid w:val="00A77F62"/>
    <w:rsid w:val="00A80940"/>
    <w:rsid w:val="00A8572F"/>
    <w:rsid w:val="00A85DB1"/>
    <w:rsid w:val="00A91D74"/>
    <w:rsid w:val="00A93F9A"/>
    <w:rsid w:val="00A94D42"/>
    <w:rsid w:val="00A95CD1"/>
    <w:rsid w:val="00A968D2"/>
    <w:rsid w:val="00AA1061"/>
    <w:rsid w:val="00AB06C3"/>
    <w:rsid w:val="00AB53C1"/>
    <w:rsid w:val="00AB5D81"/>
    <w:rsid w:val="00AB71EE"/>
    <w:rsid w:val="00AC2C9F"/>
    <w:rsid w:val="00AC4EEE"/>
    <w:rsid w:val="00AC59BA"/>
    <w:rsid w:val="00AC7684"/>
    <w:rsid w:val="00AD209C"/>
    <w:rsid w:val="00AD259F"/>
    <w:rsid w:val="00AD4645"/>
    <w:rsid w:val="00AD495E"/>
    <w:rsid w:val="00AE113F"/>
    <w:rsid w:val="00AE2834"/>
    <w:rsid w:val="00AF4E60"/>
    <w:rsid w:val="00B01154"/>
    <w:rsid w:val="00B02A98"/>
    <w:rsid w:val="00B05960"/>
    <w:rsid w:val="00B05A2A"/>
    <w:rsid w:val="00B11B65"/>
    <w:rsid w:val="00B12698"/>
    <w:rsid w:val="00B136C0"/>
    <w:rsid w:val="00B17F89"/>
    <w:rsid w:val="00B21444"/>
    <w:rsid w:val="00B22683"/>
    <w:rsid w:val="00B27331"/>
    <w:rsid w:val="00B35D7C"/>
    <w:rsid w:val="00B36493"/>
    <w:rsid w:val="00B4246C"/>
    <w:rsid w:val="00B50E1D"/>
    <w:rsid w:val="00B53D22"/>
    <w:rsid w:val="00B5696C"/>
    <w:rsid w:val="00B724EE"/>
    <w:rsid w:val="00B73DC8"/>
    <w:rsid w:val="00B768C2"/>
    <w:rsid w:val="00B841AD"/>
    <w:rsid w:val="00B850E6"/>
    <w:rsid w:val="00B90A1F"/>
    <w:rsid w:val="00B9717A"/>
    <w:rsid w:val="00BA16C6"/>
    <w:rsid w:val="00BA5ECA"/>
    <w:rsid w:val="00BB160F"/>
    <w:rsid w:val="00BC410C"/>
    <w:rsid w:val="00BC442B"/>
    <w:rsid w:val="00BC6EDD"/>
    <w:rsid w:val="00BC7341"/>
    <w:rsid w:val="00BC7F4F"/>
    <w:rsid w:val="00BE24A3"/>
    <w:rsid w:val="00BE5D64"/>
    <w:rsid w:val="00BF70C0"/>
    <w:rsid w:val="00C0027C"/>
    <w:rsid w:val="00C03D0C"/>
    <w:rsid w:val="00C052D3"/>
    <w:rsid w:val="00C13A68"/>
    <w:rsid w:val="00C156E0"/>
    <w:rsid w:val="00C15C1A"/>
    <w:rsid w:val="00C17864"/>
    <w:rsid w:val="00C2725F"/>
    <w:rsid w:val="00C348E3"/>
    <w:rsid w:val="00C4561B"/>
    <w:rsid w:val="00C46459"/>
    <w:rsid w:val="00C464CA"/>
    <w:rsid w:val="00C516DB"/>
    <w:rsid w:val="00C519EB"/>
    <w:rsid w:val="00C60B92"/>
    <w:rsid w:val="00C6400B"/>
    <w:rsid w:val="00C67547"/>
    <w:rsid w:val="00C67693"/>
    <w:rsid w:val="00C759BB"/>
    <w:rsid w:val="00C83EB2"/>
    <w:rsid w:val="00C85A01"/>
    <w:rsid w:val="00C96515"/>
    <w:rsid w:val="00CA7D0E"/>
    <w:rsid w:val="00CB7B2B"/>
    <w:rsid w:val="00CC26EC"/>
    <w:rsid w:val="00CC35EA"/>
    <w:rsid w:val="00CC7DE5"/>
    <w:rsid w:val="00CD2AA5"/>
    <w:rsid w:val="00CD3BD9"/>
    <w:rsid w:val="00CD6552"/>
    <w:rsid w:val="00CE3EFA"/>
    <w:rsid w:val="00CE5F2E"/>
    <w:rsid w:val="00D0215F"/>
    <w:rsid w:val="00D04C85"/>
    <w:rsid w:val="00D10BA1"/>
    <w:rsid w:val="00D11A85"/>
    <w:rsid w:val="00D137F3"/>
    <w:rsid w:val="00D13DB9"/>
    <w:rsid w:val="00D20F87"/>
    <w:rsid w:val="00D21D00"/>
    <w:rsid w:val="00D33FEB"/>
    <w:rsid w:val="00D34E51"/>
    <w:rsid w:val="00D34F7E"/>
    <w:rsid w:val="00D3536C"/>
    <w:rsid w:val="00D409E1"/>
    <w:rsid w:val="00D470E7"/>
    <w:rsid w:val="00D4710C"/>
    <w:rsid w:val="00D61777"/>
    <w:rsid w:val="00D719AD"/>
    <w:rsid w:val="00D7473A"/>
    <w:rsid w:val="00D812C2"/>
    <w:rsid w:val="00D82000"/>
    <w:rsid w:val="00D84639"/>
    <w:rsid w:val="00D94D2D"/>
    <w:rsid w:val="00DA03BE"/>
    <w:rsid w:val="00DB2052"/>
    <w:rsid w:val="00DB4A62"/>
    <w:rsid w:val="00DB59F1"/>
    <w:rsid w:val="00DD0245"/>
    <w:rsid w:val="00DE259F"/>
    <w:rsid w:val="00DF0AE8"/>
    <w:rsid w:val="00DF3D63"/>
    <w:rsid w:val="00DF54BE"/>
    <w:rsid w:val="00DF66DF"/>
    <w:rsid w:val="00DF79F0"/>
    <w:rsid w:val="00E040BC"/>
    <w:rsid w:val="00E05F83"/>
    <w:rsid w:val="00E11437"/>
    <w:rsid w:val="00E11F12"/>
    <w:rsid w:val="00E1206D"/>
    <w:rsid w:val="00E15353"/>
    <w:rsid w:val="00E213C4"/>
    <w:rsid w:val="00E27592"/>
    <w:rsid w:val="00E32E3D"/>
    <w:rsid w:val="00E366F1"/>
    <w:rsid w:val="00E3747F"/>
    <w:rsid w:val="00E406EB"/>
    <w:rsid w:val="00E4163E"/>
    <w:rsid w:val="00E52767"/>
    <w:rsid w:val="00E55BF4"/>
    <w:rsid w:val="00E63EFE"/>
    <w:rsid w:val="00E64F2C"/>
    <w:rsid w:val="00E80EB2"/>
    <w:rsid w:val="00E81643"/>
    <w:rsid w:val="00E8579B"/>
    <w:rsid w:val="00E92C7E"/>
    <w:rsid w:val="00E94759"/>
    <w:rsid w:val="00EA0642"/>
    <w:rsid w:val="00EA3297"/>
    <w:rsid w:val="00EA4CF3"/>
    <w:rsid w:val="00EA6E6D"/>
    <w:rsid w:val="00EA768C"/>
    <w:rsid w:val="00EA770B"/>
    <w:rsid w:val="00EB5257"/>
    <w:rsid w:val="00EB59E2"/>
    <w:rsid w:val="00EB64EB"/>
    <w:rsid w:val="00EB76FA"/>
    <w:rsid w:val="00EC6954"/>
    <w:rsid w:val="00EC7AA7"/>
    <w:rsid w:val="00ED605D"/>
    <w:rsid w:val="00ED6B37"/>
    <w:rsid w:val="00EE12B0"/>
    <w:rsid w:val="00EF2A5C"/>
    <w:rsid w:val="00EF3B75"/>
    <w:rsid w:val="00EF3DE6"/>
    <w:rsid w:val="00EF4E5D"/>
    <w:rsid w:val="00EF6A58"/>
    <w:rsid w:val="00F02022"/>
    <w:rsid w:val="00F05033"/>
    <w:rsid w:val="00F056CA"/>
    <w:rsid w:val="00F05FF4"/>
    <w:rsid w:val="00F069D6"/>
    <w:rsid w:val="00F14116"/>
    <w:rsid w:val="00F21C48"/>
    <w:rsid w:val="00F312CD"/>
    <w:rsid w:val="00F32C74"/>
    <w:rsid w:val="00F35E53"/>
    <w:rsid w:val="00F416C5"/>
    <w:rsid w:val="00F46764"/>
    <w:rsid w:val="00F500DA"/>
    <w:rsid w:val="00F52C94"/>
    <w:rsid w:val="00F61CB4"/>
    <w:rsid w:val="00F6261A"/>
    <w:rsid w:val="00F674B2"/>
    <w:rsid w:val="00F720A7"/>
    <w:rsid w:val="00F73564"/>
    <w:rsid w:val="00F74524"/>
    <w:rsid w:val="00F760FB"/>
    <w:rsid w:val="00F779A4"/>
    <w:rsid w:val="00F8009F"/>
    <w:rsid w:val="00F80464"/>
    <w:rsid w:val="00F80DD7"/>
    <w:rsid w:val="00F812C1"/>
    <w:rsid w:val="00F86B97"/>
    <w:rsid w:val="00F957B9"/>
    <w:rsid w:val="00FA3CD9"/>
    <w:rsid w:val="00FA6BE5"/>
    <w:rsid w:val="00FB60FF"/>
    <w:rsid w:val="00FB615A"/>
    <w:rsid w:val="00FC2954"/>
    <w:rsid w:val="00FC5282"/>
    <w:rsid w:val="00FC6E3E"/>
    <w:rsid w:val="00FD5BB0"/>
    <w:rsid w:val="00FE327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2210">
      <o:colormenu v:ext="edit" fillcolor="none [66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locked="1" w:semiHidden="0" w:uiPriority="0" w:unhideWhenUsed="0"/>
    <w:lsdException w:name="annotation text" w:uiPriority="0"/>
    <w:lsdException w:name="index heading" w:uiPriority="0"/>
    <w:lsdException w:name="caption" w:locked="1" w:uiPriority="0" w:qFormat="1"/>
    <w:lsdException w:name="footnote reference" w:locked="1" w:semiHidden="0" w:uiPriority="0" w:unhideWhenUsed="0"/>
    <w:lsdException w:name="annotation reference" w:uiPriority="0"/>
    <w:lsdException w:name="endnote reference" w:uiPriority="0"/>
    <w:lsdException w:name="endnote text" w:uiPriority="0"/>
    <w:lsdException w:name="toa heading" w:uiPriority="0"/>
    <w:lsdException w:name="List Bullet"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Indent 2" w:uiPriority="0"/>
    <w:lsdException w:name="Body Text Indent 3" w:uiPriority="0"/>
    <w:lsdException w:name="Hyperlink" w:locked="1" w:semiHidden="0" w:unhideWhenUsed="0"/>
    <w:lsdException w:name="Strong" w:locked="1" w:semiHidden="0" w:uiPriority="22" w:unhideWhenUsed="0" w:qFormat="1"/>
    <w:lsdException w:name="Emphasis" w:locked="1" w:semiHidden="0" w:uiPriority="0" w:unhideWhenUsed="0" w:qFormat="1"/>
    <w:lsdException w:name="Plain Text" w:uiPriority="0"/>
    <w:lsdException w:name="annotation subject" w:uiPriority="0"/>
    <w:lsdException w:name="Table Contemporary" w:uiPriority="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151"/>
    <w:pPr>
      <w:bidi/>
    </w:pPr>
    <w:rPr>
      <w:rFonts w:ascii="Times New Roman" w:eastAsia="Times New Roman" w:hAnsi="Times New Roman" w:cs="Times New Roman"/>
      <w:sz w:val="24"/>
      <w:szCs w:val="24"/>
    </w:rPr>
  </w:style>
  <w:style w:type="paragraph" w:styleId="Heading1">
    <w:name w:val="heading 1"/>
    <w:basedOn w:val="Normal"/>
    <w:next w:val="Normal"/>
    <w:link w:val="Heading1Char"/>
    <w:qFormat/>
    <w:locked/>
    <w:rsid w:val="00542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54289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542898"/>
    <w:pPr>
      <w:keepNext/>
      <w:ind w:firstLine="284"/>
      <w:jc w:val="both"/>
      <w:outlineLvl w:val="2"/>
    </w:pPr>
    <w:rPr>
      <w:rFonts w:cs="Simplified Arabic"/>
      <w:b/>
      <w:bCs/>
      <w:sz w:val="32"/>
      <w:szCs w:val="32"/>
    </w:rPr>
  </w:style>
  <w:style w:type="paragraph" w:styleId="Heading4">
    <w:name w:val="heading 4"/>
    <w:basedOn w:val="Normal"/>
    <w:next w:val="Normal"/>
    <w:link w:val="Heading4Char"/>
    <w:qFormat/>
    <w:locked/>
    <w:rsid w:val="00542898"/>
    <w:pPr>
      <w:keepNext/>
      <w:widowControl w:val="0"/>
      <w:spacing w:after="60" w:line="192" w:lineRule="auto"/>
      <w:ind w:firstLine="397"/>
      <w:jc w:val="center"/>
      <w:outlineLvl w:val="3"/>
    </w:pPr>
    <w:rPr>
      <w:rFonts w:cs="Simplified Arabic"/>
      <w:b/>
      <w:bCs/>
      <w:sz w:val="36"/>
      <w:szCs w:val="34"/>
      <w:lang w:eastAsia="ar-SA"/>
    </w:rPr>
  </w:style>
  <w:style w:type="paragraph" w:styleId="Heading5">
    <w:name w:val="heading 5"/>
    <w:basedOn w:val="Normal"/>
    <w:next w:val="Normal"/>
    <w:link w:val="Heading5Char"/>
    <w:qFormat/>
    <w:locked/>
    <w:rsid w:val="00542898"/>
    <w:pPr>
      <w:keepNext/>
      <w:widowControl w:val="0"/>
      <w:spacing w:line="192" w:lineRule="auto"/>
      <w:ind w:firstLine="2688"/>
      <w:jc w:val="center"/>
      <w:outlineLvl w:val="4"/>
    </w:pPr>
    <w:rPr>
      <w:rFonts w:cs="Simplified Arabic"/>
      <w:b/>
      <w:bCs/>
      <w:sz w:val="28"/>
      <w:szCs w:val="28"/>
    </w:rPr>
  </w:style>
  <w:style w:type="paragraph" w:styleId="Heading6">
    <w:name w:val="heading 6"/>
    <w:basedOn w:val="Normal"/>
    <w:next w:val="Normal"/>
    <w:link w:val="Heading6Char"/>
    <w:qFormat/>
    <w:locked/>
    <w:rsid w:val="00542898"/>
    <w:pPr>
      <w:keepNext/>
      <w:widowControl w:val="0"/>
      <w:spacing w:after="60" w:line="192" w:lineRule="auto"/>
      <w:ind w:hanging="10"/>
      <w:jc w:val="center"/>
      <w:outlineLvl w:val="5"/>
    </w:pPr>
    <w:rPr>
      <w:rFonts w:cs="DecoType Naskh Swashes"/>
      <w:b/>
      <w:bCs/>
      <w:sz w:val="48"/>
      <w:szCs w:val="48"/>
    </w:rPr>
  </w:style>
  <w:style w:type="paragraph" w:styleId="Heading7">
    <w:name w:val="heading 7"/>
    <w:basedOn w:val="Normal"/>
    <w:next w:val="Normal"/>
    <w:link w:val="Heading7Char"/>
    <w:qFormat/>
    <w:locked/>
    <w:rsid w:val="00542898"/>
    <w:pPr>
      <w:keepNext/>
      <w:widowControl w:val="0"/>
      <w:spacing w:after="120" w:line="192" w:lineRule="auto"/>
      <w:ind w:firstLine="397"/>
      <w:jc w:val="center"/>
      <w:outlineLvl w:val="6"/>
    </w:pPr>
    <w:rPr>
      <w:rFonts w:cs="Simplified Arabic"/>
      <w:b/>
      <w:bCs/>
      <w:sz w:val="36"/>
      <w:szCs w:val="34"/>
      <w:lang w:eastAsia="ar-SA"/>
    </w:rPr>
  </w:style>
  <w:style w:type="paragraph" w:styleId="Heading8">
    <w:name w:val="heading 8"/>
    <w:basedOn w:val="Normal"/>
    <w:next w:val="Normal"/>
    <w:link w:val="Heading8Char"/>
    <w:qFormat/>
    <w:locked/>
    <w:rsid w:val="00542898"/>
    <w:pPr>
      <w:keepNext/>
      <w:widowControl w:val="0"/>
      <w:spacing w:after="60" w:line="192" w:lineRule="auto"/>
      <w:ind w:hanging="10"/>
      <w:jc w:val="center"/>
      <w:outlineLvl w:val="7"/>
    </w:pPr>
    <w:rPr>
      <w:rFonts w:cs="Simplified Arabic"/>
      <w:b/>
      <w:bCs/>
      <w:szCs w:val="36"/>
    </w:rPr>
  </w:style>
  <w:style w:type="paragraph" w:styleId="Heading9">
    <w:name w:val="heading 9"/>
    <w:basedOn w:val="Normal"/>
    <w:next w:val="Normal"/>
    <w:link w:val="Heading9Char"/>
    <w:qFormat/>
    <w:locked/>
    <w:rsid w:val="00542898"/>
    <w:pPr>
      <w:keepNext/>
      <w:jc w:val="center"/>
      <w:outlineLvl w:val="8"/>
    </w:pPr>
    <w:rPr>
      <w:rFonts w:cs="Simplified Arabic"/>
      <w:b/>
      <w:bCs/>
      <w:sz w:val="36"/>
      <w:szCs w:val="34"/>
      <w:lang w:bidi="ar-S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نص حاشية سفلية Char Char Char Char,نص حاشية سفلية Char Char Char  Char Char Char Char,نص حاشية سفلية Char Char Char  Char Char Char Char Char Char,نص حاشية سفلية1 Char,نص حاشية سفلية Char Char Char1 Char Char Char Char"/>
    <w:locked/>
    <w:rsid w:val="007D5974"/>
  </w:style>
  <w:style w:type="paragraph" w:styleId="FootnoteText">
    <w:name w:val="footnote text"/>
    <w:aliases w:val=" Char,نص حاشية سفلية Char Char Char,نص حاشية سفلية Char Char Char  Char Char Char,نص حاشية سفلية Char Char Char  Char Char Char Char Char,نص حاشية سفلية1,نص حاشية سفلية Char Char Char1 Char Char Char,نص حاشية سفلية2,Char,حواشي سفلية,Ch"/>
    <w:basedOn w:val="Normal"/>
    <w:link w:val="FootnoteTextChar1"/>
    <w:rsid w:val="007D5974"/>
    <w:rPr>
      <w:rFonts w:ascii="Calibri" w:eastAsia="Calibri" w:hAnsi="Calibri"/>
      <w:sz w:val="20"/>
      <w:szCs w:val="20"/>
      <w:lang w:eastAsia="ko-KR"/>
    </w:rPr>
  </w:style>
  <w:style w:type="character" w:customStyle="1" w:styleId="FootnoteTextChar1">
    <w:name w:val="Footnote Text Char1"/>
    <w:aliases w:val=" Char Char,نص حاشية سفلية Char Char Char Char1,نص حاشية سفلية Char Char Char  Char Char Char Char1,نص حاشية سفلية Char Char Char  Char Char Char Char Char Char1,نص حاشية سفلية1 Char1,نص حاشية سفلية2 Char,Char Char,حواشي سفلية Char"/>
    <w:basedOn w:val="DefaultParagraphFont"/>
    <w:link w:val="FootnoteText"/>
    <w:uiPriority w:val="99"/>
    <w:locked/>
    <w:rsid w:val="0094037E"/>
    <w:rPr>
      <w:rFonts w:ascii="Times New Roman" w:hAnsi="Times New Roman" w:cs="Times New Roman"/>
      <w:sz w:val="20"/>
      <w:szCs w:val="20"/>
    </w:rPr>
  </w:style>
  <w:style w:type="character" w:customStyle="1" w:styleId="Char1">
    <w:name w:val="نص حاشية سفلية Char1"/>
    <w:basedOn w:val="DefaultParagraphFont"/>
    <w:uiPriority w:val="99"/>
    <w:semiHidden/>
    <w:rsid w:val="007D5974"/>
    <w:rPr>
      <w:rFonts w:ascii="Times New Roman" w:hAnsi="Times New Roman" w:cs="Times New Roman"/>
      <w:sz w:val="20"/>
      <w:szCs w:val="20"/>
    </w:rPr>
  </w:style>
  <w:style w:type="paragraph" w:customStyle="1" w:styleId="1">
    <w:name w:val="نمط1"/>
    <w:basedOn w:val="Normal"/>
    <w:next w:val="FootnoteText"/>
    <w:uiPriority w:val="99"/>
    <w:rsid w:val="007D5974"/>
    <w:pPr>
      <w:numPr>
        <w:numId w:val="1"/>
      </w:numPr>
      <w:spacing w:line="276" w:lineRule="auto"/>
      <w:jc w:val="lowKashida"/>
    </w:pPr>
    <w:rPr>
      <w:rFonts w:cs="Simplified Arabic"/>
      <w:sz w:val="28"/>
      <w:lang w:bidi="ar-IQ"/>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rsid w:val="007D5974"/>
    <w:rPr>
      <w:rFonts w:cs="Times New Roman"/>
      <w:vertAlign w:val="superscript"/>
    </w:rPr>
  </w:style>
  <w:style w:type="character" w:styleId="Hyperlink">
    <w:name w:val="Hyperlink"/>
    <w:basedOn w:val="DefaultParagraphFont"/>
    <w:uiPriority w:val="99"/>
    <w:rsid w:val="007D5974"/>
    <w:rPr>
      <w:rFonts w:cs="Times New Roman"/>
      <w:color w:val="0000FF"/>
      <w:u w:val="single"/>
    </w:rPr>
  </w:style>
  <w:style w:type="paragraph" w:styleId="Header">
    <w:name w:val="header"/>
    <w:basedOn w:val="Normal"/>
    <w:link w:val="HeaderChar"/>
    <w:uiPriority w:val="99"/>
    <w:rsid w:val="009B44BE"/>
    <w:pPr>
      <w:tabs>
        <w:tab w:val="center" w:pos="4153"/>
        <w:tab w:val="right" w:pos="8306"/>
      </w:tabs>
    </w:pPr>
  </w:style>
  <w:style w:type="character" w:customStyle="1" w:styleId="HeaderChar">
    <w:name w:val="Header Char"/>
    <w:basedOn w:val="DefaultParagraphFont"/>
    <w:link w:val="Header"/>
    <w:uiPriority w:val="99"/>
    <w:locked/>
    <w:rsid w:val="009B44BE"/>
    <w:rPr>
      <w:rFonts w:ascii="Times New Roman" w:hAnsi="Times New Roman" w:cs="Times New Roman"/>
      <w:sz w:val="24"/>
      <w:szCs w:val="24"/>
    </w:rPr>
  </w:style>
  <w:style w:type="paragraph" w:styleId="Footer">
    <w:name w:val="footer"/>
    <w:basedOn w:val="Normal"/>
    <w:link w:val="FooterChar"/>
    <w:uiPriority w:val="99"/>
    <w:rsid w:val="009B44BE"/>
    <w:pPr>
      <w:tabs>
        <w:tab w:val="center" w:pos="4153"/>
        <w:tab w:val="right" w:pos="8306"/>
      </w:tabs>
    </w:pPr>
  </w:style>
  <w:style w:type="character" w:customStyle="1" w:styleId="FooterChar">
    <w:name w:val="Footer Char"/>
    <w:basedOn w:val="DefaultParagraphFont"/>
    <w:link w:val="Footer"/>
    <w:uiPriority w:val="99"/>
    <w:locked/>
    <w:rsid w:val="009B44BE"/>
    <w:rPr>
      <w:rFonts w:ascii="Times New Roman" w:hAnsi="Times New Roman" w:cs="Times New Roman"/>
      <w:sz w:val="24"/>
      <w:szCs w:val="24"/>
    </w:rPr>
  </w:style>
  <w:style w:type="paragraph" w:styleId="ListParagraph">
    <w:name w:val="List Paragraph"/>
    <w:basedOn w:val="Normal"/>
    <w:uiPriority w:val="34"/>
    <w:qFormat/>
    <w:rsid w:val="00A76FCF"/>
    <w:pPr>
      <w:ind w:left="720"/>
      <w:contextualSpacing/>
    </w:pPr>
  </w:style>
  <w:style w:type="character" w:styleId="PageNumber">
    <w:name w:val="page number"/>
    <w:basedOn w:val="DefaultParagraphFont"/>
    <w:uiPriority w:val="99"/>
    <w:rsid w:val="00C15C1A"/>
    <w:rPr>
      <w:rFonts w:cs="Times New Roman"/>
    </w:rPr>
  </w:style>
  <w:style w:type="paragraph" w:styleId="BalloonText">
    <w:name w:val="Balloon Text"/>
    <w:basedOn w:val="Normal"/>
    <w:link w:val="BalloonTextChar"/>
    <w:semiHidden/>
    <w:unhideWhenUsed/>
    <w:rsid w:val="002F4A0C"/>
    <w:rPr>
      <w:rFonts w:ascii="Tahoma" w:hAnsi="Tahoma" w:cs="Tahoma"/>
      <w:sz w:val="16"/>
      <w:szCs w:val="16"/>
    </w:rPr>
  </w:style>
  <w:style w:type="character" w:customStyle="1" w:styleId="BalloonTextChar">
    <w:name w:val="Balloon Text Char"/>
    <w:basedOn w:val="DefaultParagraphFont"/>
    <w:link w:val="BalloonText"/>
    <w:uiPriority w:val="99"/>
    <w:semiHidden/>
    <w:rsid w:val="002F4A0C"/>
    <w:rPr>
      <w:rFonts w:ascii="Tahoma" w:eastAsia="Times New Roman" w:hAnsi="Tahoma" w:cs="Tahoma"/>
      <w:sz w:val="16"/>
      <w:szCs w:val="16"/>
    </w:rPr>
  </w:style>
  <w:style w:type="paragraph" w:styleId="NormalWeb">
    <w:name w:val="Normal (Web)"/>
    <w:basedOn w:val="Normal"/>
    <w:uiPriority w:val="99"/>
    <w:unhideWhenUsed/>
    <w:rsid w:val="00C156E0"/>
    <w:pPr>
      <w:bidi w:val="0"/>
      <w:spacing w:before="100" w:beforeAutospacing="1" w:after="100" w:afterAutospacing="1"/>
    </w:pPr>
  </w:style>
  <w:style w:type="character" w:customStyle="1" w:styleId="Heading1Char">
    <w:name w:val="Heading 1 Char"/>
    <w:basedOn w:val="DefaultParagraphFont"/>
    <w:link w:val="Heading1"/>
    <w:rsid w:val="0054289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5428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42898"/>
    <w:rPr>
      <w:rFonts w:ascii="Times New Roman" w:eastAsia="Times New Roman" w:hAnsi="Times New Roman" w:cs="Simplified Arabic"/>
      <w:b/>
      <w:bCs/>
      <w:sz w:val="32"/>
      <w:szCs w:val="32"/>
    </w:rPr>
  </w:style>
  <w:style w:type="character" w:customStyle="1" w:styleId="Heading4Char">
    <w:name w:val="Heading 4 Char"/>
    <w:basedOn w:val="DefaultParagraphFont"/>
    <w:link w:val="Heading4"/>
    <w:rsid w:val="00542898"/>
    <w:rPr>
      <w:rFonts w:ascii="Times New Roman" w:eastAsia="Times New Roman" w:hAnsi="Times New Roman" w:cs="Simplified Arabic"/>
      <w:b/>
      <w:bCs/>
      <w:sz w:val="36"/>
      <w:szCs w:val="34"/>
      <w:lang w:eastAsia="ar-SA"/>
    </w:rPr>
  </w:style>
  <w:style w:type="character" w:customStyle="1" w:styleId="Heading5Char">
    <w:name w:val="Heading 5 Char"/>
    <w:basedOn w:val="DefaultParagraphFont"/>
    <w:link w:val="Heading5"/>
    <w:rsid w:val="00542898"/>
    <w:rPr>
      <w:rFonts w:ascii="Times New Roman" w:eastAsia="Times New Roman" w:hAnsi="Times New Roman" w:cs="Simplified Arabic"/>
      <w:b/>
      <w:bCs/>
      <w:sz w:val="28"/>
      <w:szCs w:val="28"/>
    </w:rPr>
  </w:style>
  <w:style w:type="character" w:customStyle="1" w:styleId="Heading6Char">
    <w:name w:val="Heading 6 Char"/>
    <w:basedOn w:val="DefaultParagraphFont"/>
    <w:link w:val="Heading6"/>
    <w:rsid w:val="00542898"/>
    <w:rPr>
      <w:rFonts w:ascii="Times New Roman" w:eastAsia="Times New Roman" w:hAnsi="Times New Roman" w:cs="DecoType Naskh Swashes"/>
      <w:b/>
      <w:bCs/>
      <w:sz w:val="48"/>
      <w:szCs w:val="48"/>
    </w:rPr>
  </w:style>
  <w:style w:type="character" w:customStyle="1" w:styleId="Heading7Char">
    <w:name w:val="Heading 7 Char"/>
    <w:basedOn w:val="DefaultParagraphFont"/>
    <w:link w:val="Heading7"/>
    <w:rsid w:val="00542898"/>
    <w:rPr>
      <w:rFonts w:ascii="Times New Roman" w:eastAsia="Times New Roman" w:hAnsi="Times New Roman" w:cs="Simplified Arabic"/>
      <w:b/>
      <w:bCs/>
      <w:sz w:val="36"/>
      <w:szCs w:val="34"/>
      <w:lang w:eastAsia="ar-SA"/>
    </w:rPr>
  </w:style>
  <w:style w:type="character" w:customStyle="1" w:styleId="Heading8Char">
    <w:name w:val="Heading 8 Char"/>
    <w:basedOn w:val="DefaultParagraphFont"/>
    <w:link w:val="Heading8"/>
    <w:rsid w:val="00542898"/>
    <w:rPr>
      <w:rFonts w:ascii="Times New Roman" w:eastAsia="Times New Roman" w:hAnsi="Times New Roman" w:cs="Simplified Arabic"/>
      <w:b/>
      <w:bCs/>
      <w:sz w:val="24"/>
      <w:szCs w:val="36"/>
    </w:rPr>
  </w:style>
  <w:style w:type="character" w:customStyle="1" w:styleId="Heading9Char">
    <w:name w:val="Heading 9 Char"/>
    <w:basedOn w:val="DefaultParagraphFont"/>
    <w:link w:val="Heading9"/>
    <w:rsid w:val="00542898"/>
    <w:rPr>
      <w:rFonts w:ascii="Times New Roman" w:eastAsia="Times New Roman" w:hAnsi="Times New Roman" w:cs="Simplified Arabic"/>
      <w:b/>
      <w:bCs/>
      <w:sz w:val="36"/>
      <w:szCs w:val="34"/>
      <w:lang w:bidi="ar-SY"/>
    </w:rPr>
  </w:style>
  <w:style w:type="paragraph" w:customStyle="1" w:styleId="2">
    <w:name w:val="2"/>
    <w:basedOn w:val="Heading2"/>
    <w:rsid w:val="00542898"/>
    <w:pPr>
      <w:keepLines w:val="0"/>
      <w:widowControl w:val="0"/>
      <w:spacing w:before="240" w:after="60" w:line="192" w:lineRule="auto"/>
      <w:ind w:firstLine="397"/>
      <w:jc w:val="both"/>
    </w:pPr>
    <w:rPr>
      <w:rFonts w:ascii="Arial" w:eastAsia="Times New Roman" w:hAnsi="Arial" w:cs="Simplified Arabic"/>
      <w:color w:val="auto"/>
      <w:sz w:val="36"/>
      <w:szCs w:val="36"/>
      <w:lang w:eastAsia="ar-SA"/>
    </w:rPr>
  </w:style>
  <w:style w:type="paragraph" w:customStyle="1" w:styleId="10">
    <w:name w:val="1"/>
    <w:basedOn w:val="Heading1"/>
    <w:link w:val="1Char"/>
    <w:rsid w:val="00542898"/>
    <w:pPr>
      <w:keepLines w:val="0"/>
      <w:widowControl w:val="0"/>
      <w:spacing w:before="0"/>
      <w:jc w:val="center"/>
    </w:pPr>
    <w:rPr>
      <w:rFonts w:ascii="Arial" w:eastAsia="Times New Roman" w:hAnsi="Arial" w:cs="Simplified Arabic"/>
      <w:i/>
      <w:iCs/>
      <w:color w:val="auto"/>
      <w:sz w:val="40"/>
      <w:szCs w:val="40"/>
      <w:lang w:eastAsia="ar-SA"/>
    </w:rPr>
  </w:style>
  <w:style w:type="paragraph" w:customStyle="1" w:styleId="3">
    <w:name w:val="3"/>
    <w:basedOn w:val="2"/>
    <w:rsid w:val="00542898"/>
    <w:rPr>
      <w:sz w:val="32"/>
      <w:szCs w:val="32"/>
    </w:rPr>
  </w:style>
  <w:style w:type="character" w:customStyle="1" w:styleId="1Char">
    <w:name w:val="1 Char"/>
    <w:link w:val="10"/>
    <w:rsid w:val="00542898"/>
    <w:rPr>
      <w:rFonts w:ascii="Arial" w:eastAsia="Times New Roman" w:hAnsi="Arial" w:cs="Simplified Arabic"/>
      <w:b/>
      <w:bCs/>
      <w:i/>
      <w:iCs/>
      <w:sz w:val="40"/>
      <w:szCs w:val="40"/>
      <w:lang w:eastAsia="ar-SA"/>
    </w:rPr>
  </w:style>
  <w:style w:type="paragraph" w:customStyle="1" w:styleId="4">
    <w:name w:val="4"/>
    <w:rsid w:val="00542898"/>
    <w:pPr>
      <w:widowControl w:val="0"/>
      <w:tabs>
        <w:tab w:val="center" w:pos="4153"/>
        <w:tab w:val="right" w:pos="8306"/>
      </w:tabs>
      <w:spacing w:after="60" w:line="192" w:lineRule="auto"/>
      <w:ind w:firstLine="397"/>
      <w:jc w:val="both"/>
    </w:pPr>
    <w:rPr>
      <w:rFonts w:cs="mylotus"/>
      <w:szCs w:val="36"/>
      <w:lang w:eastAsia="ar-SA"/>
    </w:rPr>
  </w:style>
  <w:style w:type="character" w:customStyle="1" w:styleId="2Char">
    <w:name w:val="2 Char"/>
    <w:rsid w:val="00542898"/>
    <w:rPr>
      <w:rFonts w:ascii="Arial" w:hAnsi="Arial" w:cs="Simplified Arabic"/>
      <w:b/>
      <w:bCs/>
      <w:i/>
      <w:iCs/>
      <w:sz w:val="36"/>
      <w:szCs w:val="36"/>
      <w:lang w:val="en-US" w:eastAsia="ar-SA" w:bidi="ar-SA"/>
    </w:rPr>
  </w:style>
  <w:style w:type="character" w:customStyle="1" w:styleId="2Char1">
    <w:name w:val="عنوان 2 Char1"/>
    <w:rsid w:val="00542898"/>
    <w:rPr>
      <w:rFonts w:ascii="Arial" w:hAnsi="Arial" w:cs="Arial"/>
      <w:b/>
      <w:bCs/>
      <w:i/>
      <w:iCs/>
      <w:sz w:val="28"/>
      <w:szCs w:val="28"/>
      <w:lang w:val="en-US" w:eastAsia="ar-SA" w:bidi="ar-SA"/>
    </w:rPr>
  </w:style>
  <w:style w:type="character" w:customStyle="1" w:styleId="2Char10">
    <w:name w:val="2 Char1"/>
    <w:rsid w:val="00542898"/>
    <w:rPr>
      <w:rFonts w:ascii="Arial" w:hAnsi="Arial" w:cs="Simplified Arabic"/>
      <w:b/>
      <w:bCs/>
      <w:i/>
      <w:iCs/>
      <w:sz w:val="36"/>
      <w:szCs w:val="36"/>
      <w:lang w:val="en-US" w:eastAsia="ar-SA" w:bidi="ar-SA"/>
    </w:rPr>
  </w:style>
  <w:style w:type="paragraph" w:styleId="BodyTextIndent">
    <w:name w:val="Body Text Indent"/>
    <w:basedOn w:val="Normal"/>
    <w:link w:val="BodyTextIndentChar"/>
    <w:rsid w:val="00542898"/>
    <w:pPr>
      <w:widowControl w:val="0"/>
      <w:spacing w:after="60" w:line="192" w:lineRule="auto"/>
      <w:ind w:firstLine="397"/>
      <w:jc w:val="both"/>
    </w:pPr>
    <w:rPr>
      <w:rFonts w:cs="mylotus"/>
      <w:szCs w:val="36"/>
    </w:rPr>
  </w:style>
  <w:style w:type="character" w:customStyle="1" w:styleId="BodyTextIndentChar">
    <w:name w:val="Body Text Indent Char"/>
    <w:basedOn w:val="DefaultParagraphFont"/>
    <w:link w:val="BodyTextIndent"/>
    <w:rsid w:val="00542898"/>
    <w:rPr>
      <w:rFonts w:ascii="Times New Roman" w:eastAsia="Times New Roman" w:hAnsi="Times New Roman" w:cs="mylotus"/>
      <w:sz w:val="24"/>
      <w:szCs w:val="36"/>
    </w:rPr>
  </w:style>
  <w:style w:type="paragraph" w:styleId="TOC1">
    <w:name w:val="toc 1"/>
    <w:basedOn w:val="Normal"/>
    <w:next w:val="Normal"/>
    <w:autoRedefine/>
    <w:uiPriority w:val="39"/>
    <w:locked/>
    <w:rsid w:val="00542898"/>
    <w:pPr>
      <w:widowControl w:val="0"/>
      <w:tabs>
        <w:tab w:val="right" w:leader="dot" w:pos="7360"/>
      </w:tabs>
      <w:spacing w:line="192" w:lineRule="auto"/>
      <w:jc w:val="both"/>
    </w:pPr>
    <w:rPr>
      <w:rFonts w:cs="AL-Mateen"/>
      <w:b/>
      <w:bCs/>
      <w:sz w:val="28"/>
      <w:szCs w:val="40"/>
    </w:rPr>
  </w:style>
  <w:style w:type="paragraph" w:styleId="TOC2">
    <w:name w:val="toc 2"/>
    <w:basedOn w:val="Normal"/>
    <w:next w:val="Normal"/>
    <w:autoRedefine/>
    <w:locked/>
    <w:rsid w:val="00542898"/>
    <w:pPr>
      <w:widowControl w:val="0"/>
      <w:spacing w:after="60" w:line="192" w:lineRule="auto"/>
      <w:ind w:left="240" w:firstLine="397"/>
      <w:jc w:val="both"/>
    </w:pPr>
    <w:rPr>
      <w:rFonts w:cs="mylotus"/>
      <w:szCs w:val="36"/>
      <w:lang w:eastAsia="ar-SA"/>
    </w:rPr>
  </w:style>
  <w:style w:type="paragraph" w:styleId="TOC3">
    <w:name w:val="toc 3"/>
    <w:basedOn w:val="Normal"/>
    <w:next w:val="Normal"/>
    <w:autoRedefine/>
    <w:locked/>
    <w:rsid w:val="00542898"/>
    <w:pPr>
      <w:widowControl w:val="0"/>
      <w:spacing w:after="60" w:line="192" w:lineRule="auto"/>
      <w:ind w:left="480" w:firstLine="397"/>
      <w:jc w:val="both"/>
    </w:pPr>
    <w:rPr>
      <w:rFonts w:cs="mylotus"/>
      <w:szCs w:val="36"/>
      <w:lang w:eastAsia="ar-SA"/>
    </w:rPr>
  </w:style>
  <w:style w:type="paragraph" w:styleId="TOC4">
    <w:name w:val="toc 4"/>
    <w:basedOn w:val="Normal"/>
    <w:next w:val="Normal"/>
    <w:autoRedefine/>
    <w:locked/>
    <w:rsid w:val="00542898"/>
    <w:pPr>
      <w:widowControl w:val="0"/>
      <w:spacing w:after="60" w:line="192" w:lineRule="auto"/>
      <w:ind w:left="720" w:firstLine="397"/>
      <w:jc w:val="both"/>
    </w:pPr>
    <w:rPr>
      <w:rFonts w:cs="mylotus"/>
      <w:szCs w:val="36"/>
      <w:lang w:eastAsia="ar-SA"/>
    </w:rPr>
  </w:style>
  <w:style w:type="paragraph" w:styleId="TOC5">
    <w:name w:val="toc 5"/>
    <w:basedOn w:val="Normal"/>
    <w:next w:val="Normal"/>
    <w:autoRedefine/>
    <w:locked/>
    <w:rsid w:val="00542898"/>
    <w:pPr>
      <w:widowControl w:val="0"/>
      <w:spacing w:after="60" w:line="192" w:lineRule="auto"/>
      <w:ind w:left="960" w:firstLine="397"/>
      <w:jc w:val="both"/>
    </w:pPr>
    <w:rPr>
      <w:rFonts w:cs="mylotus"/>
      <w:szCs w:val="36"/>
      <w:lang w:eastAsia="ar-SA"/>
    </w:rPr>
  </w:style>
  <w:style w:type="paragraph" w:styleId="TOC6">
    <w:name w:val="toc 6"/>
    <w:basedOn w:val="Normal"/>
    <w:next w:val="Normal"/>
    <w:autoRedefine/>
    <w:locked/>
    <w:rsid w:val="00542898"/>
    <w:pPr>
      <w:widowControl w:val="0"/>
      <w:spacing w:after="60" w:line="192" w:lineRule="auto"/>
      <w:ind w:left="1200" w:firstLine="397"/>
      <w:jc w:val="both"/>
    </w:pPr>
    <w:rPr>
      <w:rFonts w:cs="mylotus"/>
      <w:szCs w:val="36"/>
      <w:lang w:eastAsia="ar-SA"/>
    </w:rPr>
  </w:style>
  <w:style w:type="paragraph" w:styleId="TOC7">
    <w:name w:val="toc 7"/>
    <w:basedOn w:val="Normal"/>
    <w:next w:val="Normal"/>
    <w:autoRedefine/>
    <w:locked/>
    <w:rsid w:val="00542898"/>
    <w:pPr>
      <w:widowControl w:val="0"/>
      <w:spacing w:after="60" w:line="192" w:lineRule="auto"/>
      <w:ind w:left="1440" w:firstLine="397"/>
      <w:jc w:val="both"/>
    </w:pPr>
    <w:rPr>
      <w:rFonts w:cs="mylotus"/>
      <w:szCs w:val="36"/>
      <w:lang w:eastAsia="ar-SA"/>
    </w:rPr>
  </w:style>
  <w:style w:type="paragraph" w:styleId="TOC8">
    <w:name w:val="toc 8"/>
    <w:basedOn w:val="Normal"/>
    <w:next w:val="Normal"/>
    <w:autoRedefine/>
    <w:locked/>
    <w:rsid w:val="00542898"/>
    <w:pPr>
      <w:widowControl w:val="0"/>
      <w:spacing w:after="60" w:line="192" w:lineRule="auto"/>
      <w:ind w:left="1680" w:firstLine="397"/>
      <w:jc w:val="both"/>
    </w:pPr>
    <w:rPr>
      <w:rFonts w:cs="mylotus"/>
      <w:szCs w:val="36"/>
      <w:lang w:eastAsia="ar-SA"/>
    </w:rPr>
  </w:style>
  <w:style w:type="paragraph" w:styleId="TOC9">
    <w:name w:val="toc 9"/>
    <w:basedOn w:val="Normal"/>
    <w:next w:val="Normal"/>
    <w:autoRedefine/>
    <w:locked/>
    <w:rsid w:val="00542898"/>
    <w:pPr>
      <w:widowControl w:val="0"/>
      <w:spacing w:after="60" w:line="192" w:lineRule="auto"/>
      <w:ind w:left="1920" w:firstLine="397"/>
      <w:jc w:val="both"/>
    </w:pPr>
    <w:rPr>
      <w:rFonts w:cs="mylotus"/>
      <w:szCs w:val="36"/>
      <w:lang w:eastAsia="ar-SA"/>
    </w:rPr>
  </w:style>
  <w:style w:type="paragraph" w:styleId="PlainText">
    <w:name w:val="Plain Text"/>
    <w:basedOn w:val="Normal"/>
    <w:link w:val="PlainTextChar"/>
    <w:rsid w:val="00542898"/>
    <w:pPr>
      <w:widowControl w:val="0"/>
      <w:spacing w:after="120"/>
      <w:ind w:firstLine="567"/>
      <w:jc w:val="both"/>
    </w:pPr>
    <w:rPr>
      <w:rFonts w:ascii="Courier New" w:hAnsi="Courier New" w:cs="Courier New"/>
      <w:sz w:val="20"/>
      <w:szCs w:val="20"/>
      <w:lang w:eastAsia="ar-SA"/>
    </w:rPr>
  </w:style>
  <w:style w:type="character" w:customStyle="1" w:styleId="PlainTextChar">
    <w:name w:val="Plain Text Char"/>
    <w:basedOn w:val="DefaultParagraphFont"/>
    <w:link w:val="PlainText"/>
    <w:rsid w:val="00542898"/>
    <w:rPr>
      <w:rFonts w:ascii="Courier New" w:eastAsia="Times New Roman" w:hAnsi="Courier New" w:cs="Courier New"/>
      <w:sz w:val="20"/>
      <w:szCs w:val="20"/>
      <w:lang w:eastAsia="ar-SA"/>
    </w:rPr>
  </w:style>
  <w:style w:type="character" w:customStyle="1" w:styleId="Style5Char">
    <w:name w:val="Style5 Char"/>
    <w:rsid w:val="00542898"/>
    <w:rPr>
      <w:rFonts w:cs="DecoType Naskh Extensions"/>
      <w:color w:val="632423"/>
    </w:rPr>
  </w:style>
  <w:style w:type="character" w:customStyle="1" w:styleId="hhChar">
    <w:name w:val="hh Char"/>
    <w:rsid w:val="00542898"/>
    <w:rPr>
      <w:b/>
      <w:bCs/>
      <w:color w:val="000000"/>
      <w:sz w:val="36"/>
      <w:szCs w:val="36"/>
    </w:rPr>
  </w:style>
  <w:style w:type="paragraph" w:styleId="BodyTextIndent3">
    <w:name w:val="Body Text Indent 3"/>
    <w:basedOn w:val="Normal"/>
    <w:link w:val="BodyTextIndent3Char"/>
    <w:rsid w:val="00542898"/>
    <w:pPr>
      <w:widowControl w:val="0"/>
      <w:spacing w:after="60" w:line="192" w:lineRule="auto"/>
      <w:ind w:firstLine="397"/>
      <w:jc w:val="both"/>
    </w:pPr>
    <w:rPr>
      <w:rFonts w:cs="mylotus"/>
      <w:sz w:val="36"/>
      <w:szCs w:val="36"/>
      <w:lang w:eastAsia="ar-SA"/>
    </w:rPr>
  </w:style>
  <w:style w:type="character" w:customStyle="1" w:styleId="BodyTextIndent3Char">
    <w:name w:val="Body Text Indent 3 Char"/>
    <w:basedOn w:val="DefaultParagraphFont"/>
    <w:link w:val="BodyTextIndent3"/>
    <w:rsid w:val="00542898"/>
    <w:rPr>
      <w:rFonts w:ascii="Times New Roman" w:eastAsia="Times New Roman" w:hAnsi="Times New Roman" w:cs="mylotus"/>
      <w:sz w:val="36"/>
      <w:szCs w:val="36"/>
      <w:lang w:eastAsia="ar-SA"/>
    </w:rPr>
  </w:style>
  <w:style w:type="paragraph" w:styleId="BodyTextIndent2">
    <w:name w:val="Body Text Indent 2"/>
    <w:basedOn w:val="Normal"/>
    <w:link w:val="BodyTextIndent2Char"/>
    <w:rsid w:val="00542898"/>
    <w:pPr>
      <w:widowControl w:val="0"/>
      <w:spacing w:after="60" w:line="192" w:lineRule="auto"/>
      <w:ind w:left="-10" w:firstLine="540"/>
      <w:jc w:val="both"/>
    </w:pPr>
    <w:rPr>
      <w:rFonts w:cs="mylotus"/>
      <w:szCs w:val="36"/>
      <w:lang w:eastAsia="ar-SA"/>
    </w:rPr>
  </w:style>
  <w:style w:type="character" w:customStyle="1" w:styleId="BodyTextIndent2Char">
    <w:name w:val="Body Text Indent 2 Char"/>
    <w:basedOn w:val="DefaultParagraphFont"/>
    <w:link w:val="BodyTextIndent2"/>
    <w:rsid w:val="00542898"/>
    <w:rPr>
      <w:rFonts w:ascii="Times New Roman" w:eastAsia="Times New Roman" w:hAnsi="Times New Roman" w:cs="mylotus"/>
      <w:sz w:val="24"/>
      <w:szCs w:val="36"/>
      <w:lang w:eastAsia="ar-SA"/>
    </w:rPr>
  </w:style>
  <w:style w:type="character" w:styleId="CommentReference">
    <w:name w:val="annotation reference"/>
    <w:semiHidden/>
    <w:rsid w:val="00542898"/>
    <w:rPr>
      <w:sz w:val="16"/>
      <w:szCs w:val="16"/>
    </w:rPr>
  </w:style>
  <w:style w:type="paragraph" w:styleId="CommentText">
    <w:name w:val="annotation text"/>
    <w:basedOn w:val="Normal"/>
    <w:link w:val="CommentTextChar"/>
    <w:semiHidden/>
    <w:rsid w:val="00542898"/>
    <w:rPr>
      <w:sz w:val="20"/>
      <w:szCs w:val="20"/>
    </w:rPr>
  </w:style>
  <w:style w:type="character" w:customStyle="1" w:styleId="CommentTextChar">
    <w:name w:val="Comment Text Char"/>
    <w:basedOn w:val="DefaultParagraphFont"/>
    <w:link w:val="CommentText"/>
    <w:semiHidden/>
    <w:rsid w:val="0054289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542898"/>
    <w:rPr>
      <w:b/>
      <w:bCs/>
    </w:rPr>
  </w:style>
  <w:style w:type="character" w:customStyle="1" w:styleId="CommentSubjectChar">
    <w:name w:val="Comment Subject Char"/>
    <w:basedOn w:val="CommentTextChar"/>
    <w:link w:val="CommentSubject"/>
    <w:semiHidden/>
    <w:rsid w:val="00542898"/>
    <w:rPr>
      <w:b/>
      <w:bCs/>
    </w:rPr>
  </w:style>
  <w:style w:type="character" w:styleId="FollowedHyperlink">
    <w:name w:val="FollowedHyperlink"/>
    <w:uiPriority w:val="99"/>
    <w:rsid w:val="00542898"/>
    <w:rPr>
      <w:color w:val="800080"/>
      <w:u w:val="single"/>
    </w:rPr>
  </w:style>
  <w:style w:type="paragraph" w:styleId="ListBullet">
    <w:name w:val="List Bullet"/>
    <w:basedOn w:val="Normal"/>
    <w:autoRedefine/>
    <w:rsid w:val="00542898"/>
    <w:pPr>
      <w:widowControl w:val="0"/>
      <w:tabs>
        <w:tab w:val="num" w:pos="360"/>
      </w:tabs>
      <w:spacing w:after="120" w:line="192" w:lineRule="auto"/>
      <w:ind w:left="360" w:hanging="360"/>
      <w:jc w:val="both"/>
    </w:pPr>
    <w:rPr>
      <w:rFonts w:cs="mylotus"/>
      <w:szCs w:val="46"/>
      <w:lang w:eastAsia="ar-SA"/>
    </w:rPr>
  </w:style>
  <w:style w:type="character" w:customStyle="1" w:styleId="style11">
    <w:name w:val="style11"/>
    <w:rsid w:val="00542898"/>
    <w:rPr>
      <w:rFonts w:cs="Traditional Arabic" w:hint="cs"/>
      <w:b w:val="0"/>
      <w:bCs w:val="0"/>
      <w:color w:val="000000"/>
      <w:sz w:val="44"/>
      <w:szCs w:val="44"/>
    </w:rPr>
  </w:style>
  <w:style w:type="character" w:customStyle="1" w:styleId="2Char2">
    <w:name w:val="عنوان 2 Char2"/>
    <w:rsid w:val="00542898"/>
    <w:rPr>
      <w:rFonts w:ascii="Arial" w:hAnsi="Arial" w:cs="Arial"/>
      <w:b/>
      <w:bCs/>
      <w:i/>
      <w:iCs/>
      <w:sz w:val="28"/>
      <w:szCs w:val="28"/>
      <w:lang w:val="en-US" w:eastAsia="ar-SA" w:bidi="ar-SA"/>
    </w:rPr>
  </w:style>
  <w:style w:type="character" w:customStyle="1" w:styleId="2Char20">
    <w:name w:val="2 Char2"/>
    <w:rsid w:val="00542898"/>
    <w:rPr>
      <w:rFonts w:ascii="Arial" w:hAnsi="Arial" w:cs="Simplified Arabic"/>
      <w:b/>
      <w:bCs/>
      <w:i/>
      <w:iCs/>
      <w:sz w:val="36"/>
      <w:szCs w:val="36"/>
      <w:lang w:val="en-US" w:eastAsia="ar-SA" w:bidi="ar-SA"/>
    </w:rPr>
  </w:style>
  <w:style w:type="character" w:customStyle="1" w:styleId="3Char">
    <w:name w:val="3 Char"/>
    <w:rsid w:val="00542898"/>
    <w:rPr>
      <w:rFonts w:ascii="Arial" w:hAnsi="Arial" w:cs="Simplified Arabic"/>
      <w:b/>
      <w:bCs/>
      <w:i/>
      <w:iCs/>
      <w:sz w:val="32"/>
      <w:szCs w:val="32"/>
      <w:lang w:val="en-US" w:eastAsia="ar-SA" w:bidi="ar-SA"/>
    </w:rPr>
  </w:style>
  <w:style w:type="paragraph" w:customStyle="1" w:styleId="ParaChar">
    <w:name w:val="خط الفقرة الافتراضي Para Char"/>
    <w:basedOn w:val="Normal"/>
    <w:rsid w:val="00542898"/>
  </w:style>
  <w:style w:type="paragraph" w:styleId="NormalIndent">
    <w:name w:val="Normal Indent"/>
    <w:basedOn w:val="Normal"/>
    <w:rsid w:val="00542898"/>
    <w:pPr>
      <w:widowControl w:val="0"/>
      <w:spacing w:after="60" w:line="192" w:lineRule="auto"/>
      <w:ind w:left="720" w:firstLine="397"/>
      <w:jc w:val="both"/>
    </w:pPr>
    <w:rPr>
      <w:rFonts w:cs="mylotus"/>
      <w:szCs w:val="36"/>
      <w:lang w:eastAsia="ar-SA"/>
    </w:rPr>
  </w:style>
  <w:style w:type="paragraph" w:styleId="TOAHeading">
    <w:name w:val="toa heading"/>
    <w:basedOn w:val="Normal"/>
    <w:next w:val="Normal"/>
    <w:semiHidden/>
    <w:rsid w:val="00542898"/>
    <w:pPr>
      <w:widowControl w:val="0"/>
      <w:spacing w:before="120" w:after="60" w:line="192" w:lineRule="auto"/>
      <w:ind w:firstLine="397"/>
      <w:jc w:val="both"/>
    </w:pPr>
    <w:rPr>
      <w:rFonts w:ascii="Arial" w:hAnsi="Arial" w:cs="Arial"/>
      <w:b/>
      <w:bCs/>
      <w:lang w:eastAsia="ar-SA"/>
    </w:rPr>
  </w:style>
  <w:style w:type="paragraph" w:styleId="Index1">
    <w:name w:val="index 1"/>
    <w:basedOn w:val="Normal"/>
    <w:next w:val="Normal"/>
    <w:autoRedefine/>
    <w:semiHidden/>
    <w:rsid w:val="00542898"/>
    <w:pPr>
      <w:widowControl w:val="0"/>
      <w:tabs>
        <w:tab w:val="right" w:leader="dot" w:pos="7371"/>
      </w:tabs>
      <w:ind w:left="350" w:hanging="350"/>
      <w:jc w:val="lowKashida"/>
    </w:pPr>
    <w:rPr>
      <w:rFonts w:cs="Simplified Arabic"/>
      <w:bCs/>
      <w:noProof/>
      <w:snapToGrid w:val="0"/>
      <w:lang w:eastAsia="ar-SA"/>
    </w:rPr>
  </w:style>
  <w:style w:type="paragraph" w:styleId="IndexHeading">
    <w:name w:val="index heading"/>
    <w:basedOn w:val="Normal"/>
    <w:next w:val="Index1"/>
    <w:semiHidden/>
    <w:rsid w:val="00542898"/>
    <w:pPr>
      <w:widowControl w:val="0"/>
      <w:spacing w:after="60" w:line="192" w:lineRule="auto"/>
      <w:ind w:firstLine="397"/>
      <w:jc w:val="both"/>
    </w:pPr>
    <w:rPr>
      <w:rFonts w:ascii="Arial" w:hAnsi="Arial" w:cs="Arial"/>
      <w:b/>
      <w:bCs/>
      <w:szCs w:val="36"/>
      <w:lang w:eastAsia="ar-SA"/>
    </w:rPr>
  </w:style>
  <w:style w:type="paragraph" w:styleId="Index2">
    <w:name w:val="index 2"/>
    <w:basedOn w:val="Normal"/>
    <w:next w:val="Normal"/>
    <w:autoRedefine/>
    <w:semiHidden/>
    <w:rsid w:val="00542898"/>
    <w:pPr>
      <w:widowControl w:val="0"/>
      <w:spacing w:after="60" w:line="192" w:lineRule="auto"/>
      <w:ind w:left="480" w:hanging="240"/>
      <w:jc w:val="lowKashida"/>
    </w:pPr>
    <w:rPr>
      <w:rFonts w:cs="mylotus"/>
      <w:szCs w:val="36"/>
      <w:lang w:eastAsia="ar-SA"/>
    </w:rPr>
  </w:style>
  <w:style w:type="table" w:styleId="TableGrid">
    <w:name w:val="Table Grid"/>
    <w:basedOn w:val="TableNormal"/>
    <w:uiPriority w:val="39"/>
    <w:locked/>
    <w:rsid w:val="00542898"/>
    <w:pPr>
      <w:widowControl w:val="0"/>
      <w:bidi/>
      <w:spacing w:after="60" w:line="192" w:lineRule="auto"/>
      <w:ind w:firstLine="397"/>
      <w:jc w:val="lowKashida"/>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ntemporary">
    <w:name w:val="Table Contemporary"/>
    <w:basedOn w:val="TableNormal"/>
    <w:rsid w:val="00542898"/>
    <w:pPr>
      <w:widowControl w:val="0"/>
      <w:bidi/>
      <w:spacing w:after="60" w:line="192" w:lineRule="auto"/>
      <w:ind w:firstLine="397"/>
      <w:jc w:val="lowKashida"/>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Strong">
    <w:name w:val="Strong"/>
    <w:basedOn w:val="DefaultParagraphFont"/>
    <w:uiPriority w:val="22"/>
    <w:qFormat/>
    <w:locked/>
    <w:rsid w:val="00581F7B"/>
    <w:rPr>
      <w:b/>
      <w:bCs/>
    </w:rPr>
  </w:style>
  <w:style w:type="paragraph" w:styleId="EndnoteText">
    <w:name w:val="endnote text"/>
    <w:basedOn w:val="Normal"/>
    <w:link w:val="EndnoteTextChar"/>
    <w:semiHidden/>
    <w:unhideWhenUsed/>
    <w:rsid w:val="00800668"/>
    <w:rPr>
      <w:sz w:val="20"/>
      <w:szCs w:val="20"/>
    </w:rPr>
  </w:style>
  <w:style w:type="character" w:customStyle="1" w:styleId="EndnoteTextChar">
    <w:name w:val="Endnote Text Char"/>
    <w:basedOn w:val="DefaultParagraphFont"/>
    <w:link w:val="EndnoteText"/>
    <w:uiPriority w:val="99"/>
    <w:semiHidden/>
    <w:rsid w:val="00800668"/>
    <w:rPr>
      <w:rFonts w:ascii="Times New Roman" w:eastAsia="Times New Roman" w:hAnsi="Times New Roman" w:cs="Times New Roman"/>
      <w:sz w:val="20"/>
      <w:szCs w:val="20"/>
    </w:rPr>
  </w:style>
  <w:style w:type="character" w:styleId="EndnoteReference">
    <w:name w:val="endnote reference"/>
    <w:basedOn w:val="DefaultParagraphFont"/>
    <w:semiHidden/>
    <w:unhideWhenUsed/>
    <w:rsid w:val="00800668"/>
    <w:rPr>
      <w:vertAlign w:val="superscript"/>
    </w:rPr>
  </w:style>
  <w:style w:type="paragraph" w:customStyle="1" w:styleId="bod">
    <w:name w:val="bod"/>
    <w:basedOn w:val="Normal"/>
    <w:rsid w:val="003F4472"/>
    <w:pPr>
      <w:bidi w:val="0"/>
      <w:spacing w:before="100" w:beforeAutospacing="1" w:after="100" w:afterAutospacing="1"/>
    </w:pPr>
  </w:style>
  <w:style w:type="character" w:customStyle="1" w:styleId="qur">
    <w:name w:val="qur"/>
    <w:basedOn w:val="DefaultParagraphFont"/>
    <w:rsid w:val="003F4472"/>
  </w:style>
  <w:style w:type="character" w:customStyle="1" w:styleId="had">
    <w:name w:val="had"/>
    <w:basedOn w:val="DefaultParagraphFont"/>
    <w:rsid w:val="003F4472"/>
  </w:style>
  <w:style w:type="character" w:customStyle="1" w:styleId="apple-converted-space">
    <w:name w:val="apple-converted-space"/>
    <w:basedOn w:val="DefaultParagraphFont"/>
    <w:rsid w:val="0007642D"/>
  </w:style>
  <w:style w:type="paragraph" w:customStyle="1" w:styleId="large-copy">
    <w:name w:val="large-copy"/>
    <w:basedOn w:val="Normal"/>
    <w:rsid w:val="00D470E7"/>
    <w:pPr>
      <w:bidi w:val="0"/>
      <w:spacing w:before="100" w:beforeAutospacing="1" w:after="100" w:afterAutospacing="1"/>
    </w:pPr>
  </w:style>
  <w:style w:type="paragraph" w:customStyle="1" w:styleId="rtejustify">
    <w:name w:val="rtejustify"/>
    <w:basedOn w:val="Normal"/>
    <w:rsid w:val="00822EF9"/>
    <w:pPr>
      <w:bidi w:val="0"/>
      <w:spacing w:before="100" w:beforeAutospacing="1" w:after="100" w:afterAutospacing="1"/>
    </w:pPr>
  </w:style>
  <w:style w:type="character" w:customStyle="1" w:styleId="hps">
    <w:name w:val="hps"/>
    <w:basedOn w:val="DefaultParagraphFont"/>
    <w:rsid w:val="00B01154"/>
  </w:style>
  <w:style w:type="character" w:customStyle="1" w:styleId="mw-headline">
    <w:name w:val="mw-headline"/>
    <w:basedOn w:val="DefaultParagraphFont"/>
    <w:rsid w:val="00B01154"/>
  </w:style>
  <w:style w:type="character" w:customStyle="1" w:styleId="mw-editsection">
    <w:name w:val="mw-editsection"/>
    <w:basedOn w:val="DefaultParagraphFont"/>
    <w:rsid w:val="00B01154"/>
  </w:style>
  <w:style w:type="character" w:customStyle="1" w:styleId="mw-editsection-bracket">
    <w:name w:val="mw-editsection-bracket"/>
    <w:basedOn w:val="DefaultParagraphFont"/>
    <w:rsid w:val="00B01154"/>
  </w:style>
  <w:style w:type="character" w:customStyle="1" w:styleId="gensmall">
    <w:name w:val="gensmall"/>
    <w:basedOn w:val="DefaultParagraphFont"/>
    <w:rsid w:val="0081058D"/>
  </w:style>
  <w:style w:type="character" w:customStyle="1" w:styleId="nav">
    <w:name w:val="nav"/>
    <w:basedOn w:val="DefaultParagraphFont"/>
    <w:rsid w:val="0081058D"/>
  </w:style>
  <w:style w:type="paragraph" w:styleId="z-TopofForm">
    <w:name w:val="HTML Top of Form"/>
    <w:basedOn w:val="Normal"/>
    <w:next w:val="Normal"/>
    <w:link w:val="z-TopofFormChar"/>
    <w:hidden/>
    <w:uiPriority w:val="99"/>
    <w:semiHidden/>
    <w:unhideWhenUsed/>
    <w:rsid w:val="0081058D"/>
    <w:pPr>
      <w:pBdr>
        <w:bottom w:val="single" w:sz="6" w:space="1" w:color="auto"/>
      </w:pBdr>
      <w:bidi w:val="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1058D"/>
    <w:rPr>
      <w:rFonts w:ascii="Arial" w:eastAsia="Times New Roman" w:hAnsi="Arial"/>
      <w:vanish/>
      <w:sz w:val="16"/>
      <w:szCs w:val="16"/>
    </w:rPr>
  </w:style>
  <w:style w:type="paragraph" w:styleId="z-BottomofForm">
    <w:name w:val="HTML Bottom of Form"/>
    <w:basedOn w:val="Normal"/>
    <w:next w:val="Normal"/>
    <w:link w:val="z-BottomofFormChar"/>
    <w:hidden/>
    <w:uiPriority w:val="99"/>
    <w:semiHidden/>
    <w:unhideWhenUsed/>
    <w:rsid w:val="0081058D"/>
    <w:pPr>
      <w:pBdr>
        <w:top w:val="single" w:sz="6" w:space="1" w:color="auto"/>
      </w:pBdr>
      <w:bidi w:val="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1058D"/>
    <w:rPr>
      <w:rFonts w:ascii="Arial" w:eastAsia="Times New Roman" w:hAnsi="Arial"/>
      <w:vanish/>
      <w:sz w:val="16"/>
      <w:szCs w:val="16"/>
    </w:rPr>
  </w:style>
  <w:style w:type="character" w:customStyle="1" w:styleId="trcrboxheaderspan">
    <w:name w:val="trc_rbox_header_span"/>
    <w:basedOn w:val="DefaultParagraphFont"/>
    <w:rsid w:val="0081058D"/>
  </w:style>
  <w:style w:type="character" w:customStyle="1" w:styleId="video-label-box">
    <w:name w:val="video-label-box"/>
    <w:basedOn w:val="DefaultParagraphFont"/>
    <w:rsid w:val="0081058D"/>
  </w:style>
  <w:style w:type="character" w:customStyle="1" w:styleId="video-label">
    <w:name w:val="video-label"/>
    <w:basedOn w:val="DefaultParagraphFont"/>
    <w:rsid w:val="0081058D"/>
  </w:style>
  <w:style w:type="character" w:customStyle="1" w:styleId="branding">
    <w:name w:val="branding"/>
    <w:basedOn w:val="DefaultParagraphFont"/>
    <w:rsid w:val="0081058D"/>
  </w:style>
  <w:style w:type="character" w:customStyle="1" w:styleId="ata-controlscomplain-btn">
    <w:name w:val="ata-controls__complain-btn"/>
    <w:basedOn w:val="DefaultParagraphFont"/>
    <w:rsid w:val="00361D21"/>
  </w:style>
  <w:style w:type="paragraph" w:customStyle="1" w:styleId="body-1">
    <w:name w:val="body-1"/>
    <w:basedOn w:val="Normal"/>
    <w:rsid w:val="00341181"/>
    <w:pPr>
      <w:bidi w:val="0"/>
      <w:spacing w:before="100" w:beforeAutospacing="1" w:after="100" w:afterAutospacing="1"/>
    </w:pPr>
  </w:style>
  <w:style w:type="paragraph" w:styleId="TOCHeading">
    <w:name w:val="TOC Heading"/>
    <w:basedOn w:val="Heading1"/>
    <w:next w:val="Normal"/>
    <w:uiPriority w:val="39"/>
    <w:semiHidden/>
    <w:unhideWhenUsed/>
    <w:qFormat/>
    <w:rsid w:val="008D02BF"/>
    <w:pPr>
      <w:bidi w:val="0"/>
      <w:spacing w:line="276" w:lineRule="auto"/>
      <w:outlineLvl w:val="9"/>
    </w:pPr>
  </w:style>
  <w:style w:type="paragraph" w:customStyle="1" w:styleId="TraditionalArabic-16">
    <w:name w:val="Traditional Arabic-16"/>
    <w:basedOn w:val="Normal"/>
    <w:link w:val="TraditionalArabic-16Char"/>
    <w:qFormat/>
    <w:rsid w:val="007F05EA"/>
    <w:pPr>
      <w:spacing w:after="160" w:line="276" w:lineRule="auto"/>
      <w:jc w:val="both"/>
    </w:pPr>
    <w:rPr>
      <w:rFonts w:ascii="Traditional Arabic" w:eastAsiaTheme="minorHAnsi" w:hAnsi="Traditional Arabic" w:cs="Traditional Arabic"/>
      <w:sz w:val="32"/>
      <w:szCs w:val="32"/>
    </w:rPr>
  </w:style>
  <w:style w:type="character" w:customStyle="1" w:styleId="TraditionalArabic-16Char">
    <w:name w:val="Traditional Arabic-16 Char"/>
    <w:basedOn w:val="DefaultParagraphFont"/>
    <w:link w:val="TraditionalArabic-16"/>
    <w:rsid w:val="007F05EA"/>
    <w:rPr>
      <w:rFonts w:ascii="Traditional Arabic" w:eastAsiaTheme="minorHAnsi" w:hAnsi="Traditional Arabic" w:cs="Traditional Arabic"/>
      <w:sz w:val="32"/>
      <w:szCs w:val="32"/>
    </w:rPr>
  </w:style>
  <w:style w:type="paragraph" w:customStyle="1" w:styleId="20-B-TraditionalArabic">
    <w:name w:val="20-B-Traditional Arabic"/>
    <w:basedOn w:val="Normal"/>
    <w:link w:val="20-B-TraditionalArabicChar"/>
    <w:qFormat/>
    <w:rsid w:val="007F05EA"/>
    <w:pPr>
      <w:spacing w:after="160" w:line="276" w:lineRule="auto"/>
      <w:jc w:val="center"/>
    </w:pPr>
    <w:rPr>
      <w:rFonts w:ascii="Traditional Arabic" w:eastAsiaTheme="minorHAnsi" w:hAnsi="Traditional Arabic" w:cs="Traditional Arabic"/>
      <w:b/>
      <w:bCs/>
      <w:sz w:val="40"/>
      <w:szCs w:val="40"/>
    </w:rPr>
  </w:style>
  <w:style w:type="character" w:customStyle="1" w:styleId="20-B-TraditionalArabicChar">
    <w:name w:val="20-B-Traditional Arabic Char"/>
    <w:basedOn w:val="DefaultParagraphFont"/>
    <w:link w:val="20-B-TraditionalArabic"/>
    <w:rsid w:val="007F05EA"/>
    <w:rPr>
      <w:rFonts w:ascii="Traditional Arabic" w:eastAsiaTheme="minorHAnsi" w:hAnsi="Traditional Arabic" w:cs="Traditional Arabic"/>
      <w:b/>
      <w:bCs/>
      <w:sz w:val="40"/>
      <w:szCs w:val="40"/>
    </w:rPr>
  </w:style>
</w:styles>
</file>

<file path=word/webSettings.xml><?xml version="1.0" encoding="utf-8"?>
<w:webSettings xmlns:r="http://schemas.openxmlformats.org/officeDocument/2006/relationships" xmlns:w="http://schemas.openxmlformats.org/wordprocessingml/2006/main">
  <w:divs>
    <w:div w:id="1857036">
      <w:bodyDiv w:val="1"/>
      <w:marLeft w:val="0"/>
      <w:marRight w:val="0"/>
      <w:marTop w:val="0"/>
      <w:marBottom w:val="0"/>
      <w:divBdr>
        <w:top w:val="none" w:sz="0" w:space="0" w:color="auto"/>
        <w:left w:val="none" w:sz="0" w:space="0" w:color="auto"/>
        <w:bottom w:val="none" w:sz="0" w:space="0" w:color="auto"/>
        <w:right w:val="none" w:sz="0" w:space="0" w:color="auto"/>
      </w:divBdr>
    </w:div>
    <w:div w:id="22946033">
      <w:bodyDiv w:val="1"/>
      <w:marLeft w:val="0"/>
      <w:marRight w:val="0"/>
      <w:marTop w:val="0"/>
      <w:marBottom w:val="0"/>
      <w:divBdr>
        <w:top w:val="none" w:sz="0" w:space="0" w:color="auto"/>
        <w:left w:val="none" w:sz="0" w:space="0" w:color="auto"/>
        <w:bottom w:val="none" w:sz="0" w:space="0" w:color="auto"/>
        <w:right w:val="none" w:sz="0" w:space="0" w:color="auto"/>
      </w:divBdr>
    </w:div>
    <w:div w:id="23099544">
      <w:bodyDiv w:val="1"/>
      <w:marLeft w:val="0"/>
      <w:marRight w:val="0"/>
      <w:marTop w:val="0"/>
      <w:marBottom w:val="0"/>
      <w:divBdr>
        <w:top w:val="none" w:sz="0" w:space="0" w:color="auto"/>
        <w:left w:val="none" w:sz="0" w:space="0" w:color="auto"/>
        <w:bottom w:val="none" w:sz="0" w:space="0" w:color="auto"/>
        <w:right w:val="none" w:sz="0" w:space="0" w:color="auto"/>
      </w:divBdr>
    </w:div>
    <w:div w:id="27603768">
      <w:bodyDiv w:val="1"/>
      <w:marLeft w:val="0"/>
      <w:marRight w:val="0"/>
      <w:marTop w:val="0"/>
      <w:marBottom w:val="0"/>
      <w:divBdr>
        <w:top w:val="none" w:sz="0" w:space="0" w:color="auto"/>
        <w:left w:val="none" w:sz="0" w:space="0" w:color="auto"/>
        <w:bottom w:val="none" w:sz="0" w:space="0" w:color="auto"/>
        <w:right w:val="none" w:sz="0" w:space="0" w:color="auto"/>
      </w:divBdr>
    </w:div>
    <w:div w:id="39402678">
      <w:bodyDiv w:val="1"/>
      <w:marLeft w:val="0"/>
      <w:marRight w:val="0"/>
      <w:marTop w:val="0"/>
      <w:marBottom w:val="0"/>
      <w:divBdr>
        <w:top w:val="none" w:sz="0" w:space="0" w:color="auto"/>
        <w:left w:val="none" w:sz="0" w:space="0" w:color="auto"/>
        <w:bottom w:val="none" w:sz="0" w:space="0" w:color="auto"/>
        <w:right w:val="none" w:sz="0" w:space="0" w:color="auto"/>
      </w:divBdr>
    </w:div>
    <w:div w:id="42559078">
      <w:bodyDiv w:val="1"/>
      <w:marLeft w:val="0"/>
      <w:marRight w:val="0"/>
      <w:marTop w:val="0"/>
      <w:marBottom w:val="0"/>
      <w:divBdr>
        <w:top w:val="none" w:sz="0" w:space="0" w:color="auto"/>
        <w:left w:val="none" w:sz="0" w:space="0" w:color="auto"/>
        <w:bottom w:val="none" w:sz="0" w:space="0" w:color="auto"/>
        <w:right w:val="none" w:sz="0" w:space="0" w:color="auto"/>
      </w:divBdr>
    </w:div>
    <w:div w:id="63459448">
      <w:bodyDiv w:val="1"/>
      <w:marLeft w:val="0"/>
      <w:marRight w:val="0"/>
      <w:marTop w:val="0"/>
      <w:marBottom w:val="0"/>
      <w:divBdr>
        <w:top w:val="none" w:sz="0" w:space="0" w:color="auto"/>
        <w:left w:val="none" w:sz="0" w:space="0" w:color="auto"/>
        <w:bottom w:val="none" w:sz="0" w:space="0" w:color="auto"/>
        <w:right w:val="none" w:sz="0" w:space="0" w:color="auto"/>
      </w:divBdr>
    </w:div>
    <w:div w:id="95486035">
      <w:bodyDiv w:val="1"/>
      <w:marLeft w:val="0"/>
      <w:marRight w:val="0"/>
      <w:marTop w:val="0"/>
      <w:marBottom w:val="0"/>
      <w:divBdr>
        <w:top w:val="none" w:sz="0" w:space="0" w:color="auto"/>
        <w:left w:val="none" w:sz="0" w:space="0" w:color="auto"/>
        <w:bottom w:val="none" w:sz="0" w:space="0" w:color="auto"/>
        <w:right w:val="none" w:sz="0" w:space="0" w:color="auto"/>
      </w:divBdr>
    </w:div>
    <w:div w:id="100345379">
      <w:bodyDiv w:val="1"/>
      <w:marLeft w:val="0"/>
      <w:marRight w:val="0"/>
      <w:marTop w:val="0"/>
      <w:marBottom w:val="0"/>
      <w:divBdr>
        <w:top w:val="none" w:sz="0" w:space="0" w:color="auto"/>
        <w:left w:val="none" w:sz="0" w:space="0" w:color="auto"/>
        <w:bottom w:val="none" w:sz="0" w:space="0" w:color="auto"/>
        <w:right w:val="none" w:sz="0" w:space="0" w:color="auto"/>
      </w:divBdr>
      <w:divsChild>
        <w:div w:id="2363278">
          <w:marLeft w:val="0"/>
          <w:marRight w:val="0"/>
          <w:marTop w:val="0"/>
          <w:marBottom w:val="498"/>
          <w:divBdr>
            <w:top w:val="none" w:sz="0" w:space="0" w:color="auto"/>
            <w:left w:val="none" w:sz="0" w:space="0" w:color="auto"/>
            <w:bottom w:val="none" w:sz="0" w:space="0" w:color="auto"/>
            <w:right w:val="none" w:sz="0" w:space="0" w:color="auto"/>
          </w:divBdr>
        </w:div>
        <w:div w:id="1088892000">
          <w:marLeft w:val="0"/>
          <w:marRight w:val="0"/>
          <w:marTop w:val="0"/>
          <w:marBottom w:val="0"/>
          <w:divBdr>
            <w:top w:val="none" w:sz="0" w:space="0" w:color="auto"/>
            <w:left w:val="none" w:sz="0" w:space="0" w:color="auto"/>
            <w:bottom w:val="none" w:sz="0" w:space="0" w:color="auto"/>
            <w:right w:val="none" w:sz="0" w:space="0" w:color="auto"/>
          </w:divBdr>
        </w:div>
      </w:divsChild>
    </w:div>
    <w:div w:id="105973812">
      <w:bodyDiv w:val="1"/>
      <w:marLeft w:val="0"/>
      <w:marRight w:val="0"/>
      <w:marTop w:val="0"/>
      <w:marBottom w:val="0"/>
      <w:divBdr>
        <w:top w:val="none" w:sz="0" w:space="0" w:color="auto"/>
        <w:left w:val="none" w:sz="0" w:space="0" w:color="auto"/>
        <w:bottom w:val="none" w:sz="0" w:space="0" w:color="auto"/>
        <w:right w:val="none" w:sz="0" w:space="0" w:color="auto"/>
      </w:divBdr>
    </w:div>
    <w:div w:id="107552065">
      <w:bodyDiv w:val="1"/>
      <w:marLeft w:val="0"/>
      <w:marRight w:val="0"/>
      <w:marTop w:val="0"/>
      <w:marBottom w:val="0"/>
      <w:divBdr>
        <w:top w:val="none" w:sz="0" w:space="0" w:color="auto"/>
        <w:left w:val="none" w:sz="0" w:space="0" w:color="auto"/>
        <w:bottom w:val="none" w:sz="0" w:space="0" w:color="auto"/>
        <w:right w:val="none" w:sz="0" w:space="0" w:color="auto"/>
      </w:divBdr>
    </w:div>
    <w:div w:id="114564452">
      <w:bodyDiv w:val="1"/>
      <w:marLeft w:val="0"/>
      <w:marRight w:val="0"/>
      <w:marTop w:val="0"/>
      <w:marBottom w:val="0"/>
      <w:divBdr>
        <w:top w:val="none" w:sz="0" w:space="0" w:color="auto"/>
        <w:left w:val="none" w:sz="0" w:space="0" w:color="auto"/>
        <w:bottom w:val="none" w:sz="0" w:space="0" w:color="auto"/>
        <w:right w:val="none" w:sz="0" w:space="0" w:color="auto"/>
      </w:divBdr>
    </w:div>
    <w:div w:id="118423952">
      <w:bodyDiv w:val="1"/>
      <w:marLeft w:val="0"/>
      <w:marRight w:val="0"/>
      <w:marTop w:val="0"/>
      <w:marBottom w:val="0"/>
      <w:divBdr>
        <w:top w:val="none" w:sz="0" w:space="0" w:color="auto"/>
        <w:left w:val="none" w:sz="0" w:space="0" w:color="auto"/>
        <w:bottom w:val="none" w:sz="0" w:space="0" w:color="auto"/>
        <w:right w:val="none" w:sz="0" w:space="0" w:color="auto"/>
      </w:divBdr>
    </w:div>
    <w:div w:id="137966639">
      <w:bodyDiv w:val="1"/>
      <w:marLeft w:val="0"/>
      <w:marRight w:val="0"/>
      <w:marTop w:val="0"/>
      <w:marBottom w:val="0"/>
      <w:divBdr>
        <w:top w:val="none" w:sz="0" w:space="0" w:color="auto"/>
        <w:left w:val="none" w:sz="0" w:space="0" w:color="auto"/>
        <w:bottom w:val="none" w:sz="0" w:space="0" w:color="auto"/>
        <w:right w:val="none" w:sz="0" w:space="0" w:color="auto"/>
      </w:divBdr>
    </w:div>
    <w:div w:id="141197213">
      <w:bodyDiv w:val="1"/>
      <w:marLeft w:val="0"/>
      <w:marRight w:val="0"/>
      <w:marTop w:val="0"/>
      <w:marBottom w:val="0"/>
      <w:divBdr>
        <w:top w:val="none" w:sz="0" w:space="0" w:color="auto"/>
        <w:left w:val="none" w:sz="0" w:space="0" w:color="auto"/>
        <w:bottom w:val="none" w:sz="0" w:space="0" w:color="auto"/>
        <w:right w:val="none" w:sz="0" w:space="0" w:color="auto"/>
      </w:divBdr>
    </w:div>
    <w:div w:id="144515633">
      <w:bodyDiv w:val="1"/>
      <w:marLeft w:val="0"/>
      <w:marRight w:val="0"/>
      <w:marTop w:val="0"/>
      <w:marBottom w:val="0"/>
      <w:divBdr>
        <w:top w:val="none" w:sz="0" w:space="0" w:color="auto"/>
        <w:left w:val="none" w:sz="0" w:space="0" w:color="auto"/>
        <w:bottom w:val="none" w:sz="0" w:space="0" w:color="auto"/>
        <w:right w:val="none" w:sz="0" w:space="0" w:color="auto"/>
      </w:divBdr>
    </w:div>
    <w:div w:id="170341106">
      <w:bodyDiv w:val="1"/>
      <w:marLeft w:val="0"/>
      <w:marRight w:val="0"/>
      <w:marTop w:val="0"/>
      <w:marBottom w:val="0"/>
      <w:divBdr>
        <w:top w:val="none" w:sz="0" w:space="0" w:color="auto"/>
        <w:left w:val="none" w:sz="0" w:space="0" w:color="auto"/>
        <w:bottom w:val="none" w:sz="0" w:space="0" w:color="auto"/>
        <w:right w:val="none" w:sz="0" w:space="0" w:color="auto"/>
      </w:divBdr>
    </w:div>
    <w:div w:id="181895113">
      <w:bodyDiv w:val="1"/>
      <w:marLeft w:val="0"/>
      <w:marRight w:val="0"/>
      <w:marTop w:val="0"/>
      <w:marBottom w:val="0"/>
      <w:divBdr>
        <w:top w:val="none" w:sz="0" w:space="0" w:color="auto"/>
        <w:left w:val="none" w:sz="0" w:space="0" w:color="auto"/>
        <w:bottom w:val="none" w:sz="0" w:space="0" w:color="auto"/>
        <w:right w:val="none" w:sz="0" w:space="0" w:color="auto"/>
      </w:divBdr>
    </w:div>
    <w:div w:id="190265123">
      <w:bodyDiv w:val="1"/>
      <w:marLeft w:val="0"/>
      <w:marRight w:val="0"/>
      <w:marTop w:val="0"/>
      <w:marBottom w:val="0"/>
      <w:divBdr>
        <w:top w:val="none" w:sz="0" w:space="0" w:color="auto"/>
        <w:left w:val="none" w:sz="0" w:space="0" w:color="auto"/>
        <w:bottom w:val="none" w:sz="0" w:space="0" w:color="auto"/>
        <w:right w:val="none" w:sz="0" w:space="0" w:color="auto"/>
      </w:divBdr>
    </w:div>
    <w:div w:id="193083258">
      <w:bodyDiv w:val="1"/>
      <w:marLeft w:val="0"/>
      <w:marRight w:val="0"/>
      <w:marTop w:val="0"/>
      <w:marBottom w:val="0"/>
      <w:divBdr>
        <w:top w:val="none" w:sz="0" w:space="0" w:color="auto"/>
        <w:left w:val="none" w:sz="0" w:space="0" w:color="auto"/>
        <w:bottom w:val="none" w:sz="0" w:space="0" w:color="auto"/>
        <w:right w:val="none" w:sz="0" w:space="0" w:color="auto"/>
      </w:divBdr>
      <w:divsChild>
        <w:div w:id="951933459">
          <w:marLeft w:val="0"/>
          <w:marRight w:val="0"/>
          <w:marTop w:val="300"/>
          <w:marBottom w:val="300"/>
          <w:divBdr>
            <w:top w:val="none" w:sz="0" w:space="0" w:color="auto"/>
            <w:left w:val="none" w:sz="0" w:space="0" w:color="auto"/>
            <w:bottom w:val="none" w:sz="0" w:space="0" w:color="auto"/>
            <w:right w:val="none" w:sz="0" w:space="0" w:color="auto"/>
          </w:divBdr>
          <w:divsChild>
            <w:div w:id="2009475260">
              <w:marLeft w:val="0"/>
              <w:marRight w:val="0"/>
              <w:marTop w:val="0"/>
              <w:marBottom w:val="0"/>
              <w:divBdr>
                <w:top w:val="none" w:sz="0" w:space="0" w:color="auto"/>
                <w:left w:val="none" w:sz="0" w:space="0" w:color="auto"/>
                <w:bottom w:val="none" w:sz="0" w:space="0" w:color="auto"/>
                <w:right w:val="none" w:sz="0" w:space="0" w:color="auto"/>
              </w:divBdr>
            </w:div>
          </w:divsChild>
        </w:div>
        <w:div w:id="244993673">
          <w:marLeft w:val="0"/>
          <w:marRight w:val="0"/>
          <w:marTop w:val="300"/>
          <w:marBottom w:val="300"/>
          <w:divBdr>
            <w:top w:val="none" w:sz="0" w:space="0" w:color="auto"/>
            <w:left w:val="none" w:sz="0" w:space="0" w:color="auto"/>
            <w:bottom w:val="none" w:sz="0" w:space="0" w:color="auto"/>
            <w:right w:val="none" w:sz="0" w:space="0" w:color="auto"/>
          </w:divBdr>
          <w:divsChild>
            <w:div w:id="48073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6202">
      <w:bodyDiv w:val="1"/>
      <w:marLeft w:val="0"/>
      <w:marRight w:val="0"/>
      <w:marTop w:val="0"/>
      <w:marBottom w:val="0"/>
      <w:divBdr>
        <w:top w:val="none" w:sz="0" w:space="0" w:color="auto"/>
        <w:left w:val="none" w:sz="0" w:space="0" w:color="auto"/>
        <w:bottom w:val="none" w:sz="0" w:space="0" w:color="auto"/>
        <w:right w:val="none" w:sz="0" w:space="0" w:color="auto"/>
      </w:divBdr>
    </w:div>
    <w:div w:id="220795510">
      <w:bodyDiv w:val="1"/>
      <w:marLeft w:val="0"/>
      <w:marRight w:val="0"/>
      <w:marTop w:val="0"/>
      <w:marBottom w:val="0"/>
      <w:divBdr>
        <w:top w:val="none" w:sz="0" w:space="0" w:color="auto"/>
        <w:left w:val="none" w:sz="0" w:space="0" w:color="auto"/>
        <w:bottom w:val="none" w:sz="0" w:space="0" w:color="auto"/>
        <w:right w:val="none" w:sz="0" w:space="0" w:color="auto"/>
      </w:divBdr>
    </w:div>
    <w:div w:id="227694585">
      <w:bodyDiv w:val="1"/>
      <w:marLeft w:val="0"/>
      <w:marRight w:val="0"/>
      <w:marTop w:val="0"/>
      <w:marBottom w:val="0"/>
      <w:divBdr>
        <w:top w:val="none" w:sz="0" w:space="0" w:color="auto"/>
        <w:left w:val="none" w:sz="0" w:space="0" w:color="auto"/>
        <w:bottom w:val="none" w:sz="0" w:space="0" w:color="auto"/>
        <w:right w:val="none" w:sz="0" w:space="0" w:color="auto"/>
      </w:divBdr>
    </w:div>
    <w:div w:id="229459207">
      <w:bodyDiv w:val="1"/>
      <w:marLeft w:val="0"/>
      <w:marRight w:val="0"/>
      <w:marTop w:val="0"/>
      <w:marBottom w:val="0"/>
      <w:divBdr>
        <w:top w:val="none" w:sz="0" w:space="0" w:color="auto"/>
        <w:left w:val="none" w:sz="0" w:space="0" w:color="auto"/>
        <w:bottom w:val="none" w:sz="0" w:space="0" w:color="auto"/>
        <w:right w:val="none" w:sz="0" w:space="0" w:color="auto"/>
      </w:divBdr>
    </w:div>
    <w:div w:id="236205540">
      <w:bodyDiv w:val="1"/>
      <w:marLeft w:val="0"/>
      <w:marRight w:val="0"/>
      <w:marTop w:val="0"/>
      <w:marBottom w:val="0"/>
      <w:divBdr>
        <w:top w:val="none" w:sz="0" w:space="0" w:color="auto"/>
        <w:left w:val="none" w:sz="0" w:space="0" w:color="auto"/>
        <w:bottom w:val="none" w:sz="0" w:space="0" w:color="auto"/>
        <w:right w:val="none" w:sz="0" w:space="0" w:color="auto"/>
      </w:divBdr>
    </w:div>
    <w:div w:id="250428727">
      <w:bodyDiv w:val="1"/>
      <w:marLeft w:val="0"/>
      <w:marRight w:val="0"/>
      <w:marTop w:val="0"/>
      <w:marBottom w:val="0"/>
      <w:divBdr>
        <w:top w:val="none" w:sz="0" w:space="0" w:color="auto"/>
        <w:left w:val="none" w:sz="0" w:space="0" w:color="auto"/>
        <w:bottom w:val="none" w:sz="0" w:space="0" w:color="auto"/>
        <w:right w:val="none" w:sz="0" w:space="0" w:color="auto"/>
      </w:divBdr>
    </w:div>
    <w:div w:id="257757093">
      <w:bodyDiv w:val="1"/>
      <w:marLeft w:val="0"/>
      <w:marRight w:val="0"/>
      <w:marTop w:val="0"/>
      <w:marBottom w:val="0"/>
      <w:divBdr>
        <w:top w:val="none" w:sz="0" w:space="0" w:color="auto"/>
        <w:left w:val="none" w:sz="0" w:space="0" w:color="auto"/>
        <w:bottom w:val="none" w:sz="0" w:space="0" w:color="auto"/>
        <w:right w:val="none" w:sz="0" w:space="0" w:color="auto"/>
      </w:divBdr>
    </w:div>
    <w:div w:id="264387799">
      <w:bodyDiv w:val="1"/>
      <w:marLeft w:val="0"/>
      <w:marRight w:val="0"/>
      <w:marTop w:val="0"/>
      <w:marBottom w:val="0"/>
      <w:divBdr>
        <w:top w:val="none" w:sz="0" w:space="0" w:color="auto"/>
        <w:left w:val="none" w:sz="0" w:space="0" w:color="auto"/>
        <w:bottom w:val="none" w:sz="0" w:space="0" w:color="auto"/>
        <w:right w:val="none" w:sz="0" w:space="0" w:color="auto"/>
      </w:divBdr>
    </w:div>
    <w:div w:id="298417090">
      <w:bodyDiv w:val="1"/>
      <w:marLeft w:val="0"/>
      <w:marRight w:val="0"/>
      <w:marTop w:val="0"/>
      <w:marBottom w:val="0"/>
      <w:divBdr>
        <w:top w:val="none" w:sz="0" w:space="0" w:color="auto"/>
        <w:left w:val="none" w:sz="0" w:space="0" w:color="auto"/>
        <w:bottom w:val="none" w:sz="0" w:space="0" w:color="auto"/>
        <w:right w:val="none" w:sz="0" w:space="0" w:color="auto"/>
      </w:divBdr>
    </w:div>
    <w:div w:id="317807170">
      <w:bodyDiv w:val="1"/>
      <w:marLeft w:val="0"/>
      <w:marRight w:val="0"/>
      <w:marTop w:val="0"/>
      <w:marBottom w:val="0"/>
      <w:divBdr>
        <w:top w:val="none" w:sz="0" w:space="0" w:color="auto"/>
        <w:left w:val="none" w:sz="0" w:space="0" w:color="auto"/>
        <w:bottom w:val="none" w:sz="0" w:space="0" w:color="auto"/>
        <w:right w:val="none" w:sz="0" w:space="0" w:color="auto"/>
      </w:divBdr>
    </w:div>
    <w:div w:id="324209709">
      <w:bodyDiv w:val="1"/>
      <w:marLeft w:val="0"/>
      <w:marRight w:val="0"/>
      <w:marTop w:val="0"/>
      <w:marBottom w:val="0"/>
      <w:divBdr>
        <w:top w:val="none" w:sz="0" w:space="0" w:color="auto"/>
        <w:left w:val="none" w:sz="0" w:space="0" w:color="auto"/>
        <w:bottom w:val="none" w:sz="0" w:space="0" w:color="auto"/>
        <w:right w:val="none" w:sz="0" w:space="0" w:color="auto"/>
      </w:divBdr>
    </w:div>
    <w:div w:id="329797123">
      <w:bodyDiv w:val="1"/>
      <w:marLeft w:val="0"/>
      <w:marRight w:val="0"/>
      <w:marTop w:val="0"/>
      <w:marBottom w:val="0"/>
      <w:divBdr>
        <w:top w:val="none" w:sz="0" w:space="0" w:color="auto"/>
        <w:left w:val="none" w:sz="0" w:space="0" w:color="auto"/>
        <w:bottom w:val="none" w:sz="0" w:space="0" w:color="auto"/>
        <w:right w:val="none" w:sz="0" w:space="0" w:color="auto"/>
      </w:divBdr>
    </w:div>
    <w:div w:id="350844473">
      <w:bodyDiv w:val="1"/>
      <w:marLeft w:val="0"/>
      <w:marRight w:val="0"/>
      <w:marTop w:val="0"/>
      <w:marBottom w:val="0"/>
      <w:divBdr>
        <w:top w:val="none" w:sz="0" w:space="0" w:color="auto"/>
        <w:left w:val="none" w:sz="0" w:space="0" w:color="auto"/>
        <w:bottom w:val="none" w:sz="0" w:space="0" w:color="auto"/>
        <w:right w:val="none" w:sz="0" w:space="0" w:color="auto"/>
      </w:divBdr>
    </w:div>
    <w:div w:id="365758474">
      <w:bodyDiv w:val="1"/>
      <w:marLeft w:val="0"/>
      <w:marRight w:val="0"/>
      <w:marTop w:val="0"/>
      <w:marBottom w:val="0"/>
      <w:divBdr>
        <w:top w:val="none" w:sz="0" w:space="0" w:color="auto"/>
        <w:left w:val="none" w:sz="0" w:space="0" w:color="auto"/>
        <w:bottom w:val="none" w:sz="0" w:space="0" w:color="auto"/>
        <w:right w:val="none" w:sz="0" w:space="0" w:color="auto"/>
      </w:divBdr>
    </w:div>
    <w:div w:id="380180107">
      <w:bodyDiv w:val="1"/>
      <w:marLeft w:val="0"/>
      <w:marRight w:val="0"/>
      <w:marTop w:val="0"/>
      <w:marBottom w:val="0"/>
      <w:divBdr>
        <w:top w:val="none" w:sz="0" w:space="0" w:color="auto"/>
        <w:left w:val="none" w:sz="0" w:space="0" w:color="auto"/>
        <w:bottom w:val="none" w:sz="0" w:space="0" w:color="auto"/>
        <w:right w:val="none" w:sz="0" w:space="0" w:color="auto"/>
      </w:divBdr>
    </w:div>
    <w:div w:id="399209033">
      <w:bodyDiv w:val="1"/>
      <w:marLeft w:val="0"/>
      <w:marRight w:val="0"/>
      <w:marTop w:val="0"/>
      <w:marBottom w:val="0"/>
      <w:divBdr>
        <w:top w:val="none" w:sz="0" w:space="0" w:color="auto"/>
        <w:left w:val="none" w:sz="0" w:space="0" w:color="auto"/>
        <w:bottom w:val="none" w:sz="0" w:space="0" w:color="auto"/>
        <w:right w:val="none" w:sz="0" w:space="0" w:color="auto"/>
      </w:divBdr>
      <w:divsChild>
        <w:div w:id="219636587">
          <w:marLeft w:val="0"/>
          <w:marRight w:val="0"/>
          <w:marTop w:val="369"/>
          <w:marBottom w:val="369"/>
          <w:divBdr>
            <w:top w:val="none" w:sz="0" w:space="0" w:color="auto"/>
            <w:left w:val="none" w:sz="0" w:space="0" w:color="auto"/>
            <w:bottom w:val="none" w:sz="0" w:space="0" w:color="auto"/>
            <w:right w:val="none" w:sz="0" w:space="0" w:color="auto"/>
          </w:divBdr>
          <w:divsChild>
            <w:div w:id="394744234">
              <w:marLeft w:val="0"/>
              <w:marRight w:val="0"/>
              <w:marTop w:val="0"/>
              <w:marBottom w:val="0"/>
              <w:divBdr>
                <w:top w:val="none" w:sz="0" w:space="0" w:color="auto"/>
                <w:left w:val="none" w:sz="0" w:space="0" w:color="auto"/>
                <w:bottom w:val="none" w:sz="0" w:space="0" w:color="auto"/>
                <w:right w:val="none" w:sz="0" w:space="0" w:color="auto"/>
              </w:divBdr>
            </w:div>
          </w:divsChild>
        </w:div>
        <w:div w:id="962268508">
          <w:marLeft w:val="0"/>
          <w:marRight w:val="0"/>
          <w:marTop w:val="369"/>
          <w:marBottom w:val="369"/>
          <w:divBdr>
            <w:top w:val="none" w:sz="0" w:space="0" w:color="auto"/>
            <w:left w:val="none" w:sz="0" w:space="0" w:color="auto"/>
            <w:bottom w:val="none" w:sz="0" w:space="0" w:color="auto"/>
            <w:right w:val="none" w:sz="0" w:space="0" w:color="auto"/>
          </w:divBdr>
          <w:divsChild>
            <w:div w:id="6177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5177">
      <w:bodyDiv w:val="1"/>
      <w:marLeft w:val="0"/>
      <w:marRight w:val="0"/>
      <w:marTop w:val="0"/>
      <w:marBottom w:val="0"/>
      <w:divBdr>
        <w:top w:val="none" w:sz="0" w:space="0" w:color="auto"/>
        <w:left w:val="none" w:sz="0" w:space="0" w:color="auto"/>
        <w:bottom w:val="none" w:sz="0" w:space="0" w:color="auto"/>
        <w:right w:val="none" w:sz="0" w:space="0" w:color="auto"/>
      </w:divBdr>
    </w:div>
    <w:div w:id="400063243">
      <w:bodyDiv w:val="1"/>
      <w:marLeft w:val="0"/>
      <w:marRight w:val="0"/>
      <w:marTop w:val="0"/>
      <w:marBottom w:val="0"/>
      <w:divBdr>
        <w:top w:val="none" w:sz="0" w:space="0" w:color="auto"/>
        <w:left w:val="none" w:sz="0" w:space="0" w:color="auto"/>
        <w:bottom w:val="none" w:sz="0" w:space="0" w:color="auto"/>
        <w:right w:val="none" w:sz="0" w:space="0" w:color="auto"/>
      </w:divBdr>
    </w:div>
    <w:div w:id="400905072">
      <w:bodyDiv w:val="1"/>
      <w:marLeft w:val="0"/>
      <w:marRight w:val="0"/>
      <w:marTop w:val="0"/>
      <w:marBottom w:val="0"/>
      <w:divBdr>
        <w:top w:val="none" w:sz="0" w:space="0" w:color="auto"/>
        <w:left w:val="none" w:sz="0" w:space="0" w:color="auto"/>
        <w:bottom w:val="none" w:sz="0" w:space="0" w:color="auto"/>
        <w:right w:val="none" w:sz="0" w:space="0" w:color="auto"/>
      </w:divBdr>
      <w:divsChild>
        <w:div w:id="2044401425">
          <w:marLeft w:val="0"/>
          <w:marRight w:val="0"/>
          <w:marTop w:val="369"/>
          <w:marBottom w:val="369"/>
          <w:divBdr>
            <w:top w:val="none" w:sz="0" w:space="0" w:color="auto"/>
            <w:left w:val="none" w:sz="0" w:space="0" w:color="auto"/>
            <w:bottom w:val="none" w:sz="0" w:space="0" w:color="auto"/>
            <w:right w:val="none" w:sz="0" w:space="0" w:color="auto"/>
          </w:divBdr>
          <w:divsChild>
            <w:div w:id="237792784">
              <w:marLeft w:val="0"/>
              <w:marRight w:val="0"/>
              <w:marTop w:val="0"/>
              <w:marBottom w:val="0"/>
              <w:divBdr>
                <w:top w:val="none" w:sz="0" w:space="0" w:color="auto"/>
                <w:left w:val="none" w:sz="0" w:space="0" w:color="auto"/>
                <w:bottom w:val="none" w:sz="0" w:space="0" w:color="auto"/>
                <w:right w:val="none" w:sz="0" w:space="0" w:color="auto"/>
              </w:divBdr>
            </w:div>
          </w:divsChild>
        </w:div>
        <w:div w:id="1919244385">
          <w:marLeft w:val="0"/>
          <w:marRight w:val="0"/>
          <w:marTop w:val="369"/>
          <w:marBottom w:val="369"/>
          <w:divBdr>
            <w:top w:val="none" w:sz="0" w:space="0" w:color="auto"/>
            <w:left w:val="none" w:sz="0" w:space="0" w:color="auto"/>
            <w:bottom w:val="none" w:sz="0" w:space="0" w:color="auto"/>
            <w:right w:val="none" w:sz="0" w:space="0" w:color="auto"/>
          </w:divBdr>
          <w:divsChild>
            <w:div w:id="16270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653906">
      <w:bodyDiv w:val="1"/>
      <w:marLeft w:val="0"/>
      <w:marRight w:val="0"/>
      <w:marTop w:val="0"/>
      <w:marBottom w:val="0"/>
      <w:divBdr>
        <w:top w:val="none" w:sz="0" w:space="0" w:color="auto"/>
        <w:left w:val="none" w:sz="0" w:space="0" w:color="auto"/>
        <w:bottom w:val="none" w:sz="0" w:space="0" w:color="auto"/>
        <w:right w:val="none" w:sz="0" w:space="0" w:color="auto"/>
      </w:divBdr>
    </w:div>
    <w:div w:id="447434707">
      <w:bodyDiv w:val="1"/>
      <w:marLeft w:val="0"/>
      <w:marRight w:val="0"/>
      <w:marTop w:val="0"/>
      <w:marBottom w:val="0"/>
      <w:divBdr>
        <w:top w:val="none" w:sz="0" w:space="0" w:color="auto"/>
        <w:left w:val="none" w:sz="0" w:space="0" w:color="auto"/>
        <w:bottom w:val="none" w:sz="0" w:space="0" w:color="auto"/>
        <w:right w:val="none" w:sz="0" w:space="0" w:color="auto"/>
      </w:divBdr>
    </w:div>
    <w:div w:id="450124608">
      <w:bodyDiv w:val="1"/>
      <w:marLeft w:val="0"/>
      <w:marRight w:val="0"/>
      <w:marTop w:val="0"/>
      <w:marBottom w:val="0"/>
      <w:divBdr>
        <w:top w:val="none" w:sz="0" w:space="0" w:color="auto"/>
        <w:left w:val="none" w:sz="0" w:space="0" w:color="auto"/>
        <w:bottom w:val="none" w:sz="0" w:space="0" w:color="auto"/>
        <w:right w:val="none" w:sz="0" w:space="0" w:color="auto"/>
      </w:divBdr>
    </w:div>
    <w:div w:id="471868979">
      <w:bodyDiv w:val="1"/>
      <w:marLeft w:val="0"/>
      <w:marRight w:val="0"/>
      <w:marTop w:val="0"/>
      <w:marBottom w:val="0"/>
      <w:divBdr>
        <w:top w:val="none" w:sz="0" w:space="0" w:color="auto"/>
        <w:left w:val="none" w:sz="0" w:space="0" w:color="auto"/>
        <w:bottom w:val="none" w:sz="0" w:space="0" w:color="auto"/>
        <w:right w:val="none" w:sz="0" w:space="0" w:color="auto"/>
      </w:divBdr>
      <w:divsChild>
        <w:div w:id="1039816995">
          <w:marLeft w:val="0"/>
          <w:marRight w:val="0"/>
          <w:marTop w:val="0"/>
          <w:marBottom w:val="0"/>
          <w:divBdr>
            <w:top w:val="none" w:sz="0" w:space="0" w:color="auto"/>
            <w:left w:val="none" w:sz="0" w:space="0" w:color="auto"/>
            <w:bottom w:val="none" w:sz="0" w:space="0" w:color="auto"/>
            <w:right w:val="none" w:sz="0" w:space="0" w:color="auto"/>
          </w:divBdr>
          <w:divsChild>
            <w:div w:id="828713635">
              <w:marLeft w:val="0"/>
              <w:marRight w:val="0"/>
              <w:marTop w:val="0"/>
              <w:marBottom w:val="0"/>
              <w:divBdr>
                <w:top w:val="none" w:sz="0" w:space="0" w:color="auto"/>
                <w:left w:val="none" w:sz="0" w:space="0" w:color="auto"/>
                <w:bottom w:val="none" w:sz="0" w:space="0" w:color="auto"/>
                <w:right w:val="none" w:sz="0" w:space="0" w:color="auto"/>
              </w:divBdr>
              <w:divsChild>
                <w:div w:id="654263158">
                  <w:marLeft w:val="0"/>
                  <w:marRight w:val="0"/>
                  <w:marTop w:val="0"/>
                  <w:marBottom w:val="0"/>
                  <w:divBdr>
                    <w:top w:val="none" w:sz="0" w:space="0" w:color="auto"/>
                    <w:left w:val="none" w:sz="0" w:space="0" w:color="auto"/>
                    <w:bottom w:val="none" w:sz="0" w:space="0" w:color="auto"/>
                    <w:right w:val="none" w:sz="0" w:space="0" w:color="auto"/>
                  </w:divBdr>
                  <w:divsChild>
                    <w:div w:id="1873569750">
                      <w:marLeft w:val="0"/>
                      <w:marRight w:val="0"/>
                      <w:marTop w:val="0"/>
                      <w:marBottom w:val="0"/>
                      <w:divBdr>
                        <w:top w:val="none" w:sz="0" w:space="0" w:color="auto"/>
                        <w:left w:val="none" w:sz="0" w:space="0" w:color="auto"/>
                        <w:bottom w:val="none" w:sz="0" w:space="0" w:color="auto"/>
                        <w:right w:val="none" w:sz="0" w:space="0" w:color="auto"/>
                      </w:divBdr>
                      <w:divsChild>
                        <w:div w:id="357703845">
                          <w:marLeft w:val="0"/>
                          <w:marRight w:val="0"/>
                          <w:marTop w:val="0"/>
                          <w:marBottom w:val="0"/>
                          <w:divBdr>
                            <w:top w:val="none" w:sz="0" w:space="0" w:color="auto"/>
                            <w:left w:val="none" w:sz="0" w:space="0" w:color="auto"/>
                            <w:bottom w:val="none" w:sz="0" w:space="0" w:color="auto"/>
                            <w:right w:val="none" w:sz="0" w:space="0" w:color="auto"/>
                          </w:divBdr>
                          <w:divsChild>
                            <w:div w:id="189149328">
                              <w:marLeft w:val="0"/>
                              <w:marRight w:val="0"/>
                              <w:marTop w:val="0"/>
                              <w:marBottom w:val="0"/>
                              <w:divBdr>
                                <w:top w:val="none" w:sz="0" w:space="0" w:color="auto"/>
                                <w:left w:val="none" w:sz="0" w:space="0" w:color="auto"/>
                                <w:bottom w:val="none" w:sz="0" w:space="0" w:color="auto"/>
                                <w:right w:val="none" w:sz="0" w:space="0" w:color="auto"/>
                              </w:divBdr>
                              <w:divsChild>
                                <w:div w:id="452529060">
                                  <w:marLeft w:val="0"/>
                                  <w:marRight w:val="0"/>
                                  <w:marTop w:val="0"/>
                                  <w:marBottom w:val="0"/>
                                  <w:divBdr>
                                    <w:top w:val="none" w:sz="0" w:space="0" w:color="auto"/>
                                    <w:left w:val="none" w:sz="0" w:space="0" w:color="auto"/>
                                    <w:bottom w:val="none" w:sz="0" w:space="0" w:color="auto"/>
                                    <w:right w:val="none" w:sz="0" w:space="0" w:color="auto"/>
                                  </w:divBdr>
                                  <w:divsChild>
                                    <w:div w:id="179861612">
                                      <w:marLeft w:val="0"/>
                                      <w:marRight w:val="0"/>
                                      <w:marTop w:val="0"/>
                                      <w:marBottom w:val="0"/>
                                      <w:divBdr>
                                        <w:top w:val="none" w:sz="0" w:space="0" w:color="auto"/>
                                        <w:left w:val="none" w:sz="0" w:space="0" w:color="auto"/>
                                        <w:bottom w:val="none" w:sz="0" w:space="0" w:color="auto"/>
                                        <w:right w:val="none" w:sz="0" w:space="0" w:color="auto"/>
                                      </w:divBdr>
                                    </w:div>
                                    <w:div w:id="808785872">
                                      <w:marLeft w:val="0"/>
                                      <w:marRight w:val="0"/>
                                      <w:marTop w:val="0"/>
                                      <w:marBottom w:val="0"/>
                                      <w:divBdr>
                                        <w:top w:val="none" w:sz="0" w:space="0" w:color="auto"/>
                                        <w:left w:val="none" w:sz="0" w:space="0" w:color="auto"/>
                                        <w:bottom w:val="none" w:sz="0" w:space="0" w:color="auto"/>
                                        <w:right w:val="none" w:sz="0" w:space="0" w:color="auto"/>
                                      </w:divBdr>
                                      <w:divsChild>
                                        <w:div w:id="1894341797">
                                          <w:marLeft w:val="0"/>
                                          <w:marRight w:val="185"/>
                                          <w:marTop w:val="0"/>
                                          <w:marBottom w:val="0"/>
                                          <w:divBdr>
                                            <w:top w:val="none" w:sz="0" w:space="0" w:color="auto"/>
                                            <w:left w:val="none" w:sz="0" w:space="0" w:color="auto"/>
                                            <w:bottom w:val="none" w:sz="0" w:space="0" w:color="auto"/>
                                            <w:right w:val="none" w:sz="0" w:space="0" w:color="auto"/>
                                          </w:divBdr>
                                        </w:div>
                                        <w:div w:id="951404051">
                                          <w:marLeft w:val="0"/>
                                          <w:marRight w:val="185"/>
                                          <w:marTop w:val="0"/>
                                          <w:marBottom w:val="0"/>
                                          <w:divBdr>
                                            <w:top w:val="none" w:sz="0" w:space="0" w:color="auto"/>
                                            <w:left w:val="none" w:sz="0" w:space="0" w:color="auto"/>
                                            <w:bottom w:val="none" w:sz="0" w:space="0" w:color="auto"/>
                                            <w:right w:val="none" w:sz="0" w:space="0" w:color="auto"/>
                                          </w:divBdr>
                                        </w:div>
                                        <w:div w:id="1574006516">
                                          <w:marLeft w:val="0"/>
                                          <w:marRight w:val="18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734640">
                          <w:marLeft w:val="0"/>
                          <w:marRight w:val="0"/>
                          <w:marTop w:val="0"/>
                          <w:marBottom w:val="0"/>
                          <w:divBdr>
                            <w:top w:val="none" w:sz="0" w:space="0" w:color="auto"/>
                            <w:left w:val="none" w:sz="0" w:space="0" w:color="auto"/>
                            <w:bottom w:val="none" w:sz="0" w:space="0" w:color="auto"/>
                            <w:right w:val="none" w:sz="0" w:space="0" w:color="auto"/>
                          </w:divBdr>
                          <w:divsChild>
                            <w:div w:id="1460296072">
                              <w:marLeft w:val="0"/>
                              <w:marRight w:val="0"/>
                              <w:marTop w:val="0"/>
                              <w:marBottom w:val="0"/>
                              <w:divBdr>
                                <w:top w:val="none" w:sz="0" w:space="0" w:color="auto"/>
                                <w:left w:val="none" w:sz="0" w:space="0" w:color="auto"/>
                                <w:bottom w:val="none" w:sz="0" w:space="0" w:color="auto"/>
                                <w:right w:val="none" w:sz="0" w:space="0" w:color="auto"/>
                              </w:divBdr>
                              <w:divsChild>
                                <w:div w:id="38750305">
                                  <w:marLeft w:val="0"/>
                                  <w:marRight w:val="0"/>
                                  <w:marTop w:val="0"/>
                                  <w:marBottom w:val="0"/>
                                  <w:divBdr>
                                    <w:top w:val="none" w:sz="0" w:space="0" w:color="auto"/>
                                    <w:left w:val="none" w:sz="0" w:space="0" w:color="auto"/>
                                    <w:bottom w:val="none" w:sz="0" w:space="0" w:color="auto"/>
                                    <w:right w:val="none" w:sz="0" w:space="0" w:color="auto"/>
                                  </w:divBdr>
                                  <w:divsChild>
                                    <w:div w:id="907960353">
                                      <w:marLeft w:val="0"/>
                                      <w:marRight w:val="0"/>
                                      <w:marTop w:val="0"/>
                                      <w:marBottom w:val="0"/>
                                      <w:divBdr>
                                        <w:top w:val="none" w:sz="0" w:space="0" w:color="auto"/>
                                        <w:left w:val="none" w:sz="0" w:space="0" w:color="auto"/>
                                        <w:bottom w:val="none" w:sz="0" w:space="0" w:color="auto"/>
                                        <w:right w:val="none" w:sz="0" w:space="0" w:color="auto"/>
                                      </w:divBdr>
                                      <w:divsChild>
                                        <w:div w:id="1114636296">
                                          <w:marLeft w:val="0"/>
                                          <w:marRight w:val="0"/>
                                          <w:marTop w:val="0"/>
                                          <w:marBottom w:val="0"/>
                                          <w:divBdr>
                                            <w:top w:val="none" w:sz="0" w:space="0" w:color="auto"/>
                                            <w:left w:val="none" w:sz="0" w:space="0" w:color="auto"/>
                                            <w:bottom w:val="none" w:sz="0" w:space="0" w:color="auto"/>
                                            <w:right w:val="none" w:sz="0" w:space="0" w:color="auto"/>
                                          </w:divBdr>
                                          <w:divsChild>
                                            <w:div w:id="184427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9713753">
          <w:marLeft w:val="0"/>
          <w:marRight w:val="0"/>
          <w:marTop w:val="0"/>
          <w:marBottom w:val="0"/>
          <w:divBdr>
            <w:top w:val="none" w:sz="0" w:space="0" w:color="auto"/>
            <w:left w:val="none" w:sz="0" w:space="0" w:color="auto"/>
            <w:bottom w:val="none" w:sz="0" w:space="0" w:color="auto"/>
            <w:right w:val="none" w:sz="0" w:space="0" w:color="auto"/>
          </w:divBdr>
          <w:divsChild>
            <w:div w:id="975718641">
              <w:marLeft w:val="0"/>
              <w:marRight w:val="0"/>
              <w:marTop w:val="0"/>
              <w:marBottom w:val="0"/>
              <w:divBdr>
                <w:top w:val="none" w:sz="0" w:space="0" w:color="auto"/>
                <w:left w:val="none" w:sz="0" w:space="0" w:color="auto"/>
                <w:bottom w:val="none" w:sz="0" w:space="0" w:color="auto"/>
                <w:right w:val="none" w:sz="0" w:space="0" w:color="auto"/>
              </w:divBdr>
              <w:divsChild>
                <w:div w:id="887373026">
                  <w:marLeft w:val="0"/>
                  <w:marRight w:val="0"/>
                  <w:marTop w:val="0"/>
                  <w:marBottom w:val="0"/>
                  <w:divBdr>
                    <w:top w:val="none" w:sz="0" w:space="0" w:color="auto"/>
                    <w:left w:val="none" w:sz="0" w:space="0" w:color="auto"/>
                    <w:bottom w:val="none" w:sz="0" w:space="0" w:color="auto"/>
                    <w:right w:val="none" w:sz="0" w:space="0" w:color="auto"/>
                  </w:divBdr>
                  <w:divsChild>
                    <w:div w:id="6123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047145">
      <w:bodyDiv w:val="1"/>
      <w:marLeft w:val="0"/>
      <w:marRight w:val="0"/>
      <w:marTop w:val="0"/>
      <w:marBottom w:val="0"/>
      <w:divBdr>
        <w:top w:val="none" w:sz="0" w:space="0" w:color="auto"/>
        <w:left w:val="none" w:sz="0" w:space="0" w:color="auto"/>
        <w:bottom w:val="none" w:sz="0" w:space="0" w:color="auto"/>
        <w:right w:val="none" w:sz="0" w:space="0" w:color="auto"/>
      </w:divBdr>
    </w:div>
    <w:div w:id="490563241">
      <w:bodyDiv w:val="1"/>
      <w:marLeft w:val="0"/>
      <w:marRight w:val="0"/>
      <w:marTop w:val="0"/>
      <w:marBottom w:val="0"/>
      <w:divBdr>
        <w:top w:val="none" w:sz="0" w:space="0" w:color="auto"/>
        <w:left w:val="none" w:sz="0" w:space="0" w:color="auto"/>
        <w:bottom w:val="none" w:sz="0" w:space="0" w:color="auto"/>
        <w:right w:val="none" w:sz="0" w:space="0" w:color="auto"/>
      </w:divBdr>
    </w:div>
    <w:div w:id="496768499">
      <w:bodyDiv w:val="1"/>
      <w:marLeft w:val="0"/>
      <w:marRight w:val="0"/>
      <w:marTop w:val="0"/>
      <w:marBottom w:val="0"/>
      <w:divBdr>
        <w:top w:val="none" w:sz="0" w:space="0" w:color="auto"/>
        <w:left w:val="none" w:sz="0" w:space="0" w:color="auto"/>
        <w:bottom w:val="none" w:sz="0" w:space="0" w:color="auto"/>
        <w:right w:val="none" w:sz="0" w:space="0" w:color="auto"/>
      </w:divBdr>
      <w:divsChild>
        <w:div w:id="1998265695">
          <w:marLeft w:val="0"/>
          <w:marRight w:val="0"/>
          <w:marTop w:val="369"/>
          <w:marBottom w:val="369"/>
          <w:divBdr>
            <w:top w:val="none" w:sz="0" w:space="0" w:color="auto"/>
            <w:left w:val="none" w:sz="0" w:space="0" w:color="auto"/>
            <w:bottom w:val="none" w:sz="0" w:space="0" w:color="auto"/>
            <w:right w:val="none" w:sz="0" w:space="0" w:color="auto"/>
          </w:divBdr>
          <w:divsChild>
            <w:div w:id="479618689">
              <w:marLeft w:val="0"/>
              <w:marRight w:val="0"/>
              <w:marTop w:val="0"/>
              <w:marBottom w:val="0"/>
              <w:divBdr>
                <w:top w:val="none" w:sz="0" w:space="0" w:color="auto"/>
                <w:left w:val="none" w:sz="0" w:space="0" w:color="auto"/>
                <w:bottom w:val="none" w:sz="0" w:space="0" w:color="auto"/>
                <w:right w:val="none" w:sz="0" w:space="0" w:color="auto"/>
              </w:divBdr>
            </w:div>
          </w:divsChild>
        </w:div>
        <w:div w:id="1109744045">
          <w:marLeft w:val="0"/>
          <w:marRight w:val="0"/>
          <w:marTop w:val="369"/>
          <w:marBottom w:val="369"/>
          <w:divBdr>
            <w:top w:val="none" w:sz="0" w:space="0" w:color="auto"/>
            <w:left w:val="none" w:sz="0" w:space="0" w:color="auto"/>
            <w:bottom w:val="none" w:sz="0" w:space="0" w:color="auto"/>
            <w:right w:val="none" w:sz="0" w:space="0" w:color="auto"/>
          </w:divBdr>
          <w:divsChild>
            <w:div w:id="105392413">
              <w:marLeft w:val="0"/>
              <w:marRight w:val="0"/>
              <w:marTop w:val="0"/>
              <w:marBottom w:val="0"/>
              <w:divBdr>
                <w:top w:val="none" w:sz="0" w:space="0" w:color="auto"/>
                <w:left w:val="none" w:sz="0" w:space="0" w:color="auto"/>
                <w:bottom w:val="none" w:sz="0" w:space="0" w:color="auto"/>
                <w:right w:val="none" w:sz="0" w:space="0" w:color="auto"/>
              </w:divBdr>
            </w:div>
          </w:divsChild>
        </w:div>
        <w:div w:id="250890292">
          <w:marLeft w:val="0"/>
          <w:marRight w:val="0"/>
          <w:marTop w:val="369"/>
          <w:marBottom w:val="369"/>
          <w:divBdr>
            <w:top w:val="none" w:sz="0" w:space="0" w:color="auto"/>
            <w:left w:val="none" w:sz="0" w:space="0" w:color="auto"/>
            <w:bottom w:val="none" w:sz="0" w:space="0" w:color="auto"/>
            <w:right w:val="none" w:sz="0" w:space="0" w:color="auto"/>
          </w:divBdr>
          <w:divsChild>
            <w:div w:id="464004576">
              <w:marLeft w:val="0"/>
              <w:marRight w:val="0"/>
              <w:marTop w:val="0"/>
              <w:marBottom w:val="0"/>
              <w:divBdr>
                <w:top w:val="none" w:sz="0" w:space="0" w:color="auto"/>
                <w:left w:val="none" w:sz="0" w:space="0" w:color="auto"/>
                <w:bottom w:val="none" w:sz="0" w:space="0" w:color="auto"/>
                <w:right w:val="none" w:sz="0" w:space="0" w:color="auto"/>
              </w:divBdr>
            </w:div>
          </w:divsChild>
        </w:div>
        <w:div w:id="908610394">
          <w:marLeft w:val="0"/>
          <w:marRight w:val="0"/>
          <w:marTop w:val="369"/>
          <w:marBottom w:val="369"/>
          <w:divBdr>
            <w:top w:val="none" w:sz="0" w:space="0" w:color="auto"/>
            <w:left w:val="none" w:sz="0" w:space="0" w:color="auto"/>
            <w:bottom w:val="none" w:sz="0" w:space="0" w:color="auto"/>
            <w:right w:val="none" w:sz="0" w:space="0" w:color="auto"/>
          </w:divBdr>
          <w:divsChild>
            <w:div w:id="238753411">
              <w:marLeft w:val="0"/>
              <w:marRight w:val="0"/>
              <w:marTop w:val="0"/>
              <w:marBottom w:val="0"/>
              <w:divBdr>
                <w:top w:val="none" w:sz="0" w:space="0" w:color="auto"/>
                <w:left w:val="none" w:sz="0" w:space="0" w:color="auto"/>
                <w:bottom w:val="none" w:sz="0" w:space="0" w:color="auto"/>
                <w:right w:val="none" w:sz="0" w:space="0" w:color="auto"/>
              </w:divBdr>
            </w:div>
          </w:divsChild>
        </w:div>
        <w:div w:id="2009017454">
          <w:marLeft w:val="0"/>
          <w:marRight w:val="0"/>
          <w:marTop w:val="369"/>
          <w:marBottom w:val="369"/>
          <w:divBdr>
            <w:top w:val="none" w:sz="0" w:space="0" w:color="auto"/>
            <w:left w:val="none" w:sz="0" w:space="0" w:color="auto"/>
            <w:bottom w:val="none" w:sz="0" w:space="0" w:color="auto"/>
            <w:right w:val="none" w:sz="0" w:space="0" w:color="auto"/>
          </w:divBdr>
          <w:divsChild>
            <w:div w:id="10454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248299">
      <w:bodyDiv w:val="1"/>
      <w:marLeft w:val="0"/>
      <w:marRight w:val="0"/>
      <w:marTop w:val="0"/>
      <w:marBottom w:val="0"/>
      <w:divBdr>
        <w:top w:val="none" w:sz="0" w:space="0" w:color="auto"/>
        <w:left w:val="none" w:sz="0" w:space="0" w:color="auto"/>
        <w:bottom w:val="none" w:sz="0" w:space="0" w:color="auto"/>
        <w:right w:val="none" w:sz="0" w:space="0" w:color="auto"/>
      </w:divBdr>
      <w:divsChild>
        <w:div w:id="212891067">
          <w:marLeft w:val="0"/>
          <w:marRight w:val="0"/>
          <w:marTop w:val="369"/>
          <w:marBottom w:val="369"/>
          <w:divBdr>
            <w:top w:val="none" w:sz="0" w:space="0" w:color="auto"/>
            <w:left w:val="none" w:sz="0" w:space="0" w:color="auto"/>
            <w:bottom w:val="none" w:sz="0" w:space="0" w:color="auto"/>
            <w:right w:val="none" w:sz="0" w:space="0" w:color="auto"/>
          </w:divBdr>
          <w:divsChild>
            <w:div w:id="844445340">
              <w:marLeft w:val="0"/>
              <w:marRight w:val="0"/>
              <w:marTop w:val="0"/>
              <w:marBottom w:val="0"/>
              <w:divBdr>
                <w:top w:val="none" w:sz="0" w:space="0" w:color="auto"/>
                <w:left w:val="none" w:sz="0" w:space="0" w:color="auto"/>
                <w:bottom w:val="none" w:sz="0" w:space="0" w:color="auto"/>
                <w:right w:val="none" w:sz="0" w:space="0" w:color="auto"/>
              </w:divBdr>
            </w:div>
          </w:divsChild>
        </w:div>
        <w:div w:id="1485052001">
          <w:marLeft w:val="0"/>
          <w:marRight w:val="0"/>
          <w:marTop w:val="369"/>
          <w:marBottom w:val="369"/>
          <w:divBdr>
            <w:top w:val="none" w:sz="0" w:space="0" w:color="auto"/>
            <w:left w:val="none" w:sz="0" w:space="0" w:color="auto"/>
            <w:bottom w:val="none" w:sz="0" w:space="0" w:color="auto"/>
            <w:right w:val="none" w:sz="0" w:space="0" w:color="auto"/>
          </w:divBdr>
          <w:divsChild>
            <w:div w:id="602147673">
              <w:marLeft w:val="0"/>
              <w:marRight w:val="0"/>
              <w:marTop w:val="0"/>
              <w:marBottom w:val="0"/>
              <w:divBdr>
                <w:top w:val="none" w:sz="0" w:space="0" w:color="auto"/>
                <w:left w:val="none" w:sz="0" w:space="0" w:color="auto"/>
                <w:bottom w:val="none" w:sz="0" w:space="0" w:color="auto"/>
                <w:right w:val="none" w:sz="0" w:space="0" w:color="auto"/>
              </w:divBdr>
            </w:div>
          </w:divsChild>
        </w:div>
        <w:div w:id="141780100">
          <w:marLeft w:val="0"/>
          <w:marRight w:val="0"/>
          <w:marTop w:val="369"/>
          <w:marBottom w:val="369"/>
          <w:divBdr>
            <w:top w:val="none" w:sz="0" w:space="0" w:color="auto"/>
            <w:left w:val="none" w:sz="0" w:space="0" w:color="auto"/>
            <w:bottom w:val="none" w:sz="0" w:space="0" w:color="auto"/>
            <w:right w:val="none" w:sz="0" w:space="0" w:color="auto"/>
          </w:divBdr>
          <w:divsChild>
            <w:div w:id="1102990502">
              <w:marLeft w:val="0"/>
              <w:marRight w:val="0"/>
              <w:marTop w:val="0"/>
              <w:marBottom w:val="0"/>
              <w:divBdr>
                <w:top w:val="none" w:sz="0" w:space="0" w:color="auto"/>
                <w:left w:val="none" w:sz="0" w:space="0" w:color="auto"/>
                <w:bottom w:val="none" w:sz="0" w:space="0" w:color="auto"/>
                <w:right w:val="none" w:sz="0" w:space="0" w:color="auto"/>
              </w:divBdr>
            </w:div>
          </w:divsChild>
        </w:div>
        <w:div w:id="654997037">
          <w:marLeft w:val="0"/>
          <w:marRight w:val="0"/>
          <w:marTop w:val="369"/>
          <w:marBottom w:val="369"/>
          <w:divBdr>
            <w:top w:val="none" w:sz="0" w:space="0" w:color="auto"/>
            <w:left w:val="none" w:sz="0" w:space="0" w:color="auto"/>
            <w:bottom w:val="none" w:sz="0" w:space="0" w:color="auto"/>
            <w:right w:val="none" w:sz="0" w:space="0" w:color="auto"/>
          </w:divBdr>
          <w:divsChild>
            <w:div w:id="1206211097">
              <w:marLeft w:val="0"/>
              <w:marRight w:val="0"/>
              <w:marTop w:val="0"/>
              <w:marBottom w:val="0"/>
              <w:divBdr>
                <w:top w:val="none" w:sz="0" w:space="0" w:color="auto"/>
                <w:left w:val="none" w:sz="0" w:space="0" w:color="auto"/>
                <w:bottom w:val="none" w:sz="0" w:space="0" w:color="auto"/>
                <w:right w:val="none" w:sz="0" w:space="0" w:color="auto"/>
              </w:divBdr>
            </w:div>
          </w:divsChild>
        </w:div>
        <w:div w:id="380831078">
          <w:marLeft w:val="0"/>
          <w:marRight w:val="0"/>
          <w:marTop w:val="369"/>
          <w:marBottom w:val="369"/>
          <w:divBdr>
            <w:top w:val="none" w:sz="0" w:space="0" w:color="auto"/>
            <w:left w:val="none" w:sz="0" w:space="0" w:color="auto"/>
            <w:bottom w:val="none" w:sz="0" w:space="0" w:color="auto"/>
            <w:right w:val="none" w:sz="0" w:space="0" w:color="auto"/>
          </w:divBdr>
          <w:divsChild>
            <w:div w:id="134554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269154">
      <w:bodyDiv w:val="1"/>
      <w:marLeft w:val="0"/>
      <w:marRight w:val="0"/>
      <w:marTop w:val="0"/>
      <w:marBottom w:val="0"/>
      <w:divBdr>
        <w:top w:val="none" w:sz="0" w:space="0" w:color="auto"/>
        <w:left w:val="none" w:sz="0" w:space="0" w:color="auto"/>
        <w:bottom w:val="none" w:sz="0" w:space="0" w:color="auto"/>
        <w:right w:val="none" w:sz="0" w:space="0" w:color="auto"/>
      </w:divBdr>
    </w:div>
    <w:div w:id="533424317">
      <w:bodyDiv w:val="1"/>
      <w:marLeft w:val="0"/>
      <w:marRight w:val="0"/>
      <w:marTop w:val="0"/>
      <w:marBottom w:val="0"/>
      <w:divBdr>
        <w:top w:val="none" w:sz="0" w:space="0" w:color="auto"/>
        <w:left w:val="none" w:sz="0" w:space="0" w:color="auto"/>
        <w:bottom w:val="none" w:sz="0" w:space="0" w:color="auto"/>
        <w:right w:val="none" w:sz="0" w:space="0" w:color="auto"/>
      </w:divBdr>
    </w:div>
    <w:div w:id="542399339">
      <w:bodyDiv w:val="1"/>
      <w:marLeft w:val="0"/>
      <w:marRight w:val="0"/>
      <w:marTop w:val="0"/>
      <w:marBottom w:val="0"/>
      <w:divBdr>
        <w:top w:val="none" w:sz="0" w:space="0" w:color="auto"/>
        <w:left w:val="none" w:sz="0" w:space="0" w:color="auto"/>
        <w:bottom w:val="none" w:sz="0" w:space="0" w:color="auto"/>
        <w:right w:val="none" w:sz="0" w:space="0" w:color="auto"/>
      </w:divBdr>
    </w:div>
    <w:div w:id="543446183">
      <w:bodyDiv w:val="1"/>
      <w:marLeft w:val="0"/>
      <w:marRight w:val="0"/>
      <w:marTop w:val="0"/>
      <w:marBottom w:val="0"/>
      <w:divBdr>
        <w:top w:val="none" w:sz="0" w:space="0" w:color="auto"/>
        <w:left w:val="none" w:sz="0" w:space="0" w:color="auto"/>
        <w:bottom w:val="none" w:sz="0" w:space="0" w:color="auto"/>
        <w:right w:val="none" w:sz="0" w:space="0" w:color="auto"/>
      </w:divBdr>
    </w:div>
    <w:div w:id="561915894">
      <w:bodyDiv w:val="1"/>
      <w:marLeft w:val="0"/>
      <w:marRight w:val="0"/>
      <w:marTop w:val="0"/>
      <w:marBottom w:val="0"/>
      <w:divBdr>
        <w:top w:val="none" w:sz="0" w:space="0" w:color="auto"/>
        <w:left w:val="none" w:sz="0" w:space="0" w:color="auto"/>
        <w:bottom w:val="none" w:sz="0" w:space="0" w:color="auto"/>
        <w:right w:val="none" w:sz="0" w:space="0" w:color="auto"/>
      </w:divBdr>
      <w:divsChild>
        <w:div w:id="1028213461">
          <w:marLeft w:val="0"/>
          <w:marRight w:val="0"/>
          <w:marTop w:val="300"/>
          <w:marBottom w:val="300"/>
          <w:divBdr>
            <w:top w:val="none" w:sz="0" w:space="0" w:color="auto"/>
            <w:left w:val="none" w:sz="0" w:space="0" w:color="auto"/>
            <w:bottom w:val="none" w:sz="0" w:space="0" w:color="auto"/>
            <w:right w:val="none" w:sz="0" w:space="0" w:color="auto"/>
          </w:divBdr>
          <w:divsChild>
            <w:div w:id="1142891971">
              <w:marLeft w:val="0"/>
              <w:marRight w:val="0"/>
              <w:marTop w:val="0"/>
              <w:marBottom w:val="0"/>
              <w:divBdr>
                <w:top w:val="none" w:sz="0" w:space="0" w:color="auto"/>
                <w:left w:val="none" w:sz="0" w:space="0" w:color="auto"/>
                <w:bottom w:val="none" w:sz="0" w:space="0" w:color="auto"/>
                <w:right w:val="none" w:sz="0" w:space="0" w:color="auto"/>
              </w:divBdr>
            </w:div>
          </w:divsChild>
        </w:div>
        <w:div w:id="1556315436">
          <w:marLeft w:val="0"/>
          <w:marRight w:val="0"/>
          <w:marTop w:val="300"/>
          <w:marBottom w:val="300"/>
          <w:divBdr>
            <w:top w:val="none" w:sz="0" w:space="0" w:color="auto"/>
            <w:left w:val="none" w:sz="0" w:space="0" w:color="auto"/>
            <w:bottom w:val="none" w:sz="0" w:space="0" w:color="auto"/>
            <w:right w:val="none" w:sz="0" w:space="0" w:color="auto"/>
          </w:divBdr>
          <w:divsChild>
            <w:div w:id="15905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31790">
      <w:bodyDiv w:val="1"/>
      <w:marLeft w:val="0"/>
      <w:marRight w:val="0"/>
      <w:marTop w:val="0"/>
      <w:marBottom w:val="0"/>
      <w:divBdr>
        <w:top w:val="none" w:sz="0" w:space="0" w:color="auto"/>
        <w:left w:val="none" w:sz="0" w:space="0" w:color="auto"/>
        <w:bottom w:val="none" w:sz="0" w:space="0" w:color="auto"/>
        <w:right w:val="none" w:sz="0" w:space="0" w:color="auto"/>
      </w:divBdr>
    </w:div>
    <w:div w:id="571886476">
      <w:bodyDiv w:val="1"/>
      <w:marLeft w:val="0"/>
      <w:marRight w:val="0"/>
      <w:marTop w:val="0"/>
      <w:marBottom w:val="0"/>
      <w:divBdr>
        <w:top w:val="none" w:sz="0" w:space="0" w:color="auto"/>
        <w:left w:val="none" w:sz="0" w:space="0" w:color="auto"/>
        <w:bottom w:val="none" w:sz="0" w:space="0" w:color="auto"/>
        <w:right w:val="none" w:sz="0" w:space="0" w:color="auto"/>
      </w:divBdr>
    </w:div>
    <w:div w:id="582223375">
      <w:bodyDiv w:val="1"/>
      <w:marLeft w:val="0"/>
      <w:marRight w:val="0"/>
      <w:marTop w:val="0"/>
      <w:marBottom w:val="0"/>
      <w:divBdr>
        <w:top w:val="none" w:sz="0" w:space="0" w:color="auto"/>
        <w:left w:val="none" w:sz="0" w:space="0" w:color="auto"/>
        <w:bottom w:val="none" w:sz="0" w:space="0" w:color="auto"/>
        <w:right w:val="none" w:sz="0" w:space="0" w:color="auto"/>
      </w:divBdr>
    </w:div>
    <w:div w:id="596330438">
      <w:bodyDiv w:val="1"/>
      <w:marLeft w:val="0"/>
      <w:marRight w:val="0"/>
      <w:marTop w:val="0"/>
      <w:marBottom w:val="0"/>
      <w:divBdr>
        <w:top w:val="none" w:sz="0" w:space="0" w:color="auto"/>
        <w:left w:val="none" w:sz="0" w:space="0" w:color="auto"/>
        <w:bottom w:val="none" w:sz="0" w:space="0" w:color="auto"/>
        <w:right w:val="none" w:sz="0" w:space="0" w:color="auto"/>
      </w:divBdr>
    </w:div>
    <w:div w:id="598147895">
      <w:bodyDiv w:val="1"/>
      <w:marLeft w:val="0"/>
      <w:marRight w:val="0"/>
      <w:marTop w:val="0"/>
      <w:marBottom w:val="0"/>
      <w:divBdr>
        <w:top w:val="none" w:sz="0" w:space="0" w:color="auto"/>
        <w:left w:val="none" w:sz="0" w:space="0" w:color="auto"/>
        <w:bottom w:val="none" w:sz="0" w:space="0" w:color="auto"/>
        <w:right w:val="none" w:sz="0" w:space="0" w:color="auto"/>
      </w:divBdr>
    </w:div>
    <w:div w:id="626207379">
      <w:bodyDiv w:val="1"/>
      <w:marLeft w:val="0"/>
      <w:marRight w:val="0"/>
      <w:marTop w:val="0"/>
      <w:marBottom w:val="0"/>
      <w:divBdr>
        <w:top w:val="none" w:sz="0" w:space="0" w:color="auto"/>
        <w:left w:val="none" w:sz="0" w:space="0" w:color="auto"/>
        <w:bottom w:val="none" w:sz="0" w:space="0" w:color="auto"/>
        <w:right w:val="none" w:sz="0" w:space="0" w:color="auto"/>
      </w:divBdr>
    </w:div>
    <w:div w:id="635141011">
      <w:bodyDiv w:val="1"/>
      <w:marLeft w:val="0"/>
      <w:marRight w:val="0"/>
      <w:marTop w:val="0"/>
      <w:marBottom w:val="0"/>
      <w:divBdr>
        <w:top w:val="none" w:sz="0" w:space="0" w:color="auto"/>
        <w:left w:val="none" w:sz="0" w:space="0" w:color="auto"/>
        <w:bottom w:val="none" w:sz="0" w:space="0" w:color="auto"/>
        <w:right w:val="none" w:sz="0" w:space="0" w:color="auto"/>
      </w:divBdr>
    </w:div>
    <w:div w:id="645626828">
      <w:bodyDiv w:val="1"/>
      <w:marLeft w:val="0"/>
      <w:marRight w:val="0"/>
      <w:marTop w:val="0"/>
      <w:marBottom w:val="0"/>
      <w:divBdr>
        <w:top w:val="none" w:sz="0" w:space="0" w:color="auto"/>
        <w:left w:val="none" w:sz="0" w:space="0" w:color="auto"/>
        <w:bottom w:val="none" w:sz="0" w:space="0" w:color="auto"/>
        <w:right w:val="none" w:sz="0" w:space="0" w:color="auto"/>
      </w:divBdr>
    </w:div>
    <w:div w:id="649332903">
      <w:bodyDiv w:val="1"/>
      <w:marLeft w:val="0"/>
      <w:marRight w:val="0"/>
      <w:marTop w:val="0"/>
      <w:marBottom w:val="0"/>
      <w:divBdr>
        <w:top w:val="none" w:sz="0" w:space="0" w:color="auto"/>
        <w:left w:val="none" w:sz="0" w:space="0" w:color="auto"/>
        <w:bottom w:val="none" w:sz="0" w:space="0" w:color="auto"/>
        <w:right w:val="none" w:sz="0" w:space="0" w:color="auto"/>
      </w:divBdr>
    </w:div>
    <w:div w:id="650251250">
      <w:bodyDiv w:val="1"/>
      <w:marLeft w:val="0"/>
      <w:marRight w:val="0"/>
      <w:marTop w:val="0"/>
      <w:marBottom w:val="0"/>
      <w:divBdr>
        <w:top w:val="none" w:sz="0" w:space="0" w:color="auto"/>
        <w:left w:val="none" w:sz="0" w:space="0" w:color="auto"/>
        <w:bottom w:val="none" w:sz="0" w:space="0" w:color="auto"/>
        <w:right w:val="none" w:sz="0" w:space="0" w:color="auto"/>
      </w:divBdr>
    </w:div>
    <w:div w:id="650910659">
      <w:bodyDiv w:val="1"/>
      <w:marLeft w:val="0"/>
      <w:marRight w:val="0"/>
      <w:marTop w:val="0"/>
      <w:marBottom w:val="0"/>
      <w:divBdr>
        <w:top w:val="none" w:sz="0" w:space="0" w:color="auto"/>
        <w:left w:val="none" w:sz="0" w:space="0" w:color="auto"/>
        <w:bottom w:val="none" w:sz="0" w:space="0" w:color="auto"/>
        <w:right w:val="none" w:sz="0" w:space="0" w:color="auto"/>
      </w:divBdr>
    </w:div>
    <w:div w:id="651564921">
      <w:bodyDiv w:val="1"/>
      <w:marLeft w:val="0"/>
      <w:marRight w:val="0"/>
      <w:marTop w:val="0"/>
      <w:marBottom w:val="0"/>
      <w:divBdr>
        <w:top w:val="none" w:sz="0" w:space="0" w:color="auto"/>
        <w:left w:val="none" w:sz="0" w:space="0" w:color="auto"/>
        <w:bottom w:val="none" w:sz="0" w:space="0" w:color="auto"/>
        <w:right w:val="none" w:sz="0" w:space="0" w:color="auto"/>
      </w:divBdr>
    </w:div>
    <w:div w:id="656224049">
      <w:bodyDiv w:val="1"/>
      <w:marLeft w:val="0"/>
      <w:marRight w:val="0"/>
      <w:marTop w:val="0"/>
      <w:marBottom w:val="0"/>
      <w:divBdr>
        <w:top w:val="none" w:sz="0" w:space="0" w:color="auto"/>
        <w:left w:val="none" w:sz="0" w:space="0" w:color="auto"/>
        <w:bottom w:val="none" w:sz="0" w:space="0" w:color="auto"/>
        <w:right w:val="none" w:sz="0" w:space="0" w:color="auto"/>
      </w:divBdr>
    </w:div>
    <w:div w:id="663973145">
      <w:bodyDiv w:val="1"/>
      <w:marLeft w:val="0"/>
      <w:marRight w:val="0"/>
      <w:marTop w:val="0"/>
      <w:marBottom w:val="0"/>
      <w:divBdr>
        <w:top w:val="none" w:sz="0" w:space="0" w:color="auto"/>
        <w:left w:val="none" w:sz="0" w:space="0" w:color="auto"/>
        <w:bottom w:val="none" w:sz="0" w:space="0" w:color="auto"/>
        <w:right w:val="none" w:sz="0" w:space="0" w:color="auto"/>
      </w:divBdr>
    </w:div>
    <w:div w:id="665206206">
      <w:bodyDiv w:val="1"/>
      <w:marLeft w:val="0"/>
      <w:marRight w:val="0"/>
      <w:marTop w:val="0"/>
      <w:marBottom w:val="0"/>
      <w:divBdr>
        <w:top w:val="none" w:sz="0" w:space="0" w:color="auto"/>
        <w:left w:val="none" w:sz="0" w:space="0" w:color="auto"/>
        <w:bottom w:val="none" w:sz="0" w:space="0" w:color="auto"/>
        <w:right w:val="none" w:sz="0" w:space="0" w:color="auto"/>
      </w:divBdr>
    </w:div>
    <w:div w:id="667100596">
      <w:marLeft w:val="0"/>
      <w:marRight w:val="0"/>
      <w:marTop w:val="0"/>
      <w:marBottom w:val="0"/>
      <w:divBdr>
        <w:top w:val="none" w:sz="0" w:space="0" w:color="auto"/>
        <w:left w:val="none" w:sz="0" w:space="0" w:color="auto"/>
        <w:bottom w:val="none" w:sz="0" w:space="0" w:color="auto"/>
        <w:right w:val="none" w:sz="0" w:space="0" w:color="auto"/>
      </w:divBdr>
    </w:div>
    <w:div w:id="670641904">
      <w:bodyDiv w:val="1"/>
      <w:marLeft w:val="0"/>
      <w:marRight w:val="0"/>
      <w:marTop w:val="0"/>
      <w:marBottom w:val="0"/>
      <w:divBdr>
        <w:top w:val="none" w:sz="0" w:space="0" w:color="auto"/>
        <w:left w:val="none" w:sz="0" w:space="0" w:color="auto"/>
        <w:bottom w:val="none" w:sz="0" w:space="0" w:color="auto"/>
        <w:right w:val="none" w:sz="0" w:space="0" w:color="auto"/>
      </w:divBdr>
    </w:div>
    <w:div w:id="672880006">
      <w:bodyDiv w:val="1"/>
      <w:marLeft w:val="0"/>
      <w:marRight w:val="0"/>
      <w:marTop w:val="0"/>
      <w:marBottom w:val="0"/>
      <w:divBdr>
        <w:top w:val="none" w:sz="0" w:space="0" w:color="auto"/>
        <w:left w:val="none" w:sz="0" w:space="0" w:color="auto"/>
        <w:bottom w:val="none" w:sz="0" w:space="0" w:color="auto"/>
        <w:right w:val="none" w:sz="0" w:space="0" w:color="auto"/>
      </w:divBdr>
    </w:div>
    <w:div w:id="696858717">
      <w:bodyDiv w:val="1"/>
      <w:marLeft w:val="0"/>
      <w:marRight w:val="0"/>
      <w:marTop w:val="0"/>
      <w:marBottom w:val="0"/>
      <w:divBdr>
        <w:top w:val="none" w:sz="0" w:space="0" w:color="auto"/>
        <w:left w:val="none" w:sz="0" w:space="0" w:color="auto"/>
        <w:bottom w:val="none" w:sz="0" w:space="0" w:color="auto"/>
        <w:right w:val="none" w:sz="0" w:space="0" w:color="auto"/>
      </w:divBdr>
    </w:div>
    <w:div w:id="707488377">
      <w:bodyDiv w:val="1"/>
      <w:marLeft w:val="0"/>
      <w:marRight w:val="0"/>
      <w:marTop w:val="0"/>
      <w:marBottom w:val="0"/>
      <w:divBdr>
        <w:top w:val="none" w:sz="0" w:space="0" w:color="auto"/>
        <w:left w:val="none" w:sz="0" w:space="0" w:color="auto"/>
        <w:bottom w:val="none" w:sz="0" w:space="0" w:color="auto"/>
        <w:right w:val="none" w:sz="0" w:space="0" w:color="auto"/>
      </w:divBdr>
    </w:div>
    <w:div w:id="712851489">
      <w:bodyDiv w:val="1"/>
      <w:marLeft w:val="0"/>
      <w:marRight w:val="0"/>
      <w:marTop w:val="0"/>
      <w:marBottom w:val="0"/>
      <w:divBdr>
        <w:top w:val="none" w:sz="0" w:space="0" w:color="auto"/>
        <w:left w:val="none" w:sz="0" w:space="0" w:color="auto"/>
        <w:bottom w:val="none" w:sz="0" w:space="0" w:color="auto"/>
        <w:right w:val="none" w:sz="0" w:space="0" w:color="auto"/>
      </w:divBdr>
      <w:divsChild>
        <w:div w:id="1993560725">
          <w:marLeft w:val="0"/>
          <w:marRight w:val="0"/>
          <w:marTop w:val="0"/>
          <w:marBottom w:val="0"/>
          <w:divBdr>
            <w:top w:val="none" w:sz="0" w:space="0" w:color="auto"/>
            <w:left w:val="none" w:sz="0" w:space="0" w:color="auto"/>
            <w:bottom w:val="none" w:sz="0" w:space="0" w:color="auto"/>
            <w:right w:val="none" w:sz="0" w:space="0" w:color="auto"/>
          </w:divBdr>
          <w:divsChild>
            <w:div w:id="1542933566">
              <w:marLeft w:val="0"/>
              <w:marRight w:val="0"/>
              <w:marTop w:val="0"/>
              <w:marBottom w:val="0"/>
              <w:divBdr>
                <w:top w:val="none" w:sz="0" w:space="0" w:color="auto"/>
                <w:left w:val="none" w:sz="0" w:space="0" w:color="auto"/>
                <w:bottom w:val="none" w:sz="0" w:space="0" w:color="auto"/>
                <w:right w:val="none" w:sz="0" w:space="0" w:color="auto"/>
              </w:divBdr>
            </w:div>
          </w:divsChild>
        </w:div>
        <w:div w:id="533226175">
          <w:marLeft w:val="0"/>
          <w:marRight w:val="0"/>
          <w:marTop w:val="0"/>
          <w:marBottom w:val="0"/>
          <w:divBdr>
            <w:top w:val="none" w:sz="0" w:space="0" w:color="auto"/>
            <w:left w:val="none" w:sz="0" w:space="0" w:color="auto"/>
            <w:bottom w:val="none" w:sz="0" w:space="0" w:color="auto"/>
            <w:right w:val="none" w:sz="0" w:space="0" w:color="auto"/>
          </w:divBdr>
          <w:divsChild>
            <w:div w:id="1262374454">
              <w:marLeft w:val="0"/>
              <w:marRight w:val="0"/>
              <w:marTop w:val="0"/>
              <w:marBottom w:val="0"/>
              <w:divBdr>
                <w:top w:val="none" w:sz="0" w:space="0" w:color="auto"/>
                <w:left w:val="none" w:sz="0" w:space="0" w:color="auto"/>
                <w:bottom w:val="none" w:sz="0" w:space="0" w:color="auto"/>
                <w:right w:val="none" w:sz="0" w:space="0" w:color="auto"/>
              </w:divBdr>
            </w:div>
          </w:divsChild>
        </w:div>
        <w:div w:id="2100714102">
          <w:marLeft w:val="0"/>
          <w:marRight w:val="0"/>
          <w:marTop w:val="0"/>
          <w:marBottom w:val="0"/>
          <w:divBdr>
            <w:top w:val="none" w:sz="0" w:space="0" w:color="auto"/>
            <w:left w:val="none" w:sz="0" w:space="0" w:color="auto"/>
            <w:bottom w:val="none" w:sz="0" w:space="0" w:color="auto"/>
            <w:right w:val="none" w:sz="0" w:space="0" w:color="auto"/>
          </w:divBdr>
          <w:divsChild>
            <w:div w:id="270745534">
              <w:marLeft w:val="0"/>
              <w:marRight w:val="0"/>
              <w:marTop w:val="0"/>
              <w:marBottom w:val="0"/>
              <w:divBdr>
                <w:top w:val="none" w:sz="0" w:space="0" w:color="auto"/>
                <w:left w:val="none" w:sz="0" w:space="0" w:color="auto"/>
                <w:bottom w:val="none" w:sz="0" w:space="0" w:color="auto"/>
                <w:right w:val="none" w:sz="0" w:space="0" w:color="auto"/>
              </w:divBdr>
            </w:div>
          </w:divsChild>
        </w:div>
        <w:div w:id="1218279754">
          <w:marLeft w:val="0"/>
          <w:marRight w:val="0"/>
          <w:marTop w:val="0"/>
          <w:marBottom w:val="0"/>
          <w:divBdr>
            <w:top w:val="none" w:sz="0" w:space="0" w:color="auto"/>
            <w:left w:val="none" w:sz="0" w:space="0" w:color="auto"/>
            <w:bottom w:val="none" w:sz="0" w:space="0" w:color="auto"/>
            <w:right w:val="none" w:sz="0" w:space="0" w:color="auto"/>
          </w:divBdr>
          <w:divsChild>
            <w:div w:id="1385569501">
              <w:marLeft w:val="0"/>
              <w:marRight w:val="0"/>
              <w:marTop w:val="0"/>
              <w:marBottom w:val="0"/>
              <w:divBdr>
                <w:top w:val="none" w:sz="0" w:space="0" w:color="auto"/>
                <w:left w:val="none" w:sz="0" w:space="0" w:color="auto"/>
                <w:bottom w:val="none" w:sz="0" w:space="0" w:color="auto"/>
                <w:right w:val="none" w:sz="0" w:space="0" w:color="auto"/>
              </w:divBdr>
            </w:div>
          </w:divsChild>
        </w:div>
        <w:div w:id="1632635312">
          <w:marLeft w:val="0"/>
          <w:marRight w:val="0"/>
          <w:marTop w:val="0"/>
          <w:marBottom w:val="0"/>
          <w:divBdr>
            <w:top w:val="none" w:sz="0" w:space="0" w:color="auto"/>
            <w:left w:val="none" w:sz="0" w:space="0" w:color="auto"/>
            <w:bottom w:val="none" w:sz="0" w:space="0" w:color="auto"/>
            <w:right w:val="none" w:sz="0" w:space="0" w:color="auto"/>
          </w:divBdr>
          <w:divsChild>
            <w:div w:id="2714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6201">
      <w:bodyDiv w:val="1"/>
      <w:marLeft w:val="0"/>
      <w:marRight w:val="0"/>
      <w:marTop w:val="0"/>
      <w:marBottom w:val="0"/>
      <w:divBdr>
        <w:top w:val="none" w:sz="0" w:space="0" w:color="auto"/>
        <w:left w:val="none" w:sz="0" w:space="0" w:color="auto"/>
        <w:bottom w:val="none" w:sz="0" w:space="0" w:color="auto"/>
        <w:right w:val="none" w:sz="0" w:space="0" w:color="auto"/>
      </w:divBdr>
    </w:div>
    <w:div w:id="718477064">
      <w:bodyDiv w:val="1"/>
      <w:marLeft w:val="0"/>
      <w:marRight w:val="0"/>
      <w:marTop w:val="0"/>
      <w:marBottom w:val="0"/>
      <w:divBdr>
        <w:top w:val="none" w:sz="0" w:space="0" w:color="auto"/>
        <w:left w:val="none" w:sz="0" w:space="0" w:color="auto"/>
        <w:bottom w:val="none" w:sz="0" w:space="0" w:color="auto"/>
        <w:right w:val="none" w:sz="0" w:space="0" w:color="auto"/>
      </w:divBdr>
    </w:div>
    <w:div w:id="727069252">
      <w:bodyDiv w:val="1"/>
      <w:marLeft w:val="0"/>
      <w:marRight w:val="0"/>
      <w:marTop w:val="0"/>
      <w:marBottom w:val="0"/>
      <w:divBdr>
        <w:top w:val="none" w:sz="0" w:space="0" w:color="auto"/>
        <w:left w:val="none" w:sz="0" w:space="0" w:color="auto"/>
        <w:bottom w:val="none" w:sz="0" w:space="0" w:color="auto"/>
        <w:right w:val="none" w:sz="0" w:space="0" w:color="auto"/>
      </w:divBdr>
    </w:div>
    <w:div w:id="744179795">
      <w:bodyDiv w:val="1"/>
      <w:marLeft w:val="0"/>
      <w:marRight w:val="0"/>
      <w:marTop w:val="0"/>
      <w:marBottom w:val="0"/>
      <w:divBdr>
        <w:top w:val="none" w:sz="0" w:space="0" w:color="auto"/>
        <w:left w:val="none" w:sz="0" w:space="0" w:color="auto"/>
        <w:bottom w:val="none" w:sz="0" w:space="0" w:color="auto"/>
        <w:right w:val="none" w:sz="0" w:space="0" w:color="auto"/>
      </w:divBdr>
    </w:div>
    <w:div w:id="770048184">
      <w:bodyDiv w:val="1"/>
      <w:marLeft w:val="0"/>
      <w:marRight w:val="0"/>
      <w:marTop w:val="0"/>
      <w:marBottom w:val="0"/>
      <w:divBdr>
        <w:top w:val="none" w:sz="0" w:space="0" w:color="auto"/>
        <w:left w:val="none" w:sz="0" w:space="0" w:color="auto"/>
        <w:bottom w:val="none" w:sz="0" w:space="0" w:color="auto"/>
        <w:right w:val="none" w:sz="0" w:space="0" w:color="auto"/>
      </w:divBdr>
      <w:divsChild>
        <w:div w:id="1557470598">
          <w:marLeft w:val="0"/>
          <w:marRight w:val="0"/>
          <w:marTop w:val="300"/>
          <w:marBottom w:val="300"/>
          <w:divBdr>
            <w:top w:val="none" w:sz="0" w:space="0" w:color="auto"/>
            <w:left w:val="none" w:sz="0" w:space="0" w:color="auto"/>
            <w:bottom w:val="none" w:sz="0" w:space="0" w:color="auto"/>
            <w:right w:val="none" w:sz="0" w:space="0" w:color="auto"/>
          </w:divBdr>
          <w:divsChild>
            <w:div w:id="2033651342">
              <w:marLeft w:val="0"/>
              <w:marRight w:val="0"/>
              <w:marTop w:val="0"/>
              <w:marBottom w:val="0"/>
              <w:divBdr>
                <w:top w:val="none" w:sz="0" w:space="0" w:color="auto"/>
                <w:left w:val="none" w:sz="0" w:space="0" w:color="auto"/>
                <w:bottom w:val="none" w:sz="0" w:space="0" w:color="auto"/>
                <w:right w:val="none" w:sz="0" w:space="0" w:color="auto"/>
              </w:divBdr>
            </w:div>
          </w:divsChild>
        </w:div>
        <w:div w:id="1473861215">
          <w:marLeft w:val="0"/>
          <w:marRight w:val="0"/>
          <w:marTop w:val="300"/>
          <w:marBottom w:val="300"/>
          <w:divBdr>
            <w:top w:val="none" w:sz="0" w:space="0" w:color="auto"/>
            <w:left w:val="none" w:sz="0" w:space="0" w:color="auto"/>
            <w:bottom w:val="none" w:sz="0" w:space="0" w:color="auto"/>
            <w:right w:val="none" w:sz="0" w:space="0" w:color="auto"/>
          </w:divBdr>
          <w:divsChild>
            <w:div w:id="989554003">
              <w:marLeft w:val="0"/>
              <w:marRight w:val="0"/>
              <w:marTop w:val="0"/>
              <w:marBottom w:val="0"/>
              <w:divBdr>
                <w:top w:val="none" w:sz="0" w:space="0" w:color="auto"/>
                <w:left w:val="none" w:sz="0" w:space="0" w:color="auto"/>
                <w:bottom w:val="none" w:sz="0" w:space="0" w:color="auto"/>
                <w:right w:val="none" w:sz="0" w:space="0" w:color="auto"/>
              </w:divBdr>
            </w:div>
          </w:divsChild>
        </w:div>
        <w:div w:id="626085404">
          <w:marLeft w:val="0"/>
          <w:marRight w:val="0"/>
          <w:marTop w:val="300"/>
          <w:marBottom w:val="300"/>
          <w:divBdr>
            <w:top w:val="none" w:sz="0" w:space="0" w:color="auto"/>
            <w:left w:val="none" w:sz="0" w:space="0" w:color="auto"/>
            <w:bottom w:val="none" w:sz="0" w:space="0" w:color="auto"/>
            <w:right w:val="none" w:sz="0" w:space="0" w:color="auto"/>
          </w:divBdr>
          <w:divsChild>
            <w:div w:id="1036737240">
              <w:marLeft w:val="0"/>
              <w:marRight w:val="0"/>
              <w:marTop w:val="0"/>
              <w:marBottom w:val="0"/>
              <w:divBdr>
                <w:top w:val="none" w:sz="0" w:space="0" w:color="auto"/>
                <w:left w:val="none" w:sz="0" w:space="0" w:color="auto"/>
                <w:bottom w:val="none" w:sz="0" w:space="0" w:color="auto"/>
                <w:right w:val="none" w:sz="0" w:space="0" w:color="auto"/>
              </w:divBdr>
              <w:divsChild>
                <w:div w:id="20553514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139692533">
          <w:marLeft w:val="0"/>
          <w:marRight w:val="0"/>
          <w:marTop w:val="300"/>
          <w:marBottom w:val="300"/>
          <w:divBdr>
            <w:top w:val="none" w:sz="0" w:space="0" w:color="auto"/>
            <w:left w:val="none" w:sz="0" w:space="0" w:color="auto"/>
            <w:bottom w:val="none" w:sz="0" w:space="0" w:color="auto"/>
            <w:right w:val="none" w:sz="0" w:space="0" w:color="auto"/>
          </w:divBdr>
          <w:divsChild>
            <w:div w:id="2115392903">
              <w:marLeft w:val="0"/>
              <w:marRight w:val="0"/>
              <w:marTop w:val="0"/>
              <w:marBottom w:val="0"/>
              <w:divBdr>
                <w:top w:val="none" w:sz="0" w:space="0" w:color="auto"/>
                <w:left w:val="none" w:sz="0" w:space="0" w:color="auto"/>
                <w:bottom w:val="none" w:sz="0" w:space="0" w:color="auto"/>
                <w:right w:val="none" w:sz="0" w:space="0" w:color="auto"/>
              </w:divBdr>
              <w:divsChild>
                <w:div w:id="3432923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375814812">
          <w:marLeft w:val="0"/>
          <w:marRight w:val="0"/>
          <w:marTop w:val="300"/>
          <w:marBottom w:val="300"/>
          <w:divBdr>
            <w:top w:val="none" w:sz="0" w:space="0" w:color="auto"/>
            <w:left w:val="none" w:sz="0" w:space="0" w:color="auto"/>
            <w:bottom w:val="none" w:sz="0" w:space="0" w:color="auto"/>
            <w:right w:val="none" w:sz="0" w:space="0" w:color="auto"/>
          </w:divBdr>
          <w:divsChild>
            <w:div w:id="2029476806">
              <w:marLeft w:val="0"/>
              <w:marRight w:val="0"/>
              <w:marTop w:val="0"/>
              <w:marBottom w:val="0"/>
              <w:divBdr>
                <w:top w:val="none" w:sz="0" w:space="0" w:color="auto"/>
                <w:left w:val="none" w:sz="0" w:space="0" w:color="auto"/>
                <w:bottom w:val="none" w:sz="0" w:space="0" w:color="auto"/>
                <w:right w:val="none" w:sz="0" w:space="0" w:color="auto"/>
              </w:divBdr>
            </w:div>
          </w:divsChild>
        </w:div>
        <w:div w:id="345401335">
          <w:marLeft w:val="0"/>
          <w:marRight w:val="0"/>
          <w:marTop w:val="300"/>
          <w:marBottom w:val="300"/>
          <w:divBdr>
            <w:top w:val="none" w:sz="0" w:space="0" w:color="auto"/>
            <w:left w:val="none" w:sz="0" w:space="0" w:color="auto"/>
            <w:bottom w:val="none" w:sz="0" w:space="0" w:color="auto"/>
            <w:right w:val="none" w:sz="0" w:space="0" w:color="auto"/>
          </w:divBdr>
          <w:divsChild>
            <w:div w:id="866796439">
              <w:marLeft w:val="0"/>
              <w:marRight w:val="0"/>
              <w:marTop w:val="0"/>
              <w:marBottom w:val="0"/>
              <w:divBdr>
                <w:top w:val="none" w:sz="0" w:space="0" w:color="auto"/>
                <w:left w:val="none" w:sz="0" w:space="0" w:color="auto"/>
                <w:bottom w:val="none" w:sz="0" w:space="0" w:color="auto"/>
                <w:right w:val="none" w:sz="0" w:space="0" w:color="auto"/>
              </w:divBdr>
            </w:div>
          </w:divsChild>
        </w:div>
        <w:div w:id="620962118">
          <w:marLeft w:val="0"/>
          <w:marRight w:val="0"/>
          <w:marTop w:val="300"/>
          <w:marBottom w:val="300"/>
          <w:divBdr>
            <w:top w:val="none" w:sz="0" w:space="0" w:color="auto"/>
            <w:left w:val="none" w:sz="0" w:space="0" w:color="auto"/>
            <w:bottom w:val="none" w:sz="0" w:space="0" w:color="auto"/>
            <w:right w:val="none" w:sz="0" w:space="0" w:color="auto"/>
          </w:divBdr>
          <w:divsChild>
            <w:div w:id="348145193">
              <w:marLeft w:val="0"/>
              <w:marRight w:val="0"/>
              <w:marTop w:val="0"/>
              <w:marBottom w:val="0"/>
              <w:divBdr>
                <w:top w:val="none" w:sz="0" w:space="0" w:color="auto"/>
                <w:left w:val="none" w:sz="0" w:space="0" w:color="auto"/>
                <w:bottom w:val="none" w:sz="0" w:space="0" w:color="auto"/>
                <w:right w:val="none" w:sz="0" w:space="0" w:color="auto"/>
              </w:divBdr>
            </w:div>
          </w:divsChild>
        </w:div>
        <w:div w:id="609319140">
          <w:marLeft w:val="0"/>
          <w:marRight w:val="0"/>
          <w:marTop w:val="300"/>
          <w:marBottom w:val="300"/>
          <w:divBdr>
            <w:top w:val="none" w:sz="0" w:space="0" w:color="auto"/>
            <w:left w:val="none" w:sz="0" w:space="0" w:color="auto"/>
            <w:bottom w:val="none" w:sz="0" w:space="0" w:color="auto"/>
            <w:right w:val="none" w:sz="0" w:space="0" w:color="auto"/>
          </w:divBdr>
          <w:divsChild>
            <w:div w:id="2140028493">
              <w:marLeft w:val="0"/>
              <w:marRight w:val="0"/>
              <w:marTop w:val="0"/>
              <w:marBottom w:val="0"/>
              <w:divBdr>
                <w:top w:val="none" w:sz="0" w:space="0" w:color="auto"/>
                <w:left w:val="none" w:sz="0" w:space="0" w:color="auto"/>
                <w:bottom w:val="none" w:sz="0" w:space="0" w:color="auto"/>
                <w:right w:val="none" w:sz="0" w:space="0" w:color="auto"/>
              </w:divBdr>
            </w:div>
          </w:divsChild>
        </w:div>
        <w:div w:id="1632396635">
          <w:marLeft w:val="0"/>
          <w:marRight w:val="0"/>
          <w:marTop w:val="300"/>
          <w:marBottom w:val="300"/>
          <w:divBdr>
            <w:top w:val="none" w:sz="0" w:space="0" w:color="auto"/>
            <w:left w:val="none" w:sz="0" w:space="0" w:color="auto"/>
            <w:bottom w:val="none" w:sz="0" w:space="0" w:color="auto"/>
            <w:right w:val="none" w:sz="0" w:space="0" w:color="auto"/>
          </w:divBdr>
          <w:divsChild>
            <w:div w:id="18630053">
              <w:marLeft w:val="0"/>
              <w:marRight w:val="0"/>
              <w:marTop w:val="0"/>
              <w:marBottom w:val="0"/>
              <w:divBdr>
                <w:top w:val="none" w:sz="0" w:space="0" w:color="auto"/>
                <w:left w:val="none" w:sz="0" w:space="0" w:color="auto"/>
                <w:bottom w:val="none" w:sz="0" w:space="0" w:color="auto"/>
                <w:right w:val="none" w:sz="0" w:space="0" w:color="auto"/>
              </w:divBdr>
            </w:div>
          </w:divsChild>
        </w:div>
        <w:div w:id="1013267855">
          <w:marLeft w:val="0"/>
          <w:marRight w:val="0"/>
          <w:marTop w:val="300"/>
          <w:marBottom w:val="300"/>
          <w:divBdr>
            <w:top w:val="none" w:sz="0" w:space="0" w:color="auto"/>
            <w:left w:val="none" w:sz="0" w:space="0" w:color="auto"/>
            <w:bottom w:val="none" w:sz="0" w:space="0" w:color="auto"/>
            <w:right w:val="none" w:sz="0" w:space="0" w:color="auto"/>
          </w:divBdr>
          <w:divsChild>
            <w:div w:id="541946903">
              <w:marLeft w:val="0"/>
              <w:marRight w:val="0"/>
              <w:marTop w:val="0"/>
              <w:marBottom w:val="0"/>
              <w:divBdr>
                <w:top w:val="none" w:sz="0" w:space="0" w:color="auto"/>
                <w:left w:val="none" w:sz="0" w:space="0" w:color="auto"/>
                <w:bottom w:val="none" w:sz="0" w:space="0" w:color="auto"/>
                <w:right w:val="none" w:sz="0" w:space="0" w:color="auto"/>
              </w:divBdr>
              <w:divsChild>
                <w:div w:id="17373895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21142037">
          <w:marLeft w:val="0"/>
          <w:marRight w:val="0"/>
          <w:marTop w:val="300"/>
          <w:marBottom w:val="300"/>
          <w:divBdr>
            <w:top w:val="none" w:sz="0" w:space="0" w:color="auto"/>
            <w:left w:val="none" w:sz="0" w:space="0" w:color="auto"/>
            <w:bottom w:val="none" w:sz="0" w:space="0" w:color="auto"/>
            <w:right w:val="none" w:sz="0" w:space="0" w:color="auto"/>
          </w:divBdr>
          <w:divsChild>
            <w:div w:id="111667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11152">
      <w:bodyDiv w:val="1"/>
      <w:marLeft w:val="0"/>
      <w:marRight w:val="0"/>
      <w:marTop w:val="0"/>
      <w:marBottom w:val="0"/>
      <w:divBdr>
        <w:top w:val="none" w:sz="0" w:space="0" w:color="auto"/>
        <w:left w:val="none" w:sz="0" w:space="0" w:color="auto"/>
        <w:bottom w:val="none" w:sz="0" w:space="0" w:color="auto"/>
        <w:right w:val="none" w:sz="0" w:space="0" w:color="auto"/>
      </w:divBdr>
      <w:divsChild>
        <w:div w:id="599875345">
          <w:marLeft w:val="0"/>
          <w:marRight w:val="0"/>
          <w:marTop w:val="0"/>
          <w:marBottom w:val="0"/>
          <w:divBdr>
            <w:top w:val="none" w:sz="0" w:space="0" w:color="auto"/>
            <w:left w:val="none" w:sz="0" w:space="0" w:color="auto"/>
            <w:bottom w:val="none" w:sz="0" w:space="0" w:color="auto"/>
            <w:right w:val="none" w:sz="0" w:space="0" w:color="auto"/>
          </w:divBdr>
          <w:divsChild>
            <w:div w:id="1493909097">
              <w:marLeft w:val="0"/>
              <w:marRight w:val="0"/>
              <w:marTop w:val="0"/>
              <w:marBottom w:val="0"/>
              <w:divBdr>
                <w:top w:val="none" w:sz="0" w:space="0" w:color="auto"/>
                <w:left w:val="none" w:sz="0" w:space="0" w:color="auto"/>
                <w:bottom w:val="none" w:sz="0" w:space="0" w:color="auto"/>
                <w:right w:val="none" w:sz="0" w:space="0" w:color="auto"/>
              </w:divBdr>
            </w:div>
            <w:div w:id="1271006953">
              <w:marLeft w:val="0"/>
              <w:marRight w:val="0"/>
              <w:marTop w:val="0"/>
              <w:marBottom w:val="0"/>
              <w:divBdr>
                <w:top w:val="none" w:sz="0" w:space="0" w:color="auto"/>
                <w:left w:val="none" w:sz="0" w:space="0" w:color="auto"/>
                <w:bottom w:val="none" w:sz="0" w:space="0" w:color="auto"/>
                <w:right w:val="none" w:sz="0" w:space="0" w:color="auto"/>
              </w:divBdr>
            </w:div>
            <w:div w:id="1492942148">
              <w:marLeft w:val="0"/>
              <w:marRight w:val="0"/>
              <w:marTop w:val="0"/>
              <w:marBottom w:val="0"/>
              <w:divBdr>
                <w:top w:val="none" w:sz="0" w:space="0" w:color="auto"/>
                <w:left w:val="none" w:sz="0" w:space="0" w:color="auto"/>
                <w:bottom w:val="none" w:sz="0" w:space="0" w:color="auto"/>
                <w:right w:val="none" w:sz="0" w:space="0" w:color="auto"/>
              </w:divBdr>
              <w:divsChild>
                <w:div w:id="236212782">
                  <w:marLeft w:val="0"/>
                  <w:marRight w:val="0"/>
                  <w:marTop w:val="0"/>
                  <w:marBottom w:val="0"/>
                  <w:divBdr>
                    <w:top w:val="none" w:sz="0" w:space="0" w:color="auto"/>
                    <w:left w:val="none" w:sz="0" w:space="0" w:color="auto"/>
                    <w:bottom w:val="none" w:sz="0" w:space="0" w:color="auto"/>
                    <w:right w:val="none" w:sz="0" w:space="0" w:color="auto"/>
                  </w:divBdr>
                </w:div>
                <w:div w:id="1411929806">
                  <w:marLeft w:val="0"/>
                  <w:marRight w:val="0"/>
                  <w:marTop w:val="0"/>
                  <w:marBottom w:val="0"/>
                  <w:divBdr>
                    <w:top w:val="none" w:sz="0" w:space="0" w:color="auto"/>
                    <w:left w:val="none" w:sz="0" w:space="0" w:color="auto"/>
                    <w:bottom w:val="none" w:sz="0" w:space="0" w:color="auto"/>
                    <w:right w:val="none" w:sz="0" w:space="0" w:color="auto"/>
                  </w:divBdr>
                </w:div>
                <w:div w:id="802382974">
                  <w:marLeft w:val="0"/>
                  <w:marRight w:val="0"/>
                  <w:marTop w:val="0"/>
                  <w:marBottom w:val="0"/>
                  <w:divBdr>
                    <w:top w:val="none" w:sz="0" w:space="0" w:color="auto"/>
                    <w:left w:val="none" w:sz="0" w:space="0" w:color="auto"/>
                    <w:bottom w:val="none" w:sz="0" w:space="0" w:color="auto"/>
                    <w:right w:val="none" w:sz="0" w:space="0" w:color="auto"/>
                  </w:divBdr>
                </w:div>
                <w:div w:id="1595283079">
                  <w:marLeft w:val="0"/>
                  <w:marRight w:val="0"/>
                  <w:marTop w:val="0"/>
                  <w:marBottom w:val="0"/>
                  <w:divBdr>
                    <w:top w:val="none" w:sz="0" w:space="0" w:color="auto"/>
                    <w:left w:val="none" w:sz="0" w:space="0" w:color="auto"/>
                    <w:bottom w:val="none" w:sz="0" w:space="0" w:color="auto"/>
                    <w:right w:val="none" w:sz="0" w:space="0" w:color="auto"/>
                  </w:divBdr>
                </w:div>
              </w:divsChild>
            </w:div>
            <w:div w:id="14011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4242">
      <w:bodyDiv w:val="1"/>
      <w:marLeft w:val="0"/>
      <w:marRight w:val="0"/>
      <w:marTop w:val="0"/>
      <w:marBottom w:val="0"/>
      <w:divBdr>
        <w:top w:val="none" w:sz="0" w:space="0" w:color="auto"/>
        <w:left w:val="none" w:sz="0" w:space="0" w:color="auto"/>
        <w:bottom w:val="none" w:sz="0" w:space="0" w:color="auto"/>
        <w:right w:val="none" w:sz="0" w:space="0" w:color="auto"/>
      </w:divBdr>
    </w:div>
    <w:div w:id="779569146">
      <w:bodyDiv w:val="1"/>
      <w:marLeft w:val="0"/>
      <w:marRight w:val="0"/>
      <w:marTop w:val="0"/>
      <w:marBottom w:val="0"/>
      <w:divBdr>
        <w:top w:val="none" w:sz="0" w:space="0" w:color="auto"/>
        <w:left w:val="none" w:sz="0" w:space="0" w:color="auto"/>
        <w:bottom w:val="none" w:sz="0" w:space="0" w:color="auto"/>
        <w:right w:val="none" w:sz="0" w:space="0" w:color="auto"/>
      </w:divBdr>
    </w:div>
    <w:div w:id="782460894">
      <w:bodyDiv w:val="1"/>
      <w:marLeft w:val="0"/>
      <w:marRight w:val="0"/>
      <w:marTop w:val="0"/>
      <w:marBottom w:val="0"/>
      <w:divBdr>
        <w:top w:val="none" w:sz="0" w:space="0" w:color="auto"/>
        <w:left w:val="none" w:sz="0" w:space="0" w:color="auto"/>
        <w:bottom w:val="none" w:sz="0" w:space="0" w:color="auto"/>
        <w:right w:val="none" w:sz="0" w:space="0" w:color="auto"/>
      </w:divBdr>
    </w:div>
    <w:div w:id="784079610">
      <w:bodyDiv w:val="1"/>
      <w:marLeft w:val="0"/>
      <w:marRight w:val="0"/>
      <w:marTop w:val="0"/>
      <w:marBottom w:val="0"/>
      <w:divBdr>
        <w:top w:val="none" w:sz="0" w:space="0" w:color="auto"/>
        <w:left w:val="none" w:sz="0" w:space="0" w:color="auto"/>
        <w:bottom w:val="none" w:sz="0" w:space="0" w:color="auto"/>
        <w:right w:val="none" w:sz="0" w:space="0" w:color="auto"/>
      </w:divBdr>
    </w:div>
    <w:div w:id="795179754">
      <w:bodyDiv w:val="1"/>
      <w:marLeft w:val="0"/>
      <w:marRight w:val="0"/>
      <w:marTop w:val="0"/>
      <w:marBottom w:val="0"/>
      <w:divBdr>
        <w:top w:val="none" w:sz="0" w:space="0" w:color="auto"/>
        <w:left w:val="none" w:sz="0" w:space="0" w:color="auto"/>
        <w:bottom w:val="none" w:sz="0" w:space="0" w:color="auto"/>
        <w:right w:val="none" w:sz="0" w:space="0" w:color="auto"/>
      </w:divBdr>
    </w:div>
    <w:div w:id="805969418">
      <w:bodyDiv w:val="1"/>
      <w:marLeft w:val="0"/>
      <w:marRight w:val="0"/>
      <w:marTop w:val="0"/>
      <w:marBottom w:val="0"/>
      <w:divBdr>
        <w:top w:val="none" w:sz="0" w:space="0" w:color="auto"/>
        <w:left w:val="none" w:sz="0" w:space="0" w:color="auto"/>
        <w:bottom w:val="none" w:sz="0" w:space="0" w:color="auto"/>
        <w:right w:val="none" w:sz="0" w:space="0" w:color="auto"/>
      </w:divBdr>
      <w:divsChild>
        <w:div w:id="2125464974">
          <w:marLeft w:val="0"/>
          <w:marRight w:val="225"/>
          <w:marTop w:val="0"/>
          <w:marBottom w:val="0"/>
          <w:divBdr>
            <w:top w:val="none" w:sz="0" w:space="0" w:color="auto"/>
            <w:left w:val="none" w:sz="0" w:space="0" w:color="auto"/>
            <w:bottom w:val="none" w:sz="0" w:space="0" w:color="auto"/>
            <w:right w:val="none" w:sz="0" w:space="0" w:color="auto"/>
          </w:divBdr>
        </w:div>
      </w:divsChild>
    </w:div>
    <w:div w:id="822818425">
      <w:bodyDiv w:val="1"/>
      <w:marLeft w:val="0"/>
      <w:marRight w:val="0"/>
      <w:marTop w:val="0"/>
      <w:marBottom w:val="0"/>
      <w:divBdr>
        <w:top w:val="none" w:sz="0" w:space="0" w:color="auto"/>
        <w:left w:val="none" w:sz="0" w:space="0" w:color="auto"/>
        <w:bottom w:val="none" w:sz="0" w:space="0" w:color="auto"/>
        <w:right w:val="none" w:sz="0" w:space="0" w:color="auto"/>
      </w:divBdr>
    </w:div>
    <w:div w:id="829908087">
      <w:bodyDiv w:val="1"/>
      <w:marLeft w:val="0"/>
      <w:marRight w:val="0"/>
      <w:marTop w:val="0"/>
      <w:marBottom w:val="0"/>
      <w:divBdr>
        <w:top w:val="none" w:sz="0" w:space="0" w:color="auto"/>
        <w:left w:val="none" w:sz="0" w:space="0" w:color="auto"/>
        <w:bottom w:val="none" w:sz="0" w:space="0" w:color="auto"/>
        <w:right w:val="none" w:sz="0" w:space="0" w:color="auto"/>
      </w:divBdr>
    </w:div>
    <w:div w:id="830101404">
      <w:bodyDiv w:val="1"/>
      <w:marLeft w:val="0"/>
      <w:marRight w:val="0"/>
      <w:marTop w:val="0"/>
      <w:marBottom w:val="0"/>
      <w:divBdr>
        <w:top w:val="none" w:sz="0" w:space="0" w:color="auto"/>
        <w:left w:val="none" w:sz="0" w:space="0" w:color="auto"/>
        <w:bottom w:val="none" w:sz="0" w:space="0" w:color="auto"/>
        <w:right w:val="none" w:sz="0" w:space="0" w:color="auto"/>
      </w:divBdr>
    </w:div>
    <w:div w:id="840042852">
      <w:bodyDiv w:val="1"/>
      <w:marLeft w:val="0"/>
      <w:marRight w:val="0"/>
      <w:marTop w:val="0"/>
      <w:marBottom w:val="0"/>
      <w:divBdr>
        <w:top w:val="none" w:sz="0" w:space="0" w:color="auto"/>
        <w:left w:val="none" w:sz="0" w:space="0" w:color="auto"/>
        <w:bottom w:val="none" w:sz="0" w:space="0" w:color="auto"/>
        <w:right w:val="none" w:sz="0" w:space="0" w:color="auto"/>
      </w:divBdr>
    </w:div>
    <w:div w:id="846670464">
      <w:bodyDiv w:val="1"/>
      <w:marLeft w:val="0"/>
      <w:marRight w:val="0"/>
      <w:marTop w:val="0"/>
      <w:marBottom w:val="0"/>
      <w:divBdr>
        <w:top w:val="none" w:sz="0" w:space="0" w:color="auto"/>
        <w:left w:val="none" w:sz="0" w:space="0" w:color="auto"/>
        <w:bottom w:val="none" w:sz="0" w:space="0" w:color="auto"/>
        <w:right w:val="none" w:sz="0" w:space="0" w:color="auto"/>
      </w:divBdr>
    </w:div>
    <w:div w:id="857810894">
      <w:bodyDiv w:val="1"/>
      <w:marLeft w:val="0"/>
      <w:marRight w:val="0"/>
      <w:marTop w:val="0"/>
      <w:marBottom w:val="0"/>
      <w:divBdr>
        <w:top w:val="none" w:sz="0" w:space="0" w:color="auto"/>
        <w:left w:val="none" w:sz="0" w:space="0" w:color="auto"/>
        <w:bottom w:val="none" w:sz="0" w:space="0" w:color="auto"/>
        <w:right w:val="none" w:sz="0" w:space="0" w:color="auto"/>
      </w:divBdr>
    </w:div>
    <w:div w:id="860625401">
      <w:bodyDiv w:val="1"/>
      <w:marLeft w:val="0"/>
      <w:marRight w:val="0"/>
      <w:marTop w:val="0"/>
      <w:marBottom w:val="0"/>
      <w:divBdr>
        <w:top w:val="none" w:sz="0" w:space="0" w:color="auto"/>
        <w:left w:val="none" w:sz="0" w:space="0" w:color="auto"/>
        <w:bottom w:val="none" w:sz="0" w:space="0" w:color="auto"/>
        <w:right w:val="none" w:sz="0" w:space="0" w:color="auto"/>
      </w:divBdr>
      <w:divsChild>
        <w:div w:id="1116296406">
          <w:marLeft w:val="0"/>
          <w:marRight w:val="0"/>
          <w:marTop w:val="120"/>
          <w:marBottom w:val="0"/>
          <w:divBdr>
            <w:top w:val="none" w:sz="0" w:space="0" w:color="auto"/>
            <w:left w:val="none" w:sz="0" w:space="0" w:color="auto"/>
            <w:bottom w:val="none" w:sz="0" w:space="0" w:color="auto"/>
            <w:right w:val="none" w:sz="0" w:space="0" w:color="auto"/>
          </w:divBdr>
          <w:divsChild>
            <w:div w:id="1596789694">
              <w:marLeft w:val="0"/>
              <w:marRight w:val="0"/>
              <w:marTop w:val="0"/>
              <w:marBottom w:val="0"/>
              <w:divBdr>
                <w:top w:val="none" w:sz="0" w:space="0" w:color="auto"/>
                <w:left w:val="none" w:sz="0" w:space="0" w:color="auto"/>
                <w:bottom w:val="none" w:sz="0" w:space="0" w:color="auto"/>
                <w:right w:val="none" w:sz="0" w:space="0" w:color="auto"/>
              </w:divBdr>
            </w:div>
            <w:div w:id="2082094586">
              <w:marLeft w:val="0"/>
              <w:marRight w:val="0"/>
              <w:marTop w:val="0"/>
              <w:marBottom w:val="0"/>
              <w:divBdr>
                <w:top w:val="none" w:sz="0" w:space="0" w:color="auto"/>
                <w:left w:val="none" w:sz="0" w:space="0" w:color="auto"/>
                <w:bottom w:val="none" w:sz="0" w:space="0" w:color="auto"/>
                <w:right w:val="none" w:sz="0" w:space="0" w:color="auto"/>
              </w:divBdr>
            </w:div>
          </w:divsChild>
        </w:div>
        <w:div w:id="575285683">
          <w:marLeft w:val="0"/>
          <w:marRight w:val="0"/>
          <w:marTop w:val="120"/>
          <w:marBottom w:val="0"/>
          <w:divBdr>
            <w:top w:val="none" w:sz="0" w:space="0" w:color="auto"/>
            <w:left w:val="none" w:sz="0" w:space="0" w:color="auto"/>
            <w:bottom w:val="none" w:sz="0" w:space="0" w:color="auto"/>
            <w:right w:val="none" w:sz="0" w:space="0" w:color="auto"/>
          </w:divBdr>
          <w:divsChild>
            <w:div w:id="940794983">
              <w:marLeft w:val="0"/>
              <w:marRight w:val="0"/>
              <w:marTop w:val="0"/>
              <w:marBottom w:val="0"/>
              <w:divBdr>
                <w:top w:val="none" w:sz="0" w:space="0" w:color="auto"/>
                <w:left w:val="none" w:sz="0" w:space="0" w:color="auto"/>
                <w:bottom w:val="none" w:sz="0" w:space="0" w:color="auto"/>
                <w:right w:val="none" w:sz="0" w:space="0" w:color="auto"/>
              </w:divBdr>
            </w:div>
            <w:div w:id="1911502472">
              <w:marLeft w:val="0"/>
              <w:marRight w:val="0"/>
              <w:marTop w:val="0"/>
              <w:marBottom w:val="0"/>
              <w:divBdr>
                <w:top w:val="none" w:sz="0" w:space="0" w:color="auto"/>
                <w:left w:val="none" w:sz="0" w:space="0" w:color="auto"/>
                <w:bottom w:val="none" w:sz="0" w:space="0" w:color="auto"/>
                <w:right w:val="none" w:sz="0" w:space="0" w:color="auto"/>
              </w:divBdr>
            </w:div>
          </w:divsChild>
        </w:div>
        <w:div w:id="1591156662">
          <w:marLeft w:val="0"/>
          <w:marRight w:val="0"/>
          <w:marTop w:val="120"/>
          <w:marBottom w:val="0"/>
          <w:divBdr>
            <w:top w:val="none" w:sz="0" w:space="0" w:color="auto"/>
            <w:left w:val="none" w:sz="0" w:space="0" w:color="auto"/>
            <w:bottom w:val="none" w:sz="0" w:space="0" w:color="auto"/>
            <w:right w:val="none" w:sz="0" w:space="0" w:color="auto"/>
          </w:divBdr>
          <w:divsChild>
            <w:div w:id="1492257860">
              <w:marLeft w:val="0"/>
              <w:marRight w:val="0"/>
              <w:marTop w:val="0"/>
              <w:marBottom w:val="0"/>
              <w:divBdr>
                <w:top w:val="none" w:sz="0" w:space="0" w:color="auto"/>
                <w:left w:val="none" w:sz="0" w:space="0" w:color="auto"/>
                <w:bottom w:val="none" w:sz="0" w:space="0" w:color="auto"/>
                <w:right w:val="none" w:sz="0" w:space="0" w:color="auto"/>
              </w:divBdr>
            </w:div>
            <w:div w:id="679703679">
              <w:marLeft w:val="0"/>
              <w:marRight w:val="0"/>
              <w:marTop w:val="0"/>
              <w:marBottom w:val="0"/>
              <w:divBdr>
                <w:top w:val="none" w:sz="0" w:space="0" w:color="auto"/>
                <w:left w:val="none" w:sz="0" w:space="0" w:color="auto"/>
                <w:bottom w:val="none" w:sz="0" w:space="0" w:color="auto"/>
                <w:right w:val="none" w:sz="0" w:space="0" w:color="auto"/>
              </w:divBdr>
            </w:div>
          </w:divsChild>
        </w:div>
        <w:div w:id="1141115702">
          <w:marLeft w:val="0"/>
          <w:marRight w:val="0"/>
          <w:marTop w:val="120"/>
          <w:marBottom w:val="0"/>
          <w:divBdr>
            <w:top w:val="none" w:sz="0" w:space="0" w:color="auto"/>
            <w:left w:val="none" w:sz="0" w:space="0" w:color="auto"/>
            <w:bottom w:val="none" w:sz="0" w:space="0" w:color="auto"/>
            <w:right w:val="none" w:sz="0" w:space="0" w:color="auto"/>
          </w:divBdr>
          <w:divsChild>
            <w:div w:id="431051653">
              <w:marLeft w:val="0"/>
              <w:marRight w:val="0"/>
              <w:marTop w:val="0"/>
              <w:marBottom w:val="0"/>
              <w:divBdr>
                <w:top w:val="none" w:sz="0" w:space="0" w:color="auto"/>
                <w:left w:val="none" w:sz="0" w:space="0" w:color="auto"/>
                <w:bottom w:val="none" w:sz="0" w:space="0" w:color="auto"/>
                <w:right w:val="none" w:sz="0" w:space="0" w:color="auto"/>
              </w:divBdr>
            </w:div>
            <w:div w:id="1001277270">
              <w:marLeft w:val="0"/>
              <w:marRight w:val="0"/>
              <w:marTop w:val="0"/>
              <w:marBottom w:val="0"/>
              <w:divBdr>
                <w:top w:val="none" w:sz="0" w:space="0" w:color="auto"/>
                <w:left w:val="none" w:sz="0" w:space="0" w:color="auto"/>
                <w:bottom w:val="none" w:sz="0" w:space="0" w:color="auto"/>
                <w:right w:val="none" w:sz="0" w:space="0" w:color="auto"/>
              </w:divBdr>
            </w:div>
          </w:divsChild>
        </w:div>
        <w:div w:id="1465269841">
          <w:marLeft w:val="0"/>
          <w:marRight w:val="0"/>
          <w:marTop w:val="120"/>
          <w:marBottom w:val="0"/>
          <w:divBdr>
            <w:top w:val="none" w:sz="0" w:space="0" w:color="auto"/>
            <w:left w:val="none" w:sz="0" w:space="0" w:color="auto"/>
            <w:bottom w:val="none" w:sz="0" w:space="0" w:color="auto"/>
            <w:right w:val="none" w:sz="0" w:space="0" w:color="auto"/>
          </w:divBdr>
          <w:divsChild>
            <w:div w:id="348070583">
              <w:marLeft w:val="0"/>
              <w:marRight w:val="0"/>
              <w:marTop w:val="0"/>
              <w:marBottom w:val="0"/>
              <w:divBdr>
                <w:top w:val="none" w:sz="0" w:space="0" w:color="auto"/>
                <w:left w:val="none" w:sz="0" w:space="0" w:color="auto"/>
                <w:bottom w:val="none" w:sz="0" w:space="0" w:color="auto"/>
                <w:right w:val="none" w:sz="0" w:space="0" w:color="auto"/>
              </w:divBdr>
            </w:div>
            <w:div w:id="1234118117">
              <w:marLeft w:val="0"/>
              <w:marRight w:val="0"/>
              <w:marTop w:val="0"/>
              <w:marBottom w:val="0"/>
              <w:divBdr>
                <w:top w:val="none" w:sz="0" w:space="0" w:color="auto"/>
                <w:left w:val="none" w:sz="0" w:space="0" w:color="auto"/>
                <w:bottom w:val="none" w:sz="0" w:space="0" w:color="auto"/>
                <w:right w:val="none" w:sz="0" w:space="0" w:color="auto"/>
              </w:divBdr>
            </w:div>
          </w:divsChild>
        </w:div>
        <w:div w:id="831408810">
          <w:marLeft w:val="0"/>
          <w:marRight w:val="0"/>
          <w:marTop w:val="120"/>
          <w:marBottom w:val="0"/>
          <w:divBdr>
            <w:top w:val="none" w:sz="0" w:space="0" w:color="auto"/>
            <w:left w:val="none" w:sz="0" w:space="0" w:color="auto"/>
            <w:bottom w:val="none" w:sz="0" w:space="0" w:color="auto"/>
            <w:right w:val="none" w:sz="0" w:space="0" w:color="auto"/>
          </w:divBdr>
          <w:divsChild>
            <w:div w:id="1327126033">
              <w:marLeft w:val="0"/>
              <w:marRight w:val="0"/>
              <w:marTop w:val="0"/>
              <w:marBottom w:val="0"/>
              <w:divBdr>
                <w:top w:val="none" w:sz="0" w:space="0" w:color="auto"/>
                <w:left w:val="none" w:sz="0" w:space="0" w:color="auto"/>
                <w:bottom w:val="none" w:sz="0" w:space="0" w:color="auto"/>
                <w:right w:val="none" w:sz="0" w:space="0" w:color="auto"/>
              </w:divBdr>
            </w:div>
            <w:div w:id="1521434947">
              <w:marLeft w:val="0"/>
              <w:marRight w:val="0"/>
              <w:marTop w:val="0"/>
              <w:marBottom w:val="0"/>
              <w:divBdr>
                <w:top w:val="none" w:sz="0" w:space="0" w:color="auto"/>
                <w:left w:val="none" w:sz="0" w:space="0" w:color="auto"/>
                <w:bottom w:val="none" w:sz="0" w:space="0" w:color="auto"/>
                <w:right w:val="none" w:sz="0" w:space="0" w:color="auto"/>
              </w:divBdr>
            </w:div>
          </w:divsChild>
        </w:div>
        <w:div w:id="314796810">
          <w:marLeft w:val="0"/>
          <w:marRight w:val="0"/>
          <w:marTop w:val="120"/>
          <w:marBottom w:val="0"/>
          <w:divBdr>
            <w:top w:val="none" w:sz="0" w:space="0" w:color="auto"/>
            <w:left w:val="none" w:sz="0" w:space="0" w:color="auto"/>
            <w:bottom w:val="none" w:sz="0" w:space="0" w:color="auto"/>
            <w:right w:val="none" w:sz="0" w:space="0" w:color="auto"/>
          </w:divBdr>
          <w:divsChild>
            <w:div w:id="46346478">
              <w:marLeft w:val="0"/>
              <w:marRight w:val="0"/>
              <w:marTop w:val="0"/>
              <w:marBottom w:val="0"/>
              <w:divBdr>
                <w:top w:val="none" w:sz="0" w:space="0" w:color="auto"/>
                <w:left w:val="none" w:sz="0" w:space="0" w:color="auto"/>
                <w:bottom w:val="none" w:sz="0" w:space="0" w:color="auto"/>
                <w:right w:val="none" w:sz="0" w:space="0" w:color="auto"/>
              </w:divBdr>
            </w:div>
            <w:div w:id="972251166">
              <w:marLeft w:val="0"/>
              <w:marRight w:val="0"/>
              <w:marTop w:val="0"/>
              <w:marBottom w:val="0"/>
              <w:divBdr>
                <w:top w:val="none" w:sz="0" w:space="0" w:color="auto"/>
                <w:left w:val="none" w:sz="0" w:space="0" w:color="auto"/>
                <w:bottom w:val="none" w:sz="0" w:space="0" w:color="auto"/>
                <w:right w:val="none" w:sz="0" w:space="0" w:color="auto"/>
              </w:divBdr>
            </w:div>
          </w:divsChild>
        </w:div>
        <w:div w:id="866063755">
          <w:marLeft w:val="0"/>
          <w:marRight w:val="0"/>
          <w:marTop w:val="120"/>
          <w:marBottom w:val="0"/>
          <w:divBdr>
            <w:top w:val="none" w:sz="0" w:space="0" w:color="auto"/>
            <w:left w:val="none" w:sz="0" w:space="0" w:color="auto"/>
            <w:bottom w:val="none" w:sz="0" w:space="0" w:color="auto"/>
            <w:right w:val="none" w:sz="0" w:space="0" w:color="auto"/>
          </w:divBdr>
          <w:divsChild>
            <w:div w:id="376049292">
              <w:marLeft w:val="0"/>
              <w:marRight w:val="0"/>
              <w:marTop w:val="0"/>
              <w:marBottom w:val="0"/>
              <w:divBdr>
                <w:top w:val="none" w:sz="0" w:space="0" w:color="auto"/>
                <w:left w:val="none" w:sz="0" w:space="0" w:color="auto"/>
                <w:bottom w:val="none" w:sz="0" w:space="0" w:color="auto"/>
                <w:right w:val="none" w:sz="0" w:space="0" w:color="auto"/>
              </w:divBdr>
            </w:div>
            <w:div w:id="777410654">
              <w:marLeft w:val="0"/>
              <w:marRight w:val="0"/>
              <w:marTop w:val="0"/>
              <w:marBottom w:val="0"/>
              <w:divBdr>
                <w:top w:val="none" w:sz="0" w:space="0" w:color="auto"/>
                <w:left w:val="none" w:sz="0" w:space="0" w:color="auto"/>
                <w:bottom w:val="none" w:sz="0" w:space="0" w:color="auto"/>
                <w:right w:val="none" w:sz="0" w:space="0" w:color="auto"/>
              </w:divBdr>
            </w:div>
          </w:divsChild>
        </w:div>
        <w:div w:id="1065101540">
          <w:marLeft w:val="0"/>
          <w:marRight w:val="0"/>
          <w:marTop w:val="120"/>
          <w:marBottom w:val="0"/>
          <w:divBdr>
            <w:top w:val="none" w:sz="0" w:space="0" w:color="auto"/>
            <w:left w:val="none" w:sz="0" w:space="0" w:color="auto"/>
            <w:bottom w:val="none" w:sz="0" w:space="0" w:color="auto"/>
            <w:right w:val="none" w:sz="0" w:space="0" w:color="auto"/>
          </w:divBdr>
          <w:divsChild>
            <w:div w:id="345055316">
              <w:marLeft w:val="0"/>
              <w:marRight w:val="0"/>
              <w:marTop w:val="0"/>
              <w:marBottom w:val="0"/>
              <w:divBdr>
                <w:top w:val="none" w:sz="0" w:space="0" w:color="auto"/>
                <w:left w:val="none" w:sz="0" w:space="0" w:color="auto"/>
                <w:bottom w:val="none" w:sz="0" w:space="0" w:color="auto"/>
                <w:right w:val="none" w:sz="0" w:space="0" w:color="auto"/>
              </w:divBdr>
            </w:div>
            <w:div w:id="1298753508">
              <w:marLeft w:val="0"/>
              <w:marRight w:val="0"/>
              <w:marTop w:val="0"/>
              <w:marBottom w:val="0"/>
              <w:divBdr>
                <w:top w:val="none" w:sz="0" w:space="0" w:color="auto"/>
                <w:left w:val="none" w:sz="0" w:space="0" w:color="auto"/>
                <w:bottom w:val="none" w:sz="0" w:space="0" w:color="auto"/>
                <w:right w:val="none" w:sz="0" w:space="0" w:color="auto"/>
              </w:divBdr>
            </w:div>
          </w:divsChild>
        </w:div>
        <w:div w:id="603608088">
          <w:marLeft w:val="0"/>
          <w:marRight w:val="0"/>
          <w:marTop w:val="120"/>
          <w:marBottom w:val="0"/>
          <w:divBdr>
            <w:top w:val="none" w:sz="0" w:space="0" w:color="auto"/>
            <w:left w:val="none" w:sz="0" w:space="0" w:color="auto"/>
            <w:bottom w:val="none" w:sz="0" w:space="0" w:color="auto"/>
            <w:right w:val="none" w:sz="0" w:space="0" w:color="auto"/>
          </w:divBdr>
          <w:divsChild>
            <w:div w:id="1474444740">
              <w:marLeft w:val="0"/>
              <w:marRight w:val="0"/>
              <w:marTop w:val="0"/>
              <w:marBottom w:val="0"/>
              <w:divBdr>
                <w:top w:val="none" w:sz="0" w:space="0" w:color="auto"/>
                <w:left w:val="none" w:sz="0" w:space="0" w:color="auto"/>
                <w:bottom w:val="none" w:sz="0" w:space="0" w:color="auto"/>
                <w:right w:val="none" w:sz="0" w:space="0" w:color="auto"/>
              </w:divBdr>
            </w:div>
            <w:div w:id="8112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26760">
      <w:bodyDiv w:val="1"/>
      <w:marLeft w:val="0"/>
      <w:marRight w:val="0"/>
      <w:marTop w:val="0"/>
      <w:marBottom w:val="0"/>
      <w:divBdr>
        <w:top w:val="none" w:sz="0" w:space="0" w:color="auto"/>
        <w:left w:val="none" w:sz="0" w:space="0" w:color="auto"/>
        <w:bottom w:val="none" w:sz="0" w:space="0" w:color="auto"/>
        <w:right w:val="none" w:sz="0" w:space="0" w:color="auto"/>
      </w:divBdr>
    </w:div>
    <w:div w:id="867839639">
      <w:bodyDiv w:val="1"/>
      <w:marLeft w:val="0"/>
      <w:marRight w:val="0"/>
      <w:marTop w:val="0"/>
      <w:marBottom w:val="0"/>
      <w:divBdr>
        <w:top w:val="none" w:sz="0" w:space="0" w:color="auto"/>
        <w:left w:val="none" w:sz="0" w:space="0" w:color="auto"/>
        <w:bottom w:val="none" w:sz="0" w:space="0" w:color="auto"/>
        <w:right w:val="none" w:sz="0" w:space="0" w:color="auto"/>
      </w:divBdr>
    </w:div>
    <w:div w:id="873927737">
      <w:bodyDiv w:val="1"/>
      <w:marLeft w:val="0"/>
      <w:marRight w:val="0"/>
      <w:marTop w:val="0"/>
      <w:marBottom w:val="0"/>
      <w:divBdr>
        <w:top w:val="none" w:sz="0" w:space="0" w:color="auto"/>
        <w:left w:val="none" w:sz="0" w:space="0" w:color="auto"/>
        <w:bottom w:val="none" w:sz="0" w:space="0" w:color="auto"/>
        <w:right w:val="none" w:sz="0" w:space="0" w:color="auto"/>
      </w:divBdr>
    </w:div>
    <w:div w:id="881601761">
      <w:bodyDiv w:val="1"/>
      <w:marLeft w:val="0"/>
      <w:marRight w:val="0"/>
      <w:marTop w:val="0"/>
      <w:marBottom w:val="0"/>
      <w:divBdr>
        <w:top w:val="none" w:sz="0" w:space="0" w:color="auto"/>
        <w:left w:val="none" w:sz="0" w:space="0" w:color="auto"/>
        <w:bottom w:val="none" w:sz="0" w:space="0" w:color="auto"/>
        <w:right w:val="none" w:sz="0" w:space="0" w:color="auto"/>
      </w:divBdr>
      <w:divsChild>
        <w:div w:id="721751022">
          <w:marLeft w:val="0"/>
          <w:marRight w:val="0"/>
          <w:marTop w:val="0"/>
          <w:marBottom w:val="0"/>
          <w:divBdr>
            <w:top w:val="none" w:sz="0" w:space="0" w:color="auto"/>
            <w:left w:val="none" w:sz="0" w:space="0" w:color="auto"/>
            <w:bottom w:val="none" w:sz="0" w:space="0" w:color="auto"/>
            <w:right w:val="none" w:sz="0" w:space="0" w:color="auto"/>
          </w:divBdr>
        </w:div>
      </w:divsChild>
    </w:div>
    <w:div w:id="898788679">
      <w:bodyDiv w:val="1"/>
      <w:marLeft w:val="0"/>
      <w:marRight w:val="0"/>
      <w:marTop w:val="0"/>
      <w:marBottom w:val="0"/>
      <w:divBdr>
        <w:top w:val="none" w:sz="0" w:space="0" w:color="auto"/>
        <w:left w:val="none" w:sz="0" w:space="0" w:color="auto"/>
        <w:bottom w:val="none" w:sz="0" w:space="0" w:color="auto"/>
        <w:right w:val="none" w:sz="0" w:space="0" w:color="auto"/>
      </w:divBdr>
    </w:div>
    <w:div w:id="911964296">
      <w:bodyDiv w:val="1"/>
      <w:marLeft w:val="0"/>
      <w:marRight w:val="0"/>
      <w:marTop w:val="0"/>
      <w:marBottom w:val="0"/>
      <w:divBdr>
        <w:top w:val="none" w:sz="0" w:space="0" w:color="auto"/>
        <w:left w:val="none" w:sz="0" w:space="0" w:color="auto"/>
        <w:bottom w:val="none" w:sz="0" w:space="0" w:color="auto"/>
        <w:right w:val="none" w:sz="0" w:space="0" w:color="auto"/>
      </w:divBdr>
    </w:div>
    <w:div w:id="951547558">
      <w:bodyDiv w:val="1"/>
      <w:marLeft w:val="0"/>
      <w:marRight w:val="0"/>
      <w:marTop w:val="0"/>
      <w:marBottom w:val="0"/>
      <w:divBdr>
        <w:top w:val="none" w:sz="0" w:space="0" w:color="auto"/>
        <w:left w:val="none" w:sz="0" w:space="0" w:color="auto"/>
        <w:bottom w:val="none" w:sz="0" w:space="0" w:color="auto"/>
        <w:right w:val="none" w:sz="0" w:space="0" w:color="auto"/>
      </w:divBdr>
    </w:div>
    <w:div w:id="954796467">
      <w:bodyDiv w:val="1"/>
      <w:marLeft w:val="0"/>
      <w:marRight w:val="0"/>
      <w:marTop w:val="0"/>
      <w:marBottom w:val="0"/>
      <w:divBdr>
        <w:top w:val="none" w:sz="0" w:space="0" w:color="auto"/>
        <w:left w:val="none" w:sz="0" w:space="0" w:color="auto"/>
        <w:bottom w:val="none" w:sz="0" w:space="0" w:color="auto"/>
        <w:right w:val="none" w:sz="0" w:space="0" w:color="auto"/>
      </w:divBdr>
    </w:div>
    <w:div w:id="977105424">
      <w:bodyDiv w:val="1"/>
      <w:marLeft w:val="0"/>
      <w:marRight w:val="0"/>
      <w:marTop w:val="0"/>
      <w:marBottom w:val="0"/>
      <w:divBdr>
        <w:top w:val="none" w:sz="0" w:space="0" w:color="auto"/>
        <w:left w:val="none" w:sz="0" w:space="0" w:color="auto"/>
        <w:bottom w:val="none" w:sz="0" w:space="0" w:color="auto"/>
        <w:right w:val="none" w:sz="0" w:space="0" w:color="auto"/>
      </w:divBdr>
    </w:div>
    <w:div w:id="982152548">
      <w:bodyDiv w:val="1"/>
      <w:marLeft w:val="0"/>
      <w:marRight w:val="0"/>
      <w:marTop w:val="0"/>
      <w:marBottom w:val="0"/>
      <w:divBdr>
        <w:top w:val="none" w:sz="0" w:space="0" w:color="auto"/>
        <w:left w:val="none" w:sz="0" w:space="0" w:color="auto"/>
        <w:bottom w:val="none" w:sz="0" w:space="0" w:color="auto"/>
        <w:right w:val="none" w:sz="0" w:space="0" w:color="auto"/>
      </w:divBdr>
    </w:div>
    <w:div w:id="984816703">
      <w:bodyDiv w:val="1"/>
      <w:marLeft w:val="0"/>
      <w:marRight w:val="0"/>
      <w:marTop w:val="0"/>
      <w:marBottom w:val="0"/>
      <w:divBdr>
        <w:top w:val="none" w:sz="0" w:space="0" w:color="auto"/>
        <w:left w:val="none" w:sz="0" w:space="0" w:color="auto"/>
        <w:bottom w:val="none" w:sz="0" w:space="0" w:color="auto"/>
        <w:right w:val="none" w:sz="0" w:space="0" w:color="auto"/>
      </w:divBdr>
    </w:div>
    <w:div w:id="991911976">
      <w:bodyDiv w:val="1"/>
      <w:marLeft w:val="0"/>
      <w:marRight w:val="0"/>
      <w:marTop w:val="0"/>
      <w:marBottom w:val="0"/>
      <w:divBdr>
        <w:top w:val="none" w:sz="0" w:space="0" w:color="auto"/>
        <w:left w:val="none" w:sz="0" w:space="0" w:color="auto"/>
        <w:bottom w:val="none" w:sz="0" w:space="0" w:color="auto"/>
        <w:right w:val="none" w:sz="0" w:space="0" w:color="auto"/>
      </w:divBdr>
    </w:div>
    <w:div w:id="1023552252">
      <w:bodyDiv w:val="1"/>
      <w:marLeft w:val="0"/>
      <w:marRight w:val="0"/>
      <w:marTop w:val="0"/>
      <w:marBottom w:val="0"/>
      <w:divBdr>
        <w:top w:val="none" w:sz="0" w:space="0" w:color="auto"/>
        <w:left w:val="none" w:sz="0" w:space="0" w:color="auto"/>
        <w:bottom w:val="none" w:sz="0" w:space="0" w:color="auto"/>
        <w:right w:val="none" w:sz="0" w:space="0" w:color="auto"/>
      </w:divBdr>
    </w:div>
    <w:div w:id="1024555065">
      <w:bodyDiv w:val="1"/>
      <w:marLeft w:val="0"/>
      <w:marRight w:val="0"/>
      <w:marTop w:val="0"/>
      <w:marBottom w:val="0"/>
      <w:divBdr>
        <w:top w:val="none" w:sz="0" w:space="0" w:color="auto"/>
        <w:left w:val="none" w:sz="0" w:space="0" w:color="auto"/>
        <w:bottom w:val="none" w:sz="0" w:space="0" w:color="auto"/>
        <w:right w:val="none" w:sz="0" w:space="0" w:color="auto"/>
      </w:divBdr>
    </w:div>
    <w:div w:id="1024594143">
      <w:bodyDiv w:val="1"/>
      <w:marLeft w:val="0"/>
      <w:marRight w:val="0"/>
      <w:marTop w:val="0"/>
      <w:marBottom w:val="0"/>
      <w:divBdr>
        <w:top w:val="none" w:sz="0" w:space="0" w:color="auto"/>
        <w:left w:val="none" w:sz="0" w:space="0" w:color="auto"/>
        <w:bottom w:val="none" w:sz="0" w:space="0" w:color="auto"/>
        <w:right w:val="none" w:sz="0" w:space="0" w:color="auto"/>
      </w:divBdr>
    </w:div>
    <w:div w:id="1033270864">
      <w:bodyDiv w:val="1"/>
      <w:marLeft w:val="0"/>
      <w:marRight w:val="0"/>
      <w:marTop w:val="0"/>
      <w:marBottom w:val="0"/>
      <w:divBdr>
        <w:top w:val="none" w:sz="0" w:space="0" w:color="auto"/>
        <w:left w:val="none" w:sz="0" w:space="0" w:color="auto"/>
        <w:bottom w:val="none" w:sz="0" w:space="0" w:color="auto"/>
        <w:right w:val="none" w:sz="0" w:space="0" w:color="auto"/>
      </w:divBdr>
    </w:div>
    <w:div w:id="1037973294">
      <w:bodyDiv w:val="1"/>
      <w:marLeft w:val="0"/>
      <w:marRight w:val="0"/>
      <w:marTop w:val="0"/>
      <w:marBottom w:val="0"/>
      <w:divBdr>
        <w:top w:val="none" w:sz="0" w:space="0" w:color="auto"/>
        <w:left w:val="none" w:sz="0" w:space="0" w:color="auto"/>
        <w:bottom w:val="none" w:sz="0" w:space="0" w:color="auto"/>
        <w:right w:val="none" w:sz="0" w:space="0" w:color="auto"/>
      </w:divBdr>
    </w:div>
    <w:div w:id="1046949315">
      <w:bodyDiv w:val="1"/>
      <w:marLeft w:val="0"/>
      <w:marRight w:val="0"/>
      <w:marTop w:val="0"/>
      <w:marBottom w:val="0"/>
      <w:divBdr>
        <w:top w:val="none" w:sz="0" w:space="0" w:color="auto"/>
        <w:left w:val="none" w:sz="0" w:space="0" w:color="auto"/>
        <w:bottom w:val="none" w:sz="0" w:space="0" w:color="auto"/>
        <w:right w:val="none" w:sz="0" w:space="0" w:color="auto"/>
      </w:divBdr>
    </w:div>
    <w:div w:id="1073164483">
      <w:bodyDiv w:val="1"/>
      <w:marLeft w:val="0"/>
      <w:marRight w:val="0"/>
      <w:marTop w:val="0"/>
      <w:marBottom w:val="0"/>
      <w:divBdr>
        <w:top w:val="none" w:sz="0" w:space="0" w:color="auto"/>
        <w:left w:val="none" w:sz="0" w:space="0" w:color="auto"/>
        <w:bottom w:val="none" w:sz="0" w:space="0" w:color="auto"/>
        <w:right w:val="none" w:sz="0" w:space="0" w:color="auto"/>
      </w:divBdr>
    </w:div>
    <w:div w:id="1073509520">
      <w:bodyDiv w:val="1"/>
      <w:marLeft w:val="0"/>
      <w:marRight w:val="0"/>
      <w:marTop w:val="0"/>
      <w:marBottom w:val="0"/>
      <w:divBdr>
        <w:top w:val="none" w:sz="0" w:space="0" w:color="auto"/>
        <w:left w:val="none" w:sz="0" w:space="0" w:color="auto"/>
        <w:bottom w:val="none" w:sz="0" w:space="0" w:color="auto"/>
        <w:right w:val="none" w:sz="0" w:space="0" w:color="auto"/>
      </w:divBdr>
    </w:div>
    <w:div w:id="1082024515">
      <w:bodyDiv w:val="1"/>
      <w:marLeft w:val="0"/>
      <w:marRight w:val="0"/>
      <w:marTop w:val="0"/>
      <w:marBottom w:val="0"/>
      <w:divBdr>
        <w:top w:val="none" w:sz="0" w:space="0" w:color="auto"/>
        <w:left w:val="none" w:sz="0" w:space="0" w:color="auto"/>
        <w:bottom w:val="none" w:sz="0" w:space="0" w:color="auto"/>
        <w:right w:val="none" w:sz="0" w:space="0" w:color="auto"/>
      </w:divBdr>
    </w:div>
    <w:div w:id="1083800852">
      <w:bodyDiv w:val="1"/>
      <w:marLeft w:val="0"/>
      <w:marRight w:val="0"/>
      <w:marTop w:val="0"/>
      <w:marBottom w:val="0"/>
      <w:divBdr>
        <w:top w:val="none" w:sz="0" w:space="0" w:color="auto"/>
        <w:left w:val="none" w:sz="0" w:space="0" w:color="auto"/>
        <w:bottom w:val="none" w:sz="0" w:space="0" w:color="auto"/>
        <w:right w:val="none" w:sz="0" w:space="0" w:color="auto"/>
      </w:divBdr>
    </w:div>
    <w:div w:id="1093404263">
      <w:bodyDiv w:val="1"/>
      <w:marLeft w:val="0"/>
      <w:marRight w:val="0"/>
      <w:marTop w:val="0"/>
      <w:marBottom w:val="0"/>
      <w:divBdr>
        <w:top w:val="none" w:sz="0" w:space="0" w:color="auto"/>
        <w:left w:val="none" w:sz="0" w:space="0" w:color="auto"/>
        <w:bottom w:val="none" w:sz="0" w:space="0" w:color="auto"/>
        <w:right w:val="none" w:sz="0" w:space="0" w:color="auto"/>
      </w:divBdr>
    </w:div>
    <w:div w:id="1100300786">
      <w:bodyDiv w:val="1"/>
      <w:marLeft w:val="0"/>
      <w:marRight w:val="0"/>
      <w:marTop w:val="0"/>
      <w:marBottom w:val="0"/>
      <w:divBdr>
        <w:top w:val="none" w:sz="0" w:space="0" w:color="auto"/>
        <w:left w:val="none" w:sz="0" w:space="0" w:color="auto"/>
        <w:bottom w:val="none" w:sz="0" w:space="0" w:color="auto"/>
        <w:right w:val="none" w:sz="0" w:space="0" w:color="auto"/>
      </w:divBdr>
      <w:divsChild>
        <w:div w:id="1973174322">
          <w:marLeft w:val="0"/>
          <w:marRight w:val="0"/>
          <w:marTop w:val="369"/>
          <w:marBottom w:val="369"/>
          <w:divBdr>
            <w:top w:val="none" w:sz="0" w:space="0" w:color="auto"/>
            <w:left w:val="none" w:sz="0" w:space="0" w:color="auto"/>
            <w:bottom w:val="none" w:sz="0" w:space="0" w:color="auto"/>
            <w:right w:val="none" w:sz="0" w:space="0" w:color="auto"/>
          </w:divBdr>
          <w:divsChild>
            <w:div w:id="1976906675">
              <w:marLeft w:val="0"/>
              <w:marRight w:val="0"/>
              <w:marTop w:val="0"/>
              <w:marBottom w:val="0"/>
              <w:divBdr>
                <w:top w:val="none" w:sz="0" w:space="0" w:color="auto"/>
                <w:left w:val="none" w:sz="0" w:space="0" w:color="auto"/>
                <w:bottom w:val="none" w:sz="0" w:space="0" w:color="auto"/>
                <w:right w:val="none" w:sz="0" w:space="0" w:color="auto"/>
              </w:divBdr>
            </w:div>
          </w:divsChild>
        </w:div>
        <w:div w:id="1543247178">
          <w:marLeft w:val="0"/>
          <w:marRight w:val="0"/>
          <w:marTop w:val="369"/>
          <w:marBottom w:val="369"/>
          <w:divBdr>
            <w:top w:val="none" w:sz="0" w:space="0" w:color="auto"/>
            <w:left w:val="none" w:sz="0" w:space="0" w:color="auto"/>
            <w:bottom w:val="none" w:sz="0" w:space="0" w:color="auto"/>
            <w:right w:val="none" w:sz="0" w:space="0" w:color="auto"/>
          </w:divBdr>
          <w:divsChild>
            <w:div w:id="1373114051">
              <w:marLeft w:val="0"/>
              <w:marRight w:val="0"/>
              <w:marTop w:val="0"/>
              <w:marBottom w:val="0"/>
              <w:divBdr>
                <w:top w:val="none" w:sz="0" w:space="0" w:color="auto"/>
                <w:left w:val="none" w:sz="0" w:space="0" w:color="auto"/>
                <w:bottom w:val="none" w:sz="0" w:space="0" w:color="auto"/>
                <w:right w:val="none" w:sz="0" w:space="0" w:color="auto"/>
              </w:divBdr>
            </w:div>
          </w:divsChild>
        </w:div>
        <w:div w:id="2052025450">
          <w:marLeft w:val="0"/>
          <w:marRight w:val="0"/>
          <w:marTop w:val="369"/>
          <w:marBottom w:val="369"/>
          <w:divBdr>
            <w:top w:val="none" w:sz="0" w:space="0" w:color="auto"/>
            <w:left w:val="none" w:sz="0" w:space="0" w:color="auto"/>
            <w:bottom w:val="none" w:sz="0" w:space="0" w:color="auto"/>
            <w:right w:val="none" w:sz="0" w:space="0" w:color="auto"/>
          </w:divBdr>
          <w:divsChild>
            <w:div w:id="1388383219">
              <w:marLeft w:val="0"/>
              <w:marRight w:val="0"/>
              <w:marTop w:val="0"/>
              <w:marBottom w:val="0"/>
              <w:divBdr>
                <w:top w:val="none" w:sz="0" w:space="0" w:color="auto"/>
                <w:left w:val="none" w:sz="0" w:space="0" w:color="auto"/>
                <w:bottom w:val="none" w:sz="0" w:space="0" w:color="auto"/>
                <w:right w:val="none" w:sz="0" w:space="0" w:color="auto"/>
              </w:divBdr>
            </w:div>
          </w:divsChild>
        </w:div>
        <w:div w:id="982345750">
          <w:marLeft w:val="0"/>
          <w:marRight w:val="0"/>
          <w:marTop w:val="369"/>
          <w:marBottom w:val="369"/>
          <w:divBdr>
            <w:top w:val="none" w:sz="0" w:space="0" w:color="auto"/>
            <w:left w:val="none" w:sz="0" w:space="0" w:color="auto"/>
            <w:bottom w:val="none" w:sz="0" w:space="0" w:color="auto"/>
            <w:right w:val="none" w:sz="0" w:space="0" w:color="auto"/>
          </w:divBdr>
          <w:divsChild>
            <w:div w:id="10212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435970">
      <w:bodyDiv w:val="1"/>
      <w:marLeft w:val="0"/>
      <w:marRight w:val="0"/>
      <w:marTop w:val="0"/>
      <w:marBottom w:val="0"/>
      <w:divBdr>
        <w:top w:val="none" w:sz="0" w:space="0" w:color="auto"/>
        <w:left w:val="none" w:sz="0" w:space="0" w:color="auto"/>
        <w:bottom w:val="none" w:sz="0" w:space="0" w:color="auto"/>
        <w:right w:val="none" w:sz="0" w:space="0" w:color="auto"/>
      </w:divBdr>
    </w:div>
    <w:div w:id="1113944235">
      <w:bodyDiv w:val="1"/>
      <w:marLeft w:val="0"/>
      <w:marRight w:val="0"/>
      <w:marTop w:val="0"/>
      <w:marBottom w:val="0"/>
      <w:divBdr>
        <w:top w:val="none" w:sz="0" w:space="0" w:color="auto"/>
        <w:left w:val="none" w:sz="0" w:space="0" w:color="auto"/>
        <w:bottom w:val="none" w:sz="0" w:space="0" w:color="auto"/>
        <w:right w:val="none" w:sz="0" w:space="0" w:color="auto"/>
      </w:divBdr>
      <w:divsChild>
        <w:div w:id="5519276">
          <w:marLeft w:val="0"/>
          <w:marRight w:val="0"/>
          <w:marTop w:val="369"/>
          <w:marBottom w:val="369"/>
          <w:divBdr>
            <w:top w:val="none" w:sz="0" w:space="0" w:color="auto"/>
            <w:left w:val="none" w:sz="0" w:space="0" w:color="auto"/>
            <w:bottom w:val="none" w:sz="0" w:space="0" w:color="auto"/>
            <w:right w:val="none" w:sz="0" w:space="0" w:color="auto"/>
          </w:divBdr>
          <w:divsChild>
            <w:div w:id="1486168637">
              <w:marLeft w:val="0"/>
              <w:marRight w:val="0"/>
              <w:marTop w:val="0"/>
              <w:marBottom w:val="0"/>
              <w:divBdr>
                <w:top w:val="none" w:sz="0" w:space="0" w:color="auto"/>
                <w:left w:val="none" w:sz="0" w:space="0" w:color="auto"/>
                <w:bottom w:val="none" w:sz="0" w:space="0" w:color="auto"/>
                <w:right w:val="none" w:sz="0" w:space="0" w:color="auto"/>
              </w:divBdr>
            </w:div>
          </w:divsChild>
        </w:div>
        <w:div w:id="780343849">
          <w:marLeft w:val="0"/>
          <w:marRight w:val="0"/>
          <w:marTop w:val="369"/>
          <w:marBottom w:val="369"/>
          <w:divBdr>
            <w:top w:val="none" w:sz="0" w:space="0" w:color="auto"/>
            <w:left w:val="none" w:sz="0" w:space="0" w:color="auto"/>
            <w:bottom w:val="none" w:sz="0" w:space="0" w:color="auto"/>
            <w:right w:val="none" w:sz="0" w:space="0" w:color="auto"/>
          </w:divBdr>
          <w:divsChild>
            <w:div w:id="1747678621">
              <w:marLeft w:val="0"/>
              <w:marRight w:val="0"/>
              <w:marTop w:val="0"/>
              <w:marBottom w:val="0"/>
              <w:divBdr>
                <w:top w:val="none" w:sz="0" w:space="0" w:color="auto"/>
                <w:left w:val="none" w:sz="0" w:space="0" w:color="auto"/>
                <w:bottom w:val="none" w:sz="0" w:space="0" w:color="auto"/>
                <w:right w:val="none" w:sz="0" w:space="0" w:color="auto"/>
              </w:divBdr>
            </w:div>
          </w:divsChild>
        </w:div>
        <w:div w:id="1834368793">
          <w:marLeft w:val="0"/>
          <w:marRight w:val="0"/>
          <w:marTop w:val="369"/>
          <w:marBottom w:val="369"/>
          <w:divBdr>
            <w:top w:val="none" w:sz="0" w:space="0" w:color="auto"/>
            <w:left w:val="none" w:sz="0" w:space="0" w:color="auto"/>
            <w:bottom w:val="none" w:sz="0" w:space="0" w:color="auto"/>
            <w:right w:val="none" w:sz="0" w:space="0" w:color="auto"/>
          </w:divBdr>
          <w:divsChild>
            <w:div w:id="2070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54963">
      <w:bodyDiv w:val="1"/>
      <w:marLeft w:val="0"/>
      <w:marRight w:val="0"/>
      <w:marTop w:val="0"/>
      <w:marBottom w:val="0"/>
      <w:divBdr>
        <w:top w:val="none" w:sz="0" w:space="0" w:color="auto"/>
        <w:left w:val="none" w:sz="0" w:space="0" w:color="auto"/>
        <w:bottom w:val="none" w:sz="0" w:space="0" w:color="auto"/>
        <w:right w:val="none" w:sz="0" w:space="0" w:color="auto"/>
      </w:divBdr>
      <w:divsChild>
        <w:div w:id="1221097418">
          <w:marLeft w:val="0"/>
          <w:marRight w:val="0"/>
          <w:marTop w:val="0"/>
          <w:marBottom w:val="0"/>
          <w:divBdr>
            <w:top w:val="none" w:sz="0" w:space="0" w:color="auto"/>
            <w:left w:val="none" w:sz="0" w:space="0" w:color="auto"/>
            <w:bottom w:val="none" w:sz="0" w:space="0" w:color="auto"/>
            <w:right w:val="none" w:sz="0" w:space="0" w:color="auto"/>
          </w:divBdr>
        </w:div>
        <w:div w:id="640110212">
          <w:marLeft w:val="-225"/>
          <w:marRight w:val="-225"/>
          <w:marTop w:val="0"/>
          <w:marBottom w:val="0"/>
          <w:divBdr>
            <w:top w:val="none" w:sz="0" w:space="0" w:color="auto"/>
            <w:left w:val="none" w:sz="0" w:space="0" w:color="auto"/>
            <w:bottom w:val="none" w:sz="0" w:space="0" w:color="auto"/>
            <w:right w:val="none" w:sz="0" w:space="0" w:color="auto"/>
          </w:divBdr>
        </w:div>
      </w:divsChild>
    </w:div>
    <w:div w:id="1137994945">
      <w:bodyDiv w:val="1"/>
      <w:marLeft w:val="0"/>
      <w:marRight w:val="0"/>
      <w:marTop w:val="0"/>
      <w:marBottom w:val="0"/>
      <w:divBdr>
        <w:top w:val="none" w:sz="0" w:space="0" w:color="auto"/>
        <w:left w:val="none" w:sz="0" w:space="0" w:color="auto"/>
        <w:bottom w:val="none" w:sz="0" w:space="0" w:color="auto"/>
        <w:right w:val="none" w:sz="0" w:space="0" w:color="auto"/>
      </w:divBdr>
    </w:div>
    <w:div w:id="1143621579">
      <w:bodyDiv w:val="1"/>
      <w:marLeft w:val="0"/>
      <w:marRight w:val="0"/>
      <w:marTop w:val="0"/>
      <w:marBottom w:val="0"/>
      <w:divBdr>
        <w:top w:val="none" w:sz="0" w:space="0" w:color="auto"/>
        <w:left w:val="none" w:sz="0" w:space="0" w:color="auto"/>
        <w:bottom w:val="none" w:sz="0" w:space="0" w:color="auto"/>
        <w:right w:val="none" w:sz="0" w:space="0" w:color="auto"/>
      </w:divBdr>
    </w:div>
    <w:div w:id="1154832991">
      <w:bodyDiv w:val="1"/>
      <w:marLeft w:val="0"/>
      <w:marRight w:val="0"/>
      <w:marTop w:val="0"/>
      <w:marBottom w:val="0"/>
      <w:divBdr>
        <w:top w:val="none" w:sz="0" w:space="0" w:color="auto"/>
        <w:left w:val="none" w:sz="0" w:space="0" w:color="auto"/>
        <w:bottom w:val="none" w:sz="0" w:space="0" w:color="auto"/>
        <w:right w:val="none" w:sz="0" w:space="0" w:color="auto"/>
      </w:divBdr>
    </w:div>
    <w:div w:id="1174957581">
      <w:bodyDiv w:val="1"/>
      <w:marLeft w:val="0"/>
      <w:marRight w:val="0"/>
      <w:marTop w:val="0"/>
      <w:marBottom w:val="0"/>
      <w:divBdr>
        <w:top w:val="none" w:sz="0" w:space="0" w:color="auto"/>
        <w:left w:val="none" w:sz="0" w:space="0" w:color="auto"/>
        <w:bottom w:val="none" w:sz="0" w:space="0" w:color="auto"/>
        <w:right w:val="none" w:sz="0" w:space="0" w:color="auto"/>
      </w:divBdr>
    </w:div>
    <w:div w:id="1187909310">
      <w:bodyDiv w:val="1"/>
      <w:marLeft w:val="0"/>
      <w:marRight w:val="0"/>
      <w:marTop w:val="0"/>
      <w:marBottom w:val="0"/>
      <w:divBdr>
        <w:top w:val="none" w:sz="0" w:space="0" w:color="auto"/>
        <w:left w:val="none" w:sz="0" w:space="0" w:color="auto"/>
        <w:bottom w:val="none" w:sz="0" w:space="0" w:color="auto"/>
        <w:right w:val="none" w:sz="0" w:space="0" w:color="auto"/>
      </w:divBdr>
      <w:divsChild>
        <w:div w:id="697508432">
          <w:marLeft w:val="0"/>
          <w:marRight w:val="0"/>
          <w:marTop w:val="0"/>
          <w:marBottom w:val="0"/>
          <w:divBdr>
            <w:top w:val="none" w:sz="0" w:space="0" w:color="auto"/>
            <w:left w:val="none" w:sz="0" w:space="0" w:color="auto"/>
            <w:bottom w:val="none" w:sz="0" w:space="0" w:color="auto"/>
            <w:right w:val="none" w:sz="0" w:space="0" w:color="auto"/>
          </w:divBdr>
        </w:div>
        <w:div w:id="1673095828">
          <w:marLeft w:val="0"/>
          <w:marRight w:val="0"/>
          <w:marTop w:val="0"/>
          <w:marBottom w:val="0"/>
          <w:divBdr>
            <w:top w:val="none" w:sz="0" w:space="0" w:color="auto"/>
            <w:left w:val="none" w:sz="0" w:space="0" w:color="auto"/>
            <w:bottom w:val="none" w:sz="0" w:space="0" w:color="auto"/>
            <w:right w:val="none" w:sz="0" w:space="0" w:color="auto"/>
          </w:divBdr>
        </w:div>
      </w:divsChild>
    </w:div>
    <w:div w:id="1200700121">
      <w:bodyDiv w:val="1"/>
      <w:marLeft w:val="0"/>
      <w:marRight w:val="0"/>
      <w:marTop w:val="0"/>
      <w:marBottom w:val="0"/>
      <w:divBdr>
        <w:top w:val="none" w:sz="0" w:space="0" w:color="auto"/>
        <w:left w:val="none" w:sz="0" w:space="0" w:color="auto"/>
        <w:bottom w:val="none" w:sz="0" w:space="0" w:color="auto"/>
        <w:right w:val="none" w:sz="0" w:space="0" w:color="auto"/>
      </w:divBdr>
      <w:divsChild>
        <w:div w:id="1897429242">
          <w:marLeft w:val="0"/>
          <w:marRight w:val="0"/>
          <w:marTop w:val="0"/>
          <w:marBottom w:val="0"/>
          <w:divBdr>
            <w:top w:val="none" w:sz="0" w:space="0" w:color="auto"/>
            <w:left w:val="none" w:sz="0" w:space="0" w:color="auto"/>
            <w:bottom w:val="none" w:sz="0" w:space="0" w:color="auto"/>
            <w:right w:val="none" w:sz="0" w:space="0" w:color="auto"/>
          </w:divBdr>
        </w:div>
        <w:div w:id="884483627">
          <w:marLeft w:val="0"/>
          <w:marRight w:val="0"/>
          <w:marTop w:val="0"/>
          <w:marBottom w:val="0"/>
          <w:divBdr>
            <w:top w:val="none" w:sz="0" w:space="0" w:color="auto"/>
            <w:left w:val="none" w:sz="0" w:space="0" w:color="auto"/>
            <w:bottom w:val="none" w:sz="0" w:space="0" w:color="auto"/>
            <w:right w:val="none" w:sz="0" w:space="0" w:color="auto"/>
          </w:divBdr>
        </w:div>
        <w:div w:id="1432428436">
          <w:marLeft w:val="0"/>
          <w:marRight w:val="0"/>
          <w:marTop w:val="0"/>
          <w:marBottom w:val="0"/>
          <w:divBdr>
            <w:top w:val="none" w:sz="0" w:space="0" w:color="auto"/>
            <w:left w:val="none" w:sz="0" w:space="0" w:color="auto"/>
            <w:bottom w:val="none" w:sz="0" w:space="0" w:color="auto"/>
            <w:right w:val="none" w:sz="0" w:space="0" w:color="auto"/>
          </w:divBdr>
        </w:div>
        <w:div w:id="2042431543">
          <w:marLeft w:val="0"/>
          <w:marRight w:val="0"/>
          <w:marTop w:val="0"/>
          <w:marBottom w:val="0"/>
          <w:divBdr>
            <w:top w:val="none" w:sz="0" w:space="0" w:color="auto"/>
            <w:left w:val="none" w:sz="0" w:space="0" w:color="auto"/>
            <w:bottom w:val="none" w:sz="0" w:space="0" w:color="auto"/>
            <w:right w:val="none" w:sz="0" w:space="0" w:color="auto"/>
          </w:divBdr>
        </w:div>
        <w:div w:id="1063287325">
          <w:marLeft w:val="0"/>
          <w:marRight w:val="0"/>
          <w:marTop w:val="0"/>
          <w:marBottom w:val="0"/>
          <w:divBdr>
            <w:top w:val="none" w:sz="0" w:space="0" w:color="auto"/>
            <w:left w:val="none" w:sz="0" w:space="0" w:color="auto"/>
            <w:bottom w:val="none" w:sz="0" w:space="0" w:color="auto"/>
            <w:right w:val="none" w:sz="0" w:space="0" w:color="auto"/>
          </w:divBdr>
        </w:div>
      </w:divsChild>
    </w:div>
    <w:div w:id="1202552376">
      <w:bodyDiv w:val="1"/>
      <w:marLeft w:val="0"/>
      <w:marRight w:val="0"/>
      <w:marTop w:val="0"/>
      <w:marBottom w:val="0"/>
      <w:divBdr>
        <w:top w:val="none" w:sz="0" w:space="0" w:color="auto"/>
        <w:left w:val="none" w:sz="0" w:space="0" w:color="auto"/>
        <w:bottom w:val="none" w:sz="0" w:space="0" w:color="auto"/>
        <w:right w:val="none" w:sz="0" w:space="0" w:color="auto"/>
      </w:divBdr>
    </w:div>
    <w:div w:id="1206135007">
      <w:bodyDiv w:val="1"/>
      <w:marLeft w:val="0"/>
      <w:marRight w:val="0"/>
      <w:marTop w:val="0"/>
      <w:marBottom w:val="0"/>
      <w:divBdr>
        <w:top w:val="none" w:sz="0" w:space="0" w:color="auto"/>
        <w:left w:val="none" w:sz="0" w:space="0" w:color="auto"/>
        <w:bottom w:val="none" w:sz="0" w:space="0" w:color="auto"/>
        <w:right w:val="none" w:sz="0" w:space="0" w:color="auto"/>
      </w:divBdr>
    </w:div>
    <w:div w:id="1206526900">
      <w:bodyDiv w:val="1"/>
      <w:marLeft w:val="0"/>
      <w:marRight w:val="0"/>
      <w:marTop w:val="0"/>
      <w:marBottom w:val="0"/>
      <w:divBdr>
        <w:top w:val="none" w:sz="0" w:space="0" w:color="auto"/>
        <w:left w:val="none" w:sz="0" w:space="0" w:color="auto"/>
        <w:bottom w:val="none" w:sz="0" w:space="0" w:color="auto"/>
        <w:right w:val="none" w:sz="0" w:space="0" w:color="auto"/>
      </w:divBdr>
    </w:div>
    <w:div w:id="1221863766">
      <w:bodyDiv w:val="1"/>
      <w:marLeft w:val="0"/>
      <w:marRight w:val="0"/>
      <w:marTop w:val="0"/>
      <w:marBottom w:val="0"/>
      <w:divBdr>
        <w:top w:val="none" w:sz="0" w:space="0" w:color="auto"/>
        <w:left w:val="none" w:sz="0" w:space="0" w:color="auto"/>
        <w:bottom w:val="none" w:sz="0" w:space="0" w:color="auto"/>
        <w:right w:val="none" w:sz="0" w:space="0" w:color="auto"/>
      </w:divBdr>
    </w:div>
    <w:div w:id="1227186208">
      <w:bodyDiv w:val="1"/>
      <w:marLeft w:val="0"/>
      <w:marRight w:val="0"/>
      <w:marTop w:val="0"/>
      <w:marBottom w:val="0"/>
      <w:divBdr>
        <w:top w:val="none" w:sz="0" w:space="0" w:color="auto"/>
        <w:left w:val="none" w:sz="0" w:space="0" w:color="auto"/>
        <w:bottom w:val="none" w:sz="0" w:space="0" w:color="auto"/>
        <w:right w:val="none" w:sz="0" w:space="0" w:color="auto"/>
      </w:divBdr>
    </w:div>
    <w:div w:id="1230118409">
      <w:bodyDiv w:val="1"/>
      <w:marLeft w:val="0"/>
      <w:marRight w:val="0"/>
      <w:marTop w:val="0"/>
      <w:marBottom w:val="0"/>
      <w:divBdr>
        <w:top w:val="none" w:sz="0" w:space="0" w:color="auto"/>
        <w:left w:val="none" w:sz="0" w:space="0" w:color="auto"/>
        <w:bottom w:val="none" w:sz="0" w:space="0" w:color="auto"/>
        <w:right w:val="none" w:sz="0" w:space="0" w:color="auto"/>
      </w:divBdr>
      <w:divsChild>
        <w:div w:id="119417080">
          <w:marLeft w:val="0"/>
          <w:marRight w:val="0"/>
          <w:marTop w:val="0"/>
          <w:marBottom w:val="0"/>
          <w:divBdr>
            <w:top w:val="none" w:sz="0" w:space="0" w:color="auto"/>
            <w:left w:val="none" w:sz="0" w:space="0" w:color="auto"/>
            <w:bottom w:val="none" w:sz="0" w:space="0" w:color="auto"/>
            <w:right w:val="none" w:sz="0" w:space="0" w:color="auto"/>
          </w:divBdr>
          <w:divsChild>
            <w:div w:id="2127385669">
              <w:marLeft w:val="0"/>
              <w:marRight w:val="0"/>
              <w:marTop w:val="0"/>
              <w:marBottom w:val="0"/>
              <w:divBdr>
                <w:top w:val="none" w:sz="0" w:space="0" w:color="auto"/>
                <w:left w:val="none" w:sz="0" w:space="0" w:color="auto"/>
                <w:bottom w:val="none" w:sz="0" w:space="0" w:color="auto"/>
                <w:right w:val="none" w:sz="0" w:space="0" w:color="auto"/>
              </w:divBdr>
              <w:divsChild>
                <w:div w:id="172008711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32077910">
      <w:bodyDiv w:val="1"/>
      <w:marLeft w:val="0"/>
      <w:marRight w:val="0"/>
      <w:marTop w:val="0"/>
      <w:marBottom w:val="0"/>
      <w:divBdr>
        <w:top w:val="none" w:sz="0" w:space="0" w:color="auto"/>
        <w:left w:val="none" w:sz="0" w:space="0" w:color="auto"/>
        <w:bottom w:val="none" w:sz="0" w:space="0" w:color="auto"/>
        <w:right w:val="none" w:sz="0" w:space="0" w:color="auto"/>
      </w:divBdr>
    </w:div>
    <w:div w:id="1237596216">
      <w:bodyDiv w:val="1"/>
      <w:marLeft w:val="0"/>
      <w:marRight w:val="0"/>
      <w:marTop w:val="0"/>
      <w:marBottom w:val="0"/>
      <w:divBdr>
        <w:top w:val="none" w:sz="0" w:space="0" w:color="auto"/>
        <w:left w:val="none" w:sz="0" w:space="0" w:color="auto"/>
        <w:bottom w:val="none" w:sz="0" w:space="0" w:color="auto"/>
        <w:right w:val="none" w:sz="0" w:space="0" w:color="auto"/>
      </w:divBdr>
      <w:divsChild>
        <w:div w:id="1141969629">
          <w:marLeft w:val="0"/>
          <w:marRight w:val="0"/>
          <w:marTop w:val="0"/>
          <w:marBottom w:val="0"/>
          <w:divBdr>
            <w:top w:val="none" w:sz="0" w:space="0" w:color="auto"/>
            <w:left w:val="none" w:sz="0" w:space="0" w:color="auto"/>
            <w:bottom w:val="none" w:sz="0" w:space="0" w:color="auto"/>
            <w:right w:val="none" w:sz="0" w:space="0" w:color="auto"/>
          </w:divBdr>
          <w:divsChild>
            <w:div w:id="206621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067156">
      <w:bodyDiv w:val="1"/>
      <w:marLeft w:val="0"/>
      <w:marRight w:val="0"/>
      <w:marTop w:val="0"/>
      <w:marBottom w:val="0"/>
      <w:divBdr>
        <w:top w:val="none" w:sz="0" w:space="0" w:color="auto"/>
        <w:left w:val="none" w:sz="0" w:space="0" w:color="auto"/>
        <w:bottom w:val="none" w:sz="0" w:space="0" w:color="auto"/>
        <w:right w:val="none" w:sz="0" w:space="0" w:color="auto"/>
      </w:divBdr>
    </w:div>
    <w:div w:id="1251281347">
      <w:bodyDiv w:val="1"/>
      <w:marLeft w:val="0"/>
      <w:marRight w:val="0"/>
      <w:marTop w:val="0"/>
      <w:marBottom w:val="0"/>
      <w:divBdr>
        <w:top w:val="none" w:sz="0" w:space="0" w:color="auto"/>
        <w:left w:val="none" w:sz="0" w:space="0" w:color="auto"/>
        <w:bottom w:val="none" w:sz="0" w:space="0" w:color="auto"/>
        <w:right w:val="none" w:sz="0" w:space="0" w:color="auto"/>
      </w:divBdr>
    </w:div>
    <w:div w:id="1255475151">
      <w:bodyDiv w:val="1"/>
      <w:marLeft w:val="0"/>
      <w:marRight w:val="0"/>
      <w:marTop w:val="0"/>
      <w:marBottom w:val="0"/>
      <w:divBdr>
        <w:top w:val="none" w:sz="0" w:space="0" w:color="auto"/>
        <w:left w:val="none" w:sz="0" w:space="0" w:color="auto"/>
        <w:bottom w:val="none" w:sz="0" w:space="0" w:color="auto"/>
        <w:right w:val="none" w:sz="0" w:space="0" w:color="auto"/>
      </w:divBdr>
      <w:divsChild>
        <w:div w:id="871770168">
          <w:marLeft w:val="0"/>
          <w:marRight w:val="0"/>
          <w:marTop w:val="0"/>
          <w:marBottom w:val="0"/>
          <w:divBdr>
            <w:top w:val="none" w:sz="0" w:space="0" w:color="auto"/>
            <w:left w:val="none" w:sz="0" w:space="0" w:color="auto"/>
            <w:bottom w:val="none" w:sz="0" w:space="0" w:color="auto"/>
            <w:right w:val="none" w:sz="0" w:space="0" w:color="auto"/>
          </w:divBdr>
        </w:div>
        <w:div w:id="320668524">
          <w:marLeft w:val="-225"/>
          <w:marRight w:val="-225"/>
          <w:marTop w:val="0"/>
          <w:marBottom w:val="0"/>
          <w:divBdr>
            <w:top w:val="none" w:sz="0" w:space="0" w:color="auto"/>
            <w:left w:val="none" w:sz="0" w:space="0" w:color="auto"/>
            <w:bottom w:val="none" w:sz="0" w:space="0" w:color="auto"/>
            <w:right w:val="none" w:sz="0" w:space="0" w:color="auto"/>
          </w:divBdr>
        </w:div>
      </w:divsChild>
    </w:div>
    <w:div w:id="1261329298">
      <w:bodyDiv w:val="1"/>
      <w:marLeft w:val="0"/>
      <w:marRight w:val="0"/>
      <w:marTop w:val="0"/>
      <w:marBottom w:val="0"/>
      <w:divBdr>
        <w:top w:val="none" w:sz="0" w:space="0" w:color="auto"/>
        <w:left w:val="none" w:sz="0" w:space="0" w:color="auto"/>
        <w:bottom w:val="none" w:sz="0" w:space="0" w:color="auto"/>
        <w:right w:val="none" w:sz="0" w:space="0" w:color="auto"/>
      </w:divBdr>
    </w:div>
    <w:div w:id="1264801504">
      <w:bodyDiv w:val="1"/>
      <w:marLeft w:val="0"/>
      <w:marRight w:val="0"/>
      <w:marTop w:val="0"/>
      <w:marBottom w:val="0"/>
      <w:divBdr>
        <w:top w:val="none" w:sz="0" w:space="0" w:color="auto"/>
        <w:left w:val="none" w:sz="0" w:space="0" w:color="auto"/>
        <w:bottom w:val="none" w:sz="0" w:space="0" w:color="auto"/>
        <w:right w:val="none" w:sz="0" w:space="0" w:color="auto"/>
      </w:divBdr>
    </w:div>
    <w:div w:id="1304580589">
      <w:bodyDiv w:val="1"/>
      <w:marLeft w:val="0"/>
      <w:marRight w:val="0"/>
      <w:marTop w:val="0"/>
      <w:marBottom w:val="0"/>
      <w:divBdr>
        <w:top w:val="none" w:sz="0" w:space="0" w:color="auto"/>
        <w:left w:val="none" w:sz="0" w:space="0" w:color="auto"/>
        <w:bottom w:val="none" w:sz="0" w:space="0" w:color="auto"/>
        <w:right w:val="none" w:sz="0" w:space="0" w:color="auto"/>
      </w:divBdr>
    </w:div>
    <w:div w:id="1317998371">
      <w:bodyDiv w:val="1"/>
      <w:marLeft w:val="0"/>
      <w:marRight w:val="0"/>
      <w:marTop w:val="0"/>
      <w:marBottom w:val="0"/>
      <w:divBdr>
        <w:top w:val="none" w:sz="0" w:space="0" w:color="auto"/>
        <w:left w:val="none" w:sz="0" w:space="0" w:color="auto"/>
        <w:bottom w:val="none" w:sz="0" w:space="0" w:color="auto"/>
        <w:right w:val="none" w:sz="0" w:space="0" w:color="auto"/>
      </w:divBdr>
      <w:divsChild>
        <w:div w:id="227035753">
          <w:marLeft w:val="0"/>
          <w:marRight w:val="0"/>
          <w:marTop w:val="300"/>
          <w:marBottom w:val="300"/>
          <w:divBdr>
            <w:top w:val="none" w:sz="0" w:space="0" w:color="auto"/>
            <w:left w:val="none" w:sz="0" w:space="0" w:color="auto"/>
            <w:bottom w:val="none" w:sz="0" w:space="0" w:color="auto"/>
            <w:right w:val="none" w:sz="0" w:space="0" w:color="auto"/>
          </w:divBdr>
          <w:divsChild>
            <w:div w:id="744836712">
              <w:marLeft w:val="0"/>
              <w:marRight w:val="0"/>
              <w:marTop w:val="0"/>
              <w:marBottom w:val="0"/>
              <w:divBdr>
                <w:top w:val="none" w:sz="0" w:space="0" w:color="auto"/>
                <w:left w:val="none" w:sz="0" w:space="0" w:color="auto"/>
                <w:bottom w:val="none" w:sz="0" w:space="0" w:color="auto"/>
                <w:right w:val="none" w:sz="0" w:space="0" w:color="auto"/>
              </w:divBdr>
            </w:div>
          </w:divsChild>
        </w:div>
        <w:div w:id="148523728">
          <w:marLeft w:val="0"/>
          <w:marRight w:val="0"/>
          <w:marTop w:val="300"/>
          <w:marBottom w:val="300"/>
          <w:divBdr>
            <w:top w:val="none" w:sz="0" w:space="0" w:color="auto"/>
            <w:left w:val="none" w:sz="0" w:space="0" w:color="auto"/>
            <w:bottom w:val="none" w:sz="0" w:space="0" w:color="auto"/>
            <w:right w:val="none" w:sz="0" w:space="0" w:color="auto"/>
          </w:divBdr>
          <w:divsChild>
            <w:div w:id="935867052">
              <w:marLeft w:val="0"/>
              <w:marRight w:val="0"/>
              <w:marTop w:val="0"/>
              <w:marBottom w:val="0"/>
              <w:divBdr>
                <w:top w:val="none" w:sz="0" w:space="0" w:color="auto"/>
                <w:left w:val="none" w:sz="0" w:space="0" w:color="auto"/>
                <w:bottom w:val="none" w:sz="0" w:space="0" w:color="auto"/>
                <w:right w:val="none" w:sz="0" w:space="0" w:color="auto"/>
              </w:divBdr>
            </w:div>
          </w:divsChild>
        </w:div>
        <w:div w:id="1093628756">
          <w:marLeft w:val="0"/>
          <w:marRight w:val="0"/>
          <w:marTop w:val="300"/>
          <w:marBottom w:val="300"/>
          <w:divBdr>
            <w:top w:val="none" w:sz="0" w:space="0" w:color="auto"/>
            <w:left w:val="none" w:sz="0" w:space="0" w:color="auto"/>
            <w:bottom w:val="none" w:sz="0" w:space="0" w:color="auto"/>
            <w:right w:val="none" w:sz="0" w:space="0" w:color="auto"/>
          </w:divBdr>
          <w:divsChild>
            <w:div w:id="656568486">
              <w:marLeft w:val="0"/>
              <w:marRight w:val="0"/>
              <w:marTop w:val="0"/>
              <w:marBottom w:val="0"/>
              <w:divBdr>
                <w:top w:val="none" w:sz="0" w:space="0" w:color="auto"/>
                <w:left w:val="none" w:sz="0" w:space="0" w:color="auto"/>
                <w:bottom w:val="none" w:sz="0" w:space="0" w:color="auto"/>
                <w:right w:val="none" w:sz="0" w:space="0" w:color="auto"/>
              </w:divBdr>
            </w:div>
          </w:divsChild>
        </w:div>
        <w:div w:id="1791700876">
          <w:marLeft w:val="0"/>
          <w:marRight w:val="0"/>
          <w:marTop w:val="300"/>
          <w:marBottom w:val="300"/>
          <w:divBdr>
            <w:top w:val="none" w:sz="0" w:space="0" w:color="auto"/>
            <w:left w:val="none" w:sz="0" w:space="0" w:color="auto"/>
            <w:bottom w:val="none" w:sz="0" w:space="0" w:color="auto"/>
            <w:right w:val="none" w:sz="0" w:space="0" w:color="auto"/>
          </w:divBdr>
          <w:divsChild>
            <w:div w:id="1995256581">
              <w:marLeft w:val="0"/>
              <w:marRight w:val="0"/>
              <w:marTop w:val="0"/>
              <w:marBottom w:val="0"/>
              <w:divBdr>
                <w:top w:val="none" w:sz="0" w:space="0" w:color="auto"/>
                <w:left w:val="none" w:sz="0" w:space="0" w:color="auto"/>
                <w:bottom w:val="none" w:sz="0" w:space="0" w:color="auto"/>
                <w:right w:val="none" w:sz="0" w:space="0" w:color="auto"/>
              </w:divBdr>
            </w:div>
          </w:divsChild>
        </w:div>
        <w:div w:id="893664304">
          <w:marLeft w:val="0"/>
          <w:marRight w:val="0"/>
          <w:marTop w:val="300"/>
          <w:marBottom w:val="300"/>
          <w:divBdr>
            <w:top w:val="none" w:sz="0" w:space="0" w:color="auto"/>
            <w:left w:val="none" w:sz="0" w:space="0" w:color="auto"/>
            <w:bottom w:val="none" w:sz="0" w:space="0" w:color="auto"/>
            <w:right w:val="none" w:sz="0" w:space="0" w:color="auto"/>
          </w:divBdr>
          <w:divsChild>
            <w:div w:id="272134133">
              <w:marLeft w:val="0"/>
              <w:marRight w:val="0"/>
              <w:marTop w:val="0"/>
              <w:marBottom w:val="0"/>
              <w:divBdr>
                <w:top w:val="none" w:sz="0" w:space="0" w:color="auto"/>
                <w:left w:val="none" w:sz="0" w:space="0" w:color="auto"/>
                <w:bottom w:val="none" w:sz="0" w:space="0" w:color="auto"/>
                <w:right w:val="none" w:sz="0" w:space="0" w:color="auto"/>
              </w:divBdr>
              <w:divsChild>
                <w:div w:id="34540529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42700185">
          <w:marLeft w:val="0"/>
          <w:marRight w:val="0"/>
          <w:marTop w:val="300"/>
          <w:marBottom w:val="300"/>
          <w:divBdr>
            <w:top w:val="none" w:sz="0" w:space="0" w:color="auto"/>
            <w:left w:val="none" w:sz="0" w:space="0" w:color="auto"/>
            <w:bottom w:val="none" w:sz="0" w:space="0" w:color="auto"/>
            <w:right w:val="none" w:sz="0" w:space="0" w:color="auto"/>
          </w:divBdr>
          <w:divsChild>
            <w:div w:id="71857764">
              <w:marLeft w:val="0"/>
              <w:marRight w:val="0"/>
              <w:marTop w:val="0"/>
              <w:marBottom w:val="0"/>
              <w:divBdr>
                <w:top w:val="none" w:sz="0" w:space="0" w:color="auto"/>
                <w:left w:val="none" w:sz="0" w:space="0" w:color="auto"/>
                <w:bottom w:val="none" w:sz="0" w:space="0" w:color="auto"/>
                <w:right w:val="none" w:sz="0" w:space="0" w:color="auto"/>
              </w:divBdr>
            </w:div>
          </w:divsChild>
        </w:div>
        <w:div w:id="1720279242">
          <w:marLeft w:val="0"/>
          <w:marRight w:val="0"/>
          <w:marTop w:val="300"/>
          <w:marBottom w:val="300"/>
          <w:divBdr>
            <w:top w:val="none" w:sz="0" w:space="0" w:color="auto"/>
            <w:left w:val="none" w:sz="0" w:space="0" w:color="auto"/>
            <w:bottom w:val="none" w:sz="0" w:space="0" w:color="auto"/>
            <w:right w:val="none" w:sz="0" w:space="0" w:color="auto"/>
          </w:divBdr>
          <w:divsChild>
            <w:div w:id="29513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5043">
      <w:bodyDiv w:val="1"/>
      <w:marLeft w:val="0"/>
      <w:marRight w:val="0"/>
      <w:marTop w:val="0"/>
      <w:marBottom w:val="0"/>
      <w:divBdr>
        <w:top w:val="none" w:sz="0" w:space="0" w:color="auto"/>
        <w:left w:val="none" w:sz="0" w:space="0" w:color="auto"/>
        <w:bottom w:val="none" w:sz="0" w:space="0" w:color="auto"/>
        <w:right w:val="none" w:sz="0" w:space="0" w:color="auto"/>
      </w:divBdr>
    </w:div>
    <w:div w:id="1330862072">
      <w:bodyDiv w:val="1"/>
      <w:marLeft w:val="0"/>
      <w:marRight w:val="0"/>
      <w:marTop w:val="0"/>
      <w:marBottom w:val="0"/>
      <w:divBdr>
        <w:top w:val="none" w:sz="0" w:space="0" w:color="auto"/>
        <w:left w:val="none" w:sz="0" w:space="0" w:color="auto"/>
        <w:bottom w:val="none" w:sz="0" w:space="0" w:color="auto"/>
        <w:right w:val="none" w:sz="0" w:space="0" w:color="auto"/>
      </w:divBdr>
    </w:div>
    <w:div w:id="1358963400">
      <w:bodyDiv w:val="1"/>
      <w:marLeft w:val="0"/>
      <w:marRight w:val="0"/>
      <w:marTop w:val="0"/>
      <w:marBottom w:val="0"/>
      <w:divBdr>
        <w:top w:val="none" w:sz="0" w:space="0" w:color="auto"/>
        <w:left w:val="none" w:sz="0" w:space="0" w:color="auto"/>
        <w:bottom w:val="none" w:sz="0" w:space="0" w:color="auto"/>
        <w:right w:val="none" w:sz="0" w:space="0" w:color="auto"/>
      </w:divBdr>
    </w:div>
    <w:div w:id="1360355824">
      <w:bodyDiv w:val="1"/>
      <w:marLeft w:val="0"/>
      <w:marRight w:val="0"/>
      <w:marTop w:val="0"/>
      <w:marBottom w:val="0"/>
      <w:divBdr>
        <w:top w:val="none" w:sz="0" w:space="0" w:color="auto"/>
        <w:left w:val="none" w:sz="0" w:space="0" w:color="auto"/>
        <w:bottom w:val="none" w:sz="0" w:space="0" w:color="auto"/>
        <w:right w:val="none" w:sz="0" w:space="0" w:color="auto"/>
      </w:divBdr>
    </w:div>
    <w:div w:id="1364209827">
      <w:bodyDiv w:val="1"/>
      <w:marLeft w:val="0"/>
      <w:marRight w:val="0"/>
      <w:marTop w:val="0"/>
      <w:marBottom w:val="0"/>
      <w:divBdr>
        <w:top w:val="none" w:sz="0" w:space="0" w:color="auto"/>
        <w:left w:val="none" w:sz="0" w:space="0" w:color="auto"/>
        <w:bottom w:val="none" w:sz="0" w:space="0" w:color="auto"/>
        <w:right w:val="none" w:sz="0" w:space="0" w:color="auto"/>
      </w:divBdr>
    </w:div>
    <w:div w:id="1369140912">
      <w:bodyDiv w:val="1"/>
      <w:marLeft w:val="0"/>
      <w:marRight w:val="0"/>
      <w:marTop w:val="0"/>
      <w:marBottom w:val="0"/>
      <w:divBdr>
        <w:top w:val="none" w:sz="0" w:space="0" w:color="auto"/>
        <w:left w:val="none" w:sz="0" w:space="0" w:color="auto"/>
        <w:bottom w:val="none" w:sz="0" w:space="0" w:color="auto"/>
        <w:right w:val="none" w:sz="0" w:space="0" w:color="auto"/>
      </w:divBdr>
    </w:div>
    <w:div w:id="1400248227">
      <w:bodyDiv w:val="1"/>
      <w:marLeft w:val="0"/>
      <w:marRight w:val="0"/>
      <w:marTop w:val="0"/>
      <w:marBottom w:val="0"/>
      <w:divBdr>
        <w:top w:val="none" w:sz="0" w:space="0" w:color="auto"/>
        <w:left w:val="none" w:sz="0" w:space="0" w:color="auto"/>
        <w:bottom w:val="none" w:sz="0" w:space="0" w:color="auto"/>
        <w:right w:val="none" w:sz="0" w:space="0" w:color="auto"/>
      </w:divBdr>
    </w:div>
    <w:div w:id="1407531962">
      <w:bodyDiv w:val="1"/>
      <w:marLeft w:val="0"/>
      <w:marRight w:val="0"/>
      <w:marTop w:val="0"/>
      <w:marBottom w:val="0"/>
      <w:divBdr>
        <w:top w:val="none" w:sz="0" w:space="0" w:color="auto"/>
        <w:left w:val="none" w:sz="0" w:space="0" w:color="auto"/>
        <w:bottom w:val="none" w:sz="0" w:space="0" w:color="auto"/>
        <w:right w:val="none" w:sz="0" w:space="0" w:color="auto"/>
      </w:divBdr>
    </w:div>
    <w:div w:id="1427843273">
      <w:bodyDiv w:val="1"/>
      <w:marLeft w:val="0"/>
      <w:marRight w:val="0"/>
      <w:marTop w:val="0"/>
      <w:marBottom w:val="0"/>
      <w:divBdr>
        <w:top w:val="none" w:sz="0" w:space="0" w:color="auto"/>
        <w:left w:val="none" w:sz="0" w:space="0" w:color="auto"/>
        <w:bottom w:val="none" w:sz="0" w:space="0" w:color="auto"/>
        <w:right w:val="none" w:sz="0" w:space="0" w:color="auto"/>
      </w:divBdr>
    </w:div>
    <w:div w:id="1428650864">
      <w:bodyDiv w:val="1"/>
      <w:marLeft w:val="0"/>
      <w:marRight w:val="0"/>
      <w:marTop w:val="0"/>
      <w:marBottom w:val="0"/>
      <w:divBdr>
        <w:top w:val="none" w:sz="0" w:space="0" w:color="auto"/>
        <w:left w:val="none" w:sz="0" w:space="0" w:color="auto"/>
        <w:bottom w:val="none" w:sz="0" w:space="0" w:color="auto"/>
        <w:right w:val="none" w:sz="0" w:space="0" w:color="auto"/>
      </w:divBdr>
    </w:div>
    <w:div w:id="1433669893">
      <w:bodyDiv w:val="1"/>
      <w:marLeft w:val="0"/>
      <w:marRight w:val="0"/>
      <w:marTop w:val="0"/>
      <w:marBottom w:val="0"/>
      <w:divBdr>
        <w:top w:val="none" w:sz="0" w:space="0" w:color="auto"/>
        <w:left w:val="none" w:sz="0" w:space="0" w:color="auto"/>
        <w:bottom w:val="none" w:sz="0" w:space="0" w:color="auto"/>
        <w:right w:val="none" w:sz="0" w:space="0" w:color="auto"/>
      </w:divBdr>
    </w:div>
    <w:div w:id="1442186044">
      <w:bodyDiv w:val="1"/>
      <w:marLeft w:val="0"/>
      <w:marRight w:val="0"/>
      <w:marTop w:val="0"/>
      <w:marBottom w:val="0"/>
      <w:divBdr>
        <w:top w:val="none" w:sz="0" w:space="0" w:color="auto"/>
        <w:left w:val="none" w:sz="0" w:space="0" w:color="auto"/>
        <w:bottom w:val="none" w:sz="0" w:space="0" w:color="auto"/>
        <w:right w:val="none" w:sz="0" w:space="0" w:color="auto"/>
      </w:divBdr>
    </w:div>
    <w:div w:id="1443380844">
      <w:bodyDiv w:val="1"/>
      <w:marLeft w:val="0"/>
      <w:marRight w:val="0"/>
      <w:marTop w:val="0"/>
      <w:marBottom w:val="0"/>
      <w:divBdr>
        <w:top w:val="none" w:sz="0" w:space="0" w:color="auto"/>
        <w:left w:val="none" w:sz="0" w:space="0" w:color="auto"/>
        <w:bottom w:val="none" w:sz="0" w:space="0" w:color="auto"/>
        <w:right w:val="none" w:sz="0" w:space="0" w:color="auto"/>
      </w:divBdr>
    </w:div>
    <w:div w:id="1447651777">
      <w:bodyDiv w:val="1"/>
      <w:marLeft w:val="0"/>
      <w:marRight w:val="0"/>
      <w:marTop w:val="0"/>
      <w:marBottom w:val="0"/>
      <w:divBdr>
        <w:top w:val="none" w:sz="0" w:space="0" w:color="auto"/>
        <w:left w:val="none" w:sz="0" w:space="0" w:color="auto"/>
        <w:bottom w:val="none" w:sz="0" w:space="0" w:color="auto"/>
        <w:right w:val="none" w:sz="0" w:space="0" w:color="auto"/>
      </w:divBdr>
    </w:div>
    <w:div w:id="1455097838">
      <w:bodyDiv w:val="1"/>
      <w:marLeft w:val="0"/>
      <w:marRight w:val="0"/>
      <w:marTop w:val="0"/>
      <w:marBottom w:val="0"/>
      <w:divBdr>
        <w:top w:val="none" w:sz="0" w:space="0" w:color="auto"/>
        <w:left w:val="none" w:sz="0" w:space="0" w:color="auto"/>
        <w:bottom w:val="none" w:sz="0" w:space="0" w:color="auto"/>
        <w:right w:val="none" w:sz="0" w:space="0" w:color="auto"/>
      </w:divBdr>
    </w:div>
    <w:div w:id="1455371824">
      <w:bodyDiv w:val="1"/>
      <w:marLeft w:val="0"/>
      <w:marRight w:val="0"/>
      <w:marTop w:val="0"/>
      <w:marBottom w:val="0"/>
      <w:divBdr>
        <w:top w:val="none" w:sz="0" w:space="0" w:color="auto"/>
        <w:left w:val="none" w:sz="0" w:space="0" w:color="auto"/>
        <w:bottom w:val="none" w:sz="0" w:space="0" w:color="auto"/>
        <w:right w:val="none" w:sz="0" w:space="0" w:color="auto"/>
      </w:divBdr>
    </w:div>
    <w:div w:id="1457747933">
      <w:bodyDiv w:val="1"/>
      <w:marLeft w:val="0"/>
      <w:marRight w:val="0"/>
      <w:marTop w:val="0"/>
      <w:marBottom w:val="0"/>
      <w:divBdr>
        <w:top w:val="none" w:sz="0" w:space="0" w:color="auto"/>
        <w:left w:val="none" w:sz="0" w:space="0" w:color="auto"/>
        <w:bottom w:val="none" w:sz="0" w:space="0" w:color="auto"/>
        <w:right w:val="none" w:sz="0" w:space="0" w:color="auto"/>
      </w:divBdr>
    </w:div>
    <w:div w:id="1459378894">
      <w:bodyDiv w:val="1"/>
      <w:marLeft w:val="0"/>
      <w:marRight w:val="0"/>
      <w:marTop w:val="0"/>
      <w:marBottom w:val="0"/>
      <w:divBdr>
        <w:top w:val="none" w:sz="0" w:space="0" w:color="auto"/>
        <w:left w:val="none" w:sz="0" w:space="0" w:color="auto"/>
        <w:bottom w:val="none" w:sz="0" w:space="0" w:color="auto"/>
        <w:right w:val="none" w:sz="0" w:space="0" w:color="auto"/>
      </w:divBdr>
    </w:div>
    <w:div w:id="1472401979">
      <w:bodyDiv w:val="1"/>
      <w:marLeft w:val="0"/>
      <w:marRight w:val="0"/>
      <w:marTop w:val="0"/>
      <w:marBottom w:val="0"/>
      <w:divBdr>
        <w:top w:val="none" w:sz="0" w:space="0" w:color="auto"/>
        <w:left w:val="none" w:sz="0" w:space="0" w:color="auto"/>
        <w:bottom w:val="none" w:sz="0" w:space="0" w:color="auto"/>
        <w:right w:val="none" w:sz="0" w:space="0" w:color="auto"/>
      </w:divBdr>
      <w:divsChild>
        <w:div w:id="1760566967">
          <w:marLeft w:val="0"/>
          <w:marRight w:val="0"/>
          <w:marTop w:val="369"/>
          <w:marBottom w:val="369"/>
          <w:divBdr>
            <w:top w:val="none" w:sz="0" w:space="0" w:color="auto"/>
            <w:left w:val="none" w:sz="0" w:space="0" w:color="auto"/>
            <w:bottom w:val="none" w:sz="0" w:space="0" w:color="auto"/>
            <w:right w:val="none" w:sz="0" w:space="0" w:color="auto"/>
          </w:divBdr>
          <w:divsChild>
            <w:div w:id="627391191">
              <w:marLeft w:val="0"/>
              <w:marRight w:val="0"/>
              <w:marTop w:val="0"/>
              <w:marBottom w:val="0"/>
              <w:divBdr>
                <w:top w:val="none" w:sz="0" w:space="0" w:color="auto"/>
                <w:left w:val="none" w:sz="0" w:space="0" w:color="auto"/>
                <w:bottom w:val="none" w:sz="0" w:space="0" w:color="auto"/>
                <w:right w:val="none" w:sz="0" w:space="0" w:color="auto"/>
              </w:divBdr>
            </w:div>
          </w:divsChild>
        </w:div>
        <w:div w:id="1605962112">
          <w:marLeft w:val="0"/>
          <w:marRight w:val="0"/>
          <w:marTop w:val="369"/>
          <w:marBottom w:val="369"/>
          <w:divBdr>
            <w:top w:val="none" w:sz="0" w:space="0" w:color="auto"/>
            <w:left w:val="none" w:sz="0" w:space="0" w:color="auto"/>
            <w:bottom w:val="none" w:sz="0" w:space="0" w:color="auto"/>
            <w:right w:val="none" w:sz="0" w:space="0" w:color="auto"/>
          </w:divBdr>
          <w:divsChild>
            <w:div w:id="2025937842">
              <w:marLeft w:val="0"/>
              <w:marRight w:val="0"/>
              <w:marTop w:val="0"/>
              <w:marBottom w:val="0"/>
              <w:divBdr>
                <w:top w:val="none" w:sz="0" w:space="0" w:color="auto"/>
                <w:left w:val="none" w:sz="0" w:space="0" w:color="auto"/>
                <w:bottom w:val="none" w:sz="0" w:space="0" w:color="auto"/>
                <w:right w:val="none" w:sz="0" w:space="0" w:color="auto"/>
              </w:divBdr>
            </w:div>
          </w:divsChild>
        </w:div>
        <w:div w:id="652680403">
          <w:marLeft w:val="0"/>
          <w:marRight w:val="0"/>
          <w:marTop w:val="369"/>
          <w:marBottom w:val="369"/>
          <w:divBdr>
            <w:top w:val="none" w:sz="0" w:space="0" w:color="auto"/>
            <w:left w:val="none" w:sz="0" w:space="0" w:color="auto"/>
            <w:bottom w:val="none" w:sz="0" w:space="0" w:color="auto"/>
            <w:right w:val="none" w:sz="0" w:space="0" w:color="auto"/>
          </w:divBdr>
          <w:divsChild>
            <w:div w:id="40056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5308">
      <w:bodyDiv w:val="1"/>
      <w:marLeft w:val="0"/>
      <w:marRight w:val="0"/>
      <w:marTop w:val="0"/>
      <w:marBottom w:val="0"/>
      <w:divBdr>
        <w:top w:val="none" w:sz="0" w:space="0" w:color="auto"/>
        <w:left w:val="none" w:sz="0" w:space="0" w:color="auto"/>
        <w:bottom w:val="none" w:sz="0" w:space="0" w:color="auto"/>
        <w:right w:val="none" w:sz="0" w:space="0" w:color="auto"/>
      </w:divBdr>
    </w:div>
    <w:div w:id="1515732469">
      <w:bodyDiv w:val="1"/>
      <w:marLeft w:val="0"/>
      <w:marRight w:val="0"/>
      <w:marTop w:val="0"/>
      <w:marBottom w:val="0"/>
      <w:divBdr>
        <w:top w:val="none" w:sz="0" w:space="0" w:color="auto"/>
        <w:left w:val="none" w:sz="0" w:space="0" w:color="auto"/>
        <w:bottom w:val="none" w:sz="0" w:space="0" w:color="auto"/>
        <w:right w:val="none" w:sz="0" w:space="0" w:color="auto"/>
      </w:divBdr>
    </w:div>
    <w:div w:id="1545940579">
      <w:bodyDiv w:val="1"/>
      <w:marLeft w:val="0"/>
      <w:marRight w:val="0"/>
      <w:marTop w:val="0"/>
      <w:marBottom w:val="0"/>
      <w:divBdr>
        <w:top w:val="none" w:sz="0" w:space="0" w:color="auto"/>
        <w:left w:val="none" w:sz="0" w:space="0" w:color="auto"/>
        <w:bottom w:val="none" w:sz="0" w:space="0" w:color="auto"/>
        <w:right w:val="none" w:sz="0" w:space="0" w:color="auto"/>
      </w:divBdr>
    </w:div>
    <w:div w:id="1552185388">
      <w:bodyDiv w:val="1"/>
      <w:marLeft w:val="0"/>
      <w:marRight w:val="0"/>
      <w:marTop w:val="0"/>
      <w:marBottom w:val="0"/>
      <w:divBdr>
        <w:top w:val="none" w:sz="0" w:space="0" w:color="auto"/>
        <w:left w:val="none" w:sz="0" w:space="0" w:color="auto"/>
        <w:bottom w:val="none" w:sz="0" w:space="0" w:color="auto"/>
        <w:right w:val="none" w:sz="0" w:space="0" w:color="auto"/>
      </w:divBdr>
    </w:div>
    <w:div w:id="1564177793">
      <w:bodyDiv w:val="1"/>
      <w:marLeft w:val="0"/>
      <w:marRight w:val="0"/>
      <w:marTop w:val="0"/>
      <w:marBottom w:val="0"/>
      <w:divBdr>
        <w:top w:val="none" w:sz="0" w:space="0" w:color="auto"/>
        <w:left w:val="none" w:sz="0" w:space="0" w:color="auto"/>
        <w:bottom w:val="none" w:sz="0" w:space="0" w:color="auto"/>
        <w:right w:val="none" w:sz="0" w:space="0" w:color="auto"/>
      </w:divBdr>
      <w:divsChild>
        <w:div w:id="285041915">
          <w:marLeft w:val="0"/>
          <w:marRight w:val="0"/>
          <w:marTop w:val="0"/>
          <w:marBottom w:val="0"/>
          <w:divBdr>
            <w:top w:val="none" w:sz="0" w:space="0" w:color="auto"/>
            <w:left w:val="none" w:sz="0" w:space="0" w:color="auto"/>
            <w:bottom w:val="none" w:sz="0" w:space="0" w:color="auto"/>
            <w:right w:val="none" w:sz="0" w:space="0" w:color="auto"/>
          </w:divBdr>
        </w:div>
        <w:div w:id="285044856">
          <w:marLeft w:val="-225"/>
          <w:marRight w:val="-225"/>
          <w:marTop w:val="0"/>
          <w:marBottom w:val="0"/>
          <w:divBdr>
            <w:top w:val="none" w:sz="0" w:space="0" w:color="auto"/>
            <w:left w:val="none" w:sz="0" w:space="0" w:color="auto"/>
            <w:bottom w:val="none" w:sz="0" w:space="0" w:color="auto"/>
            <w:right w:val="none" w:sz="0" w:space="0" w:color="auto"/>
          </w:divBdr>
        </w:div>
      </w:divsChild>
    </w:div>
    <w:div w:id="1572084114">
      <w:bodyDiv w:val="1"/>
      <w:marLeft w:val="0"/>
      <w:marRight w:val="0"/>
      <w:marTop w:val="0"/>
      <w:marBottom w:val="0"/>
      <w:divBdr>
        <w:top w:val="none" w:sz="0" w:space="0" w:color="auto"/>
        <w:left w:val="none" w:sz="0" w:space="0" w:color="auto"/>
        <w:bottom w:val="none" w:sz="0" w:space="0" w:color="auto"/>
        <w:right w:val="none" w:sz="0" w:space="0" w:color="auto"/>
      </w:divBdr>
    </w:div>
    <w:div w:id="1578125918">
      <w:bodyDiv w:val="1"/>
      <w:marLeft w:val="0"/>
      <w:marRight w:val="0"/>
      <w:marTop w:val="0"/>
      <w:marBottom w:val="0"/>
      <w:divBdr>
        <w:top w:val="none" w:sz="0" w:space="0" w:color="auto"/>
        <w:left w:val="none" w:sz="0" w:space="0" w:color="auto"/>
        <w:bottom w:val="none" w:sz="0" w:space="0" w:color="auto"/>
        <w:right w:val="none" w:sz="0" w:space="0" w:color="auto"/>
      </w:divBdr>
    </w:div>
    <w:div w:id="1578396263">
      <w:bodyDiv w:val="1"/>
      <w:marLeft w:val="0"/>
      <w:marRight w:val="0"/>
      <w:marTop w:val="0"/>
      <w:marBottom w:val="0"/>
      <w:divBdr>
        <w:top w:val="none" w:sz="0" w:space="0" w:color="auto"/>
        <w:left w:val="none" w:sz="0" w:space="0" w:color="auto"/>
        <w:bottom w:val="none" w:sz="0" w:space="0" w:color="auto"/>
        <w:right w:val="none" w:sz="0" w:space="0" w:color="auto"/>
      </w:divBdr>
      <w:divsChild>
        <w:div w:id="919296088">
          <w:marLeft w:val="0"/>
          <w:marRight w:val="0"/>
          <w:marTop w:val="320"/>
          <w:marBottom w:val="320"/>
          <w:divBdr>
            <w:top w:val="none" w:sz="0" w:space="0" w:color="auto"/>
            <w:left w:val="none" w:sz="0" w:space="0" w:color="auto"/>
            <w:bottom w:val="none" w:sz="0" w:space="0" w:color="auto"/>
            <w:right w:val="none" w:sz="0" w:space="0" w:color="auto"/>
          </w:divBdr>
          <w:divsChild>
            <w:div w:id="1550844746">
              <w:marLeft w:val="0"/>
              <w:marRight w:val="0"/>
              <w:marTop w:val="0"/>
              <w:marBottom w:val="0"/>
              <w:divBdr>
                <w:top w:val="none" w:sz="0" w:space="0" w:color="auto"/>
                <w:left w:val="none" w:sz="0" w:space="0" w:color="auto"/>
                <w:bottom w:val="none" w:sz="0" w:space="0" w:color="auto"/>
                <w:right w:val="none" w:sz="0" w:space="0" w:color="auto"/>
              </w:divBdr>
              <w:divsChild>
                <w:div w:id="114755259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41211374">
          <w:marLeft w:val="0"/>
          <w:marRight w:val="0"/>
          <w:marTop w:val="320"/>
          <w:marBottom w:val="320"/>
          <w:divBdr>
            <w:top w:val="none" w:sz="0" w:space="0" w:color="auto"/>
            <w:left w:val="none" w:sz="0" w:space="0" w:color="auto"/>
            <w:bottom w:val="none" w:sz="0" w:space="0" w:color="auto"/>
            <w:right w:val="none" w:sz="0" w:space="0" w:color="auto"/>
          </w:divBdr>
          <w:divsChild>
            <w:div w:id="223377348">
              <w:marLeft w:val="0"/>
              <w:marRight w:val="0"/>
              <w:marTop w:val="0"/>
              <w:marBottom w:val="0"/>
              <w:divBdr>
                <w:top w:val="none" w:sz="0" w:space="0" w:color="auto"/>
                <w:left w:val="none" w:sz="0" w:space="0" w:color="auto"/>
                <w:bottom w:val="none" w:sz="0" w:space="0" w:color="auto"/>
                <w:right w:val="none" w:sz="0" w:space="0" w:color="auto"/>
              </w:divBdr>
              <w:divsChild>
                <w:div w:id="100594257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80131363">
          <w:marLeft w:val="0"/>
          <w:marRight w:val="0"/>
          <w:marTop w:val="320"/>
          <w:marBottom w:val="320"/>
          <w:divBdr>
            <w:top w:val="none" w:sz="0" w:space="0" w:color="auto"/>
            <w:left w:val="none" w:sz="0" w:space="0" w:color="auto"/>
            <w:bottom w:val="none" w:sz="0" w:space="0" w:color="auto"/>
            <w:right w:val="none" w:sz="0" w:space="0" w:color="auto"/>
          </w:divBdr>
          <w:divsChild>
            <w:div w:id="335807740">
              <w:marLeft w:val="0"/>
              <w:marRight w:val="0"/>
              <w:marTop w:val="0"/>
              <w:marBottom w:val="0"/>
              <w:divBdr>
                <w:top w:val="none" w:sz="0" w:space="0" w:color="auto"/>
                <w:left w:val="none" w:sz="0" w:space="0" w:color="auto"/>
                <w:bottom w:val="none" w:sz="0" w:space="0" w:color="auto"/>
                <w:right w:val="none" w:sz="0" w:space="0" w:color="auto"/>
              </w:divBdr>
            </w:div>
          </w:divsChild>
        </w:div>
        <w:div w:id="1521508553">
          <w:marLeft w:val="0"/>
          <w:marRight w:val="0"/>
          <w:marTop w:val="320"/>
          <w:marBottom w:val="320"/>
          <w:divBdr>
            <w:top w:val="none" w:sz="0" w:space="0" w:color="auto"/>
            <w:left w:val="none" w:sz="0" w:space="0" w:color="auto"/>
            <w:bottom w:val="none" w:sz="0" w:space="0" w:color="auto"/>
            <w:right w:val="none" w:sz="0" w:space="0" w:color="auto"/>
          </w:divBdr>
          <w:divsChild>
            <w:div w:id="637031916">
              <w:marLeft w:val="0"/>
              <w:marRight w:val="0"/>
              <w:marTop w:val="0"/>
              <w:marBottom w:val="0"/>
              <w:divBdr>
                <w:top w:val="none" w:sz="0" w:space="0" w:color="auto"/>
                <w:left w:val="none" w:sz="0" w:space="0" w:color="auto"/>
                <w:bottom w:val="none" w:sz="0" w:space="0" w:color="auto"/>
                <w:right w:val="none" w:sz="0" w:space="0" w:color="auto"/>
              </w:divBdr>
            </w:div>
          </w:divsChild>
        </w:div>
        <w:div w:id="1424690176">
          <w:marLeft w:val="0"/>
          <w:marRight w:val="0"/>
          <w:marTop w:val="320"/>
          <w:marBottom w:val="320"/>
          <w:divBdr>
            <w:top w:val="none" w:sz="0" w:space="0" w:color="auto"/>
            <w:left w:val="none" w:sz="0" w:space="0" w:color="auto"/>
            <w:bottom w:val="none" w:sz="0" w:space="0" w:color="auto"/>
            <w:right w:val="none" w:sz="0" w:space="0" w:color="auto"/>
          </w:divBdr>
          <w:divsChild>
            <w:div w:id="406879580">
              <w:marLeft w:val="0"/>
              <w:marRight w:val="0"/>
              <w:marTop w:val="0"/>
              <w:marBottom w:val="0"/>
              <w:divBdr>
                <w:top w:val="none" w:sz="0" w:space="0" w:color="auto"/>
                <w:left w:val="none" w:sz="0" w:space="0" w:color="auto"/>
                <w:bottom w:val="none" w:sz="0" w:space="0" w:color="auto"/>
                <w:right w:val="none" w:sz="0" w:space="0" w:color="auto"/>
              </w:divBdr>
            </w:div>
          </w:divsChild>
        </w:div>
        <w:div w:id="458230795">
          <w:marLeft w:val="0"/>
          <w:marRight w:val="0"/>
          <w:marTop w:val="320"/>
          <w:marBottom w:val="320"/>
          <w:divBdr>
            <w:top w:val="none" w:sz="0" w:space="0" w:color="auto"/>
            <w:left w:val="none" w:sz="0" w:space="0" w:color="auto"/>
            <w:bottom w:val="none" w:sz="0" w:space="0" w:color="auto"/>
            <w:right w:val="none" w:sz="0" w:space="0" w:color="auto"/>
          </w:divBdr>
          <w:divsChild>
            <w:div w:id="1566332027">
              <w:marLeft w:val="0"/>
              <w:marRight w:val="0"/>
              <w:marTop w:val="0"/>
              <w:marBottom w:val="0"/>
              <w:divBdr>
                <w:top w:val="none" w:sz="0" w:space="0" w:color="auto"/>
                <w:left w:val="none" w:sz="0" w:space="0" w:color="auto"/>
                <w:bottom w:val="none" w:sz="0" w:space="0" w:color="auto"/>
                <w:right w:val="none" w:sz="0" w:space="0" w:color="auto"/>
              </w:divBdr>
            </w:div>
          </w:divsChild>
        </w:div>
        <w:div w:id="308678082">
          <w:marLeft w:val="0"/>
          <w:marRight w:val="0"/>
          <w:marTop w:val="320"/>
          <w:marBottom w:val="320"/>
          <w:divBdr>
            <w:top w:val="none" w:sz="0" w:space="0" w:color="auto"/>
            <w:left w:val="none" w:sz="0" w:space="0" w:color="auto"/>
            <w:bottom w:val="none" w:sz="0" w:space="0" w:color="auto"/>
            <w:right w:val="none" w:sz="0" w:space="0" w:color="auto"/>
          </w:divBdr>
          <w:divsChild>
            <w:div w:id="337124464">
              <w:marLeft w:val="0"/>
              <w:marRight w:val="0"/>
              <w:marTop w:val="0"/>
              <w:marBottom w:val="0"/>
              <w:divBdr>
                <w:top w:val="none" w:sz="0" w:space="0" w:color="auto"/>
                <w:left w:val="none" w:sz="0" w:space="0" w:color="auto"/>
                <w:bottom w:val="none" w:sz="0" w:space="0" w:color="auto"/>
                <w:right w:val="none" w:sz="0" w:space="0" w:color="auto"/>
              </w:divBdr>
            </w:div>
          </w:divsChild>
        </w:div>
        <w:div w:id="1938518667">
          <w:marLeft w:val="0"/>
          <w:marRight w:val="0"/>
          <w:marTop w:val="320"/>
          <w:marBottom w:val="320"/>
          <w:divBdr>
            <w:top w:val="none" w:sz="0" w:space="0" w:color="auto"/>
            <w:left w:val="none" w:sz="0" w:space="0" w:color="auto"/>
            <w:bottom w:val="none" w:sz="0" w:space="0" w:color="auto"/>
            <w:right w:val="none" w:sz="0" w:space="0" w:color="auto"/>
          </w:divBdr>
          <w:divsChild>
            <w:div w:id="1631931797">
              <w:marLeft w:val="0"/>
              <w:marRight w:val="0"/>
              <w:marTop w:val="0"/>
              <w:marBottom w:val="0"/>
              <w:divBdr>
                <w:top w:val="none" w:sz="0" w:space="0" w:color="auto"/>
                <w:left w:val="none" w:sz="0" w:space="0" w:color="auto"/>
                <w:bottom w:val="none" w:sz="0" w:space="0" w:color="auto"/>
                <w:right w:val="none" w:sz="0" w:space="0" w:color="auto"/>
              </w:divBdr>
              <w:divsChild>
                <w:div w:id="150189422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586187851">
      <w:bodyDiv w:val="1"/>
      <w:marLeft w:val="0"/>
      <w:marRight w:val="0"/>
      <w:marTop w:val="0"/>
      <w:marBottom w:val="0"/>
      <w:divBdr>
        <w:top w:val="none" w:sz="0" w:space="0" w:color="auto"/>
        <w:left w:val="none" w:sz="0" w:space="0" w:color="auto"/>
        <w:bottom w:val="none" w:sz="0" w:space="0" w:color="auto"/>
        <w:right w:val="none" w:sz="0" w:space="0" w:color="auto"/>
      </w:divBdr>
      <w:divsChild>
        <w:div w:id="924530990">
          <w:marLeft w:val="-18"/>
          <w:marRight w:val="-18"/>
          <w:marTop w:val="0"/>
          <w:marBottom w:val="0"/>
          <w:divBdr>
            <w:top w:val="none" w:sz="0" w:space="0" w:color="auto"/>
            <w:left w:val="none" w:sz="0" w:space="0" w:color="auto"/>
            <w:bottom w:val="none" w:sz="0" w:space="0" w:color="auto"/>
            <w:right w:val="none" w:sz="0" w:space="0" w:color="auto"/>
          </w:divBdr>
        </w:div>
        <w:div w:id="936134206">
          <w:marLeft w:val="0"/>
          <w:marRight w:val="0"/>
          <w:marTop w:val="0"/>
          <w:marBottom w:val="0"/>
          <w:divBdr>
            <w:top w:val="none" w:sz="0" w:space="0" w:color="auto"/>
            <w:left w:val="none" w:sz="0" w:space="0" w:color="auto"/>
            <w:bottom w:val="none" w:sz="0" w:space="0" w:color="auto"/>
            <w:right w:val="none" w:sz="0" w:space="0" w:color="auto"/>
          </w:divBdr>
        </w:div>
      </w:divsChild>
    </w:div>
    <w:div w:id="1590502758">
      <w:bodyDiv w:val="1"/>
      <w:marLeft w:val="0"/>
      <w:marRight w:val="0"/>
      <w:marTop w:val="0"/>
      <w:marBottom w:val="0"/>
      <w:divBdr>
        <w:top w:val="none" w:sz="0" w:space="0" w:color="auto"/>
        <w:left w:val="none" w:sz="0" w:space="0" w:color="auto"/>
        <w:bottom w:val="none" w:sz="0" w:space="0" w:color="auto"/>
        <w:right w:val="none" w:sz="0" w:space="0" w:color="auto"/>
      </w:divBdr>
      <w:divsChild>
        <w:div w:id="310986314">
          <w:marLeft w:val="0"/>
          <w:marRight w:val="1166"/>
          <w:marTop w:val="200"/>
          <w:marBottom w:val="0"/>
          <w:divBdr>
            <w:top w:val="none" w:sz="0" w:space="0" w:color="auto"/>
            <w:left w:val="none" w:sz="0" w:space="0" w:color="auto"/>
            <w:bottom w:val="none" w:sz="0" w:space="0" w:color="auto"/>
            <w:right w:val="none" w:sz="0" w:space="0" w:color="auto"/>
          </w:divBdr>
        </w:div>
        <w:div w:id="848329799">
          <w:marLeft w:val="0"/>
          <w:marRight w:val="1166"/>
          <w:marTop w:val="200"/>
          <w:marBottom w:val="0"/>
          <w:divBdr>
            <w:top w:val="none" w:sz="0" w:space="0" w:color="auto"/>
            <w:left w:val="none" w:sz="0" w:space="0" w:color="auto"/>
            <w:bottom w:val="none" w:sz="0" w:space="0" w:color="auto"/>
            <w:right w:val="none" w:sz="0" w:space="0" w:color="auto"/>
          </w:divBdr>
        </w:div>
      </w:divsChild>
    </w:div>
    <w:div w:id="1591237693">
      <w:bodyDiv w:val="1"/>
      <w:marLeft w:val="0"/>
      <w:marRight w:val="0"/>
      <w:marTop w:val="0"/>
      <w:marBottom w:val="0"/>
      <w:divBdr>
        <w:top w:val="none" w:sz="0" w:space="0" w:color="auto"/>
        <w:left w:val="none" w:sz="0" w:space="0" w:color="auto"/>
        <w:bottom w:val="none" w:sz="0" w:space="0" w:color="auto"/>
        <w:right w:val="none" w:sz="0" w:space="0" w:color="auto"/>
      </w:divBdr>
    </w:div>
    <w:div w:id="1592349440">
      <w:bodyDiv w:val="1"/>
      <w:marLeft w:val="0"/>
      <w:marRight w:val="0"/>
      <w:marTop w:val="0"/>
      <w:marBottom w:val="0"/>
      <w:divBdr>
        <w:top w:val="none" w:sz="0" w:space="0" w:color="auto"/>
        <w:left w:val="none" w:sz="0" w:space="0" w:color="auto"/>
        <w:bottom w:val="none" w:sz="0" w:space="0" w:color="auto"/>
        <w:right w:val="none" w:sz="0" w:space="0" w:color="auto"/>
      </w:divBdr>
    </w:div>
    <w:div w:id="1592465602">
      <w:bodyDiv w:val="1"/>
      <w:marLeft w:val="0"/>
      <w:marRight w:val="0"/>
      <w:marTop w:val="0"/>
      <w:marBottom w:val="0"/>
      <w:divBdr>
        <w:top w:val="none" w:sz="0" w:space="0" w:color="auto"/>
        <w:left w:val="none" w:sz="0" w:space="0" w:color="auto"/>
        <w:bottom w:val="none" w:sz="0" w:space="0" w:color="auto"/>
        <w:right w:val="none" w:sz="0" w:space="0" w:color="auto"/>
      </w:divBdr>
    </w:div>
    <w:div w:id="1595087117">
      <w:bodyDiv w:val="1"/>
      <w:marLeft w:val="0"/>
      <w:marRight w:val="0"/>
      <w:marTop w:val="0"/>
      <w:marBottom w:val="0"/>
      <w:divBdr>
        <w:top w:val="none" w:sz="0" w:space="0" w:color="auto"/>
        <w:left w:val="none" w:sz="0" w:space="0" w:color="auto"/>
        <w:bottom w:val="none" w:sz="0" w:space="0" w:color="auto"/>
        <w:right w:val="none" w:sz="0" w:space="0" w:color="auto"/>
      </w:divBdr>
    </w:div>
    <w:div w:id="1596475437">
      <w:bodyDiv w:val="1"/>
      <w:marLeft w:val="0"/>
      <w:marRight w:val="0"/>
      <w:marTop w:val="0"/>
      <w:marBottom w:val="0"/>
      <w:divBdr>
        <w:top w:val="none" w:sz="0" w:space="0" w:color="auto"/>
        <w:left w:val="none" w:sz="0" w:space="0" w:color="auto"/>
        <w:bottom w:val="none" w:sz="0" w:space="0" w:color="auto"/>
        <w:right w:val="none" w:sz="0" w:space="0" w:color="auto"/>
      </w:divBdr>
    </w:div>
    <w:div w:id="1610771132">
      <w:bodyDiv w:val="1"/>
      <w:marLeft w:val="0"/>
      <w:marRight w:val="0"/>
      <w:marTop w:val="0"/>
      <w:marBottom w:val="0"/>
      <w:divBdr>
        <w:top w:val="none" w:sz="0" w:space="0" w:color="auto"/>
        <w:left w:val="none" w:sz="0" w:space="0" w:color="auto"/>
        <w:bottom w:val="none" w:sz="0" w:space="0" w:color="auto"/>
        <w:right w:val="none" w:sz="0" w:space="0" w:color="auto"/>
      </w:divBdr>
    </w:div>
    <w:div w:id="1615870447">
      <w:bodyDiv w:val="1"/>
      <w:marLeft w:val="0"/>
      <w:marRight w:val="0"/>
      <w:marTop w:val="0"/>
      <w:marBottom w:val="0"/>
      <w:divBdr>
        <w:top w:val="none" w:sz="0" w:space="0" w:color="auto"/>
        <w:left w:val="none" w:sz="0" w:space="0" w:color="auto"/>
        <w:bottom w:val="none" w:sz="0" w:space="0" w:color="auto"/>
        <w:right w:val="none" w:sz="0" w:space="0" w:color="auto"/>
      </w:divBdr>
    </w:div>
    <w:div w:id="1631092224">
      <w:bodyDiv w:val="1"/>
      <w:marLeft w:val="0"/>
      <w:marRight w:val="0"/>
      <w:marTop w:val="0"/>
      <w:marBottom w:val="0"/>
      <w:divBdr>
        <w:top w:val="none" w:sz="0" w:space="0" w:color="auto"/>
        <w:left w:val="none" w:sz="0" w:space="0" w:color="auto"/>
        <w:bottom w:val="none" w:sz="0" w:space="0" w:color="auto"/>
        <w:right w:val="none" w:sz="0" w:space="0" w:color="auto"/>
      </w:divBdr>
    </w:div>
    <w:div w:id="1635213407">
      <w:bodyDiv w:val="1"/>
      <w:marLeft w:val="0"/>
      <w:marRight w:val="0"/>
      <w:marTop w:val="0"/>
      <w:marBottom w:val="0"/>
      <w:divBdr>
        <w:top w:val="none" w:sz="0" w:space="0" w:color="auto"/>
        <w:left w:val="none" w:sz="0" w:space="0" w:color="auto"/>
        <w:bottom w:val="none" w:sz="0" w:space="0" w:color="auto"/>
        <w:right w:val="none" w:sz="0" w:space="0" w:color="auto"/>
      </w:divBdr>
    </w:div>
    <w:div w:id="1638144964">
      <w:bodyDiv w:val="1"/>
      <w:marLeft w:val="0"/>
      <w:marRight w:val="0"/>
      <w:marTop w:val="0"/>
      <w:marBottom w:val="0"/>
      <w:divBdr>
        <w:top w:val="none" w:sz="0" w:space="0" w:color="auto"/>
        <w:left w:val="none" w:sz="0" w:space="0" w:color="auto"/>
        <w:bottom w:val="none" w:sz="0" w:space="0" w:color="auto"/>
        <w:right w:val="none" w:sz="0" w:space="0" w:color="auto"/>
      </w:divBdr>
    </w:div>
    <w:div w:id="1640843822">
      <w:bodyDiv w:val="1"/>
      <w:marLeft w:val="0"/>
      <w:marRight w:val="0"/>
      <w:marTop w:val="0"/>
      <w:marBottom w:val="0"/>
      <w:divBdr>
        <w:top w:val="none" w:sz="0" w:space="0" w:color="auto"/>
        <w:left w:val="none" w:sz="0" w:space="0" w:color="auto"/>
        <w:bottom w:val="none" w:sz="0" w:space="0" w:color="auto"/>
        <w:right w:val="none" w:sz="0" w:space="0" w:color="auto"/>
      </w:divBdr>
    </w:div>
    <w:div w:id="1641501021">
      <w:bodyDiv w:val="1"/>
      <w:marLeft w:val="0"/>
      <w:marRight w:val="0"/>
      <w:marTop w:val="0"/>
      <w:marBottom w:val="0"/>
      <w:divBdr>
        <w:top w:val="none" w:sz="0" w:space="0" w:color="auto"/>
        <w:left w:val="none" w:sz="0" w:space="0" w:color="auto"/>
        <w:bottom w:val="none" w:sz="0" w:space="0" w:color="auto"/>
        <w:right w:val="none" w:sz="0" w:space="0" w:color="auto"/>
      </w:divBdr>
    </w:div>
    <w:div w:id="1665358634">
      <w:bodyDiv w:val="1"/>
      <w:marLeft w:val="0"/>
      <w:marRight w:val="0"/>
      <w:marTop w:val="0"/>
      <w:marBottom w:val="0"/>
      <w:divBdr>
        <w:top w:val="none" w:sz="0" w:space="0" w:color="auto"/>
        <w:left w:val="none" w:sz="0" w:space="0" w:color="auto"/>
        <w:bottom w:val="none" w:sz="0" w:space="0" w:color="auto"/>
        <w:right w:val="none" w:sz="0" w:space="0" w:color="auto"/>
      </w:divBdr>
    </w:div>
    <w:div w:id="1674064964">
      <w:bodyDiv w:val="1"/>
      <w:marLeft w:val="0"/>
      <w:marRight w:val="0"/>
      <w:marTop w:val="0"/>
      <w:marBottom w:val="0"/>
      <w:divBdr>
        <w:top w:val="none" w:sz="0" w:space="0" w:color="auto"/>
        <w:left w:val="none" w:sz="0" w:space="0" w:color="auto"/>
        <w:bottom w:val="none" w:sz="0" w:space="0" w:color="auto"/>
        <w:right w:val="none" w:sz="0" w:space="0" w:color="auto"/>
      </w:divBdr>
      <w:divsChild>
        <w:div w:id="1085876533">
          <w:marLeft w:val="0"/>
          <w:marRight w:val="0"/>
          <w:marTop w:val="0"/>
          <w:marBottom w:val="0"/>
          <w:divBdr>
            <w:top w:val="none" w:sz="0" w:space="0" w:color="auto"/>
            <w:left w:val="none" w:sz="0" w:space="0" w:color="auto"/>
            <w:bottom w:val="none" w:sz="0" w:space="0" w:color="auto"/>
            <w:right w:val="none" w:sz="0" w:space="0" w:color="auto"/>
          </w:divBdr>
          <w:divsChild>
            <w:div w:id="131787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4895">
      <w:bodyDiv w:val="1"/>
      <w:marLeft w:val="0"/>
      <w:marRight w:val="0"/>
      <w:marTop w:val="0"/>
      <w:marBottom w:val="0"/>
      <w:divBdr>
        <w:top w:val="none" w:sz="0" w:space="0" w:color="auto"/>
        <w:left w:val="none" w:sz="0" w:space="0" w:color="auto"/>
        <w:bottom w:val="none" w:sz="0" w:space="0" w:color="auto"/>
        <w:right w:val="none" w:sz="0" w:space="0" w:color="auto"/>
      </w:divBdr>
    </w:div>
    <w:div w:id="1696226735">
      <w:bodyDiv w:val="1"/>
      <w:marLeft w:val="0"/>
      <w:marRight w:val="0"/>
      <w:marTop w:val="0"/>
      <w:marBottom w:val="0"/>
      <w:divBdr>
        <w:top w:val="none" w:sz="0" w:space="0" w:color="auto"/>
        <w:left w:val="none" w:sz="0" w:space="0" w:color="auto"/>
        <w:bottom w:val="none" w:sz="0" w:space="0" w:color="auto"/>
        <w:right w:val="none" w:sz="0" w:space="0" w:color="auto"/>
      </w:divBdr>
    </w:div>
    <w:div w:id="1702705024">
      <w:bodyDiv w:val="1"/>
      <w:marLeft w:val="0"/>
      <w:marRight w:val="0"/>
      <w:marTop w:val="0"/>
      <w:marBottom w:val="0"/>
      <w:divBdr>
        <w:top w:val="none" w:sz="0" w:space="0" w:color="auto"/>
        <w:left w:val="none" w:sz="0" w:space="0" w:color="auto"/>
        <w:bottom w:val="none" w:sz="0" w:space="0" w:color="auto"/>
        <w:right w:val="none" w:sz="0" w:space="0" w:color="auto"/>
      </w:divBdr>
    </w:div>
    <w:div w:id="1708214045">
      <w:bodyDiv w:val="1"/>
      <w:marLeft w:val="0"/>
      <w:marRight w:val="0"/>
      <w:marTop w:val="0"/>
      <w:marBottom w:val="0"/>
      <w:divBdr>
        <w:top w:val="none" w:sz="0" w:space="0" w:color="auto"/>
        <w:left w:val="none" w:sz="0" w:space="0" w:color="auto"/>
        <w:bottom w:val="none" w:sz="0" w:space="0" w:color="auto"/>
        <w:right w:val="none" w:sz="0" w:space="0" w:color="auto"/>
      </w:divBdr>
    </w:div>
    <w:div w:id="1716781175">
      <w:bodyDiv w:val="1"/>
      <w:marLeft w:val="0"/>
      <w:marRight w:val="0"/>
      <w:marTop w:val="0"/>
      <w:marBottom w:val="0"/>
      <w:divBdr>
        <w:top w:val="none" w:sz="0" w:space="0" w:color="auto"/>
        <w:left w:val="none" w:sz="0" w:space="0" w:color="auto"/>
        <w:bottom w:val="none" w:sz="0" w:space="0" w:color="auto"/>
        <w:right w:val="none" w:sz="0" w:space="0" w:color="auto"/>
      </w:divBdr>
    </w:div>
    <w:div w:id="1720662352">
      <w:bodyDiv w:val="1"/>
      <w:marLeft w:val="0"/>
      <w:marRight w:val="0"/>
      <w:marTop w:val="0"/>
      <w:marBottom w:val="0"/>
      <w:divBdr>
        <w:top w:val="none" w:sz="0" w:space="0" w:color="auto"/>
        <w:left w:val="none" w:sz="0" w:space="0" w:color="auto"/>
        <w:bottom w:val="none" w:sz="0" w:space="0" w:color="auto"/>
        <w:right w:val="none" w:sz="0" w:space="0" w:color="auto"/>
      </w:divBdr>
    </w:div>
    <w:div w:id="1722560181">
      <w:bodyDiv w:val="1"/>
      <w:marLeft w:val="0"/>
      <w:marRight w:val="0"/>
      <w:marTop w:val="0"/>
      <w:marBottom w:val="0"/>
      <w:divBdr>
        <w:top w:val="none" w:sz="0" w:space="0" w:color="auto"/>
        <w:left w:val="none" w:sz="0" w:space="0" w:color="auto"/>
        <w:bottom w:val="none" w:sz="0" w:space="0" w:color="auto"/>
        <w:right w:val="none" w:sz="0" w:space="0" w:color="auto"/>
      </w:divBdr>
      <w:divsChild>
        <w:div w:id="387925328">
          <w:marLeft w:val="0"/>
          <w:marRight w:val="0"/>
          <w:marTop w:val="0"/>
          <w:marBottom w:val="0"/>
          <w:divBdr>
            <w:top w:val="none" w:sz="0" w:space="0" w:color="auto"/>
            <w:left w:val="none" w:sz="0" w:space="0" w:color="auto"/>
            <w:bottom w:val="none" w:sz="0" w:space="0" w:color="auto"/>
            <w:right w:val="none" w:sz="0" w:space="0" w:color="auto"/>
          </w:divBdr>
          <w:divsChild>
            <w:div w:id="331881524">
              <w:marLeft w:val="-277"/>
              <w:marRight w:val="-277"/>
              <w:marTop w:val="0"/>
              <w:marBottom w:val="0"/>
              <w:divBdr>
                <w:top w:val="none" w:sz="0" w:space="0" w:color="auto"/>
                <w:left w:val="none" w:sz="0" w:space="0" w:color="auto"/>
                <w:bottom w:val="none" w:sz="0" w:space="0" w:color="auto"/>
                <w:right w:val="none" w:sz="0" w:space="0" w:color="auto"/>
              </w:divBdr>
              <w:divsChild>
                <w:div w:id="512035284">
                  <w:marLeft w:val="0"/>
                  <w:marRight w:val="0"/>
                  <w:marTop w:val="0"/>
                  <w:marBottom w:val="0"/>
                  <w:divBdr>
                    <w:top w:val="none" w:sz="0" w:space="0" w:color="auto"/>
                    <w:left w:val="none" w:sz="0" w:space="0" w:color="auto"/>
                    <w:bottom w:val="none" w:sz="0" w:space="0" w:color="auto"/>
                    <w:right w:val="none" w:sz="0" w:space="0" w:color="auto"/>
                  </w:divBdr>
                  <w:divsChild>
                    <w:div w:id="1051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59620">
          <w:marLeft w:val="0"/>
          <w:marRight w:val="0"/>
          <w:marTop w:val="0"/>
          <w:marBottom w:val="0"/>
          <w:divBdr>
            <w:top w:val="none" w:sz="0" w:space="0" w:color="auto"/>
            <w:left w:val="none" w:sz="0" w:space="0" w:color="auto"/>
            <w:bottom w:val="none" w:sz="0" w:space="0" w:color="auto"/>
            <w:right w:val="none" w:sz="0" w:space="0" w:color="auto"/>
          </w:divBdr>
          <w:divsChild>
            <w:div w:id="1314411697">
              <w:marLeft w:val="-277"/>
              <w:marRight w:val="-277"/>
              <w:marTop w:val="0"/>
              <w:marBottom w:val="0"/>
              <w:divBdr>
                <w:top w:val="none" w:sz="0" w:space="0" w:color="auto"/>
                <w:left w:val="none" w:sz="0" w:space="0" w:color="auto"/>
                <w:bottom w:val="none" w:sz="0" w:space="0" w:color="auto"/>
                <w:right w:val="none" w:sz="0" w:space="0" w:color="auto"/>
              </w:divBdr>
              <w:divsChild>
                <w:div w:id="1239023955">
                  <w:marLeft w:val="0"/>
                  <w:marRight w:val="0"/>
                  <w:marTop w:val="0"/>
                  <w:marBottom w:val="0"/>
                  <w:divBdr>
                    <w:top w:val="none" w:sz="0" w:space="0" w:color="auto"/>
                    <w:left w:val="none" w:sz="0" w:space="0" w:color="auto"/>
                    <w:bottom w:val="none" w:sz="0" w:space="0" w:color="auto"/>
                    <w:right w:val="none" w:sz="0" w:space="0" w:color="auto"/>
                  </w:divBdr>
                  <w:divsChild>
                    <w:div w:id="8850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307612">
      <w:bodyDiv w:val="1"/>
      <w:marLeft w:val="0"/>
      <w:marRight w:val="0"/>
      <w:marTop w:val="0"/>
      <w:marBottom w:val="0"/>
      <w:divBdr>
        <w:top w:val="none" w:sz="0" w:space="0" w:color="auto"/>
        <w:left w:val="none" w:sz="0" w:space="0" w:color="auto"/>
        <w:bottom w:val="none" w:sz="0" w:space="0" w:color="auto"/>
        <w:right w:val="none" w:sz="0" w:space="0" w:color="auto"/>
      </w:divBdr>
    </w:div>
    <w:div w:id="1751804462">
      <w:bodyDiv w:val="1"/>
      <w:marLeft w:val="0"/>
      <w:marRight w:val="0"/>
      <w:marTop w:val="0"/>
      <w:marBottom w:val="0"/>
      <w:divBdr>
        <w:top w:val="none" w:sz="0" w:space="0" w:color="auto"/>
        <w:left w:val="none" w:sz="0" w:space="0" w:color="auto"/>
        <w:bottom w:val="none" w:sz="0" w:space="0" w:color="auto"/>
        <w:right w:val="none" w:sz="0" w:space="0" w:color="auto"/>
      </w:divBdr>
    </w:div>
    <w:div w:id="1759863273">
      <w:bodyDiv w:val="1"/>
      <w:marLeft w:val="0"/>
      <w:marRight w:val="0"/>
      <w:marTop w:val="0"/>
      <w:marBottom w:val="0"/>
      <w:divBdr>
        <w:top w:val="none" w:sz="0" w:space="0" w:color="auto"/>
        <w:left w:val="none" w:sz="0" w:space="0" w:color="auto"/>
        <w:bottom w:val="none" w:sz="0" w:space="0" w:color="auto"/>
        <w:right w:val="none" w:sz="0" w:space="0" w:color="auto"/>
      </w:divBdr>
    </w:div>
    <w:div w:id="1763404758">
      <w:bodyDiv w:val="1"/>
      <w:marLeft w:val="0"/>
      <w:marRight w:val="0"/>
      <w:marTop w:val="0"/>
      <w:marBottom w:val="0"/>
      <w:divBdr>
        <w:top w:val="none" w:sz="0" w:space="0" w:color="auto"/>
        <w:left w:val="none" w:sz="0" w:space="0" w:color="auto"/>
        <w:bottom w:val="none" w:sz="0" w:space="0" w:color="auto"/>
        <w:right w:val="none" w:sz="0" w:space="0" w:color="auto"/>
      </w:divBdr>
      <w:divsChild>
        <w:div w:id="189532102">
          <w:marLeft w:val="0"/>
          <w:marRight w:val="0"/>
          <w:marTop w:val="300"/>
          <w:marBottom w:val="300"/>
          <w:divBdr>
            <w:top w:val="none" w:sz="0" w:space="0" w:color="auto"/>
            <w:left w:val="none" w:sz="0" w:space="0" w:color="auto"/>
            <w:bottom w:val="none" w:sz="0" w:space="0" w:color="auto"/>
            <w:right w:val="none" w:sz="0" w:space="0" w:color="auto"/>
          </w:divBdr>
          <w:divsChild>
            <w:div w:id="270285722">
              <w:marLeft w:val="0"/>
              <w:marRight w:val="0"/>
              <w:marTop w:val="0"/>
              <w:marBottom w:val="0"/>
              <w:divBdr>
                <w:top w:val="none" w:sz="0" w:space="0" w:color="auto"/>
                <w:left w:val="none" w:sz="0" w:space="0" w:color="auto"/>
                <w:bottom w:val="none" w:sz="0" w:space="0" w:color="auto"/>
                <w:right w:val="none" w:sz="0" w:space="0" w:color="auto"/>
              </w:divBdr>
              <w:divsChild>
                <w:div w:id="70078331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345087124">
          <w:marLeft w:val="0"/>
          <w:marRight w:val="0"/>
          <w:marTop w:val="300"/>
          <w:marBottom w:val="300"/>
          <w:divBdr>
            <w:top w:val="none" w:sz="0" w:space="0" w:color="auto"/>
            <w:left w:val="none" w:sz="0" w:space="0" w:color="auto"/>
            <w:bottom w:val="none" w:sz="0" w:space="0" w:color="auto"/>
            <w:right w:val="none" w:sz="0" w:space="0" w:color="auto"/>
          </w:divBdr>
          <w:divsChild>
            <w:div w:id="507061266">
              <w:marLeft w:val="0"/>
              <w:marRight w:val="0"/>
              <w:marTop w:val="0"/>
              <w:marBottom w:val="0"/>
              <w:divBdr>
                <w:top w:val="none" w:sz="0" w:space="0" w:color="auto"/>
                <w:left w:val="none" w:sz="0" w:space="0" w:color="auto"/>
                <w:bottom w:val="none" w:sz="0" w:space="0" w:color="auto"/>
                <w:right w:val="none" w:sz="0" w:space="0" w:color="auto"/>
              </w:divBdr>
              <w:divsChild>
                <w:div w:id="105199558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70538539">
      <w:bodyDiv w:val="1"/>
      <w:marLeft w:val="0"/>
      <w:marRight w:val="0"/>
      <w:marTop w:val="0"/>
      <w:marBottom w:val="0"/>
      <w:divBdr>
        <w:top w:val="none" w:sz="0" w:space="0" w:color="auto"/>
        <w:left w:val="none" w:sz="0" w:space="0" w:color="auto"/>
        <w:bottom w:val="none" w:sz="0" w:space="0" w:color="auto"/>
        <w:right w:val="none" w:sz="0" w:space="0" w:color="auto"/>
      </w:divBdr>
    </w:div>
    <w:div w:id="1774283586">
      <w:bodyDiv w:val="1"/>
      <w:marLeft w:val="0"/>
      <w:marRight w:val="0"/>
      <w:marTop w:val="0"/>
      <w:marBottom w:val="0"/>
      <w:divBdr>
        <w:top w:val="none" w:sz="0" w:space="0" w:color="auto"/>
        <w:left w:val="none" w:sz="0" w:space="0" w:color="auto"/>
        <w:bottom w:val="none" w:sz="0" w:space="0" w:color="auto"/>
        <w:right w:val="none" w:sz="0" w:space="0" w:color="auto"/>
      </w:divBdr>
    </w:div>
    <w:div w:id="1776710955">
      <w:bodyDiv w:val="1"/>
      <w:marLeft w:val="0"/>
      <w:marRight w:val="0"/>
      <w:marTop w:val="0"/>
      <w:marBottom w:val="0"/>
      <w:divBdr>
        <w:top w:val="none" w:sz="0" w:space="0" w:color="auto"/>
        <w:left w:val="none" w:sz="0" w:space="0" w:color="auto"/>
        <w:bottom w:val="none" w:sz="0" w:space="0" w:color="auto"/>
        <w:right w:val="none" w:sz="0" w:space="0" w:color="auto"/>
      </w:divBdr>
    </w:div>
    <w:div w:id="1783914133">
      <w:bodyDiv w:val="1"/>
      <w:marLeft w:val="0"/>
      <w:marRight w:val="0"/>
      <w:marTop w:val="0"/>
      <w:marBottom w:val="0"/>
      <w:divBdr>
        <w:top w:val="none" w:sz="0" w:space="0" w:color="auto"/>
        <w:left w:val="none" w:sz="0" w:space="0" w:color="auto"/>
        <w:bottom w:val="none" w:sz="0" w:space="0" w:color="auto"/>
        <w:right w:val="none" w:sz="0" w:space="0" w:color="auto"/>
      </w:divBdr>
      <w:divsChild>
        <w:div w:id="191840808">
          <w:marLeft w:val="0"/>
          <w:marRight w:val="0"/>
          <w:marTop w:val="0"/>
          <w:marBottom w:val="0"/>
          <w:divBdr>
            <w:top w:val="none" w:sz="0" w:space="0" w:color="auto"/>
            <w:left w:val="none" w:sz="0" w:space="0" w:color="auto"/>
            <w:bottom w:val="none" w:sz="0" w:space="0" w:color="auto"/>
            <w:right w:val="none" w:sz="0" w:space="0" w:color="auto"/>
          </w:divBdr>
          <w:divsChild>
            <w:div w:id="1342008611">
              <w:marLeft w:val="0"/>
              <w:marRight w:val="0"/>
              <w:marTop w:val="0"/>
              <w:marBottom w:val="0"/>
              <w:divBdr>
                <w:top w:val="none" w:sz="0" w:space="0" w:color="auto"/>
                <w:left w:val="none" w:sz="0" w:space="0" w:color="auto"/>
                <w:bottom w:val="none" w:sz="0" w:space="0" w:color="auto"/>
                <w:right w:val="none" w:sz="0" w:space="0" w:color="auto"/>
              </w:divBdr>
            </w:div>
            <w:div w:id="191500469">
              <w:marLeft w:val="0"/>
              <w:marRight w:val="0"/>
              <w:marTop w:val="0"/>
              <w:marBottom w:val="0"/>
              <w:divBdr>
                <w:top w:val="none" w:sz="0" w:space="0" w:color="auto"/>
                <w:left w:val="none" w:sz="0" w:space="0" w:color="auto"/>
                <w:bottom w:val="none" w:sz="0" w:space="0" w:color="auto"/>
                <w:right w:val="none" w:sz="0" w:space="0" w:color="auto"/>
              </w:divBdr>
              <w:divsChild>
                <w:div w:id="1948806149">
                  <w:marLeft w:val="0"/>
                  <w:marRight w:val="0"/>
                  <w:marTop w:val="0"/>
                  <w:marBottom w:val="0"/>
                  <w:divBdr>
                    <w:top w:val="none" w:sz="0" w:space="0" w:color="auto"/>
                    <w:left w:val="none" w:sz="0" w:space="0" w:color="auto"/>
                    <w:bottom w:val="none" w:sz="0" w:space="0" w:color="auto"/>
                    <w:right w:val="none" w:sz="0" w:space="0" w:color="auto"/>
                  </w:divBdr>
                </w:div>
                <w:div w:id="3922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434016">
          <w:marLeft w:val="0"/>
          <w:marRight w:val="0"/>
          <w:marTop w:val="0"/>
          <w:marBottom w:val="0"/>
          <w:divBdr>
            <w:top w:val="none" w:sz="0" w:space="0" w:color="auto"/>
            <w:left w:val="none" w:sz="0" w:space="0" w:color="auto"/>
            <w:bottom w:val="none" w:sz="0" w:space="0" w:color="auto"/>
            <w:right w:val="none" w:sz="0" w:space="0" w:color="auto"/>
          </w:divBdr>
          <w:divsChild>
            <w:div w:id="548954865">
              <w:marLeft w:val="0"/>
              <w:marRight w:val="0"/>
              <w:marTop w:val="0"/>
              <w:marBottom w:val="0"/>
              <w:divBdr>
                <w:top w:val="none" w:sz="0" w:space="0" w:color="auto"/>
                <w:left w:val="none" w:sz="0" w:space="0" w:color="auto"/>
                <w:bottom w:val="none" w:sz="0" w:space="0" w:color="auto"/>
                <w:right w:val="none" w:sz="0" w:space="0" w:color="auto"/>
              </w:divBdr>
            </w:div>
          </w:divsChild>
        </w:div>
        <w:div w:id="135879913">
          <w:marLeft w:val="0"/>
          <w:marRight w:val="0"/>
          <w:marTop w:val="0"/>
          <w:marBottom w:val="0"/>
          <w:divBdr>
            <w:top w:val="none" w:sz="0" w:space="0" w:color="auto"/>
            <w:left w:val="none" w:sz="0" w:space="0" w:color="auto"/>
            <w:bottom w:val="none" w:sz="0" w:space="0" w:color="auto"/>
            <w:right w:val="none" w:sz="0" w:space="0" w:color="auto"/>
          </w:divBdr>
          <w:divsChild>
            <w:div w:id="1558782342">
              <w:marLeft w:val="0"/>
              <w:marRight w:val="0"/>
              <w:marTop w:val="0"/>
              <w:marBottom w:val="0"/>
              <w:divBdr>
                <w:top w:val="none" w:sz="0" w:space="0" w:color="auto"/>
                <w:left w:val="none" w:sz="0" w:space="0" w:color="auto"/>
                <w:bottom w:val="none" w:sz="0" w:space="0" w:color="auto"/>
                <w:right w:val="none" w:sz="0" w:space="0" w:color="auto"/>
              </w:divBdr>
            </w:div>
            <w:div w:id="590505592">
              <w:marLeft w:val="0"/>
              <w:marRight w:val="0"/>
              <w:marTop w:val="0"/>
              <w:marBottom w:val="0"/>
              <w:divBdr>
                <w:top w:val="none" w:sz="0" w:space="0" w:color="auto"/>
                <w:left w:val="none" w:sz="0" w:space="0" w:color="auto"/>
                <w:bottom w:val="none" w:sz="0" w:space="0" w:color="auto"/>
                <w:right w:val="none" w:sz="0" w:space="0" w:color="auto"/>
              </w:divBdr>
            </w:div>
            <w:div w:id="94693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4238">
      <w:bodyDiv w:val="1"/>
      <w:marLeft w:val="0"/>
      <w:marRight w:val="0"/>
      <w:marTop w:val="0"/>
      <w:marBottom w:val="0"/>
      <w:divBdr>
        <w:top w:val="none" w:sz="0" w:space="0" w:color="auto"/>
        <w:left w:val="none" w:sz="0" w:space="0" w:color="auto"/>
        <w:bottom w:val="none" w:sz="0" w:space="0" w:color="auto"/>
        <w:right w:val="none" w:sz="0" w:space="0" w:color="auto"/>
      </w:divBdr>
      <w:divsChild>
        <w:div w:id="1705905916">
          <w:marLeft w:val="0"/>
          <w:marRight w:val="0"/>
          <w:marTop w:val="0"/>
          <w:marBottom w:val="0"/>
          <w:divBdr>
            <w:top w:val="none" w:sz="0" w:space="0" w:color="auto"/>
            <w:left w:val="none" w:sz="0" w:space="0" w:color="auto"/>
            <w:bottom w:val="none" w:sz="0" w:space="0" w:color="auto"/>
            <w:right w:val="none" w:sz="0" w:space="0" w:color="auto"/>
          </w:divBdr>
        </w:div>
        <w:div w:id="1850673842">
          <w:marLeft w:val="-225"/>
          <w:marRight w:val="-225"/>
          <w:marTop w:val="0"/>
          <w:marBottom w:val="0"/>
          <w:divBdr>
            <w:top w:val="none" w:sz="0" w:space="0" w:color="auto"/>
            <w:left w:val="none" w:sz="0" w:space="0" w:color="auto"/>
            <w:bottom w:val="none" w:sz="0" w:space="0" w:color="auto"/>
            <w:right w:val="none" w:sz="0" w:space="0" w:color="auto"/>
          </w:divBdr>
        </w:div>
      </w:divsChild>
    </w:div>
    <w:div w:id="1792239414">
      <w:bodyDiv w:val="1"/>
      <w:marLeft w:val="0"/>
      <w:marRight w:val="0"/>
      <w:marTop w:val="0"/>
      <w:marBottom w:val="0"/>
      <w:divBdr>
        <w:top w:val="none" w:sz="0" w:space="0" w:color="auto"/>
        <w:left w:val="none" w:sz="0" w:space="0" w:color="auto"/>
        <w:bottom w:val="none" w:sz="0" w:space="0" w:color="auto"/>
        <w:right w:val="none" w:sz="0" w:space="0" w:color="auto"/>
      </w:divBdr>
    </w:div>
    <w:div w:id="1797212623">
      <w:bodyDiv w:val="1"/>
      <w:marLeft w:val="0"/>
      <w:marRight w:val="0"/>
      <w:marTop w:val="0"/>
      <w:marBottom w:val="0"/>
      <w:divBdr>
        <w:top w:val="none" w:sz="0" w:space="0" w:color="auto"/>
        <w:left w:val="none" w:sz="0" w:space="0" w:color="auto"/>
        <w:bottom w:val="none" w:sz="0" w:space="0" w:color="auto"/>
        <w:right w:val="none" w:sz="0" w:space="0" w:color="auto"/>
      </w:divBdr>
    </w:div>
    <w:div w:id="1798376366">
      <w:bodyDiv w:val="1"/>
      <w:marLeft w:val="0"/>
      <w:marRight w:val="0"/>
      <w:marTop w:val="0"/>
      <w:marBottom w:val="0"/>
      <w:divBdr>
        <w:top w:val="none" w:sz="0" w:space="0" w:color="auto"/>
        <w:left w:val="none" w:sz="0" w:space="0" w:color="auto"/>
        <w:bottom w:val="none" w:sz="0" w:space="0" w:color="auto"/>
        <w:right w:val="none" w:sz="0" w:space="0" w:color="auto"/>
      </w:divBdr>
      <w:divsChild>
        <w:div w:id="1930234170">
          <w:marLeft w:val="0"/>
          <w:marRight w:val="0"/>
          <w:marTop w:val="0"/>
          <w:marBottom w:val="0"/>
          <w:divBdr>
            <w:top w:val="none" w:sz="0" w:space="0" w:color="auto"/>
            <w:left w:val="none" w:sz="0" w:space="0" w:color="auto"/>
            <w:bottom w:val="none" w:sz="0" w:space="0" w:color="auto"/>
            <w:right w:val="none" w:sz="0" w:space="0" w:color="auto"/>
          </w:divBdr>
        </w:div>
        <w:div w:id="242641947">
          <w:marLeft w:val="0"/>
          <w:marRight w:val="0"/>
          <w:marTop w:val="0"/>
          <w:marBottom w:val="0"/>
          <w:divBdr>
            <w:top w:val="none" w:sz="0" w:space="0" w:color="auto"/>
            <w:left w:val="none" w:sz="0" w:space="0" w:color="auto"/>
            <w:bottom w:val="none" w:sz="0" w:space="0" w:color="auto"/>
            <w:right w:val="none" w:sz="0" w:space="0" w:color="auto"/>
          </w:divBdr>
        </w:div>
      </w:divsChild>
    </w:div>
    <w:div w:id="1804495019">
      <w:bodyDiv w:val="1"/>
      <w:marLeft w:val="0"/>
      <w:marRight w:val="0"/>
      <w:marTop w:val="0"/>
      <w:marBottom w:val="0"/>
      <w:divBdr>
        <w:top w:val="none" w:sz="0" w:space="0" w:color="auto"/>
        <w:left w:val="none" w:sz="0" w:space="0" w:color="auto"/>
        <w:bottom w:val="none" w:sz="0" w:space="0" w:color="auto"/>
        <w:right w:val="none" w:sz="0" w:space="0" w:color="auto"/>
      </w:divBdr>
    </w:div>
    <w:div w:id="1819296337">
      <w:bodyDiv w:val="1"/>
      <w:marLeft w:val="0"/>
      <w:marRight w:val="0"/>
      <w:marTop w:val="0"/>
      <w:marBottom w:val="0"/>
      <w:divBdr>
        <w:top w:val="none" w:sz="0" w:space="0" w:color="auto"/>
        <w:left w:val="none" w:sz="0" w:space="0" w:color="auto"/>
        <w:bottom w:val="none" w:sz="0" w:space="0" w:color="auto"/>
        <w:right w:val="none" w:sz="0" w:space="0" w:color="auto"/>
      </w:divBdr>
    </w:div>
    <w:div w:id="1821340635">
      <w:bodyDiv w:val="1"/>
      <w:marLeft w:val="0"/>
      <w:marRight w:val="0"/>
      <w:marTop w:val="0"/>
      <w:marBottom w:val="0"/>
      <w:divBdr>
        <w:top w:val="none" w:sz="0" w:space="0" w:color="auto"/>
        <w:left w:val="none" w:sz="0" w:space="0" w:color="auto"/>
        <w:bottom w:val="none" w:sz="0" w:space="0" w:color="auto"/>
        <w:right w:val="none" w:sz="0" w:space="0" w:color="auto"/>
      </w:divBdr>
    </w:div>
    <w:div w:id="1835298916">
      <w:bodyDiv w:val="1"/>
      <w:marLeft w:val="0"/>
      <w:marRight w:val="0"/>
      <w:marTop w:val="0"/>
      <w:marBottom w:val="0"/>
      <w:divBdr>
        <w:top w:val="none" w:sz="0" w:space="0" w:color="auto"/>
        <w:left w:val="none" w:sz="0" w:space="0" w:color="auto"/>
        <w:bottom w:val="none" w:sz="0" w:space="0" w:color="auto"/>
        <w:right w:val="none" w:sz="0" w:space="0" w:color="auto"/>
      </w:divBdr>
    </w:div>
    <w:div w:id="1850413082">
      <w:bodyDiv w:val="1"/>
      <w:marLeft w:val="0"/>
      <w:marRight w:val="0"/>
      <w:marTop w:val="0"/>
      <w:marBottom w:val="0"/>
      <w:divBdr>
        <w:top w:val="none" w:sz="0" w:space="0" w:color="auto"/>
        <w:left w:val="none" w:sz="0" w:space="0" w:color="auto"/>
        <w:bottom w:val="none" w:sz="0" w:space="0" w:color="auto"/>
        <w:right w:val="none" w:sz="0" w:space="0" w:color="auto"/>
      </w:divBdr>
    </w:div>
    <w:div w:id="1877353373">
      <w:bodyDiv w:val="1"/>
      <w:marLeft w:val="0"/>
      <w:marRight w:val="0"/>
      <w:marTop w:val="0"/>
      <w:marBottom w:val="0"/>
      <w:divBdr>
        <w:top w:val="none" w:sz="0" w:space="0" w:color="auto"/>
        <w:left w:val="none" w:sz="0" w:space="0" w:color="auto"/>
        <w:bottom w:val="none" w:sz="0" w:space="0" w:color="auto"/>
        <w:right w:val="none" w:sz="0" w:space="0" w:color="auto"/>
      </w:divBdr>
    </w:div>
    <w:div w:id="1881550257">
      <w:bodyDiv w:val="1"/>
      <w:marLeft w:val="0"/>
      <w:marRight w:val="0"/>
      <w:marTop w:val="0"/>
      <w:marBottom w:val="0"/>
      <w:divBdr>
        <w:top w:val="none" w:sz="0" w:space="0" w:color="auto"/>
        <w:left w:val="none" w:sz="0" w:space="0" w:color="auto"/>
        <w:bottom w:val="none" w:sz="0" w:space="0" w:color="auto"/>
        <w:right w:val="none" w:sz="0" w:space="0" w:color="auto"/>
      </w:divBdr>
    </w:div>
    <w:div w:id="1884706890">
      <w:bodyDiv w:val="1"/>
      <w:marLeft w:val="0"/>
      <w:marRight w:val="0"/>
      <w:marTop w:val="0"/>
      <w:marBottom w:val="0"/>
      <w:divBdr>
        <w:top w:val="none" w:sz="0" w:space="0" w:color="auto"/>
        <w:left w:val="none" w:sz="0" w:space="0" w:color="auto"/>
        <w:bottom w:val="none" w:sz="0" w:space="0" w:color="auto"/>
        <w:right w:val="none" w:sz="0" w:space="0" w:color="auto"/>
      </w:divBdr>
    </w:div>
    <w:div w:id="1897932492">
      <w:bodyDiv w:val="1"/>
      <w:marLeft w:val="0"/>
      <w:marRight w:val="0"/>
      <w:marTop w:val="0"/>
      <w:marBottom w:val="0"/>
      <w:divBdr>
        <w:top w:val="none" w:sz="0" w:space="0" w:color="auto"/>
        <w:left w:val="none" w:sz="0" w:space="0" w:color="auto"/>
        <w:bottom w:val="none" w:sz="0" w:space="0" w:color="auto"/>
        <w:right w:val="none" w:sz="0" w:space="0" w:color="auto"/>
      </w:divBdr>
    </w:div>
    <w:div w:id="1910729511">
      <w:bodyDiv w:val="1"/>
      <w:marLeft w:val="0"/>
      <w:marRight w:val="0"/>
      <w:marTop w:val="0"/>
      <w:marBottom w:val="0"/>
      <w:divBdr>
        <w:top w:val="none" w:sz="0" w:space="0" w:color="auto"/>
        <w:left w:val="none" w:sz="0" w:space="0" w:color="auto"/>
        <w:bottom w:val="none" w:sz="0" w:space="0" w:color="auto"/>
        <w:right w:val="none" w:sz="0" w:space="0" w:color="auto"/>
      </w:divBdr>
      <w:divsChild>
        <w:div w:id="2024239739">
          <w:marLeft w:val="0"/>
          <w:marRight w:val="0"/>
          <w:marTop w:val="0"/>
          <w:marBottom w:val="0"/>
          <w:divBdr>
            <w:top w:val="none" w:sz="0" w:space="0" w:color="auto"/>
            <w:left w:val="none" w:sz="0" w:space="0" w:color="auto"/>
            <w:bottom w:val="none" w:sz="0" w:space="0" w:color="auto"/>
            <w:right w:val="none" w:sz="0" w:space="0" w:color="auto"/>
          </w:divBdr>
          <w:divsChild>
            <w:div w:id="1375733245">
              <w:marLeft w:val="0"/>
              <w:marRight w:val="0"/>
              <w:marTop w:val="0"/>
              <w:marBottom w:val="0"/>
              <w:divBdr>
                <w:top w:val="none" w:sz="0" w:space="0" w:color="auto"/>
                <w:left w:val="none" w:sz="0" w:space="0" w:color="auto"/>
                <w:bottom w:val="none" w:sz="0" w:space="0" w:color="auto"/>
                <w:right w:val="none" w:sz="0" w:space="0" w:color="auto"/>
              </w:divBdr>
            </w:div>
            <w:div w:id="886142919">
              <w:marLeft w:val="0"/>
              <w:marRight w:val="0"/>
              <w:marTop w:val="0"/>
              <w:marBottom w:val="0"/>
              <w:divBdr>
                <w:top w:val="none" w:sz="0" w:space="0" w:color="auto"/>
                <w:left w:val="none" w:sz="0" w:space="0" w:color="auto"/>
                <w:bottom w:val="none" w:sz="0" w:space="0" w:color="auto"/>
                <w:right w:val="none" w:sz="0" w:space="0" w:color="auto"/>
              </w:divBdr>
            </w:div>
            <w:div w:id="717045947">
              <w:marLeft w:val="0"/>
              <w:marRight w:val="0"/>
              <w:marTop w:val="0"/>
              <w:marBottom w:val="0"/>
              <w:divBdr>
                <w:top w:val="none" w:sz="0" w:space="0" w:color="auto"/>
                <w:left w:val="none" w:sz="0" w:space="0" w:color="auto"/>
                <w:bottom w:val="none" w:sz="0" w:space="0" w:color="auto"/>
                <w:right w:val="none" w:sz="0" w:space="0" w:color="auto"/>
              </w:divBdr>
            </w:div>
            <w:div w:id="1425685479">
              <w:marLeft w:val="0"/>
              <w:marRight w:val="0"/>
              <w:marTop w:val="0"/>
              <w:marBottom w:val="0"/>
              <w:divBdr>
                <w:top w:val="none" w:sz="0" w:space="0" w:color="auto"/>
                <w:left w:val="none" w:sz="0" w:space="0" w:color="auto"/>
                <w:bottom w:val="none" w:sz="0" w:space="0" w:color="auto"/>
                <w:right w:val="none" w:sz="0" w:space="0" w:color="auto"/>
              </w:divBdr>
            </w:div>
            <w:div w:id="822696656">
              <w:marLeft w:val="0"/>
              <w:marRight w:val="0"/>
              <w:marTop w:val="0"/>
              <w:marBottom w:val="0"/>
              <w:divBdr>
                <w:top w:val="none" w:sz="0" w:space="0" w:color="auto"/>
                <w:left w:val="none" w:sz="0" w:space="0" w:color="auto"/>
                <w:bottom w:val="none" w:sz="0" w:space="0" w:color="auto"/>
                <w:right w:val="none" w:sz="0" w:space="0" w:color="auto"/>
              </w:divBdr>
            </w:div>
            <w:div w:id="1898515053">
              <w:marLeft w:val="0"/>
              <w:marRight w:val="0"/>
              <w:marTop w:val="0"/>
              <w:marBottom w:val="0"/>
              <w:divBdr>
                <w:top w:val="none" w:sz="0" w:space="0" w:color="auto"/>
                <w:left w:val="none" w:sz="0" w:space="0" w:color="auto"/>
                <w:bottom w:val="none" w:sz="0" w:space="0" w:color="auto"/>
                <w:right w:val="none" w:sz="0" w:space="0" w:color="auto"/>
              </w:divBdr>
            </w:div>
            <w:div w:id="1926693957">
              <w:marLeft w:val="0"/>
              <w:marRight w:val="0"/>
              <w:marTop w:val="0"/>
              <w:marBottom w:val="0"/>
              <w:divBdr>
                <w:top w:val="none" w:sz="0" w:space="0" w:color="auto"/>
                <w:left w:val="none" w:sz="0" w:space="0" w:color="auto"/>
                <w:bottom w:val="none" w:sz="0" w:space="0" w:color="auto"/>
                <w:right w:val="none" w:sz="0" w:space="0" w:color="auto"/>
              </w:divBdr>
            </w:div>
            <w:div w:id="1676688559">
              <w:marLeft w:val="0"/>
              <w:marRight w:val="0"/>
              <w:marTop w:val="0"/>
              <w:marBottom w:val="0"/>
              <w:divBdr>
                <w:top w:val="none" w:sz="0" w:space="0" w:color="auto"/>
                <w:left w:val="none" w:sz="0" w:space="0" w:color="auto"/>
                <w:bottom w:val="none" w:sz="0" w:space="0" w:color="auto"/>
                <w:right w:val="none" w:sz="0" w:space="0" w:color="auto"/>
              </w:divBdr>
            </w:div>
            <w:div w:id="485361267">
              <w:marLeft w:val="0"/>
              <w:marRight w:val="0"/>
              <w:marTop w:val="0"/>
              <w:marBottom w:val="0"/>
              <w:divBdr>
                <w:top w:val="none" w:sz="0" w:space="0" w:color="auto"/>
                <w:left w:val="none" w:sz="0" w:space="0" w:color="auto"/>
                <w:bottom w:val="none" w:sz="0" w:space="0" w:color="auto"/>
                <w:right w:val="none" w:sz="0" w:space="0" w:color="auto"/>
              </w:divBdr>
            </w:div>
            <w:div w:id="2043362065">
              <w:marLeft w:val="0"/>
              <w:marRight w:val="0"/>
              <w:marTop w:val="0"/>
              <w:marBottom w:val="0"/>
              <w:divBdr>
                <w:top w:val="none" w:sz="0" w:space="0" w:color="auto"/>
                <w:left w:val="none" w:sz="0" w:space="0" w:color="auto"/>
                <w:bottom w:val="none" w:sz="0" w:space="0" w:color="auto"/>
                <w:right w:val="none" w:sz="0" w:space="0" w:color="auto"/>
              </w:divBdr>
            </w:div>
            <w:div w:id="181824937">
              <w:marLeft w:val="0"/>
              <w:marRight w:val="0"/>
              <w:marTop w:val="0"/>
              <w:marBottom w:val="0"/>
              <w:divBdr>
                <w:top w:val="none" w:sz="0" w:space="0" w:color="auto"/>
                <w:left w:val="none" w:sz="0" w:space="0" w:color="auto"/>
                <w:bottom w:val="none" w:sz="0" w:space="0" w:color="auto"/>
                <w:right w:val="none" w:sz="0" w:space="0" w:color="auto"/>
              </w:divBdr>
            </w:div>
            <w:div w:id="592396908">
              <w:marLeft w:val="0"/>
              <w:marRight w:val="0"/>
              <w:marTop w:val="0"/>
              <w:marBottom w:val="0"/>
              <w:divBdr>
                <w:top w:val="none" w:sz="0" w:space="0" w:color="auto"/>
                <w:left w:val="none" w:sz="0" w:space="0" w:color="auto"/>
                <w:bottom w:val="none" w:sz="0" w:space="0" w:color="auto"/>
                <w:right w:val="none" w:sz="0" w:space="0" w:color="auto"/>
              </w:divBdr>
            </w:div>
            <w:div w:id="1263757588">
              <w:marLeft w:val="0"/>
              <w:marRight w:val="0"/>
              <w:marTop w:val="0"/>
              <w:marBottom w:val="0"/>
              <w:divBdr>
                <w:top w:val="none" w:sz="0" w:space="0" w:color="auto"/>
                <w:left w:val="none" w:sz="0" w:space="0" w:color="auto"/>
                <w:bottom w:val="none" w:sz="0" w:space="0" w:color="auto"/>
                <w:right w:val="none" w:sz="0" w:space="0" w:color="auto"/>
              </w:divBdr>
            </w:div>
            <w:div w:id="1290821001">
              <w:marLeft w:val="0"/>
              <w:marRight w:val="0"/>
              <w:marTop w:val="0"/>
              <w:marBottom w:val="0"/>
              <w:divBdr>
                <w:top w:val="none" w:sz="0" w:space="0" w:color="auto"/>
                <w:left w:val="none" w:sz="0" w:space="0" w:color="auto"/>
                <w:bottom w:val="none" w:sz="0" w:space="0" w:color="auto"/>
                <w:right w:val="none" w:sz="0" w:space="0" w:color="auto"/>
              </w:divBdr>
            </w:div>
            <w:div w:id="1850216689">
              <w:marLeft w:val="0"/>
              <w:marRight w:val="0"/>
              <w:marTop w:val="0"/>
              <w:marBottom w:val="0"/>
              <w:divBdr>
                <w:top w:val="none" w:sz="0" w:space="0" w:color="auto"/>
                <w:left w:val="none" w:sz="0" w:space="0" w:color="auto"/>
                <w:bottom w:val="none" w:sz="0" w:space="0" w:color="auto"/>
                <w:right w:val="none" w:sz="0" w:space="0" w:color="auto"/>
              </w:divBdr>
            </w:div>
            <w:div w:id="2094351937">
              <w:marLeft w:val="0"/>
              <w:marRight w:val="0"/>
              <w:marTop w:val="0"/>
              <w:marBottom w:val="0"/>
              <w:divBdr>
                <w:top w:val="none" w:sz="0" w:space="0" w:color="auto"/>
                <w:left w:val="none" w:sz="0" w:space="0" w:color="auto"/>
                <w:bottom w:val="none" w:sz="0" w:space="0" w:color="auto"/>
                <w:right w:val="none" w:sz="0" w:space="0" w:color="auto"/>
              </w:divBdr>
            </w:div>
            <w:div w:id="1317497254">
              <w:marLeft w:val="0"/>
              <w:marRight w:val="0"/>
              <w:marTop w:val="0"/>
              <w:marBottom w:val="0"/>
              <w:divBdr>
                <w:top w:val="none" w:sz="0" w:space="0" w:color="auto"/>
                <w:left w:val="none" w:sz="0" w:space="0" w:color="auto"/>
                <w:bottom w:val="none" w:sz="0" w:space="0" w:color="auto"/>
                <w:right w:val="none" w:sz="0" w:space="0" w:color="auto"/>
              </w:divBdr>
            </w:div>
            <w:div w:id="809790759">
              <w:marLeft w:val="0"/>
              <w:marRight w:val="0"/>
              <w:marTop w:val="0"/>
              <w:marBottom w:val="0"/>
              <w:divBdr>
                <w:top w:val="none" w:sz="0" w:space="0" w:color="auto"/>
                <w:left w:val="none" w:sz="0" w:space="0" w:color="auto"/>
                <w:bottom w:val="none" w:sz="0" w:space="0" w:color="auto"/>
                <w:right w:val="none" w:sz="0" w:space="0" w:color="auto"/>
              </w:divBdr>
            </w:div>
            <w:div w:id="308903636">
              <w:marLeft w:val="0"/>
              <w:marRight w:val="0"/>
              <w:marTop w:val="0"/>
              <w:marBottom w:val="0"/>
              <w:divBdr>
                <w:top w:val="none" w:sz="0" w:space="0" w:color="auto"/>
                <w:left w:val="none" w:sz="0" w:space="0" w:color="auto"/>
                <w:bottom w:val="none" w:sz="0" w:space="0" w:color="auto"/>
                <w:right w:val="none" w:sz="0" w:space="0" w:color="auto"/>
              </w:divBdr>
            </w:div>
            <w:div w:id="688413784">
              <w:marLeft w:val="0"/>
              <w:marRight w:val="0"/>
              <w:marTop w:val="0"/>
              <w:marBottom w:val="0"/>
              <w:divBdr>
                <w:top w:val="none" w:sz="0" w:space="0" w:color="auto"/>
                <w:left w:val="none" w:sz="0" w:space="0" w:color="auto"/>
                <w:bottom w:val="none" w:sz="0" w:space="0" w:color="auto"/>
                <w:right w:val="none" w:sz="0" w:space="0" w:color="auto"/>
              </w:divBdr>
            </w:div>
            <w:div w:id="1145732294">
              <w:marLeft w:val="0"/>
              <w:marRight w:val="0"/>
              <w:marTop w:val="0"/>
              <w:marBottom w:val="0"/>
              <w:divBdr>
                <w:top w:val="none" w:sz="0" w:space="0" w:color="auto"/>
                <w:left w:val="none" w:sz="0" w:space="0" w:color="auto"/>
                <w:bottom w:val="none" w:sz="0" w:space="0" w:color="auto"/>
                <w:right w:val="none" w:sz="0" w:space="0" w:color="auto"/>
              </w:divBdr>
            </w:div>
            <w:div w:id="1716614810">
              <w:marLeft w:val="0"/>
              <w:marRight w:val="0"/>
              <w:marTop w:val="0"/>
              <w:marBottom w:val="0"/>
              <w:divBdr>
                <w:top w:val="none" w:sz="0" w:space="0" w:color="auto"/>
                <w:left w:val="none" w:sz="0" w:space="0" w:color="auto"/>
                <w:bottom w:val="none" w:sz="0" w:space="0" w:color="auto"/>
                <w:right w:val="none" w:sz="0" w:space="0" w:color="auto"/>
              </w:divBdr>
            </w:div>
            <w:div w:id="807359180">
              <w:marLeft w:val="0"/>
              <w:marRight w:val="0"/>
              <w:marTop w:val="0"/>
              <w:marBottom w:val="0"/>
              <w:divBdr>
                <w:top w:val="none" w:sz="0" w:space="0" w:color="auto"/>
                <w:left w:val="none" w:sz="0" w:space="0" w:color="auto"/>
                <w:bottom w:val="none" w:sz="0" w:space="0" w:color="auto"/>
                <w:right w:val="none" w:sz="0" w:space="0" w:color="auto"/>
              </w:divBdr>
            </w:div>
            <w:div w:id="197351091">
              <w:marLeft w:val="0"/>
              <w:marRight w:val="0"/>
              <w:marTop w:val="0"/>
              <w:marBottom w:val="0"/>
              <w:divBdr>
                <w:top w:val="none" w:sz="0" w:space="0" w:color="auto"/>
                <w:left w:val="none" w:sz="0" w:space="0" w:color="auto"/>
                <w:bottom w:val="none" w:sz="0" w:space="0" w:color="auto"/>
                <w:right w:val="none" w:sz="0" w:space="0" w:color="auto"/>
              </w:divBdr>
            </w:div>
            <w:div w:id="1168862565">
              <w:marLeft w:val="0"/>
              <w:marRight w:val="0"/>
              <w:marTop w:val="0"/>
              <w:marBottom w:val="0"/>
              <w:divBdr>
                <w:top w:val="none" w:sz="0" w:space="0" w:color="auto"/>
                <w:left w:val="none" w:sz="0" w:space="0" w:color="auto"/>
                <w:bottom w:val="none" w:sz="0" w:space="0" w:color="auto"/>
                <w:right w:val="none" w:sz="0" w:space="0" w:color="auto"/>
              </w:divBdr>
            </w:div>
            <w:div w:id="1453862262">
              <w:marLeft w:val="0"/>
              <w:marRight w:val="0"/>
              <w:marTop w:val="0"/>
              <w:marBottom w:val="0"/>
              <w:divBdr>
                <w:top w:val="none" w:sz="0" w:space="0" w:color="auto"/>
                <w:left w:val="none" w:sz="0" w:space="0" w:color="auto"/>
                <w:bottom w:val="none" w:sz="0" w:space="0" w:color="auto"/>
                <w:right w:val="none" w:sz="0" w:space="0" w:color="auto"/>
              </w:divBdr>
            </w:div>
            <w:div w:id="224605798">
              <w:marLeft w:val="0"/>
              <w:marRight w:val="0"/>
              <w:marTop w:val="0"/>
              <w:marBottom w:val="0"/>
              <w:divBdr>
                <w:top w:val="none" w:sz="0" w:space="0" w:color="auto"/>
                <w:left w:val="none" w:sz="0" w:space="0" w:color="auto"/>
                <w:bottom w:val="none" w:sz="0" w:space="0" w:color="auto"/>
                <w:right w:val="none" w:sz="0" w:space="0" w:color="auto"/>
              </w:divBdr>
            </w:div>
            <w:div w:id="2097094251">
              <w:marLeft w:val="0"/>
              <w:marRight w:val="0"/>
              <w:marTop w:val="0"/>
              <w:marBottom w:val="0"/>
              <w:divBdr>
                <w:top w:val="none" w:sz="0" w:space="0" w:color="auto"/>
                <w:left w:val="none" w:sz="0" w:space="0" w:color="auto"/>
                <w:bottom w:val="none" w:sz="0" w:space="0" w:color="auto"/>
                <w:right w:val="none" w:sz="0" w:space="0" w:color="auto"/>
              </w:divBdr>
            </w:div>
            <w:div w:id="280652490">
              <w:marLeft w:val="0"/>
              <w:marRight w:val="0"/>
              <w:marTop w:val="0"/>
              <w:marBottom w:val="0"/>
              <w:divBdr>
                <w:top w:val="none" w:sz="0" w:space="0" w:color="auto"/>
                <w:left w:val="none" w:sz="0" w:space="0" w:color="auto"/>
                <w:bottom w:val="none" w:sz="0" w:space="0" w:color="auto"/>
                <w:right w:val="none" w:sz="0" w:space="0" w:color="auto"/>
              </w:divBdr>
            </w:div>
            <w:div w:id="1639648241">
              <w:marLeft w:val="0"/>
              <w:marRight w:val="0"/>
              <w:marTop w:val="0"/>
              <w:marBottom w:val="0"/>
              <w:divBdr>
                <w:top w:val="none" w:sz="0" w:space="0" w:color="auto"/>
                <w:left w:val="none" w:sz="0" w:space="0" w:color="auto"/>
                <w:bottom w:val="none" w:sz="0" w:space="0" w:color="auto"/>
                <w:right w:val="none" w:sz="0" w:space="0" w:color="auto"/>
              </w:divBdr>
            </w:div>
            <w:div w:id="594751918">
              <w:marLeft w:val="0"/>
              <w:marRight w:val="0"/>
              <w:marTop w:val="0"/>
              <w:marBottom w:val="0"/>
              <w:divBdr>
                <w:top w:val="none" w:sz="0" w:space="0" w:color="auto"/>
                <w:left w:val="none" w:sz="0" w:space="0" w:color="auto"/>
                <w:bottom w:val="none" w:sz="0" w:space="0" w:color="auto"/>
                <w:right w:val="none" w:sz="0" w:space="0" w:color="auto"/>
              </w:divBdr>
            </w:div>
            <w:div w:id="192938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31836">
      <w:bodyDiv w:val="1"/>
      <w:marLeft w:val="0"/>
      <w:marRight w:val="0"/>
      <w:marTop w:val="0"/>
      <w:marBottom w:val="0"/>
      <w:divBdr>
        <w:top w:val="none" w:sz="0" w:space="0" w:color="auto"/>
        <w:left w:val="none" w:sz="0" w:space="0" w:color="auto"/>
        <w:bottom w:val="none" w:sz="0" w:space="0" w:color="auto"/>
        <w:right w:val="none" w:sz="0" w:space="0" w:color="auto"/>
      </w:divBdr>
      <w:divsChild>
        <w:div w:id="875121729">
          <w:marLeft w:val="0"/>
          <w:marRight w:val="0"/>
          <w:marTop w:val="0"/>
          <w:marBottom w:val="0"/>
          <w:divBdr>
            <w:top w:val="none" w:sz="0" w:space="0" w:color="auto"/>
            <w:left w:val="none" w:sz="0" w:space="0" w:color="auto"/>
            <w:bottom w:val="none" w:sz="0" w:space="0" w:color="auto"/>
            <w:right w:val="none" w:sz="0" w:space="0" w:color="auto"/>
          </w:divBdr>
          <w:divsChild>
            <w:div w:id="570627408">
              <w:marLeft w:val="0"/>
              <w:marRight w:val="0"/>
              <w:marTop w:val="0"/>
              <w:marBottom w:val="0"/>
              <w:divBdr>
                <w:top w:val="none" w:sz="0" w:space="0" w:color="auto"/>
                <w:left w:val="none" w:sz="0" w:space="0" w:color="auto"/>
                <w:bottom w:val="none" w:sz="0" w:space="0" w:color="auto"/>
                <w:right w:val="none" w:sz="0" w:space="0" w:color="auto"/>
              </w:divBdr>
            </w:div>
          </w:divsChild>
        </w:div>
        <w:div w:id="1370378311">
          <w:marLeft w:val="0"/>
          <w:marRight w:val="0"/>
          <w:marTop w:val="0"/>
          <w:marBottom w:val="0"/>
          <w:divBdr>
            <w:top w:val="none" w:sz="0" w:space="0" w:color="auto"/>
            <w:left w:val="none" w:sz="0" w:space="0" w:color="auto"/>
            <w:bottom w:val="none" w:sz="0" w:space="0" w:color="auto"/>
            <w:right w:val="none" w:sz="0" w:space="0" w:color="auto"/>
          </w:divBdr>
          <w:divsChild>
            <w:div w:id="2028942292">
              <w:marLeft w:val="0"/>
              <w:marRight w:val="0"/>
              <w:marTop w:val="0"/>
              <w:marBottom w:val="0"/>
              <w:divBdr>
                <w:top w:val="none" w:sz="0" w:space="0" w:color="auto"/>
                <w:left w:val="none" w:sz="0" w:space="0" w:color="auto"/>
                <w:bottom w:val="none" w:sz="0" w:space="0" w:color="auto"/>
                <w:right w:val="none" w:sz="0" w:space="0" w:color="auto"/>
              </w:divBdr>
            </w:div>
          </w:divsChild>
        </w:div>
        <w:div w:id="1169365180">
          <w:marLeft w:val="0"/>
          <w:marRight w:val="0"/>
          <w:marTop w:val="0"/>
          <w:marBottom w:val="0"/>
          <w:divBdr>
            <w:top w:val="none" w:sz="0" w:space="0" w:color="auto"/>
            <w:left w:val="none" w:sz="0" w:space="0" w:color="auto"/>
            <w:bottom w:val="none" w:sz="0" w:space="0" w:color="auto"/>
            <w:right w:val="none" w:sz="0" w:space="0" w:color="auto"/>
          </w:divBdr>
          <w:divsChild>
            <w:div w:id="135622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34196">
      <w:bodyDiv w:val="1"/>
      <w:marLeft w:val="0"/>
      <w:marRight w:val="0"/>
      <w:marTop w:val="0"/>
      <w:marBottom w:val="0"/>
      <w:divBdr>
        <w:top w:val="none" w:sz="0" w:space="0" w:color="auto"/>
        <w:left w:val="none" w:sz="0" w:space="0" w:color="auto"/>
        <w:bottom w:val="none" w:sz="0" w:space="0" w:color="auto"/>
        <w:right w:val="none" w:sz="0" w:space="0" w:color="auto"/>
      </w:divBdr>
    </w:div>
    <w:div w:id="1919051952">
      <w:bodyDiv w:val="1"/>
      <w:marLeft w:val="0"/>
      <w:marRight w:val="0"/>
      <w:marTop w:val="0"/>
      <w:marBottom w:val="0"/>
      <w:divBdr>
        <w:top w:val="none" w:sz="0" w:space="0" w:color="auto"/>
        <w:left w:val="none" w:sz="0" w:space="0" w:color="auto"/>
        <w:bottom w:val="none" w:sz="0" w:space="0" w:color="auto"/>
        <w:right w:val="none" w:sz="0" w:space="0" w:color="auto"/>
      </w:divBdr>
      <w:divsChild>
        <w:div w:id="71439508">
          <w:marLeft w:val="0"/>
          <w:marRight w:val="0"/>
          <w:marTop w:val="0"/>
          <w:marBottom w:val="0"/>
          <w:divBdr>
            <w:top w:val="none" w:sz="0" w:space="0" w:color="auto"/>
            <w:left w:val="none" w:sz="0" w:space="0" w:color="auto"/>
            <w:bottom w:val="none" w:sz="0" w:space="0" w:color="auto"/>
            <w:right w:val="none" w:sz="0" w:space="0" w:color="auto"/>
          </w:divBdr>
          <w:divsChild>
            <w:div w:id="878008329">
              <w:marLeft w:val="0"/>
              <w:marRight w:val="0"/>
              <w:marTop w:val="0"/>
              <w:marBottom w:val="0"/>
              <w:divBdr>
                <w:top w:val="none" w:sz="0" w:space="0" w:color="auto"/>
                <w:left w:val="none" w:sz="0" w:space="0" w:color="auto"/>
                <w:bottom w:val="none" w:sz="0" w:space="0" w:color="auto"/>
                <w:right w:val="none" w:sz="0" w:space="0" w:color="auto"/>
              </w:divBdr>
              <w:divsChild>
                <w:div w:id="175272808">
                  <w:marLeft w:val="0"/>
                  <w:marRight w:val="0"/>
                  <w:marTop w:val="0"/>
                  <w:marBottom w:val="0"/>
                  <w:divBdr>
                    <w:top w:val="none" w:sz="0" w:space="0" w:color="auto"/>
                    <w:left w:val="none" w:sz="0" w:space="0" w:color="auto"/>
                    <w:bottom w:val="none" w:sz="0" w:space="0" w:color="auto"/>
                    <w:right w:val="none" w:sz="0" w:space="0" w:color="auto"/>
                  </w:divBdr>
                  <w:divsChild>
                    <w:div w:id="728849458">
                      <w:marLeft w:val="0"/>
                      <w:marRight w:val="0"/>
                      <w:marTop w:val="0"/>
                      <w:marBottom w:val="0"/>
                      <w:divBdr>
                        <w:top w:val="none" w:sz="0" w:space="0" w:color="auto"/>
                        <w:left w:val="none" w:sz="0" w:space="0" w:color="auto"/>
                        <w:bottom w:val="none" w:sz="0" w:space="0" w:color="auto"/>
                        <w:right w:val="none" w:sz="0" w:space="0" w:color="auto"/>
                      </w:divBdr>
                    </w:div>
                  </w:divsChild>
                </w:div>
                <w:div w:id="2105684153">
                  <w:marLeft w:val="0"/>
                  <w:marRight w:val="0"/>
                  <w:marTop w:val="0"/>
                  <w:marBottom w:val="0"/>
                  <w:divBdr>
                    <w:top w:val="none" w:sz="0" w:space="0" w:color="auto"/>
                    <w:left w:val="none" w:sz="0" w:space="0" w:color="auto"/>
                    <w:bottom w:val="none" w:sz="0" w:space="0" w:color="auto"/>
                    <w:right w:val="none" w:sz="0" w:space="0" w:color="auto"/>
                  </w:divBdr>
                </w:div>
                <w:div w:id="753939743">
                  <w:marLeft w:val="0"/>
                  <w:marRight w:val="0"/>
                  <w:marTop w:val="0"/>
                  <w:marBottom w:val="0"/>
                  <w:divBdr>
                    <w:top w:val="none" w:sz="0" w:space="0" w:color="auto"/>
                    <w:left w:val="none" w:sz="0" w:space="0" w:color="auto"/>
                    <w:bottom w:val="none" w:sz="0" w:space="0" w:color="auto"/>
                    <w:right w:val="none" w:sz="0" w:space="0" w:color="auto"/>
                  </w:divBdr>
                </w:div>
                <w:div w:id="1883470269">
                  <w:marLeft w:val="0"/>
                  <w:marRight w:val="0"/>
                  <w:marTop w:val="0"/>
                  <w:marBottom w:val="0"/>
                  <w:divBdr>
                    <w:top w:val="none" w:sz="0" w:space="0" w:color="auto"/>
                    <w:left w:val="none" w:sz="0" w:space="0" w:color="auto"/>
                    <w:bottom w:val="none" w:sz="0" w:space="0" w:color="auto"/>
                    <w:right w:val="none" w:sz="0" w:space="0" w:color="auto"/>
                  </w:divBdr>
                </w:div>
                <w:div w:id="1173688759">
                  <w:marLeft w:val="0"/>
                  <w:marRight w:val="0"/>
                  <w:marTop w:val="0"/>
                  <w:marBottom w:val="0"/>
                  <w:divBdr>
                    <w:top w:val="none" w:sz="0" w:space="0" w:color="auto"/>
                    <w:left w:val="none" w:sz="0" w:space="0" w:color="auto"/>
                    <w:bottom w:val="none" w:sz="0" w:space="0" w:color="auto"/>
                    <w:right w:val="none" w:sz="0" w:space="0" w:color="auto"/>
                  </w:divBdr>
                  <w:divsChild>
                    <w:div w:id="2067994797">
                      <w:marLeft w:val="0"/>
                      <w:marRight w:val="0"/>
                      <w:marTop w:val="0"/>
                      <w:marBottom w:val="0"/>
                      <w:divBdr>
                        <w:top w:val="none" w:sz="0" w:space="0" w:color="auto"/>
                        <w:left w:val="none" w:sz="0" w:space="0" w:color="auto"/>
                        <w:bottom w:val="none" w:sz="0" w:space="0" w:color="auto"/>
                        <w:right w:val="none" w:sz="0" w:space="0" w:color="auto"/>
                      </w:divBdr>
                      <w:divsChild>
                        <w:div w:id="915407769">
                          <w:marLeft w:val="0"/>
                          <w:marRight w:val="0"/>
                          <w:marTop w:val="0"/>
                          <w:marBottom w:val="0"/>
                          <w:divBdr>
                            <w:top w:val="none" w:sz="0" w:space="0" w:color="auto"/>
                            <w:left w:val="none" w:sz="0" w:space="0" w:color="auto"/>
                            <w:bottom w:val="none" w:sz="0" w:space="0" w:color="auto"/>
                            <w:right w:val="none" w:sz="0" w:space="0" w:color="auto"/>
                          </w:divBdr>
                          <w:divsChild>
                            <w:div w:id="615720340">
                              <w:marLeft w:val="0"/>
                              <w:marRight w:val="0"/>
                              <w:marTop w:val="0"/>
                              <w:marBottom w:val="0"/>
                              <w:divBdr>
                                <w:top w:val="none" w:sz="0" w:space="0" w:color="auto"/>
                                <w:left w:val="none" w:sz="0" w:space="0" w:color="auto"/>
                                <w:bottom w:val="none" w:sz="0" w:space="0" w:color="auto"/>
                                <w:right w:val="none" w:sz="0" w:space="0" w:color="auto"/>
                              </w:divBdr>
                              <w:divsChild>
                                <w:div w:id="1291666871">
                                  <w:marLeft w:val="0"/>
                                  <w:marRight w:val="0"/>
                                  <w:marTop w:val="0"/>
                                  <w:marBottom w:val="0"/>
                                  <w:divBdr>
                                    <w:top w:val="single" w:sz="2" w:space="0" w:color="DFDFDF"/>
                                    <w:left w:val="single" w:sz="2" w:space="0" w:color="DFDFDF"/>
                                    <w:bottom w:val="single" w:sz="2" w:space="0" w:color="DFDFDF"/>
                                    <w:right w:val="single" w:sz="2" w:space="0" w:color="DFDFDF"/>
                                  </w:divBdr>
                                  <w:divsChild>
                                    <w:div w:id="1673870236">
                                      <w:marLeft w:val="0"/>
                                      <w:marRight w:val="0"/>
                                      <w:marTop w:val="0"/>
                                      <w:marBottom w:val="0"/>
                                      <w:divBdr>
                                        <w:top w:val="none" w:sz="0" w:space="0" w:color="auto"/>
                                        <w:left w:val="none" w:sz="0" w:space="0" w:color="auto"/>
                                        <w:bottom w:val="none" w:sz="0" w:space="0" w:color="auto"/>
                                        <w:right w:val="none" w:sz="0" w:space="0" w:color="auto"/>
                                      </w:divBdr>
                                      <w:divsChild>
                                        <w:div w:id="843282446">
                                          <w:marLeft w:val="0"/>
                                          <w:marRight w:val="0"/>
                                          <w:marTop w:val="0"/>
                                          <w:marBottom w:val="0"/>
                                          <w:divBdr>
                                            <w:top w:val="none" w:sz="0" w:space="0" w:color="auto"/>
                                            <w:left w:val="none" w:sz="0" w:space="0" w:color="auto"/>
                                            <w:bottom w:val="none" w:sz="0" w:space="0" w:color="auto"/>
                                            <w:right w:val="none" w:sz="0" w:space="0" w:color="auto"/>
                                          </w:divBdr>
                                          <w:divsChild>
                                            <w:div w:id="1782845779">
                                              <w:marLeft w:val="0"/>
                                              <w:marRight w:val="0"/>
                                              <w:marTop w:val="0"/>
                                              <w:marBottom w:val="0"/>
                                              <w:divBdr>
                                                <w:top w:val="none" w:sz="0" w:space="0" w:color="auto"/>
                                                <w:left w:val="none" w:sz="0" w:space="0" w:color="auto"/>
                                                <w:bottom w:val="none" w:sz="0" w:space="0" w:color="auto"/>
                                                <w:right w:val="none" w:sz="0" w:space="0" w:color="auto"/>
                                              </w:divBdr>
                                            </w:div>
                                            <w:div w:id="619993856">
                                              <w:marLeft w:val="0"/>
                                              <w:marRight w:val="36"/>
                                              <w:marTop w:val="0"/>
                                              <w:marBottom w:val="0"/>
                                              <w:divBdr>
                                                <w:top w:val="none" w:sz="0" w:space="0" w:color="auto"/>
                                                <w:left w:val="none" w:sz="0" w:space="0" w:color="auto"/>
                                                <w:bottom w:val="none" w:sz="0" w:space="0" w:color="auto"/>
                                                <w:right w:val="none" w:sz="0" w:space="0" w:color="auto"/>
                                              </w:divBdr>
                                            </w:div>
                                          </w:divsChild>
                                        </w:div>
                                      </w:divsChild>
                                    </w:div>
                                    <w:div w:id="2002155080">
                                      <w:marLeft w:val="-365"/>
                                      <w:marRight w:val="0"/>
                                      <w:marTop w:val="0"/>
                                      <w:marBottom w:val="0"/>
                                      <w:divBdr>
                                        <w:top w:val="none" w:sz="0" w:space="0" w:color="auto"/>
                                        <w:left w:val="none" w:sz="0" w:space="0" w:color="auto"/>
                                        <w:bottom w:val="none" w:sz="0" w:space="0" w:color="auto"/>
                                        <w:right w:val="none" w:sz="0" w:space="0" w:color="auto"/>
                                      </w:divBdr>
                                      <w:divsChild>
                                        <w:div w:id="1747259159">
                                          <w:marLeft w:val="0"/>
                                          <w:marRight w:val="0"/>
                                          <w:marTop w:val="0"/>
                                          <w:marBottom w:val="55"/>
                                          <w:divBdr>
                                            <w:top w:val="single" w:sz="2" w:space="0" w:color="A9A9A9"/>
                                            <w:left w:val="single" w:sz="2" w:space="0" w:color="A9A9A9"/>
                                            <w:bottom w:val="single" w:sz="2" w:space="0" w:color="A9A9A9"/>
                                            <w:right w:val="single" w:sz="2" w:space="0" w:color="A9A9A9"/>
                                          </w:divBdr>
                                          <w:divsChild>
                                            <w:div w:id="842550353">
                                              <w:marLeft w:val="0"/>
                                              <w:marRight w:val="0"/>
                                              <w:marTop w:val="0"/>
                                              <w:marBottom w:val="0"/>
                                              <w:divBdr>
                                                <w:top w:val="none" w:sz="0" w:space="0" w:color="auto"/>
                                                <w:left w:val="none" w:sz="0" w:space="0" w:color="auto"/>
                                                <w:bottom w:val="none" w:sz="0" w:space="0" w:color="auto"/>
                                                <w:right w:val="none" w:sz="0" w:space="0" w:color="auto"/>
                                              </w:divBdr>
                                              <w:divsChild>
                                                <w:div w:id="2014063911">
                                                  <w:marLeft w:val="372"/>
                                                  <w:marRight w:val="0"/>
                                                  <w:marTop w:val="0"/>
                                                  <w:marBottom w:val="182"/>
                                                  <w:divBdr>
                                                    <w:top w:val="single" w:sz="2" w:space="0" w:color="E4E4E4"/>
                                                    <w:left w:val="single" w:sz="2" w:space="0" w:color="E4E4E4"/>
                                                    <w:bottom w:val="single" w:sz="2" w:space="0" w:color="E4E4E4"/>
                                                    <w:right w:val="single" w:sz="2" w:space="0" w:color="E4E4E4"/>
                                                  </w:divBdr>
                                                </w:div>
                                                <w:div w:id="1478106091">
                                                  <w:marLeft w:val="372"/>
                                                  <w:marRight w:val="0"/>
                                                  <w:marTop w:val="0"/>
                                                  <w:marBottom w:val="182"/>
                                                  <w:divBdr>
                                                    <w:top w:val="single" w:sz="2" w:space="0" w:color="E4E4E4"/>
                                                    <w:left w:val="single" w:sz="2" w:space="0" w:color="E4E4E4"/>
                                                    <w:bottom w:val="single" w:sz="2" w:space="0" w:color="E4E4E4"/>
                                                    <w:right w:val="single" w:sz="2" w:space="0" w:color="E4E4E4"/>
                                                  </w:divBdr>
                                                </w:div>
                                                <w:div w:id="104740231">
                                                  <w:marLeft w:val="372"/>
                                                  <w:marRight w:val="0"/>
                                                  <w:marTop w:val="0"/>
                                                  <w:marBottom w:val="182"/>
                                                  <w:divBdr>
                                                    <w:top w:val="single" w:sz="2" w:space="0" w:color="E4E4E4"/>
                                                    <w:left w:val="single" w:sz="2" w:space="0" w:color="E4E4E4"/>
                                                    <w:bottom w:val="single" w:sz="2" w:space="0" w:color="E4E4E4"/>
                                                    <w:right w:val="single" w:sz="2" w:space="0" w:color="E4E4E4"/>
                                                  </w:divBdr>
                                                </w:div>
                                                <w:div w:id="426535448">
                                                  <w:marLeft w:val="372"/>
                                                  <w:marRight w:val="0"/>
                                                  <w:marTop w:val="0"/>
                                                  <w:marBottom w:val="182"/>
                                                  <w:divBdr>
                                                    <w:top w:val="single" w:sz="2" w:space="0" w:color="E4E4E4"/>
                                                    <w:left w:val="single" w:sz="2" w:space="0" w:color="E4E4E4"/>
                                                    <w:bottom w:val="single" w:sz="2" w:space="0" w:color="E4E4E4"/>
                                                    <w:right w:val="single" w:sz="2" w:space="0" w:color="E4E4E4"/>
                                                  </w:divBdr>
                                                </w:div>
                                                <w:div w:id="1341816225">
                                                  <w:marLeft w:val="372"/>
                                                  <w:marRight w:val="0"/>
                                                  <w:marTop w:val="0"/>
                                                  <w:marBottom w:val="182"/>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sChild>
            </w:div>
          </w:divsChild>
        </w:div>
        <w:div w:id="1628390591">
          <w:marLeft w:val="0"/>
          <w:marRight w:val="0"/>
          <w:marTop w:val="0"/>
          <w:marBottom w:val="0"/>
          <w:divBdr>
            <w:top w:val="none" w:sz="0" w:space="0" w:color="auto"/>
            <w:left w:val="none" w:sz="0" w:space="0" w:color="auto"/>
            <w:bottom w:val="none" w:sz="0" w:space="0" w:color="auto"/>
            <w:right w:val="none" w:sz="0" w:space="0" w:color="auto"/>
          </w:divBdr>
          <w:divsChild>
            <w:div w:id="185028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14029">
      <w:bodyDiv w:val="1"/>
      <w:marLeft w:val="0"/>
      <w:marRight w:val="0"/>
      <w:marTop w:val="0"/>
      <w:marBottom w:val="0"/>
      <w:divBdr>
        <w:top w:val="none" w:sz="0" w:space="0" w:color="auto"/>
        <w:left w:val="none" w:sz="0" w:space="0" w:color="auto"/>
        <w:bottom w:val="none" w:sz="0" w:space="0" w:color="auto"/>
        <w:right w:val="none" w:sz="0" w:space="0" w:color="auto"/>
      </w:divBdr>
    </w:div>
    <w:div w:id="1927105412">
      <w:bodyDiv w:val="1"/>
      <w:marLeft w:val="0"/>
      <w:marRight w:val="0"/>
      <w:marTop w:val="0"/>
      <w:marBottom w:val="0"/>
      <w:divBdr>
        <w:top w:val="none" w:sz="0" w:space="0" w:color="auto"/>
        <w:left w:val="none" w:sz="0" w:space="0" w:color="auto"/>
        <w:bottom w:val="none" w:sz="0" w:space="0" w:color="auto"/>
        <w:right w:val="none" w:sz="0" w:space="0" w:color="auto"/>
      </w:divBdr>
    </w:div>
    <w:div w:id="1933077470">
      <w:bodyDiv w:val="1"/>
      <w:marLeft w:val="0"/>
      <w:marRight w:val="0"/>
      <w:marTop w:val="0"/>
      <w:marBottom w:val="0"/>
      <w:divBdr>
        <w:top w:val="none" w:sz="0" w:space="0" w:color="auto"/>
        <w:left w:val="none" w:sz="0" w:space="0" w:color="auto"/>
        <w:bottom w:val="none" w:sz="0" w:space="0" w:color="auto"/>
        <w:right w:val="none" w:sz="0" w:space="0" w:color="auto"/>
      </w:divBdr>
    </w:div>
    <w:div w:id="1939868738">
      <w:bodyDiv w:val="1"/>
      <w:marLeft w:val="0"/>
      <w:marRight w:val="0"/>
      <w:marTop w:val="0"/>
      <w:marBottom w:val="0"/>
      <w:divBdr>
        <w:top w:val="none" w:sz="0" w:space="0" w:color="auto"/>
        <w:left w:val="none" w:sz="0" w:space="0" w:color="auto"/>
        <w:bottom w:val="none" w:sz="0" w:space="0" w:color="auto"/>
        <w:right w:val="none" w:sz="0" w:space="0" w:color="auto"/>
      </w:divBdr>
    </w:div>
    <w:div w:id="1940333431">
      <w:bodyDiv w:val="1"/>
      <w:marLeft w:val="0"/>
      <w:marRight w:val="0"/>
      <w:marTop w:val="0"/>
      <w:marBottom w:val="0"/>
      <w:divBdr>
        <w:top w:val="none" w:sz="0" w:space="0" w:color="auto"/>
        <w:left w:val="none" w:sz="0" w:space="0" w:color="auto"/>
        <w:bottom w:val="none" w:sz="0" w:space="0" w:color="auto"/>
        <w:right w:val="none" w:sz="0" w:space="0" w:color="auto"/>
      </w:divBdr>
    </w:div>
    <w:div w:id="1953433546">
      <w:bodyDiv w:val="1"/>
      <w:marLeft w:val="0"/>
      <w:marRight w:val="0"/>
      <w:marTop w:val="0"/>
      <w:marBottom w:val="0"/>
      <w:divBdr>
        <w:top w:val="none" w:sz="0" w:space="0" w:color="auto"/>
        <w:left w:val="none" w:sz="0" w:space="0" w:color="auto"/>
        <w:bottom w:val="none" w:sz="0" w:space="0" w:color="auto"/>
        <w:right w:val="none" w:sz="0" w:space="0" w:color="auto"/>
      </w:divBdr>
    </w:div>
    <w:div w:id="1960523908">
      <w:bodyDiv w:val="1"/>
      <w:marLeft w:val="0"/>
      <w:marRight w:val="0"/>
      <w:marTop w:val="0"/>
      <w:marBottom w:val="0"/>
      <w:divBdr>
        <w:top w:val="none" w:sz="0" w:space="0" w:color="auto"/>
        <w:left w:val="none" w:sz="0" w:space="0" w:color="auto"/>
        <w:bottom w:val="none" w:sz="0" w:space="0" w:color="auto"/>
        <w:right w:val="none" w:sz="0" w:space="0" w:color="auto"/>
      </w:divBdr>
    </w:div>
    <w:div w:id="1976446231">
      <w:bodyDiv w:val="1"/>
      <w:marLeft w:val="0"/>
      <w:marRight w:val="0"/>
      <w:marTop w:val="0"/>
      <w:marBottom w:val="0"/>
      <w:divBdr>
        <w:top w:val="none" w:sz="0" w:space="0" w:color="auto"/>
        <w:left w:val="none" w:sz="0" w:space="0" w:color="auto"/>
        <w:bottom w:val="none" w:sz="0" w:space="0" w:color="auto"/>
        <w:right w:val="none" w:sz="0" w:space="0" w:color="auto"/>
      </w:divBdr>
    </w:div>
    <w:div w:id="1984773026">
      <w:bodyDiv w:val="1"/>
      <w:marLeft w:val="0"/>
      <w:marRight w:val="0"/>
      <w:marTop w:val="0"/>
      <w:marBottom w:val="0"/>
      <w:divBdr>
        <w:top w:val="none" w:sz="0" w:space="0" w:color="auto"/>
        <w:left w:val="none" w:sz="0" w:space="0" w:color="auto"/>
        <w:bottom w:val="none" w:sz="0" w:space="0" w:color="auto"/>
        <w:right w:val="none" w:sz="0" w:space="0" w:color="auto"/>
      </w:divBdr>
    </w:div>
    <w:div w:id="1989047597">
      <w:bodyDiv w:val="1"/>
      <w:marLeft w:val="0"/>
      <w:marRight w:val="0"/>
      <w:marTop w:val="0"/>
      <w:marBottom w:val="0"/>
      <w:divBdr>
        <w:top w:val="none" w:sz="0" w:space="0" w:color="auto"/>
        <w:left w:val="none" w:sz="0" w:space="0" w:color="auto"/>
        <w:bottom w:val="none" w:sz="0" w:space="0" w:color="auto"/>
        <w:right w:val="none" w:sz="0" w:space="0" w:color="auto"/>
      </w:divBdr>
    </w:div>
    <w:div w:id="1990861621">
      <w:bodyDiv w:val="1"/>
      <w:marLeft w:val="0"/>
      <w:marRight w:val="0"/>
      <w:marTop w:val="0"/>
      <w:marBottom w:val="0"/>
      <w:divBdr>
        <w:top w:val="none" w:sz="0" w:space="0" w:color="auto"/>
        <w:left w:val="none" w:sz="0" w:space="0" w:color="auto"/>
        <w:bottom w:val="none" w:sz="0" w:space="0" w:color="auto"/>
        <w:right w:val="none" w:sz="0" w:space="0" w:color="auto"/>
      </w:divBdr>
    </w:div>
    <w:div w:id="1995255963">
      <w:bodyDiv w:val="1"/>
      <w:marLeft w:val="0"/>
      <w:marRight w:val="0"/>
      <w:marTop w:val="0"/>
      <w:marBottom w:val="0"/>
      <w:divBdr>
        <w:top w:val="none" w:sz="0" w:space="0" w:color="auto"/>
        <w:left w:val="none" w:sz="0" w:space="0" w:color="auto"/>
        <w:bottom w:val="none" w:sz="0" w:space="0" w:color="auto"/>
        <w:right w:val="none" w:sz="0" w:space="0" w:color="auto"/>
      </w:divBdr>
      <w:divsChild>
        <w:div w:id="649020898">
          <w:marLeft w:val="0"/>
          <w:marRight w:val="0"/>
          <w:marTop w:val="0"/>
          <w:marBottom w:val="0"/>
          <w:divBdr>
            <w:top w:val="none" w:sz="0" w:space="0" w:color="auto"/>
            <w:left w:val="none" w:sz="0" w:space="0" w:color="auto"/>
            <w:bottom w:val="none" w:sz="0" w:space="0" w:color="auto"/>
            <w:right w:val="none" w:sz="0" w:space="0" w:color="auto"/>
          </w:divBdr>
          <w:divsChild>
            <w:div w:id="315771163">
              <w:marLeft w:val="0"/>
              <w:marRight w:val="0"/>
              <w:marTop w:val="0"/>
              <w:marBottom w:val="0"/>
              <w:divBdr>
                <w:top w:val="none" w:sz="0" w:space="0" w:color="auto"/>
                <w:left w:val="none" w:sz="0" w:space="0" w:color="auto"/>
                <w:bottom w:val="none" w:sz="0" w:space="0" w:color="auto"/>
                <w:right w:val="none" w:sz="0" w:space="0" w:color="auto"/>
              </w:divBdr>
            </w:div>
          </w:divsChild>
        </w:div>
        <w:div w:id="1638292069">
          <w:marLeft w:val="0"/>
          <w:marRight w:val="0"/>
          <w:marTop w:val="0"/>
          <w:marBottom w:val="0"/>
          <w:divBdr>
            <w:top w:val="none" w:sz="0" w:space="0" w:color="auto"/>
            <w:left w:val="none" w:sz="0" w:space="0" w:color="auto"/>
            <w:bottom w:val="none" w:sz="0" w:space="0" w:color="auto"/>
            <w:right w:val="none" w:sz="0" w:space="0" w:color="auto"/>
          </w:divBdr>
          <w:divsChild>
            <w:div w:id="31217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10829">
      <w:bodyDiv w:val="1"/>
      <w:marLeft w:val="0"/>
      <w:marRight w:val="0"/>
      <w:marTop w:val="0"/>
      <w:marBottom w:val="0"/>
      <w:divBdr>
        <w:top w:val="none" w:sz="0" w:space="0" w:color="auto"/>
        <w:left w:val="none" w:sz="0" w:space="0" w:color="auto"/>
        <w:bottom w:val="none" w:sz="0" w:space="0" w:color="auto"/>
        <w:right w:val="none" w:sz="0" w:space="0" w:color="auto"/>
      </w:divBdr>
    </w:div>
    <w:div w:id="2002005056">
      <w:bodyDiv w:val="1"/>
      <w:marLeft w:val="0"/>
      <w:marRight w:val="0"/>
      <w:marTop w:val="0"/>
      <w:marBottom w:val="0"/>
      <w:divBdr>
        <w:top w:val="none" w:sz="0" w:space="0" w:color="auto"/>
        <w:left w:val="none" w:sz="0" w:space="0" w:color="auto"/>
        <w:bottom w:val="none" w:sz="0" w:space="0" w:color="auto"/>
        <w:right w:val="none" w:sz="0" w:space="0" w:color="auto"/>
      </w:divBdr>
    </w:div>
    <w:div w:id="2027319561">
      <w:bodyDiv w:val="1"/>
      <w:marLeft w:val="0"/>
      <w:marRight w:val="0"/>
      <w:marTop w:val="0"/>
      <w:marBottom w:val="0"/>
      <w:divBdr>
        <w:top w:val="none" w:sz="0" w:space="0" w:color="auto"/>
        <w:left w:val="none" w:sz="0" w:space="0" w:color="auto"/>
        <w:bottom w:val="none" w:sz="0" w:space="0" w:color="auto"/>
        <w:right w:val="none" w:sz="0" w:space="0" w:color="auto"/>
      </w:divBdr>
    </w:div>
    <w:div w:id="2031956606">
      <w:bodyDiv w:val="1"/>
      <w:marLeft w:val="0"/>
      <w:marRight w:val="0"/>
      <w:marTop w:val="0"/>
      <w:marBottom w:val="0"/>
      <w:divBdr>
        <w:top w:val="none" w:sz="0" w:space="0" w:color="auto"/>
        <w:left w:val="none" w:sz="0" w:space="0" w:color="auto"/>
        <w:bottom w:val="none" w:sz="0" w:space="0" w:color="auto"/>
        <w:right w:val="none" w:sz="0" w:space="0" w:color="auto"/>
      </w:divBdr>
    </w:div>
    <w:div w:id="2033408350">
      <w:bodyDiv w:val="1"/>
      <w:marLeft w:val="0"/>
      <w:marRight w:val="0"/>
      <w:marTop w:val="0"/>
      <w:marBottom w:val="0"/>
      <w:divBdr>
        <w:top w:val="none" w:sz="0" w:space="0" w:color="auto"/>
        <w:left w:val="none" w:sz="0" w:space="0" w:color="auto"/>
        <w:bottom w:val="none" w:sz="0" w:space="0" w:color="auto"/>
        <w:right w:val="none" w:sz="0" w:space="0" w:color="auto"/>
      </w:divBdr>
    </w:div>
    <w:div w:id="2039964821">
      <w:bodyDiv w:val="1"/>
      <w:marLeft w:val="0"/>
      <w:marRight w:val="0"/>
      <w:marTop w:val="0"/>
      <w:marBottom w:val="0"/>
      <w:divBdr>
        <w:top w:val="none" w:sz="0" w:space="0" w:color="auto"/>
        <w:left w:val="none" w:sz="0" w:space="0" w:color="auto"/>
        <w:bottom w:val="none" w:sz="0" w:space="0" w:color="auto"/>
        <w:right w:val="none" w:sz="0" w:space="0" w:color="auto"/>
      </w:divBdr>
    </w:div>
    <w:div w:id="2041472239">
      <w:bodyDiv w:val="1"/>
      <w:marLeft w:val="0"/>
      <w:marRight w:val="0"/>
      <w:marTop w:val="0"/>
      <w:marBottom w:val="0"/>
      <w:divBdr>
        <w:top w:val="none" w:sz="0" w:space="0" w:color="auto"/>
        <w:left w:val="none" w:sz="0" w:space="0" w:color="auto"/>
        <w:bottom w:val="none" w:sz="0" w:space="0" w:color="auto"/>
        <w:right w:val="none" w:sz="0" w:space="0" w:color="auto"/>
      </w:divBdr>
    </w:div>
    <w:div w:id="2068525797">
      <w:bodyDiv w:val="1"/>
      <w:marLeft w:val="0"/>
      <w:marRight w:val="0"/>
      <w:marTop w:val="0"/>
      <w:marBottom w:val="0"/>
      <w:divBdr>
        <w:top w:val="none" w:sz="0" w:space="0" w:color="auto"/>
        <w:left w:val="none" w:sz="0" w:space="0" w:color="auto"/>
        <w:bottom w:val="none" w:sz="0" w:space="0" w:color="auto"/>
        <w:right w:val="none" w:sz="0" w:space="0" w:color="auto"/>
      </w:divBdr>
      <w:divsChild>
        <w:div w:id="956988945">
          <w:marLeft w:val="0"/>
          <w:marRight w:val="225"/>
          <w:marTop w:val="0"/>
          <w:marBottom w:val="0"/>
          <w:divBdr>
            <w:top w:val="none" w:sz="0" w:space="0" w:color="auto"/>
            <w:left w:val="none" w:sz="0" w:space="0" w:color="auto"/>
            <w:bottom w:val="none" w:sz="0" w:space="0" w:color="auto"/>
            <w:right w:val="none" w:sz="0" w:space="0" w:color="auto"/>
          </w:divBdr>
        </w:div>
      </w:divsChild>
    </w:div>
    <w:div w:id="2071150935">
      <w:bodyDiv w:val="1"/>
      <w:marLeft w:val="0"/>
      <w:marRight w:val="0"/>
      <w:marTop w:val="0"/>
      <w:marBottom w:val="0"/>
      <w:divBdr>
        <w:top w:val="none" w:sz="0" w:space="0" w:color="auto"/>
        <w:left w:val="none" w:sz="0" w:space="0" w:color="auto"/>
        <w:bottom w:val="none" w:sz="0" w:space="0" w:color="auto"/>
        <w:right w:val="none" w:sz="0" w:space="0" w:color="auto"/>
      </w:divBdr>
    </w:div>
    <w:div w:id="2079549259">
      <w:bodyDiv w:val="1"/>
      <w:marLeft w:val="0"/>
      <w:marRight w:val="0"/>
      <w:marTop w:val="0"/>
      <w:marBottom w:val="0"/>
      <w:divBdr>
        <w:top w:val="none" w:sz="0" w:space="0" w:color="auto"/>
        <w:left w:val="none" w:sz="0" w:space="0" w:color="auto"/>
        <w:bottom w:val="none" w:sz="0" w:space="0" w:color="auto"/>
        <w:right w:val="none" w:sz="0" w:space="0" w:color="auto"/>
      </w:divBdr>
    </w:div>
    <w:div w:id="2097165855">
      <w:bodyDiv w:val="1"/>
      <w:marLeft w:val="0"/>
      <w:marRight w:val="0"/>
      <w:marTop w:val="0"/>
      <w:marBottom w:val="0"/>
      <w:divBdr>
        <w:top w:val="none" w:sz="0" w:space="0" w:color="auto"/>
        <w:left w:val="none" w:sz="0" w:space="0" w:color="auto"/>
        <w:bottom w:val="none" w:sz="0" w:space="0" w:color="auto"/>
        <w:right w:val="none" w:sz="0" w:space="0" w:color="auto"/>
      </w:divBdr>
    </w:div>
    <w:div w:id="2125608430">
      <w:bodyDiv w:val="1"/>
      <w:marLeft w:val="0"/>
      <w:marRight w:val="0"/>
      <w:marTop w:val="0"/>
      <w:marBottom w:val="0"/>
      <w:divBdr>
        <w:top w:val="none" w:sz="0" w:space="0" w:color="auto"/>
        <w:left w:val="none" w:sz="0" w:space="0" w:color="auto"/>
        <w:bottom w:val="none" w:sz="0" w:space="0" w:color="auto"/>
        <w:right w:val="none" w:sz="0" w:space="0" w:color="auto"/>
      </w:divBdr>
    </w:div>
    <w:div w:id="2144734809">
      <w:bodyDiv w:val="1"/>
      <w:marLeft w:val="0"/>
      <w:marRight w:val="0"/>
      <w:marTop w:val="0"/>
      <w:marBottom w:val="0"/>
      <w:divBdr>
        <w:top w:val="none" w:sz="0" w:space="0" w:color="auto"/>
        <w:left w:val="none" w:sz="0" w:space="0" w:color="auto"/>
        <w:bottom w:val="none" w:sz="0" w:space="0" w:color="auto"/>
        <w:right w:val="none" w:sz="0" w:space="0" w:color="auto"/>
      </w:divBdr>
    </w:div>
    <w:div w:id="214481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B3731-207A-4888-ADA1-625C2DBF3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63</Pages>
  <Words>18276</Words>
  <Characters>104177</Characters>
  <Application>Microsoft Office Word</Application>
  <DocSecurity>0</DocSecurity>
  <Lines>868</Lines>
  <Paragraphs>244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dc:creator>
  <cp:lastModifiedBy>Toshiba ETC</cp:lastModifiedBy>
  <cp:revision>7</cp:revision>
  <cp:lastPrinted>2024-11-08T17:02:00Z</cp:lastPrinted>
  <dcterms:created xsi:type="dcterms:W3CDTF">2024-11-08T17:02:00Z</dcterms:created>
  <dcterms:modified xsi:type="dcterms:W3CDTF">2024-11-16T21:22:00Z</dcterms:modified>
</cp:coreProperties>
</file>