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Pr="00471C07" w:rsidRDefault="00C852D0" w:rsidP="00471C07">
      <w:pPr>
        <w:bidi/>
        <w:spacing w:before="100" w:beforeAutospacing="1" w:after="100" w:afterAutospacing="1" w:line="276" w:lineRule="auto"/>
        <w:ind w:left="-2"/>
        <w:jc w:val="both"/>
        <w:rPr>
          <w:rFonts w:ascii="Simplified Arabic" w:hAnsi="Simplified Arabic" w:cs="Simplified Arabic"/>
          <w:b/>
          <w:bCs/>
          <w:sz w:val="28"/>
          <w:szCs w:val="28"/>
          <w:rtl/>
          <w:lang w:bidi="ar-EG"/>
        </w:rPr>
      </w:pPr>
      <w:r w:rsidRPr="00471C07">
        <w:rPr>
          <w:rFonts w:ascii="Simplified Arabic" w:hAnsi="Simplified Arabic" w:cs="Simplified Arabic" w:hint="cs"/>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471C07">
        <w:rPr>
          <w:rFonts w:ascii="Simplified Arabic" w:hAnsi="Simplified Arabic" w:cs="Simplified Arabic" w:hint="cs"/>
          <w:b/>
          <w:bCs/>
          <w:sz w:val="28"/>
          <w:szCs w:val="28"/>
          <w:rtl/>
          <w:lang w:bidi="ar-EG"/>
        </w:rPr>
        <w:t>جامعة ميد اوشن</w:t>
      </w:r>
    </w:p>
    <w:p w14:paraId="610B806D" w14:textId="095D4E3E" w:rsidR="001B2F19" w:rsidRPr="00471C07" w:rsidRDefault="00C852D0" w:rsidP="00471C07">
      <w:pPr>
        <w:bidi/>
        <w:spacing w:before="100" w:beforeAutospacing="1" w:after="100" w:afterAutospacing="1" w:line="276" w:lineRule="auto"/>
        <w:ind w:left="-2"/>
        <w:jc w:val="both"/>
        <w:rPr>
          <w:rFonts w:ascii="Simplified Arabic" w:hAnsi="Simplified Arabic" w:cs="Simplified Arabic"/>
          <w:b/>
          <w:bCs/>
          <w:sz w:val="28"/>
          <w:szCs w:val="28"/>
          <w:rtl/>
          <w:lang w:bidi="ar-EG"/>
        </w:rPr>
      </w:pPr>
      <w:r w:rsidRPr="00471C07">
        <w:rPr>
          <w:rFonts w:ascii="Simplified Arabic" w:hAnsi="Simplified Arabic" w:cs="Simplified Arabic" w:hint="cs"/>
          <w:b/>
          <w:bCs/>
          <w:sz w:val="28"/>
          <w:szCs w:val="28"/>
          <w:rtl/>
          <w:lang w:bidi="ar-EG"/>
        </w:rPr>
        <w:t>كلية الإدارة</w:t>
      </w:r>
    </w:p>
    <w:p w14:paraId="0FDDF9E3" w14:textId="77777777" w:rsidR="009523B9" w:rsidRPr="00471C07" w:rsidRDefault="009523B9" w:rsidP="00471C07">
      <w:pPr>
        <w:bidi/>
        <w:spacing w:before="100" w:beforeAutospacing="1" w:after="100" w:afterAutospacing="1" w:line="276" w:lineRule="auto"/>
        <w:ind w:left="-2"/>
        <w:jc w:val="center"/>
        <w:rPr>
          <w:rFonts w:ascii="Simplified Arabic" w:hAnsi="Simplified Arabic" w:cs="Simplified Arabic"/>
          <w:b/>
          <w:bCs/>
          <w:noProof/>
          <w:sz w:val="28"/>
          <w:szCs w:val="28"/>
          <w:rtl/>
        </w:rPr>
      </w:pPr>
    </w:p>
    <w:p w14:paraId="1C43BCE1" w14:textId="4C6ECC4C" w:rsidR="00362063" w:rsidRPr="00E467BD" w:rsidRDefault="002325A5" w:rsidP="00471C07">
      <w:pPr>
        <w:bidi/>
        <w:spacing w:before="100" w:beforeAutospacing="1" w:after="100" w:afterAutospacing="1" w:line="276" w:lineRule="auto"/>
        <w:ind w:left="-2"/>
        <w:jc w:val="center"/>
        <w:rPr>
          <w:rFonts w:ascii="Simplified Arabic" w:hAnsi="Simplified Arabic" w:cs="Simplified Arabic"/>
          <w:b/>
          <w:bCs/>
          <w:color w:val="EE0000"/>
          <w:sz w:val="28"/>
          <w:szCs w:val="28"/>
          <w:rtl/>
        </w:rPr>
      </w:pPr>
      <w:r w:rsidRPr="00E467BD">
        <w:rPr>
          <w:rFonts w:ascii="Simplified Arabic" w:hAnsi="Simplified Arabic" w:cs="Simplified Arabic" w:hint="cs"/>
          <w:b/>
          <w:bCs/>
          <w:noProof/>
          <w:color w:val="EE0000"/>
          <w:sz w:val="28"/>
          <w:szCs w:val="28"/>
          <w:rtl/>
        </w:rPr>
        <w:t xml:space="preserve">الدور الوسيط للتحول الرقمى في تأثير </w:t>
      </w:r>
      <w:r w:rsidR="00362063" w:rsidRPr="00E467BD">
        <w:rPr>
          <w:rFonts w:ascii="Simplified Arabic" w:hAnsi="Simplified Arabic" w:cs="Simplified Arabic" w:hint="cs"/>
          <w:b/>
          <w:bCs/>
          <w:noProof/>
          <w:color w:val="EE0000"/>
          <w:sz w:val="28"/>
          <w:szCs w:val="28"/>
          <w:rtl/>
        </w:rPr>
        <w:t>القيادة التحويلية على الأداء الوظيفي في الأجهزة الحكومية المدنية في المملكة العربية السعودية</w:t>
      </w:r>
      <w:r w:rsidRPr="00E467BD">
        <w:rPr>
          <w:rFonts w:ascii="Simplified Arabic" w:hAnsi="Simplified Arabic" w:cs="Simplified Arabic" w:hint="cs"/>
          <w:b/>
          <w:bCs/>
          <w:noProof/>
          <w:color w:val="EE0000"/>
          <w:sz w:val="28"/>
          <w:szCs w:val="28"/>
          <w:rtl/>
        </w:rPr>
        <w:t xml:space="preserve"> -دراسة ميدانية</w:t>
      </w:r>
      <w:r w:rsidRPr="00E467BD">
        <w:rPr>
          <w:rFonts w:ascii="Simplified Arabic" w:hAnsi="Simplified Arabic" w:cs="Simplified Arabic" w:hint="cs"/>
          <w:b/>
          <w:bCs/>
          <w:color w:val="EE0000"/>
          <w:sz w:val="28"/>
          <w:szCs w:val="28"/>
          <w:rtl/>
        </w:rPr>
        <w:t xml:space="preserve"> </w:t>
      </w:r>
    </w:p>
    <w:p w14:paraId="1E976A66" w14:textId="64C60892" w:rsidR="00A1113E" w:rsidRPr="00E467BD" w:rsidRDefault="00A1113E" w:rsidP="00471C07">
      <w:pPr>
        <w:bidi/>
        <w:spacing w:before="100" w:beforeAutospacing="1" w:after="100" w:afterAutospacing="1" w:line="276" w:lineRule="auto"/>
        <w:ind w:left="-2"/>
        <w:jc w:val="center"/>
        <w:rPr>
          <w:rFonts w:ascii="Simplified Arabic" w:hAnsi="Simplified Arabic" w:cs="Simplified Arabic"/>
          <w:b/>
          <w:bCs/>
          <w:color w:val="EE0000"/>
          <w:sz w:val="28"/>
          <w:szCs w:val="28"/>
          <w:rtl/>
          <w:lang w:bidi="ar-EG"/>
        </w:rPr>
      </w:pPr>
      <w:r w:rsidRPr="00E467BD">
        <w:rPr>
          <w:rFonts w:ascii="Simplified Arabic" w:hAnsi="Simplified Arabic" w:cs="Simplified Arabic" w:hint="cs"/>
          <w:b/>
          <w:bCs/>
          <w:color w:val="EE0000"/>
          <w:sz w:val="28"/>
          <w:szCs w:val="28"/>
          <w:rtl/>
        </w:rPr>
        <w:t>مشروع خطة أطروحة للتسجيل لدرجة الدكتوراه</w:t>
      </w:r>
    </w:p>
    <w:p w14:paraId="516A4B9A" w14:textId="77777777" w:rsidR="00F359C4" w:rsidRPr="00E467BD" w:rsidRDefault="00F359C4" w:rsidP="00471C07">
      <w:pPr>
        <w:pStyle w:val="a8"/>
        <w:bidi/>
        <w:spacing w:line="276" w:lineRule="auto"/>
        <w:ind w:left="-2"/>
        <w:jc w:val="center"/>
        <w:rPr>
          <w:rFonts w:ascii="Simplified Arabic" w:eastAsiaTheme="minorHAnsi" w:hAnsi="Simplified Arabic" w:cs="Simplified Arabic"/>
          <w:b/>
          <w:bCs/>
          <w:noProof/>
          <w:color w:val="EE0000"/>
          <w:sz w:val="28"/>
          <w:szCs w:val="28"/>
        </w:rPr>
      </w:pPr>
      <w:r w:rsidRPr="00E467BD">
        <w:rPr>
          <w:rFonts w:ascii="Simplified Arabic" w:hAnsi="Simplified Arabic" w:cs="Simplified Arabic" w:hint="cs"/>
          <w:b/>
          <w:bCs/>
          <w:noProof/>
          <w:color w:val="EE0000"/>
          <w:sz w:val="28"/>
          <w:szCs w:val="28"/>
          <w:lang w:bidi="ar-EG"/>
        </w:rPr>
        <w:t>The Mediating Role of Digital Transformation in the Relationship between Transformational Leadership and Job Performance in Civil Government Agencies in the Kingdom of Saudi Arabia: A Field Study</w:t>
      </w:r>
    </w:p>
    <w:p w14:paraId="00C96E38" w14:textId="4FFA53B6" w:rsidR="00A1113E" w:rsidRDefault="00A1113E" w:rsidP="00471C07">
      <w:pPr>
        <w:pStyle w:val="a8"/>
        <w:bidi/>
        <w:spacing w:line="276" w:lineRule="auto"/>
        <w:ind w:left="-2"/>
        <w:jc w:val="center"/>
        <w:rPr>
          <w:rFonts w:ascii="Simplified Arabic" w:eastAsiaTheme="minorHAnsi" w:hAnsi="Simplified Arabic" w:cs="Simplified Arabic"/>
          <w:b/>
          <w:bCs/>
          <w:noProof/>
          <w:sz w:val="28"/>
          <w:szCs w:val="28"/>
          <w:rtl/>
          <w:lang w:bidi="ar-EG"/>
        </w:rPr>
      </w:pPr>
      <w:r w:rsidRPr="00471C07">
        <w:rPr>
          <w:rFonts w:ascii="Simplified Arabic" w:eastAsiaTheme="minorHAnsi" w:hAnsi="Simplified Arabic" w:cs="Simplified Arabic" w:hint="cs"/>
          <w:b/>
          <w:bCs/>
          <w:noProof/>
          <w:sz w:val="28"/>
          <w:szCs w:val="28"/>
          <w:rtl/>
        </w:rPr>
        <w:t>إعداد الباحث:</w:t>
      </w:r>
    </w:p>
    <w:p w14:paraId="2DEA5CB7" w14:textId="4AC7E4D2" w:rsidR="00B65B82" w:rsidRDefault="00B65B82" w:rsidP="00B65B82">
      <w:pPr>
        <w:pStyle w:val="a8"/>
        <w:bidi/>
        <w:spacing w:line="276" w:lineRule="auto"/>
        <w:ind w:left="-2"/>
        <w:jc w:val="center"/>
        <w:rPr>
          <w:rFonts w:ascii="Simplified Arabic" w:eastAsiaTheme="minorHAnsi" w:hAnsi="Simplified Arabic" w:cs="Simplified Arabic"/>
          <w:b/>
          <w:bCs/>
          <w:noProof/>
          <w:sz w:val="28"/>
          <w:szCs w:val="28"/>
          <w:rtl/>
          <w:lang w:bidi="ar-EG"/>
        </w:rPr>
      </w:pPr>
      <w:r w:rsidRPr="00B65B82">
        <w:rPr>
          <w:rFonts w:ascii="Simplified Arabic" w:eastAsiaTheme="minorHAnsi" w:hAnsi="Simplified Arabic" w:cs="Simplified Arabic"/>
          <w:b/>
          <w:bCs/>
          <w:noProof/>
          <w:sz w:val="28"/>
          <w:szCs w:val="28"/>
          <w:rtl/>
          <w:lang w:bidi="ar-EG"/>
        </w:rPr>
        <w:t>نورة محمد آل تويم</w:t>
      </w:r>
    </w:p>
    <w:p w14:paraId="76A5DA40" w14:textId="37AE8205" w:rsidR="00B65B82" w:rsidRPr="00471C07" w:rsidRDefault="00B65B82" w:rsidP="00B65B82">
      <w:pPr>
        <w:pStyle w:val="a8"/>
        <w:bidi/>
        <w:spacing w:line="276" w:lineRule="auto"/>
        <w:ind w:left="-2"/>
        <w:jc w:val="center"/>
        <w:rPr>
          <w:rFonts w:ascii="Simplified Arabic" w:eastAsiaTheme="minorHAnsi" w:hAnsi="Simplified Arabic" w:cs="Simplified Arabic" w:hint="cs"/>
          <w:b/>
          <w:bCs/>
          <w:noProof/>
          <w:sz w:val="28"/>
          <w:szCs w:val="28"/>
          <w:rtl/>
          <w:lang w:bidi="ar-EG"/>
        </w:rPr>
      </w:pPr>
      <w:r>
        <w:rPr>
          <w:rFonts w:ascii="Simplified Arabic" w:eastAsiaTheme="minorHAnsi" w:hAnsi="Simplified Arabic" w:cs="Simplified Arabic" w:hint="cs"/>
          <w:b/>
          <w:bCs/>
          <w:noProof/>
          <w:sz w:val="28"/>
          <w:szCs w:val="28"/>
          <w:rtl/>
          <w:lang w:bidi="ar-EG"/>
        </w:rPr>
        <w:t>251001827</w:t>
      </w:r>
    </w:p>
    <w:p w14:paraId="75230E5E" w14:textId="7F951266" w:rsidR="00F359C4" w:rsidRPr="00471C07" w:rsidRDefault="00F359C4" w:rsidP="00471C07">
      <w:pPr>
        <w:pStyle w:val="a8"/>
        <w:bidi/>
        <w:spacing w:line="276" w:lineRule="auto"/>
        <w:ind w:left="-2"/>
        <w:jc w:val="center"/>
        <w:rPr>
          <w:rFonts w:ascii="Simplified Arabic" w:eastAsiaTheme="minorHAnsi" w:hAnsi="Simplified Arabic" w:cs="Simplified Arabic"/>
          <w:b/>
          <w:bCs/>
          <w:noProof/>
          <w:sz w:val="28"/>
          <w:szCs w:val="28"/>
          <w:rtl/>
        </w:rPr>
      </w:pPr>
      <w:r w:rsidRPr="00471C07">
        <w:rPr>
          <w:rFonts w:ascii="Simplified Arabic" w:eastAsiaTheme="minorHAnsi" w:hAnsi="Simplified Arabic" w:cs="Simplified Arabic" w:hint="cs"/>
          <w:b/>
          <w:bCs/>
          <w:noProof/>
          <w:sz w:val="28"/>
          <w:szCs w:val="28"/>
          <w:rtl/>
        </w:rPr>
        <w:t>إشراف:</w:t>
      </w:r>
    </w:p>
    <w:p w14:paraId="07A9982F" w14:textId="5CEB2036" w:rsidR="00141E5C" w:rsidRPr="00471C07" w:rsidRDefault="00F359C4" w:rsidP="00471C07">
      <w:pPr>
        <w:pStyle w:val="a8"/>
        <w:bidi/>
        <w:spacing w:line="276" w:lineRule="auto"/>
        <w:ind w:left="-2"/>
        <w:jc w:val="center"/>
        <w:rPr>
          <w:rFonts w:ascii="Simplified Arabic" w:eastAsiaTheme="minorHAnsi" w:hAnsi="Simplified Arabic" w:cs="Simplified Arabic"/>
          <w:b/>
          <w:bCs/>
          <w:noProof/>
          <w:sz w:val="28"/>
          <w:szCs w:val="28"/>
          <w:rtl/>
        </w:rPr>
      </w:pPr>
      <w:r w:rsidRPr="00471C07">
        <w:rPr>
          <w:rFonts w:ascii="Simplified Arabic" w:eastAsiaTheme="minorHAnsi" w:hAnsi="Simplified Arabic" w:cs="Simplified Arabic" w:hint="cs"/>
          <w:b/>
          <w:bCs/>
          <w:noProof/>
          <w:sz w:val="28"/>
          <w:szCs w:val="28"/>
        </w:rPr>
        <w:t>1447</w:t>
      </w:r>
      <w:r w:rsidRPr="00471C07">
        <w:rPr>
          <w:rFonts w:ascii="Simplified Arabic" w:eastAsiaTheme="minorHAnsi" w:hAnsi="Simplified Arabic" w:cs="Simplified Arabic" w:hint="cs"/>
          <w:b/>
          <w:bCs/>
          <w:noProof/>
          <w:sz w:val="28"/>
          <w:szCs w:val="28"/>
          <w:rtl/>
        </w:rPr>
        <w:t>هـ / 2026م</w:t>
      </w:r>
    </w:p>
    <w:p w14:paraId="44C80D72" w14:textId="77777777" w:rsidR="00312766" w:rsidRPr="00471C07" w:rsidRDefault="00312766" w:rsidP="00471C07">
      <w:pPr>
        <w:pStyle w:val="a8"/>
        <w:bidi/>
        <w:spacing w:line="276" w:lineRule="auto"/>
        <w:ind w:left="-2"/>
        <w:jc w:val="center"/>
        <w:rPr>
          <w:rFonts w:ascii="Simplified Arabic" w:hAnsi="Simplified Arabic" w:cs="Simplified Arabic"/>
          <w:b/>
          <w:bCs/>
          <w:sz w:val="28"/>
          <w:szCs w:val="28"/>
        </w:rPr>
      </w:pPr>
    </w:p>
    <w:p w14:paraId="4A38AD03" w14:textId="77777777" w:rsidR="00312766" w:rsidRPr="00471C07" w:rsidRDefault="00312766" w:rsidP="00471C07">
      <w:pPr>
        <w:pStyle w:val="a8"/>
        <w:bidi/>
        <w:spacing w:line="276" w:lineRule="auto"/>
        <w:ind w:left="-2"/>
        <w:jc w:val="center"/>
        <w:rPr>
          <w:rFonts w:ascii="Simplified Arabic" w:hAnsi="Simplified Arabic" w:cs="Simplified Arabic"/>
          <w:b/>
          <w:bCs/>
          <w:sz w:val="28"/>
          <w:szCs w:val="28"/>
        </w:rPr>
      </w:pPr>
    </w:p>
    <w:p w14:paraId="19B9AACF" w14:textId="77777777" w:rsidR="00312766" w:rsidRPr="00471C07" w:rsidRDefault="00312766" w:rsidP="00471C07">
      <w:pPr>
        <w:pStyle w:val="a8"/>
        <w:bidi/>
        <w:spacing w:line="276" w:lineRule="auto"/>
        <w:ind w:left="-2"/>
        <w:jc w:val="center"/>
        <w:rPr>
          <w:rFonts w:ascii="Simplified Arabic" w:hAnsi="Simplified Arabic" w:cs="Simplified Arabic"/>
          <w:b/>
          <w:bCs/>
          <w:sz w:val="28"/>
          <w:szCs w:val="28"/>
        </w:rPr>
      </w:pPr>
    </w:p>
    <w:p w14:paraId="04A9346B" w14:textId="57B72CA5" w:rsidR="000A5590" w:rsidRPr="00471C07" w:rsidRDefault="000A5590" w:rsidP="00471C07">
      <w:pPr>
        <w:bidi/>
        <w:spacing w:after="200" w:line="276" w:lineRule="auto"/>
        <w:rPr>
          <w:rFonts w:ascii="Simplified Arabic" w:hAnsi="Simplified Arabic" w:cs="Simplified Arabic"/>
          <w:b/>
          <w:bCs/>
          <w:sz w:val="28"/>
          <w:szCs w:val="28"/>
          <w:rtl/>
        </w:rPr>
      </w:pPr>
    </w:p>
    <w:p w14:paraId="3E4D7FE1" w14:textId="138C1533" w:rsidR="00BC1BB4" w:rsidRPr="00471C07" w:rsidRDefault="00312766" w:rsidP="00471C07">
      <w:pPr>
        <w:bidi/>
        <w:spacing w:after="200" w:line="276" w:lineRule="auto"/>
        <w:rPr>
          <w:rFonts w:ascii="Simplified Arabic" w:hAnsi="Simplified Arabic" w:cs="Simplified Arabic"/>
          <w:b/>
          <w:bCs/>
          <w:sz w:val="28"/>
          <w:szCs w:val="28"/>
          <w:rtl/>
        </w:rPr>
      </w:pPr>
      <w:r w:rsidRPr="00471C07">
        <w:rPr>
          <w:rFonts w:ascii="Simplified Arabic" w:hAnsi="Simplified Arabic" w:cs="Simplified Arabic" w:hint="cs"/>
          <w:noProof/>
          <w:sz w:val="28"/>
          <w:szCs w:val="28"/>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471C07" w:rsidRDefault="00283AD4" w:rsidP="00471C07">
      <w:pPr>
        <w:bidi/>
        <w:spacing w:after="200" w:line="276" w:lineRule="auto"/>
        <w:rPr>
          <w:rFonts w:ascii="Simplified Arabic" w:hAnsi="Simplified Arabic" w:cs="Simplified Arabic"/>
          <w:b/>
          <w:bCs/>
          <w:sz w:val="28"/>
          <w:szCs w:val="28"/>
          <w:rtl/>
        </w:rPr>
      </w:pPr>
    </w:p>
    <w:p w14:paraId="7D381790"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797FC5C9"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152D8BAE"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32077FD2" w14:textId="77777777" w:rsidR="00312766" w:rsidRPr="00471C07" w:rsidRDefault="00312766" w:rsidP="00471C07">
      <w:pPr>
        <w:bidi/>
        <w:spacing w:after="200" w:line="276" w:lineRule="auto"/>
        <w:rPr>
          <w:rFonts w:ascii="Simplified Arabic" w:hAnsi="Simplified Arabic" w:cs="Simplified Arabic"/>
          <w:b/>
          <w:bCs/>
          <w:sz w:val="28"/>
          <w:szCs w:val="28"/>
          <w:rtl/>
        </w:rPr>
      </w:pPr>
    </w:p>
    <w:p w14:paraId="20845E96" w14:textId="77777777" w:rsidR="00312766" w:rsidRDefault="00312766" w:rsidP="00471C07">
      <w:pPr>
        <w:bidi/>
        <w:spacing w:after="200" w:line="276" w:lineRule="auto"/>
        <w:rPr>
          <w:rFonts w:ascii="Simplified Arabic" w:hAnsi="Simplified Arabic" w:cs="Simplified Arabic"/>
          <w:b/>
          <w:bCs/>
          <w:sz w:val="28"/>
          <w:szCs w:val="28"/>
          <w:rtl/>
        </w:rPr>
      </w:pPr>
    </w:p>
    <w:p w14:paraId="7FF0F242" w14:textId="77777777" w:rsidR="00471C07" w:rsidRPr="00471C07" w:rsidRDefault="00471C07" w:rsidP="00471C07">
      <w:pPr>
        <w:bidi/>
        <w:spacing w:after="200" w:line="276" w:lineRule="auto"/>
        <w:rPr>
          <w:rFonts w:ascii="Simplified Arabic" w:hAnsi="Simplified Arabic" w:cs="Simplified Arabic"/>
          <w:b/>
          <w:bCs/>
          <w:sz w:val="28"/>
          <w:szCs w:val="28"/>
          <w:rtl/>
        </w:rPr>
      </w:pPr>
    </w:p>
    <w:p w14:paraId="12A206C7" w14:textId="77777777" w:rsidR="00312766" w:rsidRDefault="00312766" w:rsidP="00471C07">
      <w:pPr>
        <w:bidi/>
        <w:spacing w:after="200" w:line="276" w:lineRule="auto"/>
        <w:rPr>
          <w:rFonts w:ascii="Simplified Arabic" w:hAnsi="Simplified Arabic" w:cs="Simplified Arabic"/>
          <w:b/>
          <w:bCs/>
          <w:sz w:val="28"/>
          <w:szCs w:val="28"/>
          <w:rtl/>
        </w:rPr>
      </w:pPr>
    </w:p>
    <w:p w14:paraId="373A0E70" w14:textId="77777777" w:rsidR="00471C07" w:rsidRDefault="00471C07" w:rsidP="00471C07">
      <w:pPr>
        <w:bidi/>
        <w:spacing w:after="200" w:line="276" w:lineRule="auto"/>
        <w:rPr>
          <w:rFonts w:ascii="Simplified Arabic" w:hAnsi="Simplified Arabic" w:cs="Simplified Arabic"/>
          <w:b/>
          <w:bCs/>
          <w:sz w:val="28"/>
          <w:szCs w:val="28"/>
          <w:rtl/>
        </w:rPr>
      </w:pPr>
    </w:p>
    <w:p w14:paraId="04241881" w14:textId="77777777" w:rsidR="00471C07" w:rsidRDefault="00471C07" w:rsidP="00471C07">
      <w:pPr>
        <w:bidi/>
        <w:spacing w:after="200" w:line="276" w:lineRule="auto"/>
        <w:rPr>
          <w:rFonts w:ascii="Simplified Arabic" w:hAnsi="Simplified Arabic" w:cs="Simplified Arabic"/>
          <w:b/>
          <w:bCs/>
          <w:sz w:val="28"/>
          <w:szCs w:val="28"/>
          <w:rtl/>
        </w:rPr>
      </w:pPr>
    </w:p>
    <w:p w14:paraId="5746F072" w14:textId="77777777" w:rsidR="00471C07" w:rsidRPr="00471C07" w:rsidRDefault="00471C07" w:rsidP="00471C07">
      <w:pPr>
        <w:bidi/>
        <w:spacing w:after="200" w:line="276" w:lineRule="auto"/>
        <w:rPr>
          <w:rFonts w:ascii="Simplified Arabic" w:hAnsi="Simplified Arabic" w:cs="Simplified Arabic"/>
          <w:b/>
          <w:bCs/>
          <w:sz w:val="28"/>
          <w:szCs w:val="28"/>
          <w:rtl/>
        </w:rPr>
      </w:pPr>
    </w:p>
    <w:p w14:paraId="1EB7034A" w14:textId="698A2982" w:rsidR="00476CBD" w:rsidRPr="00471C07" w:rsidRDefault="00476CBD" w:rsidP="00471C07">
      <w:pPr>
        <w:bidi/>
        <w:spacing w:before="100" w:beforeAutospacing="1" w:after="0" w:line="276" w:lineRule="auto"/>
        <w:ind w:left="284"/>
        <w:jc w:val="center"/>
        <w:outlineLvl w:val="0"/>
        <w:rPr>
          <w:rFonts w:ascii="Simplified Arabic" w:hAnsi="Simplified Arabic" w:cs="Simplified Arabic"/>
          <w:b/>
          <w:bCs/>
          <w:sz w:val="28"/>
          <w:szCs w:val="28"/>
          <w:rtl/>
        </w:rPr>
      </w:pPr>
      <w:bookmarkStart w:id="0" w:name="_Toc202225998"/>
      <w:r w:rsidRPr="00471C07">
        <w:rPr>
          <w:rFonts w:ascii="Simplified Arabic" w:hAnsi="Simplified Arabic" w:cs="Simplified Arabic" w:hint="cs"/>
          <w:b/>
          <w:bCs/>
          <w:sz w:val="28"/>
          <w:szCs w:val="28"/>
          <w:rtl/>
        </w:rPr>
        <w:t>قائمة المحتويات</w:t>
      </w:r>
      <w:bookmarkEnd w:id="0"/>
    </w:p>
    <w:sdt>
      <w:sdtPr>
        <w:rPr>
          <w:rFonts w:ascii="Simplified Arabic" w:eastAsiaTheme="minorHAnsi" w:hAnsi="Simplified Arabic" w:cs="Simplified Arabic" w:hint="cs"/>
          <w:color w:val="auto"/>
          <w:sz w:val="28"/>
          <w:szCs w:val="28"/>
          <w:rtl/>
        </w:rPr>
        <w:id w:val="-87780616"/>
        <w:docPartObj>
          <w:docPartGallery w:val="Table of Contents"/>
          <w:docPartUnique/>
        </w:docPartObj>
      </w:sdtPr>
      <w:sdtEndPr>
        <w:rPr>
          <w:b/>
          <w:bCs/>
          <w:noProof/>
        </w:rPr>
      </w:sdtEndPr>
      <w:sdtContent>
        <w:p w14:paraId="2DC69491" w14:textId="243522BB" w:rsidR="00476CBD" w:rsidRPr="00471C07" w:rsidRDefault="00476CBD" w:rsidP="00471C07">
          <w:pPr>
            <w:pStyle w:val="ae"/>
            <w:bidi/>
            <w:spacing w:line="276" w:lineRule="auto"/>
            <w:rPr>
              <w:rFonts w:ascii="Simplified Arabic" w:hAnsi="Simplified Arabic" w:cs="Simplified Arabic"/>
              <w:sz w:val="28"/>
              <w:szCs w:val="28"/>
            </w:rPr>
          </w:pPr>
        </w:p>
        <w:p w14:paraId="07A39171" w14:textId="782821D5" w:rsidR="00DF30CE" w:rsidRPr="00471C07" w:rsidRDefault="00476CBD" w:rsidP="00471C07">
          <w:pPr>
            <w:pStyle w:val="12"/>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r w:rsidRPr="00471C07">
            <w:rPr>
              <w:rFonts w:ascii="Simplified Arabic" w:hAnsi="Simplified Arabic" w:cs="Simplified Arabic" w:hint="cs"/>
              <w:sz w:val="28"/>
              <w:szCs w:val="28"/>
            </w:rPr>
            <w:fldChar w:fldCharType="begin"/>
          </w:r>
          <w:r w:rsidRPr="00471C07">
            <w:rPr>
              <w:rFonts w:ascii="Simplified Arabic" w:hAnsi="Simplified Arabic" w:cs="Simplified Arabic" w:hint="cs"/>
              <w:sz w:val="28"/>
              <w:szCs w:val="28"/>
            </w:rPr>
            <w:instrText xml:space="preserve"> TOC \o "1-3" \h \z \u </w:instrText>
          </w:r>
          <w:r w:rsidRPr="00471C07">
            <w:rPr>
              <w:rFonts w:ascii="Simplified Arabic" w:hAnsi="Simplified Arabic" w:cs="Simplified Arabic" w:hint="cs"/>
              <w:sz w:val="28"/>
              <w:szCs w:val="28"/>
            </w:rPr>
            <w:fldChar w:fldCharType="separate"/>
          </w:r>
          <w:hyperlink w:anchor="_Toc202225998" w:history="1">
            <w:r w:rsidR="00DF30CE" w:rsidRPr="00471C07">
              <w:rPr>
                <w:rStyle w:val="Hyperlink"/>
                <w:rFonts w:ascii="Simplified Arabic" w:hAnsi="Simplified Arabic" w:cs="Simplified Arabic" w:hint="cs"/>
                <w:b/>
                <w:bCs/>
                <w:noProof/>
                <w:sz w:val="28"/>
                <w:szCs w:val="28"/>
                <w:rtl/>
              </w:rPr>
              <w:t>قائمة المحتويات</w:t>
            </w:r>
            <w:r w:rsidR="00DF30CE" w:rsidRPr="00471C07">
              <w:rPr>
                <w:rFonts w:ascii="Simplified Arabic" w:hAnsi="Simplified Arabic" w:cs="Simplified Arabic" w:hint="cs"/>
                <w:noProof/>
                <w:webHidden/>
                <w:sz w:val="28"/>
                <w:szCs w:val="28"/>
                <w:rtl/>
              </w:rPr>
              <w:tab/>
            </w:r>
            <w:r w:rsidR="00DF30CE" w:rsidRPr="00471C07">
              <w:rPr>
                <w:rStyle w:val="Hyperlink"/>
                <w:rFonts w:ascii="Simplified Arabic" w:hAnsi="Simplified Arabic" w:cs="Simplified Arabic" w:hint="cs"/>
                <w:noProof/>
                <w:sz w:val="28"/>
                <w:szCs w:val="28"/>
                <w:rtl/>
              </w:rPr>
              <w:fldChar w:fldCharType="begin"/>
            </w:r>
            <w:r w:rsidR="00DF30CE" w:rsidRPr="00471C07">
              <w:rPr>
                <w:rFonts w:ascii="Simplified Arabic" w:hAnsi="Simplified Arabic" w:cs="Simplified Arabic" w:hint="cs"/>
                <w:noProof/>
                <w:webHidden/>
                <w:sz w:val="28"/>
                <w:szCs w:val="28"/>
                <w:rtl/>
              </w:rPr>
              <w:instrText xml:space="preserve"> </w:instrText>
            </w:r>
            <w:r w:rsidR="00DF30CE" w:rsidRPr="00471C07">
              <w:rPr>
                <w:rFonts w:ascii="Simplified Arabic" w:hAnsi="Simplified Arabic" w:cs="Simplified Arabic" w:hint="cs"/>
                <w:noProof/>
                <w:webHidden/>
                <w:sz w:val="28"/>
                <w:szCs w:val="28"/>
              </w:rPr>
              <w:instrText>PAGEREF</w:instrText>
            </w:r>
            <w:r w:rsidR="00DF30CE" w:rsidRPr="00471C07">
              <w:rPr>
                <w:rFonts w:ascii="Simplified Arabic" w:hAnsi="Simplified Arabic" w:cs="Simplified Arabic" w:hint="cs"/>
                <w:noProof/>
                <w:webHidden/>
                <w:sz w:val="28"/>
                <w:szCs w:val="28"/>
                <w:rtl/>
              </w:rPr>
              <w:instrText xml:space="preserve"> _</w:instrText>
            </w:r>
            <w:r w:rsidR="00DF30CE" w:rsidRPr="00471C07">
              <w:rPr>
                <w:rFonts w:ascii="Simplified Arabic" w:hAnsi="Simplified Arabic" w:cs="Simplified Arabic" w:hint="cs"/>
                <w:noProof/>
                <w:webHidden/>
                <w:sz w:val="28"/>
                <w:szCs w:val="28"/>
              </w:rPr>
              <w:instrText>Toc202225998 \h</w:instrText>
            </w:r>
            <w:r w:rsidR="00DF30CE" w:rsidRPr="00471C07">
              <w:rPr>
                <w:rFonts w:ascii="Simplified Arabic" w:hAnsi="Simplified Arabic" w:cs="Simplified Arabic" w:hint="cs"/>
                <w:noProof/>
                <w:webHidden/>
                <w:sz w:val="28"/>
                <w:szCs w:val="28"/>
                <w:rtl/>
              </w:rPr>
              <w:instrText xml:space="preserve"> </w:instrText>
            </w:r>
            <w:r w:rsidR="00DF30CE" w:rsidRPr="00471C07">
              <w:rPr>
                <w:rStyle w:val="Hyperlink"/>
                <w:rFonts w:ascii="Simplified Arabic" w:hAnsi="Simplified Arabic" w:cs="Simplified Arabic" w:hint="cs"/>
                <w:noProof/>
                <w:sz w:val="28"/>
                <w:szCs w:val="28"/>
                <w:rtl/>
              </w:rPr>
            </w:r>
            <w:r w:rsidR="00DF30CE"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‌ج</w:t>
            </w:r>
            <w:r w:rsidR="00DF30CE" w:rsidRPr="00471C07">
              <w:rPr>
                <w:rStyle w:val="Hyperlink"/>
                <w:rFonts w:ascii="Simplified Arabic" w:hAnsi="Simplified Arabic" w:cs="Simplified Arabic" w:hint="cs"/>
                <w:noProof/>
                <w:sz w:val="28"/>
                <w:szCs w:val="28"/>
                <w:rtl/>
              </w:rPr>
              <w:fldChar w:fldCharType="end"/>
            </w:r>
          </w:hyperlink>
        </w:p>
        <w:p w14:paraId="290F58A2" w14:textId="7C97D123" w:rsidR="00DF30CE" w:rsidRPr="00471C07" w:rsidRDefault="00DF30CE" w:rsidP="00471C07">
          <w:pPr>
            <w:pStyle w:val="12"/>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5999" w:history="1">
            <w:r w:rsidRPr="00471C07">
              <w:rPr>
                <w:rStyle w:val="Hyperlink"/>
                <w:rFonts w:ascii="Simplified Arabic" w:hAnsi="Simplified Arabic" w:cs="Simplified Arabic" w:hint="cs"/>
                <w:b/>
                <w:bCs/>
                <w:noProof/>
                <w:sz w:val="28"/>
                <w:szCs w:val="28"/>
                <w:rtl/>
                <w:lang w:bidi="ar-EG"/>
              </w:rPr>
              <w:t>الفصل الأول: المقدمة والإطار النظري</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Toc202225999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w:t>
            </w:r>
            <w:r w:rsidRPr="00471C07">
              <w:rPr>
                <w:rStyle w:val="Hyperlink"/>
                <w:rFonts w:ascii="Simplified Arabic" w:hAnsi="Simplified Arabic" w:cs="Simplified Arabic" w:hint="cs"/>
                <w:noProof/>
                <w:sz w:val="28"/>
                <w:szCs w:val="28"/>
                <w:rtl/>
              </w:rPr>
              <w:fldChar w:fldCharType="end"/>
            </w:r>
          </w:hyperlink>
        </w:p>
        <w:p w14:paraId="4CC80000" w14:textId="31071FA5"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0" w:history="1">
            <w:r w:rsidRPr="00471C07">
              <w:rPr>
                <w:rStyle w:val="Hyperlink"/>
                <w:rFonts w:ascii="Simplified Arabic" w:hAnsi="Simplified Arabic" w:cs="Simplified Arabic" w:hint="cs"/>
                <w:b/>
                <w:bCs/>
                <w:noProof/>
                <w:sz w:val="28"/>
                <w:szCs w:val="28"/>
                <w:rtl/>
              </w:rPr>
              <w:t>1.1 مقدمة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Toc202226000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w:t>
            </w:r>
            <w:r w:rsidRPr="00471C07">
              <w:rPr>
                <w:rStyle w:val="Hyperlink"/>
                <w:rFonts w:ascii="Simplified Arabic" w:hAnsi="Simplified Arabic" w:cs="Simplified Arabic" w:hint="cs"/>
                <w:noProof/>
                <w:sz w:val="28"/>
                <w:szCs w:val="28"/>
                <w:rtl/>
              </w:rPr>
              <w:fldChar w:fldCharType="end"/>
            </w:r>
          </w:hyperlink>
        </w:p>
        <w:p w14:paraId="2FB4EA96" w14:textId="2C21C55D"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1" w:history="1">
            <w:r w:rsidRPr="00471C07">
              <w:rPr>
                <w:rStyle w:val="Hyperlink"/>
                <w:rFonts w:ascii="Simplified Arabic" w:hAnsi="Simplified Arabic" w:cs="Simplified Arabic" w:hint="cs"/>
                <w:b/>
                <w:bCs/>
                <w:noProof/>
                <w:sz w:val="28"/>
                <w:szCs w:val="28"/>
                <w:rtl/>
              </w:rPr>
              <w:t>2.1 مشكلة الدراسة وأسئلتها:</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Toc202226001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w:t>
            </w:r>
            <w:r w:rsidRPr="00471C07">
              <w:rPr>
                <w:rStyle w:val="Hyperlink"/>
                <w:rFonts w:ascii="Simplified Arabic" w:hAnsi="Simplified Arabic" w:cs="Simplified Arabic" w:hint="cs"/>
                <w:noProof/>
                <w:sz w:val="28"/>
                <w:szCs w:val="28"/>
                <w:rtl/>
              </w:rPr>
              <w:fldChar w:fldCharType="end"/>
            </w:r>
          </w:hyperlink>
        </w:p>
        <w:p w14:paraId="4A9851E9" w14:textId="78F9465D"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2" w:history="1">
            <w:r w:rsidRPr="00471C07">
              <w:rPr>
                <w:rStyle w:val="Hyperlink"/>
                <w:rFonts w:ascii="Simplified Arabic" w:hAnsi="Simplified Arabic" w:cs="Simplified Arabic" w:hint="cs"/>
                <w:b/>
                <w:bCs/>
                <w:noProof/>
                <w:sz w:val="28"/>
                <w:szCs w:val="28"/>
                <w:rtl/>
              </w:rPr>
              <w:t>3.1 أهمية الدراسة (النظرية والتطبيقية):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Toc202226002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w:t>
            </w:r>
            <w:r w:rsidRPr="00471C07">
              <w:rPr>
                <w:rStyle w:val="Hyperlink"/>
                <w:rFonts w:ascii="Simplified Arabic" w:hAnsi="Simplified Arabic" w:cs="Simplified Arabic" w:hint="cs"/>
                <w:noProof/>
                <w:sz w:val="28"/>
                <w:szCs w:val="28"/>
                <w:rtl/>
              </w:rPr>
              <w:fldChar w:fldCharType="end"/>
            </w:r>
          </w:hyperlink>
        </w:p>
        <w:p w14:paraId="508B342E" w14:textId="36B44A4A" w:rsidR="00DF30CE" w:rsidRPr="00471C07" w:rsidRDefault="00DF30CE" w:rsidP="00471C07">
          <w:pPr>
            <w:pStyle w:val="3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3" w:history="1">
            <w:r w:rsidRPr="00471C07">
              <w:rPr>
                <w:rStyle w:val="Hyperlink"/>
                <w:rFonts w:ascii="Simplified Arabic" w:hAnsi="Simplified Arabic" w:cs="Simplified Arabic" w:hint="cs"/>
                <w:b/>
                <w:bCs/>
                <w:noProof/>
                <w:sz w:val="28"/>
                <w:szCs w:val="28"/>
                <w:rtl/>
              </w:rPr>
              <w:t>1.3.1 أهمية الدراسة النظرية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Toc202226003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w:t>
            </w:r>
            <w:r w:rsidRPr="00471C07">
              <w:rPr>
                <w:rStyle w:val="Hyperlink"/>
                <w:rFonts w:ascii="Simplified Arabic" w:hAnsi="Simplified Arabic" w:cs="Simplified Arabic" w:hint="cs"/>
                <w:noProof/>
                <w:sz w:val="28"/>
                <w:szCs w:val="28"/>
                <w:rtl/>
              </w:rPr>
              <w:fldChar w:fldCharType="end"/>
            </w:r>
          </w:hyperlink>
        </w:p>
        <w:p w14:paraId="075DAF11" w14:textId="4406F3D9" w:rsidR="00DF30CE" w:rsidRPr="00471C07" w:rsidRDefault="00DF30CE" w:rsidP="00471C07">
          <w:pPr>
            <w:pStyle w:val="3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4" w:history="1">
            <w:r w:rsidRPr="00471C07">
              <w:rPr>
                <w:rStyle w:val="Hyperlink"/>
                <w:rFonts w:ascii="Simplified Arabic" w:hAnsi="Simplified Arabic" w:cs="Simplified Arabic" w:hint="cs"/>
                <w:b/>
                <w:bCs/>
                <w:noProof/>
                <w:sz w:val="28"/>
                <w:szCs w:val="28"/>
                <w:rtl/>
              </w:rPr>
              <w:t>2.3.1 أهمية الدراسة التطبيقية: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Toc202226004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5</w:t>
            </w:r>
            <w:r w:rsidRPr="00471C07">
              <w:rPr>
                <w:rStyle w:val="Hyperlink"/>
                <w:rFonts w:ascii="Simplified Arabic" w:hAnsi="Simplified Arabic" w:cs="Simplified Arabic" w:hint="cs"/>
                <w:noProof/>
                <w:sz w:val="28"/>
                <w:szCs w:val="28"/>
                <w:rtl/>
              </w:rPr>
              <w:fldChar w:fldCharType="end"/>
            </w:r>
          </w:hyperlink>
        </w:p>
        <w:p w14:paraId="3011D74C" w14:textId="41BF5204"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5" w:history="1">
            <w:r w:rsidRPr="00471C07">
              <w:rPr>
                <w:rStyle w:val="Hyperlink"/>
                <w:rFonts w:ascii="Simplified Arabic" w:hAnsi="Simplified Arabic" w:cs="Simplified Arabic" w:hint="cs"/>
                <w:b/>
                <w:bCs/>
                <w:noProof/>
                <w:sz w:val="28"/>
                <w:szCs w:val="28"/>
                <w:rtl/>
              </w:rPr>
              <w:t>4.1 أهداف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Toc202226005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6</w:t>
            </w:r>
            <w:r w:rsidRPr="00471C07">
              <w:rPr>
                <w:rStyle w:val="Hyperlink"/>
                <w:rFonts w:ascii="Simplified Arabic" w:hAnsi="Simplified Arabic" w:cs="Simplified Arabic" w:hint="cs"/>
                <w:noProof/>
                <w:sz w:val="28"/>
                <w:szCs w:val="28"/>
                <w:rtl/>
              </w:rPr>
              <w:fldChar w:fldCharType="end"/>
            </w:r>
          </w:hyperlink>
        </w:p>
        <w:p w14:paraId="377D5A53" w14:textId="29F043B5"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6" w:history="1">
            <w:r w:rsidRPr="00471C07">
              <w:rPr>
                <w:rStyle w:val="Hyperlink"/>
                <w:rFonts w:ascii="Simplified Arabic" w:hAnsi="Simplified Arabic" w:cs="Simplified Arabic" w:hint="cs"/>
                <w:b/>
                <w:bCs/>
                <w:noProof/>
                <w:sz w:val="28"/>
                <w:szCs w:val="28"/>
                <w:rtl/>
              </w:rPr>
              <w:t>5.1 فرضيات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Toc202226006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7</w:t>
            </w:r>
            <w:r w:rsidRPr="00471C07">
              <w:rPr>
                <w:rStyle w:val="Hyperlink"/>
                <w:rFonts w:ascii="Simplified Arabic" w:hAnsi="Simplified Arabic" w:cs="Simplified Arabic" w:hint="cs"/>
                <w:noProof/>
                <w:sz w:val="28"/>
                <w:szCs w:val="28"/>
                <w:rtl/>
              </w:rPr>
              <w:fldChar w:fldCharType="end"/>
            </w:r>
          </w:hyperlink>
        </w:p>
        <w:p w14:paraId="5EFEE237" w14:textId="2B86215A"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7" w:history="1">
            <w:r w:rsidRPr="00471C07">
              <w:rPr>
                <w:rStyle w:val="Hyperlink"/>
                <w:rFonts w:ascii="Simplified Arabic" w:hAnsi="Simplified Arabic" w:cs="Simplified Arabic" w:hint="cs"/>
                <w:b/>
                <w:bCs/>
                <w:noProof/>
                <w:sz w:val="28"/>
                <w:szCs w:val="28"/>
                <w:rtl/>
              </w:rPr>
              <w:t>6.1 نموذج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Toc202226007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7</w:t>
            </w:r>
            <w:r w:rsidRPr="00471C07">
              <w:rPr>
                <w:rStyle w:val="Hyperlink"/>
                <w:rFonts w:ascii="Simplified Arabic" w:hAnsi="Simplified Arabic" w:cs="Simplified Arabic" w:hint="cs"/>
                <w:noProof/>
                <w:sz w:val="28"/>
                <w:szCs w:val="28"/>
                <w:rtl/>
              </w:rPr>
              <w:fldChar w:fldCharType="end"/>
            </w:r>
          </w:hyperlink>
        </w:p>
        <w:p w14:paraId="73393D6E" w14:textId="4FB03942"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8" w:history="1">
            <w:r w:rsidRPr="00471C07">
              <w:rPr>
                <w:rStyle w:val="Hyperlink"/>
                <w:rFonts w:ascii="Simplified Arabic" w:hAnsi="Simplified Arabic" w:cs="Simplified Arabic" w:hint="cs"/>
                <w:b/>
                <w:bCs/>
                <w:noProof/>
                <w:sz w:val="28"/>
                <w:szCs w:val="28"/>
                <w:rtl/>
              </w:rPr>
              <w:t>7,1 الدراسات المرجعية: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Toc202226008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10</w:t>
            </w:r>
            <w:r w:rsidRPr="00471C07">
              <w:rPr>
                <w:rStyle w:val="Hyperlink"/>
                <w:rFonts w:ascii="Simplified Arabic" w:hAnsi="Simplified Arabic" w:cs="Simplified Arabic" w:hint="cs"/>
                <w:noProof/>
                <w:sz w:val="28"/>
                <w:szCs w:val="28"/>
                <w:rtl/>
              </w:rPr>
              <w:fldChar w:fldCharType="end"/>
            </w:r>
          </w:hyperlink>
        </w:p>
        <w:p w14:paraId="75F6A2EA" w14:textId="1A01C419"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09" w:history="1">
            <w:r w:rsidRPr="00471C07">
              <w:rPr>
                <w:rStyle w:val="Hyperlink"/>
                <w:rFonts w:ascii="Simplified Arabic" w:hAnsi="Simplified Arabic" w:cs="Simplified Arabic" w:hint="cs"/>
                <w:b/>
                <w:bCs/>
                <w:noProof/>
                <w:sz w:val="28"/>
                <w:szCs w:val="28"/>
                <w:rtl/>
              </w:rPr>
              <w:t>9.1 اهم ما يميز تلك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Toc202226009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22</w:t>
            </w:r>
            <w:r w:rsidRPr="00471C07">
              <w:rPr>
                <w:rStyle w:val="Hyperlink"/>
                <w:rFonts w:ascii="Simplified Arabic" w:hAnsi="Simplified Arabic" w:cs="Simplified Arabic" w:hint="cs"/>
                <w:noProof/>
                <w:sz w:val="28"/>
                <w:szCs w:val="28"/>
                <w:rtl/>
              </w:rPr>
              <w:fldChar w:fldCharType="end"/>
            </w:r>
          </w:hyperlink>
        </w:p>
        <w:p w14:paraId="11D4D1E3" w14:textId="75FF25E7"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0" w:history="1">
            <w:r w:rsidRPr="00471C07">
              <w:rPr>
                <w:rStyle w:val="Hyperlink"/>
                <w:rFonts w:ascii="Simplified Arabic" w:hAnsi="Simplified Arabic" w:cs="Simplified Arabic" w:hint="cs"/>
                <w:b/>
                <w:bCs/>
                <w:noProof/>
                <w:sz w:val="28"/>
                <w:szCs w:val="28"/>
                <w:rtl/>
              </w:rPr>
              <w:t>10.1 مصطلحات الدراسة وتعريفاتها الإجرائية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Toc202226010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31</w:t>
            </w:r>
            <w:r w:rsidRPr="00471C07">
              <w:rPr>
                <w:rStyle w:val="Hyperlink"/>
                <w:rFonts w:ascii="Simplified Arabic" w:hAnsi="Simplified Arabic" w:cs="Simplified Arabic" w:hint="cs"/>
                <w:noProof/>
                <w:sz w:val="28"/>
                <w:szCs w:val="28"/>
                <w:rtl/>
              </w:rPr>
              <w:fldChar w:fldCharType="end"/>
            </w:r>
          </w:hyperlink>
        </w:p>
        <w:p w14:paraId="2C84B414" w14:textId="1D83ED1E"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1" w:history="1">
            <w:r w:rsidRPr="00471C07">
              <w:rPr>
                <w:rStyle w:val="Hyperlink"/>
                <w:rFonts w:ascii="Simplified Arabic" w:hAnsi="Simplified Arabic" w:cs="Simplified Arabic" w:hint="cs"/>
                <w:b/>
                <w:bCs/>
                <w:noProof/>
                <w:sz w:val="28"/>
                <w:szCs w:val="28"/>
                <w:rtl/>
              </w:rPr>
              <w:t>11,1 منهج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Toc202226011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35</w:t>
            </w:r>
            <w:r w:rsidRPr="00471C07">
              <w:rPr>
                <w:rStyle w:val="Hyperlink"/>
                <w:rFonts w:ascii="Simplified Arabic" w:hAnsi="Simplified Arabic" w:cs="Simplified Arabic" w:hint="cs"/>
                <w:noProof/>
                <w:sz w:val="28"/>
                <w:szCs w:val="28"/>
                <w:rtl/>
              </w:rPr>
              <w:fldChar w:fldCharType="end"/>
            </w:r>
          </w:hyperlink>
        </w:p>
        <w:p w14:paraId="79FD2918" w14:textId="2B7384B7"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2" w:history="1">
            <w:r w:rsidRPr="00471C07">
              <w:rPr>
                <w:rStyle w:val="Hyperlink"/>
                <w:rFonts w:ascii="Simplified Arabic" w:hAnsi="Simplified Arabic" w:cs="Simplified Arabic" w:hint="cs"/>
                <w:b/>
                <w:bCs/>
                <w:noProof/>
                <w:sz w:val="28"/>
                <w:szCs w:val="28"/>
                <w:rtl/>
              </w:rPr>
              <w:t>12,1 مجتمع وعينة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Toc202226012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35</w:t>
            </w:r>
            <w:r w:rsidRPr="00471C07">
              <w:rPr>
                <w:rStyle w:val="Hyperlink"/>
                <w:rFonts w:ascii="Simplified Arabic" w:hAnsi="Simplified Arabic" w:cs="Simplified Arabic" w:hint="cs"/>
                <w:noProof/>
                <w:sz w:val="28"/>
                <w:szCs w:val="28"/>
                <w:rtl/>
              </w:rPr>
              <w:fldChar w:fldCharType="end"/>
            </w:r>
          </w:hyperlink>
        </w:p>
        <w:p w14:paraId="001E8904" w14:textId="5491630E"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3" w:history="1">
            <w:r w:rsidRPr="00471C07">
              <w:rPr>
                <w:rStyle w:val="Hyperlink"/>
                <w:rFonts w:ascii="Simplified Arabic" w:hAnsi="Simplified Arabic" w:cs="Simplified Arabic" w:hint="cs"/>
                <w:b/>
                <w:bCs/>
                <w:noProof/>
                <w:sz w:val="28"/>
                <w:szCs w:val="28"/>
                <w:rtl/>
              </w:rPr>
              <w:t>13,1 وسائل جمع بيانات الدراسة: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Toc202226013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36</w:t>
            </w:r>
            <w:r w:rsidRPr="00471C07">
              <w:rPr>
                <w:rStyle w:val="Hyperlink"/>
                <w:rFonts w:ascii="Simplified Arabic" w:hAnsi="Simplified Arabic" w:cs="Simplified Arabic" w:hint="cs"/>
                <w:noProof/>
                <w:sz w:val="28"/>
                <w:szCs w:val="28"/>
                <w:rtl/>
              </w:rPr>
              <w:fldChar w:fldCharType="end"/>
            </w:r>
          </w:hyperlink>
        </w:p>
        <w:p w14:paraId="2E7B0558" w14:textId="0E2119AD" w:rsidR="00DF30CE" w:rsidRPr="00471C07" w:rsidRDefault="00DF30CE" w:rsidP="00471C07">
          <w:pPr>
            <w:pStyle w:val="12"/>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4" w:history="1">
            <w:r w:rsidRPr="00471C07">
              <w:rPr>
                <w:rStyle w:val="Hyperlink"/>
                <w:rFonts w:ascii="Simplified Arabic" w:hAnsi="Simplified Arabic" w:cs="Simplified Arabic" w:hint="cs"/>
                <w:b/>
                <w:bCs/>
                <w:noProof/>
                <w:sz w:val="28"/>
                <w:szCs w:val="28"/>
                <w:rtl/>
              </w:rPr>
              <w:t>المراجع:</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Toc202226014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42</w:t>
            </w:r>
            <w:r w:rsidRPr="00471C07">
              <w:rPr>
                <w:rStyle w:val="Hyperlink"/>
                <w:rFonts w:ascii="Simplified Arabic" w:hAnsi="Simplified Arabic" w:cs="Simplified Arabic" w:hint="cs"/>
                <w:noProof/>
                <w:sz w:val="28"/>
                <w:szCs w:val="28"/>
                <w:rtl/>
              </w:rPr>
              <w:fldChar w:fldCharType="end"/>
            </w:r>
          </w:hyperlink>
        </w:p>
        <w:p w14:paraId="4088BEDC" w14:textId="2A1B003B" w:rsidR="00DF30CE" w:rsidRPr="00471C07" w:rsidRDefault="00DF30CE" w:rsidP="00471C07">
          <w:pPr>
            <w:pStyle w:val="20"/>
            <w:tabs>
              <w:tab w:val="right" w:leader="dot" w:pos="8493"/>
            </w:tabs>
            <w:bidi/>
            <w:spacing w:line="276" w:lineRule="auto"/>
            <w:rPr>
              <w:rFonts w:ascii="Simplified Arabic" w:eastAsiaTheme="minorEastAsia" w:hAnsi="Simplified Arabic" w:cs="Simplified Arabic"/>
              <w:noProof/>
              <w:kern w:val="2"/>
              <w:sz w:val="28"/>
              <w:szCs w:val="28"/>
              <w:rtl/>
              <w14:ligatures w14:val="standardContextual"/>
            </w:rPr>
          </w:pPr>
          <w:hyperlink w:anchor="_Toc202226015" w:history="1">
            <w:r w:rsidRPr="00471C07">
              <w:rPr>
                <w:rStyle w:val="Hyperlink"/>
                <w:rFonts w:ascii="Simplified Arabic" w:hAnsi="Simplified Arabic" w:cs="Simplified Arabic" w:hint="cs"/>
                <w:b/>
                <w:bCs/>
                <w:noProof/>
                <w:sz w:val="28"/>
                <w:szCs w:val="28"/>
                <w:rtl/>
              </w:rPr>
              <w:t>المراجع العربية</w:t>
            </w:r>
            <w:r w:rsidRPr="00471C07">
              <w:rPr>
                <w:rFonts w:ascii="Simplified Arabic" w:hAnsi="Simplified Arabic" w:cs="Simplified Arabic" w:hint="cs"/>
                <w:noProof/>
                <w:webHidden/>
                <w:sz w:val="28"/>
                <w:szCs w:val="28"/>
                <w:rtl/>
              </w:rPr>
              <w:tab/>
            </w:r>
            <w:r w:rsidRPr="00471C07">
              <w:rPr>
                <w:rStyle w:val="Hyperlink"/>
                <w:rFonts w:ascii="Simplified Arabic" w:hAnsi="Simplified Arabic" w:cs="Simplified Arabic" w:hint="cs"/>
                <w:noProof/>
                <w:sz w:val="28"/>
                <w:szCs w:val="28"/>
                <w:rtl/>
              </w:rPr>
              <w:fldChar w:fldCharType="begin"/>
            </w:r>
            <w:r w:rsidRPr="00471C07">
              <w:rPr>
                <w:rFonts w:ascii="Simplified Arabic" w:hAnsi="Simplified Arabic" w:cs="Simplified Arabic" w:hint="cs"/>
                <w:noProof/>
                <w:webHidden/>
                <w:sz w:val="28"/>
                <w:szCs w:val="28"/>
                <w:rtl/>
              </w:rPr>
              <w:instrText xml:space="preserve"> </w:instrText>
            </w:r>
            <w:r w:rsidRPr="00471C07">
              <w:rPr>
                <w:rFonts w:ascii="Simplified Arabic" w:hAnsi="Simplified Arabic" w:cs="Simplified Arabic" w:hint="cs"/>
                <w:noProof/>
                <w:webHidden/>
                <w:sz w:val="28"/>
                <w:szCs w:val="28"/>
              </w:rPr>
              <w:instrText>PAGEREF</w:instrText>
            </w:r>
            <w:r w:rsidRPr="00471C07">
              <w:rPr>
                <w:rFonts w:ascii="Simplified Arabic" w:hAnsi="Simplified Arabic" w:cs="Simplified Arabic" w:hint="cs"/>
                <w:noProof/>
                <w:webHidden/>
                <w:sz w:val="28"/>
                <w:szCs w:val="28"/>
                <w:rtl/>
              </w:rPr>
              <w:instrText xml:space="preserve"> _</w:instrText>
            </w:r>
            <w:r w:rsidRPr="00471C07">
              <w:rPr>
                <w:rFonts w:ascii="Simplified Arabic" w:hAnsi="Simplified Arabic" w:cs="Simplified Arabic" w:hint="cs"/>
                <w:noProof/>
                <w:webHidden/>
                <w:sz w:val="28"/>
                <w:szCs w:val="28"/>
              </w:rPr>
              <w:instrText>Toc202226015 \h</w:instrText>
            </w:r>
            <w:r w:rsidRPr="00471C07">
              <w:rPr>
                <w:rFonts w:ascii="Simplified Arabic" w:hAnsi="Simplified Arabic" w:cs="Simplified Arabic" w:hint="cs"/>
                <w:noProof/>
                <w:webHidden/>
                <w:sz w:val="28"/>
                <w:szCs w:val="28"/>
                <w:rtl/>
              </w:rPr>
              <w:instrText xml:space="preserve"> </w:instrText>
            </w:r>
            <w:r w:rsidRPr="00471C07">
              <w:rPr>
                <w:rStyle w:val="Hyperlink"/>
                <w:rFonts w:ascii="Simplified Arabic" w:hAnsi="Simplified Arabic" w:cs="Simplified Arabic" w:hint="cs"/>
                <w:noProof/>
                <w:sz w:val="28"/>
                <w:szCs w:val="28"/>
                <w:rtl/>
              </w:rPr>
            </w:r>
            <w:r w:rsidRPr="00471C07">
              <w:rPr>
                <w:rStyle w:val="Hyperlink"/>
                <w:rFonts w:ascii="Simplified Arabic" w:hAnsi="Simplified Arabic" w:cs="Simplified Arabic" w:hint="cs"/>
                <w:noProof/>
                <w:sz w:val="28"/>
                <w:szCs w:val="28"/>
                <w:rtl/>
              </w:rPr>
              <w:fldChar w:fldCharType="separate"/>
            </w:r>
            <w:r w:rsidR="009523B9" w:rsidRPr="00471C07">
              <w:rPr>
                <w:rFonts w:ascii="Simplified Arabic" w:hAnsi="Simplified Arabic" w:cs="Simplified Arabic" w:hint="cs"/>
                <w:noProof/>
                <w:webHidden/>
                <w:sz w:val="28"/>
                <w:szCs w:val="28"/>
                <w:rtl/>
              </w:rPr>
              <w:t>42</w:t>
            </w:r>
            <w:r w:rsidRPr="00471C07">
              <w:rPr>
                <w:rStyle w:val="Hyperlink"/>
                <w:rFonts w:ascii="Simplified Arabic" w:hAnsi="Simplified Arabic" w:cs="Simplified Arabic" w:hint="cs"/>
                <w:noProof/>
                <w:sz w:val="28"/>
                <w:szCs w:val="28"/>
                <w:rtl/>
              </w:rPr>
              <w:fldChar w:fldCharType="end"/>
            </w:r>
          </w:hyperlink>
        </w:p>
        <w:p w14:paraId="363E518C" w14:textId="590EE77F" w:rsidR="00476CBD" w:rsidRPr="00471C07" w:rsidRDefault="00476CBD" w:rsidP="00471C07">
          <w:pPr>
            <w:bidi/>
            <w:spacing w:line="276" w:lineRule="auto"/>
            <w:rPr>
              <w:rFonts w:ascii="Simplified Arabic" w:hAnsi="Simplified Arabic" w:cs="Simplified Arabic"/>
              <w:sz w:val="28"/>
              <w:szCs w:val="28"/>
            </w:rPr>
          </w:pPr>
          <w:r w:rsidRPr="00471C07">
            <w:rPr>
              <w:rFonts w:ascii="Simplified Arabic" w:hAnsi="Simplified Arabic" w:cs="Simplified Arabic" w:hint="cs"/>
              <w:b/>
              <w:bCs/>
              <w:noProof/>
              <w:sz w:val="28"/>
              <w:szCs w:val="28"/>
            </w:rPr>
            <w:fldChar w:fldCharType="end"/>
          </w:r>
        </w:p>
      </w:sdtContent>
    </w:sdt>
    <w:p w14:paraId="43383E71" w14:textId="77777777" w:rsidR="00397C0D" w:rsidRPr="00471C07" w:rsidRDefault="00397C0D" w:rsidP="00471C07">
      <w:pPr>
        <w:bidi/>
        <w:spacing w:after="200" w:line="276" w:lineRule="auto"/>
        <w:rPr>
          <w:rFonts w:ascii="Simplified Arabic" w:hAnsi="Simplified Arabic" w:cs="Simplified Arabic"/>
          <w:b/>
          <w:bCs/>
          <w:sz w:val="28"/>
          <w:szCs w:val="28"/>
          <w:rtl/>
          <w:lang w:bidi="ar-EG"/>
        </w:rPr>
      </w:pPr>
      <w:r w:rsidRPr="00471C07">
        <w:rPr>
          <w:rFonts w:ascii="Simplified Arabic" w:hAnsi="Simplified Arabic" w:cs="Simplified Arabic" w:hint="cs"/>
          <w:b/>
          <w:bCs/>
          <w:sz w:val="28"/>
          <w:szCs w:val="28"/>
          <w:rtl/>
          <w:lang w:bidi="ar-EG"/>
        </w:rPr>
        <w:br w:type="page"/>
      </w:r>
    </w:p>
    <w:p w14:paraId="47C016BD" w14:textId="77777777" w:rsidR="00476CBD" w:rsidRPr="00471C07" w:rsidRDefault="00476CBD" w:rsidP="00471C07">
      <w:pPr>
        <w:bidi/>
        <w:spacing w:before="100" w:beforeAutospacing="1" w:after="100" w:afterAutospacing="1" w:line="276" w:lineRule="auto"/>
        <w:jc w:val="center"/>
        <w:outlineLvl w:val="0"/>
        <w:rPr>
          <w:rFonts w:ascii="Simplified Arabic" w:hAnsi="Simplified Arabic" w:cs="Simplified Arabic"/>
          <w:b/>
          <w:bCs/>
          <w:sz w:val="28"/>
          <w:szCs w:val="28"/>
          <w:rtl/>
          <w:lang w:bidi="ar-EG"/>
        </w:rPr>
        <w:sectPr w:rsidR="00476CBD" w:rsidRPr="00471C07"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471C07" w:rsidRDefault="00397C0D" w:rsidP="00471C07">
      <w:pPr>
        <w:bidi/>
        <w:spacing w:before="100" w:beforeAutospacing="1" w:after="100" w:afterAutospacing="1" w:line="276" w:lineRule="auto"/>
        <w:jc w:val="center"/>
        <w:outlineLvl w:val="0"/>
        <w:rPr>
          <w:rFonts w:ascii="Simplified Arabic" w:hAnsi="Simplified Arabic" w:cs="Simplified Arabic"/>
          <w:b/>
          <w:bCs/>
          <w:sz w:val="28"/>
          <w:szCs w:val="28"/>
          <w:rtl/>
          <w:lang w:bidi="ar-EG"/>
        </w:rPr>
      </w:pPr>
      <w:bookmarkStart w:id="1" w:name="_Toc202225999"/>
      <w:r w:rsidRPr="00471C07">
        <w:rPr>
          <w:rFonts w:ascii="Simplified Arabic" w:hAnsi="Simplified Arabic" w:cs="Simplified Arabic" w:hint="cs"/>
          <w:b/>
          <w:bCs/>
          <w:sz w:val="28"/>
          <w:szCs w:val="28"/>
          <w:rtl/>
          <w:lang w:bidi="ar-EG"/>
        </w:rPr>
        <w:lastRenderedPageBreak/>
        <w:t>الفصل الأول: المقدمة والإطار النظري</w:t>
      </w:r>
      <w:bookmarkEnd w:id="1"/>
    </w:p>
    <w:p w14:paraId="0A9D66EB" w14:textId="64DD8760"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color w:val="000000" w:themeColor="text1"/>
          <w:sz w:val="28"/>
          <w:szCs w:val="28"/>
          <w:rtl/>
        </w:rPr>
      </w:pPr>
      <w:bookmarkStart w:id="2" w:name="_Toc202226000"/>
      <w:r w:rsidRPr="00471C07">
        <w:rPr>
          <w:rFonts w:ascii="Simplified Arabic" w:hAnsi="Simplified Arabic" w:cs="Simplified Arabic" w:hint="cs"/>
          <w:b/>
          <w:bCs/>
          <w:color w:val="000000" w:themeColor="text1"/>
          <w:sz w:val="28"/>
          <w:szCs w:val="28"/>
          <w:rtl/>
        </w:rPr>
        <w:t xml:space="preserve">1.1 </w:t>
      </w:r>
      <w:r w:rsidR="00735F0D" w:rsidRPr="00471C07">
        <w:rPr>
          <w:rFonts w:ascii="Simplified Arabic" w:hAnsi="Simplified Arabic" w:cs="Simplified Arabic" w:hint="cs"/>
          <w:b/>
          <w:bCs/>
          <w:color w:val="000000" w:themeColor="text1"/>
          <w:sz w:val="28"/>
          <w:szCs w:val="28"/>
          <w:rtl/>
        </w:rPr>
        <w:t>مقدمة الدراسة</w:t>
      </w:r>
      <w:bookmarkEnd w:id="2"/>
    </w:p>
    <w:p w14:paraId="56381D02" w14:textId="41BDC0A6" w:rsidR="00471C07" w:rsidRP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يُعدّ الأداء الوظيفي المحصّلة النهائية التي تسعى المنظمات إلى تعظيمها من خلال مختلف جهود التطوير القيادي والتقني، وهو يعكس مجموع السلوكيات والإنجازات التي يُقدّمها الموظف في إطار مهامه الوظيفية ويُقاس بمعايير الجودة والكفاءة والالتزام والإنتاجية. ويتأثر الأداء الوظيفي بعوامل متعددة ومتشابكة تشمل البيئة التنظيمية والقيادية والتقنية التي يعمل فيها الموظف، فضلًا عن قدراته الذاتية ومستوى تحفيزه ورضاه</w:t>
      </w:r>
      <w:r w:rsidRPr="00471C07">
        <w:rPr>
          <w:rFonts w:ascii="Simplified Arabic" w:eastAsia="Calibri" w:hAnsi="Simplified Arabic" w:cs="Simplified Arabic" w:hint="cs"/>
          <w:color w:val="EE0000"/>
          <w:kern w:val="2"/>
          <w:sz w:val="28"/>
          <w:szCs w:val="28"/>
          <w14:ligatures w14:val="standardContextual"/>
        </w:rPr>
        <w:t xml:space="preserve"> </w:t>
      </w:r>
      <w:r w:rsidRPr="00471C07">
        <w:rPr>
          <w:rFonts w:ascii="Simplified Arabic" w:eastAsia="Calibri" w:hAnsi="Simplified Arabic" w:cs="Simplified Arabic" w:hint="cs"/>
          <w:color w:val="EE0000"/>
          <w:kern w:val="2"/>
          <w:sz w:val="28"/>
          <w:szCs w:val="28"/>
          <w:rtl/>
          <w14:ligatures w14:val="standardContextual"/>
        </w:rPr>
        <w:t>،</w:t>
      </w:r>
      <w:r w:rsidRPr="00471C07">
        <w:rPr>
          <w:rFonts w:ascii="Simplified Arabic" w:eastAsia="Calibri" w:hAnsi="Simplified Arabic" w:cs="Simplified Arabic" w:hint="cs"/>
          <w:color w:val="EE0000"/>
          <w:kern w:val="2"/>
          <w:sz w:val="28"/>
          <w:szCs w:val="28"/>
          <w14:ligatures w14:val="standardContextual"/>
        </w:rPr>
        <w:t xml:space="preserve"> </w:t>
      </w:r>
      <w:r w:rsidRPr="00471C07">
        <w:rPr>
          <w:rFonts w:ascii="Simplified Arabic" w:eastAsia="Calibri" w:hAnsi="Simplified Arabic" w:cs="Simplified Arabic" w:hint="cs"/>
          <w:color w:val="EE0000"/>
          <w:kern w:val="2"/>
          <w:sz w:val="28"/>
          <w:szCs w:val="28"/>
          <w:rtl/>
          <w14:ligatures w14:val="standardContextual"/>
        </w:rPr>
        <w:t>ويحظى الأداء الوظيفي في القطاع الحكومي السعودي باهتمام متزايد في ظل التوجّه نحو رفع كفاءة الإنفاق الحكومي وتحسين جودة الخدمات وتعزيز رضا المستفيدين، وهو ما يستدعي فهمًا أعمق للعوامل المؤثرة فيه وكيفية تعزيزها</w:t>
      </w:r>
      <w:r w:rsidRPr="00471C07">
        <w:rPr>
          <w:rFonts w:ascii="Simplified Arabic" w:eastAsia="Calibri" w:hAnsi="Simplified Arabic" w:cs="Simplified Arabic" w:hint="cs"/>
          <w:color w:val="EE0000"/>
          <w:kern w:val="2"/>
          <w:sz w:val="28"/>
          <w:szCs w:val="28"/>
          <w14:ligatures w14:val="standardContextual"/>
        </w:rPr>
        <w:t xml:space="preserve"> (Chang, 2024).</w:t>
      </w:r>
    </w:p>
    <w:p w14:paraId="41265DB8" w14:textId="06531BF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تُعدّ المنظمات الحكومية في العصر الراهن أمام ضرورة ملحّة لتطوير أنماطها القيادية وتحديث أساليب عملها بما يتواءم مع المتغيرات المتسارعة في بيئة الأعمال العالمية، إذ لم تعد الأساليب الإدارية التقليدية كافية لتحقيق الأهداف الاستراتيجية للدول التي تسعى إلى بناء اقتصادات معرفية تنافسية</w:t>
      </w:r>
      <w:r w:rsidR="00141E5C" w:rsidRPr="00471C07">
        <w:rPr>
          <w:rFonts w:ascii="Simplified Arabic" w:eastAsia="Calibri" w:hAnsi="Simplified Arabic" w:cs="Simplified Arabic" w:hint="cs"/>
          <w:color w:val="EE0000"/>
          <w:kern w:val="2"/>
          <w:sz w:val="28"/>
          <w:szCs w:val="28"/>
          <w:rtl/>
          <w14:ligatures w14:val="standardContextual"/>
        </w:rPr>
        <w:t>، و</w:t>
      </w:r>
      <w:r w:rsidRPr="00471C07">
        <w:rPr>
          <w:rFonts w:ascii="Simplified Arabic" w:eastAsia="Calibri" w:hAnsi="Simplified Arabic" w:cs="Simplified Arabic" w:hint="cs"/>
          <w:color w:val="EE0000"/>
          <w:kern w:val="2"/>
          <w:sz w:val="28"/>
          <w:szCs w:val="28"/>
          <w:rtl/>
          <w14:ligatures w14:val="standardContextual"/>
        </w:rPr>
        <w:t xml:space="preserve">تتجه كثير من الحكومات نحو تبنّي أنماط قيادية حديثة تُركّز على إلهام الموظفين وتحفيزهم وتمكينهم من الإبداع، بالتزامن مع الاستثمار في التقنيات الرقمية التي أصبحت أداة محورية في تطوير الأداء المؤسسي ورفع جودة الخدمات المقدّمة للمستفيدين </w:t>
      </w:r>
      <w:r w:rsidR="00141E5C" w:rsidRPr="00471C07">
        <w:rPr>
          <w:rFonts w:ascii="Simplified Arabic" w:eastAsia="Calibri" w:hAnsi="Simplified Arabic" w:cs="Simplified Arabic" w:hint="cs"/>
          <w:color w:val="EE0000"/>
          <w:kern w:val="2"/>
          <w:sz w:val="28"/>
          <w:szCs w:val="28"/>
          <w:rtl/>
          <w14:ligatures w14:val="standardContextual"/>
        </w:rPr>
        <w:t>(</w:t>
      </w:r>
      <w:r w:rsidRPr="00471C07">
        <w:rPr>
          <w:rFonts w:ascii="Simplified Arabic" w:eastAsia="Calibri" w:hAnsi="Simplified Arabic" w:cs="Simplified Arabic" w:hint="cs"/>
          <w:color w:val="EE0000"/>
          <w:kern w:val="2"/>
          <w:sz w:val="28"/>
          <w:szCs w:val="28"/>
          <w:rtl/>
          <w14:ligatures w14:val="standardContextual"/>
        </w:rPr>
        <w:t>البركاني، 2024</w:t>
      </w:r>
      <w:r w:rsidR="00141E5C" w:rsidRPr="00471C07">
        <w:rPr>
          <w:rFonts w:ascii="Simplified Arabic" w:eastAsia="Calibri" w:hAnsi="Simplified Arabic" w:cs="Simplified Arabic" w:hint="cs"/>
          <w:color w:val="EE0000"/>
          <w:kern w:val="2"/>
          <w:sz w:val="28"/>
          <w:szCs w:val="28"/>
          <w:rtl/>
          <w14:ligatures w14:val="standardContextual"/>
        </w:rPr>
        <w:t>).</w:t>
      </w:r>
    </w:p>
    <w:p w14:paraId="77E626D8" w14:textId="79EFA21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14:ligatures w14:val="standardContextual"/>
        </w:rPr>
      </w:pPr>
      <w:r w:rsidRPr="00471C07">
        <w:rPr>
          <w:rFonts w:ascii="Simplified Arabic" w:eastAsia="Calibri" w:hAnsi="Simplified Arabic" w:cs="Simplified Arabic" w:hint="cs"/>
          <w:color w:val="EE0000"/>
          <w:kern w:val="2"/>
          <w:sz w:val="28"/>
          <w:szCs w:val="28"/>
          <w:rtl/>
          <w14:ligatures w14:val="standardContextual"/>
        </w:rPr>
        <w:t>وتُمثّل القيادة التحويلية أحد أبرز الأنماط القيادية المعاصرة التي تقوم على فلسفة إحداث تغيير جوهري في قيم المرؤوسين واتجاهاتهم ودوافعهم، بحيث ينتقل تركيزهم من المصالح الذاتية الضيقة إلى تبنّي رؤية مشتركة تخدم أهداف المنظمة ككل. ويمارس القائد التحويلي دوره من خلال أربعة أبعاد متكاملة تشمل التأثير المثالي الذي يجعله قدوة سلوكية وأخلاقية يحتذي بها المرؤوسون، والدافعية الإلهامية التي تُمكّنه من صياغة رؤية مستقبلية جاذبة وإيصالها بحماس وثقة، والاستثارة الفكرية التي تُشجّع الموظفين على التفكير النقدي والإبداعي وتحدّي الافتراضات السائدة، والاعتبار الفردي الذي يُعنى بالإنصات لاحتياجات كل موظف وتوجيهه نحو تطوير إمكاناته</w:t>
      </w:r>
      <w:r w:rsidRPr="00471C07">
        <w:rPr>
          <w:rFonts w:ascii="Simplified Arabic" w:eastAsia="Calibri" w:hAnsi="Simplified Arabic" w:cs="Simplified Arabic" w:hint="cs"/>
          <w:color w:val="EE0000"/>
          <w:kern w:val="2"/>
          <w:sz w:val="28"/>
          <w:szCs w:val="28"/>
          <w14:ligatures w14:val="standardContextual"/>
        </w:rPr>
        <w:t xml:space="preserve"> (Hussain</w:t>
      </w:r>
      <w:r w:rsidR="00141E5C" w:rsidRPr="00471C07">
        <w:rPr>
          <w:rFonts w:ascii="Simplified Arabic" w:eastAsia="Calibri" w:hAnsi="Simplified Arabic" w:cs="Simplified Arabic" w:hint="cs"/>
          <w:color w:val="EE0000"/>
          <w:kern w:val="2"/>
          <w:sz w:val="28"/>
          <w:szCs w:val="28"/>
          <w14:ligatures w14:val="standardContextual"/>
        </w:rPr>
        <w:t xml:space="preserve"> etal.</w:t>
      </w:r>
      <w:r w:rsidRPr="00471C07">
        <w:rPr>
          <w:rFonts w:ascii="Simplified Arabic" w:eastAsia="Calibri" w:hAnsi="Simplified Arabic" w:cs="Simplified Arabic" w:hint="cs"/>
          <w:color w:val="EE0000"/>
          <w:kern w:val="2"/>
          <w:sz w:val="28"/>
          <w:szCs w:val="28"/>
          <w14:ligatures w14:val="standardContextual"/>
        </w:rPr>
        <w:t xml:space="preserve">, 2024). </w:t>
      </w:r>
    </w:p>
    <w:p w14:paraId="5580A934" w14:textId="77777777" w:rsidR="00141E5C" w:rsidRPr="00471C07" w:rsidRDefault="00141E5C" w:rsidP="00471C07">
      <w:pPr>
        <w:bidi/>
        <w:spacing w:before="100" w:beforeAutospacing="1" w:after="100" w:afterAutospacing="1" w:line="276" w:lineRule="auto"/>
        <w:ind w:firstLine="720"/>
        <w:jc w:val="both"/>
        <w:rPr>
          <w:rFonts w:ascii="Simplified Arabic" w:eastAsia="Calibri" w:hAnsi="Simplified Arabic" w:cs="Simplified Arabic"/>
          <w:color w:val="EE0000"/>
          <w:kern w:val="2"/>
          <w:sz w:val="28"/>
          <w:szCs w:val="28"/>
          <w:rtl/>
          <w14:ligatures w14:val="standardContextual"/>
        </w:rPr>
      </w:pPr>
      <w:r w:rsidRPr="00471C07">
        <w:rPr>
          <w:rFonts w:ascii="Simplified Arabic" w:eastAsia="Calibri" w:hAnsi="Simplified Arabic" w:cs="Simplified Arabic" w:hint="cs"/>
          <w:color w:val="EE0000"/>
          <w:kern w:val="2"/>
          <w:sz w:val="28"/>
          <w:szCs w:val="28"/>
          <w:rtl/>
          <w14:ligatures w14:val="standardContextual"/>
        </w:rPr>
        <w:lastRenderedPageBreak/>
        <w:t>و</w:t>
      </w:r>
      <w:r w:rsidR="00362063" w:rsidRPr="00471C07">
        <w:rPr>
          <w:rFonts w:ascii="Simplified Arabic" w:eastAsia="Calibri" w:hAnsi="Simplified Arabic" w:cs="Simplified Arabic" w:hint="cs"/>
          <w:color w:val="EE0000"/>
          <w:kern w:val="2"/>
          <w:sz w:val="28"/>
          <w:szCs w:val="28"/>
          <w:rtl/>
          <w14:ligatures w14:val="standardContextual"/>
        </w:rPr>
        <w:t xml:space="preserve"> يُشكّل التحول الرقمي محورًا استراتيجيًا محوريًا في تطوير المنظمات المعاصرة، إذ يتضمّن توظيف التقنيات الرقمية الحديثة في إعادة تصميم العمليات والإجراءات والخدمات بما يُحقّق كفاءة أعلى واستجابة أسرع لمتطلبات المستفيدين</w:t>
      </w:r>
      <w:r w:rsidRPr="00471C07">
        <w:rPr>
          <w:rFonts w:ascii="Simplified Arabic" w:eastAsia="Calibri" w:hAnsi="Simplified Arabic" w:cs="Simplified Arabic" w:hint="cs"/>
          <w:color w:val="EE0000"/>
          <w:kern w:val="2"/>
          <w:sz w:val="28"/>
          <w:szCs w:val="28"/>
          <w:rtl/>
          <w14:ligatures w14:val="standardContextual"/>
        </w:rPr>
        <w:t xml:space="preserve">، </w:t>
      </w:r>
      <w:r w:rsidR="00362063" w:rsidRPr="00471C07">
        <w:rPr>
          <w:rFonts w:ascii="Simplified Arabic" w:eastAsia="Calibri" w:hAnsi="Simplified Arabic" w:cs="Simplified Arabic" w:hint="cs"/>
          <w:color w:val="EE0000"/>
          <w:kern w:val="2"/>
          <w:sz w:val="28"/>
          <w:szCs w:val="28"/>
          <w:rtl/>
          <w14:ligatures w14:val="standardContextual"/>
        </w:rPr>
        <w:t>ويتجاوز مفهوم التحول الرقمي مجرد إدخال الحواسيب والبرمجيات ليشمل تغييرًا شاملًا في البنية التقنية التي توفّر الأنظمة والشبكات الداعمة، والثقافة الرقمية التي تُرسّخ قيم الانفتاح على التقنية والابتكار، والتشريعات والسياسات الرقمية التي تُنظّم العمل الرقمي وتحمي البيانات، والموارد البشرية الرقمية التي تُعنى بتأهيل الكوادر وتطوير مهاراتهم التقنية (الطيب، 2024).</w:t>
      </w:r>
    </w:p>
    <w:p w14:paraId="536D25DA" w14:textId="1E529A47"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 xml:space="preserve"> وتُولي المملكة العربية السعودية في إطار رؤية 2030 اهتمامًا بالغًا بالتحول الرقمي الحكومي باعتباره ركيزة أساسية لتحقيق حكومة فاعلة وكفؤة، حيث أُنشئت هيئة الحكومة الرقمية وأُطلقت استراتيجيات وبرامج متعددة لرقمنة الخدمات الحكومية وتطوير البنية التحتية الرقمية </w:t>
      </w:r>
      <w:r w:rsidR="00141E5C" w:rsidRPr="00471C07">
        <w:rPr>
          <w:rFonts w:ascii="Simplified Arabic" w:eastAsia="Calibri" w:hAnsi="Simplified Arabic" w:cs="Simplified Arabic" w:hint="cs"/>
          <w:color w:val="000000" w:themeColor="text1"/>
          <w:kern w:val="2"/>
          <w:sz w:val="28"/>
          <w:szCs w:val="28"/>
          <w14:ligatures w14:val="standardContextual"/>
        </w:rPr>
        <w:t>)</w:t>
      </w:r>
      <w:r w:rsidRPr="00471C07">
        <w:rPr>
          <w:rFonts w:ascii="Simplified Arabic" w:eastAsia="Calibri" w:hAnsi="Simplified Arabic" w:cs="Simplified Arabic" w:hint="cs"/>
          <w:color w:val="000000" w:themeColor="text1"/>
          <w:kern w:val="2"/>
          <w:sz w:val="28"/>
          <w:szCs w:val="28"/>
          <w:rtl/>
          <w14:ligatures w14:val="standardContextual"/>
        </w:rPr>
        <w:t>موافى وبدوي، 2024</w:t>
      </w:r>
      <w:r w:rsidR="00141E5C" w:rsidRPr="00471C07">
        <w:rPr>
          <w:rFonts w:ascii="Simplified Arabic" w:eastAsia="Calibri" w:hAnsi="Simplified Arabic" w:cs="Simplified Arabic" w:hint="cs"/>
          <w:color w:val="000000" w:themeColor="text1"/>
          <w:kern w:val="2"/>
          <w:sz w:val="28"/>
          <w:szCs w:val="28"/>
          <w14:ligatures w14:val="standardContextual"/>
        </w:rPr>
        <w:t>(</w:t>
      </w:r>
      <w:r w:rsidR="00141E5C" w:rsidRPr="00471C07">
        <w:rPr>
          <w:rFonts w:ascii="Simplified Arabic" w:eastAsia="Calibri" w:hAnsi="Simplified Arabic" w:cs="Simplified Arabic" w:hint="cs"/>
          <w:color w:val="000000" w:themeColor="text1"/>
          <w:kern w:val="2"/>
          <w:sz w:val="28"/>
          <w:szCs w:val="28"/>
          <w:rtl/>
          <w14:ligatures w14:val="standardContextual"/>
        </w:rPr>
        <w:t>.</w:t>
      </w:r>
    </w:p>
    <w:p w14:paraId="6DD3F7DE" w14:textId="203629A0" w:rsidR="00362063" w:rsidRPr="00471C07"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 xml:space="preserve">وانطلاقًا من ذلك تتّضح العلاقة بين القيادة التحويلية </w:t>
      </w:r>
      <w:r w:rsidR="00471C07">
        <w:rPr>
          <w:rFonts w:ascii="Simplified Arabic" w:eastAsia="Calibri" w:hAnsi="Simplified Arabic" w:cs="Simplified Arabic" w:hint="cs"/>
          <w:color w:val="000000" w:themeColor="text1"/>
          <w:kern w:val="2"/>
          <w:sz w:val="28"/>
          <w:szCs w:val="28"/>
          <w:rtl/>
          <w14:ligatures w14:val="standardContextual"/>
        </w:rPr>
        <w:t>و</w:t>
      </w:r>
      <w:r w:rsidRPr="00471C07">
        <w:rPr>
          <w:rFonts w:ascii="Simplified Arabic" w:eastAsia="Calibri" w:hAnsi="Simplified Arabic" w:cs="Simplified Arabic" w:hint="cs"/>
          <w:color w:val="000000" w:themeColor="text1"/>
          <w:kern w:val="2"/>
          <w:sz w:val="28"/>
          <w:szCs w:val="28"/>
          <w:rtl/>
          <w14:ligatures w14:val="standardContextual"/>
        </w:rPr>
        <w:t xml:space="preserve"> الأداء الوظيفي</w:t>
      </w:r>
      <w:r w:rsidR="00471C07">
        <w:rPr>
          <w:rFonts w:ascii="Simplified Arabic" w:eastAsia="Calibri" w:hAnsi="Simplified Arabic" w:cs="Simplified Arabic" w:hint="cs"/>
          <w:color w:val="000000" w:themeColor="text1"/>
          <w:kern w:val="2"/>
          <w:sz w:val="28"/>
          <w:szCs w:val="28"/>
          <w:rtl/>
          <w14:ligatures w14:val="standardContextual"/>
        </w:rPr>
        <w:t xml:space="preserve"> وتأثير التحول الرقمى كمتغير وسيط </w:t>
      </w:r>
      <w:r w:rsidRPr="00471C07">
        <w:rPr>
          <w:rFonts w:ascii="Simplified Arabic" w:eastAsia="Calibri" w:hAnsi="Simplified Arabic" w:cs="Simplified Arabic" w:hint="cs"/>
          <w:color w:val="000000" w:themeColor="text1"/>
          <w:kern w:val="2"/>
          <w:sz w:val="28"/>
          <w:szCs w:val="28"/>
          <w:rtl/>
          <w14:ligatures w14:val="standardContextual"/>
        </w:rPr>
        <w:t>، فالقيادة التحويلية تُمثّل المحرّك البشري الذي يُلهم الموظفين ويدفعهم نحو تبنّي التغيير والسعي إلى التميز، بينما يُوفّر التحول الرقمي المحرّك التقني الذي يُمكّنهم من أداء مهامهم بكفاءة وفاعلية أكبر. وحين يتكامل هذان المحرّكان في بيئة العمل الحكومية فإنهما يُهيّئان المناخ الأمثل لتحسين الأداء الوظيفي الشامل</w:t>
      </w:r>
      <w:r w:rsidRPr="00471C07">
        <w:rPr>
          <w:rFonts w:ascii="Simplified Arabic" w:eastAsia="Calibri" w:hAnsi="Simplified Arabic" w:cs="Simplified Arabic" w:hint="cs"/>
          <w:color w:val="000000" w:themeColor="text1"/>
          <w:kern w:val="2"/>
          <w:sz w:val="28"/>
          <w:szCs w:val="28"/>
          <w14:ligatures w14:val="standardContextual"/>
        </w:rPr>
        <w:t xml:space="preserve"> (Abdurrahman, 2025).</w:t>
      </w:r>
    </w:p>
    <w:p w14:paraId="77D8F881" w14:textId="05E128F7" w:rsidR="00362063" w:rsidRDefault="00362063"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وفي ضوء ما سبق تأتي هذه الدراسة لتتناول أثر القيادة التحويلية على الأداء الوظيفي</w:t>
      </w:r>
      <w:r w:rsidR="00471C07">
        <w:rPr>
          <w:rFonts w:ascii="Simplified Arabic" w:eastAsia="Calibri" w:hAnsi="Simplified Arabic" w:cs="Simplified Arabic" w:hint="cs"/>
          <w:color w:val="000000" w:themeColor="text1"/>
          <w:kern w:val="2"/>
          <w:sz w:val="28"/>
          <w:szCs w:val="28"/>
          <w:rtl/>
          <w14:ligatures w14:val="standardContextual"/>
        </w:rPr>
        <w:t xml:space="preserve"> من خلال توسط التحول الرقمى</w:t>
      </w:r>
      <w:r w:rsidRPr="00471C07">
        <w:rPr>
          <w:rFonts w:ascii="Simplified Arabic" w:eastAsia="Calibri" w:hAnsi="Simplified Arabic" w:cs="Simplified Arabic" w:hint="cs"/>
          <w:color w:val="000000" w:themeColor="text1"/>
          <w:kern w:val="2"/>
          <w:sz w:val="28"/>
          <w:szCs w:val="28"/>
          <w:rtl/>
          <w14:ligatures w14:val="standardContextual"/>
        </w:rPr>
        <w:t xml:space="preserve"> في الأجهزة الحكومية المدنية بالمملكة العربية السعودية، وذلك في محاولة لتقديم إطار بحثي متكامل يجمع بين هذين المتغيرين في نموذج واحد ويُطبّق على بيئة لم تحظَ بدراسة كافية من هذا المنظور المزدوج، بما يُسهم في إثراء الأدبيات الإدارية العربية ويُقدّم مضامين عملية لصنّاع القرار في القطاع الحكومي السعودي</w:t>
      </w:r>
      <w:r w:rsidR="00141E5C" w:rsidRPr="00471C07">
        <w:rPr>
          <w:rFonts w:ascii="Simplified Arabic" w:eastAsia="Calibri" w:hAnsi="Simplified Arabic" w:cs="Simplified Arabic" w:hint="cs"/>
          <w:color w:val="000000" w:themeColor="text1"/>
          <w:kern w:val="2"/>
          <w:sz w:val="28"/>
          <w:szCs w:val="28"/>
          <w:rtl/>
          <w14:ligatures w14:val="standardContextual"/>
        </w:rPr>
        <w:t>.</w:t>
      </w:r>
    </w:p>
    <w:p w14:paraId="0E92FAF0" w14:textId="77777777" w:rsid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p>
    <w:p w14:paraId="428510C5" w14:textId="77777777" w:rsidR="00471C07" w:rsidRPr="00471C07" w:rsidRDefault="00471C07" w:rsidP="00471C07">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p>
    <w:p w14:paraId="68C79C4F" w14:textId="16001529" w:rsidR="00735F0D" w:rsidRPr="00471C07" w:rsidRDefault="00735F0D" w:rsidP="00471C07">
      <w:pPr>
        <w:bidi/>
        <w:spacing w:before="100" w:beforeAutospacing="1" w:after="100" w:afterAutospacing="1" w:line="276" w:lineRule="auto"/>
        <w:ind w:firstLine="720"/>
        <w:jc w:val="both"/>
        <w:rPr>
          <w:rFonts w:ascii="Simplified Arabic" w:hAnsi="Simplified Arabic" w:cs="Simplified Arabic"/>
          <w:b/>
          <w:bCs/>
          <w:sz w:val="28"/>
          <w:szCs w:val="28"/>
          <w:rtl/>
        </w:rPr>
      </w:pPr>
      <w:r w:rsidRPr="00471C07">
        <w:rPr>
          <w:rFonts w:ascii="Simplified Arabic" w:eastAsia="Calibri" w:hAnsi="Simplified Arabic" w:cs="Simplified Arabic" w:hint="cs"/>
          <w:kern w:val="2"/>
          <w:sz w:val="28"/>
          <w:szCs w:val="28"/>
          <w:rtl/>
          <w14:ligatures w14:val="standardContextual"/>
        </w:rPr>
        <w:lastRenderedPageBreak/>
        <w:t xml:space="preserve"> </w:t>
      </w:r>
      <w:bookmarkStart w:id="3" w:name="_Toc202226001"/>
      <w:r w:rsidR="0077566C" w:rsidRPr="00471C07">
        <w:rPr>
          <w:rFonts w:ascii="Simplified Arabic" w:hAnsi="Simplified Arabic" w:cs="Simplified Arabic" w:hint="cs"/>
          <w:b/>
          <w:bCs/>
          <w:sz w:val="28"/>
          <w:szCs w:val="28"/>
          <w:rtl/>
        </w:rPr>
        <w:t xml:space="preserve">2.1 </w:t>
      </w:r>
      <w:r w:rsidRPr="00471C07">
        <w:rPr>
          <w:rFonts w:ascii="Simplified Arabic" w:hAnsi="Simplified Arabic" w:cs="Simplified Arabic" w:hint="cs"/>
          <w:b/>
          <w:bCs/>
          <w:sz w:val="28"/>
          <w:szCs w:val="28"/>
          <w:rtl/>
        </w:rPr>
        <w:t>مشكلة الدراسة وأسئلتها:</w:t>
      </w:r>
      <w:bookmarkEnd w:id="3"/>
      <w:r w:rsidRPr="00471C07">
        <w:rPr>
          <w:rFonts w:ascii="Simplified Arabic" w:hAnsi="Simplified Arabic" w:cs="Simplified Arabic" w:hint="cs"/>
          <w:b/>
          <w:bCs/>
          <w:sz w:val="28"/>
          <w:szCs w:val="28"/>
          <w:rtl/>
        </w:rPr>
        <w:t xml:space="preserve">   </w:t>
      </w:r>
    </w:p>
    <w:p w14:paraId="3653EDC1" w14:textId="77777777" w:rsidR="00922798" w:rsidRPr="00922798" w:rsidRDefault="00922798" w:rsidP="00922798">
      <w:pPr>
        <w:bidi/>
        <w:spacing w:line="276" w:lineRule="auto"/>
        <w:jc w:val="both"/>
        <w:rPr>
          <w:rFonts w:ascii="Simplified Arabic" w:hAnsi="Simplified Arabic" w:cs="Simplified Arabic"/>
          <w:color w:val="EE0000"/>
          <w:sz w:val="28"/>
          <w:szCs w:val="28"/>
        </w:rPr>
      </w:pPr>
      <w:bookmarkStart w:id="4" w:name="_Hlk167305073"/>
      <w:bookmarkStart w:id="5" w:name="_Hlk167305567"/>
      <w:bookmarkStart w:id="6" w:name="_Toc202226002"/>
      <w:r w:rsidRPr="00922798">
        <w:rPr>
          <w:rFonts w:ascii="Simplified Arabic" w:hAnsi="Simplified Arabic" w:cs="Simplified Arabic"/>
          <w:color w:val="EE0000"/>
          <w:sz w:val="28"/>
          <w:szCs w:val="28"/>
          <w:rtl/>
        </w:rPr>
        <w:t>تشهد المملكة العربية السعودية تحولات جوهرية في إطار رؤية 2030 التي وضعت التميز في الأداء الحكومي والتحول الرقمي في صدارة أولوياتها الاستراتيجية، سعيًا إلى بناء حكومة فاعلة وممكّنة قادرة على تقديم خدمات عالية الجودة (رؤية المملكة العربية السعودية، 2016). وقد تحققت إنجازات ملموسة في هذا المسار، إذ بلغ مؤشر نضج التحول الرقمي للجهات الحكومية 88.30%، ووصلت نسبة نضج التجربة الرقمية إلى 86.71% (هيئة الحكومة الرقمية، 2025)، فيما احتلّت المملكة المرتبة الثانية عالميًا في مؤشر نضج الحكومة الرقمية من بين 197 دولة (العربية، 2025)</w:t>
      </w:r>
      <w:r w:rsidRPr="00922798">
        <w:rPr>
          <w:rFonts w:ascii="Simplified Arabic" w:hAnsi="Simplified Arabic" w:cs="Simplified Arabic"/>
          <w:color w:val="EE0000"/>
          <w:sz w:val="28"/>
          <w:szCs w:val="28"/>
        </w:rPr>
        <w:t>.</w:t>
      </w:r>
    </w:p>
    <w:p w14:paraId="5C96B4C9" w14:textId="77777777" w:rsid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غير أن هذا التقدم الرقمي لا يعني بالضرورة أن الأداء الوظيفي للموظفين الحكوميين قد واكبه بالقدر المطلوب، فقد كشفت عدة دراسات عن جوانب قصور واضحة في هذا الجانب؛ إذ أشارت دراسة النملة (2023) إلى ضعف ربط الأداء الفردي بالأهداف الاستراتيجية وعدم كفاية أنظمة التقويم الوظيفي في تمييز مستويات الأداء الفعلية، وأكّدت دراسة الزهراني ومُجلّد (2024) وجود فجوة بين مستوى التحول الرقمي المتحقّق ومستوى الأداء الوظيفي الفعلي، فضلاً عن مقاومة بعض الموظفين للتغيير الرقمي نتيجة نقص المهارات أو غياب ثقافة تنظيمية داعمة</w:t>
      </w:r>
      <w:r w:rsidRPr="00922798">
        <w:rPr>
          <w:rFonts w:ascii="Simplified Arabic" w:hAnsi="Simplified Arabic" w:cs="Simplified Arabic"/>
          <w:color w:val="EE0000"/>
          <w:sz w:val="28"/>
          <w:szCs w:val="28"/>
        </w:rPr>
        <w:t xml:space="preserve"> </w:t>
      </w:r>
      <w:r>
        <w:rPr>
          <w:rFonts w:ascii="Simplified Arabic" w:hAnsi="Simplified Arabic" w:cs="Simplified Arabic" w:hint="cs"/>
          <w:color w:val="EE0000"/>
          <w:sz w:val="28"/>
          <w:szCs w:val="28"/>
          <w:rtl/>
        </w:rPr>
        <w:t>(</w:t>
      </w:r>
      <w:r w:rsidRPr="00922798">
        <w:rPr>
          <w:rFonts w:ascii="Simplified Arabic" w:hAnsi="Simplified Arabic" w:cs="Simplified Arabic"/>
          <w:color w:val="EE0000"/>
          <w:sz w:val="28"/>
          <w:szCs w:val="28"/>
          <w:rtl/>
        </w:rPr>
        <w:t>موافي وبدوي، 2024؛</w:t>
      </w:r>
      <w:r w:rsidRPr="00922798">
        <w:rPr>
          <w:rFonts w:ascii="Simplified Arabic" w:hAnsi="Simplified Arabic" w:cs="Simplified Arabic"/>
          <w:color w:val="EE0000"/>
          <w:sz w:val="28"/>
          <w:szCs w:val="28"/>
        </w:rPr>
        <w:t xml:space="preserve"> Alghamdi, 2025).</w:t>
      </w:r>
    </w:p>
    <w:p w14:paraId="19977510" w14:textId="77777777" w:rsidR="00922798" w:rsidRP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ويستدعي هذا الواقع البحث عن آليات فعّالة لتحسين الأداء الوظيفي، وتُعدّ القيادة التحويلية أحد أبرز الأنماط القيادية القادرة على إحداث تغيير جوهري في قيم الموظفين ودوافعهم وتحفيزهم نحو التميز والابتكار، وقد أثبتت الدراسات وجود أثر إيجابي ومعنوي لها على الأداء الوظيفي</w:t>
      </w:r>
      <w:r w:rsidRPr="00922798">
        <w:rPr>
          <w:rFonts w:ascii="Simplified Arabic" w:hAnsi="Simplified Arabic" w:cs="Simplified Arabic"/>
          <w:color w:val="EE0000"/>
          <w:sz w:val="28"/>
          <w:szCs w:val="28"/>
        </w:rPr>
        <w:t xml:space="preserve"> (Hussain et al., 2024; Purwanti &amp; Sarı, 2024). </w:t>
      </w:r>
      <w:r w:rsidRPr="00922798">
        <w:rPr>
          <w:rFonts w:ascii="Simplified Arabic" w:hAnsi="Simplified Arabic" w:cs="Simplified Arabic"/>
          <w:color w:val="EE0000"/>
          <w:sz w:val="28"/>
          <w:szCs w:val="28"/>
          <w:rtl/>
        </w:rPr>
        <w:t>إلا أن هذا الأثر قد لا يكون مباشرًا فحسب، بل قد يمرّ عبر آليات وسيطة تُعزّزه وتُفسّره، ويُعدّ التحول الرقمي أحد أبرز هذه الآليات؛ إذ أكّدت دراسة</w:t>
      </w:r>
      <w:r w:rsidRPr="00922798">
        <w:rPr>
          <w:rFonts w:ascii="Simplified Arabic" w:hAnsi="Simplified Arabic" w:cs="Simplified Arabic"/>
          <w:color w:val="EE0000"/>
          <w:sz w:val="28"/>
          <w:szCs w:val="28"/>
        </w:rPr>
        <w:t xml:space="preserve"> (Deng et al., 2023) </w:t>
      </w:r>
      <w:r w:rsidRPr="00922798">
        <w:rPr>
          <w:rFonts w:ascii="Simplified Arabic" w:hAnsi="Simplified Arabic" w:cs="Simplified Arabic"/>
          <w:color w:val="EE0000"/>
          <w:sz w:val="28"/>
          <w:szCs w:val="28"/>
          <w:rtl/>
        </w:rPr>
        <w:t>أن التقنيات الرقمية تُسهم في تحسين مشاركة المعرفة وصنع القرار مما يُحسّن الأداء، كما كشفت دراسة</w:t>
      </w:r>
      <w:r w:rsidRPr="00922798">
        <w:rPr>
          <w:rFonts w:ascii="Simplified Arabic" w:hAnsi="Simplified Arabic" w:cs="Simplified Arabic"/>
          <w:color w:val="EE0000"/>
          <w:sz w:val="28"/>
          <w:szCs w:val="28"/>
        </w:rPr>
        <w:t xml:space="preserve"> (Khuc &amp; Nguyen, 2025) </w:t>
      </w:r>
      <w:r w:rsidRPr="00922798">
        <w:rPr>
          <w:rFonts w:ascii="Simplified Arabic" w:hAnsi="Simplified Arabic" w:cs="Simplified Arabic"/>
          <w:color w:val="EE0000"/>
          <w:sz w:val="28"/>
          <w:szCs w:val="28"/>
          <w:rtl/>
        </w:rPr>
        <w:t>عن وجود أثر إيجابي مباشر وغير مباشر للتحول الرقمي على الأداء الوظيفي، وأشارت دراسات حديثة إلى أن القيادة التحويلية تُسهم في تسريع التحول الرقمي</w:t>
      </w:r>
      <w:r w:rsidRPr="00922798">
        <w:rPr>
          <w:rFonts w:ascii="Simplified Arabic" w:hAnsi="Simplified Arabic" w:cs="Simplified Arabic"/>
          <w:color w:val="EE0000"/>
          <w:sz w:val="28"/>
          <w:szCs w:val="28"/>
        </w:rPr>
        <w:t xml:space="preserve"> (Emerald, 2025)</w:t>
      </w:r>
      <w:r w:rsidRPr="00922798">
        <w:rPr>
          <w:rFonts w:ascii="Simplified Arabic" w:hAnsi="Simplified Arabic" w:cs="Simplified Arabic"/>
          <w:color w:val="EE0000"/>
          <w:sz w:val="28"/>
          <w:szCs w:val="28"/>
          <w:rtl/>
        </w:rPr>
        <w:t>، وأن التحول الرقمي يتوسّط العلاقة بين القيادة والأداء</w:t>
      </w:r>
      <w:r w:rsidRPr="00922798">
        <w:rPr>
          <w:rFonts w:ascii="Simplified Arabic" w:hAnsi="Simplified Arabic" w:cs="Simplified Arabic"/>
          <w:color w:val="EE0000"/>
          <w:sz w:val="28"/>
          <w:szCs w:val="28"/>
        </w:rPr>
        <w:t xml:space="preserve"> (MDPI, 2024).</w:t>
      </w:r>
    </w:p>
    <w:p w14:paraId="6272A048" w14:textId="77777777" w:rsidR="00922798" w:rsidRP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lastRenderedPageBreak/>
        <w:t>وبمراجعة الأدبيات السابقة تبيّن أن الدراسات تناولت كل متغير على حدة أو في بيئات مختلفة عن البيئة الحكومية المدنية السعودية؛ فدراسات القيادة التحويلية</w:t>
      </w:r>
      <w:r w:rsidRPr="00922798">
        <w:rPr>
          <w:rFonts w:ascii="Simplified Arabic" w:hAnsi="Simplified Arabic" w:cs="Simplified Arabic"/>
          <w:color w:val="EE0000"/>
          <w:sz w:val="28"/>
          <w:szCs w:val="28"/>
        </w:rPr>
        <w:t xml:space="preserve"> (</w:t>
      </w:r>
      <w:r w:rsidRPr="00922798">
        <w:rPr>
          <w:rFonts w:ascii="Simplified Arabic" w:hAnsi="Simplified Arabic" w:cs="Simplified Arabic"/>
          <w:color w:val="EE0000"/>
          <w:sz w:val="28"/>
          <w:szCs w:val="28"/>
          <w:rtl/>
        </w:rPr>
        <w:t>البركاني، 2024؛ السلمي وشعيبي، 2024؛</w:t>
      </w:r>
      <w:r w:rsidRPr="00922798">
        <w:rPr>
          <w:rFonts w:ascii="Simplified Arabic" w:hAnsi="Simplified Arabic" w:cs="Simplified Arabic"/>
          <w:color w:val="EE0000"/>
          <w:sz w:val="28"/>
          <w:szCs w:val="28"/>
        </w:rPr>
        <w:t xml:space="preserve"> Hussain et al., 2024) </w:t>
      </w:r>
      <w:r w:rsidRPr="00922798">
        <w:rPr>
          <w:rFonts w:ascii="Simplified Arabic" w:hAnsi="Simplified Arabic" w:cs="Simplified Arabic"/>
          <w:color w:val="EE0000"/>
          <w:sz w:val="28"/>
          <w:szCs w:val="28"/>
          <w:rtl/>
        </w:rPr>
        <w:t>ركّزت على أثرها المباشر دون إدخال التحول الرقمي كمتغير وسيط، ودراسات التحول الرقمي (الزهراني ومُجلّد، 2024؛ موافي وبدوي، 2024؛ الطيب، 2024) تناولت أثره على الأداء دون ربطه بالقيادة التحويلية، مما يُبقي فجوة معرفية واضحة حول الدور الوسيط للتحول الرقمي في العلاقة بين القيادة التحويلية والأداء الوظيفي في هذا السياق تحديدًا</w:t>
      </w:r>
      <w:r w:rsidRPr="00922798">
        <w:rPr>
          <w:rFonts w:ascii="Simplified Arabic" w:hAnsi="Simplified Arabic" w:cs="Simplified Arabic"/>
          <w:color w:val="EE0000"/>
          <w:sz w:val="28"/>
          <w:szCs w:val="28"/>
        </w:rPr>
        <w:t>.</w:t>
      </w:r>
    </w:p>
    <w:p w14:paraId="627BD035" w14:textId="77777777" w:rsidR="00922798" w:rsidRPr="00922798" w:rsidRDefault="00922798" w:rsidP="00922798">
      <w:pPr>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وبناءً على ما سبق، تبلورت مشكلة الدراسة في التساؤل الرئيس التالي</w:t>
      </w:r>
      <w:r w:rsidRPr="00922798">
        <w:rPr>
          <w:rFonts w:ascii="Simplified Arabic" w:hAnsi="Simplified Arabic" w:cs="Simplified Arabic"/>
          <w:color w:val="EE0000"/>
          <w:sz w:val="28"/>
          <w:szCs w:val="28"/>
        </w:rPr>
        <w:t xml:space="preserve">: </w:t>
      </w:r>
      <w:r w:rsidRPr="00922798">
        <w:rPr>
          <w:rFonts w:ascii="Simplified Arabic" w:hAnsi="Simplified Arabic" w:cs="Simplified Arabic"/>
          <w:b/>
          <w:bCs/>
          <w:color w:val="EE0000"/>
          <w:sz w:val="28"/>
          <w:szCs w:val="28"/>
          <w:rtl/>
        </w:rPr>
        <w:t>ما الدور الوسيط للتحول الرقمي في تأثير القيادة التحويلية على الأداء الوظيفي في الأجهزة الحكومية المدنية في المملكة العربية السعودية؟</w:t>
      </w:r>
    </w:p>
    <w:p w14:paraId="336288CC" w14:textId="77777777" w:rsidR="00626753" w:rsidRPr="00471C07" w:rsidRDefault="00626753" w:rsidP="00471C07">
      <w:pPr>
        <w:bidi/>
        <w:spacing w:before="100" w:beforeAutospacing="1" w:after="100" w:afterAutospacing="1" w:line="276" w:lineRule="auto"/>
        <w:outlineLvl w:val="1"/>
        <w:rPr>
          <w:rFonts w:ascii="Simplified Arabic" w:eastAsia="Calibri" w:hAnsi="Simplified Arabic" w:cs="Simplified Arabic"/>
          <w:sz w:val="28"/>
          <w:szCs w:val="28"/>
        </w:rPr>
      </w:pPr>
      <w:r w:rsidRPr="00471C07">
        <w:rPr>
          <w:rFonts w:ascii="Simplified Arabic" w:eastAsia="Calibri" w:hAnsi="Simplified Arabic" w:cs="Simplified Arabic" w:hint="cs"/>
          <w:b/>
          <w:bCs/>
          <w:sz w:val="28"/>
          <w:szCs w:val="28"/>
          <w:rtl/>
        </w:rPr>
        <w:t>الأسئلة الفرعية</w:t>
      </w:r>
      <w:r w:rsidRPr="00471C07">
        <w:rPr>
          <w:rFonts w:ascii="Simplified Arabic" w:eastAsia="Calibri" w:hAnsi="Simplified Arabic" w:cs="Simplified Arabic" w:hint="cs"/>
          <w:b/>
          <w:bCs/>
          <w:sz w:val="28"/>
          <w:szCs w:val="28"/>
        </w:rPr>
        <w:t>:</w:t>
      </w:r>
    </w:p>
    <w:p w14:paraId="418E10DB"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يوجد تأثير ذو دلالة إحصائية للقيادة التحويلية على الأداء الوظيفي للأجهزة الحكومية في المملكة العربية السعودية؟</w:t>
      </w:r>
    </w:p>
    <w:p w14:paraId="0D2D8132"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يوجد تأثير ذو دلالة إحصائية للقيادة التحويلية على التحول الرقمي في الأجهزة الحكومية في المملكة العربية السعودية؟</w:t>
      </w:r>
    </w:p>
    <w:p w14:paraId="202318F9" w14:textId="77777777" w:rsidR="00F359C4"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يوجد تأثير ذو دلالة إحصائية للتحول الرقمي على الأداء الوظيفي في الأجهزة الحكومية في المملكة العربية السعودية؟</w:t>
      </w:r>
    </w:p>
    <w:p w14:paraId="140A8BD0" w14:textId="675DF0E5" w:rsidR="00626753" w:rsidRPr="00E467BD" w:rsidRDefault="00F359C4" w:rsidP="00471C07">
      <w:pPr>
        <w:pStyle w:val="a3"/>
        <w:numPr>
          <w:ilvl w:val="0"/>
          <w:numId w:val="36"/>
        </w:numPr>
        <w:bidi/>
        <w:spacing w:line="276" w:lineRule="auto"/>
        <w:jc w:val="both"/>
        <w:rPr>
          <w:rFonts w:ascii="Simplified Arabic" w:hAnsi="Simplified Arabic" w:cs="Simplified Arabic"/>
          <w:color w:val="EE0000"/>
          <w:sz w:val="28"/>
          <w:szCs w:val="28"/>
        </w:rPr>
      </w:pPr>
      <w:r w:rsidRPr="00E467BD">
        <w:rPr>
          <w:rFonts w:ascii="Simplified Arabic" w:hAnsi="Simplified Arabic" w:cs="Simplified Arabic" w:hint="cs"/>
          <w:color w:val="EE0000"/>
          <w:sz w:val="28"/>
          <w:szCs w:val="28"/>
          <w:rtl/>
        </w:rPr>
        <w:t>هل يتوسط التحول الرقمي العلاقة بين القيادة التحويلية والأداء الوظيفي في الأجهزة الحكومية في المملكة العربية السعودية</w:t>
      </w:r>
      <w:r w:rsidR="00626753" w:rsidRPr="00E467BD">
        <w:rPr>
          <w:rFonts w:ascii="Simplified Arabic" w:hAnsi="Simplified Arabic" w:cs="Simplified Arabic" w:hint="cs"/>
          <w:color w:val="EE0000"/>
          <w:sz w:val="28"/>
          <w:szCs w:val="28"/>
          <w:rtl/>
        </w:rPr>
        <w:t>؟</w:t>
      </w:r>
    </w:p>
    <w:p w14:paraId="59DFF909" w14:textId="51E68EC2"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3.1 </w:t>
      </w:r>
      <w:r w:rsidR="00735F0D" w:rsidRPr="00471C07">
        <w:rPr>
          <w:rFonts w:ascii="Simplified Arabic" w:hAnsi="Simplified Arabic" w:cs="Simplified Arabic" w:hint="cs"/>
          <w:b/>
          <w:bCs/>
          <w:sz w:val="28"/>
          <w:szCs w:val="28"/>
          <w:rtl/>
        </w:rPr>
        <w:t xml:space="preserve">أهمية الدراسة (النظرية </w:t>
      </w:r>
      <w:bookmarkEnd w:id="4"/>
      <w:r w:rsidR="00735F0D" w:rsidRPr="00471C07">
        <w:rPr>
          <w:rFonts w:ascii="Simplified Arabic" w:hAnsi="Simplified Arabic" w:cs="Simplified Arabic" w:hint="cs"/>
          <w:b/>
          <w:bCs/>
          <w:sz w:val="28"/>
          <w:szCs w:val="28"/>
          <w:rtl/>
        </w:rPr>
        <w:t>والتطبيقية):</w:t>
      </w:r>
      <w:bookmarkEnd w:id="5"/>
      <w:bookmarkEnd w:id="6"/>
    </w:p>
    <w:p w14:paraId="3FB1525E" w14:textId="7D1234B6" w:rsidR="00735F0D" w:rsidRPr="00471C07" w:rsidRDefault="0077566C" w:rsidP="00471C07">
      <w:pPr>
        <w:bidi/>
        <w:spacing w:before="100" w:beforeAutospacing="1" w:after="100" w:afterAutospacing="1" w:line="276" w:lineRule="auto"/>
        <w:outlineLvl w:val="2"/>
        <w:rPr>
          <w:rFonts w:ascii="Simplified Arabic" w:hAnsi="Simplified Arabic" w:cs="Simplified Arabic"/>
          <w:b/>
          <w:bCs/>
          <w:sz w:val="28"/>
          <w:szCs w:val="28"/>
          <w:rtl/>
        </w:rPr>
      </w:pPr>
      <w:bookmarkStart w:id="7" w:name="_Toc202226003"/>
      <w:r w:rsidRPr="00471C07">
        <w:rPr>
          <w:rFonts w:ascii="Simplified Arabic" w:hAnsi="Simplified Arabic" w:cs="Simplified Arabic" w:hint="cs"/>
          <w:b/>
          <w:bCs/>
          <w:sz w:val="28"/>
          <w:szCs w:val="28"/>
          <w:rtl/>
        </w:rPr>
        <w:t xml:space="preserve">1.3.1 </w:t>
      </w:r>
      <w:r w:rsidR="00735F0D" w:rsidRPr="00471C07">
        <w:rPr>
          <w:rFonts w:ascii="Simplified Arabic" w:hAnsi="Simplified Arabic" w:cs="Simplified Arabic" w:hint="cs"/>
          <w:b/>
          <w:bCs/>
          <w:sz w:val="28"/>
          <w:szCs w:val="28"/>
          <w:rtl/>
        </w:rPr>
        <w:t>أهمية الدراسة النظرية</w:t>
      </w:r>
      <w:bookmarkEnd w:id="7"/>
    </w:p>
    <w:p w14:paraId="1B72328F"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bookmarkStart w:id="8" w:name="_Toc202226004"/>
      <w:r w:rsidRPr="00471C07">
        <w:rPr>
          <w:rFonts w:ascii="Simplified Arabic" w:hAnsi="Simplified Arabic" w:cs="Simplified Arabic" w:hint="cs"/>
          <w:sz w:val="28"/>
          <w:szCs w:val="28"/>
          <w:rtl/>
        </w:rPr>
        <w:t xml:space="preserve">تُسهم هذه الدراسة في إثراء الأدب النظري المتعلّق بالقيادة التحويلية والتحوّل الرقمي والأداء الوظيفي من خلال تقديم نموذج بحثي متكامل يجمع بين هذه المتغيّرات الثلاثة في إطار </w:t>
      </w:r>
      <w:r w:rsidRPr="00471C07">
        <w:rPr>
          <w:rFonts w:ascii="Simplified Arabic" w:hAnsi="Simplified Arabic" w:cs="Simplified Arabic" w:hint="cs"/>
          <w:sz w:val="28"/>
          <w:szCs w:val="28"/>
          <w:rtl/>
        </w:rPr>
        <w:lastRenderedPageBreak/>
        <w:t>واحد، وهو ما تفتقر إليه الدراسات السابقة التي تناولت كلّ متغيّر على حدة أو ربطت بين اثنين منها فقط.</w:t>
      </w:r>
    </w:p>
    <w:p w14:paraId="339A2823"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تعمل الدراسة على سدّ فجوة بحثية واضحة في الأدبيات العربية والسعودية تحديداً، إذ لا تزال الدراسات التي تتناول الأثر المشترك للقيادة التحويلية والتحوّل الرقمي معاً على الأداء الوظيفي في القطاع الحكومي محدودة للغاية.</w:t>
      </w:r>
    </w:p>
    <w:p w14:paraId="4B99DBF9"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تُقدّم الدراسة إطاراً نظرياً متماسكاً يستند إلى نظريات القيادة التحويلية ونظريات التحوّل الرقمي ونماذج الأداء الوظيفي، ممّا يُتيح للباحثين المستقبليين الاستفادة من هذا الإطار في دراسات مماثلة أو مقارنة في بيئات تنظيمية مختلفة.</w:t>
      </w:r>
    </w:p>
    <w:p w14:paraId="4770BA1E"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تُضيف الدراسة إلى المكتبة العربية أداة قياس مُحكّمة وموثوقة تقيس أبعاد المتغيّرات الثلاثة في سياق الجهات الحكومية السعودية، ممّا يُمكن استخدامها أو تطويرها في بحوث لاحقة.</w:t>
      </w:r>
    </w:p>
    <w:p w14:paraId="17D3636F" w14:textId="77777777" w:rsidR="00626753" w:rsidRPr="00471C07" w:rsidRDefault="00626753" w:rsidP="00471C07">
      <w:pPr>
        <w:pStyle w:val="a3"/>
        <w:numPr>
          <w:ilvl w:val="0"/>
          <w:numId w:val="3"/>
        </w:numPr>
        <w:bidi/>
        <w:spacing w:before="100" w:beforeAutospacing="1" w:after="100" w:afterAutospacing="1"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تُوفّر الدراسة قاعدة معرفية حديثة تستند إلى بيانات ميدانية من البيئة السعودية، ممّا يُساعد في بناء تراكم علمي حول محدّدات الأداء الوظيفي في القطاع العام ضمن سياقات الدول النامية والاقتصادات الناشئة.</w:t>
      </w:r>
    </w:p>
    <w:p w14:paraId="64B33856" w14:textId="3261A12D" w:rsidR="00735F0D" w:rsidRPr="00471C07" w:rsidRDefault="0077566C" w:rsidP="00471C07">
      <w:pPr>
        <w:bidi/>
        <w:spacing w:before="100" w:beforeAutospacing="1" w:after="100" w:afterAutospacing="1" w:line="276" w:lineRule="auto"/>
        <w:ind w:left="360"/>
        <w:jc w:val="both"/>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2.3.1 </w:t>
      </w:r>
      <w:r w:rsidR="00735F0D" w:rsidRPr="00471C07">
        <w:rPr>
          <w:rFonts w:ascii="Simplified Arabic" w:hAnsi="Simplified Arabic" w:cs="Simplified Arabic" w:hint="cs"/>
          <w:b/>
          <w:bCs/>
          <w:sz w:val="28"/>
          <w:szCs w:val="28"/>
          <w:rtl/>
        </w:rPr>
        <w:t>أهمية الدراسة التطبيقية:</w:t>
      </w:r>
      <w:bookmarkEnd w:id="8"/>
    </w:p>
    <w:p w14:paraId="0C91FD94" w14:textId="0F570CBF"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تُزوّد الدراسة صنّاع القرار والقيادات الإدارية في الجهات الحكومية السعودية بنتائج ميدانية قائمة على الأدلة حول مدى تأثير ممارسات القيادة التحويلية وتطبيقات التحوّل الرقمي على أداء العاملين، ممّا يُمكّنهم من اتخاذ قرارات مبنية على أسس علمية</w:t>
      </w:r>
      <w:r w:rsidRPr="00471C07">
        <w:rPr>
          <w:rFonts w:ascii="Simplified Arabic" w:hAnsi="Simplified Arabic" w:cs="Simplified Arabic" w:hint="cs"/>
          <w:sz w:val="28"/>
          <w:szCs w:val="28"/>
        </w:rPr>
        <w:t>.</w:t>
      </w:r>
    </w:p>
    <w:p w14:paraId="57B9C1C6" w14:textId="1990AF8A"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تُقدّم الدراسة توصيات عملية قابلة للتنفيذ تُسهم في تطوير برامج إعداد القيادات الحكومية وتأهيلها لممارسة القيادة التحويلية بفاعلية، بما ينسجم مع توجّهات رؤية المملكة 2030 نحو بناء حكومة فاعلة ومسؤولة وممكّنة</w:t>
      </w:r>
      <w:r w:rsidRPr="00471C07">
        <w:rPr>
          <w:rFonts w:ascii="Simplified Arabic" w:hAnsi="Simplified Arabic" w:cs="Simplified Arabic" w:hint="cs"/>
          <w:sz w:val="28"/>
          <w:szCs w:val="28"/>
        </w:rPr>
        <w:t>.</w:t>
      </w:r>
    </w:p>
    <w:p w14:paraId="4E315FE8" w14:textId="61E3BA68"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تُفيد الدراسة إدارات الموارد البشرية في الجهات الحكومية من خلال تحديد العوامل القيادية والتقنية التي ترفع مستوى الأداء، ممّا يُسهم في تصميم برامج تدريبية وتطويرية موجّهة ومبنية على الاحتياجات الفعلية</w:t>
      </w:r>
      <w:r w:rsidRPr="00471C07">
        <w:rPr>
          <w:rFonts w:ascii="Simplified Arabic" w:hAnsi="Simplified Arabic" w:cs="Simplified Arabic" w:hint="cs"/>
          <w:sz w:val="28"/>
          <w:szCs w:val="28"/>
        </w:rPr>
        <w:t>.</w:t>
      </w:r>
    </w:p>
    <w:p w14:paraId="573937E6" w14:textId="78731FBD"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lastRenderedPageBreak/>
        <w:t>تُسهم الدراسة في دعم جهود التحوّل الرقمي الحكومي من خلال تقديم شواهد ميدانية حول العلاقة بين التحوّل الرقمي والأداء الوظيفي، ممّا قد يُحفّز الجهات التي لم تبدأ بعد في مسيرة التحوّل أو تلك التي تعاني من بطء في التنفيذ</w:t>
      </w:r>
      <w:r w:rsidRPr="00471C07">
        <w:rPr>
          <w:rFonts w:ascii="Simplified Arabic" w:hAnsi="Simplified Arabic" w:cs="Simplified Arabic" w:hint="cs"/>
          <w:sz w:val="28"/>
          <w:szCs w:val="28"/>
        </w:rPr>
        <w:t>.</w:t>
      </w:r>
    </w:p>
    <w:p w14:paraId="49224C9E" w14:textId="73958E71"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تُقدّم الدراسة للمسؤولين عن برامج التحوّل الوطني ورؤية 2030 مؤشّرات قياسية حول مدى مساهمة القيادة التحويلية والتحوّل الرقمي في تحقيق مستهدفات الأداء المؤسسي الحكومي، ممّا يُسهم في تقييم السياسات القائمة وتطويرها</w:t>
      </w:r>
      <w:r w:rsidRPr="00471C07">
        <w:rPr>
          <w:rFonts w:ascii="Simplified Arabic" w:hAnsi="Simplified Arabic" w:cs="Simplified Arabic" w:hint="cs"/>
          <w:sz w:val="28"/>
          <w:szCs w:val="28"/>
        </w:rPr>
        <w:t>.</w:t>
      </w:r>
    </w:p>
    <w:p w14:paraId="43E22FFA" w14:textId="4B867DC3" w:rsidR="00626753" w:rsidRPr="00471C07" w:rsidRDefault="00626753" w:rsidP="00471C07">
      <w:pPr>
        <w:pStyle w:val="a8"/>
        <w:numPr>
          <w:ilvl w:val="0"/>
          <w:numId w:val="36"/>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تُتيح الدراسة للجهات الرقابية والتنظيمية الاطلاع على واقع الأداء الوظيفي في الجهات الحكومية وعلاقته بالممارسات القيادية والرقمية، ممّا يدعم جهود المساءلة والشفافية وتحسين جودة الخدمات الحكومية المقدّمة للمواطنين</w:t>
      </w:r>
      <w:r w:rsidRPr="00471C07">
        <w:rPr>
          <w:rFonts w:ascii="Simplified Arabic" w:hAnsi="Simplified Arabic" w:cs="Simplified Arabic" w:hint="cs"/>
          <w:sz w:val="28"/>
          <w:szCs w:val="28"/>
        </w:rPr>
        <w:t>.</w:t>
      </w:r>
    </w:p>
    <w:p w14:paraId="64918E3B" w14:textId="16232951"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sz w:val="28"/>
          <w:szCs w:val="28"/>
          <w:rtl/>
        </w:rPr>
      </w:pPr>
      <w:bookmarkStart w:id="9" w:name="_Toc202226005"/>
      <w:r w:rsidRPr="00471C07">
        <w:rPr>
          <w:rFonts w:ascii="Simplified Arabic" w:hAnsi="Simplified Arabic" w:cs="Simplified Arabic" w:hint="cs"/>
          <w:b/>
          <w:bCs/>
          <w:sz w:val="28"/>
          <w:szCs w:val="28"/>
          <w:rtl/>
        </w:rPr>
        <w:t xml:space="preserve">4.1 </w:t>
      </w:r>
      <w:r w:rsidR="00735F0D" w:rsidRPr="00471C07">
        <w:rPr>
          <w:rFonts w:ascii="Simplified Arabic" w:hAnsi="Simplified Arabic" w:cs="Simplified Arabic" w:hint="cs"/>
          <w:b/>
          <w:bCs/>
          <w:sz w:val="28"/>
          <w:szCs w:val="28"/>
          <w:rtl/>
        </w:rPr>
        <w:t>أهداف الدراسة:</w:t>
      </w:r>
      <w:bookmarkEnd w:id="9"/>
    </w:p>
    <w:p w14:paraId="7CF4CCA8"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يتمثّل الهدف الرئيس لهذه الدراسة في التعرّف على أثر القيادة التحويلية والتحوّل الرقمي على الأداء الوظيفي للعاملين في الجهات الحكومية بالمملكة العربية السعودية. ويتفرّع من هذا الهدف الرئيس مجموعة من الأهداف الفرعية على النحو التالي</w:t>
      </w:r>
      <w:r w:rsidRPr="00471C07">
        <w:rPr>
          <w:rFonts w:ascii="Simplified Arabic" w:eastAsia="Times New Roman" w:hAnsi="Simplified Arabic" w:cs="Simplified Arabic" w:hint="cs"/>
          <w:sz w:val="28"/>
          <w:szCs w:val="28"/>
        </w:rPr>
        <w:t>:</w:t>
      </w:r>
    </w:p>
    <w:p w14:paraId="565C31B4"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التعرّف على مستوى ممارسة القيادة التحويلية بأبعادها (التأثير المثالي، الاستثارة الفكرية، الدافعية الإلهامية، الاعتبار الفردي) في الجهات الحكومية بالمملكة العربية السعودية من وجهة نظر العاملين فيها</w:t>
      </w:r>
      <w:r w:rsidRPr="00471C07">
        <w:rPr>
          <w:rFonts w:ascii="Simplified Arabic" w:eastAsia="Times New Roman" w:hAnsi="Simplified Arabic" w:cs="Simplified Arabic" w:hint="cs"/>
          <w:sz w:val="28"/>
          <w:szCs w:val="28"/>
        </w:rPr>
        <w:t>.</w:t>
      </w:r>
    </w:p>
    <w:p w14:paraId="29EBBD27"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التعرّف على مستوى تطبيق التحوّل الرقمي بأبعاده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r w:rsidRPr="00471C07">
        <w:rPr>
          <w:rFonts w:ascii="Simplified Arabic" w:eastAsia="Times New Roman" w:hAnsi="Simplified Arabic" w:cs="Simplified Arabic" w:hint="cs"/>
          <w:sz w:val="28"/>
          <w:szCs w:val="28"/>
        </w:rPr>
        <w:t>.</w:t>
      </w:r>
    </w:p>
    <w:p w14:paraId="53C4572F" w14:textId="09DB518B"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التعرّف على مستوى الأداء الوظيفي لدى العاملين في الجهات الحكومية بالمملكة العربية السعودية من وجهة نظرهم</w:t>
      </w:r>
      <w:r w:rsidRPr="00471C07">
        <w:rPr>
          <w:rFonts w:ascii="Simplified Arabic" w:eastAsia="Times New Roman" w:hAnsi="Simplified Arabic" w:cs="Simplified Arabic" w:hint="cs"/>
          <w:sz w:val="28"/>
          <w:szCs w:val="28"/>
        </w:rPr>
        <w:t>.</w:t>
      </w:r>
    </w:p>
    <w:p w14:paraId="2E5193FF" w14:textId="77777777" w:rsidR="00626753" w:rsidRPr="00471C07"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قياس أثر القيادة التحويلية بأبعادها (التأثير المثالي، الاستثارة الفكرية، الدافعية الإلهامية، الاعتبار الفردي) على الأداء الوظيفي للعاملين في الجهات الحكومية بالمملكة العربية السعودية</w:t>
      </w:r>
      <w:r w:rsidRPr="00471C07">
        <w:rPr>
          <w:rFonts w:ascii="Simplified Arabic" w:eastAsia="Times New Roman" w:hAnsi="Simplified Arabic" w:cs="Simplified Arabic" w:hint="cs"/>
          <w:sz w:val="28"/>
          <w:szCs w:val="28"/>
        </w:rPr>
        <w:t>.</w:t>
      </w:r>
    </w:p>
    <w:p w14:paraId="0AA76306" w14:textId="77777777" w:rsidR="00626753" w:rsidRDefault="00626753" w:rsidP="00471C07">
      <w:pPr>
        <w:numPr>
          <w:ilvl w:val="0"/>
          <w:numId w:val="32"/>
        </w:num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قياس أثر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r w:rsidRPr="00471C07">
        <w:rPr>
          <w:rFonts w:ascii="Simplified Arabic" w:eastAsia="Times New Roman" w:hAnsi="Simplified Arabic" w:cs="Simplified Arabic" w:hint="cs"/>
          <w:sz w:val="28"/>
          <w:szCs w:val="28"/>
        </w:rPr>
        <w:t>.</w:t>
      </w:r>
    </w:p>
    <w:p w14:paraId="4A08320D" w14:textId="6DC3BC4B" w:rsidR="006911A2" w:rsidRPr="006911A2" w:rsidRDefault="006911A2" w:rsidP="006911A2">
      <w:pPr>
        <w:numPr>
          <w:ilvl w:val="0"/>
          <w:numId w:val="32"/>
        </w:num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6911A2">
        <w:rPr>
          <w:rFonts w:ascii="Simplified Arabic" w:eastAsia="Times New Roman" w:hAnsi="Simplified Arabic" w:cs="Simplified Arabic"/>
          <w:color w:val="EE0000"/>
          <w:sz w:val="28"/>
          <w:szCs w:val="28"/>
          <w:rtl/>
        </w:rPr>
        <w:t>اختبار الدور الوسيط للتحول الرقمي في العلاقة بين القيادة التحويلية والأداء</w:t>
      </w:r>
      <w:r w:rsidRPr="006911A2">
        <w:rPr>
          <w:rFonts w:ascii="Simplified Arabic" w:eastAsia="Times New Roman" w:hAnsi="Simplified Arabic" w:cs="Simplified Arabic" w:hint="cs"/>
          <w:color w:val="EE0000"/>
          <w:sz w:val="28"/>
          <w:szCs w:val="28"/>
          <w:rtl/>
        </w:rPr>
        <w:t xml:space="preserve"> الوظيفي للعاملين في الجهات الحكومية بالمملكة العربية السعودية</w:t>
      </w:r>
      <w:r w:rsidRPr="006911A2">
        <w:rPr>
          <w:rFonts w:ascii="Simplified Arabic" w:eastAsia="Times New Roman" w:hAnsi="Simplified Arabic" w:cs="Simplified Arabic"/>
          <w:color w:val="EE0000"/>
          <w:sz w:val="28"/>
          <w:szCs w:val="28"/>
        </w:rPr>
        <w:t>.</w:t>
      </w:r>
    </w:p>
    <w:p w14:paraId="6A0452B3" w14:textId="56C39E5D" w:rsidR="00735F0D" w:rsidRPr="00471C07" w:rsidRDefault="0077566C" w:rsidP="00471C07">
      <w:pPr>
        <w:bidi/>
        <w:spacing w:before="100" w:beforeAutospacing="1" w:after="100" w:afterAutospacing="1" w:line="276" w:lineRule="auto"/>
        <w:jc w:val="both"/>
        <w:outlineLvl w:val="1"/>
        <w:rPr>
          <w:rFonts w:ascii="Simplified Arabic" w:hAnsi="Simplified Arabic" w:cs="Simplified Arabic"/>
          <w:b/>
          <w:bCs/>
          <w:sz w:val="28"/>
          <w:szCs w:val="28"/>
          <w:rtl/>
        </w:rPr>
      </w:pPr>
      <w:bookmarkStart w:id="10" w:name="_Toc202226006"/>
      <w:r w:rsidRPr="00471C07">
        <w:rPr>
          <w:rFonts w:ascii="Simplified Arabic" w:hAnsi="Simplified Arabic" w:cs="Simplified Arabic" w:hint="cs"/>
          <w:b/>
          <w:bCs/>
          <w:sz w:val="28"/>
          <w:szCs w:val="28"/>
          <w:rtl/>
        </w:rPr>
        <w:t xml:space="preserve">5.1 </w:t>
      </w:r>
      <w:r w:rsidR="00735F0D" w:rsidRPr="00471C07">
        <w:rPr>
          <w:rFonts w:ascii="Simplified Arabic" w:hAnsi="Simplified Arabic" w:cs="Simplified Arabic" w:hint="cs"/>
          <w:b/>
          <w:bCs/>
          <w:sz w:val="28"/>
          <w:szCs w:val="28"/>
          <w:rtl/>
        </w:rPr>
        <w:t>فرضيات الدراسة:</w:t>
      </w:r>
      <w:bookmarkEnd w:id="10"/>
    </w:p>
    <w:p w14:paraId="6443DECE" w14:textId="6A6E24A9" w:rsidR="00F359C4" w:rsidRPr="006911A2" w:rsidRDefault="00F359C4" w:rsidP="00922798">
      <w:pPr>
        <w:pStyle w:val="a8"/>
        <w:bidi/>
        <w:spacing w:line="276" w:lineRule="auto"/>
        <w:jc w:val="both"/>
        <w:rPr>
          <w:rFonts w:ascii="Simplified Arabic" w:hAnsi="Simplified Arabic" w:cs="Simplified Arabic"/>
          <w:color w:val="EE0000"/>
          <w:sz w:val="28"/>
          <w:szCs w:val="28"/>
        </w:rPr>
      </w:pPr>
      <w:bookmarkStart w:id="11" w:name="_Toc202226007"/>
      <w:r w:rsidRPr="006911A2">
        <w:rPr>
          <w:rFonts w:ascii="Simplified Arabic" w:hAnsi="Simplified Arabic" w:cs="Simplified Arabic" w:hint="cs"/>
          <w:b/>
          <w:bCs/>
          <w:color w:val="EE0000"/>
          <w:sz w:val="28"/>
          <w:szCs w:val="28"/>
          <w:rtl/>
        </w:rPr>
        <w:t>الفرضية الأولى</w:t>
      </w:r>
      <w:r w:rsidR="00626753" w:rsidRPr="006911A2">
        <w:rPr>
          <w:rStyle w:val="a9"/>
          <w:rFonts w:ascii="Simplified Arabic" w:hAnsi="Simplified Arabic" w:cs="Simplified Arabic" w:hint="cs"/>
          <w:color w:val="EE0000"/>
          <w:sz w:val="28"/>
          <w:szCs w:val="28"/>
        </w:rPr>
        <w:t>:</w:t>
      </w:r>
      <w:r w:rsidRPr="006911A2">
        <w:rPr>
          <w:rFonts w:ascii="Simplified Arabic" w:hAnsi="Simplified Arabic" w:cs="Simplified Arabic" w:hint="cs"/>
          <w:color w:val="EE0000"/>
          <w:sz w:val="28"/>
          <w:szCs w:val="28"/>
        </w:rPr>
        <w:t xml:space="preserve">H01: </w:t>
      </w:r>
      <w:r w:rsidRPr="006911A2">
        <w:rPr>
          <w:rFonts w:ascii="Simplified Arabic" w:hAnsi="Simplified Arabic" w:cs="Simplified Arabic" w:hint="cs"/>
          <w:color w:val="EE0000"/>
          <w:sz w:val="28"/>
          <w:szCs w:val="28"/>
          <w:rtl/>
        </w:rPr>
        <w:t xml:space="preserve">لا يوجد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الأداء الوظيفي للأجهزة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702B6620" w14:textId="3AC689C6" w:rsidR="00F359C4" w:rsidRPr="006911A2" w:rsidRDefault="00F359C4" w:rsidP="00922798">
      <w:pPr>
        <w:pStyle w:val="a8"/>
        <w:bidi/>
        <w:spacing w:line="276" w:lineRule="auto"/>
        <w:rPr>
          <w:rFonts w:ascii="Simplified Arabic" w:hAnsi="Simplified Arabic" w:cs="Simplified Arabic"/>
          <w:color w:val="EE0000"/>
          <w:sz w:val="28"/>
          <w:szCs w:val="28"/>
        </w:rPr>
      </w:pPr>
      <w:r w:rsidRPr="006911A2">
        <w:rPr>
          <w:rStyle w:val="a9"/>
          <w:rFonts w:ascii="Simplified Arabic" w:hAnsi="Simplified Arabic" w:cs="Simplified Arabic" w:hint="cs"/>
          <w:color w:val="EE0000"/>
          <w:sz w:val="28"/>
          <w:szCs w:val="28"/>
          <w:rtl/>
        </w:rPr>
        <w:t xml:space="preserve">الفرضية الثانية </w:t>
      </w:r>
      <w:r w:rsidRPr="006911A2">
        <w:rPr>
          <w:rFonts w:ascii="Simplified Arabic" w:hAnsi="Simplified Arabic" w:cs="Simplified Arabic" w:hint="cs"/>
          <w:color w:val="EE0000"/>
          <w:sz w:val="28"/>
          <w:szCs w:val="28"/>
        </w:rPr>
        <w:t xml:space="preserve">H02: </w:t>
      </w:r>
      <w:r w:rsidRPr="006911A2">
        <w:rPr>
          <w:rFonts w:ascii="Simplified Arabic" w:hAnsi="Simplified Arabic" w:cs="Simplified Arabic" w:hint="cs"/>
          <w:color w:val="EE0000"/>
          <w:sz w:val="28"/>
          <w:szCs w:val="28"/>
          <w:rtl/>
        </w:rPr>
        <w:t>لا يوجد</w:t>
      </w:r>
      <w:r w:rsidR="00922798">
        <w:rPr>
          <w:rFonts w:ascii="Simplified Arabic" w:hAnsi="Simplified Arabic" w:cs="Simplified Arabic" w:hint="cs"/>
          <w:color w:val="EE0000"/>
          <w:sz w:val="28"/>
          <w:szCs w:val="28"/>
          <w:rtl/>
        </w:rPr>
        <w:t xml:space="preserve">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التحول الرقمي في الأجهزة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49ADDCA1" w14:textId="639AD0F4" w:rsidR="00F359C4" w:rsidRPr="006911A2" w:rsidRDefault="00F359C4" w:rsidP="00922798">
      <w:pPr>
        <w:pStyle w:val="a8"/>
        <w:bidi/>
        <w:spacing w:line="276" w:lineRule="auto"/>
        <w:rPr>
          <w:rFonts w:ascii="Simplified Arabic" w:hAnsi="Simplified Arabic" w:cs="Simplified Arabic"/>
          <w:color w:val="EE0000"/>
          <w:sz w:val="28"/>
          <w:szCs w:val="28"/>
        </w:rPr>
      </w:pPr>
      <w:r w:rsidRPr="006911A2">
        <w:rPr>
          <w:rStyle w:val="a9"/>
          <w:rFonts w:ascii="Simplified Arabic" w:hAnsi="Simplified Arabic" w:cs="Simplified Arabic" w:hint="cs"/>
          <w:color w:val="EE0000"/>
          <w:sz w:val="28"/>
          <w:szCs w:val="28"/>
          <w:rtl/>
        </w:rPr>
        <w:t>الفرضية الثالثة</w:t>
      </w:r>
      <w:r w:rsidRPr="006911A2">
        <w:rPr>
          <w:rFonts w:ascii="Simplified Arabic" w:hAnsi="Simplified Arabic" w:cs="Simplified Arabic" w:hint="cs"/>
          <w:color w:val="EE0000"/>
          <w:sz w:val="28"/>
          <w:szCs w:val="28"/>
        </w:rPr>
        <w:t xml:space="preserve">H03: </w:t>
      </w:r>
      <w:r w:rsidRPr="006911A2">
        <w:rPr>
          <w:rFonts w:ascii="Simplified Arabic" w:hAnsi="Simplified Arabic" w:cs="Simplified Arabic" w:hint="cs"/>
          <w:color w:val="EE0000"/>
          <w:sz w:val="28"/>
          <w:szCs w:val="28"/>
          <w:rtl/>
        </w:rPr>
        <w:t xml:space="preserve">لا يوجد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للتحول الرقمي على الأداء الوظيفي للأجهزة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4DEB122E" w14:textId="1B757508" w:rsidR="00F359C4" w:rsidRPr="006911A2" w:rsidRDefault="00F359C4" w:rsidP="00922798">
      <w:pPr>
        <w:pStyle w:val="a8"/>
        <w:bidi/>
        <w:spacing w:line="276" w:lineRule="auto"/>
        <w:rPr>
          <w:rFonts w:ascii="Simplified Arabic" w:hAnsi="Simplified Arabic" w:cs="Simplified Arabic"/>
          <w:color w:val="EE0000"/>
          <w:sz w:val="28"/>
          <w:szCs w:val="28"/>
          <w:rtl/>
        </w:rPr>
      </w:pPr>
      <w:r w:rsidRPr="006911A2">
        <w:rPr>
          <w:rStyle w:val="a9"/>
          <w:rFonts w:ascii="Simplified Arabic" w:hAnsi="Simplified Arabic" w:cs="Simplified Arabic" w:hint="cs"/>
          <w:color w:val="EE0000"/>
          <w:sz w:val="28"/>
          <w:szCs w:val="28"/>
          <w:rtl/>
        </w:rPr>
        <w:t xml:space="preserve">الفرضية الرابعة </w:t>
      </w:r>
      <w:r w:rsidRPr="006911A2">
        <w:rPr>
          <w:rFonts w:ascii="Simplified Arabic" w:hAnsi="Simplified Arabic" w:cs="Simplified Arabic" w:hint="cs"/>
          <w:color w:val="EE0000"/>
          <w:sz w:val="28"/>
          <w:szCs w:val="28"/>
        </w:rPr>
        <w:t xml:space="preserve">H04: </w:t>
      </w:r>
      <w:r w:rsidRPr="006911A2">
        <w:rPr>
          <w:rFonts w:ascii="Simplified Arabic" w:hAnsi="Simplified Arabic" w:cs="Simplified Arabic" w:hint="cs"/>
          <w:color w:val="EE0000"/>
          <w:sz w:val="28"/>
          <w:szCs w:val="28"/>
          <w:rtl/>
        </w:rPr>
        <w:t xml:space="preserve">لا يوجد </w:t>
      </w:r>
      <w:r w:rsidR="00922798" w:rsidRPr="00922798">
        <w:rPr>
          <w:rFonts w:ascii="Simplified Arabic" w:hAnsi="Simplified Arabic" w:cs="Simplified Arabic" w:hint="cs"/>
          <w:color w:val="EE0000"/>
          <w:sz w:val="28"/>
          <w:szCs w:val="28"/>
          <w:rtl/>
        </w:rPr>
        <w:t xml:space="preserve">تأثير ذو </w:t>
      </w:r>
      <w:r w:rsidRPr="006911A2">
        <w:rPr>
          <w:rFonts w:ascii="Simplified Arabic" w:hAnsi="Simplified Arabic" w:cs="Simplified Arabic" w:hint="cs"/>
          <w:color w:val="EE0000"/>
          <w:sz w:val="28"/>
          <w:szCs w:val="28"/>
          <w:rtl/>
        </w:rPr>
        <w:t>دلالة إحصائية عند مستوى معنوية</w:t>
      </w:r>
      <w:r w:rsidRPr="006911A2">
        <w:rPr>
          <w:rFonts w:ascii="Simplified Arabic" w:hAnsi="Simplified Arabic" w:cs="Simplified Arabic" w:hint="cs"/>
          <w:color w:val="EE0000"/>
          <w:sz w:val="28"/>
          <w:szCs w:val="28"/>
        </w:rPr>
        <w:t xml:space="preserve"> (</w:t>
      </w:r>
      <w:r w:rsidRPr="006911A2">
        <w:rPr>
          <w:rFonts w:ascii="Cambria" w:hAnsi="Cambria" w:cs="Cambria"/>
          <w:color w:val="EE0000"/>
          <w:sz w:val="28"/>
          <w:szCs w:val="28"/>
        </w:rPr>
        <w:t>α</w:t>
      </w:r>
      <w:r w:rsidRPr="006911A2">
        <w:rPr>
          <w:rFonts w:ascii="Simplified Arabic" w:hAnsi="Simplified Arabic" w:cs="Simplified Arabic" w:hint="cs"/>
          <w:color w:val="EE0000"/>
          <w:sz w:val="28"/>
          <w:szCs w:val="28"/>
        </w:rPr>
        <w:t xml:space="preserve"> </w:t>
      </w:r>
      <w:r w:rsidRPr="006911A2">
        <w:rPr>
          <w:rFonts w:ascii="Cambria Math" w:hAnsi="Cambria Math" w:cs="Cambria Math"/>
          <w:color w:val="EE0000"/>
          <w:sz w:val="28"/>
          <w:szCs w:val="28"/>
        </w:rPr>
        <w:t>≤</w:t>
      </w:r>
      <w:r w:rsidRPr="006911A2">
        <w:rPr>
          <w:rFonts w:ascii="Simplified Arabic" w:hAnsi="Simplified Arabic" w:cs="Simplified Arabic" w:hint="cs"/>
          <w:color w:val="EE0000"/>
          <w:sz w:val="28"/>
          <w:szCs w:val="28"/>
        </w:rPr>
        <w:t xml:space="preserve"> 0.05) </w:t>
      </w:r>
      <w:r w:rsidRPr="006911A2">
        <w:rPr>
          <w:rFonts w:ascii="Simplified Arabic" w:hAnsi="Simplified Arabic" w:cs="Simplified Arabic" w:hint="cs"/>
          <w:color w:val="EE0000"/>
          <w:sz w:val="28"/>
          <w:szCs w:val="28"/>
          <w:rtl/>
        </w:rPr>
        <w:t>للقيادة التحويلية على الأداء الوظيفي من خلال الدور الوسيط للتحول الرقمي في الأجهزة الحكومية المدنية في المملكة العربية السعودية</w:t>
      </w:r>
      <w:r w:rsidRPr="006911A2">
        <w:rPr>
          <w:rFonts w:ascii="Simplified Arabic" w:hAnsi="Simplified Arabic" w:cs="Simplified Arabic" w:hint="cs"/>
          <w:color w:val="EE0000"/>
          <w:sz w:val="28"/>
          <w:szCs w:val="28"/>
        </w:rPr>
        <w:t>.</w:t>
      </w:r>
    </w:p>
    <w:p w14:paraId="2FB1C0CB" w14:textId="56C39E5D" w:rsidR="00735F0D" w:rsidRPr="00471C07" w:rsidRDefault="0077566C"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6.1 </w:t>
      </w:r>
      <w:r w:rsidR="00735F0D" w:rsidRPr="00471C07">
        <w:rPr>
          <w:rFonts w:ascii="Simplified Arabic" w:hAnsi="Simplified Arabic" w:cs="Simplified Arabic" w:hint="cs"/>
          <w:b/>
          <w:bCs/>
          <w:sz w:val="28"/>
          <w:szCs w:val="28"/>
          <w:rtl/>
        </w:rPr>
        <w:t>نموذج الدراسة</w:t>
      </w:r>
      <w:bookmarkEnd w:id="11"/>
    </w:p>
    <w:p w14:paraId="29FAE7B5" w14:textId="77777777" w:rsidR="006911A2" w:rsidRPr="006911A2" w:rsidRDefault="00E36F07" w:rsidP="006911A2">
      <w:pPr>
        <w:bidi/>
        <w:spacing w:line="276" w:lineRule="auto"/>
        <w:ind w:left="36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يهدف هذا النموذج إلى التعرف على </w:t>
      </w:r>
      <w:r w:rsidR="006911A2" w:rsidRPr="006911A2">
        <w:rPr>
          <w:rFonts w:ascii="Simplified Arabic" w:eastAsia="Times New Roman" w:hAnsi="Simplified Arabic" w:cs="Simplified Arabic"/>
          <w:sz w:val="28"/>
          <w:szCs w:val="28"/>
          <w:rtl/>
        </w:rPr>
        <w:t>الدور الوسيط للتحول الرقمى في تأثير القيادة التحويلية على الأداء الوظيفي في الأجهزة الحكومية المدنية في المملكة العربية السعودية</w:t>
      </w:r>
    </w:p>
    <w:p w14:paraId="20B82774" w14:textId="1997E3D9"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sz w:val="28"/>
          <w:szCs w:val="28"/>
          <w:rtl/>
        </w:rPr>
        <w:t>ويتضمن المتغيرات التالية</w:t>
      </w:r>
      <w:r w:rsidRPr="00471C07">
        <w:rPr>
          <w:rFonts w:ascii="Simplified Arabic" w:eastAsia="Times New Roman" w:hAnsi="Simplified Arabic" w:cs="Simplified Arabic" w:hint="cs"/>
          <w:sz w:val="28"/>
          <w:szCs w:val="28"/>
          <w:lang w:bidi="ar-JO"/>
        </w:rPr>
        <w:t>:</w:t>
      </w:r>
    </w:p>
    <w:p w14:paraId="53CE5A04" w14:textId="05E05A84"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b/>
          <w:bCs/>
          <w:sz w:val="28"/>
          <w:szCs w:val="28"/>
          <w:rtl/>
        </w:rPr>
        <w:t>المتغير المستقل الأول</w:t>
      </w:r>
      <w:r w:rsidRPr="00471C07">
        <w:rPr>
          <w:rFonts w:ascii="Simplified Arabic" w:eastAsia="Times New Roman" w:hAnsi="Simplified Arabic" w:cs="Simplified Arabic" w:hint="cs"/>
          <w:b/>
          <w:bCs/>
          <w:sz w:val="28"/>
          <w:szCs w:val="28"/>
          <w:lang w:bidi="ar-JO"/>
        </w:rPr>
        <w:t>:</w:t>
      </w:r>
      <w:r w:rsidRPr="00471C07">
        <w:rPr>
          <w:rFonts w:ascii="Simplified Arabic" w:eastAsia="Times New Roman" w:hAnsi="Simplified Arabic" w:cs="Simplified Arabic" w:hint="cs"/>
          <w:sz w:val="28"/>
          <w:szCs w:val="28"/>
          <w:lang w:bidi="ar-JO"/>
        </w:rPr>
        <w:t xml:space="preserve"> </w:t>
      </w:r>
      <w:bookmarkStart w:id="12" w:name="_Hlk225365299"/>
      <w:r w:rsidRPr="00471C07">
        <w:rPr>
          <w:rFonts w:ascii="Simplified Arabic" w:eastAsia="Times New Roman" w:hAnsi="Simplified Arabic" w:cs="Simplified Arabic" w:hint="cs"/>
          <w:sz w:val="28"/>
          <w:szCs w:val="28"/>
          <w:rtl/>
        </w:rPr>
        <w:t xml:space="preserve">القيادة التحويلية </w:t>
      </w:r>
      <w:bookmarkEnd w:id="12"/>
      <w:r w:rsidRPr="00471C07">
        <w:rPr>
          <w:rFonts w:ascii="Simplified Arabic" w:eastAsia="Times New Roman" w:hAnsi="Simplified Arabic" w:cs="Simplified Arabic" w:hint="cs"/>
          <w:sz w:val="28"/>
          <w:szCs w:val="28"/>
          <w:rtl/>
        </w:rPr>
        <w:t xml:space="preserve">بأبعادها (التأثير المثالي– </w:t>
      </w:r>
      <w:bookmarkStart w:id="13" w:name="_Hlk225365360"/>
      <w:r w:rsidRPr="00471C07">
        <w:rPr>
          <w:rFonts w:ascii="Simplified Arabic" w:eastAsia="Times New Roman" w:hAnsi="Simplified Arabic" w:cs="Simplified Arabic" w:hint="cs"/>
          <w:sz w:val="28"/>
          <w:szCs w:val="28"/>
          <w:rtl/>
        </w:rPr>
        <w:t>الدافعية الإلهامية</w:t>
      </w:r>
      <w:bookmarkEnd w:id="13"/>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الاستثارة الفكرية– الاعتبار الفردي) بالاعتماد على دراسة (البركاني، 2024</w:t>
      </w:r>
      <w:r w:rsidR="00653970">
        <w:rPr>
          <w:rFonts w:ascii="Simplified Arabic" w:eastAsia="Times New Roman" w:hAnsi="Simplified Arabic" w:cs="Simplified Arabic"/>
          <w:sz w:val="28"/>
          <w:szCs w:val="28"/>
          <w:lang w:bidi="ar-JO"/>
        </w:rPr>
        <w:t xml:space="preserve"> (</w:t>
      </w:r>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ودراسة (بلحاج، 2024) ودراسة</w:t>
      </w:r>
      <w:r w:rsidRPr="00471C07">
        <w:rPr>
          <w:rFonts w:ascii="Simplified Arabic" w:eastAsia="Times New Roman" w:hAnsi="Simplified Arabic" w:cs="Simplified Arabic" w:hint="cs"/>
          <w:sz w:val="28"/>
          <w:szCs w:val="28"/>
          <w:lang w:bidi="ar-JO"/>
        </w:rPr>
        <w:t xml:space="preserve"> (Hussain etal., 2024).</w:t>
      </w:r>
    </w:p>
    <w:p w14:paraId="2E60333B" w14:textId="43C07609" w:rsidR="00E36F07" w:rsidRPr="00E467BD" w:rsidRDefault="00E36F07" w:rsidP="00471C07">
      <w:pPr>
        <w:bidi/>
        <w:spacing w:line="276" w:lineRule="auto"/>
        <w:ind w:left="360"/>
        <w:rPr>
          <w:rFonts w:ascii="Simplified Arabic" w:eastAsia="Times New Roman" w:hAnsi="Simplified Arabic" w:cs="Simplified Arabic"/>
          <w:color w:val="EE0000"/>
          <w:sz w:val="28"/>
          <w:szCs w:val="28"/>
          <w:lang w:bidi="ar-JO"/>
        </w:rPr>
      </w:pPr>
      <w:r w:rsidRPr="00E467BD">
        <w:rPr>
          <w:rFonts w:ascii="Simplified Arabic" w:eastAsia="Times New Roman" w:hAnsi="Simplified Arabic" w:cs="Simplified Arabic" w:hint="cs"/>
          <w:b/>
          <w:bCs/>
          <w:color w:val="EE0000"/>
          <w:sz w:val="28"/>
          <w:szCs w:val="28"/>
          <w:rtl/>
        </w:rPr>
        <w:lastRenderedPageBreak/>
        <w:t xml:space="preserve">المتغير </w:t>
      </w:r>
      <w:r w:rsidR="006911A2" w:rsidRPr="00E467BD">
        <w:rPr>
          <w:rFonts w:ascii="Simplified Arabic" w:eastAsia="Times New Roman" w:hAnsi="Simplified Arabic" w:cs="Simplified Arabic" w:hint="cs"/>
          <w:b/>
          <w:bCs/>
          <w:color w:val="EE0000"/>
          <w:sz w:val="28"/>
          <w:szCs w:val="28"/>
          <w:rtl/>
        </w:rPr>
        <w:t xml:space="preserve">الوسيط </w:t>
      </w:r>
      <w:r w:rsidRPr="00E467BD">
        <w:rPr>
          <w:rFonts w:ascii="Simplified Arabic" w:eastAsia="Times New Roman" w:hAnsi="Simplified Arabic" w:cs="Simplified Arabic" w:hint="cs"/>
          <w:b/>
          <w:bCs/>
          <w:color w:val="EE0000"/>
          <w:sz w:val="28"/>
          <w:szCs w:val="28"/>
          <w:lang w:bidi="ar-JO"/>
        </w:rPr>
        <w:t>:</w:t>
      </w:r>
      <w:r w:rsidRPr="00E467BD">
        <w:rPr>
          <w:rFonts w:ascii="Simplified Arabic" w:eastAsia="Times New Roman" w:hAnsi="Simplified Arabic" w:cs="Simplified Arabic" w:hint="cs"/>
          <w:color w:val="EE0000"/>
          <w:sz w:val="28"/>
          <w:szCs w:val="28"/>
          <w:lang w:bidi="ar-JO"/>
        </w:rPr>
        <w:t xml:space="preserve"> </w:t>
      </w:r>
      <w:r w:rsidRPr="00E467BD">
        <w:rPr>
          <w:rFonts w:ascii="Simplified Arabic" w:eastAsia="Times New Roman" w:hAnsi="Simplified Arabic" w:cs="Simplified Arabic" w:hint="cs"/>
          <w:color w:val="EE0000"/>
          <w:sz w:val="28"/>
          <w:szCs w:val="28"/>
          <w:rtl/>
        </w:rPr>
        <w:t xml:space="preserve">التحول الرقمي بأبعاده (البنية التقنية– الثقافة الرقمية– التشريعات والسياسات الرقمية– الموارد البشرية الرقمية) بالاعتماد على دراسة (الطيب، </w:t>
      </w:r>
      <w:r w:rsidR="00653970" w:rsidRPr="00E467BD">
        <w:rPr>
          <w:rFonts w:ascii="Simplified Arabic" w:eastAsia="Times New Roman" w:hAnsi="Simplified Arabic" w:cs="Simplified Arabic"/>
          <w:color w:val="EE0000"/>
          <w:sz w:val="28"/>
          <w:szCs w:val="28"/>
          <w:lang w:bidi="ar-JO"/>
        </w:rPr>
        <w:t xml:space="preserve"> (</w:t>
      </w:r>
      <w:r w:rsidRPr="00E467BD">
        <w:rPr>
          <w:rFonts w:ascii="Simplified Arabic" w:eastAsia="Times New Roman" w:hAnsi="Simplified Arabic" w:cs="Simplified Arabic" w:hint="cs"/>
          <w:color w:val="EE0000"/>
          <w:sz w:val="28"/>
          <w:szCs w:val="28"/>
          <w:lang w:bidi="ar-JO"/>
        </w:rPr>
        <w:t xml:space="preserve">2024 </w:t>
      </w:r>
      <w:r w:rsidRPr="00E467BD">
        <w:rPr>
          <w:rFonts w:ascii="Simplified Arabic" w:eastAsia="Times New Roman" w:hAnsi="Simplified Arabic" w:cs="Simplified Arabic" w:hint="cs"/>
          <w:color w:val="EE0000"/>
          <w:sz w:val="28"/>
          <w:szCs w:val="28"/>
          <w:rtl/>
        </w:rPr>
        <w:t>ودراسة (موافى وبدوي، 2024) ودراسة</w:t>
      </w:r>
      <w:r w:rsidRPr="00E467BD">
        <w:rPr>
          <w:rFonts w:ascii="Simplified Arabic" w:eastAsia="Times New Roman" w:hAnsi="Simplified Arabic" w:cs="Simplified Arabic" w:hint="cs"/>
          <w:color w:val="EE0000"/>
          <w:sz w:val="28"/>
          <w:szCs w:val="28"/>
          <w:lang w:bidi="ar-JO"/>
        </w:rPr>
        <w:t xml:space="preserve"> (Abdurrahman, 2025).</w:t>
      </w:r>
    </w:p>
    <w:p w14:paraId="3B9A27DD" w14:textId="77777777" w:rsidR="00E36F07" w:rsidRPr="00471C07" w:rsidRDefault="00E36F07" w:rsidP="00471C07">
      <w:pPr>
        <w:bidi/>
        <w:spacing w:line="276" w:lineRule="auto"/>
        <w:ind w:left="360"/>
        <w:rPr>
          <w:rFonts w:ascii="Simplified Arabic" w:eastAsia="Times New Roman" w:hAnsi="Simplified Arabic" w:cs="Simplified Arabic"/>
          <w:sz w:val="28"/>
          <w:szCs w:val="28"/>
          <w:lang w:bidi="ar-JO"/>
        </w:rPr>
      </w:pPr>
      <w:r w:rsidRPr="00471C07">
        <w:rPr>
          <w:rFonts w:ascii="Simplified Arabic" w:eastAsia="Times New Roman" w:hAnsi="Simplified Arabic" w:cs="Simplified Arabic" w:hint="cs"/>
          <w:b/>
          <w:bCs/>
          <w:sz w:val="28"/>
          <w:szCs w:val="28"/>
          <w:rtl/>
        </w:rPr>
        <w:t>المتغير التابع</w:t>
      </w:r>
      <w:r w:rsidRPr="00471C07">
        <w:rPr>
          <w:rFonts w:ascii="Simplified Arabic" w:eastAsia="Times New Roman" w:hAnsi="Simplified Arabic" w:cs="Simplified Arabic" w:hint="cs"/>
          <w:b/>
          <w:bCs/>
          <w:sz w:val="28"/>
          <w:szCs w:val="28"/>
          <w:lang w:bidi="ar-JO"/>
        </w:rPr>
        <w:t>:</w:t>
      </w:r>
      <w:r w:rsidRPr="00471C07">
        <w:rPr>
          <w:rFonts w:ascii="Simplified Arabic" w:eastAsia="Times New Roman" w:hAnsi="Simplified Arabic" w:cs="Simplified Arabic" w:hint="cs"/>
          <w:sz w:val="28"/>
          <w:szCs w:val="28"/>
          <w:lang w:bidi="ar-JO"/>
        </w:rPr>
        <w:t xml:space="preserve"> </w:t>
      </w:r>
      <w:r w:rsidRPr="00471C07">
        <w:rPr>
          <w:rFonts w:ascii="Simplified Arabic" w:eastAsia="Times New Roman" w:hAnsi="Simplified Arabic" w:cs="Simplified Arabic" w:hint="cs"/>
          <w:sz w:val="28"/>
          <w:szCs w:val="28"/>
          <w:rtl/>
        </w:rPr>
        <w:t>الأداء الوظيفي بالاعتماد على دراسة</w:t>
      </w:r>
      <w:r w:rsidRPr="00471C07">
        <w:rPr>
          <w:rFonts w:ascii="Simplified Arabic" w:eastAsia="Times New Roman" w:hAnsi="Simplified Arabic" w:cs="Simplified Arabic" w:hint="cs"/>
          <w:sz w:val="28"/>
          <w:szCs w:val="28"/>
          <w:lang w:bidi="ar-JO"/>
        </w:rPr>
        <w:t xml:space="preserve"> (Gazi et al., 2024) </w:t>
      </w:r>
      <w:r w:rsidRPr="00471C07">
        <w:rPr>
          <w:rFonts w:ascii="Simplified Arabic" w:eastAsia="Times New Roman" w:hAnsi="Simplified Arabic" w:cs="Simplified Arabic" w:hint="cs"/>
          <w:sz w:val="28"/>
          <w:szCs w:val="28"/>
          <w:rtl/>
        </w:rPr>
        <w:t>ودراسة</w:t>
      </w:r>
      <w:r w:rsidRPr="00471C07">
        <w:rPr>
          <w:rFonts w:ascii="Simplified Arabic" w:eastAsia="Times New Roman" w:hAnsi="Simplified Arabic" w:cs="Simplified Arabic" w:hint="cs"/>
          <w:sz w:val="28"/>
          <w:szCs w:val="28"/>
          <w:lang w:bidi="ar-JO"/>
        </w:rPr>
        <w:t xml:space="preserve"> (Chang, 2024) </w:t>
      </w:r>
      <w:r w:rsidRPr="00471C07">
        <w:rPr>
          <w:rFonts w:ascii="Simplified Arabic" w:eastAsia="Times New Roman" w:hAnsi="Simplified Arabic" w:cs="Simplified Arabic" w:hint="cs"/>
          <w:sz w:val="28"/>
          <w:szCs w:val="28"/>
          <w:rtl/>
        </w:rPr>
        <w:t>ودراسة</w:t>
      </w:r>
      <w:r w:rsidRPr="00471C07">
        <w:rPr>
          <w:rFonts w:ascii="Simplified Arabic" w:eastAsia="Times New Roman" w:hAnsi="Simplified Arabic" w:cs="Simplified Arabic" w:hint="cs"/>
          <w:sz w:val="28"/>
          <w:szCs w:val="28"/>
          <w:lang w:bidi="ar-JO"/>
        </w:rPr>
        <w:t xml:space="preserve"> (Deng et al., 2023).</w:t>
      </w:r>
    </w:p>
    <w:p w14:paraId="4F04FD76" w14:textId="77777777" w:rsidR="00653970" w:rsidRDefault="00653970">
      <w:pPr>
        <w:spacing w:after="200" w:line="276" w:lineRule="auto"/>
        <w:rPr>
          <w:rFonts w:ascii="Simplified Arabic" w:eastAsia="Calibri" w:hAnsi="Simplified Arabic" w:cs="Simplified Arabic"/>
          <w:b/>
          <w:bCs/>
          <w:kern w:val="2"/>
          <w:sz w:val="28"/>
          <w:szCs w:val="28"/>
          <w:rtl/>
          <w:lang w:bidi="ar-EG"/>
          <w14:ligatures w14:val="standardContextual"/>
        </w:rPr>
      </w:pPr>
      <w:r>
        <w:rPr>
          <w:rFonts w:ascii="Simplified Arabic" w:eastAsia="Calibri" w:hAnsi="Simplified Arabic" w:cs="Simplified Arabic"/>
          <w:b/>
          <w:bCs/>
          <w:kern w:val="2"/>
          <w:sz w:val="28"/>
          <w:szCs w:val="28"/>
          <w:rtl/>
          <w:lang w:bidi="ar-EG"/>
          <w14:ligatures w14:val="standardContextual"/>
        </w:rPr>
        <w:br w:type="page"/>
      </w:r>
    </w:p>
    <w:p w14:paraId="653389DE" w14:textId="12512BAB" w:rsidR="00312F0B" w:rsidRDefault="00312F0B" w:rsidP="00471C07">
      <w:pPr>
        <w:bidi/>
        <w:spacing w:line="276" w:lineRule="auto"/>
        <w:ind w:left="360"/>
        <w:jc w:val="center"/>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b/>
          <w:bCs/>
          <w:kern w:val="2"/>
          <w:sz w:val="28"/>
          <w:szCs w:val="28"/>
          <w:rtl/>
          <w:lang w:bidi="ar-EG"/>
          <w14:ligatures w14:val="standardContextual"/>
        </w:rPr>
        <w:lastRenderedPageBreak/>
        <w:t xml:space="preserve">الشكل رقم (1) متغيرات الدراسة </w:t>
      </w:r>
    </w:p>
    <w:p w14:paraId="1D90E549" w14:textId="77777777" w:rsidR="00653970" w:rsidRPr="00397A68" w:rsidRDefault="00653970" w:rsidP="00653970">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59264" behindDoc="0" locked="0" layoutInCell="1" allowOverlap="1" wp14:anchorId="4B9E7A3B" wp14:editId="6C0361F0">
                <wp:simplePos x="0" y="0"/>
                <wp:positionH relativeFrom="column">
                  <wp:posOffset>3675380</wp:posOffset>
                </wp:positionH>
                <wp:positionV relativeFrom="paragraph">
                  <wp:posOffset>17145</wp:posOffset>
                </wp:positionV>
                <wp:extent cx="1945640" cy="1416050"/>
                <wp:effectExtent l="57150" t="38100" r="73660" b="88900"/>
                <wp:wrapNone/>
                <wp:docPr id="1725524691"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ln>
                          <a:headEnd/>
                          <a:tailEnd/>
                        </a:ln>
                      </wps:spPr>
                      <wps:style>
                        <a:lnRef idx="1">
                          <a:schemeClr val="dk1"/>
                        </a:lnRef>
                        <a:fillRef idx="2">
                          <a:schemeClr val="dk1"/>
                        </a:fillRef>
                        <a:effectRef idx="1">
                          <a:schemeClr val="dk1"/>
                        </a:effectRef>
                        <a:fontRef idx="minor">
                          <a:schemeClr val="dk1"/>
                        </a:fontRef>
                      </wps:style>
                      <wps:txbx>
                        <w:txbxContent>
                          <w:p w14:paraId="78B386B0" w14:textId="63CCD72C" w:rsidR="00653970" w:rsidRDefault="00653970" w:rsidP="00653970">
                            <w:pPr>
                              <w:tabs>
                                <w:tab w:val="num" w:pos="720"/>
                              </w:tabs>
                              <w:spacing w:line="240" w:lineRule="auto"/>
                              <w:ind w:left="360"/>
                              <w:jc w:val="center"/>
                              <w:rPr>
                                <w:rFonts w:cs="Sakkal Majalla"/>
                                <w:b/>
                                <w:bCs/>
                                <w:sz w:val="32"/>
                                <w:szCs w:val="32"/>
                                <w:rtl/>
                              </w:rPr>
                            </w:pPr>
                            <w:r w:rsidRPr="00043637">
                              <w:rPr>
                                <w:rFonts w:cs="Sakkal Majalla"/>
                                <w:b/>
                                <w:bCs/>
                                <w:sz w:val="32"/>
                                <w:szCs w:val="32"/>
                                <w:rtl/>
                              </w:rPr>
                              <w:t>المتغير المستقل</w:t>
                            </w:r>
                          </w:p>
                          <w:p w14:paraId="175785DD" w14:textId="2E3858DD" w:rsidR="00653970" w:rsidRDefault="00653970" w:rsidP="00653970">
                            <w:pPr>
                              <w:tabs>
                                <w:tab w:val="num" w:pos="720"/>
                              </w:tabs>
                              <w:ind w:left="360"/>
                              <w:jc w:val="center"/>
                              <w:rPr>
                                <w:rFonts w:cs="Sakkal Majalla"/>
                                <w:b/>
                                <w:bCs/>
                                <w:sz w:val="32"/>
                                <w:szCs w:val="32"/>
                              </w:rPr>
                            </w:pPr>
                            <w:r w:rsidRPr="00653970">
                              <w:rPr>
                                <w:rFonts w:cs="Sakkal Majalla"/>
                                <w:b/>
                                <w:bCs/>
                                <w:sz w:val="32"/>
                                <w:szCs w:val="32"/>
                                <w:rtl/>
                              </w:rPr>
                              <w:t>القيادة التحويلية</w:t>
                            </w:r>
                          </w:p>
                          <w:p w14:paraId="13B725FC" w14:textId="77777777" w:rsidR="00653970" w:rsidRDefault="00653970" w:rsidP="00653970">
                            <w:pPr>
                              <w:tabs>
                                <w:tab w:val="num" w:pos="720"/>
                              </w:tabs>
                              <w:ind w:left="360"/>
                              <w:jc w:val="center"/>
                              <w:rPr>
                                <w:rFonts w:cs="Sakkal Majalla"/>
                                <w:b/>
                                <w:bCs/>
                                <w:sz w:val="32"/>
                                <w:szCs w:val="32"/>
                                <w:rtl/>
                              </w:rPr>
                            </w:pPr>
                          </w:p>
                          <w:p w14:paraId="7438FEF3" w14:textId="77777777" w:rsidR="00653970" w:rsidRDefault="00653970" w:rsidP="00653970">
                            <w:pPr>
                              <w:tabs>
                                <w:tab w:val="num" w:pos="720"/>
                              </w:tabs>
                              <w:ind w:left="360"/>
                              <w:jc w:val="center"/>
                              <w:rPr>
                                <w:rFonts w:cs="Sakkal Majalla"/>
                                <w:b/>
                                <w:bCs/>
                                <w:sz w:val="32"/>
                                <w:szCs w:val="32"/>
                                <w:rtl/>
                              </w:rPr>
                            </w:pPr>
                          </w:p>
                          <w:p w14:paraId="49999847" w14:textId="77777777" w:rsidR="00653970" w:rsidRPr="00043637" w:rsidRDefault="00653970" w:rsidP="00653970">
                            <w:pPr>
                              <w:tabs>
                                <w:tab w:val="num" w:pos="720"/>
                              </w:tabs>
                              <w:ind w:left="360"/>
                              <w:jc w:val="center"/>
                              <w:rPr>
                                <w:lang w:bidi="ar-EG"/>
                              </w:rPr>
                            </w:pPr>
                          </w:p>
                          <w:p w14:paraId="2473BA21"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E7A3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289.4pt;margin-top:1.35pt;width:153.2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eTXQIAADYFAAAOAAAAZHJzL2Uyb0RvYy54bWysVNtuEzEQfUfiHyy/080m25RG3VRVCgip&#10;XEThAxxfsqZez2I72aRfz9hOlgUkihAv1njnzOUcz+zV9b41ZCed12BrWp5NKJGWg9B2U9Mvn1+/&#10;eEmJD8wKZsDKmh6kp9fL58+u+m4hp9CAEdIRTGL9ou9q2oTQLYrC80a2zJ9BJy06FbiWBby6TSEc&#10;6zF7a4rpZDIvenCic8Cl9/j1NjvpMuVXSvLwQSkvAzE1xd5COl061/EslldssXGsazQ/tsH+oYuW&#10;aYtFh1S3LDCydfq3VK3mDjyocMahLUApzWXigGzKyS9s7hvWycQFxfHdIJP/f2n5+91999HF1n13&#10;B/zBEwurhtmNvHEO+kYygeXKKFTRd34xBMSLx1Cy7t+BwKdl2wBJg71ybUyI7Mg+SX0YpJb7QDh+&#10;LC+r83mFL8LRV1blfHKeHqNgi1N453x4I6El0aipgN6mllbMGNiGVIrt7nxIugtiWRu7EF9LSlRr&#10;8Bl3zJBZNcuZ8W1GmOlfYGZjTDmfzy+O4zLKU40xCMkYZHHsDK0Tj9imsfGMor6yIs1eYNpkG6HR&#10;nVSOwsYZRonDwcgc+kkqokUUL3FPOyJXxhHkifo85EeKWRAZQ5Q2Zgia/jnoiI1hMu3NEPhEtQGd&#10;KoINQ2CrLbgnqmb8iXXmGmmH/XqP+kRzDeKAY+YgLy/+bNBowD1S0uPi1tR/2zInKTFvLY7qZVnF&#10;uQrpUp1fTPHixp712MMsx1Q1DZRkcxXy32HbOb1psFKmb+EGx1vpcNqD3NWxcVxOtH7a/vE9oX78&#10;7pbfAQAA//8DAFBLAwQUAAYACAAAACEAN43oH94AAAAJAQAADwAAAGRycy9kb3ducmV2LnhtbEyP&#10;QUvDQBSE74L/YXmCF2k3RmKWmE0pgiAIBasXb6/Z1yS6+zZmt238964nexxmmPmmXs3OiiNNYfCs&#10;4XaZgSBuvRm40/D+9rRQIEJENmg9k4YfCrBqLi9qrIw/8Ssdt7ETqYRDhRr6GMdKytD25DAs/Uic&#10;vL2fHMYkp06aCU+p3FmZZ9m9dDhwWuhxpMee2q/twWm4QSo/Bnu3fsbN+N2hal82n0Hr66t5/QAi&#10;0hz/w/CHn9ChSUw7f2AThNVQlCqhRw15CSL5ShU5iF3SeVGCbGp5/qD5BQAA//8DAFBLAQItABQA&#10;BgAIAAAAIQC2gziS/gAAAOEBAAATAAAAAAAAAAAAAAAAAAAAAABbQ29udGVudF9UeXBlc10ueG1s&#10;UEsBAi0AFAAGAAgAAAAhADj9If/WAAAAlAEAAAsAAAAAAAAAAAAAAAAALwEAAF9yZWxzLy5yZWxz&#10;UEsBAi0AFAAGAAgAAAAhAEkkF5NdAgAANgUAAA4AAAAAAAAAAAAAAAAALgIAAGRycy9lMm9Eb2Mu&#10;eG1sUEsBAi0AFAAGAAgAAAAhADeN6B/eAAAACQEAAA8AAAAAAAAAAAAAAAAAtwQAAGRycy9kb3du&#10;cmV2LnhtbFBLBQYAAAAABAAEAPMAAADCBQAAAAA=&#10;" fillcolor="gray [1616]" strokecolor="black [3040]">
                <v:fill color2="#d9d9d9 [496]" rotate="t" angle="180" colors="0 #bcbcbc;22938f #d0d0d0;1 #ededed" focus="100%" type="gradient"/>
                <v:shadow on="t" color="black" opacity="24903f" origin=",.5" offset="0,.55556mm"/>
                <v:textbox>
                  <w:txbxContent>
                    <w:p w14:paraId="78B386B0" w14:textId="63CCD72C" w:rsidR="00653970" w:rsidRDefault="00653970" w:rsidP="00653970">
                      <w:pPr>
                        <w:tabs>
                          <w:tab w:val="num" w:pos="720"/>
                        </w:tabs>
                        <w:spacing w:line="240" w:lineRule="auto"/>
                        <w:ind w:left="360"/>
                        <w:jc w:val="center"/>
                        <w:rPr>
                          <w:rFonts w:cs="Sakkal Majalla"/>
                          <w:b/>
                          <w:bCs/>
                          <w:sz w:val="32"/>
                          <w:szCs w:val="32"/>
                          <w:rtl/>
                        </w:rPr>
                      </w:pPr>
                      <w:r w:rsidRPr="00043637">
                        <w:rPr>
                          <w:rFonts w:cs="Sakkal Majalla"/>
                          <w:b/>
                          <w:bCs/>
                          <w:sz w:val="32"/>
                          <w:szCs w:val="32"/>
                          <w:rtl/>
                        </w:rPr>
                        <w:t>المتغير المستقل</w:t>
                      </w:r>
                    </w:p>
                    <w:p w14:paraId="175785DD" w14:textId="2E3858DD" w:rsidR="00653970" w:rsidRDefault="00653970" w:rsidP="00653970">
                      <w:pPr>
                        <w:tabs>
                          <w:tab w:val="num" w:pos="720"/>
                        </w:tabs>
                        <w:ind w:left="360"/>
                        <w:jc w:val="center"/>
                        <w:rPr>
                          <w:rFonts w:cs="Sakkal Majalla"/>
                          <w:b/>
                          <w:bCs/>
                          <w:sz w:val="32"/>
                          <w:szCs w:val="32"/>
                        </w:rPr>
                      </w:pPr>
                      <w:r w:rsidRPr="00653970">
                        <w:rPr>
                          <w:rFonts w:cs="Sakkal Majalla"/>
                          <w:b/>
                          <w:bCs/>
                          <w:sz w:val="32"/>
                          <w:szCs w:val="32"/>
                          <w:rtl/>
                        </w:rPr>
                        <w:t>القيادة التحويلية</w:t>
                      </w:r>
                    </w:p>
                    <w:p w14:paraId="13B725FC" w14:textId="77777777" w:rsidR="00653970" w:rsidRDefault="00653970" w:rsidP="00653970">
                      <w:pPr>
                        <w:tabs>
                          <w:tab w:val="num" w:pos="720"/>
                        </w:tabs>
                        <w:ind w:left="360"/>
                        <w:jc w:val="center"/>
                        <w:rPr>
                          <w:rFonts w:cs="Sakkal Majalla"/>
                          <w:b/>
                          <w:bCs/>
                          <w:sz w:val="32"/>
                          <w:szCs w:val="32"/>
                          <w:rtl/>
                        </w:rPr>
                      </w:pPr>
                    </w:p>
                    <w:p w14:paraId="7438FEF3" w14:textId="77777777" w:rsidR="00653970" w:rsidRDefault="00653970" w:rsidP="00653970">
                      <w:pPr>
                        <w:tabs>
                          <w:tab w:val="num" w:pos="720"/>
                        </w:tabs>
                        <w:ind w:left="360"/>
                        <w:jc w:val="center"/>
                        <w:rPr>
                          <w:rFonts w:cs="Sakkal Majalla"/>
                          <w:b/>
                          <w:bCs/>
                          <w:sz w:val="32"/>
                          <w:szCs w:val="32"/>
                          <w:rtl/>
                        </w:rPr>
                      </w:pPr>
                    </w:p>
                    <w:p w14:paraId="49999847" w14:textId="77777777" w:rsidR="00653970" w:rsidRPr="00043637" w:rsidRDefault="00653970" w:rsidP="00653970">
                      <w:pPr>
                        <w:tabs>
                          <w:tab w:val="num" w:pos="720"/>
                        </w:tabs>
                        <w:ind w:left="360"/>
                        <w:jc w:val="center"/>
                        <w:rPr>
                          <w:lang w:bidi="ar-EG"/>
                        </w:rPr>
                      </w:pPr>
                    </w:p>
                    <w:p w14:paraId="2473BA21" w14:textId="77777777" w:rsidR="00653970" w:rsidRDefault="00653970" w:rsidP="00653970"/>
                  </w:txbxContent>
                </v:textbox>
              </v:shape>
            </w:pict>
          </mc:Fallback>
        </mc:AlternateContent>
      </w:r>
      <w:r w:rsidRPr="00397A68">
        <w:rPr>
          <w:rFonts w:ascii="Calibri" w:eastAsia="Calibri" w:hAnsi="Calibri" w:cs="Arial"/>
          <w:noProof/>
          <w:rtl/>
        </w:rPr>
        <mc:AlternateContent>
          <mc:Choice Requires="wps">
            <w:drawing>
              <wp:anchor distT="0" distB="0" distL="114300" distR="114300" simplePos="0" relativeHeight="251660288" behindDoc="0" locked="0" layoutInCell="1" allowOverlap="1" wp14:anchorId="0E6B355E" wp14:editId="324FE29C">
                <wp:simplePos x="0" y="0"/>
                <wp:positionH relativeFrom="column">
                  <wp:posOffset>10160</wp:posOffset>
                </wp:positionH>
                <wp:positionV relativeFrom="paragraph">
                  <wp:posOffset>18415</wp:posOffset>
                </wp:positionV>
                <wp:extent cx="2247265" cy="1366520"/>
                <wp:effectExtent l="57150" t="38100" r="76835" b="100330"/>
                <wp:wrapNone/>
                <wp:docPr id="1238555069"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ln>
                          <a:headEnd/>
                          <a:tailEnd/>
                        </a:ln>
                      </wps:spPr>
                      <wps:style>
                        <a:lnRef idx="1">
                          <a:schemeClr val="dk1"/>
                        </a:lnRef>
                        <a:fillRef idx="2">
                          <a:schemeClr val="dk1"/>
                        </a:fillRef>
                        <a:effectRef idx="1">
                          <a:schemeClr val="dk1"/>
                        </a:effectRef>
                        <a:fontRef idx="minor">
                          <a:schemeClr val="dk1"/>
                        </a:fontRef>
                      </wps:style>
                      <wps:txbx>
                        <w:txbxContent>
                          <w:p w14:paraId="06B851C5" w14:textId="77777777" w:rsidR="00653970" w:rsidRDefault="00653970" w:rsidP="00653970">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4BF23EF" w14:textId="39B203B6" w:rsidR="00653970" w:rsidRDefault="00653970" w:rsidP="00653970">
                            <w:pPr>
                              <w:tabs>
                                <w:tab w:val="num" w:pos="720"/>
                              </w:tabs>
                              <w:ind w:left="360"/>
                              <w:jc w:val="center"/>
                              <w:rPr>
                                <w:rFonts w:cs="Sakkal Majalla"/>
                                <w:b/>
                                <w:bCs/>
                                <w:sz w:val="32"/>
                                <w:szCs w:val="32"/>
                                <w:rtl/>
                              </w:rPr>
                            </w:pPr>
                            <w:r w:rsidRPr="00653970">
                              <w:rPr>
                                <w:rFonts w:cs="Sakkal Majalla"/>
                                <w:b/>
                                <w:bCs/>
                                <w:sz w:val="32"/>
                                <w:szCs w:val="32"/>
                                <w:rtl/>
                              </w:rPr>
                              <w:t>الأداء الوظيفي</w:t>
                            </w:r>
                          </w:p>
                          <w:p w14:paraId="33D24019" w14:textId="77777777" w:rsidR="00653970" w:rsidRPr="00043637" w:rsidRDefault="00653970" w:rsidP="00653970">
                            <w:pPr>
                              <w:tabs>
                                <w:tab w:val="num" w:pos="720"/>
                              </w:tabs>
                              <w:ind w:left="360"/>
                              <w:jc w:val="center"/>
                              <w:rPr>
                                <w:rtl/>
                              </w:rPr>
                            </w:pPr>
                          </w:p>
                          <w:p w14:paraId="23F1C25F"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B355E" id="وسيلة الشرح: سهم لأسفل 16" o:spid="_x0000_s1027" type="#_x0000_t80" style="position:absolute;left:0;text-align:left;margin-left:.8pt;margin-top:1.45pt;width:176.95pt;height:10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EgrXwIAAD0FAAAOAAAAZHJzL2Uyb0RvYy54bWysVNtuEzEQfUfiHyy/081u0i1E3VRVCgip&#10;XEThAxxfsqZej7GdbNKvZ+xNlkAlihAv1tg+cznHM7682nWGbKUPGmxDy7MJJdJyENquG/r1y5sX&#10;LykJkVnBDFjZ0L0M9Grx/Nll7+ayghaMkJ5gEBvmvWtoG6ObF0XgrexYOAMnLV4q8B2LuPXrQnjW&#10;Y/TOFNVkUhc9eOE8cBkCnt4Ml3SR4yslefyoVJCRmIZibTGvPq+rtBaLSzZfe+ZazQ9lsH+oomPa&#10;YtIx1A2LjGy8fhSq09xDABXPOHQFKKW5zByQTTn5jc1dy5zMXFCc4EaZwv8Lyz9s79wnn0oP7hb4&#10;fSAWli2za3ntPfStZALTlUmoondhPjqkTUBXsurfg8CnZZsIWYOd8l0KiOzILku9H6WWu0g4HlbV&#10;7KKqzynheFdO6/q8yo9RsPnR3fkQ30roSDIaKqC3uaQlMwY2Madi29sQs+6CWNalKsS3khLVGXzG&#10;LTNkVpbl9PDMJ5jqLzDTU0xZ1/XF4zizUwxCBgyyOFSG1pFHKtPYtCZRX1uRey8ybQYboek6q5yE&#10;TT2MEse9kYPrZ6mIFihembnnGZFL4wnyRH3uh0dKURCZXJQ2ZnSq/ux0wCY3medmdHwi24jOGcHG&#10;0bHTFvwTWQf8kfXANdGOu9UOyR46L52sQOyx2zwMM4x/Dhot+AdKepzfhobvG+YlJeadxY59Vc5m&#10;aeDzZnZ+ge1F/OnN6vSGWY6hGhopGcxlHD6JjfN63WKmQQUL19jlSsfjOAxVHerHGUXrl0/gdJ9R&#10;P3+9xQ8AAAD//wMAUEsDBBQABgAIAAAAIQDwPvxt3AAAAAcBAAAPAAAAZHJzL2Rvd25yZXYueG1s&#10;TI5BS8NAEIXvgv9hGcGLtJu0pI0xm1IEQRAKVi/epsmYRHdnY3bbxn/veNLjx3u895WbyVl1ojH0&#10;ng2k8wQUce2bnlsDry8PsxxUiMgNWs9k4JsCbKrLixKLxp/5mU772CoZ4VCggS7GodA61B05DHM/&#10;EEv27keHUXBsdTPiWcad1YskWWmHPctDhwPdd1R/7o/OwA3S+q23y+0j7oavFvP6afcRjLm+mrZ3&#10;oCJN8a8Mv/qiDpU4HfyRm6Cs8EqKBha3oCRdZlkG6iCc5inoqtT//asfAAAA//8DAFBLAQItABQA&#10;BgAIAAAAIQC2gziS/gAAAOEBAAATAAAAAAAAAAAAAAAAAAAAAABbQ29udGVudF9UeXBlc10ueG1s&#10;UEsBAi0AFAAGAAgAAAAhADj9If/WAAAAlAEAAAsAAAAAAAAAAAAAAAAALwEAAF9yZWxzLy5yZWxz&#10;UEsBAi0AFAAGAAgAAAAhABLwSCtfAgAAPQUAAA4AAAAAAAAAAAAAAAAALgIAAGRycy9lMm9Eb2Mu&#10;eG1sUEsBAi0AFAAGAAgAAAAhAPA+/G3cAAAABwEAAA8AAAAAAAAAAAAAAAAAuQQAAGRycy9kb3du&#10;cmV2LnhtbFBLBQYAAAAABAAEAPMAAADCBQAAAAA=&#10;" fillcolor="gray [1616]" strokecolor="black [3040]">
                <v:fill color2="#d9d9d9 [496]" rotate="t" angle="180" colors="0 #bcbcbc;22938f #d0d0d0;1 #ededed" focus="100%" type="gradient"/>
                <v:shadow on="t" color="black" opacity="24903f" origin=",.5" offset="0,.55556mm"/>
                <v:textbox>
                  <w:txbxContent>
                    <w:p w14:paraId="06B851C5" w14:textId="77777777" w:rsidR="00653970" w:rsidRDefault="00653970" w:rsidP="00653970">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4BF23EF" w14:textId="39B203B6" w:rsidR="00653970" w:rsidRDefault="00653970" w:rsidP="00653970">
                      <w:pPr>
                        <w:tabs>
                          <w:tab w:val="num" w:pos="720"/>
                        </w:tabs>
                        <w:ind w:left="360"/>
                        <w:jc w:val="center"/>
                        <w:rPr>
                          <w:rFonts w:cs="Sakkal Majalla"/>
                          <w:b/>
                          <w:bCs/>
                          <w:sz w:val="32"/>
                          <w:szCs w:val="32"/>
                          <w:rtl/>
                        </w:rPr>
                      </w:pPr>
                      <w:r w:rsidRPr="00653970">
                        <w:rPr>
                          <w:rFonts w:cs="Sakkal Majalla"/>
                          <w:b/>
                          <w:bCs/>
                          <w:sz w:val="32"/>
                          <w:szCs w:val="32"/>
                          <w:rtl/>
                        </w:rPr>
                        <w:t>الأداء الوظيفي</w:t>
                      </w:r>
                    </w:p>
                    <w:p w14:paraId="33D24019" w14:textId="77777777" w:rsidR="00653970" w:rsidRPr="00043637" w:rsidRDefault="00653970" w:rsidP="00653970">
                      <w:pPr>
                        <w:tabs>
                          <w:tab w:val="num" w:pos="720"/>
                        </w:tabs>
                        <w:ind w:left="360"/>
                        <w:jc w:val="center"/>
                        <w:rPr>
                          <w:rtl/>
                        </w:rPr>
                      </w:pPr>
                    </w:p>
                    <w:p w14:paraId="23F1C25F" w14:textId="77777777" w:rsidR="00653970" w:rsidRDefault="00653970" w:rsidP="00653970"/>
                  </w:txbxContent>
                </v:textbox>
              </v:shape>
            </w:pict>
          </mc:Fallback>
        </mc:AlternateContent>
      </w:r>
      <w:r w:rsidRPr="00397A68">
        <w:rPr>
          <w:rFonts w:ascii="Sakkal Majalla" w:eastAsia="Calibri" w:hAnsi="Sakkal Majalla" w:cs="Sakkal Majalla" w:hint="cs"/>
          <w:b/>
          <w:bCs/>
          <w:sz w:val="28"/>
          <w:szCs w:val="28"/>
          <w:rtl/>
        </w:rPr>
        <w:t xml:space="preserve"> </w:t>
      </w:r>
    </w:p>
    <w:p w14:paraId="5AB8E494"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0225F16A"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04AB155A"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325EC6C2"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78FBDF9F"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71BEE1F0" w14:textId="7777777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p>
    <w:p w14:paraId="42EEB07E" w14:textId="5FBB0038"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2336" behindDoc="0" locked="0" layoutInCell="1" allowOverlap="1" wp14:anchorId="4AAB8DED" wp14:editId="45B007E9">
                <wp:simplePos x="0" y="0"/>
                <wp:positionH relativeFrom="column">
                  <wp:posOffset>9525</wp:posOffset>
                </wp:positionH>
                <wp:positionV relativeFrom="paragraph">
                  <wp:posOffset>10160</wp:posOffset>
                </wp:positionV>
                <wp:extent cx="1628775" cy="2980690"/>
                <wp:effectExtent l="57150" t="38100" r="85725" b="86360"/>
                <wp:wrapNone/>
                <wp:docPr id="121735158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ln>
                          <a:headEnd/>
                          <a:tailEnd/>
                        </a:ln>
                      </wps:spPr>
                      <wps:style>
                        <a:lnRef idx="1">
                          <a:schemeClr val="dk1"/>
                        </a:lnRef>
                        <a:fillRef idx="2">
                          <a:schemeClr val="dk1"/>
                        </a:fillRef>
                        <a:effectRef idx="1">
                          <a:schemeClr val="dk1"/>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E303E" id="مستطيل 11" o:spid="_x0000_s1026" style="position:absolute;left:0;text-align:left;margin-left:.75pt;margin-top:.8pt;width:128.25pt;height:23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NO0IAIAAIYEAAAOAAAAZHJzL2Uyb0RvYy54bWysVNuO0zAQfUfiHyy/07RRt5eo6WrVBYS0&#10;XMTCB7iO3VibeMzYbVq+nrHTZiuQWAnxYtmZmTPnzCWr22PbsINCb8CWfDIac6ashMrYXcm/f3v3&#10;ZsGZD8JWogGrSn5Snt+uX79ada5QOdTQVAoZgVhfdK7kdQiuyDIva9UKPwKnLBk1YCsCPXGXVSg6&#10;Qm+bLB+PZ1kHWDkEqbynr/e9ka8TvtZKhs9aexVYU3LiFtKJ6dzGM1uvRLFD4WojzzTEP7BohbGU&#10;dIC6F0GwPZo/oFojETzoMJLQZqC1kSppIDWT8W9qHmvhVNJCxfFuKJP/f7Dy0+HRfcFI3bsHkE+e&#10;WdjUwu7UHSJ0tRIVpZvEQmWd88UQEB+eQtm2+wgVtVbsA6QaHDW2EZDUsWMq9WkotToGJunjZJYv&#10;5vMbziTZ8uViPFumZmSiuIQ79OG9gpbFS8mRepngxeHBh0hHFBeXmK2x8Yx839oqtTUI0/R3co3m&#10;JCByjuNB7MOpUX3oV6WZqSKvlCKNn9o0yA6CBqd66vVHFPKMIdo0zRCU/z3o7BvDVBrJIfCFbIN3&#10;ygg2DIGtsYAvZO39L6p7rVH2FqoTtQ2hXwZaXrrUgD8562gRSu5/7AUqzpoPllq/nEyncXPSY3oz&#10;z+mB15bttUVYSVAlD5z1103ot23v0OxqytRrtnBH46JNauQzqzNbGvbU3/Nixm26fiev59/H+hcA&#10;AAD//wMAUEsDBBQABgAIAAAAIQBRCOgi3gAAAAcBAAAPAAAAZHJzL2Rvd25yZXYueG1sTI/NTsMw&#10;EITvSLyDtUjcqNOKpCXEqSBSJYTogfJ7dOMljojXUew26duznOC0Gs1o9ptiPblOHHEIrScF81kC&#10;Aqn2pqVGwevL5moFIkRNRneeUMEJA6zL87NC58aP9IzHXWwEl1DItQIbY59LGWqLToeZ75HY+/KD&#10;05Hl0Egz6JHLXScXSZJJp1viD1b3WFmsv3cHp+C++dy6zVOavS/HeHq8ease7Eel1OXFdHcLIuIU&#10;/8Lwi8/oUDLT3h/IBNGxTjnIJwPB7iJd8bK9guvlPAFZFvI/f/kDAAD//wMAUEsBAi0AFAAGAAgA&#10;AAAhALaDOJL+AAAA4QEAABMAAAAAAAAAAAAAAAAAAAAAAFtDb250ZW50X1R5cGVzXS54bWxQSwEC&#10;LQAUAAYACAAAACEAOP0h/9YAAACUAQAACwAAAAAAAAAAAAAAAAAvAQAAX3JlbHMvLnJlbHNQSwEC&#10;LQAUAAYACAAAACEARuzTtCACAACGBAAADgAAAAAAAAAAAAAAAAAuAgAAZHJzL2Uyb0RvYy54bWxQ&#10;SwECLQAUAAYACAAAACEAUQjoIt4AAAAHAQAADwAAAAAAAAAAAAAAAAB6BAAAZHJzL2Rvd25yZXYu&#10;eG1sUEsFBgAAAAAEAAQA8wAAAIUFAAAAAA==&#10;" fillcolor="gray [1616]" strokecolor="black [3040]">
                <v:fill color2="#d9d9d9 [496]" rotate="t" angle="180" colors="0 #bcbcbc;22938f #d0d0d0;1 #ededed" focus="100%" type="gradient"/>
                <v:shadow on="t" color="black" opacity="24903f" origin=",.5" offset="0,.55556mm"/>
              </v:rect>
            </w:pict>
          </mc:Fallback>
        </mc:AlternateContent>
      </w:r>
      <w:r w:rsidRPr="00397A68">
        <w:rPr>
          <w:rFonts w:ascii="Calibri" w:eastAsia="Calibri" w:hAnsi="Calibri" w:cs="Arial"/>
          <w:noProof/>
          <w:rtl/>
        </w:rPr>
        <mc:AlternateContent>
          <mc:Choice Requires="wps">
            <w:drawing>
              <wp:anchor distT="0" distB="0" distL="114300" distR="114300" simplePos="0" relativeHeight="251664384" behindDoc="0" locked="0" layoutInCell="1" allowOverlap="1" wp14:anchorId="2213C11D" wp14:editId="786DB428">
                <wp:simplePos x="0" y="0"/>
                <wp:positionH relativeFrom="column">
                  <wp:posOffset>4219575</wp:posOffset>
                </wp:positionH>
                <wp:positionV relativeFrom="paragraph">
                  <wp:posOffset>181610</wp:posOffset>
                </wp:positionV>
                <wp:extent cx="1379855" cy="476885"/>
                <wp:effectExtent l="57150" t="38100" r="67945" b="94615"/>
                <wp:wrapNone/>
                <wp:docPr id="240139460"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7BBA6CCC" w14:textId="50E9611B" w:rsidR="00653970" w:rsidRPr="009450BA" w:rsidRDefault="00653970" w:rsidP="00653970">
                            <w:pPr>
                              <w:ind w:left="360"/>
                              <w:rPr>
                                <w:rFonts w:cs="Sakkal Majalla"/>
                                <w:b/>
                                <w:bCs/>
                              </w:rPr>
                            </w:pPr>
                            <w:r w:rsidRPr="00653970">
                              <w:rPr>
                                <w:rFonts w:cs="Sakkal Majalla"/>
                                <w:b/>
                                <w:bCs/>
                                <w:sz w:val="32"/>
                                <w:szCs w:val="32"/>
                                <w:rtl/>
                              </w:rPr>
                              <w:t>التأثير المثالي</w:t>
                            </w:r>
                          </w:p>
                          <w:p w14:paraId="39ECC88B"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13C11D" id="مستطيل: زوايا مستديرة 13" o:spid="_x0000_s1028" style="position:absolute;left:0;text-align:left;margin-left:332.25pt;margin-top:14.3pt;width:108.65pt;height:3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qHhSgIAANQEAAAOAAAAZHJzL2Uyb0RvYy54bWysVNtuEzEQfUfiHyy/k01Cbl1lU1UpIKRy&#10;UQsf4PiSNfV6jO1kk349Y2+yhIsEQrxYtmfOzJzjGS+vD40he+mDBlvR0WBIibQchLbbin7+9PrF&#10;gpIQmRXMgJUVPcpAr1fPny1bV8ox1GCE9ASD2FC2rqJ1jK4sisBr2bAwACctGhX4hkU8+m0hPGsx&#10;emOK8XA4K1rwwnngMgS8ve2MdJXjKyV5/KBUkJGYimJtMa8+r5u0FqslK7eeuVrzUxnsH6pomLaY&#10;tA91yyIjO69/CdVo7iGAigMOTQFKaS4zB2QzGv7E5qFmTmYuKE5wvUzh/4Xl7/cP7qNPpQd3B/wx&#10;EAvrmtmtvPEe2loygelGSaiidaHsAekQEEo27TsQ+LRsFyFrcFC+SQGRHTlkqY+91PIQCcfL0cv5&#10;1WI6pYSjbTKfLRbTnIKVZ7TzIb6R0JC0qaiHnRX3+J45BdvfhZj1FsSyJmUXXyhRjcHX2zNDRrPZ&#10;bH6KeHIuWHmOmZDGpjXxe2VFboPItOn26JrMmXDimNoJ2cajkR30XiqiReKRy8ntKtfGE8yNtXAu&#10;bew0S5HQO8GUNqYHjv8MPPknqMyt3IP/ImuPyJnBxh7caAv+d9nF47lk1fmfFeh4JwniYXNA4hUd&#10;J23TzQbEEZvAQzda+BXgpgb/REmLY1XR8HXHvKTEvLXYSFejySTNYT5MpvMxHvylZXNpYZZjqIpG&#10;SrrtOnazu3Neb2vM1Clh4QabT+l47tKuqlP9ODq4+2E2L8/Z6/tntPoGAAD//wMAUEsDBBQABgAI&#10;AAAAIQB5A0DN3wAAAAoBAAAPAAAAZHJzL2Rvd25yZXYueG1sTI/LTsMwEEX3SPyDNUjsqNMHJkrj&#10;VAEJFkggCP0AN57GgdiOYrcxf8+wguVoju49t9wlO7AzTqH3TsJykQFD13rdu07C/uPxJgcWonJa&#10;Dd6hhG8MsKsuL0pVaD+7dzw3sWMU4kKhJJgYx4Lz0Bq0Kiz8iI5+Rz9ZFemcOq4nNVO4HfgqywS3&#10;qnfUYNSIDwbbr+ZkJWzq57en1/VnCt4b8ZL2XTPf11JeX6V6Cyxiin8w/OqTOlTkdPAnpwMbJAix&#10;uSVUwioXwAjI8yVtORCZre+AVyX/P6H6AQAA//8DAFBLAQItABQABgAIAAAAIQC2gziS/gAAAOEB&#10;AAATAAAAAAAAAAAAAAAAAAAAAABbQ29udGVudF9UeXBlc10ueG1sUEsBAi0AFAAGAAgAAAAhADj9&#10;If/WAAAAlAEAAAsAAAAAAAAAAAAAAAAALwEAAF9yZWxzLy5yZWxzUEsBAi0AFAAGAAgAAAAhABQ6&#10;oeFKAgAA1AQAAA4AAAAAAAAAAAAAAAAALgIAAGRycy9lMm9Eb2MueG1sUEsBAi0AFAAGAAgAAAAh&#10;AHkDQM3fAAAACg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14:paraId="7BBA6CCC" w14:textId="50E9611B" w:rsidR="00653970" w:rsidRPr="009450BA" w:rsidRDefault="00653970" w:rsidP="00653970">
                      <w:pPr>
                        <w:ind w:left="360"/>
                        <w:rPr>
                          <w:rFonts w:cs="Sakkal Majalla"/>
                          <w:b/>
                          <w:bCs/>
                        </w:rPr>
                      </w:pPr>
                      <w:r w:rsidRPr="00653970">
                        <w:rPr>
                          <w:rFonts w:cs="Sakkal Majalla"/>
                          <w:b/>
                          <w:bCs/>
                          <w:sz w:val="32"/>
                          <w:szCs w:val="32"/>
                          <w:rtl/>
                        </w:rPr>
                        <w:t>التأثير المثالي</w:t>
                      </w:r>
                    </w:p>
                    <w:p w14:paraId="39ECC88B" w14:textId="77777777" w:rsidR="00653970" w:rsidRDefault="00653970" w:rsidP="00653970"/>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1312" behindDoc="0" locked="0" layoutInCell="1" allowOverlap="1" wp14:anchorId="52981520" wp14:editId="6BE8EBC4">
                <wp:simplePos x="0" y="0"/>
                <wp:positionH relativeFrom="column">
                  <wp:posOffset>4048125</wp:posOffset>
                </wp:positionH>
                <wp:positionV relativeFrom="paragraph">
                  <wp:posOffset>20320</wp:posOffset>
                </wp:positionV>
                <wp:extent cx="1752600" cy="2656840"/>
                <wp:effectExtent l="57150" t="38100" r="76200" b="86360"/>
                <wp:wrapNone/>
                <wp:docPr id="81477521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ln>
                          <a:headEnd/>
                          <a:tailEnd/>
                        </a:ln>
                      </wps:spPr>
                      <wps:style>
                        <a:lnRef idx="1">
                          <a:schemeClr val="dk1"/>
                        </a:lnRef>
                        <a:fillRef idx="2">
                          <a:schemeClr val="dk1"/>
                        </a:fillRef>
                        <a:effectRef idx="1">
                          <a:schemeClr val="dk1"/>
                        </a:effectRef>
                        <a:fontRef idx="minor">
                          <a:schemeClr val="dk1"/>
                        </a:fontRef>
                      </wps:style>
                      <wps:txbx>
                        <w:txbxContent>
                          <w:p w14:paraId="4BD64ED8" w14:textId="77777777" w:rsidR="00653970" w:rsidRDefault="00653970" w:rsidP="00653970">
                            <w:pPr>
                              <w:rPr>
                                <w:rFonts w:cs="Arial"/>
                                <w:noProof/>
                                <w:rtl/>
                              </w:rPr>
                            </w:pPr>
                          </w:p>
                          <w:p w14:paraId="779B7FD8" w14:textId="77777777" w:rsidR="00653970" w:rsidRDefault="00653970" w:rsidP="00653970">
                            <w:pPr>
                              <w:rPr>
                                <w:rFonts w:cs="Arial"/>
                                <w:noProof/>
                                <w:rtl/>
                              </w:rPr>
                            </w:pPr>
                          </w:p>
                          <w:p w14:paraId="23847755" w14:textId="77777777" w:rsidR="00653970" w:rsidRDefault="00653970" w:rsidP="00653970">
                            <w:pPr>
                              <w:rPr>
                                <w:rFonts w:cs="Arial"/>
                                <w:noProof/>
                                <w:rtl/>
                              </w:rPr>
                            </w:pPr>
                          </w:p>
                          <w:p w14:paraId="2BE2C714" w14:textId="77777777" w:rsidR="00653970" w:rsidRDefault="00653970" w:rsidP="00653970">
                            <w:pPr>
                              <w:rPr>
                                <w:rFonts w:cs="Arial"/>
                                <w:noProof/>
                                <w:rtl/>
                              </w:rPr>
                            </w:pPr>
                          </w:p>
                          <w:p w14:paraId="35FC23E1"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81520" id="مستطيل 14" o:spid="_x0000_s1029" style="position:absolute;left:0;text-align:left;margin-left:318.75pt;margin-top:1.6pt;width:138pt;height:20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nQKwIAAJgEAAAOAAAAZHJzL2Uyb0RvYy54bWysVNuO0zAQfUfiHyy/07Sh7S5R09WqCwhp&#10;uYiFD3Adp7HW8Zix26R8PWOnzVYgsRLixbIzM2fOmUtWN31r2EGh12BLPptMOVNWQqXtruTfv717&#10;dc2ZD8JWwoBVJT8qz2/WL1+sOleoHBowlUJGINYXnSt5E4IrsszLRrXCT8ApS8YasBWBnrjLKhQd&#10;obcmy6fTZdYBVg5BKu/p691g5OuEX9dKhs917VVgpuTELaQT07mNZ7ZeiWKHwjVanmiIf2DRCm0p&#10;6Qh1J4Jge9R/QLVaIniow0RCm0Fda6mSBlIzm/6m5qERTiUtVBzvxjL5/wcrPx0e3BeM1L27B/no&#10;mYVNI+xO3SJC1yhRUbpZLFTWOV+MAfHhKZRtu49QUWvFPkCqQV9jGwFJHetTqY9jqVUfmKSPs6tF&#10;vpxSRyTZ8uVieT1PzchEcQ536MN7BS2Ll5Ij9TLBi8O9D5GOKM4uMZux8Yx839oqtTUIbYY7uUZz&#10;EhA5x/Eg9uFo1BD6VdVMV5FXSpHGT20MsoOgwakeB/0RhTxjSK2NGYPyvwedfGOYSiM5Bj6TbfRO&#10;GcGGMbDVFvCZrIP/WfWgNcoO/bYnsSV/HZsav2yhOlIjEYb1oHWmSwP4k7OOVqPk/sdeoOLMfLA0&#10;DG9mc2oWC+kxX1zl9MBLy/bSIqwkqJIHzobrJgz7t3eodw1lGqpg4ZYGqNaptU+sTvxp/FPHT6sa&#10;9+vynbyefijrXwAAAP//AwBQSwMEFAAGAAgAAAAhAAHgY3PhAAAACQEAAA8AAABkcnMvZG93bnJl&#10;di54bWxMj8tOwzAURPdI/IN1kdhR50FTGnJTQaRKCJVFW15LN77EEbEdxW6T/j1mBcvRjGbOFKtJ&#10;d+xEg2utQYhnETAytZWtaRBe9+ubO2DOCyNFZw0hnMnBqry8KEQu7Wi2dNr5hoUS43KBoLzvc85d&#10;rUgLN7M9meB92UELH+TQcDmIMZTrjidRlHEtWhMWlOipUlR/744a4bH5fNHrzTx7X4z+/Lx8q57U&#10;R4V4fTU93APzNPm/MPziB3QoA9PBHo10rEPI0sU8RBHSBFjwl3Ea9AHhNokz4GXB/z8ofwAAAP//&#10;AwBQSwECLQAUAAYACAAAACEAtoM4kv4AAADhAQAAEwAAAAAAAAAAAAAAAAAAAAAAW0NvbnRlbnRf&#10;VHlwZXNdLnhtbFBLAQItABQABgAIAAAAIQA4/SH/1gAAAJQBAAALAAAAAAAAAAAAAAAAAC8BAABf&#10;cmVscy8ucmVsc1BLAQItABQABgAIAAAAIQBoBqnQKwIAAJgEAAAOAAAAAAAAAAAAAAAAAC4CAABk&#10;cnMvZTJvRG9jLnhtbFBLAQItABQABgAIAAAAIQAB4GNz4QAAAAkBAAAPAAAAAAAAAAAAAAAAAIUE&#10;AABkcnMvZG93bnJldi54bWxQSwUGAAAAAAQABADzAAAAkwUAAAAA&#10;" fillcolor="gray [1616]" strokecolor="black [3040]">
                <v:fill color2="#d9d9d9 [496]" rotate="t" angle="180" colors="0 #bcbcbc;22938f #d0d0d0;1 #ededed" focus="100%" type="gradient"/>
                <v:shadow on="t" color="black" opacity="24903f" origin=",.5" offset="0,.55556mm"/>
                <v:textbox>
                  <w:txbxContent>
                    <w:p w14:paraId="4BD64ED8" w14:textId="77777777" w:rsidR="00653970" w:rsidRDefault="00653970" w:rsidP="00653970">
                      <w:pPr>
                        <w:rPr>
                          <w:rFonts w:cs="Arial"/>
                          <w:noProof/>
                          <w:rtl/>
                        </w:rPr>
                      </w:pPr>
                    </w:p>
                    <w:p w14:paraId="779B7FD8" w14:textId="77777777" w:rsidR="00653970" w:rsidRDefault="00653970" w:rsidP="00653970">
                      <w:pPr>
                        <w:rPr>
                          <w:rFonts w:cs="Arial"/>
                          <w:noProof/>
                          <w:rtl/>
                        </w:rPr>
                      </w:pPr>
                    </w:p>
                    <w:p w14:paraId="23847755" w14:textId="77777777" w:rsidR="00653970" w:rsidRDefault="00653970" w:rsidP="00653970">
                      <w:pPr>
                        <w:rPr>
                          <w:rFonts w:cs="Arial"/>
                          <w:noProof/>
                          <w:rtl/>
                        </w:rPr>
                      </w:pPr>
                    </w:p>
                    <w:p w14:paraId="2BE2C714" w14:textId="77777777" w:rsidR="00653970" w:rsidRDefault="00653970" w:rsidP="00653970">
                      <w:pPr>
                        <w:rPr>
                          <w:rFonts w:cs="Arial"/>
                          <w:noProof/>
                          <w:rtl/>
                        </w:rPr>
                      </w:pPr>
                    </w:p>
                    <w:p w14:paraId="35FC23E1" w14:textId="77777777" w:rsidR="00653970" w:rsidRDefault="00653970" w:rsidP="00653970"/>
                  </w:txbxContent>
                </v:textbox>
              </v:rect>
            </w:pict>
          </mc:Fallback>
        </mc:AlternateContent>
      </w:r>
    </w:p>
    <w:p w14:paraId="59F5B8CC" w14:textId="7A90A572"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2576" behindDoc="0" locked="0" layoutInCell="1" allowOverlap="1" wp14:anchorId="2221A643" wp14:editId="52BC64E8">
                <wp:simplePos x="0" y="0"/>
                <wp:positionH relativeFrom="column">
                  <wp:posOffset>3409950</wp:posOffset>
                </wp:positionH>
                <wp:positionV relativeFrom="paragraph">
                  <wp:posOffset>197485</wp:posOffset>
                </wp:positionV>
                <wp:extent cx="9525" cy="1771650"/>
                <wp:effectExtent l="0" t="0" r="28575" b="19050"/>
                <wp:wrapNone/>
                <wp:docPr id="1148436911" name="رابط مستقيم 1"/>
                <wp:cNvGraphicFramePr/>
                <a:graphic xmlns:a="http://schemas.openxmlformats.org/drawingml/2006/main">
                  <a:graphicData uri="http://schemas.microsoft.com/office/word/2010/wordprocessingShape">
                    <wps:wsp>
                      <wps:cNvCnPr/>
                      <wps:spPr>
                        <a:xfrm flipH="1">
                          <a:off x="0" y="0"/>
                          <a:ext cx="9525" cy="17716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26FB889" id="رابط مستقيم 1"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5pt,15.55pt" to="269.25pt,1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E3yQEAAIcDAAAOAAAAZHJzL2Uyb0RvYy54bWysU9tu2zAMfR/QfxD03tgOkHY14vShQbeH&#10;XQqs+wBWF1uAbhC1OPn7UXKaddvbMD8IIikenkPS2/ujs+ygEprgB96tWs6UF0EaPw78+/Pj9XvO&#10;MIOXYINXAz8p5Pe7q3fbOfZqHaZgpUqMQDz2cxz4lHPsmwbFpBzgKkTlKahDcpDJTGMjE8yE7myz&#10;btubZg5JxhSEQiTvfgnyXcXXWon8VWtUmdmBE7dcz1TPl3I2uy30Y4I4GXGmAf/AwoHxVPQCtYcM&#10;7Ecyf0E5I1LAoPNKBNcErY1QVQOp6do/1HybIKqqhZqD8dIm/H+w4svhwT8lasMcscf4lIqKo06O&#10;aWviR5pp1UVM2bG27XRpmzpmJsh5t1lvOBMU6G5vu5tN7WqzoBS0mDB/UMGxchm4Nb6Igh4OnzBT&#10;ZXr6+qS4fXg01tbBWM/mCz7QemgLmUq5KAeOfuQM7Eh7J3KqiBiskSW74OAJH2xiB6DR08bIMD8T&#10;Y84sYKYAyajfkjiBVMvTuw25l71AyJ+DXNxd++onugt0Zf5bySJjDzgtKTVUkCjD+kJJ1Y08q/7V&#10;8HJ7CfJU59AUi6Zd086bWdbprU33t//P7icAAAD//wMAUEsDBBQABgAIAAAAIQA4o0QV3wAAAAoB&#10;AAAPAAAAZHJzL2Rvd25yZXYueG1sTI/BTsMwEETvSP0Haytxo3YaBUqIU1VV4YKE1BI4O/GSRNjr&#10;KHbT8Pe4JzjOzmj2TbGdrWETjr53JCFZCWBIjdM9tRKq9+e7DTAfFGllHKGEH/SwLRc3hcq1u9AR&#10;p1NoWSwhnysJXQhDzrlvOrTKr9yAFL0vN1oVohxbrkd1ieXW8LUQ99yqnuKHTg2477D5Pp2thN3n&#10;6yF9m2rrjH5sqw9tK/GylvJ2Oe+egAWcw18YrvgRHcrIVLszac+MhCx9iFuChDRJgMVAlm4yYPX1&#10;IBLgZcH/Tyh/AQAA//8DAFBLAQItABQABgAIAAAAIQC2gziS/gAAAOEBAAATAAAAAAAAAAAAAAAA&#10;AAAAAABbQ29udGVudF9UeXBlc10ueG1sUEsBAi0AFAAGAAgAAAAhADj9If/WAAAAlAEAAAsAAAAA&#10;AAAAAAAAAAAALwEAAF9yZWxzLy5yZWxzUEsBAi0AFAAGAAgAAAAhAGoXcTfJAQAAhwMAAA4AAAAA&#10;AAAAAAAAAAAALgIAAGRycy9lMm9Eb2MueG1sUEsBAi0AFAAGAAgAAAAhADijRBXfAAAACgEAAA8A&#10;AAAAAAAAAAAAAAAAIwQAAGRycy9kb3ducmV2LnhtbFBLBQYAAAAABAAEAPMAAAAvBQAAAAA=&#10;"/>
            </w:pict>
          </mc:Fallback>
        </mc:AlternateContent>
      </w:r>
    </w:p>
    <w:p w14:paraId="42BF60F2" w14:textId="299E8B27"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3600" behindDoc="0" locked="0" layoutInCell="1" allowOverlap="1" wp14:anchorId="55C2E58E" wp14:editId="2133A6E4">
                <wp:simplePos x="0" y="0"/>
                <wp:positionH relativeFrom="column">
                  <wp:posOffset>3448050</wp:posOffset>
                </wp:positionH>
                <wp:positionV relativeFrom="paragraph">
                  <wp:posOffset>13335</wp:posOffset>
                </wp:positionV>
                <wp:extent cx="571500" cy="0"/>
                <wp:effectExtent l="0" t="0" r="0" b="0"/>
                <wp:wrapNone/>
                <wp:docPr id="1237750576" name="رابط مستقيم 2"/>
                <wp:cNvGraphicFramePr/>
                <a:graphic xmlns:a="http://schemas.openxmlformats.org/drawingml/2006/main">
                  <a:graphicData uri="http://schemas.microsoft.com/office/word/2010/wordprocessingShape">
                    <wps:wsp>
                      <wps:cNvCnPr/>
                      <wps:spPr>
                        <a:xfrm>
                          <a:off x="0" y="0"/>
                          <a:ext cx="571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27ECE7D" id="رابط مستقيم 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05pt" to="31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l2vwEAAHkDAAAOAAAAZHJzL2Uyb0RvYy54bWysU8tu2zAQvBfIPxC815INuGkEyznESC5N&#10;GqDpB2z4kAjwBS5r2X+fJWU7aXsr6gO93OUOd4ajze3BWbZXCU3wPV8uWs6UF0EaP/T858v956+c&#10;YQYvwQaven5UyG+3V582U+zUKozBSpUYgXjsptjzMefYNQ2KUTnARYjKU1GH5CDTNg2NTDARurPN&#10;qm2/NFNIMqYgFCJld3ORbyu+1krk71qjysz2nGbLdU11fS1rs91ANySIoxGnMeAfpnBgPF16gdpB&#10;BvYrmb+gnBEpYNB5IYJrgtZGqMqB2CzbP9j8GCGqyoXEwXiRCf8frHja3/nnRDJMETuMz6mwOOjk&#10;yj/Nxw5VrONFLHXITFByfb1ctySpOJea976YMD+o4FgJem6NLzSgg/03zHQXHT0fKWkf7o219Sms&#10;Z1PPb9arNSEDGUJbyBS6KHuOfuAM7EBOEzlVRAzWyNJdcPCIdzaxPdBjk0dkmF5oWs4sYKYCUai/&#10;uXEEqeajN8Tj5ASE/BjknF625zyNO0PXyX+7stDYAY5zSy0VT1GH9WUkVT14Yv0ucYlegzxW5Zuy&#10;o/etbScvFgN93FP88YvZvgEAAP//AwBQSwMEFAAGAAgAAAAhAIWJt+zbAAAABwEAAA8AAABkcnMv&#10;ZG93bnJldi54bWxMj8FOwzAQRO9I/IO1SFwq6jSBCoVsKgTkxoUC4rqNlyQiXqex2wa+HrcXOD7N&#10;auZtsZpsr/Y8+s4JwmKegGKpnemkQXh7ra5uQflAYqh3wgjf7GFVnp8VlBt3kBfer0OjYon4nBDa&#10;EIZca1+3bMnP3cASs083WgoRx0abkQ6x3PY6TZKlttRJXGhp4IeW66/1ziL46p231c+sniUfWeM4&#10;3T4+PxHi5cV0fwcq8BT+juGoH9WhjE4btxPjVY9wc53FXwJCugAV82V25M2JdVno//7lLwAAAP//&#10;AwBQSwECLQAUAAYACAAAACEAtoM4kv4AAADhAQAAEwAAAAAAAAAAAAAAAAAAAAAAW0NvbnRlbnRf&#10;VHlwZXNdLnhtbFBLAQItABQABgAIAAAAIQA4/SH/1gAAAJQBAAALAAAAAAAAAAAAAAAAAC8BAABf&#10;cmVscy8ucmVsc1BLAQItABQABgAIAAAAIQBUqCl2vwEAAHkDAAAOAAAAAAAAAAAAAAAAAC4CAABk&#10;cnMvZTJvRG9jLnhtbFBLAQItABQABgAIAAAAIQCFibfs2wAAAAcBAAAPAAAAAAAAAAAAAAAAABkE&#10;AABkcnMvZG93bnJldi54bWxQSwUGAAAAAAQABADzAAAAIQUAAAAA&#10;"/>
            </w:pict>
          </mc:Fallback>
        </mc:AlternateContent>
      </w:r>
    </w:p>
    <w:p w14:paraId="42F700E6" w14:textId="150C694D"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3360" behindDoc="0" locked="0" layoutInCell="1" allowOverlap="1" wp14:anchorId="1D295E22" wp14:editId="172921BE">
                <wp:simplePos x="0" y="0"/>
                <wp:positionH relativeFrom="column">
                  <wp:posOffset>4190365</wp:posOffset>
                </wp:positionH>
                <wp:positionV relativeFrom="paragraph">
                  <wp:posOffset>83185</wp:posOffset>
                </wp:positionV>
                <wp:extent cx="1426845" cy="476885"/>
                <wp:effectExtent l="57150" t="38100" r="78105" b="94615"/>
                <wp:wrapNone/>
                <wp:docPr id="2045689436"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0BC69768" w14:textId="5837BC88" w:rsidR="00653970" w:rsidRPr="00653970" w:rsidRDefault="00653970" w:rsidP="00653970">
                            <w:pPr>
                              <w:ind w:left="360"/>
                              <w:rPr>
                                <w:rFonts w:cs="Sakkal Majalla"/>
                                <w:b/>
                                <w:bCs/>
                                <w:sz w:val="20"/>
                                <w:szCs w:val="20"/>
                              </w:rPr>
                            </w:pPr>
                            <w:r w:rsidRPr="00653970">
                              <w:rPr>
                                <w:rFonts w:cs="Sakkal Majalla"/>
                                <w:b/>
                                <w:bCs/>
                                <w:sz w:val="28"/>
                                <w:szCs w:val="28"/>
                                <w:rtl/>
                              </w:rPr>
                              <w:t>الدافعية الإلهامية</w:t>
                            </w:r>
                          </w:p>
                          <w:p w14:paraId="5CAB1785"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295E22" id="مستطيل: زوايا مستديرة 10" o:spid="_x0000_s1030" style="position:absolute;left:0;text-align:left;margin-left:329.95pt;margin-top:6.55pt;width:112.35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z+NSgIAANQEAAAOAAAAZHJzL2Uyb0RvYy54bWysVNuO0zAQfUfiHyy/07RV2i1R09WqCwhp&#10;uWgXPsD1pTHreIztNi1fv2OnDeUigRAvlu2ZMzPneMbL60NryF76oMHWdDIaUyItB6HttqafP71+&#10;saAkRGYFM2BlTY8y0OvV82fLzlVyCg0YIT3BIDZUnatpE6OriiLwRrYsjMBJi0YFvmURj35bCM86&#10;jN6aYjoez4sOvHAeuAwBb297I13l+EpJHj8oFWQkpqZYW8yrz+smrcVqyaqtZ67R/FQG+4cqWqYt&#10;Jh1C3bLIyM7rX0K1mnsIoOKIQ1uAUprLzAHZTMY/sXlomJOZC4oT3CBT+H9h+fv9g/voU+nB3QF/&#10;DMTCumF2K2+8h66RTGC6SRKq6FyoBkA6BISSTfcOBD4t20XIGhyUb1NAZEcOWerjILU8RMLxclJO&#10;54tyRglHW3k1XyxmOQWrzmjnQ3wjoSVpU1MPOyvu8T1zCra/CzHrLYhlbcouvlCiWoOvt2eGTObz&#10;+dUp4sm5YNU5ZkIam9bE75UVuQ0i06bfo2syZ8KJY2onZBuPRvbQe6mIFolHLie3q1wbTzA31sK5&#10;tLHXLEVC7wRT2pgBOP0z8OSfoDK38gD+i6wDImcGGwdwqy3432UXj+eSVe9/VqDnnSSIh80BieOT&#10;JW3TzQbEEZvAQz9a+BXgpgH/jZIOx6qm4euOeUmJeWuxkV5OyjLNYT6Us6spHvylZXNpYZZjqJpG&#10;SvrtOvazu3NebxvM1Cth4QabT+l47tK+qlP9ODq4+2E2L8/Z6/tntHoCAAD//wMAUEsDBBQABgAI&#10;AAAAIQAEoNh+3gAAAAkBAAAPAAAAZHJzL2Rvd25yZXYueG1sTI/LTsMwEEX3SPyDNUjsqNMHURri&#10;VAEJFkggCP0ANx7iQDyOYrcJf890BbsZ3aM7Z4rd7HpxwjF0nhQsFwkIpMabjloF+4/HmwxEiJqM&#10;7j2hgh8MsCsvLwqdGz/RO57q2AouoZBrBTbGIZcyNBadDgs/IHH26UenI69jK82oJy53vVwlSSqd&#10;7ogvWD3gg8Xmuz46BZvq+e3pdf01B+9t+jLv23q6r5S6vpqrOxAR5/gHw1mf1aFkp4M/kgmiV5De&#10;breMcrBegmAgyzYpiMN5WIEsC/n/g/IXAAD//wMAUEsBAi0AFAAGAAgAAAAhALaDOJL+AAAA4QEA&#10;ABMAAAAAAAAAAAAAAAAAAAAAAFtDb250ZW50X1R5cGVzXS54bWxQSwECLQAUAAYACAAAACEAOP0h&#10;/9YAAACUAQAACwAAAAAAAAAAAAAAAAAvAQAAX3JlbHMvLnJlbHNQSwECLQAUAAYACAAAACEAeu8/&#10;jUoCAADUBAAADgAAAAAAAAAAAAAAAAAuAgAAZHJzL2Uyb0RvYy54bWxQSwECLQAUAAYACAAAACEA&#10;BKDYft4AAAAJAQAADwAAAAAAAAAAAAAAAACkBAAAZHJzL2Rvd25yZXYueG1sUEsFBgAAAAAEAAQA&#10;8wAAAK8FAAAAAA==&#10;" fillcolor="#a7bfde [1620]" strokecolor="#4579b8 [3044]">
                <v:fill color2="#e4ecf5 [500]" rotate="t" angle="180" colors="0 #a3c4ff;22938f #bfd5ff;1 #e5eeff" focus="100%" type="gradient"/>
                <v:shadow on="t" color="black" opacity="24903f" origin=",.5" offset="0,.55556mm"/>
                <v:textbox>
                  <w:txbxContent>
                    <w:p w14:paraId="0BC69768" w14:textId="5837BC88" w:rsidR="00653970" w:rsidRPr="00653970" w:rsidRDefault="00653970" w:rsidP="00653970">
                      <w:pPr>
                        <w:ind w:left="360"/>
                        <w:rPr>
                          <w:rFonts w:cs="Sakkal Majalla"/>
                          <w:b/>
                          <w:bCs/>
                          <w:sz w:val="20"/>
                          <w:szCs w:val="20"/>
                        </w:rPr>
                      </w:pPr>
                      <w:r w:rsidRPr="00653970">
                        <w:rPr>
                          <w:rFonts w:cs="Sakkal Majalla"/>
                          <w:b/>
                          <w:bCs/>
                          <w:sz w:val="28"/>
                          <w:szCs w:val="28"/>
                          <w:rtl/>
                        </w:rPr>
                        <w:t>الدافعية الإلهامية</w:t>
                      </w:r>
                    </w:p>
                    <w:p w14:paraId="5CAB1785" w14:textId="77777777" w:rsidR="00653970" w:rsidRDefault="00653970" w:rsidP="00653970"/>
                  </w:txbxContent>
                </v:textbox>
              </v:roundrect>
            </w:pict>
          </mc:Fallback>
        </mc:AlternateContent>
      </w:r>
    </w:p>
    <w:p w14:paraId="18EA615B" w14:textId="1BB2E17E"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4624" behindDoc="0" locked="0" layoutInCell="1" allowOverlap="1" wp14:anchorId="2A678C0B" wp14:editId="5570C515">
                <wp:simplePos x="0" y="0"/>
                <wp:positionH relativeFrom="column">
                  <wp:posOffset>3419475</wp:posOffset>
                </wp:positionH>
                <wp:positionV relativeFrom="paragraph">
                  <wp:posOffset>120650</wp:posOffset>
                </wp:positionV>
                <wp:extent cx="638175" cy="0"/>
                <wp:effectExtent l="0" t="0" r="0" b="0"/>
                <wp:wrapNone/>
                <wp:docPr id="1389180906" name="رابط مستقيم 3"/>
                <wp:cNvGraphicFramePr/>
                <a:graphic xmlns:a="http://schemas.openxmlformats.org/drawingml/2006/main">
                  <a:graphicData uri="http://schemas.microsoft.com/office/word/2010/wordprocessingShape">
                    <wps:wsp>
                      <wps:cNvCnPr/>
                      <wps:spPr>
                        <a:xfrm>
                          <a:off x="0" y="0"/>
                          <a:ext cx="638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C25C735" id="رابط مستقيم 3"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269.25pt,9.5pt" to="31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fGJvwEAAHkDAAAOAAAAZHJzL2Uyb0RvYy54bWysU8tu2zAQvBfoPxC8x5Id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PLm+nb5ac2ZOJea176YMH9WwbES9NwaX2RAB/svmOkuOno+UtI+PBpr61NY&#10;z6ae361XBRloILSFTKGLsufoB87ADjRpIqeKiMEaWboLDh7xwSa2B3psmhEZpmdiy5kFzFQgCfU3&#10;N44g1Xz0bk3peRIQ8tcg5/SyPeeJ7gxdmf9xZZGxAxznlloqSNRhfaGk6gyeVL9aXKKXII/V+abs&#10;6H1r22kWywC93VP89ovZ/gYAAP//AwBQSwMEFAAGAAgAAAAhAFogsb3cAAAACQEAAA8AAABkcnMv&#10;ZG93bnJldi54bWxMj0FPwzAMhe9I/IfISFwmlrJq01aaTgjojQsDtKvXmLaicbom2wq/Hk8c4Gb7&#10;PT1/L1+PrlNHGkLr2cDtNAFFXHnbcm3g7bW8WYIKEdli55kMfFGAdXF5kWNm/Ylf6LiJtZIQDhka&#10;aGLsM61D1ZDDMPU9sWgffnAYZR1qbQc8Sbjr9CxJFtphy/KhwZ4eGqo+NwdnIJTvtC+/J9Uk2aa1&#10;p9n+8fkJjbm+Gu/vQEUa458ZzviCDoUw7fyBbVCdgXm6nItVhJV0EsMiPQ+734Mucv2/QfEDAAD/&#10;/wMAUEsBAi0AFAAGAAgAAAAhALaDOJL+AAAA4QEAABMAAAAAAAAAAAAAAAAAAAAAAFtDb250ZW50&#10;X1R5cGVzXS54bWxQSwECLQAUAAYACAAAACEAOP0h/9YAAACUAQAACwAAAAAAAAAAAAAAAAAvAQAA&#10;X3JlbHMvLnJlbHNQSwECLQAUAAYACAAAACEAtgXxib8BAAB5AwAADgAAAAAAAAAAAAAAAAAuAgAA&#10;ZHJzL2Uyb0RvYy54bWxQSwECLQAUAAYACAAAACEAWiCxvdwAAAAJAQAADwAAAAAAAAAAAAAAAAAZ&#10;BAAAZHJzL2Rvd25yZXYueG1sUEsFBgAAAAAEAAQA8wAAACIFAAAAAA==&#10;"/>
            </w:pict>
          </mc:Fallback>
        </mc:AlternateContent>
      </w:r>
    </w:p>
    <w:p w14:paraId="72A5A5D0" w14:textId="064EC770"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6432" behindDoc="0" locked="0" layoutInCell="1" allowOverlap="1" wp14:anchorId="6F15040A" wp14:editId="2C69CEDD">
                <wp:simplePos x="0" y="0"/>
                <wp:positionH relativeFrom="column">
                  <wp:posOffset>101600</wp:posOffset>
                </wp:positionH>
                <wp:positionV relativeFrom="paragraph">
                  <wp:posOffset>135890</wp:posOffset>
                </wp:positionV>
                <wp:extent cx="1422400" cy="525780"/>
                <wp:effectExtent l="57150" t="38100" r="82550" b="102870"/>
                <wp:wrapNone/>
                <wp:docPr id="1590916762"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279914" w14:textId="20C365D1" w:rsidR="00653970" w:rsidRPr="00E83A7B" w:rsidRDefault="00653970" w:rsidP="00653970">
                            <w:pPr>
                              <w:tabs>
                                <w:tab w:val="num" w:pos="720"/>
                              </w:tabs>
                              <w:ind w:left="360"/>
                            </w:pPr>
                            <w:r w:rsidRPr="00653970">
                              <w:rPr>
                                <w:rFonts w:cs="Sakkal Majalla"/>
                                <w:b/>
                                <w:bCs/>
                                <w:szCs w:val="28"/>
                                <w:rtl/>
                              </w:rPr>
                              <w:t>الأداء الوظيفي</w:t>
                            </w:r>
                            <w:r w:rsidRPr="00E83A7B">
                              <w:rPr>
                                <w:rFonts w:cs="Sakkal Majalla"/>
                                <w:b/>
                                <w:bCs/>
                                <w:sz w:val="32"/>
                                <w:szCs w:val="32"/>
                                <w:rtl/>
                              </w:rPr>
                              <w:t xml:space="preserve"> </w:t>
                            </w:r>
                          </w:p>
                          <w:p w14:paraId="75288B2D"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15040A" id="مستطيل: زوايا مستديرة 12" o:spid="_x0000_s1031" style="position:absolute;left:0;text-align:left;margin-left:8pt;margin-top:10.7pt;width:112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s8eSwIAANQEAAAOAAAAZHJzL2Uyb0RvYy54bWysVNuO0zAQfUfiHyy/07RRL0vUdLXqAkJa&#10;LtqFD3B9acw6HmO7TcvX79hpQ7lIIMSLZWfmzMw5M5Pl9aE1ZC990GBrOhmNKZGWg9B2W9PPn16/&#10;uKIkRGYFM2BlTY8y0OvV82fLzlWyhAaMkJ5gEBuqztW0idFVRRF4I1sWRuCkRaMC37KIT78thGcd&#10;Rm9NUY7H86IDL5wHLkPAr7e9ka5yfKUkjx+UCjISU1OsLebT53OTzmK1ZNXWM9dofiqD/UMVLdMW&#10;kw6hbllkZOf1L6FazT0EUHHEoS1AKc1l5oBsJuOf2Dw0zMnMBcUJbpAp/L+w/P3+wX30qfTg7oA/&#10;BmJh3TC7lTfeQ9dIJjDdJAlVdC5UAyA9AkLJpnsHAlvLdhGyBgfl2xQQ2ZFDlvo4SC0PkXD8OJmW&#10;5XSMHeFom5WzxVXuRcGqM9r5EN9IaEm61NTDzop77GdOwfZ3IWa9BbGsTdnFF0pUa7B7e2bIZD6f&#10;L3LRrDo5Y+xzzIQ0Np2J3ysr8hhEpk1/R9dkzoQTxzROyDYejeyh91IRLRKPXE4eV7k2nmBurIVz&#10;aWOvWYqE3gmmtDEDsPwz8OSfoDKP8gD+i6wDImcGGwdwqy3432UXj+eSVe9/VqDnnSSIh80BiWPL&#10;krbpywbEEYfAQ79a+CvASwP+GyUdrlVNw9cd85IS89biIL2cTKdpD/NjOluU+PCXls2lhVmOoWoa&#10;Kemv69jv7s55vW0wU6+EhRscPqXjeUr7qk714+rg7YfdvHxnr+8/o9UTAAAA//8DAFBLAwQUAAYA&#10;CAAAACEAC+t55NwAAAAJAQAADwAAAGRycy9kb3ducmV2LnhtbEyPwU7DMBBE70j8g7VI3KjdEEUo&#10;xKkCEhyQQBD6AW68xIF4HcVuE/6e5QTH2Teanal2qx/FCec4BNKw3SgQSF2wA/Ua9u8PVzcgYjJk&#10;zRgINXxjhF19flaZ0oaF3vDUpl5wCMXSaHApTaWUsXPoTdyECYnZR5i9SSznXtrZLBzuR5kpVUhv&#10;BuIPzkx477D7ao9eQ948vT6+XH+uMQRXPK/7vl3uGq0vL9bmFkTCNf2Z4bc+V4eaOx3CkWwUI+uC&#10;pyQN2TYHwTzLFR8ODFSegawr+X9B/QMAAP//AwBQSwECLQAUAAYACAAAACEAtoM4kv4AAADhAQAA&#10;EwAAAAAAAAAAAAAAAAAAAAAAW0NvbnRlbnRfVHlwZXNdLnhtbFBLAQItABQABgAIAAAAIQA4/SH/&#10;1gAAAJQBAAALAAAAAAAAAAAAAAAAAC8BAABfcmVscy8ucmVsc1BLAQItABQABgAIAAAAIQAGns8e&#10;SwIAANQEAAAOAAAAAAAAAAAAAAAAAC4CAABkcnMvZTJvRG9jLnhtbFBLAQItABQABgAIAAAAIQAL&#10;63nk3AAAAAkBAAAPAAAAAAAAAAAAAAAAAKUEAABkcnMvZG93bnJldi54bWxQSwUGAAAAAAQABADz&#10;AAAArgUAAAAA&#10;" fillcolor="#a7bfde [1620]" strokecolor="#4579b8 [3044]">
                <v:fill color2="#e4ecf5 [500]" rotate="t" angle="180" colors="0 #a3c4ff;22938f #bfd5ff;1 #e5eeff" focus="100%" type="gradient"/>
                <v:shadow on="t" color="black" opacity="24903f" origin=",.5" offset="0,.55556mm"/>
                <v:textbox>
                  <w:txbxContent>
                    <w:p w14:paraId="67279914" w14:textId="20C365D1" w:rsidR="00653970" w:rsidRPr="00E83A7B" w:rsidRDefault="00653970" w:rsidP="00653970">
                      <w:pPr>
                        <w:tabs>
                          <w:tab w:val="num" w:pos="720"/>
                        </w:tabs>
                        <w:ind w:left="360"/>
                      </w:pPr>
                      <w:r w:rsidRPr="00653970">
                        <w:rPr>
                          <w:rFonts w:cs="Sakkal Majalla"/>
                          <w:b/>
                          <w:bCs/>
                          <w:szCs w:val="28"/>
                          <w:rtl/>
                        </w:rPr>
                        <w:t>الأداء الوظيفي</w:t>
                      </w:r>
                      <w:r w:rsidRPr="00E83A7B">
                        <w:rPr>
                          <w:rFonts w:cs="Sakkal Majalla"/>
                          <w:b/>
                          <w:bCs/>
                          <w:sz w:val="32"/>
                          <w:szCs w:val="32"/>
                          <w:rtl/>
                        </w:rPr>
                        <w:t xml:space="preserve"> </w:t>
                      </w:r>
                    </w:p>
                    <w:p w14:paraId="75288B2D" w14:textId="77777777" w:rsidR="00653970" w:rsidRDefault="00653970" w:rsidP="00653970"/>
                  </w:txbxContent>
                </v:textbox>
              </v:roundrect>
            </w:pict>
          </mc:Fallback>
        </mc:AlternateContent>
      </w:r>
    </w:p>
    <w:p w14:paraId="57D720E2" w14:textId="1A28087E"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9744" behindDoc="0" locked="0" layoutInCell="1" allowOverlap="1" wp14:anchorId="219ECFE9" wp14:editId="7DCD00B3">
                <wp:simplePos x="0" y="0"/>
                <wp:positionH relativeFrom="column">
                  <wp:posOffset>-572770</wp:posOffset>
                </wp:positionH>
                <wp:positionV relativeFrom="paragraph">
                  <wp:posOffset>219710</wp:posOffset>
                </wp:positionV>
                <wp:extent cx="0" cy="2065020"/>
                <wp:effectExtent l="0" t="0" r="38100" b="11430"/>
                <wp:wrapNone/>
                <wp:docPr id="289317753" name="رابط مستقيم 10"/>
                <wp:cNvGraphicFramePr/>
                <a:graphic xmlns:a="http://schemas.openxmlformats.org/drawingml/2006/main">
                  <a:graphicData uri="http://schemas.microsoft.com/office/word/2010/wordprocessingShape">
                    <wps:wsp>
                      <wps:cNvCnPr/>
                      <wps:spPr>
                        <a:xfrm flipV="1">
                          <a:off x="0" y="0"/>
                          <a:ext cx="0" cy="206502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DECCAA9" id="رابط مستقيم 10" o:spid="_x0000_s1026" style="position:absolute;left:0;text-align:lef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pt,17.3pt" to="-45.1pt,1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bzMxwEAAIQDAAAOAAAAZHJzL2Uyb0RvYy54bWysU8lu2zAQvRfoPxC815IFOEgEyznESC9t&#10;EqBp7xMuEgFu4LCW/fcZUo6btreiOhCzcB7fmxltb4/OsoNKaIIf+HrVcqa8CNL4ceDfn+8/XXOG&#10;GbwEG7wa+Ekhv919/LCdY6+6MAUrVWIE4rGf48CnnGPfNCgm5QBXISpPSR2Sg0xuGhuZYCZ0Z5uu&#10;ba+aOSQZUxAKkaL7Jcl3FV9rJfKj1qgyswMnbrmeqZ4v5Wx2W+jHBHEy4kwD/oGFA+Pp0QvUHjKw&#10;n8n8BeWMSAGDzisRXBO0NkJVDaRm3f6h5tsEUVUt1ByMlzbh/4MVD4c7/5SoDXPEHuNTKiqOOjmm&#10;rYk/aKZVFzFlx9q206Vt6piZWIKCol17tWm72tJmgShQMWH+rIJjxRi4Nb4ogh4OXzDTs3T17UoJ&#10;+3BvrK1TsZ7NA7/ZdBvOBNBuaAuZTBflwNGPnIEdaelEThURgzWyVBccPOGdTewANHdaFxnmZ6LL&#10;mQXMlCAN9VsKJ5BquXqzofCyFAj5a5BLeN2+xYnuAl2Z//ZkkbEHnJaSmipIVGF9oaTqOp5V/+p2&#10;sV6CPNUhNMWjUdey81qWXXrvk/3+59m9AgAA//8DAFBLAwQUAAYACAAAACEARunh/N0AAAAKAQAA&#10;DwAAAGRycy9kb3ducmV2LnhtbEyPwU7DMAyG70i8Q2QkbltCB9Namk4TAi6TkBiFc9qYtqJxqibr&#10;ytvPiAMc/fvT78/5dna9mHAMnScNN0sFAqn2tqNGQ/n2tNiACNGQNb0n1PCNAbbF5UVuMutP9IrT&#10;ITaCSyhkRkMb45BJGeoWnQlLPyDx7tOPzkQex0ba0Zy43PUyUWotnemIL7RmwIcW66/D0WnYfewf&#10;Vy9T5Xxv06Z8t65Uz4nW11fz7h5ExDn+wfCjz+pQsFPlj2SD6DUsUpUwqmF1uwbBwG9QcXCXbkAW&#10;ufz/QnEGAAD//wMAUEsBAi0AFAAGAAgAAAAhALaDOJL+AAAA4QEAABMAAAAAAAAAAAAAAAAAAAAA&#10;AFtDb250ZW50X1R5cGVzXS54bWxQSwECLQAUAAYACAAAACEAOP0h/9YAAACUAQAACwAAAAAAAAAA&#10;AAAAAAAvAQAAX3JlbHMvLnJlbHNQSwECLQAUAAYACAAAACEAXn28zMcBAACEAwAADgAAAAAAAAAA&#10;AAAAAAAuAgAAZHJzL2Uyb0RvYy54bWxQSwECLQAUAAYACAAAACEARunh/N0AAAAKAQAADwAAAAAA&#10;AAAAAAAAAAAhBAAAZHJzL2Rvd25yZXYueG1sUEsFBgAAAAAEAAQA8wAAACsFAAAAAA==&#10;"/>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2816" behindDoc="0" locked="0" layoutInCell="1" allowOverlap="1" wp14:anchorId="18A35444" wp14:editId="7E8A74C9">
                <wp:simplePos x="0" y="0"/>
                <wp:positionH relativeFrom="column">
                  <wp:posOffset>-556260</wp:posOffset>
                </wp:positionH>
                <wp:positionV relativeFrom="paragraph">
                  <wp:posOffset>217170</wp:posOffset>
                </wp:positionV>
                <wp:extent cx="558800" cy="0"/>
                <wp:effectExtent l="0" t="76200" r="12700" b="95250"/>
                <wp:wrapNone/>
                <wp:docPr id="1880759016" name="رابط كسهم مستقيم 13"/>
                <wp:cNvGraphicFramePr/>
                <a:graphic xmlns:a="http://schemas.openxmlformats.org/drawingml/2006/main">
                  <a:graphicData uri="http://schemas.microsoft.com/office/word/2010/wordprocessingShape">
                    <wps:wsp>
                      <wps:cNvCnPr/>
                      <wps:spPr>
                        <a:xfrm>
                          <a:off x="0" y="0"/>
                          <a:ext cx="55880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0C7B6474" id="_x0000_t32" coordsize="21600,21600" o:spt="32" o:oned="t" path="m,l21600,21600e" filled="f">
                <v:path arrowok="t" fillok="f" o:connecttype="none"/>
                <o:lock v:ext="edit" shapetype="t"/>
              </v:shapetype>
              <v:shape id="رابط كسهم مستقيم 13" o:spid="_x0000_s1026" type="#_x0000_t32" style="position:absolute;left:0;text-align:left;margin-left:-43.8pt;margin-top:17.1pt;width:4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hF2QEAAKMDAAAOAAAAZHJzL2Uyb0RvYy54bWysU01v2zAMvQ/YfxB0X+wEyJAacXpI1l32&#10;UWDtD2Al2RYgi4Koxcm/HyUnabfdhvkgU6T5SD4+b+9PoxNHE8mib+VyUUthvEJtfd/K56eHDxsp&#10;KIHX4NCbVp4Nyfvd+3fbKTRmhQM6baJgEE/NFFo5pBSaqiI1mBFogcF4DnYYR0h8jX2lI0yMPrpq&#10;VdcfqwmjDhGVIWLvYQ7KXcHvOqPS964jk4RrJfeWyhnL+ZLPareFpo8QBqsubcA/dDGC9Vz0BnWA&#10;BOJntH9BjVZFJOzSQuFYYddZZcoMPM2y/mOaHwMEU2ZhcijcaKL/B6u+Hff+MTINU6CGwmPMU5y6&#10;OOY39ydOhazzjSxzSkKxc73ebGqmVF1D1WteiJQ+GxxFNlpJKYLth7RH73kjGJeFKzh+ocSVOfGa&#10;kIt6fLDOlcU4L6ZW3q1Xa64DLI/OQWJzDJpRfS8FuJ51p1IsiITO6pydcehMexfFEXj1rBiN0xP3&#10;LoUDShzggcozJw6gzfzp3Zrdsy4I0lfUs3tZX/3c7gxdOv+tZB7jADTMKSU0IyWw7pPXIp0D/wQp&#10;WvC9MznGaM7ndk1R64WR12Vk6wX1ueyoyjdWQkm7qDZL7e2d7bf/1u4XAAAA//8DAFBLAwQUAAYA&#10;CAAAACEApqa3ItwAAAAGAQAADwAAAGRycy9kb3ducmV2LnhtbEyOwU7DMBBE70j8g7VI3FqHUoUS&#10;4lRAhcgFJFqEOLrxElvE6yh225SvZxEHOI7maeaVy9F3Yo9DdIEUXEwzEEhNMI5aBa+bh8kCREya&#10;jO4CoYIjRlhWpyelLkw40Avu16kVPEKx0ApsSn0hZWwseh2noUfi7iMMXieOQyvNoA887js5y7Jc&#10;eu2IH6zu8d5i87neeQVp9X60+Vtzd+2eN49Pufuq63ql1PnZeHsDIuGY/mD40Wd1qNhpG3ZkougU&#10;TBZXOaMKLuczEAzMQWx/k6xK+V+/+gYAAP//AwBQSwECLQAUAAYACAAAACEAtoM4kv4AAADhAQAA&#10;EwAAAAAAAAAAAAAAAAAAAAAAW0NvbnRlbnRfVHlwZXNdLnhtbFBLAQItABQABgAIAAAAIQA4/SH/&#10;1gAAAJQBAAALAAAAAAAAAAAAAAAAAC8BAABfcmVscy8ucmVsc1BLAQItABQABgAIAAAAIQCPCOhF&#10;2QEAAKMDAAAOAAAAAAAAAAAAAAAAAC4CAABkcnMvZTJvRG9jLnhtbFBLAQItABQABgAIAAAAIQCm&#10;prci3AAAAAYBAAAPAAAAAAAAAAAAAAAAADMEAABkcnMvZG93bnJldi54bWxQSwUGAAAAAAQABADz&#10;AAAAPAU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4864" behindDoc="0" locked="0" layoutInCell="1" allowOverlap="1" wp14:anchorId="45B7EC26" wp14:editId="3BEB55A8">
                <wp:simplePos x="0" y="0"/>
                <wp:positionH relativeFrom="column">
                  <wp:posOffset>1641475</wp:posOffset>
                </wp:positionH>
                <wp:positionV relativeFrom="paragraph">
                  <wp:posOffset>5715</wp:posOffset>
                </wp:positionV>
                <wp:extent cx="1769745" cy="45085"/>
                <wp:effectExtent l="38100" t="57150" r="1905" b="107315"/>
                <wp:wrapNone/>
                <wp:docPr id="385453866" name="رابط كسهم مستقيم 16"/>
                <wp:cNvGraphicFramePr/>
                <a:graphic xmlns:a="http://schemas.openxmlformats.org/drawingml/2006/main">
                  <a:graphicData uri="http://schemas.microsoft.com/office/word/2010/wordprocessingShape">
                    <wps:wsp>
                      <wps:cNvCnPr/>
                      <wps:spPr>
                        <a:xfrm flipH="1">
                          <a:off x="0" y="0"/>
                          <a:ext cx="1769745" cy="45085"/>
                        </a:xfrm>
                        <a:prstGeom prst="straightConnector1">
                          <a:avLst/>
                        </a:prstGeom>
                        <a:noFill/>
                        <a:ln w="3810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608549" id="رابط كسهم مستقيم 16" o:spid="_x0000_s1026" type="#_x0000_t32" style="position:absolute;left:0;text-align:left;margin-left:129.25pt;margin-top:.45pt;width:139.35pt;height:3.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f5wEAALMDAAAOAAAAZHJzL2Uyb0RvYy54bWysU01v2zAMvQ/YfxB0X+x0TZsGcXpI1u2w&#10;rQXW/QBWH7YAWRJELU7+/SgpzbrtVtQHgSLNRz7yaX17GC3bq4jGu47PZy1nygkvjes7/vPx7sOS&#10;M0zgJFjvVMePCvnt5v279RRW6sIP3koVGYE4XE2h40NKYdU0KAY1As58UI6C2scREl1j38gIE6GP&#10;trlo26tm8lGG6IVCJO+uBvmm4GutRLrXGlVituPUWypnLOdTPpvNGlZ9hDAYcWoDXtHFCMZR0TPU&#10;DhKwX9H8BzUaET16nWbCj43X2ghVOBCbefsPmx8DBFW40HAwnMeEbwcrvu+37iHSGKaAKwwPMbM4&#10;6DgybU34QjstvKhTdihjO57Hpg6JCXLOr69uri8XnAmKXS7a5SKPtakwGS5ETJ+VH1k2Oo4pgumH&#10;tPXO0YJ8rCVg/xVTTXxOyMnO3xlry56sY1PHPy7nLa1SAMlFW0hkjkESrOs5A9uTDkWKpWv01sic&#10;noHwiFsb2R5ICqQg6adHYsCZBUwUIFrlq4kDSFV/vVmQu+oEIX3zsrrn7bOfiFbowvmvkpnHDnCo&#10;KSVUkRIY+8lJlo6BHkWKBlxv1Wls1uV2VVHvaSR/lpOtJy+PZWdNvpEySuWTirP0Xt7JfvnWNr8B&#10;AAD//wMAUEsDBBQABgAIAAAAIQCl1j1C3AAAAAYBAAAPAAAAZHJzL2Rvd25yZXYueG1sTI5NS8Qw&#10;FEX3gv8hPMGNOKkt1U5tOqjgxlmIM8Js0+bZlkleSpJ++O+NK11e7uXcU+1Wo9mMzg+WBNxtEmBI&#10;rVUDdQI+j6+3BTAfJCmpLaGAb/Swqy8vKlkqu9AHzofQsQghX0oBfQhjyblvezTSb+yIFLsv64wM&#10;MbqOKyeXCDeap0lyz40cKD70csSXHtvzYTIC9Gk/Z/5dPWc3+/N0pMa9LWkjxPXV+vQILOAa/sbw&#10;qx/VoY5OjZ1IeaYFpHmRx6mALbBY59lDCqwRUCTA64r/169/AAAA//8DAFBLAQItABQABgAIAAAA&#10;IQC2gziS/gAAAOEBAAATAAAAAAAAAAAAAAAAAAAAAABbQ29udGVudF9UeXBlc10ueG1sUEsBAi0A&#10;FAAGAAgAAAAhADj9If/WAAAAlAEAAAsAAAAAAAAAAAAAAAAALwEAAF9yZWxzLy5yZWxzUEsBAi0A&#10;FAAGAAgAAAAhAI/7dB/nAQAAswMAAA4AAAAAAAAAAAAAAAAALgIAAGRycy9lMm9Eb2MueG1sUEsB&#10;Ai0AFAAGAAgAAAAhAKXWPULcAAAABgEAAA8AAAAAAAAAAAAAAAAAQQQAAGRycy9kb3ducmV2Lnht&#10;bFBLBQYAAAAABAAEAPMAAABKBQAAAAA=&#10;" strokeweight="3pt">
                <v:stroke endarrow="block"/>
              </v:shape>
            </w:pict>
          </mc:Fallback>
        </mc:AlternateContent>
      </w:r>
      <w:r w:rsidRPr="00397A68">
        <w:rPr>
          <w:rFonts w:ascii="Calibri" w:eastAsia="Calibri" w:hAnsi="Calibri" w:cs="Arial"/>
          <w:noProof/>
          <w:rtl/>
        </w:rPr>
        <mc:AlternateContent>
          <mc:Choice Requires="wps">
            <w:drawing>
              <wp:anchor distT="0" distB="0" distL="114300" distR="114300" simplePos="0" relativeHeight="251665408" behindDoc="0" locked="0" layoutInCell="1" allowOverlap="1" wp14:anchorId="4E41DE6E" wp14:editId="4535D7C7">
                <wp:simplePos x="0" y="0"/>
                <wp:positionH relativeFrom="column">
                  <wp:posOffset>4210050</wp:posOffset>
                </wp:positionH>
                <wp:positionV relativeFrom="paragraph">
                  <wp:posOffset>57150</wp:posOffset>
                </wp:positionV>
                <wp:extent cx="1350645" cy="476885"/>
                <wp:effectExtent l="57150" t="38100" r="78105" b="94615"/>
                <wp:wrapNone/>
                <wp:docPr id="1387119883"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476885"/>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161471DB" w14:textId="716DB7D3" w:rsidR="00653970" w:rsidRPr="009450BA" w:rsidRDefault="00653970" w:rsidP="00653970">
                            <w:pPr>
                              <w:ind w:left="360"/>
                              <w:rPr>
                                <w:rFonts w:cs="Sakkal Majalla"/>
                                <w:b/>
                                <w:bCs/>
                              </w:rPr>
                            </w:pPr>
                            <w:r w:rsidRPr="00653970">
                              <w:rPr>
                                <w:rFonts w:cs="Sakkal Majalla"/>
                                <w:b/>
                                <w:bCs/>
                                <w:szCs w:val="28"/>
                                <w:rtl/>
                              </w:rPr>
                              <w:t>الاستثارة الفكرية</w:t>
                            </w:r>
                          </w:p>
                          <w:p w14:paraId="29609003" w14:textId="77777777" w:rsidR="00653970" w:rsidRDefault="00653970" w:rsidP="006539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1DE6E" id="مستطيل: زوايا مستديرة 7" o:spid="_x0000_s1032" style="position:absolute;left:0;text-align:left;margin-left:331.5pt;margin-top:4.5pt;width:106.35pt;height:3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3kSgIAANQEAAAOAAAAZHJzL2Uyb0RvYy54bWysVNuO0zAQfUfiHyy/07SlzZao6WrVBYS0&#10;XLQLH+D60ph1PMZ2m5avZ+y0oVwkEOLFsj1zZuYcz3h5fWgN2UsfNNiaTkZjSqTlILTd1vTTx1fP&#10;FpSEyKxgBqys6VEGer16+mTZuUpOoQEjpCcYxIaqczVtYnRVUQTeyJaFEThp0ajAtyzi0W8L4VmH&#10;0VtTTMfjsujAC+eByxDw9rY30lWOr5Tk8b1SQUZiaoq1xbz6vG7SWqyWrNp65hrNT2Wwf6iiZdpi&#10;0iHULYuM7Lz+JVSruYcAKo44tAUopbnMHJDNZPwTm4eGOZm5oDjBDTKF/xeWv9s/uA8+lR7cHfDH&#10;QCysG2a38sZ76BrJBKabJKGKzoVqAKRDQCjZdG9B4NOyXYSswUH5NgVEduSQpT4OUstDJBwvJ8/n&#10;43I2p4SjbXZVLhbznIJVZ7TzIb6W0JK0qamHnRX3+J45BdvfhZj1FsSyNmUXnylRrcHX2zNDJmVZ&#10;Xp0inpwLVp1jJqSxaU38XlqR2yAybfo9uiZzJpw4pnZCtvFoZA+9l4pokXjkcnK7yrXxBHNjLZxL&#10;G3vNUiT0TjCljRmA0z8DT/4JKnMrD+C/yDogcmawcQC32oL/XXbxeC5Z9f5nBXreSYJ42ByQeE3L&#10;pG262YA4YhN46EcLvwLcNOC/UtLhWNU0fNkxLykxbyw20ovJbJbmMB9m86spHvylZXNpYZZjqJpG&#10;SvrtOvazu3NebxvM1Cth4QabT+l47tK+qlP9ODq4+2E2L8/Z6/tntPoGAAD//wMAUEsDBBQABgAI&#10;AAAAIQD40B0C3wAAAAgBAAAPAAAAZHJzL2Rvd25yZXYueG1sTI/BTsMwEETvSPyDtUjcqFNa0jbE&#10;qQISHJCKIO0HuPESB+J1FLtN+HuWE5x2VzOafZNvJ9eJMw6h9aRgPktAINXetNQoOOyfbtYgQtRk&#10;dOcJFXxjgG1xeZHrzPiR3vFcxUZwCIVMK7Ax9pmUobbodJj5Hom1Dz84HfkcGmkGPXK46+RtkqTS&#10;6Zb4g9U9Plqsv6qTU7AsX96eXxefU/Deprvp0FTjQ6nU9dVU3oOIOMU/M/ziMzoUzHT0JzJBdArS&#10;dMFdooIND9bXq7sViCMvyznIIpf/CxQ/AAAA//8DAFBLAQItABQABgAIAAAAIQC2gziS/gAAAOEB&#10;AAATAAAAAAAAAAAAAAAAAAAAAABbQ29udGVudF9UeXBlc10ueG1sUEsBAi0AFAAGAAgAAAAhADj9&#10;If/WAAAAlAEAAAsAAAAAAAAAAAAAAAAALwEAAF9yZWxzLy5yZWxzUEsBAi0AFAAGAAgAAAAhAICs&#10;veRKAgAA1AQAAA4AAAAAAAAAAAAAAAAALgIAAGRycy9lMm9Eb2MueG1sUEsBAi0AFAAGAAgAAAAh&#10;APjQHQLfAAAACAEAAA8AAAAAAAAAAAAAAAAApAQAAGRycy9kb3ducmV2LnhtbFBLBQYAAAAABAAE&#10;APMAAACwBQAAAAA=&#10;" fillcolor="#a7bfde [1620]" strokecolor="#4579b8 [3044]">
                <v:fill color2="#e4ecf5 [500]" rotate="t" angle="180" colors="0 #a3c4ff;22938f #bfd5ff;1 #e5eeff" focus="100%" type="gradient"/>
                <v:shadow on="t" color="black" opacity="24903f" origin=",.5" offset="0,.55556mm"/>
                <v:textbox>
                  <w:txbxContent>
                    <w:p w14:paraId="161471DB" w14:textId="716DB7D3" w:rsidR="00653970" w:rsidRPr="009450BA" w:rsidRDefault="00653970" w:rsidP="00653970">
                      <w:pPr>
                        <w:ind w:left="360"/>
                        <w:rPr>
                          <w:rFonts w:cs="Sakkal Majalla"/>
                          <w:b/>
                          <w:bCs/>
                        </w:rPr>
                      </w:pPr>
                      <w:r w:rsidRPr="00653970">
                        <w:rPr>
                          <w:rFonts w:cs="Sakkal Majalla"/>
                          <w:b/>
                          <w:bCs/>
                          <w:szCs w:val="28"/>
                          <w:rtl/>
                        </w:rPr>
                        <w:t>الاستثارة الفكرية</w:t>
                      </w:r>
                    </w:p>
                    <w:p w14:paraId="29609003" w14:textId="77777777" w:rsidR="00653970" w:rsidRDefault="00653970" w:rsidP="00653970"/>
                  </w:txbxContent>
                </v:textbox>
              </v:roundrect>
            </w:pict>
          </mc:Fallback>
        </mc:AlternateContent>
      </w:r>
    </w:p>
    <w:p w14:paraId="731575E9" w14:textId="092D2455" w:rsidR="00653970" w:rsidRPr="00397A68" w:rsidRDefault="00653970" w:rsidP="00653970">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734C498F" wp14:editId="50AEE763">
                <wp:simplePos x="0" y="0"/>
                <wp:positionH relativeFrom="column">
                  <wp:posOffset>3419475</wp:posOffset>
                </wp:positionH>
                <wp:positionV relativeFrom="paragraph">
                  <wp:posOffset>15875</wp:posOffset>
                </wp:positionV>
                <wp:extent cx="657225" cy="9525"/>
                <wp:effectExtent l="0" t="0" r="28575" b="28575"/>
                <wp:wrapNone/>
                <wp:docPr id="552112289" name="رابط مستقيم 4"/>
                <wp:cNvGraphicFramePr/>
                <a:graphic xmlns:a="http://schemas.openxmlformats.org/drawingml/2006/main">
                  <a:graphicData uri="http://schemas.microsoft.com/office/word/2010/wordprocessingShape">
                    <wps:wsp>
                      <wps:cNvCnPr/>
                      <wps:spPr>
                        <a:xfrm>
                          <a:off x="0" y="0"/>
                          <a:ext cx="657225" cy="952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0D0A072" id="رابط مستقيم 4"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269.25pt,1.25pt" to="3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GFvgEAAHwDAAAOAAAAZHJzL2Uyb0RvYy54bWysU8tu2zAQvBfIPxC8x5INOG0EyznESC99&#10;BGjyARs+JAJ8gcta9t93SSlO2t6K+kAvd7nDneFod3dylh1VQhN8z9erljPlRZDGDz1/fnq4/sQZ&#10;ZvASbPCq52eF/G5/9WE3xU5twhisVIkRiMduij0fc45d06AYlQNchag8FXVIDjJt09DIBBOhO9ts&#10;2vammUKSMQWhECl7mIt8X/G1ViJ/1xpVZrbnNFuua6rrS1mb/Q66IUEcjVjGgH+YwoHxdOkF6gAZ&#10;2M9k/oJyRqSAQeeVCK4JWhuhKgdis27/YPNjhKgqFxIH40Um/H+w4tvx3j8mkmGK2GF8TIXFSSdX&#10;/mk+dqpinS9iqVNmgpI324+bzZYzQaXbLUWE0by1xoT5swqOlaDn1vjCBDo4fsE8H309UtI+PBhr&#10;62tYz6YFkgkgT2gLme5xUfYc/cAZ2IHMJnKqiBiskaW74OAZ721iR6D3JpvIMD3RwJxZwEwFYlF/&#10;c+MIUs1Hb7eUns2AkL8GOafX7WuemM3QleRvVxYaB8BxbqmlRQvry0iq2nBh/aZyiV6CPFfxm7Kj&#10;J67oix2Lh97vKX7/0ex/AQAA//8DAFBLAwQUAAYACAAAACEAFb3FX90AAAAHAQAADwAAAGRycy9k&#10;b3ducmV2LnhtbEyPzU7DMBCE70i8g7VIXKrWIf1RFbKpEJAbFwqoVzdekoh4ncZuG3h6llM5jVYz&#10;mvk234yuUycaQusZ4W6WgCKuvG25Rnh/K6drUCEatqbzTAjfFGBTXF/lJrP+zK902sZaSQmHzCA0&#10;MfaZ1qFqyJkw8z2xeJ9+cCbKOdTaDuYs5a7TaZKstDMty0JjenpsqPraHh1CKD/oUP5Mqkmym9ee&#10;0sPTy7NBvL0ZH+5BRRrjJQx/+IIOhTDt/ZFtUB3Ccr5eShQhFRF/tUjltz3CIgFd5Po/f/ELAAD/&#10;/wMAUEsBAi0AFAAGAAgAAAAhALaDOJL+AAAA4QEAABMAAAAAAAAAAAAAAAAAAAAAAFtDb250ZW50&#10;X1R5cGVzXS54bWxQSwECLQAUAAYACAAAACEAOP0h/9YAAACUAQAACwAAAAAAAAAAAAAAAAAvAQAA&#10;X3JlbHMvLnJlbHNQSwECLQAUAAYACAAAACEAYt7Bhb4BAAB8AwAADgAAAAAAAAAAAAAAAAAuAgAA&#10;ZHJzL2Uyb0RvYy54bWxQSwECLQAUAAYACAAAACEAFb3FX90AAAAHAQAADwAAAAAAAAAAAAAAAAAY&#10;BAAAZHJzL2Rvd25yZXYueG1sUEsFBgAAAAAEAAQA8wAAACIFAAAAAA==&#10;"/>
            </w:pict>
          </mc:Fallback>
        </mc:AlternateContent>
      </w:r>
    </w:p>
    <w:p w14:paraId="1959567F" w14:textId="77777777" w:rsidR="00653970" w:rsidRPr="00397A68" w:rsidRDefault="00653970" w:rsidP="00653970">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0528" behindDoc="0" locked="0" layoutInCell="1" allowOverlap="1" wp14:anchorId="60EFA54B" wp14:editId="5BFB23DD">
                <wp:simplePos x="0" y="0"/>
                <wp:positionH relativeFrom="column">
                  <wp:posOffset>4238625</wp:posOffset>
                </wp:positionH>
                <wp:positionV relativeFrom="paragraph">
                  <wp:posOffset>227965</wp:posOffset>
                </wp:positionV>
                <wp:extent cx="1293495" cy="419100"/>
                <wp:effectExtent l="57150" t="38100" r="78105" b="95250"/>
                <wp:wrapNone/>
                <wp:docPr id="61240050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2D9C2FD3" w14:textId="38873022" w:rsidR="00653970" w:rsidRPr="00292A1D" w:rsidRDefault="00653970" w:rsidP="00653970">
                            <w:pPr>
                              <w:jc w:val="center"/>
                              <w:rPr>
                                <w:rFonts w:cs="Sakkal Majalla"/>
                                <w:b/>
                                <w:bCs/>
                                <w:szCs w:val="28"/>
                              </w:rPr>
                            </w:pPr>
                            <w:r w:rsidRPr="00653970">
                              <w:rPr>
                                <w:rFonts w:ascii="Sakkal Majalla" w:hAnsi="Sakkal Majalla" w:cs="Sakkal Majalla"/>
                                <w:b/>
                                <w:bCs/>
                                <w:sz w:val="28"/>
                                <w:szCs w:val="28"/>
                                <w:rtl/>
                              </w:rPr>
                              <w:t>الاعتبار الفردي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EFA54B" id="مستطيل: زوايا مستديرة 4" o:spid="_x0000_s1033" style="position:absolute;left:0;text-align:left;margin-left:333.75pt;margin-top:17.95pt;width:101.8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PupSgIAANQEAAAOAAAAZHJzL2Uyb0RvYy54bWysVNuO0zAQfUfiHyy/s2lKt0ujpqtVFxDS&#10;ctEufIDrS2PW8RjbbVK+nrHThnKRQIgXy/bMmZlzPOPldd8aspc+aLA1LS8mlEjLQWi7remnj6+e&#10;vaAkRGYFM2BlTQ8y0OvV0yfLzlVyCg0YIT3BIDZUnatpE6OriiLwRrYsXICTFo0KfMsiHv22EJ51&#10;GL01xXQymRcdeOE8cBkC3t4ORrrK8ZWSPL5XKshITE2xtphXn9dNWovVklVbz1yj+bEM9g9VtExb&#10;TDqGumWRkZ3Xv4RqNfcQQMULDm0BSmkuMwdkU05+YvPQMCczFxQnuFGm8P/C8nf7B/fBp9KDuwP+&#10;GIiFdcPsVt54D10jmcB0ZRKq6FyoRkA6BISSTfcWBD4t20XIGvTKtykgsiN9lvowSi37SDheltPF&#10;89nikhKOtlm5KCf5LQpWndDOh/haQkvSpqYedlbc43vmFGx/F2LWWxDL2pRdfKZEtQZfb88MKefz&#10;+VUumlVHZ4x9ipmQxqY18XtpRW6DyLQZ9uiazJlw4pjaCdnGg5ED9F4qokXikcvJ7SrXxhPMjbVw&#10;Lm0cNEuR0DvBlDZmBE7/DDz6J6jMrTyC/yLriMiZwcYR3GoL/nfZxeOpZDX4nxQYeCcJYr/pkXhN&#10;s7bpZgPigE3gYRgt/Apw04D/SkmHY1XT8GXHvKTEvLHYSItyNktzmA+zy6spHvy5ZXNuYZZjqJpG&#10;SobtOg6zu3NebxvMNChh4QabT+l46tKhqmP9ODq4+2E2z8/Z6/tntPoGAAD//wMAUEsDBBQABgAI&#10;AAAAIQAKX31X4AAAAAoBAAAPAAAAZHJzL2Rvd25yZXYueG1sTI9BTsMwEEX3SNzBGiR21ElL0zaN&#10;UwUkWCAVQdoDuLGJA/E4it3G3J5hBcvRf/r/TbGLtmcXPfrOoYB0lgDT2DjVYSvgeHi6WwPzQaKS&#10;vUMt4Ft72JXXV4XMlZvwXV/q0DIqQZ9LASaEIefcN0Zb6Wdu0EjZhxutDHSOLVejnKjc9nyeJBm3&#10;skNaMHLQj0Y3X/XZCrivXt6eXxef0Ttnsn08tvX0UAlxexOrLbCgY/iD4Vef1KEkp5M7o/KsF5Bl&#10;qyWhAhbLDTAC1qt0DuxEZJJugJcF//9C+QMAAP//AwBQSwECLQAUAAYACAAAACEAtoM4kv4AAADh&#10;AQAAEwAAAAAAAAAAAAAAAAAAAAAAW0NvbnRlbnRfVHlwZXNdLnhtbFBLAQItABQABgAIAAAAIQA4&#10;/SH/1gAAAJQBAAALAAAAAAAAAAAAAAAAAC8BAABfcmVscy8ucmVsc1BLAQItABQABgAIAAAAIQAU&#10;LPupSgIAANQEAAAOAAAAAAAAAAAAAAAAAC4CAABkcnMvZTJvRG9jLnhtbFBLAQItABQABgAIAAAA&#10;IQAKX31X4AAAAAoBAAAPAAAAAAAAAAAAAAAAAKQEAABkcnMvZG93bnJldi54bWxQSwUGAAAAAAQA&#10;BADzAAAAsQUAAAAA&#10;" fillcolor="#a7bfde [1620]" strokecolor="#4579b8 [3044]">
                <v:fill color2="#e4ecf5 [500]" rotate="t" angle="180" colors="0 #a3c4ff;22938f #bfd5ff;1 #e5eeff" focus="100%" type="gradient"/>
                <v:shadow on="t" color="black" opacity="24903f" origin=",.5" offset="0,.55556mm"/>
                <v:textbox>
                  <w:txbxContent>
                    <w:p w14:paraId="2D9C2FD3" w14:textId="38873022" w:rsidR="00653970" w:rsidRPr="00292A1D" w:rsidRDefault="00653970" w:rsidP="00653970">
                      <w:pPr>
                        <w:jc w:val="center"/>
                        <w:rPr>
                          <w:rFonts w:cs="Sakkal Majalla"/>
                          <w:b/>
                          <w:bCs/>
                          <w:szCs w:val="28"/>
                        </w:rPr>
                      </w:pPr>
                      <w:r w:rsidRPr="00653970">
                        <w:rPr>
                          <w:rFonts w:ascii="Sakkal Majalla" w:hAnsi="Sakkal Majalla" w:cs="Sakkal Majalla"/>
                          <w:b/>
                          <w:bCs/>
                          <w:sz w:val="28"/>
                          <w:szCs w:val="28"/>
                          <w:rtl/>
                        </w:rPr>
                        <w:t>الاعتبار الفردي</w:t>
                      </w:r>
                    </w:p>
                  </w:txbxContent>
                </v:textbox>
              </v:roundrect>
            </w:pict>
          </mc:Fallback>
        </mc:AlternateContent>
      </w:r>
      <w:r w:rsidRPr="00397A68">
        <w:rPr>
          <w:rFonts w:ascii="Sakkal Majalla" w:eastAsia="Calibri" w:hAnsi="Sakkal Majalla" w:cs="Sakkal Majalla" w:hint="cs"/>
          <w:sz w:val="28"/>
          <w:szCs w:val="28"/>
          <w:rtl/>
        </w:rPr>
        <w:t xml:space="preserve">                                                       </w:t>
      </w:r>
    </w:p>
    <w:p w14:paraId="1357FA84" w14:textId="08476846" w:rsidR="00653970" w:rsidRPr="00397A68" w:rsidRDefault="00653970" w:rsidP="00653970">
      <w:pPr>
        <w:bidi/>
        <w:spacing w:line="360" w:lineRule="auto"/>
        <w:ind w:left="1080"/>
        <w:contextualSpacing/>
        <w:jc w:val="both"/>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35627BDC" wp14:editId="36780259">
                <wp:simplePos x="0" y="0"/>
                <wp:positionH relativeFrom="column">
                  <wp:posOffset>3438525</wp:posOffset>
                </wp:positionH>
                <wp:positionV relativeFrom="paragraph">
                  <wp:posOffset>78105</wp:posOffset>
                </wp:positionV>
                <wp:extent cx="609600" cy="0"/>
                <wp:effectExtent l="0" t="0" r="0" b="0"/>
                <wp:wrapNone/>
                <wp:docPr id="1330521577" name="رابط مستقيم 5"/>
                <wp:cNvGraphicFramePr/>
                <a:graphic xmlns:a="http://schemas.openxmlformats.org/drawingml/2006/main">
                  <a:graphicData uri="http://schemas.microsoft.com/office/word/2010/wordprocessingShape">
                    <wps:wsp>
                      <wps:cNvCnPr/>
                      <wps:spPr>
                        <a:xfrm>
                          <a:off x="0" y="0"/>
                          <a:ext cx="609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53D85A3" id="رابط مستقيم 5"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270.75pt,6.15pt" to="318.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KfjvgEAAHkDAAAOAAAAZHJzL2Uyb0RvYy54bWysU8tu2zAQvBfoPxC8x5IN2KgFyznESC59&#10;BGj6ARs+JAJ8gcta9t93SdlO2t6K+kAvd7nDmeFqd39ylh1VQhN8z5eLljPlRZDGDz3/8fJ494kz&#10;zOAl2OBVz88K+f3+44fdFDu1CmOwUiVGIB67KfZ8zDl2TYNiVA5wEaLyVNQhOci0TUMjE0yE7myz&#10;attNM4UkYwpCIVL2MBf5vuJrrUT+pjWqzGzPiVuua6rra1mb/Q66IUEcjbjQgH9g4cB4uvQGdYAM&#10;7Gcyf0E5I1LAoPNCBNcErY1QVQOpWbZ/qPk+QlRVC5mD8WYT/j9Y8fX44J8T2TBF7DA+p6LipJMr&#10;/8SPnapZ55tZ6pSZoOSm3W5aslRcS81bX0yYn1RwrAQ9t8YXGdDB8TNmuouOXo+UtA+Pxtr6FNaz&#10;qefb9WpNyEADoS1kCl2UPUc/cAZ2oEkTOVVEDNbI0l1w8IwPNrEj0GPTjMgwvRBbzixgpgJJqL+5&#10;cQSp5qPbNaXnSUDIX4Kc08v2mie6M3Rl/tuVRcYBcJxbaqkgUYf1hZKqM3hR/WZxiV6DPFfnm7Kj&#10;961tl1ksA/R+T/H7L2b/CwAA//8DAFBLAwQUAAYACAAAACEAmv8R0twAAAAJAQAADwAAAGRycy9k&#10;b3ducmV2LnhtbEyPwU7DMBBE70j8g7VIXCrqNKEFhTgVAnLjQgFx3cZLEhGv09htA1/PIg5w3Jmn&#10;2ZliPbleHWgMnWcDi3kCirj2tuPGwMtzdXENKkRki71nMvBJAdbl6UmBufVHfqLDJjZKQjjkaKCN&#10;cci1DnVLDsPcD8TivfvRYZRzbLQd8Sjhrtdpkqy0w47lQ4sD3bVUf2z2zkCoXmlXfc3qWfKWNZ7S&#10;3f3jAxpzfjbd3oCKNMU/GH7qS3UopdPW79kG1RtYXi6WgoqRZqAEWGVXImx/BV0W+v+C8hsAAP//&#10;AwBQSwECLQAUAAYACAAAACEAtoM4kv4AAADhAQAAEwAAAAAAAAAAAAAAAAAAAAAAW0NvbnRlbnRf&#10;VHlwZXNdLnhtbFBLAQItABQABgAIAAAAIQA4/SH/1gAAAJQBAAALAAAAAAAAAAAAAAAAAC8BAABf&#10;cmVscy8ucmVsc1BLAQItABQABgAIAAAAIQC78KfjvgEAAHkDAAAOAAAAAAAAAAAAAAAAAC4CAABk&#10;cnMvZTJvRG9jLnhtbFBLAQItABQABgAIAAAAIQCa/xHS3AAAAAkBAAAPAAAAAAAAAAAAAAAAABgE&#10;AABkcnMvZG93bnJldi54bWxQSwUGAAAAAAQABADzAAAAIQUAAAAA&#10;"/>
            </w:pict>
          </mc:Fallback>
        </mc:AlternateContent>
      </w:r>
    </w:p>
    <w:p w14:paraId="31324C28" w14:textId="2E0B2354" w:rsidR="00653970" w:rsidRPr="00397A68" w:rsidRDefault="00653970" w:rsidP="00653970">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73A64318" wp14:editId="3BCBCC3A">
                <wp:simplePos x="0" y="0"/>
                <wp:positionH relativeFrom="column">
                  <wp:posOffset>4914900</wp:posOffset>
                </wp:positionH>
                <wp:positionV relativeFrom="paragraph">
                  <wp:posOffset>315595</wp:posOffset>
                </wp:positionV>
                <wp:extent cx="9525" cy="781050"/>
                <wp:effectExtent l="0" t="0" r="28575" b="19050"/>
                <wp:wrapNone/>
                <wp:docPr id="1890865684"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3C1334AA" id="رابط مستقيم 8"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5Z1QEAAKsDAAAOAAAAZHJzL2Uyb0RvYy54bWysU8tu2zAQvBfIPxC815INuE0FyznETXoo&#10;2gBNPmDDh0SAL3AZy/r7LmnXSdNLEUQHYsklZ2d2R5urg7NsrxKa4Hu+XLScKS+CNH7o+cP9zcdL&#10;zjCDl2CDVz2fFfKr7cWHzRQ7tQpjsFIlRiAeuyn2fMw5dk2DYlQOcBGi8pTUITnItE1DIxNMhO5s&#10;s2rbT80UkowpCIVIp7tjkm8rvtZK5J9ao8rM9py45bqmuj6WtdluoBsSxNGIEw14AwsHxlPRM9QO&#10;MrCnZP6BckakgEHnhQiuCVoboaoGUrNsX6n5NUJUVQs1B+O5Tfh+sOLH/trfJWrDFLHDeJeKioNO&#10;jmlr4jeaadVFTNmhtm0+t00dMhN0+GW9WnMmKPH5ctmua1ObI0gBiwnzrQqOlaDn1viiCTrYf8dM&#10;henqnyvl2IcbY22di/VsOsMDuUNbyFTJRdlz9ANnYAeyncipImKwRpbXBQdnvLaJ7YEmT4aRYbon&#10;wpxZwEwJUlG/4gBi8NfTQmcHOB4fS4qOPknhycvKbFQgv3rJ8hzJ1J6szQtVpyQVUESpRPVmBmP/&#10;5yZxsL7wVtW1p9Y8D6VEj0HOdVZN2ZEjKvWTe4vlXu4pfvmPbX8DAAD//wMAUEsDBBQABgAIAAAA&#10;IQA2bWk+3AAAAAoBAAAPAAAAZHJzL2Rvd25yZXYueG1sTI/LTsMwEEX3SPyDNUjsqEPVYghxKqhg&#10;Tx8f4MSDHTUeR7brpn+PWcFyNEf3nttsZjeyjCEOniQ8LipgSL3XAxkJx8PnwzOwmBRpNXpCCVeM&#10;sGlvbxpVa3+hHeZ9MqyEUKyVBJvSVHMee4tOxYWfkMrv2wenUjmD4TqoSwl3I19W1RN3aqDSYNWE&#10;W4v9aX92EuaQrMl59/Xef3TbUz50zlyFlPd389srsIRz+oPhV7+oQ1ucOn8mHdkoQYhV2ZIkrF4E&#10;sAIIsV4D6woplgJ42/D/E9ofAAAA//8DAFBLAQItABQABgAIAAAAIQC2gziS/gAAAOEBAAATAAAA&#10;AAAAAAAAAAAAAAAAAABbQ29udGVudF9UeXBlc10ueG1sUEsBAi0AFAAGAAgAAAAhADj9If/WAAAA&#10;lAEAAAsAAAAAAAAAAAAAAAAALwEAAF9yZWxzLy5yZWxzUEsBAi0AFAAGAAgAAAAhAJrh3lnVAQAA&#10;qwMAAA4AAAAAAAAAAAAAAAAALgIAAGRycy9lMm9Eb2MueG1sUEsBAi0AFAAGAAgAAAAhADZtaT7c&#10;AAAACgEAAA8AAAAAAAAAAAAAAAAALwQAAGRycy9kb3ducmV2LnhtbFBLBQYAAAAABAAEAPMAAAA4&#10;BQAAAAA=&#10;" strokecolor="windowText">
                <v:stroke dashstyle="dash"/>
              </v:line>
            </w:pict>
          </mc:Fallback>
        </mc:AlternateContent>
      </w:r>
    </w:p>
    <w:p w14:paraId="71A068D4" w14:textId="7C571CA3" w:rsidR="00653970" w:rsidRPr="00397A68" w:rsidRDefault="00653970" w:rsidP="00653970">
      <w:pPr>
        <w:bidi/>
        <w:spacing w:line="360" w:lineRule="auto"/>
        <w:contextualSpacing/>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1552" behindDoc="0" locked="0" layoutInCell="1" allowOverlap="1" wp14:anchorId="2910EBE1" wp14:editId="7922914C">
                <wp:simplePos x="0" y="0"/>
                <wp:positionH relativeFrom="column">
                  <wp:posOffset>1880870</wp:posOffset>
                </wp:positionH>
                <wp:positionV relativeFrom="margin">
                  <wp:posOffset>5066030</wp:posOffset>
                </wp:positionV>
                <wp:extent cx="1531620" cy="2659380"/>
                <wp:effectExtent l="57150" t="38100" r="68580" b="102870"/>
                <wp:wrapNone/>
                <wp:docPr id="1803555131"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2659380"/>
                        </a:xfrm>
                        <a:prstGeom prst="roundRect">
                          <a:avLst/>
                        </a:prstGeom>
                        <a:ln>
                          <a:headEnd/>
                          <a:tailEnd/>
                        </a:ln>
                      </wps:spPr>
                      <wps:style>
                        <a:lnRef idx="1">
                          <a:schemeClr val="dk1"/>
                        </a:lnRef>
                        <a:fillRef idx="2">
                          <a:schemeClr val="dk1"/>
                        </a:fillRef>
                        <a:effectRef idx="1">
                          <a:schemeClr val="dk1"/>
                        </a:effectRef>
                        <a:fontRef idx="minor">
                          <a:schemeClr val="dk1"/>
                        </a:fontRef>
                      </wps:style>
                      <wps:txbx>
                        <w:txbxContent>
                          <w:p w14:paraId="608B4C8A" w14:textId="77777777" w:rsidR="00653970" w:rsidRDefault="00653970" w:rsidP="00653970">
                            <w:pPr>
                              <w:bidi/>
                              <w:jc w:val="center"/>
                              <w:rPr>
                                <w:rFonts w:ascii="Sakkal Majalla" w:eastAsia="Times New Roman" w:hAnsi="Sakkal Majalla" w:cs="Sakkal Majalla"/>
                                <w:b/>
                                <w:bCs/>
                                <w:sz w:val="32"/>
                                <w:szCs w:val="32"/>
                                <w:rtl/>
                              </w:rPr>
                            </w:pPr>
                            <w:r w:rsidRPr="00653970">
                              <w:rPr>
                                <w:rFonts w:ascii="Sakkal Majalla" w:eastAsia="Times New Roman" w:hAnsi="Sakkal Majalla" w:cs="Sakkal Majalla"/>
                                <w:b/>
                                <w:bCs/>
                                <w:sz w:val="32"/>
                                <w:szCs w:val="32"/>
                                <w:rtl/>
                              </w:rPr>
                              <w:t xml:space="preserve">التحول الرقمي </w:t>
                            </w:r>
                          </w:p>
                          <w:p w14:paraId="29A6AACF"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البنية التقنية</w:t>
                            </w:r>
                          </w:p>
                          <w:p w14:paraId="765AE6ED"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الثقافة الرقمية</w:t>
                            </w:r>
                          </w:p>
                          <w:p w14:paraId="68D15A72"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التشريعات والسياسات الرقمية</w:t>
                            </w:r>
                          </w:p>
                          <w:p w14:paraId="6452D5A9" w14:textId="343ED07F" w:rsidR="00653970" w:rsidRPr="005C00C5" w:rsidRDefault="00653970" w:rsidP="00653970">
                            <w:pPr>
                              <w:bidi/>
                              <w:jc w:val="center"/>
                              <w:rPr>
                                <w:b/>
                                <w:bCs/>
                              </w:rPr>
                            </w:pPr>
                            <w:r w:rsidRPr="00653970">
                              <w:rPr>
                                <w:rFonts w:ascii="Sakkal Majalla" w:eastAsia="Calibri" w:hAnsi="Sakkal Majalla" w:cs="Sakkal Majalla"/>
                                <w:b/>
                                <w:bCs/>
                                <w:sz w:val="28"/>
                                <w:szCs w:val="28"/>
                                <w:rtl/>
                              </w:rPr>
                              <w:t xml:space="preserve"> الموارد البشرية الرقمية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10EBE1" id="مخطط انسيابي: تحضير 1" o:spid="_x0000_s1034" style="position:absolute;left:0;text-align:left;margin-left:148.1pt;margin-top:398.9pt;width:120.6pt;height:20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WtLgIAAJ0EAAAOAAAAZHJzL2Uyb0RvYy54bWysVNuO0zAQfUfiHyy/0zTdtnSjpqtVFxDS&#10;ctEufIDrS2Ot4zG227R8PWOnzVYgsRLixbIzt3PmzGR5c2gN2UsfNNialqMxJdJyENpua/r92/s3&#10;C0pCZFYwA1bW9CgDvVm9frXsXCUn0IAR0hNMYkPVuZo2MbqqKAJvZMvCCJy0aFTgWxbx6beF8KzD&#10;7K0pJuPxvOjAC+eByxDw611vpKucXynJ4xelgozE1BSxxXz6fG7SWayWrNp65hrNTzDYP6BombZY&#10;dEh1xyIjO6//SNVq7iGAiiMObQFKaS4zB2RTjn9j89gwJzMXbE5wQ5vC/0vLP+8f3VefoAd3D/wp&#10;EAvrhtmtvPUeukYygeXK1Kiic6EaAtIjYCjZdJ9AoLRsFyH34KB8mxIiO3LIrT4OrZaHSDh+LGdX&#10;5XyCinC0Teaz66tFFqNg1Tnc+RA/SGhJutTUw86KBxQ012D7+xATJlad/VJJY9OZQL+zImsbmTb9&#10;HV2TObNIwNOMIIV4NLIPfZCKaJHA5RJ5BuXaeLJnOD3iqW9CyoKeKURpY4agyd+DTr4pTOa5HAJf&#10;qDZ454pg4xDYagv+haq9/5l1zzXRjofNAcnWdJGUTV82II6opod+R3Cn8dKA/0lJh/tR0/Bjx7yk&#10;xHy0OBHX5XSaFio/prO3SUt/adlcWpjlmKqmkZL+uo79Eu6c19sGK/VdsHCLU6R0lvYZ1Qk/7kBW&#10;/LSvacku39nr+a+y+gUAAP//AwBQSwMEFAAGAAgAAAAhAC9ArzXgAAAADAEAAA8AAABkcnMvZG93&#10;bnJldi54bWxMj8tOwzAQRfdI/IM1SOyo09DabYhTVUhlwaoUULduPCQRfkSx04a/Z1jR5WiO7j23&#10;3EzOsjMOsQtewXyWAUNfB9P5RsHH++5hBSwm7Y22waOCH4ywqW5vSl2YcPFveD6khlGIj4VW0KbU&#10;F5zHukWn4yz06On3FQanE51Dw82gLxTuLM+zTHCnO08Nre7xucX6+zA6BcfmdbEUu8+9lWHcJ4Py&#10;BbeDUvd30/YJWMIp/cPwp0/qUJHTKYzeRGYV5GuRE6pAriVtIGL5KBfAToTmcyGAVyW/HlH9AgAA&#10;//8DAFBLAQItABQABgAIAAAAIQC2gziS/gAAAOEBAAATAAAAAAAAAAAAAAAAAAAAAABbQ29udGVu&#10;dF9UeXBlc10ueG1sUEsBAi0AFAAGAAgAAAAhADj9If/WAAAAlAEAAAsAAAAAAAAAAAAAAAAALwEA&#10;AF9yZWxzLy5yZWxzUEsBAi0AFAAGAAgAAAAhAJ6pRa0uAgAAnQQAAA4AAAAAAAAAAAAAAAAALgIA&#10;AGRycy9lMm9Eb2MueG1sUEsBAi0AFAAGAAgAAAAhAC9ArzXgAAAADAEAAA8AAAAAAAAAAAAAAAAA&#10;iAQAAGRycy9kb3ducmV2LnhtbFBLBQYAAAAABAAEAPMAAACVBQAAAAA=&#10;" fillcolor="gray [1616]" strokecolor="black [3040]">
                <v:fill color2="#d9d9d9 [496]" rotate="t" angle="180" colors="0 #bcbcbc;22938f #d0d0d0;1 #ededed" focus="100%" type="gradient"/>
                <v:shadow on="t" color="black" opacity="24903f" origin=",.5" offset="0,.55556mm"/>
                <v:textbox>
                  <w:txbxContent>
                    <w:p w14:paraId="608B4C8A" w14:textId="77777777" w:rsidR="00653970" w:rsidRDefault="00653970" w:rsidP="00653970">
                      <w:pPr>
                        <w:bidi/>
                        <w:jc w:val="center"/>
                        <w:rPr>
                          <w:rFonts w:ascii="Sakkal Majalla" w:eastAsia="Times New Roman" w:hAnsi="Sakkal Majalla" w:cs="Sakkal Majalla"/>
                          <w:b/>
                          <w:bCs/>
                          <w:sz w:val="32"/>
                          <w:szCs w:val="32"/>
                          <w:rtl/>
                        </w:rPr>
                      </w:pPr>
                      <w:r w:rsidRPr="00653970">
                        <w:rPr>
                          <w:rFonts w:ascii="Sakkal Majalla" w:eastAsia="Times New Roman" w:hAnsi="Sakkal Majalla" w:cs="Sakkal Majalla"/>
                          <w:b/>
                          <w:bCs/>
                          <w:sz w:val="32"/>
                          <w:szCs w:val="32"/>
                          <w:rtl/>
                        </w:rPr>
                        <w:t xml:space="preserve">التحول الرقمي </w:t>
                      </w:r>
                    </w:p>
                    <w:p w14:paraId="29A6AACF"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البنية التقنية</w:t>
                      </w:r>
                    </w:p>
                    <w:p w14:paraId="765AE6ED"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الثقافة الرقمية</w:t>
                      </w:r>
                    </w:p>
                    <w:p w14:paraId="68D15A72" w14:textId="77777777" w:rsidR="00653970" w:rsidRDefault="00653970" w:rsidP="00653970">
                      <w:pPr>
                        <w:bidi/>
                        <w:jc w:val="center"/>
                        <w:rPr>
                          <w:rFonts w:ascii="Sakkal Majalla" w:eastAsia="Calibri" w:hAnsi="Sakkal Majalla" w:cs="Sakkal Majalla"/>
                          <w:b/>
                          <w:bCs/>
                          <w:sz w:val="28"/>
                          <w:szCs w:val="28"/>
                          <w:rtl/>
                        </w:rPr>
                      </w:pPr>
                      <w:r w:rsidRPr="00653970">
                        <w:rPr>
                          <w:rFonts w:ascii="Sakkal Majalla" w:eastAsia="Calibri" w:hAnsi="Sakkal Majalla" w:cs="Sakkal Majalla"/>
                          <w:b/>
                          <w:bCs/>
                          <w:sz w:val="28"/>
                          <w:szCs w:val="28"/>
                          <w:rtl/>
                        </w:rPr>
                        <w:t>التشريعات والسياسات الرقمية</w:t>
                      </w:r>
                    </w:p>
                    <w:p w14:paraId="6452D5A9" w14:textId="343ED07F" w:rsidR="00653970" w:rsidRPr="005C00C5" w:rsidRDefault="00653970" w:rsidP="00653970">
                      <w:pPr>
                        <w:bidi/>
                        <w:jc w:val="center"/>
                        <w:rPr>
                          <w:b/>
                          <w:bCs/>
                        </w:rPr>
                      </w:pPr>
                      <w:r w:rsidRPr="00653970">
                        <w:rPr>
                          <w:rFonts w:ascii="Sakkal Majalla" w:eastAsia="Calibri" w:hAnsi="Sakkal Majalla" w:cs="Sakkal Majalla"/>
                          <w:b/>
                          <w:bCs/>
                          <w:sz w:val="28"/>
                          <w:szCs w:val="28"/>
                          <w:rtl/>
                        </w:rPr>
                        <w:t xml:space="preserve"> الموارد البشرية الرقمية</w:t>
                      </w:r>
                    </w:p>
                  </w:txbxContent>
                </v:textbox>
                <w10:wrap anchory="margin"/>
              </v:roundrect>
            </w:pict>
          </mc:Fallback>
        </mc:AlternateContent>
      </w:r>
    </w:p>
    <w:p w14:paraId="31E2861A" w14:textId="4554698E" w:rsidR="00653970" w:rsidRPr="00397A68" w:rsidRDefault="00653970" w:rsidP="00653970">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8720" behindDoc="0" locked="0" layoutInCell="1" allowOverlap="1" wp14:anchorId="6CDAEFBE" wp14:editId="262C4350">
                <wp:simplePos x="0" y="0"/>
                <wp:positionH relativeFrom="column">
                  <wp:posOffset>3514725</wp:posOffset>
                </wp:positionH>
                <wp:positionV relativeFrom="paragraph">
                  <wp:posOffset>360045</wp:posOffset>
                </wp:positionV>
                <wp:extent cx="1415415" cy="8255"/>
                <wp:effectExtent l="0" t="0" r="13335" b="29845"/>
                <wp:wrapNone/>
                <wp:docPr id="2018153307" name="رابط مستقيم 9"/>
                <wp:cNvGraphicFramePr/>
                <a:graphic xmlns:a="http://schemas.openxmlformats.org/drawingml/2006/main">
                  <a:graphicData uri="http://schemas.microsoft.com/office/word/2010/wordprocessingShape">
                    <wps:wsp>
                      <wps:cNvCnPr/>
                      <wps:spPr>
                        <a:xfrm flipH="1">
                          <a:off x="0" y="0"/>
                          <a:ext cx="1415415" cy="8255"/>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79DB107" id="رابط مستقيم 9"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28.35pt" to="38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a21gEAAKwDAAAOAAAAZHJzL2Uyb0RvYy54bWysU8tu2zAQvBfoPxC817KNukgFyznETXoo&#10;2gBNPmDDh0SAL3AZy/r7LinXefRSBBEEYsldjmZnR9vLo7PsoBKa4Du+Wiw5U14EaXzf8fu7608X&#10;nGEGL8EGrzo+KeSXu48ftmNs1ToMwUqVGIF4bMfY8SHn2DYNikE5wEWIylNSh+Qg0zb1jUwwErqz&#10;zXq5/NKMIcmYglCIdLqfk3xX8bVWIv/SGlVmtuPELdc11fWhrM1uC22fIA5GnGjAG1g4MJ4+eoba&#10;Qwb2mMw/UM6IFDDovBDBNUFrI1TtgbpZLV9183uAqGovJA7Gs0z4frDi5+HK3yaSYYzYYrxNpYuj&#10;To5pa+J3mmnti5iyY5VtOsumjpkJOlx9Xm3o5UxQ7mK92RRVmxmloMWE+UYFx0rQcWt8aQpaOPzA&#10;PJf+LSnHPlwba+tgrGdjx79u1gUcyB7aQqbQRdlx9D1nYHvyncipImKwRpbbBQcnvLKJHYBGT46R&#10;YbwjxpxZwEwJaqM+J7IvrhY6e8Bhviwpmo2SwqOXldmgQH7zkuUpkqs9eZsXqk5J+oAiSiWqlRmM&#10;/Z9KEsz6wltV256keZpKiR6CnOqwmrIjS1SdT/Ytnnu+p/j5T7b7AwAA//8DAFBLAwQUAAYACAAA&#10;ACEAemj0btsAAAAJAQAADwAAAGRycy9kb3ducmV2LnhtbEyPy07DMBBF90j8gzVI7KjDI0kV4lRQ&#10;wZ4+PsCJjR01Hke266Z/z7CC3TyO7pxpN4ubWNYhjh4FPK4KYBoHr0Y0Ao6Hz4c1sJgkKjl51AKu&#10;OsKmu71pZaP8BXc675NhFIKxkQJsSnPDeRysdjKu/KyRdt8+OJmoDYarIC8U7ib+VBQVd3JEumDl&#10;rLdWD6f92QlYQrIm593X+/DRb0/50DtzrYW4v1veXoElvaQ/GH71SR06cur9GVVkk4CyfC4JpaKq&#10;gRFQ19ULsJ4G6wJ41/L/H3Q/AAAA//8DAFBLAQItABQABgAIAAAAIQC2gziS/gAAAOEBAAATAAAA&#10;AAAAAAAAAAAAAAAAAABbQ29udGVudF9UeXBlc10ueG1sUEsBAi0AFAAGAAgAAAAhADj9If/WAAAA&#10;lAEAAAsAAAAAAAAAAAAAAAAALwEAAF9yZWxzLy5yZWxzUEsBAi0AFAAGAAgAAAAhANcdxrbWAQAA&#10;rAMAAA4AAAAAAAAAAAAAAAAALgIAAGRycy9lMm9Eb2MueG1sUEsBAi0AFAAGAAgAAAAhAHpo9G7b&#10;AAAACQEAAA8AAAAAAAAAAAAAAAAAMAQAAGRycy9kb3ducmV2LnhtbFBLBQYAAAAABAAEAPMAAAA4&#10;BQAAAAA=&#10;" strokecolor="windowText">
                <v:stroke dashstyle="dash"/>
              </v:lin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5888" behindDoc="0" locked="0" layoutInCell="1" allowOverlap="1" wp14:anchorId="0B1F0E23" wp14:editId="416DFF6D">
                <wp:simplePos x="0" y="0"/>
                <wp:positionH relativeFrom="column">
                  <wp:posOffset>-573657</wp:posOffset>
                </wp:positionH>
                <wp:positionV relativeFrom="paragraph">
                  <wp:posOffset>372817</wp:posOffset>
                </wp:positionV>
                <wp:extent cx="2346385" cy="0"/>
                <wp:effectExtent l="0" t="0" r="0" b="0"/>
                <wp:wrapNone/>
                <wp:docPr id="2008922476" name="رابط مستقيم 1"/>
                <wp:cNvGraphicFramePr/>
                <a:graphic xmlns:a="http://schemas.openxmlformats.org/drawingml/2006/main">
                  <a:graphicData uri="http://schemas.microsoft.com/office/word/2010/wordprocessingShape">
                    <wps:wsp>
                      <wps:cNvCnPr/>
                      <wps:spPr>
                        <a:xfrm flipH="1">
                          <a:off x="0" y="0"/>
                          <a:ext cx="2346385" cy="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6F795ACE" id="رابط مستقيم 1" o:spid="_x0000_s1026" style="position:absolute;left:0;text-align:left;flip:x;z-index:251685888;visibility:visible;mso-wrap-style:square;mso-wrap-distance-left:9pt;mso-wrap-distance-top:0;mso-wrap-distance-right:9pt;mso-wrap-distance-bottom:0;mso-position-horizontal:absolute;mso-position-horizontal-relative:text;mso-position-vertical:absolute;mso-position-vertical-relative:text" from="-45.15pt,29.35pt" to="139.6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jG1gEAAKkDAAAOAAAAZHJzL2Uyb0RvYy54bWysU01vEzEQvSPxHyzfidOUVmWVTQ8NhQOC&#10;Si0/YOqPXUv+ksfNZv89YydNC1xQxR6ssWf8/N7M2/X13ju20xltDD0/Wyw500FGZcPQ858Ptx+u&#10;OMMCQYGLQfd81sivN+/frafU6VUco1M6MwIJ2E2p52MpqRMC5ag94CImHShpYvZQaJsHoTJMhO6d&#10;WC2Xl2KKWaUcpUak0+0hyTcN3xgtyw9jUBfmek7cSltzWx/rKjZr6IYMabTySAPewMKDDfToCWoL&#10;BdhTtn9BeStzxGjKQkYvojFW6qaB1Jwt/1BzP0LSTQs1B9OpTfj/YOX33U24y9SGKWGH6S5XFXuT&#10;PTPOpq8006aLmLJ9a9t8apveFybpcHX+8fL86oIz+ZwTB4gKlTKWLzp6VoOeOxuqIuhg9w0LPUul&#10;zyX1OMRb61ybigts6vmni1VFBvKGcVAo9En1HMPAGbiBTCdLbogYnVX1dsXBGW9cZjuguZNdVJwe&#10;iC5nDrBQgjS0r86fGPx2tdLZAo6Hy4qig0tyfAqqMRs1qM9BsTInsnQgY/NK1WtFD2iiVKNWWcC6&#10;f6kkDi5U3rp59tial5HU6DGquU1K1B35oVE/erca7vWe4td/2OYXAAAA//8DAFBLAwQUAAYACAAA&#10;ACEAqrB/R9sAAAAJAQAADwAAAGRycy9kb3ducmV2LnhtbEyPy07DMBBF90j8gzVI7FqHIEgb4lRQ&#10;wZ4+PsCJBztqPI5s103/HiMWsJyZozvnNpvZjiyhD4MjAQ/LAhhS79RAWsDx8LFYAQtRkpKjIxRw&#10;xQCb9vamkbVyF9ph2kfNcgiFWgowMU4156E3aGVYugkp376ctzLm0WuuvLzkcDvysiieuZUD5Q9G&#10;Trg12J/2Zytg9tHolHafb/17tz2lQ2f1tRLi/m5+fQEWcY5/MPzoZ3Vos1PnzqQCGwUs1sVjRgU8&#10;rSpgGSirdQms+13wtuH/G7TfAAAA//8DAFBLAQItABQABgAIAAAAIQC2gziS/gAAAOEBAAATAAAA&#10;AAAAAAAAAAAAAAAAAABbQ29udGVudF9UeXBlc10ueG1sUEsBAi0AFAAGAAgAAAAhADj9If/WAAAA&#10;lAEAAAsAAAAAAAAAAAAAAAAALwEAAF9yZWxzLy5yZWxzUEsBAi0AFAAGAAgAAAAhAJw0yMbWAQAA&#10;qQMAAA4AAAAAAAAAAAAAAAAALgIAAGRycy9lMm9Eb2MueG1sUEsBAi0AFAAGAAgAAAAhAKqwf0fb&#10;AAAACQEAAA8AAAAAAAAAAAAAAAAAMAQAAGRycy9kb3ducmV2LnhtbFBLBQYAAAAABAAEAPMAAAA4&#10;BQAAAAA=&#10;" strokecolor="windowText">
                <v:stroke dashstyle="dash"/>
              </v:line>
            </w:pict>
          </mc:Fallback>
        </mc:AlternateContent>
      </w:r>
    </w:p>
    <w:p w14:paraId="5A3F5B4D" w14:textId="40206434" w:rsidR="00653970" w:rsidRPr="00397A68" w:rsidRDefault="00653970" w:rsidP="00653970">
      <w:pPr>
        <w:bidi/>
        <w:spacing w:line="360" w:lineRule="auto"/>
        <w:contextualSpacing/>
        <w:rPr>
          <w:rFonts w:ascii="Sakkal Majalla" w:eastAsia="Calibri" w:hAnsi="Sakkal Majalla" w:cs="Sakkal Majalla"/>
          <w:sz w:val="28"/>
          <w:szCs w:val="28"/>
          <w:rtl/>
        </w:rPr>
      </w:pPr>
    </w:p>
    <w:p w14:paraId="68352E20" w14:textId="77777777" w:rsidR="00653970" w:rsidRDefault="00653970" w:rsidP="00653970">
      <w:pPr>
        <w:bidi/>
        <w:spacing w:line="276" w:lineRule="auto"/>
        <w:ind w:left="360"/>
        <w:jc w:val="center"/>
        <w:rPr>
          <w:rFonts w:ascii="Simplified Arabic" w:eastAsia="Calibri" w:hAnsi="Simplified Arabic" w:cs="Simplified Arabic"/>
          <w:kern w:val="2"/>
          <w:sz w:val="28"/>
          <w:szCs w:val="28"/>
          <w:rtl/>
          <w:lang w:bidi="ar-EG"/>
          <w14:ligatures w14:val="standardContextual"/>
        </w:rPr>
      </w:pPr>
    </w:p>
    <w:p w14:paraId="1DD3DACA"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5424289E"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004A2691"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626E3586" w14:textId="77777777" w:rsidR="00653970"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380C79E7" w14:textId="77777777" w:rsidR="00653970" w:rsidRPr="00471C07" w:rsidRDefault="00653970" w:rsidP="00653970">
      <w:pPr>
        <w:bidi/>
        <w:spacing w:line="276" w:lineRule="auto"/>
        <w:ind w:left="360"/>
        <w:jc w:val="both"/>
        <w:rPr>
          <w:rFonts w:ascii="Simplified Arabic" w:eastAsia="Calibri" w:hAnsi="Simplified Arabic" w:cs="Simplified Arabic"/>
          <w:kern w:val="2"/>
          <w:sz w:val="28"/>
          <w:szCs w:val="28"/>
          <w:rtl/>
          <w14:ligatures w14:val="standardContextual"/>
        </w:rPr>
      </w:pPr>
    </w:p>
    <w:p w14:paraId="237A2C55" w14:textId="4A311117" w:rsidR="003C3394" w:rsidRPr="00471C07" w:rsidRDefault="003C3394" w:rsidP="00471C07">
      <w:pPr>
        <w:bidi/>
        <w:spacing w:before="100" w:beforeAutospacing="1" w:after="100" w:afterAutospacing="1" w:line="276" w:lineRule="auto"/>
        <w:outlineLvl w:val="1"/>
        <w:rPr>
          <w:rFonts w:ascii="Simplified Arabic" w:hAnsi="Simplified Arabic" w:cs="Simplified Arabic"/>
          <w:b/>
          <w:bCs/>
          <w:color w:val="000000" w:themeColor="text1"/>
          <w:sz w:val="28"/>
          <w:szCs w:val="28"/>
        </w:rPr>
      </w:pPr>
      <w:bookmarkStart w:id="14" w:name="_Toc202226008"/>
      <w:r w:rsidRPr="00471C07">
        <w:rPr>
          <w:rFonts w:ascii="Simplified Arabic" w:hAnsi="Simplified Arabic" w:cs="Simplified Arabic" w:hint="cs"/>
          <w:b/>
          <w:bCs/>
          <w:color w:val="000000" w:themeColor="text1"/>
          <w:sz w:val="28"/>
          <w:szCs w:val="28"/>
          <w:rtl/>
        </w:rPr>
        <w:lastRenderedPageBreak/>
        <w:t>7,1 الدراسات المرجعية:</w:t>
      </w:r>
      <w:bookmarkEnd w:id="14"/>
    </w:p>
    <w:p w14:paraId="21037B91" w14:textId="0446B541" w:rsidR="003C3394" w:rsidRPr="00471C07" w:rsidRDefault="003C3394" w:rsidP="00471C07">
      <w:p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471C07">
        <w:rPr>
          <w:rFonts w:ascii="Simplified Arabic" w:eastAsia="Calibri" w:hAnsi="Simplified Arabic" w:cs="Simplified Arabic" w:hint="cs"/>
          <w:kern w:val="2"/>
          <w:sz w:val="28"/>
          <w:szCs w:val="28"/>
          <w:rtl/>
          <w:lang w:bidi="ar-EG"/>
          <w14:ligatures w14:val="standardContextual"/>
        </w:rPr>
        <w:t>وهي</w:t>
      </w:r>
      <w:r w:rsidR="0015003F" w:rsidRPr="00471C07">
        <w:rPr>
          <w:rFonts w:ascii="Simplified Arabic" w:eastAsia="Calibri" w:hAnsi="Simplified Arabic" w:cs="Simplified Arabic" w:hint="cs"/>
          <w:kern w:val="2"/>
          <w:sz w:val="28"/>
          <w:szCs w:val="28"/>
          <w14:ligatures w14:val="standardContextual"/>
        </w:rPr>
        <w:t>:</w:t>
      </w:r>
      <w:r w:rsidRPr="00471C07">
        <w:rPr>
          <w:rFonts w:ascii="Simplified Arabic" w:eastAsia="Calibri" w:hAnsi="Simplified Arabic" w:cs="Simplified Arabic" w:hint="cs"/>
          <w:kern w:val="2"/>
          <w:sz w:val="28"/>
          <w:szCs w:val="28"/>
          <w14:ligatures w14:val="standardContextual"/>
        </w:rPr>
        <w:t xml:space="preserve"> </w:t>
      </w:r>
    </w:p>
    <w:p w14:paraId="1DA8367B" w14:textId="216862A9" w:rsidR="003C3394" w:rsidRPr="00471C07" w:rsidRDefault="003C3394" w:rsidP="00653970">
      <w:pPr>
        <w:numPr>
          <w:ilvl w:val="0"/>
          <w:numId w:val="14"/>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المجموعة الأولى: الدراسات التي تناولت</w:t>
      </w:r>
      <w:r w:rsidR="00E36F07" w:rsidRPr="00471C07">
        <w:rPr>
          <w:rFonts w:ascii="Simplified Arabic" w:eastAsia="Times New Roman" w:hAnsi="Simplified Arabic" w:cs="Simplified Arabic" w:hint="cs"/>
          <w:b/>
          <w:bCs/>
          <w:kern w:val="36"/>
          <w:sz w:val="28"/>
          <w:szCs w:val="28"/>
          <w:rtl/>
        </w:rPr>
        <w:t xml:space="preserve"> </w:t>
      </w:r>
      <w:r w:rsidR="00653970" w:rsidRPr="00653970">
        <w:rPr>
          <w:rFonts w:ascii="Simplified Arabic" w:eastAsia="Times New Roman" w:hAnsi="Simplified Arabic" w:cs="Simplified Arabic" w:hint="cs"/>
          <w:kern w:val="36"/>
          <w:sz w:val="28"/>
          <w:szCs w:val="28"/>
          <w:rtl/>
          <w:lang w:bidi="ar-EG"/>
        </w:rPr>
        <w:t>ا</w:t>
      </w:r>
      <w:r w:rsidR="00653970" w:rsidRPr="00653970">
        <w:rPr>
          <w:rFonts w:ascii="Simplified Arabic" w:eastAsia="Times New Roman" w:hAnsi="Simplified Arabic" w:cs="Simplified Arabic"/>
          <w:kern w:val="36"/>
          <w:sz w:val="28"/>
          <w:szCs w:val="28"/>
          <w:rtl/>
        </w:rPr>
        <w:t>لقيادة التحويلية</w:t>
      </w:r>
      <w:r w:rsidR="00653970" w:rsidRPr="00653970">
        <w:rPr>
          <w:rFonts w:ascii="Simplified Arabic" w:eastAsia="Times New Roman" w:hAnsi="Simplified Arabic" w:cs="Simplified Arabic" w:hint="cs"/>
          <w:b/>
          <w:bCs/>
          <w:kern w:val="36"/>
          <w:sz w:val="28"/>
          <w:szCs w:val="28"/>
          <w:rtl/>
          <w:lang w:bidi="ar-EG"/>
        </w:rPr>
        <w:t xml:space="preserve">  </w:t>
      </w:r>
      <w:r w:rsidR="0015003F" w:rsidRPr="00471C07">
        <w:rPr>
          <w:rFonts w:ascii="Simplified Arabic" w:eastAsia="Calibri" w:hAnsi="Simplified Arabic" w:cs="Simplified Arabic" w:hint="cs"/>
          <w:kern w:val="2"/>
          <w:sz w:val="28"/>
          <w:szCs w:val="28"/>
          <w:rtl/>
          <w:lang w:bidi="ar-EG"/>
          <w14:ligatures w14:val="standardContextual"/>
        </w:rPr>
        <w:t>وعلاقته</w:t>
      </w:r>
      <w:r w:rsidRPr="00471C07">
        <w:rPr>
          <w:rFonts w:ascii="Simplified Arabic" w:eastAsia="Calibri" w:hAnsi="Simplified Arabic" w:cs="Simplified Arabic" w:hint="cs"/>
          <w:kern w:val="2"/>
          <w:sz w:val="28"/>
          <w:szCs w:val="28"/>
          <w:rtl/>
          <w:lang w:bidi="ar-EG"/>
          <w14:ligatures w14:val="standardContextual"/>
        </w:rPr>
        <w:t xml:space="preserve"> بالمتغيرات الأخرى.</w:t>
      </w:r>
    </w:p>
    <w:p w14:paraId="593EC720" w14:textId="3C9DC3F0" w:rsidR="003C3394" w:rsidRPr="00471C07" w:rsidRDefault="003C3394" w:rsidP="00653970">
      <w:pPr>
        <w:numPr>
          <w:ilvl w:val="0"/>
          <w:numId w:val="14"/>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المجموعة الثانية: الدراسات التي تناولت </w:t>
      </w:r>
      <w:r w:rsidR="00653970" w:rsidRPr="00653970">
        <w:rPr>
          <w:rFonts w:ascii="Simplified Arabic" w:eastAsia="Calibri" w:hAnsi="Simplified Arabic" w:cs="Simplified Arabic" w:hint="cs"/>
          <w:kern w:val="2"/>
          <w:sz w:val="28"/>
          <w:szCs w:val="28"/>
          <w:rtl/>
          <w:lang w:bidi="ar-EG"/>
          <w14:ligatures w14:val="standardContextual"/>
        </w:rPr>
        <w:t xml:space="preserve">التحول الرقمي </w:t>
      </w:r>
      <w:r w:rsidRPr="00471C07">
        <w:rPr>
          <w:rFonts w:ascii="Simplified Arabic" w:eastAsia="Calibri" w:hAnsi="Simplified Arabic" w:cs="Simplified Arabic" w:hint="cs"/>
          <w:kern w:val="2"/>
          <w:sz w:val="28"/>
          <w:szCs w:val="28"/>
          <w:rtl/>
          <w:lang w:bidi="ar-EG"/>
          <w14:ligatures w14:val="standardContextual"/>
        </w:rPr>
        <w:t>وعلاقته بالمتغيرات الأخرى</w:t>
      </w:r>
      <w:r w:rsidRPr="00471C07">
        <w:rPr>
          <w:rFonts w:ascii="Simplified Arabic" w:eastAsia="Calibri" w:hAnsi="Simplified Arabic" w:cs="Simplified Arabic" w:hint="cs"/>
          <w:kern w:val="2"/>
          <w:sz w:val="28"/>
          <w:szCs w:val="28"/>
          <w14:ligatures w14:val="standardContextual"/>
        </w:rPr>
        <w:t>.</w:t>
      </w:r>
    </w:p>
    <w:p w14:paraId="586A0A8A" w14:textId="729B0093" w:rsidR="003C3394" w:rsidRPr="00471C07" w:rsidRDefault="003C3394" w:rsidP="00471C07">
      <w:pPr>
        <w:numPr>
          <w:ilvl w:val="0"/>
          <w:numId w:val="14"/>
        </w:numPr>
        <w:bidi/>
        <w:spacing w:line="276" w:lineRule="auto"/>
        <w:contextualSpacing/>
        <w:rPr>
          <w:rFonts w:ascii="Simplified Arabic" w:eastAsia="Calibri" w:hAnsi="Simplified Arabic" w:cs="Simplified Arabic"/>
          <w:kern w:val="2"/>
          <w:sz w:val="28"/>
          <w:szCs w:val="28"/>
          <w:rtl/>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المجموعة الثالثة: الدراسات التي تناولت </w:t>
      </w:r>
      <w:r w:rsidR="00E36F07" w:rsidRPr="00471C07">
        <w:rPr>
          <w:rFonts w:ascii="Simplified Arabic" w:eastAsia="Calibri" w:hAnsi="Simplified Arabic" w:cs="Simplified Arabic" w:hint="cs"/>
          <w:kern w:val="2"/>
          <w:sz w:val="28"/>
          <w:szCs w:val="28"/>
          <w:rtl/>
          <w14:ligatures w14:val="standardContextual"/>
        </w:rPr>
        <w:t xml:space="preserve">الأداء الوظيفى </w:t>
      </w:r>
      <w:r w:rsidR="00312766" w:rsidRPr="00471C07">
        <w:rPr>
          <w:rFonts w:ascii="Simplified Arabic" w:eastAsia="Calibri" w:hAnsi="Simplified Arabic" w:cs="Simplified Arabic" w:hint="cs"/>
          <w:kern w:val="2"/>
          <w:sz w:val="28"/>
          <w:szCs w:val="28"/>
          <w:rtl/>
          <w:lang w:bidi="ar-EG"/>
          <w14:ligatures w14:val="standardContextual"/>
        </w:rPr>
        <w:t xml:space="preserve"> </w:t>
      </w:r>
      <w:r w:rsidRPr="00471C07">
        <w:rPr>
          <w:rFonts w:ascii="Simplified Arabic" w:eastAsia="Calibri" w:hAnsi="Simplified Arabic" w:cs="Simplified Arabic" w:hint="cs"/>
          <w:kern w:val="2"/>
          <w:sz w:val="28"/>
          <w:szCs w:val="28"/>
          <w:rtl/>
          <w:lang w:bidi="ar-EG"/>
          <w14:ligatures w14:val="standardContextual"/>
        </w:rPr>
        <w:t>وعلاقته بالمتغيرات الأخرى</w:t>
      </w:r>
      <w:r w:rsidRPr="00471C07">
        <w:rPr>
          <w:rFonts w:ascii="Simplified Arabic" w:eastAsia="Calibri" w:hAnsi="Simplified Arabic" w:cs="Simplified Arabic" w:hint="cs"/>
          <w:kern w:val="2"/>
          <w:sz w:val="28"/>
          <w:szCs w:val="28"/>
          <w:lang w:bidi="ar-EG"/>
          <w14:ligatures w14:val="standardContextual"/>
        </w:rPr>
        <w:t>.</w:t>
      </w:r>
    </w:p>
    <w:p w14:paraId="772329E5" w14:textId="295EECE3" w:rsidR="003C3394" w:rsidRPr="00471C07" w:rsidRDefault="003C3394" w:rsidP="00471C07">
      <w:pPr>
        <w:bidi/>
        <w:spacing w:after="200" w:line="276" w:lineRule="auto"/>
        <w:ind w:left="669"/>
        <w:jc w:val="both"/>
        <w:rPr>
          <w:rFonts w:ascii="Simplified Arabic" w:eastAsia="Calibri" w:hAnsi="Simplified Arabic" w:cs="Simplified Arabic"/>
          <w:kern w:val="2"/>
          <w:sz w:val="28"/>
          <w:szCs w:val="28"/>
          <w:lang w:bidi="ar-EG"/>
          <w14:ligatures w14:val="standardContextual"/>
        </w:rPr>
      </w:pPr>
      <w:r w:rsidRPr="00471C07">
        <w:rPr>
          <w:rFonts w:ascii="Simplified Arabic" w:eastAsia="Calibri" w:hAnsi="Simplified Arabic" w:cs="Simplified Arabic" w:hint="cs"/>
          <w:kern w:val="2"/>
          <w:sz w:val="28"/>
          <w:szCs w:val="28"/>
          <w:rtl/>
          <w:lang w:bidi="ar-EG"/>
          <w14:ligatures w14:val="standardContextual"/>
        </w:rPr>
        <w:t xml:space="preserve">وفيما يلي عرض لكل مجموعة من هذه الدراسات </w:t>
      </w:r>
      <w:r w:rsidR="00E36F07" w:rsidRPr="00471C07">
        <w:rPr>
          <w:rFonts w:ascii="Simplified Arabic" w:eastAsia="Calibri" w:hAnsi="Simplified Arabic" w:cs="Simplified Arabic" w:hint="cs"/>
          <w:kern w:val="2"/>
          <w:sz w:val="28"/>
          <w:szCs w:val="28"/>
          <w:rtl/>
          <w:lang w:bidi="ar-EG"/>
          <w14:ligatures w14:val="standardContextual"/>
        </w:rPr>
        <w:t>:</w:t>
      </w:r>
    </w:p>
    <w:p w14:paraId="73A78599" w14:textId="3E3F36DA"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b/>
          <w:bCs/>
          <w:kern w:val="36"/>
          <w:sz w:val="28"/>
          <w:szCs w:val="28"/>
        </w:rPr>
      </w:pPr>
      <w:r w:rsidRPr="00471C07">
        <w:rPr>
          <w:rFonts w:ascii="Simplified Arabic" w:eastAsia="Times New Roman" w:hAnsi="Simplified Arabic" w:cs="Simplified Arabic" w:hint="cs"/>
          <w:b/>
          <w:bCs/>
          <w:kern w:val="36"/>
          <w:sz w:val="28"/>
          <w:szCs w:val="28"/>
          <w:rtl/>
        </w:rPr>
        <w:t>المحور الأول: الدراسات السابقة المتعلقة بالقيادة التحويلية وعلاقتها بمتغيرات أخرى</w:t>
      </w:r>
    </w:p>
    <w:p w14:paraId="4E82ED78" w14:textId="4EBBAF00"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البركاني (2024) بعنوان "أثر القيادة التحويلية على فاعلية اتخاذ القرارات: دراسة تطبيقية على المستشفى العام</w:t>
      </w:r>
      <w:r w:rsidRPr="00471C07">
        <w:rPr>
          <w:rFonts w:ascii="Simplified Arabic" w:eastAsia="Times New Roman" w:hAnsi="Simplified Arabic" w:cs="Simplified Arabic" w:hint="cs"/>
          <w:b/>
          <w:bCs/>
          <w:sz w:val="28"/>
          <w:szCs w:val="28"/>
        </w:rPr>
        <w:t>"</w:t>
      </w:r>
    </w:p>
    <w:p w14:paraId="0FDCF1A8" w14:textId="77777777" w:rsidR="00626753"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sz w:val="28"/>
          <w:szCs w:val="28"/>
          <w:rtl/>
        </w:rPr>
        <w:t>هدفت الدراسة إلى التعرف على أثر القيادة التحويلية بأبعادها (التأثير المثالي، الحفز الإلهامي، الاعتبارات الفردية، الاستثارة الفكرية) على فاعلية اتخاذ القرارات في المستشفى العام بالمملكة العربية السعودية. واستخدمت الدراسة المنهج الوصفي التحليلي، وتكونت العينة من (152) مفردة من العاملين في المستشفى العام، واعتُمدت الاستبانة كأداة رئيسية لجمع البيانات. وتوصلت نتائج الدراسة إلى أنه يوجد أثر ذو دلالة إحصائية عند مستوى</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α</w:t>
      </w:r>
      <w:r w:rsidRPr="00471C07">
        <w:rPr>
          <w:rFonts w:ascii="Simplified Arabic" w:eastAsia="Times New Roman" w:hAnsi="Simplified Arabic" w:cs="Simplified Arabic" w:hint="cs"/>
          <w:sz w:val="28"/>
          <w:szCs w:val="28"/>
        </w:rPr>
        <w:t xml:space="preserve"> </w:t>
      </w:r>
      <w:r w:rsidRPr="00471C07">
        <w:rPr>
          <w:rFonts w:ascii="Cambria Math" w:eastAsia="Times New Roman" w:hAnsi="Cambria Math" w:cs="Cambria Math"/>
          <w:sz w:val="28"/>
          <w:szCs w:val="28"/>
        </w:rPr>
        <w:t>≤</w:t>
      </w:r>
      <w:r w:rsidRPr="00471C07">
        <w:rPr>
          <w:rFonts w:ascii="Simplified Arabic" w:eastAsia="Times New Roman" w:hAnsi="Simplified Arabic" w:cs="Simplified Arabic" w:hint="cs"/>
          <w:sz w:val="28"/>
          <w:szCs w:val="28"/>
        </w:rPr>
        <w:t xml:space="preserve"> 0.05) </w:t>
      </w:r>
      <w:r w:rsidRPr="00471C07">
        <w:rPr>
          <w:rFonts w:ascii="Simplified Arabic" w:eastAsia="Times New Roman" w:hAnsi="Simplified Arabic" w:cs="Simplified Arabic" w:hint="cs"/>
          <w:sz w:val="28"/>
          <w:szCs w:val="28"/>
          <w:rtl/>
        </w:rPr>
        <w:t>لجميع أبعاد القيادة التحويلية (التأثير المثالي، الحفز الإلهامي، الاعتبارات الفردية، الاستثارة الفكرية) على فاعلية اتخاذ القرارات في المستشفى، كما أكدت النتائج أهمية وجود قائد تحويلي يعمل على نشر الثقافة التنظيمية الإيجابية التي تنعكس إيجاباً على عملية صنع القرار</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بضرورة تبني أنماط القيادة التحويلية في القطاع الصحي السعودي لتعزيز فاعلية عمليات اتخاذ القرارات المؤسسية، والعمل على تنمية مهارات القادة في مجال التأثير المثالي والاستثارة الفكرية</w:t>
      </w:r>
      <w:r w:rsidRPr="00471C07">
        <w:rPr>
          <w:rFonts w:ascii="Simplified Arabic" w:eastAsia="Times New Roman" w:hAnsi="Simplified Arabic" w:cs="Simplified Arabic" w:hint="cs"/>
          <w:sz w:val="28"/>
          <w:szCs w:val="28"/>
        </w:rPr>
        <w:t>.</w:t>
      </w:r>
    </w:p>
    <w:p w14:paraId="0EF1F7AC" w14:textId="77777777" w:rsidR="00653970" w:rsidRPr="00471C07" w:rsidRDefault="00653970" w:rsidP="00653970">
      <w:pPr>
        <w:bidi/>
        <w:spacing w:before="100" w:beforeAutospacing="1" w:after="100" w:afterAutospacing="1" w:line="276" w:lineRule="auto"/>
        <w:jc w:val="both"/>
        <w:rPr>
          <w:rFonts w:ascii="Simplified Arabic" w:eastAsia="Times New Roman" w:hAnsi="Simplified Arabic" w:cs="Simplified Arabic"/>
          <w:sz w:val="28"/>
          <w:szCs w:val="28"/>
        </w:rPr>
      </w:pPr>
    </w:p>
    <w:p w14:paraId="7BF87E52" w14:textId="2F27643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lastRenderedPageBreak/>
        <w:t xml:space="preserve"> </w:t>
      </w:r>
      <w:r w:rsidRPr="00471C07">
        <w:rPr>
          <w:rFonts w:ascii="Simplified Arabic" w:eastAsia="Times New Roman" w:hAnsi="Simplified Arabic" w:cs="Simplified Arabic" w:hint="cs"/>
          <w:b/>
          <w:bCs/>
          <w:sz w:val="28"/>
          <w:szCs w:val="28"/>
          <w:rtl/>
        </w:rPr>
        <w:t xml:space="preserve">دراسة السلمي وشعيبي (2024) بعنوان </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b/>
          <w:bCs/>
          <w:sz w:val="28"/>
          <w:szCs w:val="28"/>
          <w:rtl/>
        </w:rPr>
        <w:t>دور القيادة التحويلية في تعزيز السمعة التنظيمية: دراسة ميدانية على الموظفين الإداريين بالشؤون الصحية بمحافظة جدة</w:t>
      </w:r>
      <w:r w:rsidRPr="00471C07">
        <w:rPr>
          <w:rFonts w:ascii="Simplified Arabic" w:eastAsia="Times New Roman" w:hAnsi="Simplified Arabic" w:cs="Simplified Arabic" w:hint="cs"/>
          <w:b/>
          <w:bCs/>
          <w:sz w:val="28"/>
          <w:szCs w:val="28"/>
        </w:rPr>
        <w:t>"</w:t>
      </w:r>
    </w:p>
    <w:p w14:paraId="0713147E"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دور القيادة التحويلية بأبعادها (التأثير المثالي، الحافز الإلهامي، الاستثارة الفكرية، مراعاة الشعور الفردي) في تعزيز السمعة التنظيمية لدى الموظفين الإداريين بالشؤون الصحية بمحافظة جدة. واستخدمت الدراسة المنهج الوصفي التحليلي، وتكونت العينة من (150) موظفاً من مجموع (200) موظف بالشؤون الصحية بمحافظة جدة، واستُخدمت الاستبانة كأداة للدراسة. وتوصلت نتائج الدراسة إلى أنه يوجد دور إيجابي ودال إحصائياً للقيادة التحويلية في تعزيز السمعة التنظيمية، حيث تبيّن أن القائد يتجاوز مصالحه الذاتية لتحقيق المصلحة العامة للعمل بمتوسط حسابي (2.07)، وأن القائد يمتلك رؤية واضحة لمستقبل العمل بمتوسط حسابي (2.04)، كما أن الشؤون الصحية تهتم بتقديم أفضل خدماتها لتحقيق أهدافها بمتوسط حسابي</w:t>
      </w:r>
      <w:r w:rsidRPr="00471C07">
        <w:rPr>
          <w:rFonts w:ascii="Simplified Arabic" w:eastAsia="Times New Roman" w:hAnsi="Simplified Arabic" w:cs="Simplified Arabic" w:hint="cs"/>
          <w:sz w:val="28"/>
          <w:szCs w:val="28"/>
        </w:rPr>
        <w:t xml:space="preserve"> (2.02). </w:t>
      </w:r>
      <w:r w:rsidRPr="00471C07">
        <w:rPr>
          <w:rFonts w:ascii="Simplified Arabic" w:eastAsia="Times New Roman" w:hAnsi="Simplified Arabic" w:cs="Simplified Arabic" w:hint="cs"/>
          <w:sz w:val="28"/>
          <w:szCs w:val="28"/>
          <w:rtl/>
        </w:rPr>
        <w:t>وأوصت الدراسة بضرورة تثقيف الموظفين على جميع المستويات الإدارية حول أهمية القيادة التحويلية، وتنفيذ خصائص القيادة التحويلية ككل نظراً لتأثيرها على تعزيز الالتزام التنظيمي، وزيادة الشعور بالانتماء من خلال توفير الحوافز المادية والمعنوية للموظفين الأكثر التزاماً</w:t>
      </w:r>
      <w:r w:rsidRPr="00471C07">
        <w:rPr>
          <w:rFonts w:ascii="Simplified Arabic" w:eastAsia="Times New Roman" w:hAnsi="Simplified Arabic" w:cs="Simplified Arabic" w:hint="cs"/>
          <w:sz w:val="28"/>
          <w:szCs w:val="28"/>
        </w:rPr>
        <w:t>.</w:t>
      </w:r>
    </w:p>
    <w:p w14:paraId="33A0529D" w14:textId="725C2716"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الخضران (2023) بعنوان "دور القيادة التحويلية في تعزيز المسؤولية المجتمعية: دراسة تطبيقية على مديرية الشؤون الصحية بعسير</w:t>
      </w:r>
      <w:r w:rsidRPr="00471C07">
        <w:rPr>
          <w:rFonts w:ascii="Simplified Arabic" w:eastAsia="Times New Roman" w:hAnsi="Simplified Arabic" w:cs="Simplified Arabic" w:hint="cs"/>
          <w:b/>
          <w:bCs/>
          <w:sz w:val="28"/>
          <w:szCs w:val="28"/>
        </w:rPr>
        <w:t>"</w:t>
      </w:r>
    </w:p>
    <w:p w14:paraId="288E319F"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هدفت الدراسة إلى التعرف على دور القيادة التحويلية بأبعادها (التأثير المثالي، الاستثارة الفكرية، التحفيز الإلهامي، الاعتبار الفردي) في تعزيز المسؤولية المجتمعية لدى العاملين في مديرية الشؤون الصحية بمنطقة عسير بالمملكة العربية السعودية. واستخدمت الدراسة المنهج الوصفي التحليلي، واعتُمدت الاستبانة كأداة لجمع البيانات من عينة من العاملين بمديرية الشؤون الصحية بعسير، واشتملت الاستبانة على محورين أساسيين: القيادة التحويلية والمسؤولية المجتمعية. وتوصلت نتائج الدراسة إلى أنه توجد علاقة ذات دلالة إحصائية بين أبعاد القيادة التحويلية ومستوى المسؤولية المجتمعية للعاملين بمديرية الشؤون الصحية بعسير، مما يؤكد أن ممارسة القيادة التحويلية تسهم في تعزيز سلوكيات المسؤولية المجتمعية لدى الموظفين. وأوصت الدراسة بضرورة إجراء المزيد من </w:t>
      </w:r>
      <w:r w:rsidRPr="00471C07">
        <w:rPr>
          <w:rFonts w:ascii="Simplified Arabic" w:eastAsia="Times New Roman" w:hAnsi="Simplified Arabic" w:cs="Simplified Arabic" w:hint="cs"/>
          <w:sz w:val="28"/>
          <w:szCs w:val="28"/>
          <w:rtl/>
        </w:rPr>
        <w:lastRenderedPageBreak/>
        <w:t>الدراسات والبحوث الميدانية في منظمات القطاع العام حول مفهوم القيادة التحويلية، وإمكانية الاستفادة منها بدراسة متغيرات أخرى مثل الهندرة والإبداع الإداري والولاء التنظيمي</w:t>
      </w:r>
      <w:r w:rsidRPr="00471C07">
        <w:rPr>
          <w:rFonts w:ascii="Simplified Arabic" w:eastAsia="Times New Roman" w:hAnsi="Simplified Arabic" w:cs="Simplified Arabic" w:hint="cs"/>
          <w:sz w:val="28"/>
          <w:szCs w:val="28"/>
        </w:rPr>
        <w:t>.</w:t>
      </w:r>
    </w:p>
    <w:p w14:paraId="486F4935" w14:textId="0584923A"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 الغنام والصقر (2025) بعنوان "دور القيادة التحويلية في تحقيق التميز المؤسسي: جامعة الأمير سطام بن عبدالعزيز نموذجاً</w:t>
      </w:r>
      <w:r w:rsidRPr="00471C07">
        <w:rPr>
          <w:rFonts w:ascii="Simplified Arabic" w:eastAsia="Times New Roman" w:hAnsi="Simplified Arabic" w:cs="Simplified Arabic" w:hint="cs"/>
          <w:b/>
          <w:bCs/>
          <w:sz w:val="28"/>
          <w:szCs w:val="28"/>
        </w:rPr>
        <w:t>"</w:t>
      </w:r>
    </w:p>
    <w:p w14:paraId="705840CE"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دور القيادة التحويلية في تحقيق التميز المؤسسي بجامعة الأمير سطام بن عبدالعزيز، وحصر التحديات التي تواجه القيادة التحويلية في تحقيق التميز المؤسسي بالجامعة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واستخدمت الدراسة المنهج الوصفي، واعتُمدت الاستبانة كأداة لجمع البيانات، وتكونت العينة من (58) فرداً من القيادات الأكاديمية بالجامعة (عميد كلية، رئيس قسم، وكيل، مدير إدارة). وتوصلت نتائج الدراسة إلى أنه يوجد دور قوي وذو دلالة إحصائية بين القيادة التحويلية والتميز المؤسسي بجامعة الأمير سطام بن عبدالعزيز، حيث بلغ معامل الارتباط (0.852)، وأن التغير الحاصل في التميز المؤسسي نتيجة القيادة التحويلية يُقدَّر بنسبة (72.1%)، كما جاء مستوى القيادة التحويلية مرتفعاً بمتوسط (3.83)، ومستوى التميز المؤسسي مرتفعاً بمتوسط </w:t>
      </w:r>
      <w:r w:rsidRPr="00471C07">
        <w:rPr>
          <w:rFonts w:ascii="Simplified Arabic" w:eastAsia="Times New Roman" w:hAnsi="Simplified Arabic" w:cs="Simplified Arabic" w:hint="cs"/>
          <w:sz w:val="28"/>
          <w:szCs w:val="28"/>
        </w:rPr>
        <w:t>(3.71)</w:t>
      </w:r>
      <w:r w:rsidRPr="00471C07">
        <w:rPr>
          <w:rFonts w:ascii="Simplified Arabic" w:eastAsia="Times New Roman" w:hAnsi="Simplified Arabic" w:cs="Simplified Arabic" w:hint="cs"/>
          <w:sz w:val="28"/>
          <w:szCs w:val="28"/>
          <w:rtl/>
        </w:rPr>
        <w:t>، مع عدم وجود فروق ذات دلالة إحصائية تُعزى للمتغيرات الديموغرافية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بضرورة تشجيع العاملين على تقديم أفكار ملهمة وإبداعية، وتشجيع القيادات على تطوير مهاراتهم في استخدام التقنيات الحديثة، وتبني معايير القيادة التحويلية كأساس لاختيار القيادات الأكاديمية</w:t>
      </w:r>
      <w:r w:rsidRPr="00471C07">
        <w:rPr>
          <w:rFonts w:ascii="Simplified Arabic" w:eastAsia="Times New Roman" w:hAnsi="Simplified Arabic" w:cs="Simplified Arabic" w:hint="cs"/>
          <w:sz w:val="28"/>
          <w:szCs w:val="28"/>
        </w:rPr>
        <w:t>.</w:t>
      </w:r>
    </w:p>
    <w:p w14:paraId="44088ECC" w14:textId="637A5CE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Hussain etal.,(2024)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"Transforming Performance: The Significance of Transformational Leadership"</w:t>
      </w:r>
    </w:p>
    <w:p w14:paraId="175B0AB8"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هدفت الدراسة إلى التعرف على العلاقة الديناميكية بين القيادة التحويلية بأبعادها (التأثير المثالي، التحفيز الإلهامي، الاستثارة الفكرية، الاعتبارات الفردية) والأداء الوظيفي للموظفين في إحدى الشركات بمنطقة باندار بارو بانجي في ماليزيا. واستخدمت الدراسة المنهج الكمي، واعتُمدت الاستبانة كأداة لجمع البيانات من عينة من الموظفين عبر مختلف الأقسام في الشركة، وتم تحليل النتائج باستخدام معامل ارتباط بيرسون. وتوصلت نتائج الدراسة إلى أنه توجد ارتباطات إيجابية ذات دلالة إحصائية بين جميع أبعاد القيادة التحويلية الأربعة والأداء الوظيفي للموظفين، حيث تبيّن أن القادة الذين يُظهرون سلوكاً كاريزمياً ويُلهمون برؤية مقنعة ويقدمون دعماً شخصياً ويحفزون الإبداع يُحسِّنون </w:t>
      </w:r>
      <w:r w:rsidRPr="00471C07">
        <w:rPr>
          <w:rFonts w:ascii="Simplified Arabic" w:eastAsia="Times New Roman" w:hAnsi="Simplified Arabic" w:cs="Simplified Arabic" w:hint="cs"/>
          <w:sz w:val="28"/>
          <w:szCs w:val="28"/>
          <w:rtl/>
        </w:rPr>
        <w:lastRenderedPageBreak/>
        <w:t>أداء الموظفين بشكل ملحوظ</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وأوصت الدراسة بأن يعمل ممارسو الموارد البشرية على توظيف مبادئ القيادة التحويلية لتعزيز أداء الموظفين وتحقيق النجاح المؤسسي، وتبني ممارسات القيادة التحويلية لبناء قوة عاملة محفزة ومنخرطة وعالية الأداء</w:t>
      </w:r>
      <w:r w:rsidRPr="00471C07">
        <w:rPr>
          <w:rFonts w:ascii="Simplified Arabic" w:eastAsia="Times New Roman" w:hAnsi="Simplified Arabic" w:cs="Simplified Arabic" w:hint="cs"/>
          <w:sz w:val="28"/>
          <w:szCs w:val="28"/>
        </w:rPr>
        <w:t>.</w:t>
      </w:r>
    </w:p>
    <w:p w14:paraId="7634E0DF" w14:textId="5CA4321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Purwanti &amp; Sari (2024)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"The Effect of Transformational Leadership on Team Performance in the Work Environment"</w:t>
      </w:r>
    </w:p>
    <w:p w14:paraId="65A3C511"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العلاقة بين أسلوب القيادة التحويلية ومؤشرات أداء الفريق المتعددة بما في ذلك الإنتاجية والابتكار والرضا الوظيفي والالتزام التنظيمي في بيئة العمل</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المنهج الكمي بتصميم المسح التفسيري</w:t>
      </w:r>
      <w:r w:rsidRPr="00471C07">
        <w:rPr>
          <w:rFonts w:ascii="Simplified Arabic" w:eastAsia="Times New Roman" w:hAnsi="Simplified Arabic" w:cs="Simplified Arabic" w:hint="cs"/>
          <w:sz w:val="28"/>
          <w:szCs w:val="28"/>
        </w:rPr>
        <w:t xml:space="preserve"> (Explanatory Survey)</w:t>
      </w:r>
      <w:r w:rsidRPr="00471C07">
        <w:rPr>
          <w:rFonts w:ascii="Simplified Arabic" w:eastAsia="Times New Roman" w:hAnsi="Simplified Arabic" w:cs="Simplified Arabic" w:hint="cs"/>
          <w:sz w:val="28"/>
          <w:szCs w:val="28"/>
          <w:rtl/>
        </w:rPr>
        <w:t>، وتكونت العينة من (66) موظفاً من عدة أقسام ممن لديهم خبرة عمل تحت قيادة تحويلية لا تقل عن سنة واحدة، وتم تحليل البيانات باستخدام اختبار الانحدار. وتوصلت نتائج الدراسة إلى أنه يوجد تأثير إيجابي ومعنوي للقيادة التحويلية على أداء الفريق في بيئة العمل بقيمة</w:t>
      </w:r>
      <w:r w:rsidRPr="00471C07">
        <w:rPr>
          <w:rFonts w:ascii="Simplified Arabic" w:eastAsia="Times New Roman" w:hAnsi="Simplified Arabic" w:cs="Simplified Arabic" w:hint="cs"/>
          <w:sz w:val="28"/>
          <w:szCs w:val="28"/>
        </w:rPr>
        <w:t xml:space="preserve"> (p-value = 0.000)</w:t>
      </w:r>
      <w:r w:rsidRPr="00471C07">
        <w:rPr>
          <w:rFonts w:ascii="Simplified Arabic" w:eastAsia="Times New Roman" w:hAnsi="Simplified Arabic" w:cs="Simplified Arabic" w:hint="cs"/>
          <w:sz w:val="28"/>
          <w:szCs w:val="28"/>
          <w:rtl/>
        </w:rPr>
        <w:t xml:space="preserve">، كما أن دافعية الفريق لها تأثير إيجابي على أداء الفريق بقيمة </w:t>
      </w:r>
      <w:r w:rsidRPr="00471C07">
        <w:rPr>
          <w:rFonts w:ascii="Simplified Arabic" w:eastAsia="Times New Roman" w:hAnsi="Simplified Arabic" w:cs="Simplified Arabic" w:hint="cs"/>
          <w:sz w:val="28"/>
          <w:szCs w:val="28"/>
        </w:rPr>
        <w:t xml:space="preserve">(p-value = 0.000) </w:t>
      </w:r>
      <w:r w:rsidRPr="00471C07">
        <w:rPr>
          <w:rFonts w:ascii="Simplified Arabic" w:eastAsia="Times New Roman" w:hAnsi="Simplified Arabic" w:cs="Simplified Arabic" w:hint="cs"/>
          <w:sz w:val="28"/>
          <w:szCs w:val="28"/>
          <w:rtl/>
        </w:rPr>
        <w:t>كذلك، وأن القيادة التحويلية تُشجع الدافع الداخلي للفريق من خلال الإلهام والتأثير المثالي والتمكين الفكري، مما يرفع جودة الإنتاجية والأداء. وأوصت الدراسة بأنه يجب على المنظمات التركيز على تطوير القيادة التحويلية وخلق بيئة عمل داعمة للدافع الداخلي لأعضاء الفريق لتحقيق أداء أعلى ونتائج تنظيمية أفضل</w:t>
      </w:r>
      <w:r w:rsidRPr="00471C07">
        <w:rPr>
          <w:rFonts w:ascii="Simplified Arabic" w:eastAsia="Times New Roman" w:hAnsi="Simplified Arabic" w:cs="Simplified Arabic" w:hint="cs"/>
          <w:sz w:val="28"/>
          <w:szCs w:val="28"/>
        </w:rPr>
        <w:t>.</w:t>
      </w:r>
    </w:p>
    <w:p w14:paraId="6EF4AAE4" w14:textId="56BF82D3"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Suryadi etal.,(2024)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"The Impact of Transformational Leadership on Organizational Performance and Employee Motivation"</w:t>
      </w:r>
    </w:p>
    <w:p w14:paraId="3B4CE4F0"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القيادة التحويلية على الأداء المؤسسي ودافعية الموظفين في المنظمات. واستخدمت الدراسة المنهج الوصفي النوعي، وتم جمع البيانات من خلال المقابلات المعمقة والملاحظة المباشرة وتحليل الوثائق مع قادة تحويليين وموظفين من مستويات تنظيمية مختلفة، واستُخدم أسلوب التحليل الموضوعي</w:t>
      </w:r>
      <w:r w:rsidRPr="00471C07">
        <w:rPr>
          <w:rFonts w:ascii="Simplified Arabic" w:eastAsia="Times New Roman" w:hAnsi="Simplified Arabic" w:cs="Simplified Arabic" w:hint="cs"/>
          <w:sz w:val="28"/>
          <w:szCs w:val="28"/>
        </w:rPr>
        <w:t xml:space="preserve"> (Thematic Analysis) </w:t>
      </w:r>
      <w:r w:rsidRPr="00471C07">
        <w:rPr>
          <w:rFonts w:ascii="Simplified Arabic" w:eastAsia="Times New Roman" w:hAnsi="Simplified Arabic" w:cs="Simplified Arabic" w:hint="cs"/>
          <w:sz w:val="28"/>
          <w:szCs w:val="28"/>
          <w:rtl/>
        </w:rPr>
        <w:t>لتحليل البيانات. وتوصلت نتائج الدراسة إلى أنه يوجد تأثير إيجابي كبير</w:t>
      </w:r>
      <w:r w:rsidRPr="00471C07">
        <w:rPr>
          <w:rFonts w:ascii="Simplified Arabic" w:eastAsia="Times New Roman" w:hAnsi="Simplified Arabic" w:cs="Simplified Arabic" w:hint="cs"/>
          <w:b/>
          <w:bCs/>
          <w:sz w:val="28"/>
          <w:szCs w:val="28"/>
          <w:rtl/>
        </w:rPr>
        <w:t xml:space="preserve"> ومعنوي</w:t>
      </w:r>
      <w:r w:rsidRPr="00471C07">
        <w:rPr>
          <w:rFonts w:ascii="Simplified Arabic" w:eastAsia="Times New Roman" w:hAnsi="Simplified Arabic" w:cs="Simplified Arabic" w:hint="cs"/>
          <w:sz w:val="28"/>
          <w:szCs w:val="28"/>
          <w:rtl/>
        </w:rPr>
        <w:t xml:space="preserve"> للقيادة التحويلية على جميع المؤشرات المقاسة، حيث ارتفعت الإنتاجية من </w:t>
      </w:r>
      <w:r w:rsidRPr="00471C07">
        <w:rPr>
          <w:rFonts w:ascii="Simplified Arabic" w:eastAsia="Times New Roman" w:hAnsi="Simplified Arabic" w:cs="Simplified Arabic" w:hint="cs"/>
          <w:sz w:val="28"/>
          <w:szCs w:val="28"/>
        </w:rPr>
        <w:t xml:space="preserve">(65) </w:t>
      </w:r>
      <w:r w:rsidRPr="00471C07">
        <w:rPr>
          <w:rFonts w:ascii="Simplified Arabic" w:eastAsia="Times New Roman" w:hAnsi="Simplified Arabic" w:cs="Simplified Arabic" w:hint="cs"/>
          <w:sz w:val="28"/>
          <w:szCs w:val="28"/>
          <w:rtl/>
        </w:rPr>
        <w:t>إلى (85) بنسبة زيادة (30.77%)، والرضا الوظيفي من (70) إلى</w:t>
      </w:r>
      <w:r w:rsidRPr="00471C07">
        <w:rPr>
          <w:rFonts w:ascii="Simplified Arabic" w:eastAsia="Times New Roman" w:hAnsi="Simplified Arabic" w:cs="Simplified Arabic" w:hint="cs"/>
          <w:sz w:val="28"/>
          <w:szCs w:val="28"/>
        </w:rPr>
        <w:t xml:space="preserve"> (90) </w:t>
      </w:r>
      <w:r w:rsidRPr="00471C07">
        <w:rPr>
          <w:rFonts w:ascii="Simplified Arabic" w:eastAsia="Times New Roman" w:hAnsi="Simplified Arabic" w:cs="Simplified Arabic" w:hint="cs"/>
          <w:sz w:val="28"/>
          <w:szCs w:val="28"/>
          <w:rtl/>
        </w:rPr>
        <w:t>بنسبة (28.57%)، والدافعية الداخلية من (60) إلى (80) بنسبة</w:t>
      </w:r>
      <w:r w:rsidRPr="00471C07">
        <w:rPr>
          <w:rFonts w:ascii="Simplified Arabic" w:eastAsia="Times New Roman" w:hAnsi="Simplified Arabic" w:cs="Simplified Arabic" w:hint="cs"/>
          <w:sz w:val="28"/>
          <w:szCs w:val="28"/>
        </w:rPr>
        <w:t xml:space="preserve"> (33.33%)</w:t>
      </w:r>
      <w:r w:rsidRPr="00471C07">
        <w:rPr>
          <w:rFonts w:ascii="Simplified Arabic" w:eastAsia="Times New Roman" w:hAnsi="Simplified Arabic" w:cs="Simplified Arabic" w:hint="cs"/>
          <w:sz w:val="28"/>
          <w:szCs w:val="28"/>
          <w:rtl/>
        </w:rPr>
        <w:t xml:space="preserve">، والإبداع </w:t>
      </w:r>
      <w:r w:rsidRPr="00471C07">
        <w:rPr>
          <w:rFonts w:ascii="Simplified Arabic" w:eastAsia="Times New Roman" w:hAnsi="Simplified Arabic" w:cs="Simplified Arabic" w:hint="cs"/>
          <w:sz w:val="28"/>
          <w:szCs w:val="28"/>
          <w:rtl/>
        </w:rPr>
        <w:lastRenderedPageBreak/>
        <w:t>من (50) إلى (75) بنسبة (50%). وأوصت الدراسة بأن تطبيق القيادة التحويلية في مختلف أنواع المنظمات يمثل استراتيجية فعالة لتحقيق الميزة التنافسية والنمو المستدام، وأن القادة القادرين على إلهام وتحفيز موظفيهم بفاعلية يمكنهم خلق ثقافة تنظيمية ديناميكية ومنتجة</w:t>
      </w:r>
      <w:r w:rsidRPr="00471C07">
        <w:rPr>
          <w:rFonts w:ascii="Simplified Arabic" w:eastAsia="Times New Roman" w:hAnsi="Simplified Arabic" w:cs="Simplified Arabic" w:hint="cs"/>
          <w:sz w:val="28"/>
          <w:szCs w:val="28"/>
        </w:rPr>
        <w:t>.</w:t>
      </w:r>
    </w:p>
    <w:p w14:paraId="2B7FC3D6" w14:textId="1A739CF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Pr>
        <w:t xml:space="preserve"> </w:t>
      </w: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Jaroliya &amp; Gyanchandani (2022) </w:t>
      </w:r>
      <w:r w:rsidRPr="00471C07">
        <w:rPr>
          <w:rFonts w:ascii="Simplified Arabic" w:eastAsia="Times New Roman" w:hAnsi="Simplified Arabic" w:cs="Simplified Arabic" w:hint="cs"/>
          <w:b/>
          <w:bCs/>
          <w:sz w:val="28"/>
          <w:szCs w:val="28"/>
          <w:rtl/>
        </w:rPr>
        <w:t>بعنوان</w:t>
      </w:r>
      <w:r w:rsidRPr="00471C07">
        <w:rPr>
          <w:rFonts w:ascii="Simplified Arabic" w:eastAsia="Times New Roman" w:hAnsi="Simplified Arabic" w:cs="Simplified Arabic" w:hint="cs"/>
          <w:b/>
          <w:bCs/>
          <w:sz w:val="28"/>
          <w:szCs w:val="28"/>
        </w:rPr>
        <w:t xml:space="preserve"> "Transformational Leadership Style: A Boost or Hindrance to Team Performance in IT Sector"</w:t>
      </w:r>
    </w:p>
    <w:p w14:paraId="5F88B0BF"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أسلوب القيادة التحويلية بأبعادها (التأثير المثالي، التحفيز الإلهامي، الاستثارة الفكرية، الاعتبارات الفردية) على أداء الفريق، وتحديد ما إذا كانت القيادة التحويلية تمثل دفعة إيجابية أم عائقاً أمام أداء الفرق في قطاع تكنولوجيا المعلومات. واستخدمت الدراسة المنهج الكمي، وتم جمع البيانات من خلال استبانات وُزعت على فرق تنظيمية عاملة في قطاع تكنولوجيا المعلومات</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وتوصلت نتائج الدراسة إلى أنه يوجد تأثير إيجابي ومعنوي للقيادة التحويلية على أداء الفريق في قطاع تكنولوجيا المعلومات، مما يعني أنها تمثل دفعة قوية</w:t>
      </w:r>
      <w:r w:rsidRPr="00471C07">
        <w:rPr>
          <w:rFonts w:ascii="Simplified Arabic" w:eastAsia="Times New Roman" w:hAnsi="Simplified Arabic" w:cs="Simplified Arabic" w:hint="cs"/>
          <w:sz w:val="28"/>
          <w:szCs w:val="28"/>
        </w:rPr>
        <w:t xml:space="preserve"> (Boost) </w:t>
      </w:r>
      <w:r w:rsidRPr="00471C07">
        <w:rPr>
          <w:rFonts w:ascii="Simplified Arabic" w:eastAsia="Times New Roman" w:hAnsi="Simplified Arabic" w:cs="Simplified Arabic" w:hint="cs"/>
          <w:sz w:val="28"/>
          <w:szCs w:val="28"/>
          <w:rtl/>
        </w:rPr>
        <w:t>وليست عائقاً أمام أداء الفرق، حيث تُسهم في تعزيز الإبداع والابتكار والتعاون بين أعضاء الفريق وتُحسِّن من مستوى الأداء الجماعي بشكل ملحوظ. وأوصت الدراسة بضرورة تبني المنظمات العاملة في قطاع تكنولوجيا المعلومات لأسلوب القيادة التحويلية كآلية استراتيجية لتعزيز أداء فرق العمل وتحقيق نتائج تنظيمية متميزة، والاستثمار في تطوير المهارات القيادية التحويلية لدى المديرين والمشرفين</w:t>
      </w:r>
      <w:r w:rsidRPr="00471C07">
        <w:rPr>
          <w:rFonts w:ascii="Simplified Arabic" w:eastAsia="Times New Roman" w:hAnsi="Simplified Arabic" w:cs="Simplified Arabic" w:hint="cs"/>
          <w:sz w:val="28"/>
          <w:szCs w:val="28"/>
        </w:rPr>
        <w:t>.</w:t>
      </w:r>
    </w:p>
    <w:p w14:paraId="0B5C9A31" w14:textId="73B7364E"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b/>
          <w:bCs/>
          <w:kern w:val="36"/>
          <w:sz w:val="28"/>
          <w:szCs w:val="28"/>
        </w:rPr>
      </w:pPr>
      <w:r w:rsidRPr="00471C07">
        <w:rPr>
          <w:rFonts w:ascii="Simplified Arabic" w:eastAsia="Times New Roman" w:hAnsi="Simplified Arabic" w:cs="Simplified Arabic" w:hint="cs"/>
          <w:b/>
          <w:bCs/>
          <w:kern w:val="36"/>
          <w:sz w:val="28"/>
          <w:szCs w:val="28"/>
          <w:rtl/>
        </w:rPr>
        <w:t xml:space="preserve">المحور الثاني: الدراسات السابقة المتعلقة بالتحول الرقمي </w:t>
      </w:r>
    </w:p>
    <w:p w14:paraId="6AB2D2C9" w14:textId="60A90F6A"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 الزهراني ومُجلّد</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أثر التحول الرقمي على الأداء الوظيفي: دراسة ميدانية على موظفي المستشفيات التخصصية بجدة</w:t>
      </w:r>
      <w:r w:rsidRPr="00471C07">
        <w:rPr>
          <w:rFonts w:ascii="Simplified Arabic" w:eastAsia="Times New Roman" w:hAnsi="Simplified Arabic" w:cs="Simplified Arabic" w:hint="cs"/>
          <w:sz w:val="28"/>
          <w:szCs w:val="28"/>
        </w:rPr>
        <w:t>".</w:t>
      </w:r>
    </w:p>
    <w:p w14:paraId="5A1DDDA1" w14:textId="1FCC204B"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بمحافظة جدة. واستخدمت الدراسة المنهج الوصفي التحليلي، حيث صُمّمت قائمة استقصاء كأداة رئيسية لجمع البيانات، وتكونت العينة من</w:t>
      </w:r>
      <w:r w:rsidRPr="00471C07">
        <w:rPr>
          <w:rFonts w:ascii="Simplified Arabic" w:eastAsia="Times New Roman" w:hAnsi="Simplified Arabic" w:cs="Simplified Arabic" w:hint="cs"/>
          <w:sz w:val="28"/>
          <w:szCs w:val="28"/>
        </w:rPr>
        <w:t xml:space="preserve"> (290) </w:t>
      </w:r>
      <w:r w:rsidRPr="00471C07">
        <w:rPr>
          <w:rFonts w:ascii="Simplified Arabic" w:eastAsia="Times New Roman" w:hAnsi="Simplified Arabic" w:cs="Simplified Arabic" w:hint="cs"/>
          <w:sz w:val="28"/>
          <w:szCs w:val="28"/>
          <w:rtl/>
        </w:rPr>
        <w:t xml:space="preserve">مفردة تم اختيارها عشوائيًا من الأطباء والصيادلة </w:t>
      </w:r>
      <w:r w:rsidRPr="00471C07">
        <w:rPr>
          <w:rFonts w:ascii="Simplified Arabic" w:eastAsia="Times New Roman" w:hAnsi="Simplified Arabic" w:cs="Simplified Arabic" w:hint="cs"/>
          <w:sz w:val="28"/>
          <w:szCs w:val="28"/>
          <w:rtl/>
        </w:rPr>
        <w:lastRenderedPageBreak/>
        <w:t>والإداريين والفنيين العاملين في مستشفى العيون بجدة ومستشفى العزيزية، وتم تحليل البيانات باستخدام برنامج</w:t>
      </w:r>
      <w:r w:rsidRPr="00471C07">
        <w:rPr>
          <w:rFonts w:ascii="Simplified Arabic" w:eastAsia="Times New Roman" w:hAnsi="Simplified Arabic" w:cs="Simplified Arabic" w:hint="cs"/>
          <w:sz w:val="28"/>
          <w:szCs w:val="28"/>
        </w:rPr>
        <w:t xml:space="preserve"> SPSS. </w:t>
      </w:r>
      <w:r w:rsidRPr="00471C07">
        <w:rPr>
          <w:rFonts w:ascii="Simplified Arabic" w:eastAsia="Times New Roman" w:hAnsi="Simplified Arabic" w:cs="Simplified Arabic" w:hint="cs"/>
          <w:sz w:val="28"/>
          <w:szCs w:val="28"/>
          <w:rtl/>
        </w:rPr>
        <w:t>وتوصلت نتائج الدراسة إلى وجود أثر ذي دلالة إحصائية عند مستوى (0.05) للتحول الرقمي بجميع أبعاده على الأداء الوظيفي، كما أن مستوى التحول الرقمي والأداء الوظيفي جاء مرتفعًا في المستشفيات محل الدراسة. كذلك أظهرت النتائج وجود فروق ذات دلالة إحصائية وفقًا لمتغيري العمر والمؤهل العلمي. وأوصت الدراسة بضرورة الحرص على تطبيق التحول الرقمي بأبعاده المختلفة بما يحقّق تحسين أداء العاملين وينعكس إيجابيًا على مستوى الخدمة الصحية المقدمة للمستفيدين .</w:t>
      </w:r>
    </w:p>
    <w:p w14:paraId="2484E798" w14:textId="3B23096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 موافي وبدوي</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تأثير التحول الرقمي على الأداء الوظيفي للشركات</w:t>
      </w:r>
      <w:r w:rsidRPr="00471C07">
        <w:rPr>
          <w:rFonts w:ascii="Simplified Arabic" w:eastAsia="Times New Roman" w:hAnsi="Simplified Arabic" w:cs="Simplified Arabic" w:hint="cs"/>
          <w:sz w:val="28"/>
          <w:szCs w:val="28"/>
        </w:rPr>
        <w:t>".</w:t>
      </w:r>
    </w:p>
    <w:p w14:paraId="19B58AF0" w14:textId="1606595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الكشف عن تأثير التحول الرقمي على الأداء الوظيفي في الشركات التي تتبنى تطبيقات التحول الرقمي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واعتمدت الدراسة على المنهج الوصفي الارتباطي والمنهج المقارن والمنهج الكمي باستخدام طريقة الاستقصاء</w:t>
      </w:r>
      <w:r w:rsidRPr="00471C07">
        <w:rPr>
          <w:rFonts w:ascii="Simplified Arabic" w:eastAsia="Times New Roman" w:hAnsi="Simplified Arabic" w:cs="Simplified Arabic" w:hint="cs"/>
          <w:sz w:val="28"/>
          <w:szCs w:val="28"/>
        </w:rPr>
        <w:t xml:space="preserve"> (Survey)</w:t>
      </w:r>
      <w:r w:rsidRPr="00471C07">
        <w:rPr>
          <w:rFonts w:ascii="Simplified Arabic" w:eastAsia="Times New Roman" w:hAnsi="Simplified Arabic" w:cs="Simplified Arabic" w:hint="cs"/>
          <w:sz w:val="28"/>
          <w:szCs w:val="28"/>
          <w:rtl/>
        </w:rPr>
        <w:t>، وتكونت العينة من جميع العاملين بالشركات التي لديها تطبيقات للتحول الرقمي من الجنسين ممن تبلغ أعمارهم 21 سنة فأكثر خلال عام 2023. وتوصلت نتائج الدراسة إلى وجود علاقة خطية موجبة قوية بين أداء الموظفين والتحول الرقمي، كما وُجدت علاقة خطية موجبة متوسطة بين أداء الموظفين والثقافة الداخلية للمنظمة. وأوصت الدراسة بضرورة إجراء دراسات معمّقة للعوامل السلبية التي قد تعيق تطبيق التحول الرقمي في بيئات العمل المختلفة .</w:t>
      </w:r>
    </w:p>
    <w:p w14:paraId="1F08FCDB" w14:textId="47A4FA62"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 الطيب</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تأثير التحول الرقمي على المرونة التنظيمية: الدور الوسيط للثقافة التنظيمية</w:t>
      </w:r>
      <w:r w:rsidRPr="00471C07">
        <w:rPr>
          <w:rFonts w:ascii="Simplified Arabic" w:eastAsia="Times New Roman" w:hAnsi="Simplified Arabic" w:cs="Simplified Arabic" w:hint="cs"/>
          <w:sz w:val="28"/>
          <w:szCs w:val="28"/>
        </w:rPr>
        <w:t xml:space="preserve"> – </w:t>
      </w:r>
      <w:r w:rsidRPr="00471C07">
        <w:rPr>
          <w:rFonts w:ascii="Simplified Arabic" w:eastAsia="Times New Roman" w:hAnsi="Simplified Arabic" w:cs="Simplified Arabic" w:hint="cs"/>
          <w:sz w:val="28"/>
          <w:szCs w:val="28"/>
          <w:rtl/>
        </w:rPr>
        <w:t>دراسة تطبيقية على البنوك التجارية الحكومية في مصر</w:t>
      </w:r>
      <w:r w:rsidRPr="00471C07">
        <w:rPr>
          <w:rFonts w:ascii="Simplified Arabic" w:eastAsia="Times New Roman" w:hAnsi="Simplified Arabic" w:cs="Simplified Arabic" w:hint="cs"/>
          <w:sz w:val="28"/>
          <w:szCs w:val="28"/>
        </w:rPr>
        <w:t>".</w:t>
      </w:r>
    </w:p>
    <w:p w14:paraId="407DB74C" w14:textId="5926D485"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تحليل تأثير التحول الرقمي بأبعاده (التحول الاستراتيجي، التحول الإداري، تحول العمليات) على المرونة التنظيمية بأبعادها (الوعي، القدرة على التكيف)، مع اختبار الدور الوسيط للثقافة التنظيمية بأبعادها (المشاركة، الاتساق، التكيف، ثقافة المهمة)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واعتمدت الدراسة على المنهج الوصفي التحليلي، وجُمعت البيانات الأولية من خلال قائمة الاستقصاء، واستُخدمت أساليب إحصائية متقدمة عبر برنامجي</w:t>
      </w:r>
      <w:r w:rsidRPr="00471C07">
        <w:rPr>
          <w:rFonts w:ascii="Simplified Arabic" w:eastAsia="Times New Roman" w:hAnsi="Simplified Arabic" w:cs="Simplified Arabic" w:hint="cs"/>
          <w:sz w:val="28"/>
          <w:szCs w:val="28"/>
        </w:rPr>
        <w:t xml:space="preserve"> (SPSS 25)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(AMOS 25) </w:t>
      </w:r>
      <w:r w:rsidRPr="00471C07">
        <w:rPr>
          <w:rFonts w:ascii="Simplified Arabic" w:eastAsia="Times New Roman" w:hAnsi="Simplified Arabic" w:cs="Simplified Arabic" w:hint="cs"/>
          <w:sz w:val="28"/>
          <w:szCs w:val="28"/>
          <w:rtl/>
        </w:rPr>
        <w:t xml:space="preserve">لتحليل البيانات، وطُبّقت على موظفي البنوك التجارية الحكومية في مصر. وتوصلت النتائج إلى وجود تأثير معنوي لبُعد التحول الإداري على </w:t>
      </w:r>
      <w:r w:rsidRPr="00471C07">
        <w:rPr>
          <w:rFonts w:ascii="Simplified Arabic" w:eastAsia="Times New Roman" w:hAnsi="Simplified Arabic" w:cs="Simplified Arabic" w:hint="cs"/>
          <w:sz w:val="28"/>
          <w:szCs w:val="28"/>
          <w:rtl/>
        </w:rPr>
        <w:lastRenderedPageBreak/>
        <w:t>أبعاد المرونة التنظيمية، مع عدم وجود تأثير معنوي لأبعاد التحول الاستراتيجي وتحول العمليات عليها. كذلك ثبت وجود تأثير معنوي لأبعاد التحول الرقمي على أبعاد الثقافة التنظيمية، ووجود علاقة ارتباط معنوية موجبة قوية بين الثقافة التنظيمية والمرونة التنظيمية، فضلًا عن وجود تأثير جوهري للثقافة التنظيمية كمتغير وسيط في العلاقة بين التحول الرقمي والمرونة التنظيمية. وأوصت الدراسة بتعزيز البُعد الإداري للتحول الرقمي والاهتمام ببناء ثقافة تنظيمية داعمة للتغيير .</w:t>
      </w:r>
    </w:p>
    <w:p w14:paraId="04A229CB" w14:textId="7A7F2E9B"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 xml:space="preserve">دراسة العزب واخرون </w:t>
      </w:r>
      <w:r w:rsidRPr="00471C07">
        <w:rPr>
          <w:rFonts w:ascii="Simplified Arabic" w:eastAsia="Times New Roman" w:hAnsi="Simplified Arabic" w:cs="Simplified Arabic" w:hint="cs"/>
          <w:b/>
          <w:bCs/>
          <w:sz w:val="28"/>
          <w:szCs w:val="28"/>
        </w:rPr>
        <w:t xml:space="preserve"> (2023)</w:t>
      </w:r>
      <w:r w:rsidRPr="00471C07">
        <w:rPr>
          <w:rFonts w:ascii="Simplified Arabic" w:eastAsia="Times New Roman" w:hAnsi="Simplified Arabic" w:cs="Simplified Arabic" w:hint="cs"/>
          <w:b/>
          <w:bCs/>
          <w:sz w:val="28"/>
          <w:szCs w:val="28"/>
          <w:rtl/>
        </w:rPr>
        <w:t>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أثر تطبيق التحول الرقمي على تمكين الموارد البشرية – دراسة تطبيقية على العاملين بديوان عام وزارة الصحة والسكان المصرية</w:t>
      </w:r>
      <w:r w:rsidRPr="00471C07">
        <w:rPr>
          <w:rFonts w:ascii="Simplified Arabic" w:eastAsia="Times New Roman" w:hAnsi="Simplified Arabic" w:cs="Simplified Arabic" w:hint="cs"/>
          <w:sz w:val="28"/>
          <w:szCs w:val="28"/>
        </w:rPr>
        <w:t>".</w:t>
      </w:r>
    </w:p>
    <w:p w14:paraId="53F0A4DE" w14:textId="3C15AA94"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قياس أثر التحول الرقمي على تمكين الموارد البشرية في ديوان عام وزارة الصحة والسكان المصرية. واعتمدت الدراسة على المنهج الوصفي التحليلي، واستُخدمت أدوات الاستمارة والمقابلة الشخصية لجمع البيانات، وتكونت العينة من (332) مفردة من العاملين بالديوان العام. وتوصلت نتائج الدراسة إلى وجود علاقة ذات دلالة إحصائية وارتباط قوي بين إجمالي نشر التحول الرقمي وتمكين الموارد البشرية، حيث يُسهم التحول الرقمي بشكل كبير وفعّال في تمكين الموارد البشرية من خلال تحقيق آمال وتطلعات العاملين والحرص الدائم على الرد على استفساراتهم. وأوصت الدراسة بتسهيل إجراءات التطوير الوظيفي والأكاديمي للعاملين وتوسيع نطاق التحول الرقمي ليشمل كافة إدارات الوزارة ,</w:t>
      </w:r>
    </w:p>
    <w:p w14:paraId="0FDF9014" w14:textId="5F34B6B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Liang &amp; Tian (2024)</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"The Impact of Digital Transformation on the High-Quality Development of Enterprises: An Exploration Based on Meta-Analysis"</w:t>
      </w:r>
    </w:p>
    <w:p w14:paraId="372F8F8F" w14:textId="7C2FF800"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الكشف عن آليات تأثير التحول الرقمي على التطوير عالي الجودة للمؤسسات عبر ثلاثة مسارات رئيسية هي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الابتكار، وأداء المؤسسة، وأداء سوق رأس المال، وذلك في إطار نظرية الموارد </w:t>
      </w:r>
      <w:r w:rsidRPr="00471C07">
        <w:rPr>
          <w:rFonts w:ascii="Simplified Arabic" w:eastAsia="Times New Roman" w:hAnsi="Simplified Arabic" w:cs="Simplified Arabic" w:hint="cs"/>
          <w:sz w:val="28"/>
          <w:szCs w:val="28"/>
        </w:rPr>
        <w:t xml:space="preserve">(Resource-Based View - RBV). </w:t>
      </w:r>
      <w:r w:rsidRPr="00471C07">
        <w:rPr>
          <w:rFonts w:ascii="Simplified Arabic" w:eastAsia="Times New Roman" w:hAnsi="Simplified Arabic" w:cs="Simplified Arabic" w:hint="cs"/>
          <w:sz w:val="28"/>
          <w:szCs w:val="28"/>
          <w:rtl/>
        </w:rPr>
        <w:t xml:space="preserve">واستخدمت الدراسة منهج التحليل البعدي </w:t>
      </w:r>
      <w:r w:rsidRPr="00471C07">
        <w:rPr>
          <w:rFonts w:ascii="Simplified Arabic" w:eastAsia="Times New Roman" w:hAnsi="Simplified Arabic" w:cs="Simplified Arabic" w:hint="cs"/>
          <w:sz w:val="28"/>
          <w:szCs w:val="28"/>
        </w:rPr>
        <w:t xml:space="preserve">(Meta-Analysis) </w:t>
      </w:r>
      <w:r w:rsidRPr="00471C07">
        <w:rPr>
          <w:rFonts w:ascii="Simplified Arabic" w:eastAsia="Times New Roman" w:hAnsi="Simplified Arabic" w:cs="Simplified Arabic" w:hint="cs"/>
          <w:sz w:val="28"/>
          <w:szCs w:val="28"/>
          <w:rtl/>
        </w:rPr>
        <w:t xml:space="preserve">لتجميع وتحليل نتائج (40) دراسة تجريبية منشورة في الفترة من 2010 إلى 2022، شملت مقالات صينية وإنجليزية تم فحصها وفق معايير صارمة من أصل (6712) مقالة. وتوصلت النتائج إلى أن حجم الأثر الكلي للتحول الرقمي على التطوير عالي الجودة بلغ (0.422) </w:t>
      </w:r>
      <w:r w:rsidRPr="00471C07">
        <w:rPr>
          <w:rFonts w:ascii="Simplified Arabic" w:eastAsia="Times New Roman" w:hAnsi="Simplified Arabic" w:cs="Simplified Arabic" w:hint="cs"/>
          <w:sz w:val="28"/>
          <w:szCs w:val="28"/>
          <w:rtl/>
        </w:rPr>
        <w:lastRenderedPageBreak/>
        <w:t>وهو دال إحصائيًا</w:t>
      </w:r>
      <w:r w:rsidRPr="00471C07">
        <w:rPr>
          <w:rFonts w:ascii="Simplified Arabic" w:eastAsia="Times New Roman" w:hAnsi="Simplified Arabic" w:cs="Simplified Arabic" w:hint="cs"/>
          <w:sz w:val="28"/>
          <w:szCs w:val="28"/>
        </w:rPr>
        <w:t xml:space="preserve"> (p &lt; 0.001)</w:t>
      </w:r>
      <w:r w:rsidRPr="00471C07">
        <w:rPr>
          <w:rFonts w:ascii="Simplified Arabic" w:eastAsia="Times New Roman" w:hAnsi="Simplified Arabic" w:cs="Simplified Arabic" w:hint="cs"/>
          <w:sz w:val="28"/>
          <w:szCs w:val="28"/>
          <w:rtl/>
        </w:rPr>
        <w:t xml:space="preserve">، مما يعني أن التحول الرقمي يمارس تأثيرًا إيجابيًا متوسط القوة. كما أظهرت الدراسة أن عوامل الابتكار المؤسسي وأداء المؤسسة وأداء سوق رأس المال تلعب دورًا وسيطًا معنويًا في هذه العلاقة. وأوصت الدراسة بضرورة وضع أهداف واضحة للتحول الرقمي وبناء قدرات تحليل البيانات لدعم عملية اتخاذ القرار </w:t>
      </w:r>
    </w:p>
    <w:p w14:paraId="2F246848" w14:textId="4D1B06E0"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Abdurrahman etal.,(2024)</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"Impact of Dynamic Capabilities on Digital Transformation and Innovation to Improve Banking Performance: A TOE Framework Study"</w:t>
      </w:r>
    </w:p>
    <w:p w14:paraId="6D9312C2" w14:textId="59EC1CF3"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استكشاف تأثير القدرات الديناميكية وفقًا لإطار</w:t>
      </w:r>
      <w:r w:rsidRPr="00471C07">
        <w:rPr>
          <w:rFonts w:ascii="Simplified Arabic" w:eastAsia="Times New Roman" w:hAnsi="Simplified Arabic" w:cs="Simplified Arabic" w:hint="cs"/>
          <w:sz w:val="28"/>
          <w:szCs w:val="28"/>
        </w:rPr>
        <w:t xml:space="preserve"> TOE </w:t>
      </w:r>
      <w:r w:rsidRPr="00471C07">
        <w:rPr>
          <w:rFonts w:ascii="Simplified Arabic" w:eastAsia="Times New Roman" w:hAnsi="Simplified Arabic" w:cs="Simplified Arabic" w:hint="cs"/>
          <w:sz w:val="28"/>
          <w:szCs w:val="28"/>
          <w:rtl/>
        </w:rPr>
        <w:t xml:space="preserve">(التكنولوجيا – التنظيم – البيئة) على التحول الرقمي والابتكار بهدف تحسين أداء القطاع المصرفي. واستخدمت الدراسة المنهج الكمي بتطبيق نمذجة المعادلات البنائية بالمربعات الصغرى الجزئية </w:t>
      </w:r>
      <w:r w:rsidRPr="00471C07">
        <w:rPr>
          <w:rFonts w:ascii="Simplified Arabic" w:eastAsia="Times New Roman" w:hAnsi="Simplified Arabic" w:cs="Simplified Arabic" w:hint="cs"/>
          <w:sz w:val="28"/>
          <w:szCs w:val="28"/>
        </w:rPr>
        <w:t>(PLS-SEM)</w:t>
      </w:r>
      <w:r w:rsidRPr="00471C07">
        <w:rPr>
          <w:rFonts w:ascii="Simplified Arabic" w:eastAsia="Times New Roman" w:hAnsi="Simplified Arabic" w:cs="Simplified Arabic" w:hint="cs"/>
          <w:sz w:val="28"/>
          <w:szCs w:val="28"/>
          <w:rtl/>
        </w:rPr>
        <w:t>، وتكونت العينة من (325) مفردة من المهنيين العاملين في</w:t>
      </w:r>
      <w:r w:rsidRPr="00471C07">
        <w:rPr>
          <w:rFonts w:ascii="Simplified Arabic" w:eastAsia="Times New Roman" w:hAnsi="Simplified Arabic" w:cs="Simplified Arabic" w:hint="cs"/>
          <w:sz w:val="28"/>
          <w:szCs w:val="28"/>
        </w:rPr>
        <w:t xml:space="preserve"> (48) </w:t>
      </w:r>
      <w:r w:rsidRPr="00471C07">
        <w:rPr>
          <w:rFonts w:ascii="Simplified Arabic" w:eastAsia="Times New Roman" w:hAnsi="Simplified Arabic" w:cs="Simplified Arabic" w:hint="cs"/>
          <w:sz w:val="28"/>
          <w:szCs w:val="28"/>
          <w:rtl/>
        </w:rPr>
        <w:t>بنكًا في إندونيسيا تشمل بنوكًا حكومية وخاصة وإسلامية وإقليمية. وتوصلت النتائج إلى أن القدرات التكنولوجية وقدرات النظام البيئي تؤثر إيجابيًا ومعنويًا على التحول الرقمي والابتكار، وأن القدرات الاستراتيجية تؤثر إيجابيًا على التحول الرقمي، في حين أن القدرات التنظيمية تؤثر سلبيًا عليه. كما أن التحول الرقمي يؤثر إيجابيًا ومعنويًا على أداء البنوك، وأن قدرات الحوكمة وإدارة المخاطر والامتثال</w:t>
      </w:r>
      <w:r w:rsidRPr="00471C07">
        <w:rPr>
          <w:rFonts w:ascii="Simplified Arabic" w:eastAsia="Times New Roman" w:hAnsi="Simplified Arabic" w:cs="Simplified Arabic" w:hint="cs"/>
          <w:sz w:val="28"/>
          <w:szCs w:val="28"/>
        </w:rPr>
        <w:t xml:space="preserve"> (GRC) </w:t>
      </w:r>
      <w:r w:rsidRPr="00471C07">
        <w:rPr>
          <w:rFonts w:ascii="Simplified Arabic" w:eastAsia="Times New Roman" w:hAnsi="Simplified Arabic" w:cs="Simplified Arabic" w:hint="cs"/>
          <w:sz w:val="28"/>
          <w:szCs w:val="28"/>
          <w:rtl/>
        </w:rPr>
        <w:t>تعزز العلاقة بين التحول الرقمي والأداء. وأوصت الدراسة بضرورة تبنّي إطار متكامل لإدارة القدرات الرقمية يُراعي الأبعاد التكنولوجية والتنظيمية والبيئية بشكل شمولي .</w:t>
      </w:r>
    </w:p>
    <w:p w14:paraId="43574B87" w14:textId="55FF1E09"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 xml:space="preserve"> دراسة</w:t>
      </w:r>
      <w:r w:rsidRPr="00471C07">
        <w:rPr>
          <w:rFonts w:ascii="Simplified Arabic" w:eastAsia="Times New Roman" w:hAnsi="Simplified Arabic" w:cs="Simplified Arabic" w:hint="cs"/>
          <w:b/>
          <w:bCs/>
          <w:sz w:val="28"/>
          <w:szCs w:val="28"/>
        </w:rPr>
        <w:t xml:space="preserve"> Novianto (2023)</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"Systematic Literature Review: Models of Digital Transformation in the Public Sector"</w:t>
      </w:r>
    </w:p>
    <w:p w14:paraId="241CCD68" w14:textId="4AFB1BF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تقديم نموذج مستمد من الأدبيات السابقة لتطوير استراتيجية ناجحة للتحول الرقمي في القطاع العام</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منهج المراجعة المنهجية للأدبيات</w:t>
      </w:r>
      <w:r w:rsidRPr="00471C07">
        <w:rPr>
          <w:rFonts w:ascii="Simplified Arabic" w:eastAsia="Times New Roman" w:hAnsi="Simplified Arabic" w:cs="Simplified Arabic" w:hint="cs"/>
          <w:sz w:val="28"/>
          <w:szCs w:val="28"/>
        </w:rPr>
        <w:t xml:space="preserve"> (Systematic Literature Review)</w:t>
      </w:r>
      <w:r w:rsidRPr="00471C07">
        <w:rPr>
          <w:rFonts w:ascii="Simplified Arabic" w:eastAsia="Times New Roman" w:hAnsi="Simplified Arabic" w:cs="Simplified Arabic" w:hint="cs"/>
          <w:sz w:val="28"/>
          <w:szCs w:val="28"/>
          <w:rtl/>
        </w:rPr>
        <w:t>، حيث تم تحليل ومراجعة مجموعة واسعة من الدراسات المنشورة المتعلقة بالتحول الرقمي الحكومي. وتوصلت الدراسة إلى بناء نموذج رباعي العناصر لتنفيذ التحول الرقمي في القطاع العام يشمل: العوامل الخارجية (البيئة التنظيمية والسياسية)، والعوامل التنظيمية (الهيكل والثقافة والقيادة</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tl/>
        </w:rPr>
        <w:lastRenderedPageBreak/>
        <w:t>والعوامل المتعلقة بالمواطنين (احتياجاتهم ورضاهم)، والعوامل التكنولوجية (البنية التحتية والأنظمة الرقمية). كما أكدت أن التكامل بين هذه العناصر الأربعة يُعدّ شرطًا جوهريًا لنجاح مبادرات التحول الرقمي وتحقيق رضا المواطنين وخفض التكاليف. وأوصت الدراسة بضرورة مراعاة البُعد البشري والاجتماعي في خطط التحول الرقمي وعدم الاقتصار على الجوانب التكنولوجية .</w:t>
      </w:r>
    </w:p>
    <w:p w14:paraId="3CAF9B88" w14:textId="43525CBE" w:rsidR="00626753" w:rsidRPr="00471C07" w:rsidRDefault="00626753" w:rsidP="00471C07">
      <w:pPr>
        <w:bidi/>
        <w:spacing w:before="100" w:beforeAutospacing="1" w:after="100" w:afterAutospacing="1" w:line="276" w:lineRule="auto"/>
        <w:jc w:val="both"/>
        <w:outlineLvl w:val="2"/>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Deng etal., (2023)</w:t>
      </w:r>
      <w:r w:rsidRPr="00471C07">
        <w:rPr>
          <w:rFonts w:ascii="Simplified Arabic" w:eastAsia="Times New Roman" w:hAnsi="Simplified Arabic" w:cs="Simplified Arabic" w:hint="cs"/>
          <w:b/>
          <w:bCs/>
          <w:sz w:val="28"/>
          <w:szCs w:val="28"/>
          <w:rtl/>
        </w:rPr>
        <w:t xml:space="preserve"> بعنوان الدراسة</w:t>
      </w:r>
      <w:r w:rsidRPr="00471C07">
        <w:rPr>
          <w:rFonts w:ascii="Simplified Arabic" w:eastAsia="Times New Roman" w:hAnsi="Simplified Arabic" w:cs="Simplified Arabic" w:hint="cs"/>
          <w:b/>
          <w:bCs/>
          <w:sz w:val="28"/>
          <w:szCs w:val="28"/>
        </w:rPr>
        <w:t>:</w:t>
      </w:r>
      <w:r w:rsidRPr="00471C07">
        <w:rPr>
          <w:rFonts w:ascii="Simplified Arabic" w:eastAsia="Times New Roman" w:hAnsi="Simplified Arabic" w:cs="Simplified Arabic" w:hint="cs"/>
          <w:sz w:val="28"/>
          <w:szCs w:val="28"/>
        </w:rPr>
        <w:t xml:space="preserve"> "Digital Technology Driven Knowledge Sharing for Job Performance"</w:t>
      </w:r>
    </w:p>
    <w:p w14:paraId="37EE7EA2" w14:textId="68F8B5B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هدفت الدراسة إلى استكشاف كيفية إسهام التقنيات الرقمية في تعزيز مشاركة المعرفة وصنع القرار من خلال تحسين التنسيق والتواصل وأثر ذلك على الأداء الوظيفي في المنظمات. واستندت الدراسة إلى نظرية رأس المال الاجتماعي، حيث طوّر الباحثون نموذجًا مفاهيميًا تم اختباره والتحقق من صحته باستخدام نمذجة المعادلات البنائية </w:t>
      </w:r>
      <w:r w:rsidRPr="00471C07">
        <w:rPr>
          <w:rFonts w:ascii="Simplified Arabic" w:eastAsia="Times New Roman" w:hAnsi="Simplified Arabic" w:cs="Simplified Arabic" w:hint="cs"/>
          <w:sz w:val="28"/>
          <w:szCs w:val="28"/>
        </w:rPr>
        <w:t xml:space="preserve">(SEM) </w:t>
      </w:r>
      <w:r w:rsidRPr="00471C07">
        <w:rPr>
          <w:rFonts w:ascii="Simplified Arabic" w:eastAsia="Times New Roman" w:hAnsi="Simplified Arabic" w:cs="Simplified Arabic" w:hint="cs"/>
          <w:sz w:val="28"/>
          <w:szCs w:val="28"/>
          <w:rtl/>
        </w:rPr>
        <w:t>لبيانات مسحية جُمعت في أستراليا. وتوصلت النتائج إلى أن التنسيق والتواصل المُعزّزين بالتقنيات الرقمية يؤثران بشكل معنوي على مشاركة المعرفة، وأن مشاركة المعرفة المدفوعة بالتقنيات الرقمية تؤثر معنويًا على صنع القرار، وأن تحسين صنع القرار ومشاركة المعرفة يؤديان إلى تحسّن ملموس في الأداء الوظيفي. وأوصت الدراسة بضرورة استثمار المنظمات في البنية التحتية الرقمية التي تدعم التواصل والتنسيق الداخلي لتعزيز تبادل المعرفة وبالتالي رفع مستوى الأداء الوظيفي.</w:t>
      </w:r>
    </w:p>
    <w:p w14:paraId="19BF12C4" w14:textId="77777777" w:rsidR="00626753" w:rsidRPr="00471C07" w:rsidRDefault="00626753" w:rsidP="00471C07">
      <w:pPr>
        <w:bidi/>
        <w:spacing w:before="100" w:beforeAutospacing="1" w:after="100" w:afterAutospacing="1" w:line="276" w:lineRule="auto"/>
        <w:jc w:val="both"/>
        <w:outlineLvl w:val="0"/>
        <w:rPr>
          <w:rFonts w:ascii="Simplified Arabic" w:eastAsia="Times New Roman" w:hAnsi="Simplified Arabic" w:cs="Simplified Arabic"/>
          <w:b/>
          <w:bCs/>
          <w:kern w:val="36"/>
          <w:sz w:val="28"/>
          <w:szCs w:val="28"/>
        </w:rPr>
      </w:pPr>
      <w:r w:rsidRPr="00471C07">
        <w:rPr>
          <w:rFonts w:ascii="Simplified Arabic" w:eastAsia="Times New Roman" w:hAnsi="Simplified Arabic" w:cs="Simplified Arabic" w:hint="cs"/>
          <w:b/>
          <w:bCs/>
          <w:kern w:val="36"/>
          <w:sz w:val="28"/>
          <w:szCs w:val="28"/>
          <w:rtl/>
        </w:rPr>
        <w:t>المحور الثالث – الأداء الوظيفي (المتغيّر التابع)</w:t>
      </w:r>
    </w:p>
    <w:p w14:paraId="5398BADC"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 شميلان</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العلاقة بين الحوكمة الرشيدة وجودة الأداء الوظيفي: دراسة ميدانية على مديرية الصحة بمدينة حائل بالمملكة العربية السعودية</w:t>
      </w:r>
    </w:p>
    <w:p w14:paraId="11EDCC3D" w14:textId="6EB93E52"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الحوكمة الرشيدة بأبعادها (الشفافية، المساءلة، العدالة، النزاهة، المشاركة) على جودة الأداء الوظيفي، مع اختبار الدور الوسيط للرضا الوظيفي، في القطاع الصحي بمدينة حائل. واستخدمت الدراسة المنهج الوصفي التحليلي باستخدام استبانة مُهيكلة وتحليل البيانات عبر</w:t>
      </w:r>
      <w:r w:rsidRPr="00471C07">
        <w:rPr>
          <w:rFonts w:ascii="Simplified Arabic" w:eastAsia="Times New Roman" w:hAnsi="Simplified Arabic" w:cs="Simplified Arabic" w:hint="cs"/>
          <w:sz w:val="28"/>
          <w:szCs w:val="28"/>
        </w:rPr>
        <w:t xml:space="preserve"> SPSS 23 </w:t>
      </w:r>
      <w:r w:rsidRPr="00471C07">
        <w:rPr>
          <w:rFonts w:ascii="Simplified Arabic" w:eastAsia="Times New Roman" w:hAnsi="Simplified Arabic" w:cs="Simplified Arabic" w:hint="cs"/>
          <w:sz w:val="28"/>
          <w:szCs w:val="28"/>
          <w:rtl/>
        </w:rPr>
        <w:t xml:space="preserve">ونمذجة المعادلات الهيكلية. وتكوّنت العيّنة من 219 موظفاً من مديرية الصحة بمدينة حائل. وتوصّلت نتائج الدراسة إلى وجود أثر إيجابي ذي دلالة إحصائية للأبعاد الخمسة </w:t>
      </w:r>
      <w:r w:rsidRPr="00471C07">
        <w:rPr>
          <w:rFonts w:ascii="Simplified Arabic" w:eastAsia="Times New Roman" w:hAnsi="Simplified Arabic" w:cs="Simplified Arabic" w:hint="cs"/>
          <w:sz w:val="28"/>
          <w:szCs w:val="28"/>
          <w:rtl/>
        </w:rPr>
        <w:lastRenderedPageBreak/>
        <w:t xml:space="preserve">للحوكمة الرشيدة على جودة الأداء الوظيفي، كما تبيّن أنّ الرضا الوظيفي يتوسّط بشكل كامل العلاقة بين الحوكمة والأداء </w:t>
      </w:r>
      <w:r w:rsidRPr="00471C07">
        <w:rPr>
          <w:rFonts w:ascii="Simplified Arabic" w:eastAsia="Times New Roman" w:hAnsi="Simplified Arabic" w:cs="Simplified Arabic" w:hint="cs"/>
          <w:sz w:val="28"/>
          <w:szCs w:val="28"/>
        </w:rPr>
        <w:t>(RMSEA = 0.046</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 xml:space="preserve">NFI = 0.964). </w:t>
      </w:r>
      <w:r w:rsidRPr="00471C07">
        <w:rPr>
          <w:rFonts w:ascii="Simplified Arabic" w:eastAsia="Times New Roman" w:hAnsi="Simplified Arabic" w:cs="Simplified Arabic" w:hint="cs"/>
          <w:sz w:val="28"/>
          <w:szCs w:val="28"/>
          <w:rtl/>
        </w:rPr>
        <w:t>وأوصت الدراسة بتعزيز تطبيق مبادئ الحوكمة الرشيدة في القطاع الصحي وربط الرضا الوظيفي ببرامج تحسين الأداء، مع ضرورة توسيع نطاق البحث ليشمل مناطق أخرى في المملكة</w:t>
      </w:r>
      <w:r w:rsidRPr="00471C07">
        <w:rPr>
          <w:rFonts w:ascii="Simplified Arabic" w:eastAsia="Times New Roman" w:hAnsi="Simplified Arabic" w:cs="Simplified Arabic" w:hint="cs"/>
          <w:sz w:val="28"/>
          <w:szCs w:val="28"/>
        </w:rPr>
        <w:t>.</w:t>
      </w:r>
    </w:p>
    <w:p w14:paraId="7D37CC45"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 الحربي</w:t>
      </w:r>
      <w:r w:rsidRPr="00471C07">
        <w:rPr>
          <w:rFonts w:ascii="Simplified Arabic" w:eastAsia="Times New Roman" w:hAnsi="Simplified Arabic" w:cs="Simplified Arabic" w:hint="cs"/>
          <w:b/>
          <w:bCs/>
          <w:sz w:val="28"/>
          <w:szCs w:val="28"/>
        </w:rPr>
        <w:t xml:space="preserve"> (2025)</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أثر الولاء الوظيفي على الأداء الوظيفي للعاملين: دراسة حالة على شركة المراعي بالمملكة العربية السعودية</w:t>
      </w:r>
    </w:p>
    <w:p w14:paraId="6AC10804" w14:textId="75529C0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 هدفت الدراسة إلى التعرّف على أثر الولاء الوظيفي بأبعاده (الرغبة في البقاء، الشعور بالانتماء التنظيمي، المساهمة في تحقيق أهداف المنظمة) على الأداء الوظيفي للعاملين في شركة المراعي. واستخدمت الدراسة المنهج الكمي الوصفي باستخدام استبانة. وتكوّنت العيّنة من 160 موظفاً. وتوصّلت نتائج الدراسة إلى وجود علاقة ارتباطية إيجابية قوية بين الولاء الوظيفي ورغبة الموظفين في البقاء بالمنظمة مما يعزّز الاستقرار الوظيفي، بينما لم يظهر أثر ذو دلالة إحصائية للولاء على الشعور بالانتماء التنظيمي أو على المساهمة في تحقيق أهداف المنظمة. وأوصت الدراسة بتحسين بيئة العمل الداخلية عبر برامج تحفيزية وإتاحة فرص النمو المهني وتعزيز التواصل الشفاف لربط الولاء بالأداء الفعلي</w:t>
      </w:r>
      <w:r w:rsidRPr="00471C07">
        <w:rPr>
          <w:rFonts w:ascii="Simplified Arabic" w:eastAsia="Times New Roman" w:hAnsi="Simplified Arabic" w:cs="Simplified Arabic" w:hint="cs"/>
          <w:sz w:val="28"/>
          <w:szCs w:val="28"/>
        </w:rPr>
        <w:t>.</w:t>
      </w:r>
    </w:p>
    <w:p w14:paraId="1787992A"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 الرضا الوظيفي والأداء التنظيمي</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 "تحليل أثر الرضا الوظيفي على الأداء التنظيمي: دراسة تطبيقية على الأكاديمية العربية للعلوم والتكنولوجيا والنقل البحري</w:t>
      </w:r>
    </w:p>
    <w:p w14:paraId="0A5D62B7" w14:textId="1D350EDB"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الرضا الوظيفي بأبعاده (الرضا الوظيفي الجوهري، الرضا الوظيفي الخارجي) على الأداء التنظيمي بأبعاده (الأداء المالي، الأداء غير المالي) في الأكاديمية العربية للعلوم والتكنولوجيا والنقل البحري. واستخدمت الدراسة المنهج الوصفي التحليلي باستخدام الاستبانة أداةً رئيسة. وتكوّنت العيّنة من 214 مفردة من العاملين بكلية الدراسات العليا بالأكاديمية. وتوصّلت نتائج الدراسة إلى وجود علاقة ارتباطية وأثر ذي دلالة إحصائية عند مستوى (0.05) بين الرضا الوظيفي والالتزام التنظيمي بنسبة مساهمة بلغت 60.2%، مما يدلّ على أنّ الرضا الوظيفي يُعدّ محرّكاً رئيساً للأداء التنظيمي. وأوصت الدراسة بضرورة أن تدعّم القيادات الرضا الوظيفي بوصفه عاملاً محورياً في رفع مستوى الأداء المؤسسي</w:t>
      </w:r>
      <w:r w:rsidRPr="00471C07">
        <w:rPr>
          <w:rFonts w:ascii="Simplified Arabic" w:eastAsia="Times New Roman" w:hAnsi="Simplified Arabic" w:cs="Simplified Arabic" w:hint="cs"/>
          <w:sz w:val="28"/>
          <w:szCs w:val="28"/>
        </w:rPr>
        <w:t>.</w:t>
      </w:r>
    </w:p>
    <w:p w14:paraId="1EE975B6"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lastRenderedPageBreak/>
        <w:t>دراسة بلولة وطرش</w:t>
      </w:r>
      <w:r w:rsidRPr="00471C07">
        <w:rPr>
          <w:rFonts w:ascii="Simplified Arabic" w:eastAsia="Times New Roman" w:hAnsi="Simplified Arabic" w:cs="Simplified Arabic" w:hint="cs"/>
          <w:b/>
          <w:bCs/>
          <w:sz w:val="28"/>
          <w:szCs w:val="28"/>
        </w:rPr>
        <w:t xml:space="preserve">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 "أثر الاستغراق الوظيفي على الأداء الوظيفي: دراسة استطلاعية بالمدرسة الوطنية للغابات – باتنة</w:t>
      </w:r>
    </w:p>
    <w:p w14:paraId="3BA0B11E" w14:textId="009994AE"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مستوى الاستغراق الوظيفي وأثره على الأداء الوظيفي لدى العاملين بالمدرسة الوطنية للغابات في باتنة بالجزائر. واستخدمت الدراسة المنهج الوصفي التحليلي باستخدام استبانة. وتكوّنت العيّنة من 60 موظفاً تمّ اختيارهم عشوائياً. وتوصّلت نتائج الدراسة إلى أنّ مستوى الاستغراق الوظيفي لدى العاملين جاء متوسطاً، وأنّه يؤثّر إيجابياً وبدلالة إحصائية على الأداء الوظيفي. وأوصت الدراسة بتعزيز شعور الاستغراق الوظيفي من خلال إشراك الموظفين في عمليات اتخاذ القرار والاستماع إلى مقترحاتهم وتوفير بيئة عمل محفّزة</w:t>
      </w:r>
      <w:r w:rsidRPr="00471C07">
        <w:rPr>
          <w:rFonts w:ascii="Simplified Arabic" w:eastAsia="Times New Roman" w:hAnsi="Simplified Arabic" w:cs="Simplified Arabic" w:hint="cs"/>
          <w:sz w:val="28"/>
          <w:szCs w:val="28"/>
        </w:rPr>
        <w:t>.</w:t>
      </w:r>
    </w:p>
    <w:p w14:paraId="5A67F486" w14:textId="20DD221A"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Khuc &amp; Nguyen (2025)</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"The Impact of Digital Transformation on Job Performance: The Mediating Role of Job Satisfaction and Work Pressure"</w:t>
      </w:r>
      <w:r w:rsidRPr="00471C07">
        <w:rPr>
          <w:rFonts w:ascii="Simplified Arabic" w:eastAsia="Times New Roman" w:hAnsi="Simplified Arabic" w:cs="Simplified Arabic" w:hint="cs"/>
          <w:sz w:val="28"/>
          <w:szCs w:val="28"/>
          <w:rtl/>
        </w:rPr>
        <w:t>.</w:t>
      </w:r>
    </w:p>
    <w:p w14:paraId="4D5A4D75" w14:textId="52E29B2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هدفت الدراسة إلى التعرّف على أثر التحوّل الرقمي بأبعاده (البنية التحتية الرقمية، الموارد الرقمية، التفويض الرقمي) على الأداء الوظيفي لأعضاء هيئة التدريس في جامعات مدينة هو شي منه بفيتنام، مع اختبار الدور الوسيط لكلّ من الرضا الوظيفي وضغوط العمل. واستخدمت الدراسة المنهج الكمّي وفق منهجية</w:t>
      </w:r>
      <w:r w:rsidRPr="00471C07">
        <w:rPr>
          <w:rFonts w:ascii="Simplified Arabic" w:eastAsia="Times New Roman" w:hAnsi="Simplified Arabic" w:cs="Simplified Arabic" w:hint="cs"/>
          <w:sz w:val="28"/>
          <w:szCs w:val="28"/>
        </w:rPr>
        <w:t xml:space="preserve"> PLS-SEM </w:t>
      </w:r>
      <w:r w:rsidRPr="00471C07">
        <w:rPr>
          <w:rFonts w:ascii="Simplified Arabic" w:eastAsia="Times New Roman" w:hAnsi="Simplified Arabic" w:cs="Simplified Arabic" w:hint="cs"/>
          <w:sz w:val="28"/>
          <w:szCs w:val="28"/>
          <w:rtl/>
        </w:rPr>
        <w:t>باستخدام برنامج</w:t>
      </w:r>
      <w:r w:rsidRPr="00471C07">
        <w:rPr>
          <w:rFonts w:ascii="Simplified Arabic" w:eastAsia="Times New Roman" w:hAnsi="Simplified Arabic" w:cs="Simplified Arabic" w:hint="cs"/>
          <w:sz w:val="28"/>
          <w:szCs w:val="28"/>
        </w:rPr>
        <w:t xml:space="preserve"> Smart PLS. </w:t>
      </w:r>
      <w:r w:rsidRPr="00471C07">
        <w:rPr>
          <w:rFonts w:ascii="Simplified Arabic" w:eastAsia="Times New Roman" w:hAnsi="Simplified Arabic" w:cs="Simplified Arabic" w:hint="cs"/>
          <w:sz w:val="28"/>
          <w:szCs w:val="28"/>
          <w:rtl/>
        </w:rPr>
        <w:t>وتكوّنت العيّنة من 242 أستاذاً جامعياً من أربع جامعات (اثنتان حكوميتان واثنتان خاصتان). وتوصّلت نتائج الدراسة إلى وجود أثر إيجابي مباشر ذي دلالة إحصائية للتحوّل الرقمي على الأداء الوظيفي</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0.255</w:t>
      </w:r>
      <w:r w:rsidRPr="00471C07">
        <w:rPr>
          <w:rFonts w:ascii="Simplified Arabic" w:eastAsia="Times New Roman" w:hAnsi="Simplified Arabic" w:cs="Simplified Arabic" w:hint="cs"/>
          <w:sz w:val="28"/>
          <w:szCs w:val="28"/>
          <w:rtl/>
        </w:rPr>
        <w:t xml:space="preserve">، </w:t>
      </w:r>
      <w:r w:rsidRPr="00471C07">
        <w:rPr>
          <w:rFonts w:ascii="Simplified Arabic" w:eastAsia="Times New Roman" w:hAnsi="Simplified Arabic" w:cs="Simplified Arabic" w:hint="cs"/>
          <w:sz w:val="28"/>
          <w:szCs w:val="28"/>
        </w:rPr>
        <w:t>p = 0.008)</w:t>
      </w:r>
      <w:r w:rsidRPr="00471C07">
        <w:rPr>
          <w:rFonts w:ascii="Simplified Arabic" w:eastAsia="Times New Roman" w:hAnsi="Simplified Arabic" w:cs="Simplified Arabic" w:hint="cs"/>
          <w:sz w:val="28"/>
          <w:szCs w:val="28"/>
          <w:rtl/>
        </w:rPr>
        <w:t>، وأثر غير مباشر من خلال قناتين: الأولى أنّ التحوّل الرقمي يرفع الرضا الوظيفي</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0.567) </w:t>
      </w:r>
      <w:r w:rsidRPr="00471C07">
        <w:rPr>
          <w:rFonts w:ascii="Simplified Arabic" w:eastAsia="Times New Roman" w:hAnsi="Simplified Arabic" w:cs="Simplified Arabic" w:hint="cs"/>
          <w:sz w:val="28"/>
          <w:szCs w:val="28"/>
          <w:rtl/>
        </w:rPr>
        <w:t>الذي يعزّز الأداء</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0.283)</w:t>
      </w:r>
      <w:r w:rsidRPr="00471C07">
        <w:rPr>
          <w:rFonts w:ascii="Simplified Arabic" w:eastAsia="Times New Roman" w:hAnsi="Simplified Arabic" w:cs="Simplified Arabic" w:hint="cs"/>
          <w:sz w:val="28"/>
          <w:szCs w:val="28"/>
          <w:rtl/>
        </w:rPr>
        <w:t xml:space="preserve">، والثانية أنّ التحوّل الرقمي يخفّض ضغوط العمل </w:t>
      </w:r>
      <w:r w:rsidRPr="00471C07">
        <w:rPr>
          <w:rFonts w:ascii="Simplified Arabic" w:eastAsia="Times New Roman" w:hAnsi="Simplified Arabic" w:cs="Simplified Arabic" w:hint="cs"/>
          <w:sz w:val="28"/>
          <w:szCs w:val="28"/>
        </w:rPr>
        <w:t>(</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–0.231) </w:t>
      </w:r>
      <w:r w:rsidRPr="00471C07">
        <w:rPr>
          <w:rFonts w:ascii="Simplified Arabic" w:eastAsia="Times New Roman" w:hAnsi="Simplified Arabic" w:cs="Simplified Arabic" w:hint="cs"/>
          <w:sz w:val="28"/>
          <w:szCs w:val="28"/>
          <w:rtl/>
        </w:rPr>
        <w:t>فيتحسّن الأداء، وبلغ معامل التحديد المعدّل</w:t>
      </w:r>
      <w:r w:rsidRPr="00471C07">
        <w:rPr>
          <w:rFonts w:ascii="Simplified Arabic" w:eastAsia="Times New Roman" w:hAnsi="Simplified Arabic" w:cs="Simplified Arabic" w:hint="cs"/>
          <w:sz w:val="28"/>
          <w:szCs w:val="28"/>
        </w:rPr>
        <w:t xml:space="preserve"> R² = 0.278 </w:t>
      </w:r>
      <w:r w:rsidRPr="00471C07">
        <w:rPr>
          <w:rFonts w:ascii="Simplified Arabic" w:eastAsia="Times New Roman" w:hAnsi="Simplified Arabic" w:cs="Simplified Arabic" w:hint="cs"/>
          <w:sz w:val="28"/>
          <w:szCs w:val="28"/>
          <w:rtl/>
        </w:rPr>
        <w:t>وقُبلت جميع الفرضيات السبع عند مستوى دلالة 5%. وأوصت الدراسة بتعزيز البنية التحتية الرقمية في الجامعات وتوفير التدريب التقني المستمر لأعضاء هيئة التدريس واستخدام أنظمة إدارة التعلّم لتقليل الأعباء الإدارية وتحسين الأداء</w:t>
      </w:r>
      <w:r w:rsidRPr="00471C07">
        <w:rPr>
          <w:rFonts w:ascii="Simplified Arabic" w:eastAsia="Times New Roman" w:hAnsi="Simplified Arabic" w:cs="Simplified Arabic" w:hint="cs"/>
          <w:sz w:val="28"/>
          <w:szCs w:val="28"/>
        </w:rPr>
        <w:t>.</w:t>
      </w:r>
    </w:p>
    <w:p w14:paraId="070EC1CB"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lastRenderedPageBreak/>
        <w:t>دراسة</w:t>
      </w:r>
      <w:r w:rsidRPr="00471C07">
        <w:rPr>
          <w:rFonts w:ascii="Simplified Arabic" w:eastAsia="Times New Roman" w:hAnsi="Simplified Arabic" w:cs="Simplified Arabic" w:hint="cs"/>
          <w:b/>
          <w:bCs/>
          <w:sz w:val="28"/>
          <w:szCs w:val="28"/>
        </w:rPr>
        <w:t xml:space="preserve"> Gazi et al.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"Analyzing the Impact of Employee Job Satisfaction on Their Job Behavior in the Industrial Setting: An Analysis from the Perspective of Job Performance"</w:t>
      </w:r>
      <w:r w:rsidRPr="00471C07">
        <w:rPr>
          <w:rFonts w:ascii="Simplified Arabic" w:eastAsia="Times New Roman" w:hAnsi="Simplified Arabic" w:cs="Simplified Arabic" w:hint="cs"/>
          <w:sz w:val="28"/>
          <w:szCs w:val="28"/>
          <w:rtl/>
        </w:rPr>
        <w:t xml:space="preserve">، </w:t>
      </w:r>
    </w:p>
    <w:p w14:paraId="1C5A6D2E" w14:textId="57021C91"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الرضا الوظيفي بأبعاده (ظروف العمل، الاستقلالية، فرص الترقية، العلاقة مع الزملاء، الراتب، الأمان الوظيفي) على سلوكيات العمل والأداء الوظيفي لدى العمّال الصناعيين في بنغلاديش. واستخدمت الدراسة المنهج الكمّي باستخدام استبانة معيارية ومقياس</w:t>
      </w:r>
      <w:r w:rsidRPr="00471C07">
        <w:rPr>
          <w:rFonts w:ascii="Simplified Arabic" w:eastAsia="Times New Roman" w:hAnsi="Simplified Arabic" w:cs="Simplified Arabic" w:hint="cs"/>
          <w:sz w:val="28"/>
          <w:szCs w:val="28"/>
        </w:rPr>
        <w:t xml:space="preserve"> JPI </w:t>
      </w:r>
      <w:r w:rsidRPr="00471C07">
        <w:rPr>
          <w:rFonts w:ascii="Simplified Arabic" w:eastAsia="Times New Roman" w:hAnsi="Simplified Arabic" w:cs="Simplified Arabic" w:hint="cs"/>
          <w:sz w:val="28"/>
          <w:szCs w:val="28"/>
          <w:rtl/>
        </w:rPr>
        <w:t>(8 بنود) للأداء الوظيفي ومقياس</w:t>
      </w:r>
      <w:r w:rsidRPr="00471C07">
        <w:rPr>
          <w:rFonts w:ascii="Simplified Arabic" w:eastAsia="Times New Roman" w:hAnsi="Simplified Arabic" w:cs="Simplified Arabic" w:hint="cs"/>
          <w:sz w:val="28"/>
          <w:szCs w:val="28"/>
        </w:rPr>
        <w:t xml:space="preserve"> JSI </w:t>
      </w:r>
      <w:r w:rsidRPr="00471C07">
        <w:rPr>
          <w:rFonts w:ascii="Simplified Arabic" w:eastAsia="Times New Roman" w:hAnsi="Simplified Arabic" w:cs="Simplified Arabic" w:hint="cs"/>
          <w:sz w:val="28"/>
          <w:szCs w:val="28"/>
          <w:rtl/>
        </w:rPr>
        <w:t>للرضا الوظيفي وتحليل انحداري عبر</w:t>
      </w:r>
      <w:r w:rsidRPr="00471C07">
        <w:rPr>
          <w:rFonts w:ascii="Simplified Arabic" w:eastAsia="Times New Roman" w:hAnsi="Simplified Arabic" w:cs="Simplified Arabic" w:hint="cs"/>
          <w:sz w:val="28"/>
          <w:szCs w:val="28"/>
        </w:rPr>
        <w:t xml:space="preserve"> SPSS 24. </w:t>
      </w:r>
      <w:r w:rsidRPr="00471C07">
        <w:rPr>
          <w:rFonts w:ascii="Simplified Arabic" w:eastAsia="Times New Roman" w:hAnsi="Simplified Arabic" w:cs="Simplified Arabic" w:hint="cs"/>
          <w:sz w:val="28"/>
          <w:szCs w:val="28"/>
          <w:rtl/>
        </w:rPr>
        <w:t xml:space="preserve">وتكوّنت العيّنة من </w:t>
      </w:r>
      <w:r w:rsidRPr="00471C07">
        <w:rPr>
          <w:rFonts w:ascii="Simplified Arabic" w:eastAsia="Times New Roman" w:hAnsi="Simplified Arabic" w:cs="Simplified Arabic" w:hint="cs"/>
          <w:sz w:val="28"/>
          <w:szCs w:val="28"/>
        </w:rPr>
        <w:t xml:space="preserve">300 </w:t>
      </w:r>
      <w:r w:rsidRPr="00471C07">
        <w:rPr>
          <w:rFonts w:ascii="Simplified Arabic" w:eastAsia="Times New Roman" w:hAnsi="Simplified Arabic" w:cs="Simplified Arabic" w:hint="cs"/>
          <w:sz w:val="28"/>
          <w:szCs w:val="28"/>
          <w:rtl/>
        </w:rPr>
        <w:t>عامل صناعي بنغلاديشي. وتوصّلت نتائج الدراسة إلى وجود أثر إيجابي قوي وذي دلالة إحصائية للرضا الوظيفي على الأداء الوظيفي، وأنّ العوامل المرتبطة بطبيعة الوظيفة تؤثّر في الأداء أكثر من السمات الشخصية، كما أنّ الموظفين ذوي الرضا المرتفع سجّلوا أداءً أعلى بشكل واضح. وأوصت الدراسة بأن تستخدم الجهات التنظيمية الصناعية هذه النتائج لتصميم لوائح تعزّز أداء الموظفين وسعادتهم المهنية</w:t>
      </w:r>
      <w:r w:rsidRPr="00471C07">
        <w:rPr>
          <w:rFonts w:ascii="Simplified Arabic" w:eastAsia="Times New Roman" w:hAnsi="Simplified Arabic" w:cs="Simplified Arabic" w:hint="cs"/>
          <w:sz w:val="28"/>
          <w:szCs w:val="28"/>
        </w:rPr>
        <w:t>.</w:t>
      </w:r>
    </w:p>
    <w:p w14:paraId="14BB71A1"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Chang (2024)</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 xml:space="preserve">بعنوان </w:t>
      </w:r>
      <w:r w:rsidRPr="00471C07">
        <w:rPr>
          <w:rFonts w:ascii="Simplified Arabic" w:eastAsia="Times New Roman" w:hAnsi="Simplified Arabic" w:cs="Simplified Arabic" w:hint="cs"/>
          <w:sz w:val="28"/>
          <w:szCs w:val="28"/>
        </w:rPr>
        <w:t>"The Impact of Employees' Health and Well-being on Job Performance"</w:t>
      </w:r>
      <w:r w:rsidRPr="00471C07">
        <w:rPr>
          <w:rFonts w:ascii="Simplified Arabic" w:eastAsia="Times New Roman" w:hAnsi="Simplified Arabic" w:cs="Simplified Arabic" w:hint="cs"/>
          <w:sz w:val="28"/>
          <w:szCs w:val="28"/>
          <w:rtl/>
        </w:rPr>
        <w:t xml:space="preserve">، </w:t>
      </w:r>
    </w:p>
    <w:p w14:paraId="541B48DD" w14:textId="4DB430A8"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هدفت الدراسة إلى التعرّف على أثر صحة الموظفين ورفاهيتهم بأبعادها (الصحة الجسدية، الصحة النفسية، التوازن بين العمل والحياة) على الأداء الوظيفي في بيئات العمل التنافسية. واستخدمت الدراسة منهج المراجعة النقدية التحليلية للأدبيات حيث جمعت وحلّلت نتائج عدد من الأبحاث السابقة المرتبطة بالعلاقة بين الرفاه والأداء. وتوصّلت نتائج الدراسة إلى وجود أثر إيجابي قوي ومباشر لصحة الموظفين الجسدية والنفسية على أدائهم الوظيفي، حيث إنّ الموظفين الأصحّاء يتمتّعون بدافعية وتركيز أعلى ورضا وظيفي أكبر مما يقلّل الغياب ويرفع الإنتاجية، كما أنّ المنظمات التي تُعطي الأولوية لرفاهية موظفيها تحقّق أداءً عاماً أفضل. وأوصت الدراسة بتبنّي نهج طويل الأمد يوازن بين العمل والحياة ويُعطي الأولوية للصحة النفسية والجسدية لتحقيق نجاح تنظيمي مستدام</w:t>
      </w:r>
      <w:r w:rsidRPr="00471C07">
        <w:rPr>
          <w:rFonts w:ascii="Simplified Arabic" w:eastAsia="Times New Roman" w:hAnsi="Simplified Arabic" w:cs="Simplified Arabic" w:hint="cs"/>
          <w:sz w:val="28"/>
          <w:szCs w:val="28"/>
        </w:rPr>
        <w:t>.</w:t>
      </w:r>
    </w:p>
    <w:p w14:paraId="39A3D7D6" w14:textId="77777777"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b/>
          <w:bCs/>
          <w:sz w:val="28"/>
          <w:szCs w:val="28"/>
          <w:rtl/>
        </w:rPr>
        <w:t>دراسة</w:t>
      </w:r>
      <w:r w:rsidRPr="00471C07">
        <w:rPr>
          <w:rFonts w:ascii="Simplified Arabic" w:eastAsia="Times New Roman" w:hAnsi="Simplified Arabic" w:cs="Simplified Arabic" w:hint="cs"/>
          <w:b/>
          <w:bCs/>
          <w:sz w:val="28"/>
          <w:szCs w:val="28"/>
        </w:rPr>
        <w:t xml:space="preserve"> Katebi et al. (2022)</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بعنوان</w:t>
      </w:r>
      <w:r w:rsidRPr="00471C07">
        <w:rPr>
          <w:rFonts w:ascii="Simplified Arabic" w:eastAsia="Times New Roman" w:hAnsi="Simplified Arabic" w:cs="Simplified Arabic" w:hint="cs"/>
          <w:sz w:val="28"/>
          <w:szCs w:val="28"/>
        </w:rPr>
        <w:t xml:space="preserve"> "The Relationship Between Job Satisfaction and Job Performance: A Meta-analysis</w:t>
      </w:r>
    </w:p>
    <w:p w14:paraId="35C7273E" w14:textId="67E7909D" w:rsidR="00626753" w:rsidRPr="00471C07" w:rsidRDefault="00626753"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هدفت الدراسة إلى التعرّف على طبيعة العلاقة بين الرضا الوظيفي والأداء الوظيفي من خلال تجميع وتحليل نتائج عدد كبير من الأبحاث التجريبية السابقة للوصول إلى نتيجة واضحة وموحّدة</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واستخدمت الدراسة منهج التحليل البَعدي</w:t>
      </w:r>
      <w:r w:rsidRPr="00471C07">
        <w:rPr>
          <w:rFonts w:ascii="Simplified Arabic" w:eastAsia="Times New Roman" w:hAnsi="Simplified Arabic" w:cs="Simplified Arabic" w:hint="cs"/>
          <w:sz w:val="28"/>
          <w:szCs w:val="28"/>
        </w:rPr>
        <w:t xml:space="preserve"> (Meta-analysis) </w:t>
      </w:r>
      <w:r w:rsidRPr="00471C07">
        <w:rPr>
          <w:rFonts w:ascii="Simplified Arabic" w:eastAsia="Times New Roman" w:hAnsi="Simplified Arabic" w:cs="Simplified Arabic" w:hint="cs"/>
          <w:sz w:val="28"/>
          <w:szCs w:val="28"/>
          <w:rtl/>
        </w:rPr>
        <w:t>عبر تجميع الدراسات الكمية السابقة وحساب حجم الأثر التجميعي. وتوصّلت نتائج الدراسة إلى وجود علاقة ارتباطية إيجابية ذات دلالة إحصائية بين الرضا الوظيفي والأداء الوظيفي تتراوح بين متوسطة وقوية وفقاً لسياق الدراسة وطبيعة المنظمة، كما أنّ ارتفاع معدّلات ترك العمل يرتبط بانخفاض الرضا وينعكس سلباً على الأداء الكلّي. وأوصت الدراسة بأن تعتمد المنظمات سياسات فاعلة لتعزيز الرضا الوظيفي بوصفه استثماراً استراتيجياً في تحسين الأداء مع مراعاة الفروق القطاعية والثقافية</w:t>
      </w:r>
      <w:r w:rsidRPr="00471C07">
        <w:rPr>
          <w:rFonts w:ascii="Simplified Arabic" w:eastAsia="Times New Roman" w:hAnsi="Simplified Arabic" w:cs="Simplified Arabic" w:hint="cs"/>
          <w:sz w:val="28"/>
          <w:szCs w:val="28"/>
        </w:rPr>
        <w:t>.</w:t>
      </w:r>
    </w:p>
    <w:p w14:paraId="4869861F" w14:textId="1725A948" w:rsidR="003C3394" w:rsidRPr="00471C07" w:rsidRDefault="003C3394" w:rsidP="00471C07">
      <w:pPr>
        <w:bidi/>
        <w:spacing w:before="100" w:beforeAutospacing="1" w:after="100" w:afterAutospacing="1" w:line="276" w:lineRule="auto"/>
        <w:outlineLvl w:val="1"/>
        <w:rPr>
          <w:rFonts w:ascii="Simplified Arabic" w:hAnsi="Simplified Arabic" w:cs="Simplified Arabic"/>
          <w:b/>
          <w:bCs/>
          <w:sz w:val="28"/>
          <w:szCs w:val="28"/>
          <w:rtl/>
        </w:rPr>
      </w:pPr>
      <w:bookmarkStart w:id="15" w:name="_Toc202226009"/>
      <w:r w:rsidRPr="00471C07">
        <w:rPr>
          <w:rFonts w:ascii="Simplified Arabic" w:hAnsi="Simplified Arabic" w:cs="Simplified Arabic" w:hint="cs"/>
          <w:b/>
          <w:bCs/>
          <w:sz w:val="28"/>
          <w:szCs w:val="28"/>
          <w:rtl/>
        </w:rPr>
        <w:t>9.1 اهم ما يميز تلك الدراسة</w:t>
      </w:r>
      <w:bookmarkEnd w:id="15"/>
      <w:r w:rsidRPr="00471C07">
        <w:rPr>
          <w:rFonts w:ascii="Simplified Arabic" w:hAnsi="Simplified Arabic" w:cs="Simplified Arabic" w:hint="cs"/>
          <w:b/>
          <w:bCs/>
          <w:sz w:val="28"/>
          <w:szCs w:val="28"/>
          <w:rtl/>
        </w:rPr>
        <w:t xml:space="preserve"> </w:t>
      </w:r>
    </w:p>
    <w:p w14:paraId="0DE3FAA2"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من حيث الهدف والأبعاد، يتّضح من استعراض الدراسات السابقة أن الأدبيات العربية والأجنبية تناولت القيادة التحويلية والتحول الرقمي والأداء الوظيفي كمتغيرات مستقلة في نماذج بحثية منفصلة، فدراسات المحور الأول كدراسات البركاني (2024) والسلمي وشعيبي (2024) والخضران (2023) والغنام والصقر (2025) و</w:t>
      </w:r>
      <w:r w:rsidRPr="00471C07">
        <w:rPr>
          <w:rFonts w:ascii="Simplified Arabic" w:eastAsia="Times New Roman" w:hAnsi="Simplified Arabic" w:cs="Simplified Arabic" w:hint="cs"/>
          <w:sz w:val="28"/>
          <w:szCs w:val="28"/>
        </w:rPr>
        <w:t xml:space="preserve">Hussain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Purwanti &amp; Sarı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Suryadi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Jaroliya &amp; Gyanchandani (2022) </w:t>
      </w:r>
      <w:r w:rsidRPr="00471C07">
        <w:rPr>
          <w:rFonts w:ascii="Simplified Arabic" w:eastAsia="Times New Roman" w:hAnsi="Simplified Arabic" w:cs="Simplified Arabic" w:hint="cs"/>
          <w:sz w:val="28"/>
          <w:szCs w:val="28"/>
          <w:rtl/>
        </w:rPr>
        <w:t xml:space="preserve">ركّزت جميعها على أثر القيادة التحويلية بأبعادها الأربعة على متغيرات تابعة متنوعة كفاعلية اتخاذ القرارات والسمعة التنظيمية والمسؤولية المجتمعية والتميز المؤسسي وأداء الفريق ودافعية الموظفين، دون أن تُدخل التحول الرقمي كمتغير مستقل مُصاحب. وبالمثل فإن دراسات المحور الثاني كدراسات الزهراني ومُجلّد </w:t>
      </w:r>
      <w:r w:rsidRPr="00471C07">
        <w:rPr>
          <w:rFonts w:ascii="Simplified Arabic" w:eastAsia="Times New Roman" w:hAnsi="Simplified Arabic" w:cs="Simplified Arabic" w:hint="cs"/>
          <w:sz w:val="28"/>
          <w:szCs w:val="28"/>
        </w:rPr>
        <w:t xml:space="preserve">(2024) </w:t>
      </w:r>
      <w:r w:rsidRPr="00471C07">
        <w:rPr>
          <w:rFonts w:ascii="Simplified Arabic" w:eastAsia="Times New Roman" w:hAnsi="Simplified Arabic" w:cs="Simplified Arabic" w:hint="cs"/>
          <w:sz w:val="28"/>
          <w:szCs w:val="28"/>
          <w:rtl/>
        </w:rPr>
        <w:t>وموافي وبدوي (2024) والطيب (2024) والعزب وآخرون (2023) و</w:t>
      </w:r>
      <w:r w:rsidRPr="00471C07">
        <w:rPr>
          <w:rFonts w:ascii="Simplified Arabic" w:eastAsia="Times New Roman" w:hAnsi="Simplified Arabic" w:cs="Simplified Arabic" w:hint="cs"/>
          <w:sz w:val="28"/>
          <w:szCs w:val="28"/>
        </w:rPr>
        <w:t xml:space="preserve">Liang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Novianto (2023)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Deng et al. (2023) </w:t>
      </w:r>
      <w:r w:rsidRPr="00471C07">
        <w:rPr>
          <w:rFonts w:ascii="Simplified Arabic" w:eastAsia="Times New Roman" w:hAnsi="Simplified Arabic" w:cs="Simplified Arabic" w:hint="cs"/>
          <w:sz w:val="28"/>
          <w:szCs w:val="28"/>
          <w:rtl/>
        </w:rPr>
        <w:t xml:space="preserve">بحثت أثر التحول الرقمي على الأداء الوظيفي أو المرونة التنظيمية أو تمكين الموارد البشرية أو أداء المؤسسات دون أن تُدمج القيادة التحويلية في نماذجها. كما أن دراسات المحور الثالث كدراسات شميلان (2024) والحربي </w:t>
      </w:r>
      <w:r w:rsidRPr="00471C07">
        <w:rPr>
          <w:rFonts w:ascii="Simplified Arabic" w:eastAsia="Times New Roman" w:hAnsi="Simplified Arabic" w:cs="Simplified Arabic" w:hint="cs"/>
          <w:sz w:val="28"/>
          <w:szCs w:val="28"/>
        </w:rPr>
        <w:t xml:space="preserve">(2025) </w:t>
      </w:r>
      <w:r w:rsidRPr="00471C07">
        <w:rPr>
          <w:rFonts w:ascii="Simplified Arabic" w:eastAsia="Times New Roman" w:hAnsi="Simplified Arabic" w:cs="Simplified Arabic" w:hint="cs"/>
          <w:sz w:val="28"/>
          <w:szCs w:val="28"/>
          <w:rtl/>
        </w:rPr>
        <w:t>وبلولة وطرش (2024) و</w:t>
      </w:r>
      <w:r w:rsidRPr="00471C07">
        <w:rPr>
          <w:rFonts w:ascii="Simplified Arabic" w:eastAsia="Times New Roman" w:hAnsi="Simplified Arabic" w:cs="Simplified Arabic" w:hint="cs"/>
          <w:sz w:val="28"/>
          <w:szCs w:val="28"/>
        </w:rPr>
        <w:t xml:space="preserve">Gazi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Chang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Katebi et al. (2022) </w:t>
      </w:r>
      <w:r w:rsidRPr="00471C07">
        <w:rPr>
          <w:rFonts w:ascii="Simplified Arabic" w:eastAsia="Times New Roman" w:hAnsi="Simplified Arabic" w:cs="Simplified Arabic" w:hint="cs"/>
          <w:sz w:val="28"/>
          <w:szCs w:val="28"/>
          <w:rtl/>
        </w:rPr>
        <w:t xml:space="preserve">تناولت عوامل مؤثرة في الأداء الوظيفي كالحوكمة والولاء والاستغراق والرضا والصحة دون الجمع بين القيادة التحويلية والتحول الرقمي معًا. وعليه فإن الفجوة الجوهرية تتمثّل في غياب نموذج بحثي واحد يجمع بين القيادة التحويلية بأبعادها الأربعة (التأثير المثالي، </w:t>
      </w:r>
      <w:r w:rsidRPr="00471C07">
        <w:rPr>
          <w:rFonts w:ascii="Simplified Arabic" w:eastAsia="Times New Roman" w:hAnsi="Simplified Arabic" w:cs="Simplified Arabic" w:hint="cs"/>
          <w:sz w:val="28"/>
          <w:szCs w:val="28"/>
          <w:rtl/>
        </w:rPr>
        <w:lastRenderedPageBreak/>
        <w:t xml:space="preserve">الدافعية الإلهامية، الاستثارة الفكرية، الاعتبار الفردي) والتحول الرقمي بأبعاده الأربعة </w:t>
      </w:r>
      <w:r w:rsidRPr="00471C07">
        <w:rPr>
          <w:rFonts w:ascii="Simplified Arabic" w:eastAsia="Times New Roman" w:hAnsi="Simplified Arabic" w:cs="Simplified Arabic" w:hint="cs"/>
          <w:sz w:val="28"/>
          <w:szCs w:val="28"/>
        </w:rPr>
        <w:t>(</w:t>
      </w:r>
      <w:r w:rsidRPr="00471C07">
        <w:rPr>
          <w:rFonts w:ascii="Simplified Arabic" w:eastAsia="Times New Roman" w:hAnsi="Simplified Arabic" w:cs="Simplified Arabic" w:hint="cs"/>
          <w:sz w:val="28"/>
          <w:szCs w:val="28"/>
          <w:rtl/>
        </w:rPr>
        <w:t>البنية التحتية التقنية، الثقافة الرقمية، التشريعات والسياسات الرقمية، الموارد البشرية الرقمية) كمتغيرين مستقلين لقياس أثرهما المشترك على الأداء الوظيفي كمتغير تابع</w:t>
      </w:r>
      <w:r w:rsidRPr="00471C07">
        <w:rPr>
          <w:rFonts w:ascii="Simplified Arabic" w:eastAsia="Times New Roman" w:hAnsi="Simplified Arabic" w:cs="Simplified Arabic" w:hint="cs"/>
          <w:sz w:val="28"/>
          <w:szCs w:val="28"/>
        </w:rPr>
        <w:t>.</w:t>
      </w:r>
    </w:p>
    <w:p w14:paraId="7E12DE28"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من حيث المنهج والأساليب الإحصائية، اعتمدت معظم الدراسات السابقة على المنهج الوصفي التحليلي مع أساليب إحصائية محدودة النطاق، فبعضها اكتفى بمعامل ارتباط بيرسون كدراسة</w:t>
      </w:r>
      <w:r w:rsidRPr="00471C07">
        <w:rPr>
          <w:rFonts w:ascii="Simplified Arabic" w:eastAsia="Times New Roman" w:hAnsi="Simplified Arabic" w:cs="Simplified Arabic" w:hint="cs"/>
          <w:sz w:val="28"/>
          <w:szCs w:val="28"/>
        </w:rPr>
        <w:t xml:space="preserve"> Hussain et al. (2024)</w:t>
      </w:r>
      <w:r w:rsidRPr="00471C07">
        <w:rPr>
          <w:rFonts w:ascii="Simplified Arabic" w:eastAsia="Times New Roman" w:hAnsi="Simplified Arabic" w:cs="Simplified Arabic" w:hint="cs"/>
          <w:sz w:val="28"/>
          <w:szCs w:val="28"/>
          <w:rtl/>
        </w:rPr>
        <w:t>، وبعضها استخدم تحليل الانحدار فقط كدراسات البركاني (2024) و</w:t>
      </w:r>
      <w:r w:rsidRPr="00471C07">
        <w:rPr>
          <w:rFonts w:ascii="Simplified Arabic" w:eastAsia="Times New Roman" w:hAnsi="Simplified Arabic" w:cs="Simplified Arabic" w:hint="cs"/>
          <w:sz w:val="28"/>
          <w:szCs w:val="28"/>
        </w:rPr>
        <w:t xml:space="preserve">Purwanti &amp; Sarı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Gazi et al. (2024)</w:t>
      </w:r>
      <w:r w:rsidRPr="00471C07">
        <w:rPr>
          <w:rFonts w:ascii="Simplified Arabic" w:eastAsia="Times New Roman" w:hAnsi="Simplified Arabic" w:cs="Simplified Arabic" w:hint="cs"/>
          <w:sz w:val="28"/>
          <w:szCs w:val="28"/>
          <w:rtl/>
        </w:rPr>
        <w:t>، وبعضها اعتمد على المنهج النوعي دون بيانات كمية كدراسة</w:t>
      </w:r>
      <w:r w:rsidRPr="00471C07">
        <w:rPr>
          <w:rFonts w:ascii="Simplified Arabic" w:eastAsia="Times New Roman" w:hAnsi="Simplified Arabic" w:cs="Simplified Arabic" w:hint="cs"/>
          <w:sz w:val="28"/>
          <w:szCs w:val="28"/>
        </w:rPr>
        <w:t xml:space="preserve"> Suryadi et al. (2024)</w:t>
      </w:r>
      <w:r w:rsidRPr="00471C07">
        <w:rPr>
          <w:rFonts w:ascii="Simplified Arabic" w:eastAsia="Times New Roman" w:hAnsi="Simplified Arabic" w:cs="Simplified Arabic" w:hint="cs"/>
          <w:sz w:val="28"/>
          <w:szCs w:val="28"/>
          <w:rtl/>
        </w:rPr>
        <w:t>، فيما اقتصرت دراسات أخرى على المراجعة الأدبية النظرية دون جمع بيانات أولية كدراسات</w:t>
      </w:r>
      <w:r w:rsidRPr="00471C07">
        <w:rPr>
          <w:rFonts w:ascii="Simplified Arabic" w:eastAsia="Times New Roman" w:hAnsi="Simplified Arabic" w:cs="Simplified Arabic" w:hint="cs"/>
          <w:sz w:val="28"/>
          <w:szCs w:val="28"/>
        </w:rPr>
        <w:t xml:space="preserve"> Chang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Novianto (2023)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Katebi et al. (2022)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Liang (2024). </w:t>
      </w:r>
      <w:r w:rsidRPr="00471C07">
        <w:rPr>
          <w:rFonts w:ascii="Simplified Arabic" w:eastAsia="Times New Roman" w:hAnsi="Simplified Arabic" w:cs="Simplified Arabic" w:hint="cs"/>
          <w:sz w:val="28"/>
          <w:szCs w:val="28"/>
          <w:rtl/>
        </w:rPr>
        <w:t>وعلى الرغم من أن بعض الدراسات وظّفت نمذجة المعادلات الهيكلية كدراسات شميلان (2024) و</w:t>
      </w:r>
      <w:r w:rsidRPr="00471C07">
        <w:rPr>
          <w:rFonts w:ascii="Simplified Arabic" w:eastAsia="Times New Roman" w:hAnsi="Simplified Arabic" w:cs="Simplified Arabic" w:hint="cs"/>
          <w:sz w:val="28"/>
          <w:szCs w:val="28"/>
        </w:rPr>
        <w:t xml:space="preserve">Khuc &amp; Nguyen (2025)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Deng et al. (2023)</w:t>
      </w:r>
      <w:r w:rsidRPr="00471C07">
        <w:rPr>
          <w:rFonts w:ascii="Simplified Arabic" w:eastAsia="Times New Roman" w:hAnsi="Simplified Arabic" w:cs="Simplified Arabic" w:hint="cs"/>
          <w:sz w:val="28"/>
          <w:szCs w:val="28"/>
          <w:rtl/>
        </w:rPr>
        <w:t>، إلا أن أيًّا منها لم يُطبّق هذا الأسلوب لاختبار نموذج يجمع بين القيادة التحويلية والتحول الرقمي في آنٍ واحد. كما تفاوتت أحجام العينات تفاوتًا كبيرًا بين 58 مفردة في دراسة الغنام والصقر (2025) و332 مفردة في دراسة العزب وآخرون (2023)، مما يُثير تساؤلات حول القدرة التعميمية لبعض النتائج. وعليه تسعى الدراسة الحالية إلى سدّ هذه الفجوة المنهجية من خلال توظيف منظومة إحصائية متكاملة تشمل الإحصاءات الوصفية ومعامل ألفا كرونباخ وارتباط بيرسون والانحدار المتعدد والتدريجي واختبار</w:t>
      </w:r>
      <w:r w:rsidRPr="00471C07">
        <w:rPr>
          <w:rFonts w:ascii="Simplified Arabic" w:eastAsia="Times New Roman" w:hAnsi="Simplified Arabic" w:cs="Simplified Arabic" w:hint="cs"/>
          <w:sz w:val="28"/>
          <w:szCs w:val="28"/>
        </w:rPr>
        <w:t xml:space="preserve"> T </w:t>
      </w:r>
      <w:r w:rsidRPr="00471C07">
        <w:rPr>
          <w:rFonts w:ascii="Simplified Arabic" w:eastAsia="Times New Roman" w:hAnsi="Simplified Arabic" w:cs="Simplified Arabic" w:hint="cs"/>
          <w:sz w:val="28"/>
          <w:szCs w:val="28"/>
          <w:rtl/>
        </w:rPr>
        <w:t>وتحليل التباين الأحادي ونمذجة المعادلات الهيكلية</w:t>
      </w:r>
      <w:r w:rsidRPr="00471C07">
        <w:rPr>
          <w:rFonts w:ascii="Simplified Arabic" w:eastAsia="Times New Roman" w:hAnsi="Simplified Arabic" w:cs="Simplified Arabic" w:hint="cs"/>
          <w:sz w:val="28"/>
          <w:szCs w:val="28"/>
        </w:rPr>
        <w:t xml:space="preserve"> (SEM) </w:t>
      </w:r>
      <w:r w:rsidRPr="00471C07">
        <w:rPr>
          <w:rFonts w:ascii="Simplified Arabic" w:eastAsia="Times New Roman" w:hAnsi="Simplified Arabic" w:cs="Simplified Arabic" w:hint="cs"/>
          <w:sz w:val="28"/>
          <w:szCs w:val="28"/>
          <w:rtl/>
        </w:rPr>
        <w:t>عبر برنامجي</w:t>
      </w:r>
      <w:r w:rsidRPr="00471C07">
        <w:rPr>
          <w:rFonts w:ascii="Simplified Arabic" w:eastAsia="Times New Roman" w:hAnsi="Simplified Arabic" w:cs="Simplified Arabic" w:hint="cs"/>
          <w:sz w:val="28"/>
          <w:szCs w:val="28"/>
        </w:rPr>
        <w:t xml:space="preserve"> SPSS V.28 </w:t>
      </w:r>
      <w:r w:rsidRPr="00471C07">
        <w:rPr>
          <w:rFonts w:ascii="Simplified Arabic" w:eastAsia="Times New Roman" w:hAnsi="Simplified Arabic" w:cs="Simplified Arabic" w:hint="cs"/>
          <w:sz w:val="28"/>
          <w:szCs w:val="28"/>
          <w:rtl/>
        </w:rPr>
        <w:t>و</w:t>
      </w:r>
      <w:r w:rsidRPr="00471C07">
        <w:rPr>
          <w:rFonts w:ascii="Simplified Arabic" w:eastAsia="Times New Roman" w:hAnsi="Simplified Arabic" w:cs="Simplified Arabic" w:hint="cs"/>
          <w:sz w:val="28"/>
          <w:szCs w:val="28"/>
        </w:rPr>
        <w:t>AMOS V.26</w:t>
      </w:r>
      <w:r w:rsidRPr="00471C07">
        <w:rPr>
          <w:rFonts w:ascii="Simplified Arabic" w:eastAsia="Times New Roman" w:hAnsi="Simplified Arabic" w:cs="Simplified Arabic" w:hint="cs"/>
          <w:sz w:val="28"/>
          <w:szCs w:val="28"/>
          <w:rtl/>
        </w:rPr>
        <w:t>، مع عينة مستهدفة لا تقل عن 450 مفردة لضمان قوة إحصائية عالية وقدرة تعميمية أوسع</w:t>
      </w:r>
      <w:r w:rsidRPr="00471C07">
        <w:rPr>
          <w:rFonts w:ascii="Simplified Arabic" w:eastAsia="Times New Roman" w:hAnsi="Simplified Arabic" w:cs="Simplified Arabic" w:hint="cs"/>
          <w:sz w:val="28"/>
          <w:szCs w:val="28"/>
        </w:rPr>
        <w:t>.</w:t>
      </w:r>
    </w:p>
    <w:p w14:paraId="34E1A569" w14:textId="77777777" w:rsidR="00E36F07" w:rsidRPr="00471C07" w:rsidRDefault="00E36F07" w:rsidP="00471C07">
      <w:pPr>
        <w:bidi/>
        <w:spacing w:before="100" w:beforeAutospacing="1" w:after="100" w:afterAutospacing="1" w:line="276" w:lineRule="auto"/>
        <w:ind w:firstLine="720"/>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من حيث بيئة التطبيق، تكشف المراجعة أن الدراسات السابقة طُبّقت في بيئات متباينة لا تعكس خصوصية السياق الحكومي السعودي في مرحلة رؤية 2030، فالدراسات العربية المتعلقة بالقيادة التحويلية طُبّقت في القطاع الصحي السعودي (البركاني، 2024؛ السلمي وشعيبي، 2024؛ الخضران، </w:t>
      </w:r>
      <w:r w:rsidRPr="00471C07">
        <w:rPr>
          <w:rFonts w:ascii="Simplified Arabic" w:eastAsia="Times New Roman" w:hAnsi="Simplified Arabic" w:cs="Simplified Arabic" w:hint="cs"/>
          <w:sz w:val="28"/>
          <w:szCs w:val="28"/>
        </w:rPr>
        <w:t xml:space="preserve">2023) </w:t>
      </w:r>
      <w:r w:rsidRPr="00471C07">
        <w:rPr>
          <w:rFonts w:ascii="Simplified Arabic" w:eastAsia="Times New Roman" w:hAnsi="Simplified Arabic" w:cs="Simplified Arabic" w:hint="cs"/>
          <w:sz w:val="28"/>
          <w:szCs w:val="28"/>
          <w:rtl/>
        </w:rPr>
        <w:t xml:space="preserve">أو القطاع الأكاديمي (الغنام والصقر، 2025)، بينما طُبّقت دراسات التحول الرقمي العربية في المستشفيات التخصصية بجدة (الزهراني ومُجلّد، </w:t>
      </w:r>
      <w:r w:rsidRPr="00471C07">
        <w:rPr>
          <w:rFonts w:ascii="Simplified Arabic" w:eastAsia="Times New Roman" w:hAnsi="Simplified Arabic" w:cs="Simplified Arabic" w:hint="cs"/>
          <w:sz w:val="28"/>
          <w:szCs w:val="28"/>
        </w:rPr>
        <w:t xml:space="preserve">2024) </w:t>
      </w:r>
      <w:r w:rsidRPr="00471C07">
        <w:rPr>
          <w:rFonts w:ascii="Simplified Arabic" w:eastAsia="Times New Roman" w:hAnsi="Simplified Arabic" w:cs="Simplified Arabic" w:hint="cs"/>
          <w:sz w:val="28"/>
          <w:szCs w:val="28"/>
          <w:rtl/>
        </w:rPr>
        <w:t xml:space="preserve">أو البنوك التجارية المصرية (الطيب، 2024) أو وزارة الصحة المصرية (العزب وآخرون، 2023)، فيما تناولت دراسات </w:t>
      </w:r>
      <w:r w:rsidRPr="00471C07">
        <w:rPr>
          <w:rFonts w:ascii="Simplified Arabic" w:eastAsia="Times New Roman" w:hAnsi="Simplified Arabic" w:cs="Simplified Arabic" w:hint="cs"/>
          <w:sz w:val="28"/>
          <w:szCs w:val="28"/>
          <w:rtl/>
        </w:rPr>
        <w:lastRenderedPageBreak/>
        <w:t>الأداء الوظيفي بيئات مثل مديرية الصحة بحائل (شميلان، 2024) أو القطاع الخاص السعودي (الحربي، 2025) أو المؤسسات الجزائرية (بلولة وطرش، 2024). أما الدراسات الأجنبية فطُبّقت في القطاع الخاص الماليزي</w:t>
      </w:r>
      <w:r w:rsidRPr="00471C07">
        <w:rPr>
          <w:rFonts w:ascii="Simplified Arabic" w:eastAsia="Times New Roman" w:hAnsi="Simplified Arabic" w:cs="Simplified Arabic" w:hint="cs"/>
          <w:sz w:val="28"/>
          <w:szCs w:val="28"/>
        </w:rPr>
        <w:t xml:space="preserve"> (Hussain et al., 2024) </w:t>
      </w:r>
      <w:r w:rsidRPr="00471C07">
        <w:rPr>
          <w:rFonts w:ascii="Simplified Arabic" w:eastAsia="Times New Roman" w:hAnsi="Simplified Arabic" w:cs="Simplified Arabic" w:hint="cs"/>
          <w:sz w:val="28"/>
          <w:szCs w:val="28"/>
          <w:rtl/>
        </w:rPr>
        <w:t xml:space="preserve">والقطاع المصرفي الإندونيسي </w:t>
      </w:r>
      <w:r w:rsidRPr="00471C07">
        <w:rPr>
          <w:rFonts w:ascii="Simplified Arabic" w:eastAsia="Times New Roman" w:hAnsi="Simplified Arabic" w:cs="Simplified Arabic" w:hint="cs"/>
          <w:sz w:val="28"/>
          <w:szCs w:val="28"/>
        </w:rPr>
        <w:t xml:space="preserve">(Abdurrahman et al., 2024) </w:t>
      </w:r>
      <w:r w:rsidRPr="00471C07">
        <w:rPr>
          <w:rFonts w:ascii="Simplified Arabic" w:eastAsia="Times New Roman" w:hAnsi="Simplified Arabic" w:cs="Simplified Arabic" w:hint="cs"/>
          <w:sz w:val="28"/>
          <w:szCs w:val="28"/>
          <w:rtl/>
        </w:rPr>
        <w:t>والقطاع الأكاديمي الفيتنامي</w:t>
      </w:r>
      <w:r w:rsidRPr="00471C07">
        <w:rPr>
          <w:rFonts w:ascii="Simplified Arabic" w:eastAsia="Times New Roman" w:hAnsi="Simplified Arabic" w:cs="Simplified Arabic" w:hint="cs"/>
          <w:sz w:val="28"/>
          <w:szCs w:val="28"/>
        </w:rPr>
        <w:t xml:space="preserve"> (Khuc &amp; Nguyen, 2025) </w:t>
      </w:r>
      <w:r w:rsidRPr="00471C07">
        <w:rPr>
          <w:rFonts w:ascii="Simplified Arabic" w:eastAsia="Times New Roman" w:hAnsi="Simplified Arabic" w:cs="Simplified Arabic" w:hint="cs"/>
          <w:sz w:val="28"/>
          <w:szCs w:val="28"/>
          <w:rtl/>
        </w:rPr>
        <w:t>والقطاع الصناعي البنغلاديشي</w:t>
      </w:r>
      <w:r w:rsidRPr="00471C07">
        <w:rPr>
          <w:rFonts w:ascii="Simplified Arabic" w:eastAsia="Times New Roman" w:hAnsi="Simplified Arabic" w:cs="Simplified Arabic" w:hint="cs"/>
          <w:sz w:val="28"/>
          <w:szCs w:val="28"/>
        </w:rPr>
        <w:t xml:space="preserve"> (Gazi et al., 2024) </w:t>
      </w:r>
      <w:r w:rsidRPr="00471C07">
        <w:rPr>
          <w:rFonts w:ascii="Simplified Arabic" w:eastAsia="Times New Roman" w:hAnsi="Simplified Arabic" w:cs="Simplified Arabic" w:hint="cs"/>
          <w:sz w:val="28"/>
          <w:szCs w:val="28"/>
          <w:rtl/>
        </w:rPr>
        <w:t>وقطاع تكنولوجيا المعلومات</w:t>
      </w:r>
      <w:r w:rsidRPr="00471C07">
        <w:rPr>
          <w:rFonts w:ascii="Simplified Arabic" w:eastAsia="Times New Roman" w:hAnsi="Simplified Arabic" w:cs="Simplified Arabic" w:hint="cs"/>
          <w:sz w:val="28"/>
          <w:szCs w:val="28"/>
        </w:rPr>
        <w:t xml:space="preserve"> (Jaroliya &amp; Gyanchandani, 2022) </w:t>
      </w:r>
      <w:r w:rsidRPr="00471C07">
        <w:rPr>
          <w:rFonts w:ascii="Simplified Arabic" w:eastAsia="Times New Roman" w:hAnsi="Simplified Arabic" w:cs="Simplified Arabic" w:hint="cs"/>
          <w:sz w:val="28"/>
          <w:szCs w:val="28"/>
          <w:rtl/>
        </w:rPr>
        <w:t>والسياق الأسترالي</w:t>
      </w:r>
      <w:r w:rsidRPr="00471C07">
        <w:rPr>
          <w:rFonts w:ascii="Simplified Arabic" w:eastAsia="Times New Roman" w:hAnsi="Simplified Arabic" w:cs="Simplified Arabic" w:hint="cs"/>
          <w:sz w:val="28"/>
          <w:szCs w:val="28"/>
        </w:rPr>
        <w:t xml:space="preserve"> (Deng et al., 2023). </w:t>
      </w:r>
      <w:r w:rsidRPr="00471C07">
        <w:rPr>
          <w:rFonts w:ascii="Simplified Arabic" w:eastAsia="Times New Roman" w:hAnsi="Simplified Arabic" w:cs="Simplified Arabic" w:hint="cs"/>
          <w:sz w:val="28"/>
          <w:szCs w:val="28"/>
          <w:rtl/>
        </w:rPr>
        <w:t xml:space="preserve">وبالتالي لم تتناول أيّ من هذه الدراسات الجهات الحكومية المدنية السعودية بشكل شامل في ظل التحولات المتسارعة التي تشهدها المملكة ضمن رؤية 2030، حيث بلغ مؤشر قياس التحول الرقمي الحكومي </w:t>
      </w:r>
      <w:r w:rsidRPr="00471C07">
        <w:rPr>
          <w:rFonts w:ascii="Simplified Arabic" w:eastAsia="Times New Roman" w:hAnsi="Simplified Arabic" w:cs="Simplified Arabic" w:hint="cs"/>
          <w:sz w:val="28"/>
          <w:szCs w:val="28"/>
        </w:rPr>
        <w:t xml:space="preserve">88.30% </w:t>
      </w:r>
      <w:r w:rsidRPr="00471C07">
        <w:rPr>
          <w:rFonts w:ascii="Simplified Arabic" w:eastAsia="Times New Roman" w:hAnsi="Simplified Arabic" w:cs="Simplified Arabic" w:hint="cs"/>
          <w:sz w:val="28"/>
          <w:szCs w:val="28"/>
          <w:rtl/>
        </w:rPr>
        <w:t>عام 2025 وتتجاوز أعداد الموظفين الحكوميين 1.18 مليون موظف مدني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وعليه تأتي الدراسة الحالية لسدّ هذه الفجوة المكانية والسياقية من خلال تطبيق نموذجها المقترح الذي يدمج القيادة التحويلية والتحول الرقمي كمتغيرين مستقلين لقياس أثرهما المشترك على الأداء الوظيفي في الجهات الحكومية المدنية السعودية، وهو ما لم تتطرق إليه أيّ دراسة سابقة بهذا التكامل والشمولية</w:t>
      </w:r>
      <w:r w:rsidRPr="00471C07">
        <w:rPr>
          <w:rFonts w:ascii="Simplified Arabic" w:eastAsia="Times New Roman" w:hAnsi="Simplified Arabic" w:cs="Simplified Arabic" w:hint="cs"/>
          <w:sz w:val="28"/>
          <w:szCs w:val="28"/>
        </w:rPr>
        <w:t>.</w:t>
      </w:r>
    </w:p>
    <w:p w14:paraId="4F8D1083" w14:textId="77777777" w:rsidR="00922798" w:rsidRDefault="00922798" w:rsidP="00922798">
      <w:pPr>
        <w:pStyle w:val="a8"/>
        <w:bidi/>
        <w:spacing w:line="276" w:lineRule="auto"/>
        <w:jc w:val="both"/>
        <w:rPr>
          <w:rFonts w:ascii="Simplified Arabic" w:hAnsi="Simplified Arabic" w:cs="Simplified Arabic"/>
          <w:sz w:val="28"/>
          <w:szCs w:val="28"/>
          <w:rtl/>
        </w:rPr>
      </w:pPr>
      <w:r w:rsidRPr="00922798">
        <w:rPr>
          <w:rFonts w:ascii="Simplified Arabic" w:hAnsi="Simplified Arabic" w:cs="Simplified Arabic" w:hint="cs"/>
          <w:b/>
          <w:bCs/>
          <w:sz w:val="28"/>
          <w:szCs w:val="28"/>
          <w:u w:val="single"/>
          <w:rtl/>
        </w:rPr>
        <w:t>اختلاف الدراسة الحالية عن الدراسات السابقة</w:t>
      </w:r>
    </w:p>
    <w:p w14:paraId="0678D0AC" w14:textId="5BC9D85B" w:rsidR="00E36F07" w:rsidRPr="00922798" w:rsidRDefault="00922798" w:rsidP="00922798">
      <w:pPr>
        <w:pStyle w:val="a8"/>
        <w:bidi/>
        <w:spacing w:line="276" w:lineRule="auto"/>
        <w:jc w:val="both"/>
        <w:rPr>
          <w:rFonts w:ascii="Simplified Arabic" w:hAnsi="Simplified Arabic" w:cs="Simplified Arabic"/>
          <w:color w:val="EE0000"/>
          <w:sz w:val="28"/>
          <w:szCs w:val="28"/>
        </w:rPr>
      </w:pPr>
      <w:r w:rsidRPr="00922798">
        <w:rPr>
          <w:rFonts w:ascii="Simplified Arabic" w:hAnsi="Simplified Arabic" w:cs="Simplified Arabic"/>
          <w:color w:val="EE0000"/>
          <w:sz w:val="28"/>
          <w:szCs w:val="28"/>
          <w:rtl/>
        </w:rPr>
        <w:t xml:space="preserve">تتميز هذه الدراسة بكونها من أوائل الدراسات العربية التي تدمج القيادة التحويلية والتحول الرقمي كمتغيرين مستقلين في نموذج بحثي واحد لقياس أثرهما المشترك على الأداء الوظيفي، في حين اقتصرت معظم الدراسات السابقة على تناول أحدهما منفردًا أو ربطه بمتغيرات تابعة مختلفة كاتخاذ القرارات أو الرضا الوظيفي أو المرونة التنظيمية. كما تتفرد بتطبيقها على بيئة الأجهزة الحكومية المدنية في المملكة العربية السعودية في ظل مستهدفات رؤية 2030 التي تضع التحول الرقمي والتميز القيادي في صدارة أولوياتها، بينما أُجريت الدراسات السابقة في بيئات متنوعة كالقطاع الصحي السعودي والقطاع المصرفي المصري والإندونيسي والقطاع الأكاديمي الفيتنامي والقطاع الصناعي البنغلاديشي، مما يعني غياب دراسات مباشرة تستهدف هذا السياق الحكومي المدني بمتغيراته الثلاثة مجتمعة. وتتميز الدراسة كذلك بتبنّيها نموذجًا متكاملًا يشمل ثمانية أبعاد فرعية للمتغيرين المستقلين — أربعة للقيادة التحويلية (التأثير المثالي، والدافعية الإلهامية، والاستثارة الفكرية، والاعتبار الفردي) وأربعة للتحول الرقمي (البنية التقنية، والثقافة الرقمية، والتشريعات والسياسات الرقمية، والموارد البشرية الرقمية) — وهو ما لم تجمعه دراسة سابقة واحدة في إطار نظري موحّد. </w:t>
      </w:r>
      <w:r w:rsidRPr="00922798">
        <w:rPr>
          <w:rFonts w:ascii="Simplified Arabic" w:hAnsi="Simplified Arabic" w:cs="Simplified Arabic" w:hint="cs"/>
          <w:color w:val="EE0000"/>
          <w:sz w:val="28"/>
          <w:szCs w:val="28"/>
          <w:rtl/>
        </w:rPr>
        <w:lastRenderedPageBreak/>
        <w:t>و</w:t>
      </w:r>
      <w:r w:rsidRPr="00922798">
        <w:rPr>
          <w:rFonts w:ascii="Simplified Arabic" w:hAnsi="Simplified Arabic" w:cs="Simplified Arabic"/>
          <w:color w:val="EE0000"/>
          <w:sz w:val="28"/>
          <w:szCs w:val="28"/>
          <w:rtl/>
        </w:rPr>
        <w:t xml:space="preserve"> تجمع الدراسة بين أساليب إحصائية متقدمة تشمل نمذجة المعادلات الهيكلية والتحليل الانحداري المتعدد والتدريجي وتحليل التباين الأحادي، في حين اكتفت كثير من الدراسات السابقة بمعاملات ارتباط بيرسون أو الانحدار البسيط دون اختبار نموذج بنائي شامل، مما يتيح للدراسة الحالية تقديم فهم أعمق للعلاقات السببية المباشرة وغير المباشرة بين المتغيرات وتحديد الأبعاد الأكثر تأثيرًا في التنبؤ بالأداء الوظيفي</w:t>
      </w:r>
      <w:r w:rsidR="00E36F07" w:rsidRPr="00922798">
        <w:rPr>
          <w:rFonts w:ascii="Simplified Arabic" w:hAnsi="Simplified Arabic" w:cs="Simplified Arabic" w:hint="cs"/>
          <w:color w:val="EE0000"/>
          <w:sz w:val="28"/>
          <w:szCs w:val="28"/>
        </w:rPr>
        <w:t>.</w:t>
      </w:r>
    </w:p>
    <w:p w14:paraId="3D55F3A0" w14:textId="3AFB1FD5" w:rsidR="00074754" w:rsidRPr="00471C07" w:rsidRDefault="00074754" w:rsidP="00471C07">
      <w:pPr>
        <w:pStyle w:val="1"/>
        <w:bidi/>
        <w:spacing w:line="276" w:lineRule="auto"/>
        <w:jc w:val="center"/>
        <w:rPr>
          <w:rFonts w:ascii="Simplified Arabic" w:hAnsi="Simplified Arabic" w:cs="Simplified Arabic"/>
          <w:color w:val="auto"/>
          <w:sz w:val="28"/>
          <w:szCs w:val="28"/>
          <w:rtl/>
        </w:rPr>
      </w:pPr>
      <w:r w:rsidRPr="00471C07">
        <w:rPr>
          <w:rStyle w:val="a9"/>
          <w:rFonts w:ascii="Simplified Arabic" w:hAnsi="Simplified Arabic" w:cs="Simplified Arabic" w:hint="cs"/>
          <w:color w:val="auto"/>
          <w:sz w:val="28"/>
          <w:szCs w:val="28"/>
          <w:rtl/>
        </w:rPr>
        <w:t>جدول</w:t>
      </w:r>
      <w:r w:rsidR="00DE21E6" w:rsidRPr="00471C07">
        <w:rPr>
          <w:rStyle w:val="a9"/>
          <w:rFonts w:ascii="Simplified Arabic" w:hAnsi="Simplified Arabic" w:cs="Simplified Arabic" w:hint="cs"/>
          <w:color w:val="auto"/>
          <w:sz w:val="28"/>
          <w:szCs w:val="28"/>
          <w:rtl/>
        </w:rPr>
        <w:t xml:space="preserve"> رقم (1)</w:t>
      </w:r>
      <w:r w:rsidRPr="00471C07">
        <w:rPr>
          <w:rStyle w:val="a9"/>
          <w:rFonts w:ascii="Simplified Arabic" w:hAnsi="Simplified Arabic" w:cs="Simplified Arabic" w:hint="cs"/>
          <w:color w:val="auto"/>
          <w:sz w:val="28"/>
          <w:szCs w:val="28"/>
          <w:rtl/>
        </w:rPr>
        <w:t xml:space="preserve"> مقارن للدراسات السابقة</w:t>
      </w:r>
      <w:r w:rsidRPr="00471C07">
        <w:rPr>
          <w:rStyle w:val="a9"/>
          <w:rFonts w:ascii="Simplified Arabic" w:hAnsi="Simplified Arabic" w:cs="Simplified Arabic" w:hint="cs"/>
          <w:color w:val="auto"/>
          <w:sz w:val="28"/>
          <w:szCs w:val="28"/>
        </w:rPr>
        <w:t xml:space="preserve"> (Summary Table)</w:t>
      </w:r>
    </w:p>
    <w:p w14:paraId="26D7D8D4" w14:textId="4B532586" w:rsidR="008E773E" w:rsidRPr="00471C07" w:rsidRDefault="008E773E" w:rsidP="00471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rPr>
          <w:rFonts w:ascii="Simplified Arabic" w:eastAsia="Times New Roman" w:hAnsi="Simplified Arabic" w:cs="Simplified Arabic"/>
          <w:sz w:val="28"/>
          <w:szCs w:val="28"/>
        </w:rPr>
      </w:pPr>
    </w:p>
    <w:tbl>
      <w:tblPr>
        <w:tblStyle w:val="4-5"/>
        <w:bidiVisual/>
        <w:tblW w:w="8493" w:type="dxa"/>
        <w:tblInd w:w="30" w:type="dxa"/>
        <w:tblLayout w:type="fixed"/>
        <w:tblLook w:val="04A0" w:firstRow="1" w:lastRow="0" w:firstColumn="1" w:lastColumn="0" w:noHBand="0" w:noVBand="1"/>
      </w:tblPr>
      <w:tblGrid>
        <w:gridCol w:w="552"/>
        <w:gridCol w:w="1146"/>
        <w:gridCol w:w="1275"/>
        <w:gridCol w:w="851"/>
        <w:gridCol w:w="992"/>
        <w:gridCol w:w="992"/>
        <w:gridCol w:w="1134"/>
        <w:gridCol w:w="1551"/>
      </w:tblGrid>
      <w:tr w:rsidR="008E773E" w:rsidRPr="00471C07" w14:paraId="65F39585" w14:textId="77777777" w:rsidTr="0092506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2" w:type="dxa"/>
            <w:hideMark/>
          </w:tcPr>
          <w:p w14:paraId="41A5F8A9"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الرقم</w:t>
            </w:r>
          </w:p>
        </w:tc>
        <w:tc>
          <w:tcPr>
            <w:tcW w:w="1146" w:type="dxa"/>
            <w:hideMark/>
          </w:tcPr>
          <w:p w14:paraId="1741355A"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الدراسة</w:t>
            </w:r>
          </w:p>
        </w:tc>
        <w:tc>
          <w:tcPr>
            <w:tcW w:w="1275" w:type="dxa"/>
            <w:hideMark/>
          </w:tcPr>
          <w:p w14:paraId="3BA87BE3"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المتغيرات الرئيسة</w:t>
            </w:r>
          </w:p>
        </w:tc>
        <w:tc>
          <w:tcPr>
            <w:tcW w:w="851" w:type="dxa"/>
            <w:hideMark/>
          </w:tcPr>
          <w:p w14:paraId="49A5842A"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المنهج المستخدم</w:t>
            </w:r>
          </w:p>
        </w:tc>
        <w:tc>
          <w:tcPr>
            <w:tcW w:w="992" w:type="dxa"/>
            <w:hideMark/>
          </w:tcPr>
          <w:p w14:paraId="6DCC0AC8"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أداة جمع البيانات</w:t>
            </w:r>
          </w:p>
        </w:tc>
        <w:tc>
          <w:tcPr>
            <w:tcW w:w="992" w:type="dxa"/>
            <w:hideMark/>
          </w:tcPr>
          <w:p w14:paraId="47C69E74"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العينة</w:t>
            </w:r>
          </w:p>
        </w:tc>
        <w:tc>
          <w:tcPr>
            <w:tcW w:w="1134" w:type="dxa"/>
            <w:hideMark/>
          </w:tcPr>
          <w:p w14:paraId="29B9B576"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أهم النتائج</w:t>
            </w:r>
          </w:p>
        </w:tc>
        <w:tc>
          <w:tcPr>
            <w:tcW w:w="1551" w:type="dxa"/>
            <w:hideMark/>
          </w:tcPr>
          <w:p w14:paraId="54734A3B" w14:textId="77777777" w:rsidR="008E773E" w:rsidRPr="00471C07" w:rsidRDefault="008E773E" w:rsidP="00471C07">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الفجوة البحثية المستخلصة</w:t>
            </w:r>
          </w:p>
        </w:tc>
      </w:tr>
      <w:tr w:rsidR="008E773E" w:rsidRPr="00471C07" w14:paraId="16092E03"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CBBF239"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w:t>
            </w:r>
          </w:p>
        </w:tc>
        <w:tc>
          <w:tcPr>
            <w:tcW w:w="1146" w:type="dxa"/>
            <w:hideMark/>
          </w:tcPr>
          <w:p w14:paraId="6148458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البركاني</w:t>
            </w:r>
            <w:r w:rsidRPr="00471C07">
              <w:rPr>
                <w:rFonts w:ascii="Simplified Arabic" w:eastAsia="Times New Roman" w:hAnsi="Simplified Arabic" w:cs="Simplified Arabic" w:hint="cs"/>
                <w:sz w:val="28"/>
                <w:szCs w:val="28"/>
              </w:rPr>
              <w:t xml:space="preserve"> (2024)</w:t>
            </w:r>
          </w:p>
        </w:tc>
        <w:tc>
          <w:tcPr>
            <w:tcW w:w="1275" w:type="dxa"/>
            <w:hideMark/>
          </w:tcPr>
          <w:p w14:paraId="2CA1320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فاعلية اتخاذ القرارات</w:t>
            </w:r>
          </w:p>
        </w:tc>
        <w:tc>
          <w:tcPr>
            <w:tcW w:w="851" w:type="dxa"/>
            <w:hideMark/>
          </w:tcPr>
          <w:p w14:paraId="3F09F1E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7B928C0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4011CEB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152 </w:t>
            </w:r>
            <w:r w:rsidRPr="00471C07">
              <w:rPr>
                <w:rFonts w:ascii="Simplified Arabic" w:eastAsia="Times New Roman" w:hAnsi="Simplified Arabic" w:cs="Simplified Arabic" w:hint="cs"/>
                <w:sz w:val="28"/>
                <w:szCs w:val="28"/>
                <w:rtl/>
              </w:rPr>
              <w:t>موظفًا – المستشفى العام – السعودية</w:t>
            </w:r>
          </w:p>
        </w:tc>
        <w:tc>
          <w:tcPr>
            <w:tcW w:w="1134" w:type="dxa"/>
            <w:hideMark/>
          </w:tcPr>
          <w:p w14:paraId="06341FE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ذو دلالة إحصائية لجميع أبعاد القيادة التحويلية على فاعلية اتخاذ القرارات</w:t>
            </w:r>
          </w:p>
        </w:tc>
        <w:tc>
          <w:tcPr>
            <w:tcW w:w="1551" w:type="dxa"/>
            <w:hideMark/>
          </w:tcPr>
          <w:p w14:paraId="18B9414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تتناول أثر القيادة التحويلية على الأداء الوظيفي مباشرةً، ولم تُدمج التحول الرقمي كمتغير</w:t>
            </w:r>
          </w:p>
        </w:tc>
      </w:tr>
      <w:tr w:rsidR="008E773E" w:rsidRPr="00471C07" w14:paraId="42FBE096"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936E2EE"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w:t>
            </w:r>
          </w:p>
        </w:tc>
        <w:tc>
          <w:tcPr>
            <w:tcW w:w="1146" w:type="dxa"/>
            <w:hideMark/>
          </w:tcPr>
          <w:p w14:paraId="49ACCD5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السلمي وشعيبي</w:t>
            </w:r>
            <w:r w:rsidRPr="00471C07">
              <w:rPr>
                <w:rFonts w:ascii="Simplified Arabic" w:eastAsia="Times New Roman" w:hAnsi="Simplified Arabic" w:cs="Simplified Arabic" w:hint="cs"/>
                <w:sz w:val="28"/>
                <w:szCs w:val="28"/>
              </w:rPr>
              <w:t xml:space="preserve"> (2024)</w:t>
            </w:r>
          </w:p>
        </w:tc>
        <w:tc>
          <w:tcPr>
            <w:tcW w:w="1275" w:type="dxa"/>
            <w:hideMark/>
          </w:tcPr>
          <w:p w14:paraId="054EF08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السمعة التنظيمية</w:t>
            </w:r>
          </w:p>
        </w:tc>
        <w:tc>
          <w:tcPr>
            <w:tcW w:w="851" w:type="dxa"/>
            <w:hideMark/>
          </w:tcPr>
          <w:p w14:paraId="406D538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3D2AA455"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7EF2A7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150 </w:t>
            </w:r>
            <w:r w:rsidRPr="00471C07">
              <w:rPr>
                <w:rFonts w:ascii="Simplified Arabic" w:eastAsia="Times New Roman" w:hAnsi="Simplified Arabic" w:cs="Simplified Arabic" w:hint="cs"/>
                <w:sz w:val="28"/>
                <w:szCs w:val="28"/>
                <w:rtl/>
              </w:rPr>
              <w:t xml:space="preserve">موظفًا – الشؤون الصحية </w:t>
            </w:r>
            <w:r w:rsidRPr="00471C07">
              <w:rPr>
                <w:rFonts w:ascii="Simplified Arabic" w:eastAsia="Times New Roman" w:hAnsi="Simplified Arabic" w:cs="Simplified Arabic" w:hint="cs"/>
                <w:sz w:val="28"/>
                <w:szCs w:val="28"/>
                <w:rtl/>
              </w:rPr>
              <w:lastRenderedPageBreak/>
              <w:t>بجدة – السعودية</w:t>
            </w:r>
          </w:p>
        </w:tc>
        <w:tc>
          <w:tcPr>
            <w:tcW w:w="1134" w:type="dxa"/>
            <w:hideMark/>
          </w:tcPr>
          <w:p w14:paraId="1D3E06E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دور إيجابي ودال إحصائيًا </w:t>
            </w:r>
            <w:r w:rsidRPr="00471C07">
              <w:rPr>
                <w:rFonts w:ascii="Simplified Arabic" w:eastAsia="Times New Roman" w:hAnsi="Simplified Arabic" w:cs="Simplified Arabic" w:hint="cs"/>
                <w:sz w:val="28"/>
                <w:szCs w:val="28"/>
                <w:rtl/>
              </w:rPr>
              <w:lastRenderedPageBreak/>
              <w:t>للقيادة التحويلية في تعزيز السمعة التنظيمية</w:t>
            </w:r>
          </w:p>
        </w:tc>
        <w:tc>
          <w:tcPr>
            <w:tcW w:w="1551" w:type="dxa"/>
            <w:hideMark/>
          </w:tcPr>
          <w:p w14:paraId="6F9BB1A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اقتصرت على السمعة التنظيمية دون الأداء </w:t>
            </w:r>
            <w:r w:rsidRPr="00471C07">
              <w:rPr>
                <w:rFonts w:ascii="Simplified Arabic" w:eastAsia="Times New Roman" w:hAnsi="Simplified Arabic" w:cs="Simplified Arabic" w:hint="cs"/>
                <w:sz w:val="28"/>
                <w:szCs w:val="28"/>
                <w:rtl/>
              </w:rPr>
              <w:lastRenderedPageBreak/>
              <w:t>الوظيفي، ولم تشمل متغيرات التحول الرقمي</w:t>
            </w:r>
          </w:p>
        </w:tc>
      </w:tr>
      <w:tr w:rsidR="008E773E" w:rsidRPr="00471C07" w14:paraId="6C429B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3E3B0E2"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3</w:t>
            </w:r>
          </w:p>
        </w:tc>
        <w:tc>
          <w:tcPr>
            <w:tcW w:w="1146" w:type="dxa"/>
            <w:hideMark/>
          </w:tcPr>
          <w:p w14:paraId="6105B87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الخضران</w:t>
            </w:r>
            <w:r w:rsidRPr="00471C07">
              <w:rPr>
                <w:rFonts w:ascii="Simplified Arabic" w:eastAsia="Times New Roman" w:hAnsi="Simplified Arabic" w:cs="Simplified Arabic" w:hint="cs"/>
                <w:sz w:val="28"/>
                <w:szCs w:val="28"/>
              </w:rPr>
              <w:t xml:space="preserve"> (2023)</w:t>
            </w:r>
          </w:p>
        </w:tc>
        <w:tc>
          <w:tcPr>
            <w:tcW w:w="1275" w:type="dxa"/>
            <w:hideMark/>
          </w:tcPr>
          <w:p w14:paraId="3383DDA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المسؤولية المجتمعية</w:t>
            </w:r>
          </w:p>
        </w:tc>
        <w:tc>
          <w:tcPr>
            <w:tcW w:w="851" w:type="dxa"/>
            <w:hideMark/>
          </w:tcPr>
          <w:p w14:paraId="64DABFE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3702081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63FE4DF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من العاملين – مديرية الشؤون الصحية بعسير – السعودية</w:t>
            </w:r>
          </w:p>
        </w:tc>
        <w:tc>
          <w:tcPr>
            <w:tcW w:w="1134" w:type="dxa"/>
            <w:hideMark/>
          </w:tcPr>
          <w:p w14:paraId="2E032D7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دالة إحصائيًا بين أبعاد القيادة التحويلية والمسؤولية المجتمعية</w:t>
            </w:r>
          </w:p>
        </w:tc>
        <w:tc>
          <w:tcPr>
            <w:tcW w:w="1551" w:type="dxa"/>
            <w:hideMark/>
          </w:tcPr>
          <w:p w14:paraId="4AF320E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تقس الأداء الوظيفي كمتغير تابع، وأوصت بدراسة متغيرات أخرى كالإبداع والولاء</w:t>
            </w:r>
          </w:p>
        </w:tc>
      </w:tr>
      <w:tr w:rsidR="008E773E" w:rsidRPr="00471C07" w14:paraId="014C184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52481C4F"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4</w:t>
            </w:r>
          </w:p>
        </w:tc>
        <w:tc>
          <w:tcPr>
            <w:tcW w:w="1146" w:type="dxa"/>
            <w:hideMark/>
          </w:tcPr>
          <w:p w14:paraId="3372F26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الغنام والصقر</w:t>
            </w:r>
            <w:r w:rsidRPr="00471C07">
              <w:rPr>
                <w:rFonts w:ascii="Simplified Arabic" w:eastAsia="Times New Roman" w:hAnsi="Simplified Arabic" w:cs="Simplified Arabic" w:hint="cs"/>
                <w:sz w:val="28"/>
                <w:szCs w:val="28"/>
              </w:rPr>
              <w:t xml:space="preserve"> (2025)</w:t>
            </w:r>
          </w:p>
        </w:tc>
        <w:tc>
          <w:tcPr>
            <w:tcW w:w="1275" w:type="dxa"/>
            <w:hideMark/>
          </w:tcPr>
          <w:p w14:paraId="5BCAC60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التميز المؤسسي</w:t>
            </w:r>
          </w:p>
        </w:tc>
        <w:tc>
          <w:tcPr>
            <w:tcW w:w="851" w:type="dxa"/>
            <w:hideMark/>
          </w:tcPr>
          <w:p w14:paraId="0D1C5F4D"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w:t>
            </w:r>
          </w:p>
        </w:tc>
        <w:tc>
          <w:tcPr>
            <w:tcW w:w="992" w:type="dxa"/>
            <w:hideMark/>
          </w:tcPr>
          <w:p w14:paraId="1480D58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D8B891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58 </w:t>
            </w:r>
            <w:r w:rsidRPr="00471C07">
              <w:rPr>
                <w:rFonts w:ascii="Simplified Arabic" w:eastAsia="Times New Roman" w:hAnsi="Simplified Arabic" w:cs="Simplified Arabic" w:hint="cs"/>
                <w:sz w:val="28"/>
                <w:szCs w:val="28"/>
                <w:rtl/>
              </w:rPr>
              <w:t>من القيادات الأكاديمية – جامعة الأمير سطام – السعودية</w:t>
            </w:r>
          </w:p>
        </w:tc>
        <w:tc>
          <w:tcPr>
            <w:tcW w:w="1134" w:type="dxa"/>
            <w:hideMark/>
          </w:tcPr>
          <w:p w14:paraId="5D17C97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ارتباط قوي (0.852) وتأثير بنسبة 72.1% للقيادة التحويلية على التميز المؤسسي</w:t>
            </w:r>
          </w:p>
        </w:tc>
        <w:tc>
          <w:tcPr>
            <w:tcW w:w="1551" w:type="dxa"/>
            <w:hideMark/>
          </w:tcPr>
          <w:p w14:paraId="7497DED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صغيرة (58)، ولم تتناول التحول الرقمي أو الأداء الوظيفي المباشر للموظفين</w:t>
            </w:r>
          </w:p>
        </w:tc>
      </w:tr>
      <w:tr w:rsidR="008E773E" w:rsidRPr="00471C07" w14:paraId="2056BA87"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F4C042E"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5</w:t>
            </w:r>
          </w:p>
        </w:tc>
        <w:tc>
          <w:tcPr>
            <w:tcW w:w="1146" w:type="dxa"/>
            <w:hideMark/>
          </w:tcPr>
          <w:p w14:paraId="02492EE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Hussain et al. (2024)</w:t>
            </w:r>
          </w:p>
        </w:tc>
        <w:tc>
          <w:tcPr>
            <w:tcW w:w="1275" w:type="dxa"/>
            <w:hideMark/>
          </w:tcPr>
          <w:p w14:paraId="4C984EB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الأداء الوظيفي</w:t>
            </w:r>
          </w:p>
        </w:tc>
        <w:tc>
          <w:tcPr>
            <w:tcW w:w="851" w:type="dxa"/>
            <w:hideMark/>
          </w:tcPr>
          <w:p w14:paraId="0A0FDE2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p>
        </w:tc>
        <w:tc>
          <w:tcPr>
            <w:tcW w:w="992" w:type="dxa"/>
            <w:hideMark/>
          </w:tcPr>
          <w:p w14:paraId="1DCA66B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78D27D0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من الموظفين – شركة بباندار بارو بانجي – ماليزيا</w:t>
            </w:r>
          </w:p>
        </w:tc>
        <w:tc>
          <w:tcPr>
            <w:tcW w:w="1134" w:type="dxa"/>
            <w:hideMark/>
          </w:tcPr>
          <w:p w14:paraId="3E14330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ارتباطات إيجابية دالة بين جميع أبعاد القيادة التحويلية الأربعة والأداء الوظيفي</w:t>
            </w:r>
          </w:p>
        </w:tc>
        <w:tc>
          <w:tcPr>
            <w:tcW w:w="1551" w:type="dxa"/>
            <w:hideMark/>
          </w:tcPr>
          <w:p w14:paraId="27F5EB7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في القطاع الخاص الماليزي، ولم تشمل التحول الرقمي أو السياق الحكومي السعودي</w:t>
            </w:r>
          </w:p>
        </w:tc>
      </w:tr>
      <w:tr w:rsidR="008E773E" w:rsidRPr="00471C07" w14:paraId="24ED4D62"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A3E8A69"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6</w:t>
            </w:r>
          </w:p>
        </w:tc>
        <w:tc>
          <w:tcPr>
            <w:tcW w:w="1146" w:type="dxa"/>
            <w:hideMark/>
          </w:tcPr>
          <w:p w14:paraId="0C50AEE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Purwanti &amp; Sarı (2024)</w:t>
            </w:r>
          </w:p>
        </w:tc>
        <w:tc>
          <w:tcPr>
            <w:tcW w:w="1275" w:type="dxa"/>
            <w:hideMark/>
          </w:tcPr>
          <w:p w14:paraId="0E533FD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أداء الفريق</w:t>
            </w:r>
          </w:p>
        </w:tc>
        <w:tc>
          <w:tcPr>
            <w:tcW w:w="851" w:type="dxa"/>
            <w:hideMark/>
          </w:tcPr>
          <w:p w14:paraId="2AC600F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 (مسح تفسيري)</w:t>
            </w:r>
          </w:p>
        </w:tc>
        <w:tc>
          <w:tcPr>
            <w:tcW w:w="992" w:type="dxa"/>
            <w:hideMark/>
          </w:tcPr>
          <w:p w14:paraId="091FCAF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23BB1BC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66 </w:t>
            </w:r>
            <w:r w:rsidRPr="00471C07">
              <w:rPr>
                <w:rFonts w:ascii="Simplified Arabic" w:eastAsia="Times New Roman" w:hAnsi="Simplified Arabic" w:cs="Simplified Arabic" w:hint="cs"/>
                <w:sz w:val="28"/>
                <w:szCs w:val="28"/>
                <w:rtl/>
              </w:rPr>
              <w:t>موظفًا – عدة أقسام</w:t>
            </w:r>
          </w:p>
        </w:tc>
        <w:tc>
          <w:tcPr>
            <w:tcW w:w="1134" w:type="dxa"/>
            <w:hideMark/>
          </w:tcPr>
          <w:p w14:paraId="5C25B99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تأثير إيجابي ومعنوي للقيادة التحويلية على أداء الفريق</w:t>
            </w:r>
            <w:r w:rsidRPr="00471C07">
              <w:rPr>
                <w:rFonts w:ascii="Simplified Arabic" w:eastAsia="Times New Roman" w:hAnsi="Simplified Arabic" w:cs="Simplified Arabic" w:hint="cs"/>
                <w:sz w:val="28"/>
                <w:szCs w:val="28"/>
              </w:rPr>
              <w:t xml:space="preserve"> (p = 0.000)</w:t>
            </w:r>
          </w:p>
        </w:tc>
        <w:tc>
          <w:tcPr>
            <w:tcW w:w="1551" w:type="dxa"/>
            <w:hideMark/>
          </w:tcPr>
          <w:p w14:paraId="2E4EED2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ركّزت على أداء الفريق لا الأداء الفردي، ولم تدمج متغير التحول الرقمي</w:t>
            </w:r>
          </w:p>
        </w:tc>
      </w:tr>
      <w:tr w:rsidR="008E773E" w:rsidRPr="00471C07" w14:paraId="74CE6FF0"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3EBE7C5F"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7</w:t>
            </w:r>
          </w:p>
        </w:tc>
        <w:tc>
          <w:tcPr>
            <w:tcW w:w="1146" w:type="dxa"/>
            <w:hideMark/>
          </w:tcPr>
          <w:p w14:paraId="2CB6253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Suryadi et al. (2024)</w:t>
            </w:r>
          </w:p>
        </w:tc>
        <w:tc>
          <w:tcPr>
            <w:tcW w:w="1275" w:type="dxa"/>
            <w:hideMark/>
          </w:tcPr>
          <w:p w14:paraId="62BDE37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القيادة التحويلية – الأداء المؤسسي – </w:t>
            </w:r>
            <w:r w:rsidRPr="00471C07">
              <w:rPr>
                <w:rFonts w:ascii="Simplified Arabic" w:eastAsia="Times New Roman" w:hAnsi="Simplified Arabic" w:cs="Simplified Arabic" w:hint="cs"/>
                <w:sz w:val="28"/>
                <w:szCs w:val="28"/>
                <w:rtl/>
              </w:rPr>
              <w:lastRenderedPageBreak/>
              <w:t>دافعية الموظفين</w:t>
            </w:r>
          </w:p>
        </w:tc>
        <w:tc>
          <w:tcPr>
            <w:tcW w:w="851" w:type="dxa"/>
            <w:hideMark/>
          </w:tcPr>
          <w:p w14:paraId="29CBAF6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وصفي نوعي</w:t>
            </w:r>
          </w:p>
        </w:tc>
        <w:tc>
          <w:tcPr>
            <w:tcW w:w="992" w:type="dxa"/>
            <w:hideMark/>
          </w:tcPr>
          <w:p w14:paraId="06141F1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مقابلات – ملاحظة </w:t>
            </w:r>
            <w:r w:rsidRPr="00471C07">
              <w:rPr>
                <w:rFonts w:ascii="Simplified Arabic" w:eastAsia="Times New Roman" w:hAnsi="Simplified Arabic" w:cs="Simplified Arabic" w:hint="cs"/>
                <w:sz w:val="28"/>
                <w:szCs w:val="28"/>
                <w:rtl/>
              </w:rPr>
              <w:lastRenderedPageBreak/>
              <w:t>– تحليل وثائق</w:t>
            </w:r>
          </w:p>
        </w:tc>
        <w:tc>
          <w:tcPr>
            <w:tcW w:w="992" w:type="dxa"/>
            <w:hideMark/>
          </w:tcPr>
          <w:p w14:paraId="4CF8883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قادة وموظفون من </w:t>
            </w:r>
            <w:r w:rsidRPr="00471C07">
              <w:rPr>
                <w:rFonts w:ascii="Simplified Arabic" w:eastAsia="Times New Roman" w:hAnsi="Simplified Arabic" w:cs="Simplified Arabic" w:hint="cs"/>
                <w:sz w:val="28"/>
                <w:szCs w:val="28"/>
                <w:rtl/>
              </w:rPr>
              <w:lastRenderedPageBreak/>
              <w:t>مستويات مختلفة</w:t>
            </w:r>
          </w:p>
        </w:tc>
        <w:tc>
          <w:tcPr>
            <w:tcW w:w="1134" w:type="dxa"/>
            <w:hideMark/>
          </w:tcPr>
          <w:p w14:paraId="758DC8C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ارتفاع الإنتاجية 30.77%، الرضا </w:t>
            </w:r>
            <w:r w:rsidRPr="00471C07">
              <w:rPr>
                <w:rFonts w:ascii="Simplified Arabic" w:eastAsia="Times New Roman" w:hAnsi="Simplified Arabic" w:cs="Simplified Arabic" w:hint="cs"/>
                <w:sz w:val="28"/>
                <w:szCs w:val="28"/>
                <w:rtl/>
              </w:rPr>
              <w:lastRenderedPageBreak/>
              <w:t>28.57%، الدافعية 33.33%، الإبداع 50</w:t>
            </w:r>
            <w:r w:rsidRPr="00471C07">
              <w:rPr>
                <w:rFonts w:ascii="Simplified Arabic" w:eastAsia="Times New Roman" w:hAnsi="Simplified Arabic" w:cs="Simplified Arabic" w:hint="cs"/>
                <w:sz w:val="28"/>
                <w:szCs w:val="28"/>
              </w:rPr>
              <w:t>%</w:t>
            </w:r>
          </w:p>
        </w:tc>
        <w:tc>
          <w:tcPr>
            <w:tcW w:w="1551" w:type="dxa"/>
            <w:hideMark/>
          </w:tcPr>
          <w:p w14:paraId="5B5C08E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اعتمدت المنهج النوعي فقط، ولم تشمل التحول الرقمي </w:t>
            </w:r>
            <w:r w:rsidRPr="00471C07">
              <w:rPr>
                <w:rFonts w:ascii="Simplified Arabic" w:eastAsia="Times New Roman" w:hAnsi="Simplified Arabic" w:cs="Simplified Arabic" w:hint="cs"/>
                <w:sz w:val="28"/>
                <w:szCs w:val="28"/>
                <w:rtl/>
              </w:rPr>
              <w:lastRenderedPageBreak/>
              <w:t>أو القطاع الحكومي</w:t>
            </w:r>
          </w:p>
        </w:tc>
      </w:tr>
      <w:tr w:rsidR="008E773E" w:rsidRPr="00471C07" w14:paraId="68D0649A"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EA94B37"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8</w:t>
            </w:r>
          </w:p>
        </w:tc>
        <w:tc>
          <w:tcPr>
            <w:tcW w:w="1146" w:type="dxa"/>
            <w:hideMark/>
          </w:tcPr>
          <w:p w14:paraId="2FB74EB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Jaroliya &amp; Gyanchandani (2022)</w:t>
            </w:r>
          </w:p>
        </w:tc>
        <w:tc>
          <w:tcPr>
            <w:tcW w:w="1275" w:type="dxa"/>
            <w:hideMark/>
          </w:tcPr>
          <w:p w14:paraId="265415E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القيادة التحويلية – أداء الفريق</w:t>
            </w:r>
          </w:p>
        </w:tc>
        <w:tc>
          <w:tcPr>
            <w:tcW w:w="851" w:type="dxa"/>
            <w:hideMark/>
          </w:tcPr>
          <w:p w14:paraId="02DA159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p>
        </w:tc>
        <w:tc>
          <w:tcPr>
            <w:tcW w:w="992" w:type="dxa"/>
            <w:hideMark/>
          </w:tcPr>
          <w:p w14:paraId="037A27C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055D24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فرق عمل في قطاع تكنولوجيا المعلومات</w:t>
            </w:r>
          </w:p>
        </w:tc>
        <w:tc>
          <w:tcPr>
            <w:tcW w:w="1134" w:type="dxa"/>
            <w:hideMark/>
          </w:tcPr>
          <w:p w14:paraId="77716A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تأثير إيجابي للقيادة التحويلية على أداء الفريق (دفعة وليست عائقًا)</w:t>
            </w:r>
          </w:p>
        </w:tc>
        <w:tc>
          <w:tcPr>
            <w:tcW w:w="1551" w:type="dxa"/>
            <w:hideMark/>
          </w:tcPr>
          <w:p w14:paraId="55102E6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اقتصرت على قطاع تكنولوجيا المعلومات، ولم تقس الأداء الوظيفي الفردي في القطاع الحكومي</w:t>
            </w:r>
          </w:p>
        </w:tc>
      </w:tr>
      <w:tr w:rsidR="008E773E" w:rsidRPr="00471C07" w14:paraId="72EF92B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DB06394"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9</w:t>
            </w:r>
          </w:p>
        </w:tc>
        <w:tc>
          <w:tcPr>
            <w:tcW w:w="1146" w:type="dxa"/>
            <w:hideMark/>
          </w:tcPr>
          <w:p w14:paraId="12E8F35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الزهراني ومُجلّد</w:t>
            </w:r>
            <w:r w:rsidRPr="00471C07">
              <w:rPr>
                <w:rFonts w:ascii="Simplified Arabic" w:eastAsia="Times New Roman" w:hAnsi="Simplified Arabic" w:cs="Simplified Arabic" w:hint="cs"/>
                <w:sz w:val="28"/>
                <w:szCs w:val="28"/>
              </w:rPr>
              <w:t xml:space="preserve"> (2024)</w:t>
            </w:r>
          </w:p>
        </w:tc>
        <w:tc>
          <w:tcPr>
            <w:tcW w:w="1275" w:type="dxa"/>
            <w:hideMark/>
          </w:tcPr>
          <w:p w14:paraId="0DCD256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الأداء الوظيفي</w:t>
            </w:r>
          </w:p>
        </w:tc>
        <w:tc>
          <w:tcPr>
            <w:tcW w:w="851" w:type="dxa"/>
            <w:hideMark/>
          </w:tcPr>
          <w:p w14:paraId="121FD7F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6AAD4E3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قائمة استقصاء</w:t>
            </w:r>
          </w:p>
        </w:tc>
        <w:tc>
          <w:tcPr>
            <w:tcW w:w="992" w:type="dxa"/>
            <w:hideMark/>
          </w:tcPr>
          <w:p w14:paraId="159E56E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290 </w:t>
            </w:r>
            <w:r w:rsidRPr="00471C07">
              <w:rPr>
                <w:rFonts w:ascii="Simplified Arabic" w:eastAsia="Times New Roman" w:hAnsi="Simplified Arabic" w:cs="Simplified Arabic" w:hint="cs"/>
                <w:sz w:val="28"/>
                <w:szCs w:val="28"/>
                <w:rtl/>
              </w:rPr>
              <w:t>مفردة – مستشفيات تخصصية بجدة – السعودية</w:t>
            </w:r>
          </w:p>
        </w:tc>
        <w:tc>
          <w:tcPr>
            <w:tcW w:w="1134" w:type="dxa"/>
            <w:hideMark/>
          </w:tcPr>
          <w:p w14:paraId="76784A8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أثر دال إحصائيًا (0.05) للتحول الرقمي بجميع أبعاده على </w:t>
            </w:r>
            <w:r w:rsidRPr="00471C07">
              <w:rPr>
                <w:rFonts w:ascii="Simplified Arabic" w:eastAsia="Times New Roman" w:hAnsi="Simplified Arabic" w:cs="Simplified Arabic" w:hint="cs"/>
                <w:sz w:val="28"/>
                <w:szCs w:val="28"/>
                <w:rtl/>
              </w:rPr>
              <w:lastRenderedPageBreak/>
              <w:t>الأداء الوظيفي</w:t>
            </w:r>
          </w:p>
        </w:tc>
        <w:tc>
          <w:tcPr>
            <w:tcW w:w="1551" w:type="dxa"/>
            <w:hideMark/>
          </w:tcPr>
          <w:p w14:paraId="7FD03E3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لم تتناول القيادة التحويلية كمتغير مستقل، واقتصرت على القطاع الصحي بجدة</w:t>
            </w:r>
          </w:p>
        </w:tc>
      </w:tr>
      <w:tr w:rsidR="008E773E" w:rsidRPr="00471C07" w14:paraId="1DC830BB"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BDCE62C"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10</w:t>
            </w:r>
          </w:p>
        </w:tc>
        <w:tc>
          <w:tcPr>
            <w:tcW w:w="1146" w:type="dxa"/>
            <w:hideMark/>
          </w:tcPr>
          <w:p w14:paraId="147728E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موافي وبدوي</w:t>
            </w:r>
            <w:r w:rsidRPr="00471C07">
              <w:rPr>
                <w:rFonts w:ascii="Simplified Arabic" w:eastAsia="Times New Roman" w:hAnsi="Simplified Arabic" w:cs="Simplified Arabic" w:hint="cs"/>
                <w:sz w:val="28"/>
                <w:szCs w:val="28"/>
              </w:rPr>
              <w:t xml:space="preserve"> (2024)</w:t>
            </w:r>
          </w:p>
        </w:tc>
        <w:tc>
          <w:tcPr>
            <w:tcW w:w="1275" w:type="dxa"/>
            <w:hideMark/>
          </w:tcPr>
          <w:p w14:paraId="3A684C8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الأداء الوظيفي</w:t>
            </w:r>
          </w:p>
        </w:tc>
        <w:tc>
          <w:tcPr>
            <w:tcW w:w="851" w:type="dxa"/>
            <w:hideMark/>
          </w:tcPr>
          <w:p w14:paraId="4E4CBC7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ارتباطي – مقارن – كمي</w:t>
            </w:r>
          </w:p>
        </w:tc>
        <w:tc>
          <w:tcPr>
            <w:tcW w:w="992" w:type="dxa"/>
            <w:hideMark/>
          </w:tcPr>
          <w:p w14:paraId="70E82BB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استقصاء</w:t>
            </w:r>
          </w:p>
        </w:tc>
        <w:tc>
          <w:tcPr>
            <w:tcW w:w="992" w:type="dxa"/>
            <w:hideMark/>
          </w:tcPr>
          <w:p w14:paraId="15E2656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العاملون بشركات لديها تطبيقات تحول رقمي (أعمارهم </w:t>
            </w:r>
            <w:r w:rsidRPr="00471C07">
              <w:rPr>
                <w:rFonts w:ascii="Cambria Math" w:eastAsia="Times New Roman" w:hAnsi="Cambria Math" w:cs="Cambria Math" w:hint="cs"/>
                <w:sz w:val="28"/>
                <w:szCs w:val="28"/>
                <w:rtl/>
              </w:rPr>
              <w:t>≥</w:t>
            </w:r>
            <w:r w:rsidRPr="00471C07">
              <w:rPr>
                <w:rFonts w:ascii="Simplified Arabic" w:eastAsia="Times New Roman" w:hAnsi="Simplified Arabic" w:cs="Simplified Arabic" w:hint="cs"/>
                <w:sz w:val="28"/>
                <w:szCs w:val="28"/>
                <w:rtl/>
              </w:rPr>
              <w:t xml:space="preserve"> 21)</w:t>
            </w:r>
          </w:p>
        </w:tc>
        <w:tc>
          <w:tcPr>
            <w:tcW w:w="1134" w:type="dxa"/>
            <w:hideMark/>
          </w:tcPr>
          <w:p w14:paraId="2957CF72"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خطية موجبة قوية بين أداء الموظفين والتحول الرقمي</w:t>
            </w:r>
          </w:p>
        </w:tc>
        <w:tc>
          <w:tcPr>
            <w:tcW w:w="1551" w:type="dxa"/>
            <w:hideMark/>
          </w:tcPr>
          <w:p w14:paraId="28BE0B6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تشمل القيادة التحويلية، ولم تُطبّق على القطاع الحكومي السعودي</w:t>
            </w:r>
          </w:p>
        </w:tc>
      </w:tr>
      <w:tr w:rsidR="008E773E" w:rsidRPr="00471C07" w14:paraId="2D31B6D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4024642"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11</w:t>
            </w:r>
          </w:p>
        </w:tc>
        <w:tc>
          <w:tcPr>
            <w:tcW w:w="1146" w:type="dxa"/>
            <w:hideMark/>
          </w:tcPr>
          <w:p w14:paraId="064E210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الطيب</w:t>
            </w:r>
            <w:r w:rsidRPr="00471C07">
              <w:rPr>
                <w:rFonts w:ascii="Simplified Arabic" w:eastAsia="Times New Roman" w:hAnsi="Simplified Arabic" w:cs="Simplified Arabic" w:hint="cs"/>
                <w:sz w:val="28"/>
                <w:szCs w:val="28"/>
              </w:rPr>
              <w:t xml:space="preserve"> (2024)</w:t>
            </w:r>
          </w:p>
        </w:tc>
        <w:tc>
          <w:tcPr>
            <w:tcW w:w="1275" w:type="dxa"/>
            <w:hideMark/>
          </w:tcPr>
          <w:p w14:paraId="7E55D53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المرونة التنظيمية – الثقافة التنظيمية (وسيط)</w:t>
            </w:r>
          </w:p>
        </w:tc>
        <w:tc>
          <w:tcPr>
            <w:tcW w:w="851" w:type="dxa"/>
            <w:hideMark/>
          </w:tcPr>
          <w:p w14:paraId="3DE1B0B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1645419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قائمة استقصاء</w:t>
            </w:r>
          </w:p>
        </w:tc>
        <w:tc>
          <w:tcPr>
            <w:tcW w:w="992" w:type="dxa"/>
            <w:hideMark/>
          </w:tcPr>
          <w:p w14:paraId="79F0E60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موظفو البنوك التجارية الحكومية – مصر</w:t>
            </w:r>
          </w:p>
        </w:tc>
        <w:tc>
          <w:tcPr>
            <w:tcW w:w="1134" w:type="dxa"/>
            <w:hideMark/>
          </w:tcPr>
          <w:p w14:paraId="29B6C8D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تأثير معنوي للتحول الإداري على المرونة التنظيمية، ودور وسيط جوهري للثقافة التنظيمية</w:t>
            </w:r>
          </w:p>
        </w:tc>
        <w:tc>
          <w:tcPr>
            <w:tcW w:w="1551" w:type="dxa"/>
            <w:hideMark/>
          </w:tcPr>
          <w:p w14:paraId="644459B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تقس الأداء الوظيفي كمتغير تابع، ولم تتناول القيادة التحويلية</w:t>
            </w:r>
          </w:p>
        </w:tc>
      </w:tr>
      <w:tr w:rsidR="008E773E" w:rsidRPr="00471C07" w14:paraId="233C865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74114C6"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12</w:t>
            </w:r>
          </w:p>
        </w:tc>
        <w:tc>
          <w:tcPr>
            <w:tcW w:w="1146" w:type="dxa"/>
            <w:hideMark/>
          </w:tcPr>
          <w:p w14:paraId="46C6DDA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العزب وآخرون</w:t>
            </w:r>
            <w:r w:rsidRPr="00471C07">
              <w:rPr>
                <w:rFonts w:ascii="Simplified Arabic" w:eastAsia="Times New Roman" w:hAnsi="Simplified Arabic" w:cs="Simplified Arabic" w:hint="cs"/>
                <w:sz w:val="28"/>
                <w:szCs w:val="28"/>
              </w:rPr>
              <w:t xml:space="preserve"> (2023)</w:t>
            </w:r>
          </w:p>
        </w:tc>
        <w:tc>
          <w:tcPr>
            <w:tcW w:w="1275" w:type="dxa"/>
            <w:hideMark/>
          </w:tcPr>
          <w:p w14:paraId="563119F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تمكين الموارد البشرية</w:t>
            </w:r>
          </w:p>
        </w:tc>
        <w:tc>
          <w:tcPr>
            <w:tcW w:w="851" w:type="dxa"/>
            <w:hideMark/>
          </w:tcPr>
          <w:p w14:paraId="34BE0694"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790F1A2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استمارة + مقابلات</w:t>
            </w:r>
          </w:p>
        </w:tc>
        <w:tc>
          <w:tcPr>
            <w:tcW w:w="992" w:type="dxa"/>
            <w:hideMark/>
          </w:tcPr>
          <w:p w14:paraId="536C3C5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332 </w:t>
            </w:r>
            <w:r w:rsidRPr="00471C07">
              <w:rPr>
                <w:rFonts w:ascii="Simplified Arabic" w:eastAsia="Times New Roman" w:hAnsi="Simplified Arabic" w:cs="Simplified Arabic" w:hint="cs"/>
                <w:sz w:val="28"/>
                <w:szCs w:val="28"/>
                <w:rtl/>
              </w:rPr>
              <w:t>مفردة – ديوان وزارة الصحة والسكان – مصر</w:t>
            </w:r>
          </w:p>
        </w:tc>
        <w:tc>
          <w:tcPr>
            <w:tcW w:w="1134" w:type="dxa"/>
            <w:hideMark/>
          </w:tcPr>
          <w:p w14:paraId="7A52AE9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دالة إحصائيًا وارتباط قوي بين التحول الرقمي وتمكين الموارد البشرية</w:t>
            </w:r>
          </w:p>
        </w:tc>
        <w:tc>
          <w:tcPr>
            <w:tcW w:w="1551" w:type="dxa"/>
            <w:hideMark/>
          </w:tcPr>
          <w:p w14:paraId="5100B56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ركّزت على التمكين لا الأداء الوظيفي، ولم تشمل القيادة التحويلية</w:t>
            </w:r>
          </w:p>
        </w:tc>
      </w:tr>
      <w:tr w:rsidR="008E773E" w:rsidRPr="00471C07" w14:paraId="52AF3A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3FA817C"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13</w:t>
            </w:r>
          </w:p>
        </w:tc>
        <w:tc>
          <w:tcPr>
            <w:tcW w:w="1146" w:type="dxa"/>
            <w:hideMark/>
          </w:tcPr>
          <w:p w14:paraId="1C464FA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Liang (2024)</w:t>
            </w:r>
          </w:p>
        </w:tc>
        <w:tc>
          <w:tcPr>
            <w:tcW w:w="1275" w:type="dxa"/>
            <w:hideMark/>
          </w:tcPr>
          <w:p w14:paraId="5069CEA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التطوير عالي الجودة للمؤسسات</w:t>
            </w:r>
          </w:p>
        </w:tc>
        <w:tc>
          <w:tcPr>
            <w:tcW w:w="851" w:type="dxa"/>
            <w:hideMark/>
          </w:tcPr>
          <w:p w14:paraId="062A67A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بَعدي</w:t>
            </w:r>
            <w:r w:rsidRPr="00471C07">
              <w:rPr>
                <w:rFonts w:ascii="Simplified Arabic" w:eastAsia="Times New Roman" w:hAnsi="Simplified Arabic" w:cs="Simplified Arabic" w:hint="cs"/>
                <w:sz w:val="28"/>
                <w:szCs w:val="28"/>
              </w:rPr>
              <w:t xml:space="preserve"> (Meta-Analysis)</w:t>
            </w:r>
          </w:p>
        </w:tc>
        <w:tc>
          <w:tcPr>
            <w:tcW w:w="992" w:type="dxa"/>
            <w:hideMark/>
          </w:tcPr>
          <w:p w14:paraId="23D6B92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40 دراسة تجريبية</w:t>
            </w:r>
            <w:r w:rsidRPr="00471C07">
              <w:rPr>
                <w:rFonts w:ascii="Simplified Arabic" w:eastAsia="Times New Roman" w:hAnsi="Simplified Arabic" w:cs="Simplified Arabic" w:hint="cs"/>
                <w:sz w:val="28"/>
                <w:szCs w:val="28"/>
              </w:rPr>
              <w:t xml:space="preserve"> (2010–2022)</w:t>
            </w:r>
          </w:p>
        </w:tc>
        <w:tc>
          <w:tcPr>
            <w:tcW w:w="992" w:type="dxa"/>
            <w:hideMark/>
          </w:tcPr>
          <w:p w14:paraId="7F8AA87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40 </w:t>
            </w:r>
            <w:r w:rsidRPr="00471C07">
              <w:rPr>
                <w:rFonts w:ascii="Simplified Arabic" w:eastAsia="Times New Roman" w:hAnsi="Simplified Arabic" w:cs="Simplified Arabic" w:hint="cs"/>
                <w:sz w:val="28"/>
                <w:szCs w:val="28"/>
                <w:rtl/>
              </w:rPr>
              <w:t>دراسة من 6712 مقالة</w:t>
            </w:r>
          </w:p>
        </w:tc>
        <w:tc>
          <w:tcPr>
            <w:tcW w:w="1134" w:type="dxa"/>
            <w:hideMark/>
          </w:tcPr>
          <w:p w14:paraId="056DFB7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حجم أثر كلي (0.422) دال إحصائيًا</w:t>
            </w:r>
            <w:r w:rsidRPr="00471C07">
              <w:rPr>
                <w:rFonts w:ascii="Simplified Arabic" w:eastAsia="Times New Roman" w:hAnsi="Simplified Arabic" w:cs="Simplified Arabic" w:hint="cs"/>
                <w:sz w:val="28"/>
                <w:szCs w:val="28"/>
              </w:rPr>
              <w:t xml:space="preserve"> (p &lt; 0.001) </w:t>
            </w:r>
            <w:r w:rsidRPr="00471C07">
              <w:rPr>
                <w:rFonts w:ascii="Simplified Arabic" w:eastAsia="Times New Roman" w:hAnsi="Simplified Arabic" w:cs="Simplified Arabic" w:hint="cs"/>
                <w:sz w:val="28"/>
                <w:szCs w:val="28"/>
                <w:rtl/>
              </w:rPr>
              <w:t>للتحول الرقمي على التطوير عالي الجودة</w:t>
            </w:r>
          </w:p>
        </w:tc>
        <w:tc>
          <w:tcPr>
            <w:tcW w:w="1551" w:type="dxa"/>
            <w:hideMark/>
          </w:tcPr>
          <w:p w14:paraId="6755692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تتناول الأداء الوظيفي الفردي أو القيادة التحويلية، واعتمدت على دراسات سابقة لا بيانات أولية</w:t>
            </w:r>
          </w:p>
        </w:tc>
      </w:tr>
      <w:tr w:rsidR="008E773E" w:rsidRPr="00471C07" w14:paraId="0299048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757E814"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14</w:t>
            </w:r>
          </w:p>
        </w:tc>
        <w:tc>
          <w:tcPr>
            <w:tcW w:w="1146" w:type="dxa"/>
            <w:hideMark/>
          </w:tcPr>
          <w:p w14:paraId="726F1A4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Abdurrahman et al. (2024)</w:t>
            </w:r>
          </w:p>
        </w:tc>
        <w:tc>
          <w:tcPr>
            <w:tcW w:w="1275" w:type="dxa"/>
            <w:hideMark/>
          </w:tcPr>
          <w:p w14:paraId="2B50464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القدرات الديناميكية – التحول الرقمي – الابتكار – أداء البنوك</w:t>
            </w:r>
          </w:p>
        </w:tc>
        <w:tc>
          <w:tcPr>
            <w:tcW w:w="851" w:type="dxa"/>
            <w:hideMark/>
          </w:tcPr>
          <w:p w14:paraId="41A3D61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(PLS-SEM)</w:t>
            </w:r>
          </w:p>
        </w:tc>
        <w:tc>
          <w:tcPr>
            <w:tcW w:w="992" w:type="dxa"/>
            <w:hideMark/>
          </w:tcPr>
          <w:p w14:paraId="4559568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F5A0E0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325 </w:t>
            </w:r>
            <w:r w:rsidRPr="00471C07">
              <w:rPr>
                <w:rFonts w:ascii="Simplified Arabic" w:eastAsia="Times New Roman" w:hAnsi="Simplified Arabic" w:cs="Simplified Arabic" w:hint="cs"/>
                <w:sz w:val="28"/>
                <w:szCs w:val="28"/>
                <w:rtl/>
              </w:rPr>
              <w:t>مهنيًا من 48 بنكًا – إندونيسيا</w:t>
            </w:r>
          </w:p>
        </w:tc>
        <w:tc>
          <w:tcPr>
            <w:tcW w:w="1134" w:type="dxa"/>
            <w:hideMark/>
          </w:tcPr>
          <w:p w14:paraId="0CD9F6B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يؤثر إيجابيًا على أداء البنوك، والقدرات التنظيمية تؤثر سلبيًا عليه</w:t>
            </w:r>
          </w:p>
        </w:tc>
        <w:tc>
          <w:tcPr>
            <w:tcW w:w="1551" w:type="dxa"/>
            <w:hideMark/>
          </w:tcPr>
          <w:p w14:paraId="20DABD3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في القطاع المصرفي الإندونيسي، ولم تشمل القيادة التحويلية أو القطاع الحكومي</w:t>
            </w:r>
          </w:p>
        </w:tc>
      </w:tr>
      <w:tr w:rsidR="008E773E" w:rsidRPr="00471C07" w14:paraId="7F7463EC"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34F6EF5"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15</w:t>
            </w:r>
          </w:p>
        </w:tc>
        <w:tc>
          <w:tcPr>
            <w:tcW w:w="1146" w:type="dxa"/>
            <w:hideMark/>
          </w:tcPr>
          <w:p w14:paraId="59608485"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Novianto (2023)</w:t>
            </w:r>
          </w:p>
        </w:tc>
        <w:tc>
          <w:tcPr>
            <w:tcW w:w="1275" w:type="dxa"/>
            <w:hideMark/>
          </w:tcPr>
          <w:p w14:paraId="66C8D9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نماذج التحول الرقمي في القطاع العام</w:t>
            </w:r>
          </w:p>
        </w:tc>
        <w:tc>
          <w:tcPr>
            <w:tcW w:w="851" w:type="dxa"/>
            <w:hideMark/>
          </w:tcPr>
          <w:p w14:paraId="423F8A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مراجعة منهجية للأدبيات</w:t>
            </w:r>
          </w:p>
        </w:tc>
        <w:tc>
          <w:tcPr>
            <w:tcW w:w="992" w:type="dxa"/>
            <w:hideMark/>
          </w:tcPr>
          <w:p w14:paraId="1AA3E3F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أدبيات منشورة</w:t>
            </w:r>
          </w:p>
        </w:tc>
        <w:tc>
          <w:tcPr>
            <w:tcW w:w="992" w:type="dxa"/>
            <w:hideMark/>
          </w:tcPr>
          <w:p w14:paraId="1C6D66DB"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مجموعة دراسات منشورة عن التحول الرقمي الحكومي</w:t>
            </w:r>
          </w:p>
        </w:tc>
        <w:tc>
          <w:tcPr>
            <w:tcW w:w="1134" w:type="dxa"/>
            <w:hideMark/>
          </w:tcPr>
          <w:p w14:paraId="2C0F972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نموذج رباعي (خارجي – تنظيمي – مواطنين – تكنولوجي) لنجاح التحول الرقمي</w:t>
            </w:r>
          </w:p>
        </w:tc>
        <w:tc>
          <w:tcPr>
            <w:tcW w:w="1551" w:type="dxa"/>
            <w:hideMark/>
          </w:tcPr>
          <w:p w14:paraId="6D26AAD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دراسة نظرية لم تختبر النموذج ميدانيًا، ولم تقس الأداء الوظيفي أو القيادة التحويلية</w:t>
            </w:r>
          </w:p>
        </w:tc>
      </w:tr>
      <w:tr w:rsidR="008E773E" w:rsidRPr="00471C07" w14:paraId="1D60140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F2A5DEE"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16</w:t>
            </w:r>
          </w:p>
        </w:tc>
        <w:tc>
          <w:tcPr>
            <w:tcW w:w="1146" w:type="dxa"/>
            <w:hideMark/>
          </w:tcPr>
          <w:p w14:paraId="07623D6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Deng et al. (2023)</w:t>
            </w:r>
          </w:p>
        </w:tc>
        <w:tc>
          <w:tcPr>
            <w:tcW w:w="1275" w:type="dxa"/>
            <w:hideMark/>
          </w:tcPr>
          <w:p w14:paraId="5EDAF00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التقنيات الرقمية – مشاركة المعرفة – صنع القرار – الأداء الوظيفي</w:t>
            </w:r>
          </w:p>
        </w:tc>
        <w:tc>
          <w:tcPr>
            <w:tcW w:w="851" w:type="dxa"/>
            <w:hideMark/>
          </w:tcPr>
          <w:p w14:paraId="103866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(SEM)</w:t>
            </w:r>
          </w:p>
        </w:tc>
        <w:tc>
          <w:tcPr>
            <w:tcW w:w="992" w:type="dxa"/>
            <w:hideMark/>
          </w:tcPr>
          <w:p w14:paraId="5EC17B1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 مسحية</w:t>
            </w:r>
          </w:p>
        </w:tc>
        <w:tc>
          <w:tcPr>
            <w:tcW w:w="992" w:type="dxa"/>
            <w:hideMark/>
          </w:tcPr>
          <w:p w14:paraId="3F9D0B5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عينة من العاملين – أستراليا</w:t>
            </w:r>
          </w:p>
        </w:tc>
        <w:tc>
          <w:tcPr>
            <w:tcW w:w="1134" w:type="dxa"/>
            <w:hideMark/>
          </w:tcPr>
          <w:p w14:paraId="06C8A92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مشاركة المعرفة المدفوعة بالتقنيات الرقمية تؤثر معنويًا على صنع القرار والأداء الوظيفي</w:t>
            </w:r>
          </w:p>
        </w:tc>
        <w:tc>
          <w:tcPr>
            <w:tcW w:w="1551" w:type="dxa"/>
            <w:hideMark/>
          </w:tcPr>
          <w:p w14:paraId="5B0D0405"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في أستراليا، ولم تتناول القيادة التحويلية أو السياق الحكومي السعودي</w:t>
            </w:r>
          </w:p>
        </w:tc>
      </w:tr>
      <w:tr w:rsidR="008E773E" w:rsidRPr="00471C07" w14:paraId="325683F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9ED0CB7"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17</w:t>
            </w:r>
          </w:p>
        </w:tc>
        <w:tc>
          <w:tcPr>
            <w:tcW w:w="1146" w:type="dxa"/>
            <w:hideMark/>
          </w:tcPr>
          <w:p w14:paraId="660D767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شميلان</w:t>
            </w:r>
            <w:r w:rsidRPr="00471C07">
              <w:rPr>
                <w:rFonts w:ascii="Simplified Arabic" w:eastAsia="Times New Roman" w:hAnsi="Simplified Arabic" w:cs="Simplified Arabic" w:hint="cs"/>
                <w:sz w:val="28"/>
                <w:szCs w:val="28"/>
              </w:rPr>
              <w:t xml:space="preserve"> (2024)</w:t>
            </w:r>
          </w:p>
        </w:tc>
        <w:tc>
          <w:tcPr>
            <w:tcW w:w="1275" w:type="dxa"/>
            <w:hideMark/>
          </w:tcPr>
          <w:p w14:paraId="2D87611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الحوكمة الرشيدة – جودة الأداء الوظيفي – الرضا الوظيفي (وسيط)</w:t>
            </w:r>
          </w:p>
        </w:tc>
        <w:tc>
          <w:tcPr>
            <w:tcW w:w="851" w:type="dxa"/>
            <w:hideMark/>
          </w:tcPr>
          <w:p w14:paraId="3DA58F3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r w:rsidRPr="00471C07">
              <w:rPr>
                <w:rFonts w:ascii="Simplified Arabic" w:eastAsia="Times New Roman" w:hAnsi="Simplified Arabic" w:cs="Simplified Arabic" w:hint="cs"/>
                <w:sz w:val="28"/>
                <w:szCs w:val="28"/>
              </w:rPr>
              <w:t xml:space="preserve"> + SEM</w:t>
            </w:r>
          </w:p>
        </w:tc>
        <w:tc>
          <w:tcPr>
            <w:tcW w:w="992" w:type="dxa"/>
            <w:hideMark/>
          </w:tcPr>
          <w:p w14:paraId="1374309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 مُهيكلة</w:t>
            </w:r>
          </w:p>
        </w:tc>
        <w:tc>
          <w:tcPr>
            <w:tcW w:w="992" w:type="dxa"/>
            <w:hideMark/>
          </w:tcPr>
          <w:p w14:paraId="6B78AAC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219 </w:t>
            </w:r>
            <w:r w:rsidRPr="00471C07">
              <w:rPr>
                <w:rFonts w:ascii="Simplified Arabic" w:eastAsia="Times New Roman" w:hAnsi="Simplified Arabic" w:cs="Simplified Arabic" w:hint="cs"/>
                <w:sz w:val="28"/>
                <w:szCs w:val="28"/>
                <w:rtl/>
              </w:rPr>
              <w:t>موظفًا – مديرية الصحة بحائل – السعودية</w:t>
            </w:r>
          </w:p>
        </w:tc>
        <w:tc>
          <w:tcPr>
            <w:tcW w:w="1134" w:type="dxa"/>
            <w:hideMark/>
          </w:tcPr>
          <w:p w14:paraId="0F3C8EA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إيجابي دال للحوكمة على الأداء، والرضا يتوسّط العلاقة بشكل كامل</w:t>
            </w:r>
            <w:r w:rsidRPr="00471C07">
              <w:rPr>
                <w:rFonts w:ascii="Simplified Arabic" w:eastAsia="Times New Roman" w:hAnsi="Simplified Arabic" w:cs="Simplified Arabic" w:hint="cs"/>
                <w:sz w:val="28"/>
                <w:szCs w:val="28"/>
              </w:rPr>
              <w:t xml:space="preserve"> (RMSE</w:t>
            </w:r>
            <w:r w:rsidRPr="00471C07">
              <w:rPr>
                <w:rFonts w:ascii="Simplified Arabic" w:eastAsia="Times New Roman" w:hAnsi="Simplified Arabic" w:cs="Simplified Arabic" w:hint="cs"/>
                <w:sz w:val="28"/>
                <w:szCs w:val="28"/>
              </w:rPr>
              <w:lastRenderedPageBreak/>
              <w:t>A = 0.046)</w:t>
            </w:r>
          </w:p>
        </w:tc>
        <w:tc>
          <w:tcPr>
            <w:tcW w:w="1551" w:type="dxa"/>
            <w:hideMark/>
          </w:tcPr>
          <w:p w14:paraId="213967F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lang w:bidi="ar-EG"/>
              </w:rPr>
            </w:pPr>
            <w:r w:rsidRPr="00471C07">
              <w:rPr>
                <w:rFonts w:ascii="Simplified Arabic" w:eastAsia="Times New Roman" w:hAnsi="Simplified Arabic" w:cs="Simplified Arabic" w:hint="cs"/>
                <w:sz w:val="28"/>
                <w:szCs w:val="28"/>
                <w:rtl/>
              </w:rPr>
              <w:lastRenderedPageBreak/>
              <w:t>لم تتناول القيادة التحويلية أو التحول الرقمي كمتغيرات مستقلة</w:t>
            </w:r>
          </w:p>
        </w:tc>
      </w:tr>
      <w:tr w:rsidR="008E773E" w:rsidRPr="00471C07" w14:paraId="7B85BB2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C125428"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18</w:t>
            </w:r>
          </w:p>
        </w:tc>
        <w:tc>
          <w:tcPr>
            <w:tcW w:w="1146" w:type="dxa"/>
            <w:hideMark/>
          </w:tcPr>
          <w:p w14:paraId="263354C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الحربي</w:t>
            </w:r>
            <w:r w:rsidRPr="00471C07">
              <w:rPr>
                <w:rFonts w:ascii="Simplified Arabic" w:eastAsia="Times New Roman" w:hAnsi="Simplified Arabic" w:cs="Simplified Arabic" w:hint="cs"/>
                <w:sz w:val="28"/>
                <w:szCs w:val="28"/>
              </w:rPr>
              <w:t xml:space="preserve"> (2025)</w:t>
            </w:r>
          </w:p>
        </w:tc>
        <w:tc>
          <w:tcPr>
            <w:tcW w:w="1275" w:type="dxa"/>
            <w:hideMark/>
          </w:tcPr>
          <w:p w14:paraId="1A49274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الولاء الوظيفي – الأداء الوظيفي</w:t>
            </w:r>
          </w:p>
        </w:tc>
        <w:tc>
          <w:tcPr>
            <w:tcW w:w="851" w:type="dxa"/>
            <w:hideMark/>
          </w:tcPr>
          <w:p w14:paraId="03736F83"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 وصفي</w:t>
            </w:r>
          </w:p>
        </w:tc>
        <w:tc>
          <w:tcPr>
            <w:tcW w:w="992" w:type="dxa"/>
            <w:hideMark/>
          </w:tcPr>
          <w:p w14:paraId="7E899CF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057F8F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160 </w:t>
            </w:r>
            <w:r w:rsidRPr="00471C07">
              <w:rPr>
                <w:rFonts w:ascii="Simplified Arabic" w:eastAsia="Times New Roman" w:hAnsi="Simplified Arabic" w:cs="Simplified Arabic" w:hint="cs"/>
                <w:sz w:val="28"/>
                <w:szCs w:val="28"/>
                <w:rtl/>
              </w:rPr>
              <w:t>موظفًا – شركة المراعي – السعودية</w:t>
            </w:r>
          </w:p>
        </w:tc>
        <w:tc>
          <w:tcPr>
            <w:tcW w:w="1134" w:type="dxa"/>
            <w:hideMark/>
          </w:tcPr>
          <w:p w14:paraId="49F7D78E"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إيجابية قوية بين الولاء والرغبة في البقاء، لكن لا أثر دال على الانتماء أو المساهمة</w:t>
            </w:r>
          </w:p>
        </w:tc>
        <w:tc>
          <w:tcPr>
            <w:tcW w:w="1551" w:type="dxa"/>
            <w:hideMark/>
          </w:tcPr>
          <w:p w14:paraId="44152DA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تدرس القيادة التحويلية أو التحول الرقمي، وطُبّقت على القطاع الخاص فقط</w:t>
            </w:r>
          </w:p>
        </w:tc>
      </w:tr>
      <w:tr w:rsidR="008E773E" w:rsidRPr="00471C07" w14:paraId="77C267AF"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468E22A"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19</w:t>
            </w:r>
          </w:p>
        </w:tc>
        <w:tc>
          <w:tcPr>
            <w:tcW w:w="1146" w:type="dxa"/>
            <w:hideMark/>
          </w:tcPr>
          <w:p w14:paraId="56B944CA"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دراسة الرضا الوظيفي والأداء التنظيمي</w:t>
            </w:r>
            <w:r w:rsidRPr="00471C07">
              <w:rPr>
                <w:rFonts w:ascii="Simplified Arabic" w:eastAsia="Times New Roman" w:hAnsi="Simplified Arabic" w:cs="Simplified Arabic" w:hint="cs"/>
                <w:sz w:val="28"/>
                <w:szCs w:val="28"/>
              </w:rPr>
              <w:t xml:space="preserve"> (2024)</w:t>
            </w:r>
          </w:p>
        </w:tc>
        <w:tc>
          <w:tcPr>
            <w:tcW w:w="1275" w:type="dxa"/>
            <w:hideMark/>
          </w:tcPr>
          <w:p w14:paraId="1C90E9E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الرضا الوظيفي – الأداء التنظيمي</w:t>
            </w:r>
          </w:p>
        </w:tc>
        <w:tc>
          <w:tcPr>
            <w:tcW w:w="851" w:type="dxa"/>
            <w:hideMark/>
          </w:tcPr>
          <w:p w14:paraId="7E6AFC3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وصفي تحليلي</w:t>
            </w:r>
          </w:p>
        </w:tc>
        <w:tc>
          <w:tcPr>
            <w:tcW w:w="992" w:type="dxa"/>
            <w:hideMark/>
          </w:tcPr>
          <w:p w14:paraId="6959CE7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3553D127"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214 </w:t>
            </w:r>
            <w:r w:rsidRPr="00471C07">
              <w:rPr>
                <w:rFonts w:ascii="Simplified Arabic" w:eastAsia="Times New Roman" w:hAnsi="Simplified Arabic" w:cs="Simplified Arabic" w:hint="cs"/>
                <w:sz w:val="28"/>
                <w:szCs w:val="28"/>
                <w:rtl/>
              </w:rPr>
              <w:t>مفردة – الأكاديمية العربية للعلوم والتكنولوجيا</w:t>
            </w:r>
          </w:p>
        </w:tc>
        <w:tc>
          <w:tcPr>
            <w:tcW w:w="1134" w:type="dxa"/>
            <w:hideMark/>
          </w:tcPr>
          <w:p w14:paraId="6B8B980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علاقة دالة (0.05) بين الرضا والالتزام التنظيمي بنسبة تفسيرية 60.2</w:t>
            </w:r>
            <w:r w:rsidRPr="00471C07">
              <w:rPr>
                <w:rFonts w:ascii="Simplified Arabic" w:eastAsia="Times New Roman" w:hAnsi="Simplified Arabic" w:cs="Simplified Arabic" w:hint="cs"/>
                <w:sz w:val="28"/>
                <w:szCs w:val="28"/>
              </w:rPr>
              <w:t>%</w:t>
            </w:r>
          </w:p>
        </w:tc>
        <w:tc>
          <w:tcPr>
            <w:tcW w:w="1551" w:type="dxa"/>
            <w:hideMark/>
          </w:tcPr>
          <w:p w14:paraId="65548D6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لم تتناول القيادة التحويلية أو التحول الرقمي، وركّزت على الأداء التنظيمي لا الفردي</w:t>
            </w:r>
          </w:p>
        </w:tc>
      </w:tr>
      <w:tr w:rsidR="008E773E" w:rsidRPr="00471C07" w14:paraId="6B5C96E9"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810A3A6"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20</w:t>
            </w:r>
          </w:p>
        </w:tc>
        <w:tc>
          <w:tcPr>
            <w:tcW w:w="1146" w:type="dxa"/>
            <w:hideMark/>
          </w:tcPr>
          <w:p w14:paraId="316319E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بلولة وطرش</w:t>
            </w:r>
            <w:r w:rsidRPr="00471C07">
              <w:rPr>
                <w:rFonts w:ascii="Simplified Arabic" w:eastAsia="Times New Roman" w:hAnsi="Simplified Arabic" w:cs="Simplified Arabic" w:hint="cs"/>
                <w:sz w:val="28"/>
                <w:szCs w:val="28"/>
              </w:rPr>
              <w:t xml:space="preserve"> (2024)</w:t>
            </w:r>
          </w:p>
        </w:tc>
        <w:tc>
          <w:tcPr>
            <w:tcW w:w="1275" w:type="dxa"/>
            <w:hideMark/>
          </w:tcPr>
          <w:p w14:paraId="41E5A3D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الاستغراق الوظيفي – </w:t>
            </w:r>
            <w:r w:rsidRPr="00471C07">
              <w:rPr>
                <w:rFonts w:ascii="Simplified Arabic" w:eastAsia="Times New Roman" w:hAnsi="Simplified Arabic" w:cs="Simplified Arabic" w:hint="cs"/>
                <w:sz w:val="28"/>
                <w:szCs w:val="28"/>
                <w:rtl/>
              </w:rPr>
              <w:lastRenderedPageBreak/>
              <w:t>الأداء الوظيفي</w:t>
            </w:r>
          </w:p>
        </w:tc>
        <w:tc>
          <w:tcPr>
            <w:tcW w:w="851" w:type="dxa"/>
            <w:hideMark/>
          </w:tcPr>
          <w:p w14:paraId="21CB185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وصفي تحليلي</w:t>
            </w:r>
          </w:p>
        </w:tc>
        <w:tc>
          <w:tcPr>
            <w:tcW w:w="992" w:type="dxa"/>
            <w:hideMark/>
          </w:tcPr>
          <w:p w14:paraId="0770B186"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095709D8"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60 </w:t>
            </w:r>
            <w:r w:rsidRPr="00471C07">
              <w:rPr>
                <w:rFonts w:ascii="Simplified Arabic" w:eastAsia="Times New Roman" w:hAnsi="Simplified Arabic" w:cs="Simplified Arabic" w:hint="cs"/>
                <w:sz w:val="28"/>
                <w:szCs w:val="28"/>
                <w:rtl/>
              </w:rPr>
              <w:t xml:space="preserve">موظفًا – المدرسة </w:t>
            </w:r>
            <w:r w:rsidRPr="00471C07">
              <w:rPr>
                <w:rFonts w:ascii="Simplified Arabic" w:eastAsia="Times New Roman" w:hAnsi="Simplified Arabic" w:cs="Simplified Arabic" w:hint="cs"/>
                <w:sz w:val="28"/>
                <w:szCs w:val="28"/>
                <w:rtl/>
              </w:rPr>
              <w:lastRenderedPageBreak/>
              <w:t>الوطنية للغابات – باتنة – الجزائر</w:t>
            </w:r>
          </w:p>
        </w:tc>
        <w:tc>
          <w:tcPr>
            <w:tcW w:w="1134" w:type="dxa"/>
            <w:hideMark/>
          </w:tcPr>
          <w:p w14:paraId="6B2164B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مستوى متوسط للاستغراق</w:t>
            </w:r>
            <w:r w:rsidRPr="00471C07">
              <w:rPr>
                <w:rFonts w:ascii="Simplified Arabic" w:eastAsia="Times New Roman" w:hAnsi="Simplified Arabic" w:cs="Simplified Arabic" w:hint="cs"/>
                <w:sz w:val="28"/>
                <w:szCs w:val="28"/>
                <w:rtl/>
              </w:rPr>
              <w:lastRenderedPageBreak/>
              <w:t>، وأثر إيجابي دال على الأداء الوظيفي</w:t>
            </w:r>
          </w:p>
        </w:tc>
        <w:tc>
          <w:tcPr>
            <w:tcW w:w="1551" w:type="dxa"/>
            <w:hideMark/>
          </w:tcPr>
          <w:p w14:paraId="7B223BC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عينة صغيرة (60)، لم تشمل القيادة </w:t>
            </w:r>
            <w:r w:rsidRPr="00471C07">
              <w:rPr>
                <w:rFonts w:ascii="Simplified Arabic" w:eastAsia="Times New Roman" w:hAnsi="Simplified Arabic" w:cs="Simplified Arabic" w:hint="cs"/>
                <w:sz w:val="28"/>
                <w:szCs w:val="28"/>
                <w:rtl/>
              </w:rPr>
              <w:lastRenderedPageBreak/>
              <w:t>التحويلية أو التحول الرقمي</w:t>
            </w:r>
          </w:p>
        </w:tc>
      </w:tr>
      <w:tr w:rsidR="008E773E" w:rsidRPr="00471C07" w14:paraId="29F9D861"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A166373"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21</w:t>
            </w:r>
          </w:p>
        </w:tc>
        <w:tc>
          <w:tcPr>
            <w:tcW w:w="1146" w:type="dxa"/>
            <w:hideMark/>
          </w:tcPr>
          <w:p w14:paraId="27F227E4"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Khuc &amp; Nguyen (2025)</w:t>
            </w:r>
          </w:p>
        </w:tc>
        <w:tc>
          <w:tcPr>
            <w:tcW w:w="1275" w:type="dxa"/>
            <w:hideMark/>
          </w:tcPr>
          <w:p w14:paraId="0FF12C00"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التحول الرقمي – الأداء الوظيفي – الرضا الوظيفي (وسيط) – ضغوط العمل (وسيط)</w:t>
            </w:r>
          </w:p>
        </w:tc>
        <w:tc>
          <w:tcPr>
            <w:tcW w:w="851" w:type="dxa"/>
            <w:hideMark/>
          </w:tcPr>
          <w:p w14:paraId="3231AB22"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كمي</w:t>
            </w:r>
            <w:r w:rsidRPr="00471C07">
              <w:rPr>
                <w:rFonts w:ascii="Simplified Arabic" w:eastAsia="Times New Roman" w:hAnsi="Simplified Arabic" w:cs="Simplified Arabic" w:hint="cs"/>
                <w:sz w:val="28"/>
                <w:szCs w:val="28"/>
              </w:rPr>
              <w:t xml:space="preserve"> (PLS-SEM)</w:t>
            </w:r>
          </w:p>
        </w:tc>
        <w:tc>
          <w:tcPr>
            <w:tcW w:w="992" w:type="dxa"/>
            <w:hideMark/>
          </w:tcPr>
          <w:p w14:paraId="367EF47E"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استبانة</w:t>
            </w:r>
          </w:p>
        </w:tc>
        <w:tc>
          <w:tcPr>
            <w:tcW w:w="992" w:type="dxa"/>
            <w:hideMark/>
          </w:tcPr>
          <w:p w14:paraId="3F76680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242 </w:t>
            </w:r>
            <w:r w:rsidRPr="00471C07">
              <w:rPr>
                <w:rFonts w:ascii="Simplified Arabic" w:eastAsia="Times New Roman" w:hAnsi="Simplified Arabic" w:cs="Simplified Arabic" w:hint="cs"/>
                <w:sz w:val="28"/>
                <w:szCs w:val="28"/>
                <w:rtl/>
              </w:rPr>
              <w:t>أستاذًا جامعيًا – 4 جامعات – فيتنام</w:t>
            </w:r>
          </w:p>
        </w:tc>
        <w:tc>
          <w:tcPr>
            <w:tcW w:w="1134" w:type="dxa"/>
            <w:hideMark/>
          </w:tcPr>
          <w:p w14:paraId="3C80CD39"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مباشر دال</w:t>
            </w:r>
            <w:r w:rsidRPr="00471C07">
              <w:rPr>
                <w:rFonts w:ascii="Simplified Arabic" w:eastAsia="Times New Roman" w:hAnsi="Simplified Arabic" w:cs="Simplified Arabic" w:hint="cs"/>
                <w:sz w:val="28"/>
                <w:szCs w:val="28"/>
              </w:rPr>
              <w:t xml:space="preserve"> (</w:t>
            </w:r>
            <w:r w:rsidRPr="00471C07">
              <w:rPr>
                <w:rFonts w:ascii="Cambria" w:eastAsia="Times New Roman" w:hAnsi="Cambria" w:cs="Cambria"/>
                <w:sz w:val="28"/>
                <w:szCs w:val="28"/>
              </w:rPr>
              <w:t>β</w:t>
            </w:r>
            <w:r w:rsidRPr="00471C07">
              <w:rPr>
                <w:rFonts w:ascii="Simplified Arabic" w:eastAsia="Times New Roman" w:hAnsi="Simplified Arabic" w:cs="Simplified Arabic" w:hint="cs"/>
                <w:sz w:val="28"/>
                <w:szCs w:val="28"/>
              </w:rPr>
              <w:t xml:space="preserve"> = 0.255, p = 0.008) </w:t>
            </w:r>
            <w:r w:rsidRPr="00471C07">
              <w:rPr>
                <w:rFonts w:ascii="Simplified Arabic" w:eastAsia="Times New Roman" w:hAnsi="Simplified Arabic" w:cs="Simplified Arabic" w:hint="cs"/>
                <w:sz w:val="28"/>
                <w:szCs w:val="28"/>
                <w:rtl/>
              </w:rPr>
              <w:t>وغير مباشر عبر الرضا وضغوط العمل</w:t>
            </w:r>
            <w:r w:rsidRPr="00471C07">
              <w:rPr>
                <w:rFonts w:ascii="Simplified Arabic" w:eastAsia="Times New Roman" w:hAnsi="Simplified Arabic" w:cs="Simplified Arabic" w:hint="cs"/>
                <w:sz w:val="28"/>
                <w:szCs w:val="28"/>
              </w:rPr>
              <w:t xml:space="preserve"> (R² = 0.278)</w:t>
            </w:r>
          </w:p>
        </w:tc>
        <w:tc>
          <w:tcPr>
            <w:tcW w:w="1551" w:type="dxa"/>
            <w:hideMark/>
          </w:tcPr>
          <w:p w14:paraId="344DDBE6"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طُبّقت على أساتذة جامعيين في فيتنام، ولم تشمل القيادة التحويلية أو القطاع الحكومي السعودي</w:t>
            </w:r>
          </w:p>
        </w:tc>
      </w:tr>
      <w:tr w:rsidR="008E773E" w:rsidRPr="00471C07" w14:paraId="70C1C760"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0EEC233"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22</w:t>
            </w:r>
          </w:p>
        </w:tc>
        <w:tc>
          <w:tcPr>
            <w:tcW w:w="1146" w:type="dxa"/>
            <w:hideMark/>
          </w:tcPr>
          <w:p w14:paraId="129D0AE0"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Gazi et al. (2024)</w:t>
            </w:r>
          </w:p>
        </w:tc>
        <w:tc>
          <w:tcPr>
            <w:tcW w:w="1275" w:type="dxa"/>
            <w:hideMark/>
          </w:tcPr>
          <w:p w14:paraId="2DB7000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الرضا الوظيفي – سلوكيات العمل – </w:t>
            </w:r>
            <w:r w:rsidRPr="00471C07">
              <w:rPr>
                <w:rFonts w:ascii="Simplified Arabic" w:eastAsia="Times New Roman" w:hAnsi="Simplified Arabic" w:cs="Simplified Arabic" w:hint="cs"/>
                <w:sz w:val="28"/>
                <w:szCs w:val="28"/>
                <w:rtl/>
              </w:rPr>
              <w:lastRenderedPageBreak/>
              <w:t>الأداء الوظيفي</w:t>
            </w:r>
          </w:p>
        </w:tc>
        <w:tc>
          <w:tcPr>
            <w:tcW w:w="851" w:type="dxa"/>
            <w:hideMark/>
          </w:tcPr>
          <w:p w14:paraId="6088DF69"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كمي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انحدار</w:t>
            </w:r>
            <w:r w:rsidRPr="00471C07">
              <w:rPr>
                <w:rFonts w:ascii="Simplified Arabic" w:eastAsia="Times New Roman" w:hAnsi="Simplified Arabic" w:cs="Simplified Arabic" w:hint="cs"/>
                <w:sz w:val="28"/>
                <w:szCs w:val="28"/>
              </w:rPr>
              <w:t xml:space="preserve"> – SPS</w:t>
            </w:r>
            <w:r w:rsidRPr="00471C07">
              <w:rPr>
                <w:rFonts w:ascii="Simplified Arabic" w:eastAsia="Times New Roman" w:hAnsi="Simplified Arabic" w:cs="Simplified Arabic" w:hint="cs"/>
                <w:sz w:val="28"/>
                <w:szCs w:val="28"/>
              </w:rPr>
              <w:lastRenderedPageBreak/>
              <w:t>S 24)</w:t>
            </w:r>
          </w:p>
        </w:tc>
        <w:tc>
          <w:tcPr>
            <w:tcW w:w="992" w:type="dxa"/>
            <w:hideMark/>
          </w:tcPr>
          <w:p w14:paraId="7DEFBB4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استبانة معيارية</w:t>
            </w:r>
            <w:r w:rsidRPr="00471C07">
              <w:rPr>
                <w:rFonts w:ascii="Simplified Arabic" w:eastAsia="Times New Roman" w:hAnsi="Simplified Arabic" w:cs="Simplified Arabic" w:hint="cs"/>
                <w:sz w:val="28"/>
                <w:szCs w:val="28"/>
              </w:rPr>
              <w:t xml:space="preserve"> (JPI + JSI)</w:t>
            </w:r>
          </w:p>
        </w:tc>
        <w:tc>
          <w:tcPr>
            <w:tcW w:w="992" w:type="dxa"/>
            <w:hideMark/>
          </w:tcPr>
          <w:p w14:paraId="70F151F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 xml:space="preserve">300 </w:t>
            </w:r>
            <w:r w:rsidRPr="00471C07">
              <w:rPr>
                <w:rFonts w:ascii="Simplified Arabic" w:eastAsia="Times New Roman" w:hAnsi="Simplified Arabic" w:cs="Simplified Arabic" w:hint="cs"/>
                <w:sz w:val="28"/>
                <w:szCs w:val="28"/>
                <w:rtl/>
              </w:rPr>
              <w:t xml:space="preserve">عامل صناعي – </w:t>
            </w:r>
            <w:r w:rsidRPr="00471C07">
              <w:rPr>
                <w:rFonts w:ascii="Simplified Arabic" w:eastAsia="Times New Roman" w:hAnsi="Simplified Arabic" w:cs="Simplified Arabic" w:hint="cs"/>
                <w:sz w:val="28"/>
                <w:szCs w:val="28"/>
                <w:rtl/>
              </w:rPr>
              <w:lastRenderedPageBreak/>
              <w:t>بنغلاديش</w:t>
            </w:r>
          </w:p>
        </w:tc>
        <w:tc>
          <w:tcPr>
            <w:tcW w:w="1134" w:type="dxa"/>
            <w:hideMark/>
          </w:tcPr>
          <w:p w14:paraId="74E328A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أثر إيجابي قوي ودال للرضا </w:t>
            </w:r>
            <w:r w:rsidRPr="00471C07">
              <w:rPr>
                <w:rFonts w:ascii="Simplified Arabic" w:eastAsia="Times New Roman" w:hAnsi="Simplified Arabic" w:cs="Simplified Arabic" w:hint="cs"/>
                <w:sz w:val="28"/>
                <w:szCs w:val="28"/>
                <w:rtl/>
              </w:rPr>
              <w:lastRenderedPageBreak/>
              <w:t>على الأداء، والعوامل الوظيفية أكثر تأثيرًا من السمات الشخصية</w:t>
            </w:r>
          </w:p>
        </w:tc>
        <w:tc>
          <w:tcPr>
            <w:tcW w:w="1551" w:type="dxa"/>
            <w:hideMark/>
          </w:tcPr>
          <w:p w14:paraId="499B957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أو التحول الرقمي، </w:t>
            </w:r>
            <w:r w:rsidRPr="00471C07">
              <w:rPr>
                <w:rFonts w:ascii="Simplified Arabic" w:eastAsia="Times New Roman" w:hAnsi="Simplified Arabic" w:cs="Simplified Arabic" w:hint="cs"/>
                <w:sz w:val="28"/>
                <w:szCs w:val="28"/>
                <w:rtl/>
              </w:rPr>
              <w:lastRenderedPageBreak/>
              <w:t>وطُبّقت في القطاع الصناعي البنغلاديشي</w:t>
            </w:r>
          </w:p>
        </w:tc>
      </w:tr>
      <w:tr w:rsidR="008E773E" w:rsidRPr="00471C07" w14:paraId="2718502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50AA336"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lastRenderedPageBreak/>
              <w:t>23</w:t>
            </w:r>
          </w:p>
        </w:tc>
        <w:tc>
          <w:tcPr>
            <w:tcW w:w="1146" w:type="dxa"/>
            <w:hideMark/>
          </w:tcPr>
          <w:p w14:paraId="142439D8"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Chang (2024)</w:t>
            </w:r>
          </w:p>
        </w:tc>
        <w:tc>
          <w:tcPr>
            <w:tcW w:w="1275" w:type="dxa"/>
            <w:hideMark/>
          </w:tcPr>
          <w:p w14:paraId="4CCBC42C"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صحة الموظفين ورفاهيتهم – الأداء الوظيفي</w:t>
            </w:r>
          </w:p>
        </w:tc>
        <w:tc>
          <w:tcPr>
            <w:tcW w:w="851" w:type="dxa"/>
            <w:hideMark/>
          </w:tcPr>
          <w:p w14:paraId="4031A85F"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مراجعة نقدية تحليلية</w:t>
            </w:r>
          </w:p>
        </w:tc>
        <w:tc>
          <w:tcPr>
            <w:tcW w:w="992" w:type="dxa"/>
            <w:hideMark/>
          </w:tcPr>
          <w:p w14:paraId="4C151CE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أدبيات سابقة</w:t>
            </w:r>
          </w:p>
        </w:tc>
        <w:tc>
          <w:tcPr>
            <w:tcW w:w="992" w:type="dxa"/>
            <w:hideMark/>
          </w:tcPr>
          <w:p w14:paraId="610396D3"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مجموعة أبحاث سابقة</w:t>
            </w:r>
          </w:p>
        </w:tc>
        <w:tc>
          <w:tcPr>
            <w:tcW w:w="1134" w:type="dxa"/>
            <w:hideMark/>
          </w:tcPr>
          <w:p w14:paraId="61BDF79D"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أثر إيجابي قوي ومباشر للصحة الجسدية والنفسية على الأداء الوظيفي</w:t>
            </w:r>
          </w:p>
        </w:tc>
        <w:tc>
          <w:tcPr>
            <w:tcW w:w="1551" w:type="dxa"/>
            <w:hideMark/>
          </w:tcPr>
          <w:p w14:paraId="4FD12F81" w14:textId="77777777" w:rsidR="008E773E" w:rsidRPr="00471C07" w:rsidRDefault="008E773E" w:rsidP="00471C07">
            <w:pPr>
              <w:bidi/>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دراسة نظرية لم تجمع بيانات أولية، ولم تتناول القيادة أو التحول الرقمي</w:t>
            </w:r>
          </w:p>
        </w:tc>
      </w:tr>
      <w:tr w:rsidR="008E773E" w:rsidRPr="00471C07" w14:paraId="5893F1A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AC82F1A" w14:textId="77777777" w:rsidR="008E773E" w:rsidRPr="00471C07" w:rsidRDefault="008E773E" w:rsidP="00471C07">
            <w:pPr>
              <w:bidi/>
              <w:spacing w:after="0" w:line="276" w:lineRule="auto"/>
              <w:jc w:val="center"/>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24</w:t>
            </w:r>
          </w:p>
        </w:tc>
        <w:tc>
          <w:tcPr>
            <w:tcW w:w="1146" w:type="dxa"/>
            <w:hideMark/>
          </w:tcPr>
          <w:p w14:paraId="1CC3DC1A"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Pr>
              <w:t>Katebi et al. (2022)</w:t>
            </w:r>
          </w:p>
        </w:tc>
        <w:tc>
          <w:tcPr>
            <w:tcW w:w="1275" w:type="dxa"/>
            <w:hideMark/>
          </w:tcPr>
          <w:p w14:paraId="20DF9B67"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الرضا الوظيفي – الأداء الوظيفي</w:t>
            </w:r>
          </w:p>
        </w:tc>
        <w:tc>
          <w:tcPr>
            <w:tcW w:w="851" w:type="dxa"/>
            <w:hideMark/>
          </w:tcPr>
          <w:p w14:paraId="3D597C9C"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تحليل بَعدي</w:t>
            </w:r>
            <w:r w:rsidRPr="00471C07">
              <w:rPr>
                <w:rFonts w:ascii="Simplified Arabic" w:eastAsia="Times New Roman" w:hAnsi="Simplified Arabic" w:cs="Simplified Arabic" w:hint="cs"/>
                <w:sz w:val="28"/>
                <w:szCs w:val="28"/>
              </w:rPr>
              <w:t xml:space="preserve"> (Meta-</w:t>
            </w:r>
            <w:r w:rsidRPr="00471C07">
              <w:rPr>
                <w:rFonts w:ascii="Simplified Arabic" w:eastAsia="Times New Roman" w:hAnsi="Simplified Arabic" w:cs="Simplified Arabic" w:hint="cs"/>
                <w:sz w:val="28"/>
                <w:szCs w:val="28"/>
              </w:rPr>
              <w:lastRenderedPageBreak/>
              <w:t>Analysis)</w:t>
            </w:r>
          </w:p>
        </w:tc>
        <w:tc>
          <w:tcPr>
            <w:tcW w:w="992" w:type="dxa"/>
            <w:hideMark/>
          </w:tcPr>
          <w:p w14:paraId="2D0E3D5F"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تجميع دراسات كمية سابقة</w:t>
            </w:r>
          </w:p>
        </w:tc>
        <w:tc>
          <w:tcPr>
            <w:tcW w:w="992" w:type="dxa"/>
            <w:hideMark/>
          </w:tcPr>
          <w:p w14:paraId="1655310B"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عدد كبير من الدراسات التجريبية</w:t>
            </w:r>
          </w:p>
        </w:tc>
        <w:tc>
          <w:tcPr>
            <w:tcW w:w="1134" w:type="dxa"/>
            <w:hideMark/>
          </w:tcPr>
          <w:p w14:paraId="5D472A11"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علاقة ارتباطية إيجابية متوسطة إلى قوية </w:t>
            </w:r>
            <w:r w:rsidRPr="00471C07">
              <w:rPr>
                <w:rFonts w:ascii="Simplified Arabic" w:eastAsia="Times New Roman" w:hAnsi="Simplified Arabic" w:cs="Simplified Arabic" w:hint="cs"/>
                <w:sz w:val="28"/>
                <w:szCs w:val="28"/>
                <w:rtl/>
              </w:rPr>
              <w:lastRenderedPageBreak/>
              <w:t>بين الرضا والأداء عبر قطاعات مختلفة</w:t>
            </w:r>
          </w:p>
        </w:tc>
        <w:tc>
          <w:tcPr>
            <w:tcW w:w="1551" w:type="dxa"/>
            <w:hideMark/>
          </w:tcPr>
          <w:p w14:paraId="0E25BB6D" w14:textId="77777777" w:rsidR="008E773E" w:rsidRPr="00471C07" w:rsidRDefault="008E773E" w:rsidP="00471C07">
            <w:pPr>
              <w:bidi/>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لم تتناول القيادة التحويلية أو التحول الرقمي </w:t>
            </w:r>
            <w:r w:rsidRPr="00471C07">
              <w:rPr>
                <w:rFonts w:ascii="Simplified Arabic" w:eastAsia="Times New Roman" w:hAnsi="Simplified Arabic" w:cs="Simplified Arabic" w:hint="cs"/>
                <w:sz w:val="28"/>
                <w:szCs w:val="28"/>
                <w:rtl/>
              </w:rPr>
              <w:lastRenderedPageBreak/>
              <w:t>كمتغيرات مستقلة</w:t>
            </w:r>
          </w:p>
        </w:tc>
      </w:tr>
    </w:tbl>
    <w:p w14:paraId="70EABD9E" w14:textId="77777777" w:rsidR="00074754" w:rsidRPr="00471C07" w:rsidRDefault="00074754" w:rsidP="00471C07">
      <w:pPr>
        <w:bidi/>
        <w:spacing w:line="276" w:lineRule="auto"/>
        <w:rPr>
          <w:rFonts w:ascii="Simplified Arabic" w:hAnsi="Simplified Arabic" w:cs="Simplified Arabic"/>
          <w:color w:val="EE0000"/>
          <w:sz w:val="28"/>
          <w:szCs w:val="28"/>
        </w:rPr>
      </w:pPr>
    </w:p>
    <w:p w14:paraId="5760F8DF" w14:textId="77777777" w:rsidR="00074754" w:rsidRPr="00471C07" w:rsidRDefault="00074754" w:rsidP="00471C07">
      <w:pPr>
        <w:bidi/>
        <w:spacing w:before="100" w:beforeAutospacing="1" w:after="100" w:afterAutospacing="1" w:line="276" w:lineRule="auto"/>
        <w:contextualSpacing/>
        <w:jc w:val="both"/>
        <w:rPr>
          <w:rFonts w:ascii="Simplified Arabic" w:eastAsia="Times New Roman" w:hAnsi="Simplified Arabic" w:cs="Simplified Arabic"/>
          <w:sz w:val="28"/>
          <w:szCs w:val="28"/>
        </w:rPr>
      </w:pPr>
    </w:p>
    <w:p w14:paraId="097E0528" w14:textId="4338B86C" w:rsidR="00735F0D" w:rsidRPr="00471C07" w:rsidRDefault="003C3394" w:rsidP="00471C07">
      <w:pPr>
        <w:bidi/>
        <w:spacing w:before="100" w:beforeAutospacing="1" w:after="100" w:afterAutospacing="1" w:line="276" w:lineRule="auto"/>
        <w:outlineLvl w:val="1"/>
        <w:rPr>
          <w:rFonts w:ascii="Simplified Arabic" w:hAnsi="Simplified Arabic" w:cs="Simplified Arabic"/>
          <w:sz w:val="28"/>
          <w:szCs w:val="28"/>
          <w:rtl/>
        </w:rPr>
      </w:pPr>
      <w:bookmarkStart w:id="16" w:name="_Toc202226010"/>
      <w:r w:rsidRPr="00471C07">
        <w:rPr>
          <w:rFonts w:ascii="Simplified Arabic" w:hAnsi="Simplified Arabic" w:cs="Simplified Arabic" w:hint="cs"/>
          <w:b/>
          <w:bCs/>
          <w:sz w:val="28"/>
          <w:szCs w:val="28"/>
          <w:rtl/>
        </w:rPr>
        <w:t>10</w:t>
      </w:r>
      <w:r w:rsidR="0077566C" w:rsidRPr="00471C07">
        <w:rPr>
          <w:rFonts w:ascii="Simplified Arabic" w:hAnsi="Simplified Arabic" w:cs="Simplified Arabic" w:hint="cs"/>
          <w:b/>
          <w:bCs/>
          <w:sz w:val="28"/>
          <w:szCs w:val="28"/>
          <w:rtl/>
        </w:rPr>
        <w:t xml:space="preserve">.1 </w:t>
      </w:r>
      <w:r w:rsidR="00735F0D" w:rsidRPr="00471C07">
        <w:rPr>
          <w:rFonts w:ascii="Simplified Arabic" w:hAnsi="Simplified Arabic" w:cs="Simplified Arabic" w:hint="cs"/>
          <w:b/>
          <w:bCs/>
          <w:sz w:val="28"/>
          <w:szCs w:val="28"/>
          <w:rtl/>
        </w:rPr>
        <w:t>مصطلحات الدراسة وتعريفاتها الإجرائية</w:t>
      </w:r>
      <w:bookmarkEnd w:id="16"/>
    </w:p>
    <w:p w14:paraId="51807813"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أولًا: القيادة التحويلية</w:t>
      </w:r>
      <w:r w:rsidRPr="00471C07">
        <w:rPr>
          <w:rFonts w:ascii="Simplified Arabic" w:eastAsia="Times New Roman" w:hAnsi="Simplified Arabic" w:cs="Simplified Arabic" w:hint="cs"/>
          <w:b/>
          <w:bCs/>
          <w:sz w:val="28"/>
          <w:szCs w:val="28"/>
        </w:rPr>
        <w:t xml:space="preserve"> (Transformational Leadership)</w:t>
      </w:r>
    </w:p>
    <w:p w14:paraId="75A8EF3E" w14:textId="3C5D3980" w:rsidR="00062CDD" w:rsidRPr="00062CDD" w:rsidRDefault="008E773E" w:rsidP="00062CD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062CDD">
        <w:rPr>
          <w:rFonts w:ascii="Simplified Arabic" w:eastAsia="Times New Roman" w:hAnsi="Simplified Arabic" w:cs="Simplified Arabic" w:hint="cs"/>
          <w:color w:val="EE0000"/>
          <w:sz w:val="28"/>
          <w:szCs w:val="28"/>
          <w:rtl/>
        </w:rPr>
        <w:t xml:space="preserve">اصطلاحًا: </w:t>
      </w:r>
      <w:r w:rsidR="00062CDD" w:rsidRPr="00062CDD">
        <w:rPr>
          <w:rFonts w:ascii="Simplified Arabic" w:eastAsia="Times New Roman" w:hAnsi="Simplified Arabic" w:cs="Simplified Arabic"/>
          <w:color w:val="EE0000"/>
          <w:sz w:val="28"/>
          <w:szCs w:val="28"/>
          <w:rtl/>
        </w:rPr>
        <w:t>القيادة التحويلية هي نمط قيادي يتّسم بقدرة القائد على إلهام الموظفين وتمكينهم نحو تحقيق أهداف مشتركة، من خلال أربعة أبعاد رئيسية هي: التأثير المثالي، والدافعية الإلهامية، والاستثارة الفكرية، والاعتبار الفردي، مما يُفضي إلى ارتقاء الأداء إلى مستويات تتجاوز التوقعات</w:t>
      </w:r>
      <w:r w:rsidR="00062CDD" w:rsidRPr="00062CDD">
        <w:rPr>
          <w:rFonts w:ascii="Simplified Arabic" w:eastAsia="Times New Roman" w:hAnsi="Simplified Arabic" w:cs="Simplified Arabic"/>
          <w:color w:val="EE0000"/>
          <w:sz w:val="28"/>
          <w:szCs w:val="28"/>
        </w:rPr>
        <w:t xml:space="preserve"> (Hussain etal., 2024, p. 178). </w:t>
      </w:r>
      <w:r w:rsidR="00062CDD" w:rsidRPr="00062CDD">
        <w:rPr>
          <w:rFonts w:ascii="Simplified Arabic" w:eastAsia="Times New Roman" w:hAnsi="Simplified Arabic" w:cs="Simplified Arabic" w:hint="cs"/>
          <w:color w:val="EE0000"/>
          <w:sz w:val="28"/>
          <w:szCs w:val="28"/>
          <w:rtl/>
        </w:rPr>
        <w:t xml:space="preserve">، </w:t>
      </w:r>
      <w:r w:rsidR="00062CDD" w:rsidRPr="00062CDD">
        <w:rPr>
          <w:rFonts w:ascii="Simplified Arabic" w:eastAsia="Times New Roman" w:hAnsi="Simplified Arabic" w:cs="Simplified Arabic"/>
          <w:color w:val="EE0000"/>
          <w:sz w:val="28"/>
          <w:szCs w:val="28"/>
          <w:rtl/>
        </w:rPr>
        <w:t xml:space="preserve">وتُركّز القيادة التحويلية على استثارة التابعين وتحفيزهم لتحقيق أداء أعلى وبلوغ الأهداف التنظيمية، من خلال رؤية واضحة يتم إيصالها بفاعلية، ودعم عاطفي وفكري يُساعد الموظفين على النمو الشخصي والمهني </w:t>
      </w:r>
      <w:r w:rsidR="00062CDD" w:rsidRPr="00062CDD">
        <w:rPr>
          <w:rFonts w:ascii="Simplified Arabic" w:eastAsia="Times New Roman" w:hAnsi="Simplified Arabic" w:cs="Simplified Arabic"/>
          <w:color w:val="EE0000"/>
          <w:sz w:val="28"/>
          <w:szCs w:val="28"/>
        </w:rPr>
        <w:t>(Suryadi et al., 2024, pp. 66–67).</w:t>
      </w:r>
    </w:p>
    <w:p w14:paraId="24461B1C"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الأساليب والممارسات القيادية التي يتبنّاها المديرون في الجهات الحكومية السعودية لإلهام الموظفين وتحفيزهم نحو تحقيق أهداف رؤية 2030، وذلك من خلال تقديم القدوة الحسنة وصياغة رؤية مستقبلية واضحة وتشجيع التفكير الإبداعي والاهتمام بالتطوير الفردي لكل موظف، وتُقاس بستة عشر (16) فقرة في الاستبانة موزّعة على أربعة أبعاد وفق مقياس ليكرت الخماسي</w:t>
      </w:r>
      <w:r w:rsidRPr="00471C07">
        <w:rPr>
          <w:rFonts w:ascii="Simplified Arabic" w:eastAsia="Times New Roman" w:hAnsi="Simplified Arabic" w:cs="Simplified Arabic" w:hint="cs"/>
          <w:sz w:val="28"/>
          <w:szCs w:val="28"/>
        </w:rPr>
        <w:t>.</w:t>
      </w:r>
    </w:p>
    <w:p w14:paraId="566EBCE3"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lastRenderedPageBreak/>
        <w:t>ثانيًا: التأثير المثالي</w:t>
      </w:r>
      <w:r w:rsidRPr="00471C07">
        <w:rPr>
          <w:rFonts w:ascii="Simplified Arabic" w:eastAsia="Times New Roman" w:hAnsi="Simplified Arabic" w:cs="Simplified Arabic" w:hint="cs"/>
          <w:b/>
          <w:bCs/>
          <w:sz w:val="28"/>
          <w:szCs w:val="28"/>
        </w:rPr>
        <w:t xml:space="preserve"> (Idealized Influence)</w:t>
      </w:r>
    </w:p>
    <w:p w14:paraId="71512FFF" w14:textId="068F1E4D" w:rsidR="008E773E" w:rsidRPr="00E467BD" w:rsidRDefault="008E773E" w:rsidP="00062CD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 xml:space="preserve">اصطلاحًا: السلوكيات التي يمارسها القائد بوصفه نموذجًا أخلاقيًا يُحتذى به، فيُولّد لدى أتباعه مشاعر الثقة والاحترام والإعجاب ويدفعهم إلى التماهي مع رؤيته وقيمه (بلحاج، 2024، ص </w:t>
      </w:r>
      <w:r w:rsidRPr="00E467BD">
        <w:rPr>
          <w:rFonts w:ascii="Simplified Arabic" w:eastAsia="Times New Roman" w:hAnsi="Simplified Arabic" w:cs="Simplified Arabic" w:hint="cs"/>
          <w:color w:val="EE0000"/>
          <w:sz w:val="28"/>
          <w:szCs w:val="28"/>
        </w:rPr>
        <w:t>201</w:t>
      </w:r>
      <w:r w:rsidRPr="00E467BD">
        <w:rPr>
          <w:rFonts w:ascii="Simplified Arabic" w:eastAsia="Times New Roman" w:hAnsi="Simplified Arabic" w:cs="Simplified Arabic" w:hint="cs"/>
          <w:color w:val="EE0000"/>
          <w:sz w:val="28"/>
          <w:szCs w:val="28"/>
          <w:rtl/>
        </w:rPr>
        <w:t>)</w:t>
      </w:r>
      <w:r w:rsidR="00062CDD" w:rsidRPr="00E467BD">
        <w:rPr>
          <w:color w:val="EE0000"/>
          <w:rtl/>
        </w:rPr>
        <w:t xml:space="preserve"> </w:t>
      </w:r>
      <w:r w:rsidR="00062CDD" w:rsidRPr="00E467BD">
        <w:rPr>
          <w:rFonts w:ascii="Simplified Arabic" w:eastAsia="Times New Roman" w:hAnsi="Simplified Arabic" w:cs="Simplified Arabic" w:hint="cs"/>
          <w:color w:val="EE0000"/>
          <w:sz w:val="28"/>
          <w:szCs w:val="28"/>
          <w:rtl/>
        </w:rPr>
        <w:t xml:space="preserve">وتعرف بأنها </w:t>
      </w:r>
      <w:r w:rsidR="00062CDD" w:rsidRPr="00E467BD">
        <w:rPr>
          <w:rFonts w:ascii="Simplified Arabic" w:eastAsia="Times New Roman" w:hAnsi="Simplified Arabic" w:cs="Simplified Arabic"/>
          <w:color w:val="EE0000"/>
          <w:sz w:val="28"/>
          <w:szCs w:val="28"/>
          <w:rtl/>
        </w:rPr>
        <w:t>السلوك القيادي الذي يجعل القائد قدوة أخلاقية يُحتذى بها، حيث يُظهر معايير سلوكية عالية تبعث على الإعجاب والاحترام والثقة لدى التابعين، فيتماهون معه ويسعون لمحاكاة سلوكه</w:t>
      </w:r>
      <w:r w:rsidR="00062CDD" w:rsidRPr="00E467BD">
        <w:rPr>
          <w:rFonts w:ascii="Simplified Arabic" w:eastAsia="Times New Roman" w:hAnsi="Simplified Arabic" w:cs="Simplified Arabic"/>
          <w:color w:val="EE0000"/>
          <w:sz w:val="28"/>
          <w:szCs w:val="28"/>
        </w:rPr>
        <w:t xml:space="preserve"> (Hussain et al., 2024, p. 179)</w:t>
      </w:r>
      <w:r w:rsidR="00062CDD" w:rsidRPr="00E467BD">
        <w:rPr>
          <w:rFonts w:ascii="Simplified Arabic" w:eastAsia="Times New Roman" w:hAnsi="Simplified Arabic" w:cs="Simplified Arabic" w:hint="cs"/>
          <w:color w:val="EE0000"/>
          <w:sz w:val="28"/>
          <w:szCs w:val="28"/>
          <w:rtl/>
        </w:rPr>
        <w:t xml:space="preserve"> .</w:t>
      </w:r>
    </w:p>
    <w:p w14:paraId="52AB3A2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 في هذه الدراسة مدى تمتّع المدير في الجهة الحكومية السعودية بسلوك أخلاقي يجعله قدوة لموظفيه، ويُعزّز ثقتهم في قراراته ويدفعهم إلى الالتزام بالقيم المؤسسية، ويُقاس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76C78E4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ثالثًا: الدافعية الإلهامية</w:t>
      </w:r>
      <w:r w:rsidRPr="00471C07">
        <w:rPr>
          <w:rFonts w:ascii="Simplified Arabic" w:eastAsia="Times New Roman" w:hAnsi="Simplified Arabic" w:cs="Simplified Arabic" w:hint="cs"/>
          <w:b/>
          <w:bCs/>
          <w:sz w:val="28"/>
          <w:szCs w:val="28"/>
        </w:rPr>
        <w:t xml:space="preserve"> (Inspirational Motivation)</w:t>
      </w:r>
    </w:p>
    <w:p w14:paraId="5EE3D42F" w14:textId="654FE7F0" w:rsidR="00E467BD"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 xml:space="preserve">اصطلاحًا: </w:t>
      </w:r>
      <w:r w:rsidR="00E467BD" w:rsidRPr="00E467BD">
        <w:rPr>
          <w:rFonts w:ascii="Simplified Arabic" w:eastAsia="Times New Roman" w:hAnsi="Simplified Arabic" w:cs="Simplified Arabic"/>
          <w:color w:val="EE0000"/>
          <w:sz w:val="28"/>
          <w:szCs w:val="28"/>
          <w:rtl/>
        </w:rPr>
        <w:t>قدرة القائد على إيصال رؤية مستقبلية مُقنعة وجاذبة تبعث على التفاؤل والحماس، وتُضفي معنى وتحدياً على مهام العمل بما يُوحّد الجهود نحو أهداف مشتركة (</w:t>
      </w:r>
      <w:r w:rsidR="00E467BD" w:rsidRPr="00E467BD">
        <w:rPr>
          <w:rFonts w:ascii="Simplified Arabic" w:eastAsia="Times New Roman" w:hAnsi="Simplified Arabic" w:cs="Simplified Arabic"/>
          <w:color w:val="EE0000"/>
          <w:sz w:val="28"/>
          <w:szCs w:val="28"/>
        </w:rPr>
        <w:t>Hussain et al., 2024, p. 180</w:t>
      </w:r>
      <w:r w:rsidR="00E467BD" w:rsidRPr="00E467BD">
        <w:rPr>
          <w:rFonts w:ascii="Simplified Arabic" w:eastAsia="Times New Roman" w:hAnsi="Simplified Arabic" w:cs="Simplified Arabic"/>
          <w:color w:val="EE0000"/>
          <w:sz w:val="28"/>
          <w:szCs w:val="28"/>
          <w:rtl/>
        </w:rPr>
        <w:t xml:space="preserve">). </w:t>
      </w:r>
    </w:p>
    <w:p w14:paraId="7489E495" w14:textId="41EDE7D6" w:rsidR="008E773E" w:rsidRPr="00471C07" w:rsidRDefault="008E773E" w:rsidP="00E467BD">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قدرة المدير في الجهة الحكومية السعودية على رسم صورة مستقبلية مُلهمة لبيئة العمل الحكومي وربطها بأهداف التحول الوطني، وتحفيز الموظفين على تحقيق مستويات أداء تتجاوز التوقعات المعتادة، وتُقاس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1E60FDA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رابعًا: الاستثارة الفكرية</w:t>
      </w:r>
      <w:r w:rsidRPr="00471C07">
        <w:rPr>
          <w:rFonts w:ascii="Simplified Arabic" w:eastAsia="Times New Roman" w:hAnsi="Simplified Arabic" w:cs="Simplified Arabic" w:hint="cs"/>
          <w:b/>
          <w:bCs/>
          <w:sz w:val="28"/>
          <w:szCs w:val="28"/>
        </w:rPr>
        <w:t xml:space="preserve"> (Intellectual Stimulation)</w:t>
      </w:r>
    </w:p>
    <w:p w14:paraId="09F038A1" w14:textId="7392D87D" w:rsidR="008E773E" w:rsidRPr="00E467BD" w:rsidRDefault="008E773E" w:rsidP="00471C07">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 xml:space="preserve">اصطلاحًا: ممارسة القائد لتشجيع أتباعه على التفكير النقدي والإبداعي وإعادة النظر في الافتراضات القائمة ومعالجة المشكلات التنظيمية بأساليب مبتكرة وغير تقليدية </w:t>
      </w:r>
      <w:r w:rsidRPr="00E467BD">
        <w:rPr>
          <w:rFonts w:ascii="Simplified Arabic" w:eastAsia="Times New Roman" w:hAnsi="Simplified Arabic" w:cs="Simplified Arabic" w:hint="cs"/>
          <w:color w:val="EE0000"/>
          <w:sz w:val="28"/>
          <w:szCs w:val="28"/>
        </w:rPr>
        <w:t>(Purwanti &amp; Sarı, 2024, p. 3).</w:t>
      </w:r>
    </w:p>
    <w:p w14:paraId="5FB9321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 xml:space="preserve">إجرائيًا: يُقصد بها في هذه الدراسة مدى تشجيع المدير في الجهة الحكومية السعودية لموظفيه على طرح أفكار جديدة لتطوير إجراءات العمل، والتحرّر من الأنماط الروتينية في حلّ المشكلات، وتقبّل المبادرات الابتكارية التي تُسهم في تحسين الخدمات الحكومية، وتُقاس بأربع </w:t>
      </w:r>
      <w:r w:rsidRPr="00471C07">
        <w:rPr>
          <w:rFonts w:ascii="Simplified Arabic" w:eastAsia="Times New Roman" w:hAnsi="Simplified Arabic" w:cs="Simplified Arabic" w:hint="cs"/>
          <w:sz w:val="28"/>
          <w:szCs w:val="28"/>
        </w:rPr>
        <w:t xml:space="preserve">(4) </w:t>
      </w:r>
      <w:r w:rsidRPr="00471C07">
        <w:rPr>
          <w:rFonts w:ascii="Simplified Arabic" w:eastAsia="Times New Roman" w:hAnsi="Simplified Arabic" w:cs="Simplified Arabic" w:hint="cs"/>
          <w:sz w:val="28"/>
          <w:szCs w:val="28"/>
          <w:rtl/>
        </w:rPr>
        <w:t>فقرات ضمن محور القيادة التحويلية في الاستبانة</w:t>
      </w:r>
      <w:r w:rsidRPr="00471C07">
        <w:rPr>
          <w:rFonts w:ascii="Simplified Arabic" w:eastAsia="Times New Roman" w:hAnsi="Simplified Arabic" w:cs="Simplified Arabic" w:hint="cs"/>
          <w:sz w:val="28"/>
          <w:szCs w:val="28"/>
        </w:rPr>
        <w:t>.</w:t>
      </w:r>
    </w:p>
    <w:p w14:paraId="268457D8"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خامسًا: الاعتبار الفردي</w:t>
      </w:r>
      <w:r w:rsidRPr="00471C07">
        <w:rPr>
          <w:rFonts w:ascii="Simplified Arabic" w:eastAsia="Times New Roman" w:hAnsi="Simplified Arabic" w:cs="Simplified Arabic" w:hint="cs"/>
          <w:b/>
          <w:bCs/>
          <w:sz w:val="28"/>
          <w:szCs w:val="28"/>
        </w:rPr>
        <w:t xml:space="preserve"> (Individualized Consideration)</w:t>
      </w:r>
    </w:p>
    <w:p w14:paraId="34E5425A" w14:textId="77777777" w:rsidR="00E467BD" w:rsidRPr="00E467BD" w:rsidRDefault="008E773E" w:rsidP="00E467BD">
      <w:pPr>
        <w:bidi/>
        <w:spacing w:line="276" w:lineRule="auto"/>
        <w:jc w:val="both"/>
        <w:rPr>
          <w:rFonts w:ascii="Simplified Arabic" w:eastAsia="Times New Roman" w:hAnsi="Simplified Arabic" w:cs="Simplified Arabic"/>
          <w:color w:val="EE0000"/>
          <w:sz w:val="28"/>
          <w:szCs w:val="28"/>
          <w:rtl/>
        </w:rPr>
      </w:pPr>
      <w:r w:rsidRPr="00E467BD">
        <w:rPr>
          <w:rFonts w:ascii="Simplified Arabic" w:eastAsia="Times New Roman" w:hAnsi="Simplified Arabic" w:cs="Simplified Arabic" w:hint="cs"/>
          <w:color w:val="EE0000"/>
          <w:sz w:val="28"/>
          <w:szCs w:val="28"/>
          <w:rtl/>
        </w:rPr>
        <w:t>اصطلاحًا: اهتمام القائد بالاحتياجات الفردية لكل تابع وتقديم الدعم والتوجيه والإرشاد الشخصي له بما يساعده على تطوير قدراته وتحقيق ذاته، مع مراعاة الفروق الفردية (المقدم وجراد، 2023، ص 560)</w:t>
      </w:r>
      <w:r w:rsidR="00E467BD" w:rsidRPr="00E467BD">
        <w:rPr>
          <w:rFonts w:ascii="Simplified Arabic" w:eastAsia="Times New Roman" w:hAnsi="Simplified Arabic" w:cs="Simplified Arabic" w:hint="cs"/>
          <w:color w:val="EE0000"/>
          <w:sz w:val="28"/>
          <w:szCs w:val="28"/>
          <w:rtl/>
        </w:rPr>
        <w:t xml:space="preserve"> ، وتعرف بأنها </w:t>
      </w:r>
      <w:r w:rsidR="00E467BD" w:rsidRPr="00E467BD">
        <w:rPr>
          <w:rFonts w:ascii="Simplified Arabic" w:hAnsi="Simplified Arabic" w:cs="Simplified Arabic"/>
          <w:color w:val="EE0000"/>
          <w:sz w:val="28"/>
          <w:szCs w:val="28"/>
          <w:rtl/>
        </w:rPr>
        <w:t>اهتمام القائد بالاحتياجات الفردية لكل تابع من حيث النمو والتطور المهني، إذ يتصرف كمُرشد وموجّه يُبقي قنوات الاتصال مفتوحة ويُقدّر الإسهامات الفريدة لكل فرد</w:t>
      </w:r>
      <w:r w:rsidR="00E467BD" w:rsidRPr="00E467BD">
        <w:rPr>
          <w:rFonts w:ascii="Simplified Arabic" w:hAnsi="Simplified Arabic" w:cs="Simplified Arabic"/>
          <w:color w:val="EE0000"/>
          <w:sz w:val="28"/>
          <w:szCs w:val="28"/>
        </w:rPr>
        <w:t xml:space="preserve"> (Hussain et al., 2024, p. 182). </w:t>
      </w:r>
    </w:p>
    <w:p w14:paraId="0916909D" w14:textId="7E664801" w:rsidR="008E773E" w:rsidRPr="00471C07" w:rsidRDefault="008E773E" w:rsidP="00E467BD">
      <w:pPr>
        <w:bidi/>
        <w:spacing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 في هذه الدراسة مدى حرص المدير في الجهة الحكومية السعودية على التعرّف على القدرات والاحتياجات التدريبية لكل موظف على حدة، وتوفير فرص التطوير المهني المناسبة له، وتقديم التوجيه والمساندة بما يتلاءم مع ظروفه الوظيفية والشخصية، ويُقاس بأربع (4) فقرات ضمن محور القيادة التحويلية في الاستبانة</w:t>
      </w:r>
      <w:r w:rsidRPr="00471C07">
        <w:rPr>
          <w:rFonts w:ascii="Simplified Arabic" w:eastAsia="Times New Roman" w:hAnsi="Simplified Arabic" w:cs="Simplified Arabic" w:hint="cs"/>
          <w:sz w:val="28"/>
          <w:szCs w:val="28"/>
        </w:rPr>
        <w:t>.</w:t>
      </w:r>
    </w:p>
    <w:p w14:paraId="10999009"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سادسًا: التحول الرقمي</w:t>
      </w:r>
      <w:r w:rsidRPr="00471C07">
        <w:rPr>
          <w:rFonts w:ascii="Simplified Arabic" w:eastAsia="Times New Roman" w:hAnsi="Simplified Arabic" w:cs="Simplified Arabic" w:hint="cs"/>
          <w:b/>
          <w:bCs/>
          <w:sz w:val="28"/>
          <w:szCs w:val="28"/>
        </w:rPr>
        <w:t xml:space="preserve"> (Digital Transformation)</w:t>
      </w:r>
    </w:p>
    <w:p w14:paraId="6E37655C" w14:textId="0A744A63"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اصطلاحًا: عملية توظيف التقنيات الرقمية الحديثة لإحداث تغييرات جوهرية في العمليات التنظيمية ونماذج الأعمال بهدف تحسين الأداء المؤسسي (موافي وبدوي، 2024، ص 140)</w:t>
      </w:r>
      <w:r w:rsidR="00E467BD" w:rsidRPr="00E467BD">
        <w:rPr>
          <w:rFonts w:ascii="Simplified Arabic" w:eastAsia="Times New Roman" w:hAnsi="Simplified Arabic" w:cs="Simplified Arabic" w:hint="cs"/>
          <w:color w:val="EE0000"/>
          <w:sz w:val="28"/>
          <w:szCs w:val="28"/>
          <w:rtl/>
        </w:rPr>
        <w:t xml:space="preserve">، كما يعرف بأنه </w:t>
      </w:r>
      <w:r w:rsidR="00E467BD" w:rsidRPr="00E467BD">
        <w:rPr>
          <w:rFonts w:ascii="Simplified Arabic" w:eastAsia="Times New Roman" w:hAnsi="Simplified Arabic" w:cs="Simplified Arabic"/>
          <w:color w:val="EE0000"/>
          <w:sz w:val="28"/>
          <w:szCs w:val="28"/>
          <w:rtl/>
        </w:rPr>
        <w:t xml:space="preserve"> دمج التقنيات الرقمية المتقدمة كالذكاء الاصطناعي وتحليلات البيانات الضخمة والحوسبة السحابية في المنظمة بما يُعيد تشكيل نماذج أعمالها وأُطرها التشغيلية وديناميكياتها التنافسية، وهو ليس مجرد تحوّل تقني بل يتطلب إعادة هيكلة جذرية لاستراتيجيات العمل والنماذج التشغيلية</w:t>
      </w:r>
      <w:r w:rsidR="00E467BD" w:rsidRPr="00E467BD">
        <w:rPr>
          <w:rFonts w:ascii="Simplified Arabic" w:eastAsia="Times New Roman" w:hAnsi="Simplified Arabic" w:cs="Simplified Arabic"/>
          <w:color w:val="EE0000"/>
          <w:sz w:val="28"/>
          <w:szCs w:val="28"/>
        </w:rPr>
        <w:t xml:space="preserve"> (Abdurrahman, 2025, p. 2). </w:t>
      </w:r>
      <w:r w:rsidRPr="00E467BD">
        <w:rPr>
          <w:rFonts w:ascii="Simplified Arabic" w:eastAsia="Times New Roman" w:hAnsi="Simplified Arabic" w:cs="Simplified Arabic" w:hint="cs"/>
          <w:color w:val="EE0000"/>
          <w:sz w:val="28"/>
          <w:szCs w:val="28"/>
          <w:rtl/>
        </w:rPr>
        <w:t xml:space="preserve"> </w:t>
      </w:r>
    </w:p>
    <w:p w14:paraId="5E386E2F"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إجرائيًا: يُقصد به في هذه الدراسة مدى تبنّي الجهات الحكومية السعودية للتقنيات الرقمية الحديثة في عملياتها وخدماتها بما يتوافق مع مستهدفات الحكومة الرقمية ورؤية 2030، ويشمل أربعة أبعاد </w:t>
      </w:r>
      <w:r w:rsidRPr="00471C07">
        <w:rPr>
          <w:rFonts w:ascii="Simplified Arabic" w:eastAsia="Times New Roman" w:hAnsi="Simplified Arabic" w:cs="Simplified Arabic" w:hint="cs"/>
          <w:sz w:val="28"/>
          <w:szCs w:val="28"/>
          <w:rtl/>
        </w:rPr>
        <w:lastRenderedPageBreak/>
        <w:t>هي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البنية التحتية التقنية، والثقافة الرقمية، والتشريعات والسياسات الرقمية، والموارد البشرية الرقمية، ويُقاس بستة عشر (16) فقرة في الاستبانة وفق مقياس ليكرت الخماسي</w:t>
      </w:r>
      <w:r w:rsidRPr="00471C07">
        <w:rPr>
          <w:rFonts w:ascii="Simplified Arabic" w:eastAsia="Times New Roman" w:hAnsi="Simplified Arabic" w:cs="Simplified Arabic" w:hint="cs"/>
          <w:sz w:val="28"/>
          <w:szCs w:val="28"/>
        </w:rPr>
        <w:t>.</w:t>
      </w:r>
    </w:p>
    <w:p w14:paraId="1E6F2A8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سابعًا: البنية التحتية التقنية</w:t>
      </w:r>
      <w:r w:rsidRPr="00471C07">
        <w:rPr>
          <w:rFonts w:ascii="Simplified Arabic" w:eastAsia="Times New Roman" w:hAnsi="Simplified Arabic" w:cs="Simplified Arabic" w:hint="cs"/>
          <w:b/>
          <w:bCs/>
          <w:sz w:val="28"/>
          <w:szCs w:val="28"/>
        </w:rPr>
        <w:t xml:space="preserve"> (Digital Infrastructure)</w:t>
      </w:r>
    </w:p>
    <w:p w14:paraId="29BF08F5" w14:textId="75BF0413"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اصطلاحًا: مجموعة الأنظمة والشبكات والأجهزة والبرمجيات التي تُشكّل الأساس التقني الذي تعتمد عليه المنظمة في تنفيذ عملياتها الرقمية وتقديم خدماتها الإلكترونية (الطيب، 2024، ص 175)</w:t>
      </w:r>
      <w:r w:rsidR="00E467BD" w:rsidRPr="00E467BD">
        <w:rPr>
          <w:color w:val="EE0000"/>
          <w:rtl/>
        </w:rPr>
        <w:t xml:space="preserve"> </w:t>
      </w:r>
      <w:r w:rsidR="00E467BD" w:rsidRPr="00E467BD">
        <w:rPr>
          <w:rFonts w:hint="cs"/>
          <w:color w:val="EE0000"/>
          <w:rtl/>
        </w:rPr>
        <w:t xml:space="preserve">، ويعرف بأنه </w:t>
      </w:r>
      <w:r w:rsidR="00E467BD" w:rsidRPr="00E467BD">
        <w:rPr>
          <w:rFonts w:ascii="Simplified Arabic" w:eastAsia="Times New Roman" w:hAnsi="Simplified Arabic" w:cs="Simplified Arabic"/>
          <w:color w:val="EE0000"/>
          <w:sz w:val="28"/>
          <w:szCs w:val="28"/>
          <w:rtl/>
        </w:rPr>
        <w:t xml:space="preserve">مجموعة القدرات التقنية والمعلوماتية التي تشمل أنظمة تقنية المعلومات والمنصات الرقمية والشبكات والحوسبة السحابية وقواعد البيانات، والتي تُشكّل القاعدة الأساسية لتمكين التحول الرقمي ودعم الابتكار المؤسسي </w:t>
      </w:r>
      <w:r w:rsidR="00E467BD" w:rsidRPr="00E467BD">
        <w:rPr>
          <w:rFonts w:ascii="Simplified Arabic" w:eastAsia="Times New Roman" w:hAnsi="Simplified Arabic" w:cs="Simplified Arabic"/>
          <w:color w:val="EE0000"/>
          <w:sz w:val="28"/>
          <w:szCs w:val="28"/>
        </w:rPr>
        <w:t>(Abdurrahman, 2025, p. 4).</w:t>
      </w:r>
    </w:p>
    <w:p w14:paraId="20C77446"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توفّر الأجهزة والشبكات والأنظمة الإلكترونية والمنصات الرقمية في الجهة الحكومية السعودية، وقدرتها على دعم تنفيذ المعاملات والخدمات الحكومية إلكترونيًا بكفاءة وسرعة واستمرارية،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710AAB22"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ثامنًا: الثقافة الرقمية</w:t>
      </w:r>
      <w:r w:rsidRPr="00471C07">
        <w:rPr>
          <w:rFonts w:ascii="Simplified Arabic" w:eastAsia="Times New Roman" w:hAnsi="Simplified Arabic" w:cs="Simplified Arabic" w:hint="cs"/>
          <w:b/>
          <w:bCs/>
          <w:sz w:val="28"/>
          <w:szCs w:val="28"/>
        </w:rPr>
        <w:t xml:space="preserve"> (Digital Culture)</w:t>
      </w:r>
    </w:p>
    <w:p w14:paraId="41543B73" w14:textId="7986A026"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tl/>
        </w:rPr>
      </w:pPr>
      <w:r w:rsidRPr="00471C07">
        <w:rPr>
          <w:rFonts w:ascii="Simplified Arabic" w:eastAsia="Times New Roman" w:hAnsi="Simplified Arabic" w:cs="Simplified Arabic" w:hint="cs"/>
          <w:sz w:val="28"/>
          <w:szCs w:val="28"/>
          <w:rtl/>
        </w:rPr>
        <w:t xml:space="preserve">اصطلاحًا: مجموعة القيم والمعتقدات والممارسات التنظيمية التي تُشجّع على تبنّي التقنيات الرقمية والانفتاح على التغيير التقني والابتكار المستمر في بيئة العمل </w:t>
      </w:r>
      <w:r w:rsidRPr="00471C07">
        <w:rPr>
          <w:rFonts w:ascii="Simplified Arabic" w:eastAsia="Times New Roman" w:hAnsi="Simplified Arabic" w:cs="Simplified Arabic" w:hint="cs"/>
          <w:sz w:val="28"/>
          <w:szCs w:val="28"/>
        </w:rPr>
        <w:t>Novianto, 2023, p. 3).</w:t>
      </w:r>
      <w:r w:rsidRPr="00471C07">
        <w:rPr>
          <w:rFonts w:ascii="Simplified Arabic" w:eastAsia="Times New Roman" w:hAnsi="Simplified Arabic" w:cs="Simplified Arabic" w:hint="cs"/>
          <w:sz w:val="28"/>
          <w:szCs w:val="28"/>
          <w:rtl/>
        </w:rPr>
        <w:t>)</w:t>
      </w:r>
    </w:p>
    <w:p w14:paraId="57798D9B"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انتشار قيم التقبّل الإيجابي للتقنية وروح المبادرة الرقمية بين الموظفين في الجهة الحكومية السعودية، وتهيئة بيئة عمل تدعم التجريب الرقمي وتتقبّل التغيير التقني وتُحفّز على مشاركة المعرفة الرقمية، وتُقاس بأربع</w:t>
      </w:r>
      <w:r w:rsidRPr="00471C07">
        <w:rPr>
          <w:rFonts w:ascii="Simplified Arabic" w:eastAsia="Times New Roman" w:hAnsi="Simplified Arabic" w:cs="Simplified Arabic" w:hint="cs"/>
          <w:sz w:val="28"/>
          <w:szCs w:val="28"/>
        </w:rPr>
        <w:t xml:space="preserve"> (4) </w:t>
      </w:r>
      <w:r w:rsidRPr="00471C07">
        <w:rPr>
          <w:rFonts w:ascii="Simplified Arabic" w:eastAsia="Times New Roman" w:hAnsi="Simplified Arabic" w:cs="Simplified Arabic" w:hint="cs"/>
          <w:sz w:val="28"/>
          <w:szCs w:val="28"/>
          <w:rtl/>
        </w:rPr>
        <w:t>فقرات ضمن محور التحول الرقمي في الاستبانة</w:t>
      </w:r>
      <w:r w:rsidRPr="00471C07">
        <w:rPr>
          <w:rFonts w:ascii="Simplified Arabic" w:eastAsia="Times New Roman" w:hAnsi="Simplified Arabic" w:cs="Simplified Arabic" w:hint="cs"/>
          <w:sz w:val="28"/>
          <w:szCs w:val="28"/>
        </w:rPr>
        <w:t>.</w:t>
      </w:r>
    </w:p>
    <w:p w14:paraId="7409F5C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تاسعًا: التشريعات والسياسات الرقمية</w:t>
      </w:r>
      <w:r w:rsidRPr="00471C07">
        <w:rPr>
          <w:rFonts w:ascii="Simplified Arabic" w:eastAsia="Times New Roman" w:hAnsi="Simplified Arabic" w:cs="Simplified Arabic" w:hint="cs"/>
          <w:b/>
          <w:bCs/>
          <w:sz w:val="28"/>
          <w:szCs w:val="28"/>
        </w:rPr>
        <w:t xml:space="preserve"> (Digital Policies and Regulations)</w:t>
      </w:r>
    </w:p>
    <w:p w14:paraId="3D27DB18" w14:textId="02D070C1"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lastRenderedPageBreak/>
        <w:t>اصطلاحًا: الأطر التنظيمية والتشريعية والإجراءات الحاكمة التي تضعها المنظمة أو الجهات الرقابية لتنظيم استخدام التقنيات الرقمية وحماية البيانات وضمان أمن المعلومات وتوجيه مسار التحول الرقمي</w:t>
      </w:r>
      <w:r w:rsidRPr="00471C07">
        <w:rPr>
          <w:rFonts w:ascii="Simplified Arabic" w:eastAsia="Times New Roman" w:hAnsi="Simplified Arabic" w:cs="Simplified Arabic" w:hint="cs"/>
          <w:sz w:val="28"/>
          <w:szCs w:val="28"/>
        </w:rPr>
        <w:t xml:space="preserve"> </w:t>
      </w:r>
      <w:r w:rsidRPr="00471C07">
        <w:rPr>
          <w:rFonts w:ascii="Simplified Arabic" w:eastAsia="Times New Roman" w:hAnsi="Simplified Arabic" w:cs="Simplified Arabic" w:hint="cs"/>
          <w:sz w:val="28"/>
          <w:szCs w:val="28"/>
          <w:rtl/>
        </w:rPr>
        <w:t>(مطاوع والمقاطي، 2025، ص 68)</w:t>
      </w:r>
    </w:p>
    <w:p w14:paraId="3D0CF9EA"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وجود لوائح وتعليمات وسياسات واضحة ومُعتمدة في الجهة الحكومية السعودية تُنظّم التعاملات الإلكترونية وتحمي خصوصية البيانات وتُحدّد صلاحيات الوصول للأنظمة الرقمية، بما يتوافق مع أنظمة هيئة الحكومة الرقمية والهيئة الوطنية للأمن السيبراني،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63D4284D"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عاشرًا: الموارد البشرية الرقمية</w:t>
      </w:r>
      <w:r w:rsidRPr="00471C07">
        <w:rPr>
          <w:rFonts w:ascii="Simplified Arabic" w:eastAsia="Times New Roman" w:hAnsi="Simplified Arabic" w:cs="Simplified Arabic" w:hint="cs"/>
          <w:b/>
          <w:bCs/>
          <w:sz w:val="28"/>
          <w:szCs w:val="28"/>
        </w:rPr>
        <w:t xml:space="preserve"> (Digital Human Resources)</w:t>
      </w:r>
    </w:p>
    <w:p w14:paraId="5D1B06B6" w14:textId="4BCC5319"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اصطلاحًا: قدرة المنظمة على تأهيل رأسمالها البشري وتطوير مهاراته الرقمية من خلال برامج التدريب والتمكين التقني، بما يُمكّن الموظفين من استخدام الأدوات والتطبيقات الرقمية بكفاءة في أداء مهامهم (العزب  واخرون، 2023، ص 105)</w:t>
      </w:r>
    </w:p>
    <w:p w14:paraId="70DD4DCE"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إجرائيًا: يُقصد بها في هذه الدراسة مدى امتلاك الموظفين في الجهة الحكومية السعودية للمهارات والمعارف الرقمية اللازمة لاستخدام الأنظمة والتطبيقات الحكومية الإلكترونية، ومدى توفير الجهة لبرامج تدريب رقمي مستمرة تُواكب التحديثات التقنية وتُؤهّل الموظفين للتعامل مع متطلبات الحكومة الرقمية، وتُقاس بأربع (4) فقرات ضمن محور التحول الرقمي في الاستبانة</w:t>
      </w:r>
      <w:r w:rsidRPr="00471C07">
        <w:rPr>
          <w:rFonts w:ascii="Simplified Arabic" w:eastAsia="Times New Roman" w:hAnsi="Simplified Arabic" w:cs="Simplified Arabic" w:hint="cs"/>
          <w:sz w:val="28"/>
          <w:szCs w:val="28"/>
        </w:rPr>
        <w:t>.</w:t>
      </w:r>
    </w:p>
    <w:p w14:paraId="6C62CF74"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b/>
          <w:bCs/>
          <w:sz w:val="28"/>
          <w:szCs w:val="28"/>
          <w:rtl/>
        </w:rPr>
        <w:t>حادي عشر: الأداء الوظيفي</w:t>
      </w:r>
      <w:r w:rsidRPr="00471C07">
        <w:rPr>
          <w:rFonts w:ascii="Simplified Arabic" w:eastAsia="Times New Roman" w:hAnsi="Simplified Arabic" w:cs="Simplified Arabic" w:hint="cs"/>
          <w:b/>
          <w:bCs/>
          <w:sz w:val="28"/>
          <w:szCs w:val="28"/>
        </w:rPr>
        <w:t xml:space="preserve"> (Job Performance)</w:t>
      </w:r>
    </w:p>
    <w:p w14:paraId="25BD890E" w14:textId="07177648" w:rsidR="008E773E" w:rsidRPr="00E467BD" w:rsidRDefault="008E773E" w:rsidP="00E467BD">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E467BD">
        <w:rPr>
          <w:rFonts w:ascii="Simplified Arabic" w:eastAsia="Times New Roman" w:hAnsi="Simplified Arabic" w:cs="Simplified Arabic" w:hint="cs"/>
          <w:color w:val="EE0000"/>
          <w:sz w:val="28"/>
          <w:szCs w:val="28"/>
          <w:rtl/>
        </w:rPr>
        <w:t xml:space="preserve">اصطلاحًا: </w:t>
      </w:r>
      <w:r w:rsidR="00E467BD" w:rsidRPr="00E467BD">
        <w:rPr>
          <w:rFonts w:ascii="Simplified Arabic" w:eastAsia="Times New Roman" w:hAnsi="Simplified Arabic" w:cs="Simplified Arabic"/>
          <w:color w:val="EE0000"/>
          <w:sz w:val="28"/>
          <w:szCs w:val="28"/>
          <w:rtl/>
        </w:rPr>
        <w:t>الأداء الوظيفي هو مدى قيام الفرد بتنفيذ مهامه ومسؤولياته المحددة وفقاً للأهداف والمعايير التنظيمية المُحدّدة مسبقاً، ويشمل الجوانب الكمية والنوعية لمُخرجات العمل، ويتأثر بالصحة الجسدية والنفسية للموظف</w:t>
      </w:r>
      <w:r w:rsidR="00E467BD" w:rsidRPr="00E467BD">
        <w:rPr>
          <w:rFonts w:ascii="Simplified Arabic" w:eastAsia="Times New Roman" w:hAnsi="Simplified Arabic" w:cs="Simplified Arabic"/>
          <w:color w:val="EE0000"/>
          <w:sz w:val="28"/>
          <w:szCs w:val="28"/>
        </w:rPr>
        <w:t xml:space="preserve"> (Chang, 2024, pp. 372–373).</w:t>
      </w:r>
    </w:p>
    <w:p w14:paraId="733FB7EC" w14:textId="77777777" w:rsidR="008E773E" w:rsidRPr="00471C07" w:rsidRDefault="008E773E" w:rsidP="00471C07">
      <w:pPr>
        <w:bidi/>
        <w:spacing w:before="100" w:beforeAutospacing="1" w:after="100" w:afterAutospacing="1" w:line="276" w:lineRule="auto"/>
        <w:jc w:val="both"/>
        <w:rPr>
          <w:rFonts w:ascii="Simplified Arabic" w:eastAsia="Times New Roman" w:hAnsi="Simplified Arabic" w:cs="Simplified Arabic"/>
          <w:sz w:val="28"/>
          <w:szCs w:val="28"/>
        </w:rPr>
      </w:pPr>
      <w:r w:rsidRPr="00471C07">
        <w:rPr>
          <w:rFonts w:ascii="Simplified Arabic" w:eastAsia="Times New Roman" w:hAnsi="Simplified Arabic" w:cs="Simplified Arabic" w:hint="cs"/>
          <w:sz w:val="28"/>
          <w:szCs w:val="28"/>
          <w:rtl/>
        </w:rPr>
        <w:t xml:space="preserve">إجرائيًا: يُقصد به في هذه الدراسة مستوى جودة وكفاءة إنجاز الموظف الحكومي السعودي للمهام والواجبات الموكلة إليه، ومدى التزامه بمعايير العمل وأنظمة الجهة، وقدرته على تحقيق الأهداف </w:t>
      </w:r>
      <w:r w:rsidRPr="00471C07">
        <w:rPr>
          <w:rFonts w:ascii="Simplified Arabic" w:eastAsia="Times New Roman" w:hAnsi="Simplified Arabic" w:cs="Simplified Arabic" w:hint="cs"/>
          <w:sz w:val="28"/>
          <w:szCs w:val="28"/>
          <w:rtl/>
        </w:rPr>
        <w:lastRenderedPageBreak/>
        <w:t>المحددة في الوقت المطلوب، وحرصه على التطوير المستمر لأدائه بما يُسهم في تحقيق مستهدفات الجهة الحكومية ورؤية 2030، ويُقاس بعشر (10) فقرات في الاستبانة وفق مقياس ليكرت الخماسي</w:t>
      </w:r>
      <w:r w:rsidRPr="00471C07">
        <w:rPr>
          <w:rFonts w:ascii="Simplified Arabic" w:eastAsia="Times New Roman" w:hAnsi="Simplified Arabic" w:cs="Simplified Arabic" w:hint="cs"/>
          <w:sz w:val="28"/>
          <w:szCs w:val="28"/>
        </w:rPr>
        <w:t>.</w:t>
      </w:r>
    </w:p>
    <w:p w14:paraId="2276A756" w14:textId="4E66AB41" w:rsidR="00752353" w:rsidRPr="00471C07" w:rsidRDefault="003C3394" w:rsidP="00471C07">
      <w:pPr>
        <w:bidi/>
        <w:spacing w:before="100" w:beforeAutospacing="1" w:after="100" w:afterAutospacing="1" w:line="276" w:lineRule="auto"/>
        <w:outlineLvl w:val="1"/>
        <w:rPr>
          <w:rFonts w:ascii="Simplified Arabic" w:hAnsi="Simplified Arabic" w:cs="Simplified Arabic"/>
          <w:b/>
          <w:bCs/>
          <w:sz w:val="28"/>
          <w:szCs w:val="28"/>
          <w:rtl/>
        </w:rPr>
      </w:pPr>
      <w:bookmarkStart w:id="17" w:name="_Toc202226011"/>
      <w:r w:rsidRPr="00471C07">
        <w:rPr>
          <w:rFonts w:ascii="Simplified Arabic" w:hAnsi="Simplified Arabic" w:cs="Simplified Arabic" w:hint="cs"/>
          <w:b/>
          <w:bCs/>
          <w:sz w:val="28"/>
          <w:szCs w:val="28"/>
          <w:rtl/>
        </w:rPr>
        <w:t>11</w:t>
      </w:r>
      <w:r w:rsidR="00B702FA"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منهج الدراسة:</w:t>
      </w:r>
      <w:bookmarkEnd w:id="17"/>
    </w:p>
    <w:p w14:paraId="35FE9A10" w14:textId="697F8D9E" w:rsidR="00A9195B" w:rsidRPr="00471C07" w:rsidRDefault="00A9195B" w:rsidP="00471C07">
      <w:pPr>
        <w:bidi/>
        <w:spacing w:line="276" w:lineRule="auto"/>
        <w:jc w:val="both"/>
        <w:rPr>
          <w:rFonts w:ascii="Simplified Arabic" w:hAnsi="Simplified Arabic" w:cs="Simplified Arabic"/>
          <w:sz w:val="28"/>
          <w:szCs w:val="28"/>
        </w:rPr>
      </w:pPr>
      <w:bookmarkStart w:id="18" w:name="_Toc202226012"/>
      <w:r w:rsidRPr="00471C07">
        <w:rPr>
          <w:rFonts w:ascii="Simplified Arabic" w:hAnsi="Simplified Arabic" w:cs="Simplified Arabic" w:hint="cs"/>
          <w:sz w:val="28"/>
          <w:szCs w:val="28"/>
          <w:rtl/>
        </w:rPr>
        <w:t>ستعتمد هذه الدراسة على المنهج الوصفي التحليلي بوصفه الأنسب لتحقيق أهدافها البحثية والإجابة عن تساؤلاتها واختبار فرضياتها،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ويتيح المنهج الوصفي التحليلي التعرّف على مستوى ممارسة القيادة التحويلية بأبعادها الأربعة ومستوى تطبيق التحوّل الرقمي بأبعاده الأربعة ومستوى الأداء الوظيفي لدى العاملين في الجهات الحكومية بالمملكة العربية السعودية، فضلاً عن قياس طبيعة العلاقات الارتباطية بين هذه المتغيّرات وتحديد حجم التأثير واتجاهه</w:t>
      </w:r>
      <w:r w:rsidR="00E95A55" w:rsidRPr="00471C07">
        <w:rPr>
          <w:rFonts w:ascii="Simplified Arabic" w:hAnsi="Simplified Arabic" w:cs="Simplified Arabic" w:hint="cs"/>
          <w:sz w:val="28"/>
          <w:szCs w:val="28"/>
          <w:rtl/>
        </w:rPr>
        <w:t>،</w:t>
      </w:r>
      <w:r w:rsidRPr="00471C07">
        <w:rPr>
          <w:rFonts w:ascii="Simplified Arabic" w:hAnsi="Simplified Arabic" w:cs="Simplified Arabic" w:hint="cs"/>
          <w:sz w:val="28"/>
          <w:szCs w:val="28"/>
          <w:rtl/>
        </w:rPr>
        <w:t xml:space="preserve"> كما يتناسب هذا المنهج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w:t>
      </w:r>
      <w:r w:rsidRPr="00471C07">
        <w:rPr>
          <w:rFonts w:ascii="Simplified Arabic" w:hAnsi="Simplified Arabic" w:cs="Simplified Arabic" w:hint="cs"/>
          <w:sz w:val="28"/>
          <w:szCs w:val="28"/>
        </w:rPr>
        <w:t>.</w:t>
      </w:r>
    </w:p>
    <w:p w14:paraId="036924C5" w14:textId="77777777" w:rsidR="00A9195B" w:rsidRPr="00471C07" w:rsidRDefault="00A9195B" w:rsidP="00471C07">
      <w:p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وفي هذا السياق سيُستخدم الأسلوب المسحي الميداني من خلال تصميم استبانة مُحكّمة وموثوقة تُوزَّع إلكترونياً وورقياً على عيّنة ممثّلة من العاملين في الجهات الحكومية السعودية، حيث ستُجمع البيانات الأولية وتُرمَّز وتُدخَل في البرامج الإحصائية المتخصّصة لمعالجتها وتحليلها واستخلاص النتائج واختبار الفرضيات. وإلى جانب البيانات الأولية ستعتمد الدراسة على مراجعة منهجية معمّقة للمصادر الثانوية من أدبيات نظرية ودراسات سابقة عربية وأجنبية وتقارير رسمية حكومية ذات صلة بمتغيّرات القيادة التحويلية والتحوّل الرقمي والأداء الوظيفي، وذلك لبناء الإطار النظري للدراسة وتعزيز القدرة التفسيرية لنتائجها الميدانية ومقارنتها بمخرجات الدراسات السابقة. ويُعدّ الجمع بين المصادر الأولية والثانوية ضرورة منهجية لضمان شمولية المعالجة البحثية وعمقها وموضوعيتها</w:t>
      </w:r>
      <w:r w:rsidRPr="00471C07">
        <w:rPr>
          <w:rFonts w:ascii="Simplified Arabic" w:hAnsi="Simplified Arabic" w:cs="Simplified Arabic" w:hint="cs"/>
          <w:sz w:val="28"/>
          <w:szCs w:val="28"/>
        </w:rPr>
        <w:t>.</w:t>
      </w:r>
    </w:p>
    <w:p w14:paraId="04289F1E" w14:textId="4502575F" w:rsidR="00752353" w:rsidRPr="00471C07" w:rsidRDefault="003C3394"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12</w:t>
      </w:r>
      <w:r w:rsidR="00B702FA"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مجتمع وعينة الدراسة:</w:t>
      </w:r>
      <w:bookmarkEnd w:id="18"/>
    </w:p>
    <w:p w14:paraId="06855C10" w14:textId="7274987B" w:rsidR="00A9195B" w:rsidRPr="00471C07" w:rsidRDefault="00A9195B" w:rsidP="00471C07">
      <w:pPr>
        <w:bidi/>
        <w:spacing w:line="276" w:lineRule="auto"/>
        <w:jc w:val="both"/>
        <w:rPr>
          <w:rFonts w:ascii="Simplified Arabic" w:hAnsi="Simplified Arabic" w:cs="Simplified Arabic"/>
          <w:sz w:val="28"/>
          <w:szCs w:val="28"/>
        </w:rPr>
      </w:pPr>
      <w:bookmarkStart w:id="19" w:name="_Toc202226013"/>
      <w:r w:rsidRPr="00471C07">
        <w:rPr>
          <w:rFonts w:ascii="Simplified Arabic" w:hAnsi="Simplified Arabic" w:cs="Simplified Arabic" w:hint="cs"/>
          <w:sz w:val="28"/>
          <w:szCs w:val="28"/>
          <w:rtl/>
        </w:rPr>
        <w:t xml:space="preserve">سيتكوّن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w:t>
      </w:r>
      <w:r w:rsidRPr="00471C07">
        <w:rPr>
          <w:rFonts w:ascii="Simplified Arabic" w:hAnsi="Simplified Arabic" w:cs="Simplified Arabic" w:hint="cs"/>
          <w:sz w:val="28"/>
          <w:szCs w:val="28"/>
          <w:rtl/>
        </w:rPr>
        <w:lastRenderedPageBreak/>
        <w:t>2025م نحو 1,183,259 موظفاً حكومياً، منهم 1,144,584 موظفاً سعودياً بنسبة 97%. ويتوزّع هؤلاء الموظفون على ما يزيد عن 217 جهة حكومية مشمولة بقياس التحوّل الرقمي وفقاً لبيانات هيئة الحكومة الرقمية لعام 2025م</w:t>
      </w:r>
      <w:r w:rsidR="00E95A55" w:rsidRPr="00471C07">
        <w:rPr>
          <w:rFonts w:ascii="Simplified Arabic" w:hAnsi="Simplified Arabic" w:cs="Simplified Arabic" w:hint="cs"/>
          <w:sz w:val="28"/>
          <w:szCs w:val="28"/>
          <w:rtl/>
        </w:rPr>
        <w:t xml:space="preserve"> </w:t>
      </w:r>
      <w:r w:rsidR="00E95A55" w:rsidRPr="00471C07">
        <w:rPr>
          <w:rFonts w:ascii="Simplified Arabic" w:hAnsi="Simplified Arabic" w:cs="Simplified Arabic" w:hint="cs"/>
          <w:color w:val="EE0000"/>
          <w:sz w:val="28"/>
          <w:szCs w:val="28"/>
          <w:rtl/>
        </w:rPr>
        <w:t>(وزارة الموارد البشرية والتنمية الاجتماعية، 2025)</w:t>
      </w:r>
      <w:r w:rsidRPr="00471C07">
        <w:rPr>
          <w:rFonts w:ascii="Simplified Arabic" w:hAnsi="Simplified Arabic" w:cs="Simplified Arabic" w:hint="cs"/>
          <w:color w:val="EE0000"/>
          <w:sz w:val="28"/>
          <w:szCs w:val="28"/>
          <w:rtl/>
        </w:rPr>
        <w:t xml:space="preserve">، </w:t>
      </w:r>
      <w:r w:rsidRPr="00471C07">
        <w:rPr>
          <w:rFonts w:ascii="Simplified Arabic" w:hAnsi="Simplified Arabic" w:cs="Simplified Arabic" w:hint="cs"/>
          <w:sz w:val="28"/>
          <w:szCs w:val="28"/>
          <w:rtl/>
        </w:rPr>
        <w:t>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 ويتّسم هذا المجتمع بالتنوّع والاتساع الجغرافي والتنظيمي، ممّا يستوجب اعتماد أسلوب أخذ عيّنات يضمن التمثيل العادل لمختلف شرائحه</w:t>
      </w:r>
      <w:r w:rsidRPr="00471C07">
        <w:rPr>
          <w:rFonts w:ascii="Simplified Arabic" w:hAnsi="Simplified Arabic" w:cs="Simplified Arabic" w:hint="cs"/>
          <w:sz w:val="28"/>
          <w:szCs w:val="28"/>
        </w:rPr>
        <w:t>.</w:t>
      </w:r>
    </w:p>
    <w:p w14:paraId="4529885C" w14:textId="77777777" w:rsidR="00A9195B" w:rsidRPr="00471C07" w:rsidRDefault="00A9195B" w:rsidP="00471C07">
      <w:p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ونظراً لكبر حجم مجتمع الدراسة وصعوبة إجراء مسح شامل، ستُسحب عيّنة عشوائية طبقية تناسبية</w:t>
      </w:r>
      <w:r w:rsidRPr="00471C07">
        <w:rPr>
          <w:rFonts w:ascii="Simplified Arabic" w:hAnsi="Simplified Arabic" w:cs="Simplified Arabic" w:hint="cs"/>
          <w:sz w:val="28"/>
          <w:szCs w:val="28"/>
        </w:rPr>
        <w:t xml:space="preserve"> (Proportional Stratified Random Sample) </w:t>
      </w:r>
      <w:r w:rsidRPr="00471C07">
        <w:rPr>
          <w:rFonts w:ascii="Simplified Arabic" w:hAnsi="Simplified Arabic" w:cs="Simplified Arabic" w:hint="cs"/>
          <w:sz w:val="28"/>
          <w:szCs w:val="28"/>
          <w:rtl/>
        </w:rPr>
        <w:t>لضمان تمثيل مختلف الجهات الحكومية والمناطق الجغرافية والمستويات الإدارية. وسيُحدَّد الحدّ الأدنى لحجم العيّنة وفقاً لمعادلة ستيفن ثومبسون</w:t>
      </w:r>
      <w:r w:rsidRPr="00471C07">
        <w:rPr>
          <w:rFonts w:ascii="Simplified Arabic" w:hAnsi="Simplified Arabic" w:cs="Simplified Arabic" w:hint="cs"/>
          <w:sz w:val="28"/>
          <w:szCs w:val="28"/>
        </w:rPr>
        <w:t xml:space="preserve"> (Steven K. Thompson) </w:t>
      </w:r>
      <w:r w:rsidRPr="00471C07">
        <w:rPr>
          <w:rFonts w:ascii="Simplified Arabic" w:hAnsi="Simplified Arabic" w:cs="Simplified Arabic" w:hint="cs"/>
          <w:sz w:val="28"/>
          <w:szCs w:val="28"/>
          <w:rtl/>
        </w:rPr>
        <w:t xml:space="preserve">عند مستوى ثقة 95% وهامش خطأ مسموح به </w:t>
      </w:r>
      <w:r w:rsidRPr="00471C07">
        <w:rPr>
          <w:rFonts w:ascii="Simplified Arabic" w:hAnsi="Simplified Arabic" w:cs="Simplified Arabic" w:hint="cs"/>
          <w:sz w:val="28"/>
          <w:szCs w:val="28"/>
        </w:rPr>
        <w:t xml:space="preserve">5% </w:t>
      </w:r>
      <w:r w:rsidRPr="00471C07">
        <w:rPr>
          <w:rFonts w:ascii="Simplified Arabic" w:hAnsi="Simplified Arabic" w:cs="Simplified Arabic" w:hint="cs"/>
          <w:sz w:val="28"/>
          <w:szCs w:val="28"/>
          <w:rtl/>
        </w:rPr>
        <w:t>ونسبة توافر الخاصية 50%، حيث يبلغ الحدّ الأدنى المطلوب 384 مفردة وفقاً لهذه المعادلة عند مجتمع يتجاوز المليون مفردة. وسيُستهدف توزيع ما لا يقلّ عن 500 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w:t>
      </w:r>
      <w:r w:rsidRPr="00471C07">
        <w:rPr>
          <w:rFonts w:ascii="Simplified Arabic" w:hAnsi="Simplified Arabic" w:cs="Simplified Arabic" w:hint="cs"/>
          <w:sz w:val="28"/>
          <w:szCs w:val="28"/>
        </w:rPr>
        <w:t xml:space="preserve">% </w:t>
      </w:r>
      <w:r w:rsidRPr="00471C07">
        <w:rPr>
          <w:rFonts w:ascii="Simplified Arabic" w:hAnsi="Simplified Arabic" w:cs="Simplified Arabic" w:hint="cs"/>
          <w:sz w:val="28"/>
          <w:szCs w:val="28"/>
          <w:rtl/>
        </w:rPr>
        <w:t>و25%. كما ستُراعى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471C07">
        <w:rPr>
          <w:rFonts w:ascii="Simplified Arabic" w:hAnsi="Simplified Arabic" w:cs="Simplified Arabic" w:hint="cs"/>
          <w:sz w:val="28"/>
          <w:szCs w:val="28"/>
        </w:rPr>
        <w:t>.</w:t>
      </w:r>
    </w:p>
    <w:p w14:paraId="4B287956" w14:textId="06A444A8" w:rsidR="00752353" w:rsidRPr="00471C07" w:rsidRDefault="00B702FA" w:rsidP="00471C07">
      <w:pPr>
        <w:bidi/>
        <w:spacing w:before="100" w:beforeAutospacing="1" w:after="100" w:afterAutospacing="1" w:line="276" w:lineRule="auto"/>
        <w:outlineLvl w:val="1"/>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1</w:t>
      </w:r>
      <w:r w:rsidR="003C3394" w:rsidRPr="00471C07">
        <w:rPr>
          <w:rFonts w:ascii="Simplified Arabic" w:hAnsi="Simplified Arabic" w:cs="Simplified Arabic" w:hint="cs"/>
          <w:b/>
          <w:bCs/>
          <w:sz w:val="28"/>
          <w:szCs w:val="28"/>
          <w:rtl/>
        </w:rPr>
        <w:t>3</w:t>
      </w:r>
      <w:r w:rsidRPr="00471C07">
        <w:rPr>
          <w:rFonts w:ascii="Simplified Arabic" w:hAnsi="Simplified Arabic" w:cs="Simplified Arabic" w:hint="cs"/>
          <w:b/>
          <w:bCs/>
          <w:sz w:val="28"/>
          <w:szCs w:val="28"/>
          <w:rtl/>
        </w:rPr>
        <w:t xml:space="preserve">,1 </w:t>
      </w:r>
      <w:r w:rsidR="00752353" w:rsidRPr="00471C07">
        <w:rPr>
          <w:rFonts w:ascii="Simplified Arabic" w:hAnsi="Simplified Arabic" w:cs="Simplified Arabic" w:hint="cs"/>
          <w:b/>
          <w:bCs/>
          <w:sz w:val="28"/>
          <w:szCs w:val="28"/>
          <w:rtl/>
        </w:rPr>
        <w:t>وسائل جمع بيانات الدراسة:</w:t>
      </w:r>
      <w:bookmarkEnd w:id="19"/>
    </w:p>
    <w:p w14:paraId="6AC3C483"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kern w:val="2"/>
          <w:sz w:val="28"/>
          <w:szCs w:val="28"/>
          <w:rtl/>
          <w14:ligatures w14:val="standardContextual"/>
        </w:rPr>
      </w:pPr>
      <w:r w:rsidRPr="00471C07">
        <w:rPr>
          <w:rFonts w:ascii="Simplified Arabic" w:eastAsia="Calibri" w:hAnsi="Simplified Arabic" w:cs="Simplified Arabic" w:hint="cs"/>
          <w:kern w:val="2"/>
          <w:sz w:val="28"/>
          <w:szCs w:val="28"/>
          <w:rtl/>
          <w14:ligatures w14:val="standardContextual"/>
        </w:rPr>
        <w:t>تعتمد الدراسة  على مصدرين أساسيين في جمع البيانات والمعلومات كما يلي:</w:t>
      </w:r>
    </w:p>
    <w:p w14:paraId="44CE82CA" w14:textId="77777777" w:rsidR="00A9195B" w:rsidRPr="00471C07" w:rsidRDefault="00A9195B" w:rsidP="00471C07">
      <w:pPr>
        <w:numPr>
          <w:ilvl w:val="0"/>
          <w:numId w:val="10"/>
        </w:numPr>
        <w:tabs>
          <w:tab w:val="num" w:pos="720"/>
        </w:tabs>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ستعتمد الدراسة على نوعين أساسيين من مصادر البيانات لتحقيق التكامل المنهجي المطلوب. يتمثّل النوع الأول في المصادر الثانوية</w:t>
      </w:r>
      <w:r w:rsidRPr="00471C07">
        <w:rPr>
          <w:rFonts w:ascii="Simplified Arabic" w:eastAsia="Calibri" w:hAnsi="Simplified Arabic" w:cs="Simplified Arabic" w:hint="cs"/>
          <w:kern w:val="2"/>
          <w:sz w:val="28"/>
          <w:szCs w:val="28"/>
          <w14:ligatures w14:val="standardContextual"/>
        </w:rPr>
        <w:t xml:space="preserve"> (Secondary Sources) </w:t>
      </w:r>
      <w:r w:rsidRPr="00471C07">
        <w:rPr>
          <w:rFonts w:ascii="Simplified Arabic" w:eastAsia="Calibri" w:hAnsi="Simplified Arabic" w:cs="Simplified Arabic" w:hint="cs"/>
          <w:kern w:val="2"/>
          <w:sz w:val="28"/>
          <w:szCs w:val="28"/>
          <w:rtl/>
          <w14:ligatures w14:val="standardContextual"/>
        </w:rPr>
        <w:t xml:space="preserve">التي ستُستخدم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w:t>
      </w:r>
      <w:r w:rsidRPr="00471C07">
        <w:rPr>
          <w:rFonts w:ascii="Simplified Arabic" w:eastAsia="Calibri" w:hAnsi="Simplified Arabic" w:cs="Simplified Arabic" w:hint="cs"/>
          <w:kern w:val="2"/>
          <w:sz w:val="28"/>
          <w:szCs w:val="28"/>
          <w:rtl/>
          <w14:ligatures w14:val="standardContextual"/>
        </w:rPr>
        <w:lastRenderedPageBreak/>
        <w:t>والأجنبية، والرسائل الجامعية (ماجستير ودكتوراه)، وقواعد البيانات الإلكترونية مثل (</w:t>
      </w:r>
      <w:r w:rsidRPr="00471C07">
        <w:rPr>
          <w:rFonts w:ascii="Simplified Arabic" w:eastAsia="Calibri" w:hAnsi="Simplified Arabic" w:cs="Simplified Arabic" w:hint="cs"/>
          <w:kern w:val="2"/>
          <w:sz w:val="28"/>
          <w:szCs w:val="28"/>
          <w14:ligatures w14:val="standardContextual"/>
        </w:rPr>
        <w:t xml:space="preserve"> Scopus</w:t>
      </w:r>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Web of Science</w:t>
      </w:r>
      <w:r w:rsidRPr="00471C07">
        <w:rPr>
          <w:rFonts w:ascii="Simplified Arabic" w:eastAsia="Calibri" w:hAnsi="Simplified Arabic" w:cs="Simplified Arabic" w:hint="cs"/>
          <w:kern w:val="2"/>
          <w:sz w:val="28"/>
          <w:szCs w:val="28"/>
          <w:rtl/>
          <w14:ligatures w14:val="standardContextual"/>
        </w:rPr>
        <w:t xml:space="preserve">، </w:t>
      </w:r>
      <w:r w:rsidRPr="00471C07">
        <w:rPr>
          <w:rFonts w:ascii="Simplified Arabic" w:eastAsia="Calibri" w:hAnsi="Simplified Arabic" w:cs="Simplified Arabic" w:hint="cs"/>
          <w:kern w:val="2"/>
          <w:sz w:val="28"/>
          <w:szCs w:val="28"/>
          <w14:ligatures w14:val="standardContextual"/>
        </w:rPr>
        <w:t>Google Scholar</w:t>
      </w:r>
      <w:r w:rsidRPr="00471C07">
        <w:rPr>
          <w:rFonts w:ascii="Simplified Arabic" w:eastAsia="Calibri" w:hAnsi="Simplified Arabic" w:cs="Simplified Arabic" w:hint="cs"/>
          <w:kern w:val="2"/>
          <w:sz w:val="28"/>
          <w:szCs w:val="28"/>
          <w:rtl/>
          <w14:ligatures w14:val="standardContextual"/>
        </w:rPr>
        <w:t>، دار المنظومة)،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p>
    <w:p w14:paraId="2D69A60D" w14:textId="379AB2EA" w:rsidR="007F503C" w:rsidRPr="00471C07" w:rsidRDefault="00A9195B" w:rsidP="00471C07">
      <w:pPr>
        <w:numPr>
          <w:ilvl w:val="0"/>
          <w:numId w:val="10"/>
        </w:numPr>
        <w:tabs>
          <w:tab w:val="num" w:pos="720"/>
        </w:tabs>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المصادر الأولية</w:t>
      </w:r>
      <w:r w:rsidRPr="00471C07">
        <w:rPr>
          <w:rFonts w:ascii="Simplified Arabic" w:eastAsia="Calibri" w:hAnsi="Simplified Arabic" w:cs="Simplified Arabic" w:hint="cs"/>
          <w:kern w:val="2"/>
          <w:sz w:val="28"/>
          <w:szCs w:val="28"/>
          <w14:ligatures w14:val="standardContextual"/>
        </w:rPr>
        <w:t xml:space="preserve"> (Primary Sources) </w:t>
      </w:r>
      <w:r w:rsidRPr="00471C07">
        <w:rPr>
          <w:rFonts w:ascii="Simplified Arabic" w:eastAsia="Calibri" w:hAnsi="Simplified Arabic" w:cs="Simplified Arabic" w:hint="cs"/>
          <w:kern w:val="2"/>
          <w:sz w:val="28"/>
          <w:szCs w:val="28"/>
          <w:rtl/>
          <w14:ligatures w14:val="standardContextual"/>
        </w:rPr>
        <w:t>التي ستُجمع ميدانياً من خلال استبانة مصمَّمة خصيصاً لأغراض هذه الدراسة، ستُوزَّع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471C07">
        <w:rPr>
          <w:rFonts w:ascii="Simplified Arabic" w:eastAsia="Calibri" w:hAnsi="Simplified Arabic" w:cs="Simplified Arabic" w:hint="cs"/>
          <w:kern w:val="2"/>
          <w:sz w:val="28"/>
          <w:szCs w:val="28"/>
          <w14:ligatures w14:val="standardContextual"/>
        </w:rPr>
        <w:t>.</w:t>
      </w:r>
      <w:r w:rsidR="007F503C" w:rsidRPr="00471C07">
        <w:rPr>
          <w:rFonts w:ascii="Simplified Arabic" w:eastAsia="Calibri" w:hAnsi="Simplified Arabic" w:cs="Simplified Arabic" w:hint="cs"/>
          <w:kern w:val="2"/>
          <w:sz w:val="28"/>
          <w:szCs w:val="28"/>
          <w14:ligatures w14:val="standardContextual"/>
        </w:rPr>
        <w:t>.</w:t>
      </w:r>
    </w:p>
    <w:p w14:paraId="727D7AC1" w14:textId="2426F68F" w:rsidR="00693D5F" w:rsidRPr="00471C07" w:rsidRDefault="00693D5F" w:rsidP="00471C07">
      <w:pPr>
        <w:bidi/>
        <w:spacing w:before="100" w:beforeAutospacing="1" w:after="100" w:afterAutospacing="1" w:line="276" w:lineRule="auto"/>
        <w:jc w:val="both"/>
        <w:rPr>
          <w:rFonts w:ascii="Simplified Arabic" w:hAnsi="Simplified Arabic" w:cs="Simplified Arabic"/>
          <w:b/>
          <w:bCs/>
          <w:sz w:val="28"/>
          <w:szCs w:val="28"/>
          <w:rtl/>
        </w:rPr>
      </w:pPr>
      <w:r w:rsidRPr="00471C07">
        <w:rPr>
          <w:rFonts w:ascii="Simplified Arabic" w:hAnsi="Simplified Arabic" w:cs="Simplified Arabic" w:hint="cs"/>
          <w:b/>
          <w:bCs/>
          <w:sz w:val="28"/>
          <w:szCs w:val="28"/>
          <w:rtl/>
        </w:rPr>
        <w:t xml:space="preserve">14,1 أداه الدراسة </w:t>
      </w:r>
    </w:p>
    <w:p w14:paraId="47EDE793"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ستُستخدم الاستبانة</w:t>
      </w:r>
      <w:r w:rsidRPr="00471C07">
        <w:rPr>
          <w:rFonts w:ascii="Simplified Arabic" w:eastAsia="Calibri" w:hAnsi="Simplified Arabic" w:cs="Simplified Arabic" w:hint="cs"/>
          <w:kern w:val="2"/>
          <w:sz w:val="28"/>
          <w:szCs w:val="28"/>
          <w14:ligatures w14:val="standardContextual"/>
        </w:rPr>
        <w:t xml:space="preserve"> (Questionnaire) </w:t>
      </w:r>
      <w:r w:rsidRPr="00471C07">
        <w:rPr>
          <w:rFonts w:ascii="Simplified Arabic" w:eastAsia="Calibri" w:hAnsi="Simplified Arabic" w:cs="Simplified Arabic" w:hint="cs"/>
          <w:kern w:val="2"/>
          <w:sz w:val="28"/>
          <w:szCs w:val="28"/>
          <w:rtl/>
          <w14:ligatures w14:val="standardContextual"/>
        </w:rPr>
        <w:t xml:space="preserve">أداةً رئيسة لجمع البيانات الأولية من أفراد عيّنة الدراسة، وستُصمَّم في ضوء الإطار النظري والدراسات السابقة المستعرضة وفق مقياس ليكرت الخماسي المتدرّج (5 = موافق بشدة، 4 = موافق، 3 = محايد، 2 = غير موافق، 1 = غير موافق بشدة). وستتكوّن الاستبانة من أربعة أقسام رئيسة يبلغ مجموع فقراتها </w:t>
      </w:r>
      <w:r w:rsidRPr="00471C07">
        <w:rPr>
          <w:rFonts w:ascii="Simplified Arabic" w:eastAsia="Calibri" w:hAnsi="Simplified Arabic" w:cs="Simplified Arabic" w:hint="cs"/>
          <w:kern w:val="2"/>
          <w:sz w:val="28"/>
          <w:szCs w:val="28"/>
          <w14:ligatures w14:val="standardContextual"/>
        </w:rPr>
        <w:t xml:space="preserve">42 </w:t>
      </w:r>
      <w:r w:rsidRPr="00471C07">
        <w:rPr>
          <w:rFonts w:ascii="Simplified Arabic" w:eastAsia="Calibri" w:hAnsi="Simplified Arabic" w:cs="Simplified Arabic" w:hint="cs"/>
          <w:kern w:val="2"/>
          <w:sz w:val="28"/>
          <w:szCs w:val="28"/>
          <w:rtl/>
          <w14:ligatures w14:val="standardContextual"/>
        </w:rPr>
        <w:t>فقرة موزّعة على النحو التالي</w:t>
      </w:r>
      <w:r w:rsidRPr="00471C07">
        <w:rPr>
          <w:rFonts w:ascii="Simplified Arabic" w:eastAsia="Calibri" w:hAnsi="Simplified Arabic" w:cs="Simplified Arabic" w:hint="cs"/>
          <w:kern w:val="2"/>
          <w:sz w:val="28"/>
          <w:szCs w:val="28"/>
          <w14:ligatures w14:val="standardContextual"/>
        </w:rPr>
        <w:t>:</w:t>
      </w:r>
    </w:p>
    <w:p w14:paraId="0CD9BFBB"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الأول: البيانات الديموغرافية والوظيفية</w:t>
      </w:r>
      <w:r w:rsidRPr="00471C07">
        <w:rPr>
          <w:rFonts w:ascii="Simplified Arabic" w:eastAsia="Calibri" w:hAnsi="Simplified Arabic" w:cs="Simplified Arabic" w:hint="cs"/>
          <w:kern w:val="2"/>
          <w:sz w:val="28"/>
          <w:szCs w:val="28"/>
          <w:rtl/>
          <w14:ligatures w14:val="standardContextual"/>
        </w:rPr>
        <w:t xml:space="preserve"> ويتضمّن خمسة متغيّرات هي الجنس والعمر والمؤهل العلمي وسنوات الخبرة والمستوى الإداري، وذلك لوصف خصائص عيّنة الدراسة وفحص الفروق الإحصائية وفقاً لهذه المتغيّرات</w:t>
      </w:r>
      <w:r w:rsidRPr="00471C07">
        <w:rPr>
          <w:rFonts w:ascii="Simplified Arabic" w:eastAsia="Calibri" w:hAnsi="Simplified Arabic" w:cs="Simplified Arabic" w:hint="cs"/>
          <w:kern w:val="2"/>
          <w:sz w:val="28"/>
          <w:szCs w:val="28"/>
          <w14:ligatures w14:val="standardContextual"/>
        </w:rPr>
        <w:t>.</w:t>
      </w:r>
    </w:p>
    <w:p w14:paraId="189D2DCC"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الثاني: القيادة التحويلية (المتغيّر المستقل الأول)</w:t>
      </w:r>
      <w:r w:rsidRPr="00471C07">
        <w:rPr>
          <w:rFonts w:ascii="Simplified Arabic" w:eastAsia="Calibri" w:hAnsi="Simplified Arabic" w:cs="Simplified Arabic" w:hint="cs"/>
          <w:kern w:val="2"/>
          <w:sz w:val="28"/>
          <w:szCs w:val="28"/>
          <w:rtl/>
          <w14:ligatures w14:val="standardContextual"/>
        </w:rPr>
        <w:t xml:space="preserve"> ويتكوّن من 16 فقرة موزّعة بالتساوي على أربعة أبعاد: بُعد التأثير المثالي (4 فقرات) يقيس مدى قدرة القائد على كسب ثقة المرؤوسين واحترامهم وتقديم نموذج قدوة يُحتذى به، وبُعد الاستثارة الفكرية (4 فقرات) يقيس مدى تشجيع القائد للمرؤوسين على التفكير الإبداعي والابتكاري وطرح الحلول الجديدة للمشكلات، وبُعد الدافعية الإلهامية (4 فقرات) يقيس مدى قدرة القائد على إلهام المرؤوسين وتحفيزهم من خلال رؤية واضحة وتوقّعات عالية ورسائل تفاؤلية، وبُعد الاعتبار الفردي (4 فقرات) يقيس مدى اهتمام القائد بالاحتياجات الفردية للمرؤوسين وتوجيههم وتطويرهم بما يتناسب مع قدراتهم وتطلّعاتهم</w:t>
      </w:r>
      <w:r w:rsidRPr="00471C07">
        <w:rPr>
          <w:rFonts w:ascii="Simplified Arabic" w:eastAsia="Calibri" w:hAnsi="Simplified Arabic" w:cs="Simplified Arabic" w:hint="cs"/>
          <w:kern w:val="2"/>
          <w:sz w:val="28"/>
          <w:szCs w:val="28"/>
          <w14:ligatures w14:val="standardContextual"/>
        </w:rPr>
        <w:t>.</w:t>
      </w:r>
    </w:p>
    <w:p w14:paraId="60F29BD0" w14:textId="095B1D0F"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lastRenderedPageBreak/>
        <w:t xml:space="preserve">القسم الثالث: التحوّل الرقمي (المتغيّر </w:t>
      </w:r>
      <w:r w:rsidR="00E95A55" w:rsidRPr="00471C07">
        <w:rPr>
          <w:rFonts w:ascii="Simplified Arabic" w:eastAsia="Calibri" w:hAnsi="Simplified Arabic" w:cs="Simplified Arabic" w:hint="cs"/>
          <w:b/>
          <w:bCs/>
          <w:kern w:val="2"/>
          <w:sz w:val="28"/>
          <w:szCs w:val="28"/>
          <w:rtl/>
          <w14:ligatures w14:val="standardContextual"/>
        </w:rPr>
        <w:t>الوسيط</w:t>
      </w:r>
      <w:r w:rsidRPr="00471C07">
        <w:rPr>
          <w:rFonts w:ascii="Simplified Arabic" w:eastAsia="Calibri" w:hAnsi="Simplified Arabic" w:cs="Simplified Arabic" w:hint="cs"/>
          <w:b/>
          <w:bCs/>
          <w:kern w:val="2"/>
          <w:sz w:val="28"/>
          <w:szCs w:val="28"/>
          <w:rtl/>
          <w14:ligatures w14:val="standardContextual"/>
        </w:rPr>
        <w:t>)</w:t>
      </w:r>
      <w:r w:rsidRPr="00471C07">
        <w:rPr>
          <w:rFonts w:ascii="Simplified Arabic" w:eastAsia="Calibri" w:hAnsi="Simplified Arabic" w:cs="Simplified Arabic" w:hint="cs"/>
          <w:kern w:val="2"/>
          <w:sz w:val="28"/>
          <w:szCs w:val="28"/>
          <w:rtl/>
          <w14:ligatures w14:val="standardContextual"/>
        </w:rPr>
        <w:t xml:space="preserve"> ويتكوّن من 16 فقرة موزّعة بالتساوي على أربعة أبعاد: بُعد البنية التحتية التكنولوجية (4 فقرات) يقيس مدى توافر الأجهزة والشبكات والأنظمة والمنصّات الرقمية اللازمة لتنفيذ العمليات الحكومية، وبُعد الثقافة التنظيمية الرقمية (4 فقرات) يقيس مدى تبنّي المنظمة لقيم واتجاهات داعمة للتحوّل الرقمي وتقبّل التغيير التقني لدى العاملين، وبُعد التشريعات والسياسات الرقمية (4 فقرات) يقيس مدى وضوح الأطر التنظيمية والقانونية والسياسات المنظّمة للتحوّل الرقمي وحوكمة البيانات وأمن المعلومات، وبُعد الموارد البشرية الرقمية (4 فقرات) يقيس مدى توافر الكفاءات البشرية المؤهّلة رقمياً وبرامج التدريب والتأهيل الرقمي للعاملين</w:t>
      </w:r>
      <w:r w:rsidRPr="00471C07">
        <w:rPr>
          <w:rFonts w:ascii="Simplified Arabic" w:eastAsia="Calibri" w:hAnsi="Simplified Arabic" w:cs="Simplified Arabic" w:hint="cs"/>
          <w:kern w:val="2"/>
          <w:sz w:val="28"/>
          <w:szCs w:val="28"/>
          <w14:ligatures w14:val="standardContextual"/>
        </w:rPr>
        <w:t>.</w:t>
      </w:r>
    </w:p>
    <w:p w14:paraId="565056F3"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b/>
          <w:bCs/>
          <w:kern w:val="2"/>
          <w:sz w:val="28"/>
          <w:szCs w:val="28"/>
          <w:rtl/>
          <w14:ligatures w14:val="standardContextual"/>
        </w:rPr>
        <w:t>القسم الرابع: الأداء الوظيفي (المتغيّر التابع)</w:t>
      </w:r>
      <w:r w:rsidRPr="00471C07">
        <w:rPr>
          <w:rFonts w:ascii="Simplified Arabic" w:eastAsia="Calibri" w:hAnsi="Simplified Arabic" w:cs="Simplified Arabic" w:hint="cs"/>
          <w:kern w:val="2"/>
          <w:sz w:val="28"/>
          <w:szCs w:val="28"/>
          <w:rtl/>
          <w14:ligatures w14:val="standardContextual"/>
        </w:rPr>
        <w:t xml:space="preserve"> 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 في أداء مسؤولياته الوظيفية</w:t>
      </w:r>
      <w:r w:rsidRPr="00471C07">
        <w:rPr>
          <w:rFonts w:ascii="Simplified Arabic" w:eastAsia="Calibri" w:hAnsi="Simplified Arabic" w:cs="Simplified Arabic" w:hint="cs"/>
          <w:kern w:val="2"/>
          <w:sz w:val="28"/>
          <w:szCs w:val="28"/>
          <w14:ligatures w14:val="standardContextual"/>
        </w:rPr>
        <w:t>.</w:t>
      </w:r>
    </w:p>
    <w:p w14:paraId="632480B1" w14:textId="77777777" w:rsidR="00A9195B" w:rsidRPr="00471C07" w:rsidRDefault="00A9195B" w:rsidP="00471C07">
      <w:pPr>
        <w:bidi/>
        <w:spacing w:before="100" w:beforeAutospacing="1" w:after="100" w:afterAutospacing="1" w:line="276" w:lineRule="auto"/>
        <w:jc w:val="both"/>
        <w:rPr>
          <w:rFonts w:ascii="Simplified Arabic" w:eastAsia="Calibri" w:hAnsi="Simplified Arabic" w:cs="Simplified Arabic"/>
          <w:kern w:val="2"/>
          <w:sz w:val="28"/>
          <w:szCs w:val="28"/>
          <w14:ligatures w14:val="standardContextual"/>
        </w:rPr>
      </w:pPr>
      <w:r w:rsidRPr="00471C07">
        <w:rPr>
          <w:rFonts w:ascii="Simplified Arabic" w:eastAsia="Calibri" w:hAnsi="Simplified Arabic" w:cs="Simplified Arabic" w:hint="cs"/>
          <w:kern w:val="2"/>
          <w:sz w:val="28"/>
          <w:szCs w:val="28"/>
          <w:rtl/>
          <w14:ligatures w14:val="standardContextual"/>
        </w:rPr>
        <w:t>وللتحقّق من صدق الأداة ستُعرض الاستبانة على مجموعة من المحكّمين المتخصّصين في الإدارة والقيادة ومناهج البحث العلمي من أعضاء هيئة التدريس في الجامعات السعودية، وذلك للتأكد من صدقها الظاهري وصدق المحتوى ووضوح الصياغة اللغوية وملاءمة الفقرات للأبعاد التي تقيسها</w:t>
      </w:r>
      <w:r w:rsidRPr="00471C07">
        <w:rPr>
          <w:rFonts w:ascii="Simplified Arabic" w:eastAsia="Calibri" w:hAnsi="Simplified Arabic" w:cs="Simplified Arabic" w:hint="cs"/>
          <w:kern w:val="2"/>
          <w:sz w:val="28"/>
          <w:szCs w:val="28"/>
          <w14:ligatures w14:val="standardContextual"/>
        </w:rPr>
        <w:t xml:space="preserve">. </w:t>
      </w:r>
      <w:r w:rsidRPr="00471C07">
        <w:rPr>
          <w:rFonts w:ascii="Simplified Arabic" w:eastAsia="Calibri" w:hAnsi="Simplified Arabic" w:cs="Simplified Arabic" w:hint="cs"/>
          <w:kern w:val="2"/>
          <w:sz w:val="28"/>
          <w:szCs w:val="28"/>
          <w:rtl/>
          <w14:ligatures w14:val="standardContextual"/>
        </w:rPr>
        <w:t>كما سيُجرى اختبار تجريبي</w:t>
      </w:r>
      <w:r w:rsidRPr="00471C07">
        <w:rPr>
          <w:rFonts w:ascii="Simplified Arabic" w:eastAsia="Calibri" w:hAnsi="Simplified Arabic" w:cs="Simplified Arabic" w:hint="cs"/>
          <w:kern w:val="2"/>
          <w:sz w:val="28"/>
          <w:szCs w:val="28"/>
          <w14:ligatures w14:val="standardContextual"/>
        </w:rPr>
        <w:t xml:space="preserve"> (Pilot Study) </w:t>
      </w:r>
      <w:r w:rsidRPr="00471C07">
        <w:rPr>
          <w:rFonts w:ascii="Simplified Arabic" w:eastAsia="Calibri" w:hAnsi="Simplified Arabic" w:cs="Simplified Arabic" w:hint="cs"/>
          <w:kern w:val="2"/>
          <w:sz w:val="28"/>
          <w:szCs w:val="28"/>
          <w:rtl/>
          <w14:ligatures w14:val="standardContextual"/>
        </w:rPr>
        <w:t xml:space="preserve">على عيّنة استطلاعية لا تقلّ عن </w:t>
      </w:r>
      <w:r w:rsidRPr="00471C07">
        <w:rPr>
          <w:rFonts w:ascii="Simplified Arabic" w:eastAsia="Calibri" w:hAnsi="Simplified Arabic" w:cs="Simplified Arabic" w:hint="cs"/>
          <w:kern w:val="2"/>
          <w:sz w:val="28"/>
          <w:szCs w:val="28"/>
          <w14:ligatures w14:val="standardContextual"/>
        </w:rPr>
        <w:t xml:space="preserve">30 </w:t>
      </w:r>
      <w:r w:rsidRPr="00471C07">
        <w:rPr>
          <w:rFonts w:ascii="Simplified Arabic" w:eastAsia="Calibri" w:hAnsi="Simplified Arabic" w:cs="Simplified Arabic" w:hint="cs"/>
          <w:kern w:val="2"/>
          <w:sz w:val="28"/>
          <w:szCs w:val="28"/>
          <w:rtl/>
          <w14:ligatures w14:val="standardContextual"/>
        </w:rPr>
        <w:t xml:space="preserve">مفردة من خارج عيّنة الدراسة النهائية لحساب معامل ألفا كرونباخ </w:t>
      </w:r>
      <w:r w:rsidRPr="00471C07">
        <w:rPr>
          <w:rFonts w:ascii="Simplified Arabic" w:eastAsia="Calibri" w:hAnsi="Simplified Arabic" w:cs="Simplified Arabic" w:hint="cs"/>
          <w:kern w:val="2"/>
          <w:sz w:val="28"/>
          <w:szCs w:val="28"/>
          <w14:ligatures w14:val="standardContextual"/>
        </w:rPr>
        <w:t xml:space="preserve">(Cronbach's Alpha) </w:t>
      </w:r>
      <w:r w:rsidRPr="00471C07">
        <w:rPr>
          <w:rFonts w:ascii="Simplified Arabic" w:eastAsia="Calibri" w:hAnsi="Simplified Arabic" w:cs="Simplified Arabic" w:hint="cs"/>
          <w:kern w:val="2"/>
          <w:sz w:val="28"/>
          <w:szCs w:val="28"/>
          <w:rtl/>
          <w14:ligatures w14:val="standardContextual"/>
        </w:rPr>
        <w:t>والتأكد من ثبات الأداة واتّساقها الداخلي، إذ تُعدّ القيمة التي تزيد عن 0.70 مقبولة للأغراض البحثية وفقاً للمعايير الإحصائية المعتمدة</w:t>
      </w:r>
      <w:r w:rsidRPr="00471C07">
        <w:rPr>
          <w:rFonts w:ascii="Simplified Arabic" w:eastAsia="Calibri" w:hAnsi="Simplified Arabic" w:cs="Simplified Arabic" w:hint="cs"/>
          <w:kern w:val="2"/>
          <w:sz w:val="28"/>
          <w:szCs w:val="28"/>
          <w14:ligatures w14:val="standardContextual"/>
        </w:rPr>
        <w:t>.</w:t>
      </w:r>
    </w:p>
    <w:p w14:paraId="7C352C79" w14:textId="674DA749" w:rsidR="00752353" w:rsidRPr="00471C07" w:rsidRDefault="00B702FA" w:rsidP="00471C07">
      <w:pPr>
        <w:bidi/>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471C07">
        <w:rPr>
          <w:rFonts w:ascii="Simplified Arabic" w:hAnsi="Simplified Arabic" w:cs="Simplified Arabic" w:hint="cs"/>
          <w:b/>
          <w:bCs/>
          <w:color w:val="000000" w:themeColor="text1"/>
          <w:sz w:val="28"/>
          <w:szCs w:val="28"/>
          <w:rtl/>
        </w:rPr>
        <w:t>1</w:t>
      </w:r>
      <w:r w:rsidR="00693D5F" w:rsidRPr="00471C07">
        <w:rPr>
          <w:rFonts w:ascii="Simplified Arabic" w:hAnsi="Simplified Arabic" w:cs="Simplified Arabic" w:hint="cs"/>
          <w:b/>
          <w:bCs/>
          <w:color w:val="000000" w:themeColor="text1"/>
          <w:sz w:val="28"/>
          <w:szCs w:val="28"/>
          <w:rtl/>
        </w:rPr>
        <w:t>5</w:t>
      </w:r>
      <w:r w:rsidRPr="00471C07">
        <w:rPr>
          <w:rFonts w:ascii="Simplified Arabic" w:hAnsi="Simplified Arabic" w:cs="Simplified Arabic" w:hint="cs"/>
          <w:b/>
          <w:bCs/>
          <w:color w:val="000000" w:themeColor="text1"/>
          <w:sz w:val="28"/>
          <w:szCs w:val="28"/>
          <w:rtl/>
        </w:rPr>
        <w:t xml:space="preserve">,1 </w:t>
      </w:r>
      <w:r w:rsidR="00752353" w:rsidRPr="00471C07">
        <w:rPr>
          <w:rFonts w:ascii="Simplified Arabic" w:hAnsi="Simplified Arabic" w:cs="Simplified Arabic" w:hint="cs"/>
          <w:b/>
          <w:bCs/>
          <w:color w:val="000000" w:themeColor="text1"/>
          <w:sz w:val="28"/>
          <w:szCs w:val="28"/>
          <w:rtl/>
        </w:rPr>
        <w:t>المعالجات الإحصائية  المقترحة:</w:t>
      </w:r>
    </w:p>
    <w:p w14:paraId="1EF8079C"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1  </w:t>
      </w:r>
      <w:r w:rsidRPr="00471C07">
        <w:rPr>
          <w:rFonts w:ascii="Simplified Arabic" w:eastAsia="Calibri" w:hAnsi="Simplified Arabic" w:cs="Simplified Arabic" w:hint="cs"/>
          <w:b/>
          <w:bCs/>
          <w:color w:val="000000" w:themeColor="text1"/>
          <w:kern w:val="2"/>
          <w:sz w:val="28"/>
          <w:szCs w:val="28"/>
          <w:rtl/>
          <w:lang w:bidi="ar-EG"/>
          <w14:ligatures w14:val="standardContextual"/>
        </w:rPr>
        <w:t xml:space="preserve"> الأساليب الإحصائية المستخدمة</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p>
    <w:p w14:paraId="2C48A3A5"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471C07">
        <w:rPr>
          <w:rFonts w:ascii="Simplified Arabic" w:eastAsia="Calibri" w:hAnsi="Simplified Arabic" w:cs="Simplified Arabic" w:hint="cs"/>
          <w:color w:val="000000" w:themeColor="text1"/>
          <w:kern w:val="2"/>
          <w:sz w:val="28"/>
          <w:szCs w:val="28"/>
          <w14:ligatures w14:val="standardContextual"/>
        </w:rPr>
        <w:t>SPSS</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lastRenderedPageBreak/>
        <w:t>أساليب الإحصاء الوصفي</w:t>
      </w:r>
      <w:r w:rsidRPr="00471C07">
        <w:rPr>
          <w:rFonts w:ascii="Simplified Arabic" w:eastAsia="Calibri" w:hAnsi="Simplified Arabic" w:cs="Simplified Arabic" w:hint="cs"/>
          <w:color w:val="000000" w:themeColor="text1"/>
          <w:kern w:val="2"/>
          <w:sz w:val="28"/>
          <w:szCs w:val="28"/>
          <w14:ligatures w14:val="standardContextual"/>
        </w:rPr>
        <w:t xml:space="preserve"> Descriptive Statistic Measures: </w:t>
      </w:r>
      <w:r w:rsidRPr="00471C07">
        <w:rPr>
          <w:rFonts w:ascii="Simplified Arabic" w:eastAsia="Calibri" w:hAnsi="Simplified Arabic" w:cs="Simplified Arabic" w:hint="cs"/>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471C07">
        <w:rPr>
          <w:rFonts w:ascii="Simplified Arabic" w:eastAsia="Calibri" w:hAnsi="Simplified Arabic" w:cs="Simplified Arabic" w:hint="cs"/>
          <w:color w:val="000000" w:themeColor="text1"/>
          <w:kern w:val="2"/>
          <w:sz w:val="28"/>
          <w:szCs w:val="28"/>
          <w14:ligatures w14:val="standardContextual"/>
        </w:rPr>
        <w:t>:</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التكرارات: لوصف الخصائص الشخصية والوظيفية للمديرين عينة الدراسة</w:t>
      </w:r>
    </w:p>
    <w:p w14:paraId="0C336127"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471C07">
        <w:rPr>
          <w:rFonts w:ascii="Simplified Arabic" w:eastAsia="Calibri" w:hAnsi="Simplified Arabic" w:cs="Simplified Arabic" w:hint="cs"/>
          <w:color w:val="000000" w:themeColor="text1"/>
          <w:kern w:val="2"/>
          <w:sz w:val="28"/>
          <w:szCs w:val="28"/>
          <w14:ligatures w14:val="standardContextual"/>
        </w:rPr>
        <w:t>.</w:t>
      </w:r>
    </w:p>
    <w:p w14:paraId="2A22D396"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471C07">
        <w:rPr>
          <w:rFonts w:ascii="Simplified Arabic" w:eastAsia="Calibri" w:hAnsi="Simplified Arabic" w:cs="Simplified Arabic" w:hint="cs"/>
          <w:color w:val="000000" w:themeColor="text1"/>
          <w:kern w:val="2"/>
          <w:sz w:val="28"/>
          <w:szCs w:val="28"/>
          <w14:ligatures w14:val="standardContextual"/>
        </w:rPr>
        <w:t>.</w:t>
      </w:r>
    </w:p>
    <w:p w14:paraId="151BE0BC"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471C07" w:rsidRDefault="00752353" w:rsidP="00471C07">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p>
    <w:p w14:paraId="5320CC6D"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ثانيا: الإحصاء التحليلي</w:t>
      </w:r>
      <w:r w:rsidRPr="00471C07">
        <w:rPr>
          <w:rFonts w:ascii="Simplified Arabic" w:eastAsia="Calibri" w:hAnsi="Simplified Arabic" w:cs="Simplified Arabic" w:hint="cs"/>
          <w:color w:val="000000" w:themeColor="text1"/>
          <w:kern w:val="2"/>
          <w:sz w:val="28"/>
          <w:szCs w:val="28"/>
          <w14:ligatures w14:val="standardContextual"/>
        </w:rPr>
        <w:t>:</w:t>
      </w:r>
    </w:p>
    <w:p w14:paraId="2C4F5448" w14:textId="77777777" w:rsidR="00752353" w:rsidRPr="00471C07" w:rsidRDefault="00752353"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معامل الاتساق الداخلي رونباخ ألفا </w:t>
      </w:r>
      <w:r w:rsidRPr="00471C07">
        <w:rPr>
          <w:rFonts w:ascii="Simplified Arabic" w:eastAsia="Calibri" w:hAnsi="Simplified Arabic" w:cs="Simplified Arabic" w:hint="cs"/>
          <w:color w:val="000000" w:themeColor="text1"/>
          <w:kern w:val="2"/>
          <w:sz w:val="28"/>
          <w:szCs w:val="28"/>
          <w14:ligatures w14:val="standardContextual"/>
        </w:rPr>
        <w:t>Cronbach's Alpha</w:t>
      </w:r>
      <w:r w:rsidRPr="00471C07">
        <w:rPr>
          <w:rFonts w:ascii="Simplified Arabic" w:eastAsia="Calibri" w:hAnsi="Simplified Arabic" w:cs="Simplified Arabic" w:hint="cs"/>
          <w:color w:val="000000" w:themeColor="text1"/>
          <w:kern w:val="2"/>
          <w:sz w:val="28"/>
          <w:szCs w:val="28"/>
          <w:rtl/>
          <w:lang w:bidi="ar-EG"/>
          <w14:ligatures w14:val="standardContextual"/>
        </w:rPr>
        <w:t>)</w:t>
      </w:r>
      <w:r w:rsidRPr="00471C07">
        <w:rPr>
          <w:rFonts w:ascii="Simplified Arabic" w:eastAsia="Calibri" w:hAnsi="Simplified Arabic" w:cs="Simplified Arabic" w:hint="cs"/>
          <w:color w:val="000000" w:themeColor="text1"/>
          <w:kern w:val="2"/>
          <w:sz w:val="28"/>
          <w:szCs w:val="28"/>
          <w:rtl/>
          <w14:ligatures w14:val="standardContextual"/>
        </w:rPr>
        <w:t xml:space="preserve"> </w:t>
      </w:r>
      <w:r w:rsidRPr="00471C07">
        <w:rPr>
          <w:rFonts w:ascii="Simplified Arabic" w:eastAsia="Calibri" w:hAnsi="Simplified Arabic" w:cs="Simplified Arabic" w:hint="cs"/>
          <w:color w:val="000000" w:themeColor="text1"/>
          <w:kern w:val="2"/>
          <w:sz w:val="28"/>
          <w:szCs w:val="28"/>
          <w:rtl/>
          <w:lang w:bidi="ar-EG"/>
          <w14:ligatures w14:val="standardContextual"/>
        </w:rPr>
        <w:t>لحساب مستوي ثبات أداة الدراسة.</w:t>
      </w:r>
    </w:p>
    <w:p w14:paraId="7A610A18" w14:textId="77777777" w:rsidR="00752353" w:rsidRPr="00471C07" w:rsidRDefault="00752353"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1A1A03C6"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الانحدار المتعدد (</w:t>
      </w:r>
      <w:r w:rsidRPr="00471C07">
        <w:rPr>
          <w:rFonts w:ascii="Simplified Arabic" w:eastAsia="Calibri" w:hAnsi="Simplified Arabic" w:cs="Simplified Arabic" w:hint="cs"/>
          <w:color w:val="000000" w:themeColor="text1"/>
          <w:kern w:val="2"/>
          <w:sz w:val="28"/>
          <w:szCs w:val="28"/>
          <w:lang w:bidi="ar-EG"/>
          <w14:ligatures w14:val="standardContextual"/>
        </w:rPr>
        <w:t>Multiple Regression Analysis</w:t>
      </w:r>
      <w:r w:rsidRPr="00471C07">
        <w:rPr>
          <w:rFonts w:ascii="Simplified Arabic" w:eastAsia="Calibri" w:hAnsi="Simplified Arabic" w:cs="Simplified Arabic" w:hint="cs"/>
          <w:color w:val="000000" w:themeColor="text1"/>
          <w:kern w:val="2"/>
          <w:sz w:val="28"/>
          <w:szCs w:val="28"/>
          <w:rtl/>
          <w:lang w:bidi="ar-EG"/>
          <w14:ligatures w14:val="standardContextual"/>
        </w:rPr>
        <w:t>): لاختبار أثر أبعاد القيادة التحويلية الأربعة وأبعاد التحول الرقمي الأربعة مجتمعةً على الأداء الوظيفي، وتحديد نسبة التباين المُفسَّر (</w:t>
      </w:r>
      <w:r w:rsidRPr="00471C07">
        <w:rPr>
          <w:rFonts w:ascii="Simplified Arabic" w:eastAsia="Calibri" w:hAnsi="Simplified Arabic" w:cs="Simplified Arabic" w:hint="cs"/>
          <w:color w:val="000000" w:themeColor="text1"/>
          <w:kern w:val="2"/>
          <w:sz w:val="28"/>
          <w:szCs w:val="28"/>
          <w:lang w:bidi="ar-EG"/>
          <w14:ligatures w14:val="standardContextual"/>
        </w:rPr>
        <w:t>R²</w:t>
      </w:r>
      <w:r w:rsidRPr="00471C07">
        <w:rPr>
          <w:rFonts w:ascii="Simplified Arabic" w:eastAsia="Calibri" w:hAnsi="Simplified Arabic" w:cs="Simplified Arabic" w:hint="cs"/>
          <w:color w:val="000000" w:themeColor="text1"/>
          <w:kern w:val="2"/>
          <w:sz w:val="28"/>
          <w:szCs w:val="28"/>
          <w:rtl/>
          <w:lang w:bidi="ar-EG"/>
          <w14:ligatures w14:val="standardContextual"/>
        </w:rPr>
        <w:t>) في المتغيّر التابع.</w:t>
      </w:r>
    </w:p>
    <w:p w14:paraId="346F033F"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الانحدار التدريجي (</w:t>
      </w:r>
      <w:r w:rsidRPr="00471C07">
        <w:rPr>
          <w:rFonts w:ascii="Simplified Arabic" w:eastAsia="Calibri" w:hAnsi="Simplified Arabic" w:cs="Simplified Arabic" w:hint="cs"/>
          <w:color w:val="000000" w:themeColor="text1"/>
          <w:kern w:val="2"/>
          <w:sz w:val="28"/>
          <w:szCs w:val="28"/>
          <w:lang w:bidi="ar-EG"/>
          <w14:ligatures w14:val="standardContextual"/>
        </w:rPr>
        <w:t>Stepwise Regression</w:t>
      </w:r>
      <w:r w:rsidRPr="00471C07">
        <w:rPr>
          <w:rFonts w:ascii="Simplified Arabic" w:eastAsia="Calibri" w:hAnsi="Simplified Arabic" w:cs="Simplified Arabic" w:hint="cs"/>
          <w:color w:val="000000" w:themeColor="text1"/>
          <w:kern w:val="2"/>
          <w:sz w:val="28"/>
          <w:szCs w:val="28"/>
          <w:rtl/>
          <w:lang w:bidi="ar-EG"/>
          <w14:ligatures w14:val="standardContextual"/>
        </w:rPr>
        <w:t>): لتحديد الأهمية النسبية لكل بُعد من أبعاد المتغيّرات المستقلة في التنبؤ بالأداء الوظيفي، وترتيبها حسب قوة إسهامها.</w:t>
      </w:r>
    </w:p>
    <w:p w14:paraId="1E86EF47"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اختبار "ت" للعيّنات المستقلة (</w:t>
      </w:r>
      <w:r w:rsidRPr="00471C07">
        <w:rPr>
          <w:rFonts w:ascii="Simplified Arabic" w:eastAsia="Calibri" w:hAnsi="Simplified Arabic" w:cs="Simplified Arabic" w:hint="cs"/>
          <w:color w:val="000000" w:themeColor="text1"/>
          <w:kern w:val="2"/>
          <w:sz w:val="28"/>
          <w:szCs w:val="28"/>
          <w:lang w:bidi="ar-EG"/>
          <w14:ligatures w14:val="standardContextual"/>
        </w:rPr>
        <w:t>Independent Samples T-Test</w:t>
      </w:r>
      <w:r w:rsidRPr="00471C07">
        <w:rPr>
          <w:rFonts w:ascii="Simplified Arabic" w:eastAsia="Calibri" w:hAnsi="Simplified Arabic" w:cs="Simplified Arabic" w:hint="cs"/>
          <w:color w:val="000000" w:themeColor="text1"/>
          <w:kern w:val="2"/>
          <w:sz w:val="28"/>
          <w:szCs w:val="28"/>
          <w:rtl/>
          <w:lang w:bidi="ar-EG"/>
          <w14:ligatures w14:val="standardContextual"/>
        </w:rPr>
        <w:t>): للكشف عن الفروق ذات الدلالة الإحصائية في استجابات أفراد العيّنة تبعًا لمتغيّر الجنس (ذكور / إناث).</w:t>
      </w:r>
    </w:p>
    <w:p w14:paraId="55BFF29C"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تحليل التباين الأحادي (</w:t>
      </w:r>
      <w:r w:rsidRPr="00471C07">
        <w:rPr>
          <w:rFonts w:ascii="Simplified Arabic" w:eastAsia="Calibri" w:hAnsi="Simplified Arabic" w:cs="Simplified Arabic" w:hint="cs"/>
          <w:color w:val="000000" w:themeColor="text1"/>
          <w:kern w:val="2"/>
          <w:sz w:val="28"/>
          <w:szCs w:val="28"/>
          <w:lang w:bidi="ar-EG"/>
          <w14:ligatures w14:val="standardContextual"/>
        </w:rPr>
        <w:t>One-Way ANOVA</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للكشف عن الفروق ذات الدلالة الإحصائية في استجابات أفراد العيّنة وفقًا للمتغيّرات الديموغرافية متعددة الفئات </w:t>
      </w:r>
      <w:r w:rsidRPr="00471C07">
        <w:rPr>
          <w:rFonts w:ascii="Simplified Arabic" w:eastAsia="Calibri" w:hAnsi="Simplified Arabic" w:cs="Simplified Arabic" w:hint="cs"/>
          <w:color w:val="000000" w:themeColor="text1"/>
          <w:kern w:val="2"/>
          <w:sz w:val="28"/>
          <w:szCs w:val="28"/>
          <w:rtl/>
          <w:lang w:bidi="ar-EG"/>
          <w14:ligatures w14:val="standardContextual"/>
        </w:rPr>
        <w:lastRenderedPageBreak/>
        <w:t>(العمر، المؤهل العلمي، سنوات الخبرة، المستوى الإداري)، مع استخدام اختبارات المقارنات البعدية (</w:t>
      </w:r>
      <w:r w:rsidRPr="00471C07">
        <w:rPr>
          <w:rFonts w:ascii="Simplified Arabic" w:eastAsia="Calibri" w:hAnsi="Simplified Arabic" w:cs="Simplified Arabic" w:hint="cs"/>
          <w:color w:val="000000" w:themeColor="text1"/>
          <w:kern w:val="2"/>
          <w:sz w:val="28"/>
          <w:szCs w:val="28"/>
          <w:lang w:bidi="ar-EG"/>
          <w14:ligatures w14:val="standardContextual"/>
        </w:rPr>
        <w:t>Scheffé</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أو </w:t>
      </w:r>
      <w:r w:rsidRPr="00471C07">
        <w:rPr>
          <w:rFonts w:ascii="Simplified Arabic" w:eastAsia="Calibri" w:hAnsi="Simplified Arabic" w:cs="Simplified Arabic" w:hint="cs"/>
          <w:color w:val="000000" w:themeColor="text1"/>
          <w:kern w:val="2"/>
          <w:sz w:val="28"/>
          <w:szCs w:val="28"/>
          <w:lang w:bidi="ar-EG"/>
          <w14:ligatures w14:val="standardContextual"/>
        </w:rPr>
        <w:t>LSD</w:t>
      </w:r>
      <w:r w:rsidRPr="00471C07">
        <w:rPr>
          <w:rFonts w:ascii="Simplified Arabic" w:eastAsia="Calibri" w:hAnsi="Simplified Arabic" w:cs="Simplified Arabic" w:hint="cs"/>
          <w:color w:val="000000" w:themeColor="text1"/>
          <w:kern w:val="2"/>
          <w:sz w:val="28"/>
          <w:szCs w:val="28"/>
          <w:rtl/>
          <w:lang w:bidi="ar-EG"/>
          <w14:ligatures w14:val="standardContextual"/>
        </w:rPr>
        <w:t>) لتحديد مصدر الفروق.</w:t>
      </w:r>
    </w:p>
    <w:p w14:paraId="7160EEF2" w14:textId="77777777" w:rsidR="00A9195B"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lang w:bidi="ar-EG"/>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نمذجة المعادلات الهيكلية (</w:t>
      </w:r>
      <w:r w:rsidRPr="00471C07">
        <w:rPr>
          <w:rFonts w:ascii="Simplified Arabic" w:eastAsia="Calibri" w:hAnsi="Simplified Arabic" w:cs="Simplified Arabic" w:hint="cs"/>
          <w:color w:val="000000" w:themeColor="text1"/>
          <w:kern w:val="2"/>
          <w:sz w:val="28"/>
          <w:szCs w:val="28"/>
          <w:lang w:bidi="ar-EG"/>
          <w14:ligatures w14:val="standardContextual"/>
        </w:rPr>
        <w:t>Structural Equation Modeling – SEM</w:t>
      </w:r>
      <w:r w:rsidRPr="00471C07">
        <w:rPr>
          <w:rFonts w:ascii="Simplified Arabic" w:eastAsia="Calibri" w:hAnsi="Simplified Arabic" w:cs="Simplified Arabic" w:hint="cs"/>
          <w:color w:val="000000" w:themeColor="text1"/>
          <w:kern w:val="2"/>
          <w:sz w:val="28"/>
          <w:szCs w:val="28"/>
          <w:rtl/>
          <w:lang w:bidi="ar-EG"/>
          <w14:ligatures w14:val="standardContextual"/>
        </w:rPr>
        <w:t>): لاختبار النموذج البنائي المقترح للدراسة والتحقق من جودة مطابقته للبيانات الفعلية، وذلك باستخدام مؤشرات حسن المطابقة مثل (</w:t>
      </w:r>
      <w:r w:rsidRPr="00471C07">
        <w:rPr>
          <w:rFonts w:ascii="Simplified Arabic" w:eastAsia="Calibri" w:hAnsi="Simplified Arabic" w:cs="Simplified Arabic" w:hint="cs"/>
          <w:color w:val="000000" w:themeColor="text1"/>
          <w:kern w:val="2"/>
          <w:sz w:val="28"/>
          <w:szCs w:val="28"/>
          <w:lang w:bidi="ar-EG"/>
          <w14:ligatures w14:val="standardContextual"/>
        </w:rPr>
        <w:t>GFI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CFI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NFI</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Simplified Arabic" w:eastAsia="Calibri" w:hAnsi="Simplified Arabic" w:cs="Simplified Arabic" w:hint="cs"/>
          <w:color w:val="000000" w:themeColor="text1"/>
          <w:kern w:val="2"/>
          <w:sz w:val="28"/>
          <w:szCs w:val="28"/>
          <w:lang w:bidi="ar-EG"/>
          <w14:ligatures w14:val="standardContextual"/>
        </w:rPr>
        <w:t>RMSEA</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w:t>
      </w:r>
      <w:r w:rsidRPr="00471C07">
        <w:rPr>
          <w:rFonts w:ascii="Cambria" w:eastAsia="Calibri" w:hAnsi="Cambria" w:cs="Cambria"/>
          <w:color w:val="000000" w:themeColor="text1"/>
          <w:kern w:val="2"/>
          <w:sz w:val="28"/>
          <w:szCs w:val="28"/>
          <w:lang w:bidi="ar-EG"/>
          <w14:ligatures w14:val="standardContextual"/>
        </w:rPr>
        <w:t>χ</w:t>
      </w:r>
      <w:r w:rsidRPr="00471C07">
        <w:rPr>
          <w:rFonts w:ascii="Simplified Arabic" w:eastAsia="Calibri" w:hAnsi="Simplified Arabic" w:cs="Simplified Arabic"/>
          <w:color w:val="000000" w:themeColor="text1"/>
          <w:kern w:val="2"/>
          <w:sz w:val="28"/>
          <w:szCs w:val="28"/>
          <w:lang w:bidi="ar-EG"/>
          <w14:ligatures w14:val="standardContextual"/>
        </w:rPr>
        <w:t>²</w:t>
      </w:r>
      <w:r w:rsidRPr="00471C07">
        <w:rPr>
          <w:rFonts w:ascii="Simplified Arabic" w:eastAsia="Calibri" w:hAnsi="Simplified Arabic" w:cs="Simplified Arabic" w:hint="cs"/>
          <w:color w:val="000000" w:themeColor="text1"/>
          <w:kern w:val="2"/>
          <w:sz w:val="28"/>
          <w:szCs w:val="28"/>
          <w:lang w:bidi="ar-EG"/>
          <w14:ligatures w14:val="standardContextual"/>
        </w:rPr>
        <w:t>/df</w:t>
      </w:r>
      <w:r w:rsidRPr="00471C07">
        <w:rPr>
          <w:rFonts w:ascii="Simplified Arabic" w:eastAsia="Calibri" w:hAnsi="Simplified Arabic" w:cs="Simplified Arabic" w:hint="cs"/>
          <w:color w:val="000000" w:themeColor="text1"/>
          <w:kern w:val="2"/>
          <w:sz w:val="28"/>
          <w:szCs w:val="28"/>
          <w:rtl/>
          <w:lang w:bidi="ar-EG"/>
          <w14:ligatures w14:val="standardContextual"/>
        </w:rPr>
        <w:t>)، وفحص العلاقات السببية المباشرة وغير المباشرة بين المتغيّرات المستقلة والتابعة.</w:t>
      </w:r>
    </w:p>
    <w:p w14:paraId="77CD46E8" w14:textId="71AF305A" w:rsidR="00752353" w:rsidRPr="00471C07" w:rsidRDefault="00A9195B"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lang w:bidi="ar-EG"/>
          <w14:ligatures w14:val="standardContextual"/>
        </w:rPr>
        <w:t>معامل تضخم التباين (</w:t>
      </w:r>
      <w:r w:rsidRPr="00471C07">
        <w:rPr>
          <w:rFonts w:ascii="Simplified Arabic" w:eastAsia="Calibri" w:hAnsi="Simplified Arabic" w:cs="Simplified Arabic" w:hint="cs"/>
          <w:color w:val="000000" w:themeColor="text1"/>
          <w:kern w:val="2"/>
          <w:sz w:val="28"/>
          <w:szCs w:val="28"/>
          <w:lang w:bidi="ar-EG"/>
          <w14:ligatures w14:val="standardContextual"/>
        </w:rPr>
        <w:t>VIF</w:t>
      </w:r>
      <w:r w:rsidRPr="00471C07">
        <w:rPr>
          <w:rFonts w:ascii="Simplified Arabic" w:eastAsia="Calibri" w:hAnsi="Simplified Arabic" w:cs="Simplified Arabic" w:hint="cs"/>
          <w:color w:val="000000" w:themeColor="text1"/>
          <w:kern w:val="2"/>
          <w:sz w:val="28"/>
          <w:szCs w:val="28"/>
          <w:rtl/>
          <w:lang w:bidi="ar-EG"/>
          <w14:ligatures w14:val="standardContextual"/>
        </w:rPr>
        <w:t>) واختبار التحمّل (</w:t>
      </w:r>
      <w:r w:rsidRPr="00471C07">
        <w:rPr>
          <w:rFonts w:ascii="Simplified Arabic" w:eastAsia="Calibri" w:hAnsi="Simplified Arabic" w:cs="Simplified Arabic" w:hint="cs"/>
          <w:color w:val="000000" w:themeColor="text1"/>
          <w:kern w:val="2"/>
          <w:sz w:val="28"/>
          <w:szCs w:val="28"/>
          <w:lang w:bidi="ar-EG"/>
          <w14:ligatures w14:val="standardContextual"/>
        </w:rPr>
        <w:t>Tolerance</w:t>
      </w:r>
      <w:r w:rsidRPr="00471C07">
        <w:rPr>
          <w:rFonts w:ascii="Simplified Arabic" w:eastAsia="Calibri" w:hAnsi="Simplified Arabic" w:cs="Simplified Arabic" w:hint="cs"/>
          <w:color w:val="000000" w:themeColor="text1"/>
          <w:kern w:val="2"/>
          <w:sz w:val="28"/>
          <w:szCs w:val="28"/>
          <w:rtl/>
          <w:lang w:bidi="ar-EG"/>
          <w14:ligatures w14:val="standardContextual"/>
        </w:rPr>
        <w:t>): للتأكد من عدم وجود مشكلة ازدواج خطي (</w:t>
      </w:r>
      <w:r w:rsidRPr="00471C07">
        <w:rPr>
          <w:rFonts w:ascii="Simplified Arabic" w:eastAsia="Calibri" w:hAnsi="Simplified Arabic" w:cs="Simplified Arabic" w:hint="cs"/>
          <w:color w:val="000000" w:themeColor="text1"/>
          <w:kern w:val="2"/>
          <w:sz w:val="28"/>
          <w:szCs w:val="28"/>
          <w:lang w:bidi="ar-EG"/>
          <w14:ligatures w14:val="standardContextual"/>
        </w:rPr>
        <w:t>Multicollinearity</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بين المتغيّرات المستقلة قبل إجراء تحليل الانحدار، حيث تُعدّ القيم مقبولة عندما يكون </w:t>
      </w:r>
      <w:r w:rsidRPr="00471C07">
        <w:rPr>
          <w:rFonts w:ascii="Simplified Arabic" w:eastAsia="Calibri" w:hAnsi="Simplified Arabic" w:cs="Simplified Arabic" w:hint="cs"/>
          <w:color w:val="000000" w:themeColor="text1"/>
          <w:kern w:val="2"/>
          <w:sz w:val="28"/>
          <w:szCs w:val="28"/>
          <w:lang w:bidi="ar-EG"/>
          <w14:ligatures w14:val="standardContextual"/>
        </w:rPr>
        <w:t>VIF</w:t>
      </w:r>
      <w:r w:rsidRPr="00471C07">
        <w:rPr>
          <w:rFonts w:ascii="Simplified Arabic" w:eastAsia="Calibri" w:hAnsi="Simplified Arabic" w:cs="Simplified Arabic" w:hint="cs"/>
          <w:color w:val="000000" w:themeColor="text1"/>
          <w:kern w:val="2"/>
          <w:sz w:val="28"/>
          <w:szCs w:val="28"/>
          <w:rtl/>
          <w:lang w:bidi="ar-EG"/>
          <w14:ligatures w14:val="standardContextual"/>
        </w:rPr>
        <w:t xml:space="preserve"> أقل من 10 ومعامل التحمّل أكبر من 0.10.</w:t>
      </w:r>
      <w:r w:rsidR="00752353" w:rsidRPr="00471C07">
        <w:rPr>
          <w:rFonts w:ascii="Simplified Arabic" w:eastAsia="Calibri" w:hAnsi="Simplified Arabic" w:cs="Simplified Arabic" w:hint="cs"/>
          <w:color w:val="000000" w:themeColor="text1"/>
          <w:kern w:val="2"/>
          <w:sz w:val="28"/>
          <w:szCs w:val="28"/>
          <w:rtl/>
          <w:lang w:bidi="ar-EG"/>
          <w14:ligatures w14:val="standardContextual"/>
        </w:rPr>
        <w:t>.</w:t>
      </w:r>
    </w:p>
    <w:p w14:paraId="65191E30" w14:textId="6AB4CDD6" w:rsidR="00E95A55" w:rsidRPr="00471C07" w:rsidRDefault="00E95A55" w:rsidP="00471C07">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b/>
          <w:bCs/>
          <w:color w:val="000000" w:themeColor="text1"/>
          <w:kern w:val="2"/>
          <w:sz w:val="28"/>
          <w:szCs w:val="28"/>
          <w:rtl/>
          <w14:ligatures w14:val="standardContextual"/>
        </w:rPr>
        <w:t>تحليل المسار</w:t>
      </w:r>
      <w:r w:rsidRPr="00471C07">
        <w:rPr>
          <w:rFonts w:ascii="Simplified Arabic" w:eastAsia="Calibri" w:hAnsi="Simplified Arabic" w:cs="Simplified Arabic" w:hint="cs"/>
          <w:b/>
          <w:bCs/>
          <w:color w:val="000000" w:themeColor="text1"/>
          <w:kern w:val="2"/>
          <w:sz w:val="28"/>
          <w:szCs w:val="28"/>
          <w14:ligatures w14:val="standardContextual"/>
        </w:rPr>
        <w:t xml:space="preserve"> (Path Analysis)</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عبر نمذجة المعادلات الهيكلية</w:t>
      </w:r>
      <w:r w:rsidRPr="00471C07">
        <w:rPr>
          <w:rFonts w:ascii="Simplified Arabic" w:eastAsia="Calibri" w:hAnsi="Simplified Arabic" w:cs="Simplified Arabic" w:hint="cs"/>
          <w:color w:val="000000" w:themeColor="text1"/>
          <w:kern w:val="2"/>
          <w:sz w:val="28"/>
          <w:szCs w:val="28"/>
          <w14:ligatures w14:val="standardContextual"/>
        </w:rPr>
        <w:t xml:space="preserve"> (SEM) </w:t>
      </w:r>
      <w:r w:rsidRPr="00471C07">
        <w:rPr>
          <w:rFonts w:ascii="Simplified Arabic" w:eastAsia="Calibri" w:hAnsi="Simplified Arabic" w:cs="Simplified Arabic" w:hint="cs"/>
          <w:color w:val="000000" w:themeColor="text1"/>
          <w:kern w:val="2"/>
          <w:sz w:val="28"/>
          <w:szCs w:val="28"/>
          <w:rtl/>
          <w14:ligatures w14:val="standardContextual"/>
        </w:rPr>
        <w:t>باستخدام</w:t>
      </w:r>
      <w:r w:rsidRPr="00471C07">
        <w:rPr>
          <w:rFonts w:ascii="Simplified Arabic" w:eastAsia="Calibri" w:hAnsi="Simplified Arabic" w:cs="Simplified Arabic" w:hint="cs"/>
          <w:color w:val="000000" w:themeColor="text1"/>
          <w:kern w:val="2"/>
          <w:sz w:val="28"/>
          <w:szCs w:val="28"/>
          <w14:ligatures w14:val="standardContextual"/>
        </w:rPr>
        <w:t xml:space="preserve"> AMOS </w:t>
      </w:r>
      <w:r w:rsidRPr="00471C07">
        <w:rPr>
          <w:rFonts w:ascii="Simplified Arabic" w:eastAsia="Calibri" w:hAnsi="Simplified Arabic" w:cs="Simplified Arabic" w:hint="cs"/>
          <w:color w:val="000000" w:themeColor="text1"/>
          <w:kern w:val="2"/>
          <w:sz w:val="28"/>
          <w:szCs w:val="28"/>
          <w:rtl/>
          <w14:ligatures w14:val="standardContextual"/>
        </w:rPr>
        <w:t>لاختبار الأثر المباشر وغير المباشر</w:t>
      </w:r>
      <w:r w:rsidRPr="00471C07">
        <w:rPr>
          <w:rFonts w:ascii="Simplified Arabic" w:eastAsia="Calibri" w:hAnsi="Simplified Arabic" w:cs="Simplified Arabic" w:hint="cs"/>
          <w:color w:val="000000" w:themeColor="text1"/>
          <w:kern w:val="2"/>
          <w:sz w:val="28"/>
          <w:szCs w:val="28"/>
          <w14:ligatures w14:val="standardContextual"/>
        </w:rPr>
        <w:t>.</w:t>
      </w:r>
    </w:p>
    <w:p w14:paraId="6AC6F6B9" w14:textId="77777777" w:rsidR="00693D5F" w:rsidRPr="00471C07" w:rsidRDefault="00693D5F" w:rsidP="00471C07">
      <w:pPr>
        <w:bidi/>
        <w:spacing w:before="100" w:beforeAutospacing="1" w:after="100" w:afterAutospacing="1" w:line="276" w:lineRule="auto"/>
        <w:ind w:left="1494"/>
        <w:jc w:val="both"/>
        <w:rPr>
          <w:rFonts w:ascii="Simplified Arabic" w:eastAsia="Calibri" w:hAnsi="Simplified Arabic" w:cs="Simplified Arabic"/>
          <w:color w:val="000000" w:themeColor="text1"/>
          <w:kern w:val="2"/>
          <w:sz w:val="28"/>
          <w:szCs w:val="28"/>
          <w14:ligatures w14:val="standardContextual"/>
        </w:rPr>
      </w:pPr>
    </w:p>
    <w:p w14:paraId="79222F58" w14:textId="141570AA" w:rsidR="00752353" w:rsidRPr="00471C07" w:rsidRDefault="00B702FA" w:rsidP="00471C07">
      <w:pPr>
        <w:bidi/>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471C07">
        <w:rPr>
          <w:rFonts w:ascii="Simplified Arabic" w:hAnsi="Simplified Arabic" w:cs="Simplified Arabic" w:hint="cs"/>
          <w:b/>
          <w:bCs/>
          <w:color w:val="000000" w:themeColor="text1"/>
          <w:sz w:val="28"/>
          <w:szCs w:val="28"/>
          <w:rtl/>
        </w:rPr>
        <w:t>1</w:t>
      </w:r>
      <w:r w:rsidR="00693D5F" w:rsidRPr="00471C07">
        <w:rPr>
          <w:rFonts w:ascii="Simplified Arabic" w:hAnsi="Simplified Arabic" w:cs="Simplified Arabic" w:hint="cs"/>
          <w:b/>
          <w:bCs/>
          <w:color w:val="000000" w:themeColor="text1"/>
          <w:sz w:val="28"/>
          <w:szCs w:val="28"/>
          <w:rtl/>
        </w:rPr>
        <w:t>6</w:t>
      </w:r>
      <w:r w:rsidRPr="00471C07">
        <w:rPr>
          <w:rFonts w:ascii="Simplified Arabic" w:hAnsi="Simplified Arabic" w:cs="Simplified Arabic" w:hint="cs"/>
          <w:b/>
          <w:bCs/>
          <w:color w:val="000000" w:themeColor="text1"/>
          <w:sz w:val="28"/>
          <w:szCs w:val="28"/>
          <w:rtl/>
        </w:rPr>
        <w:t xml:space="preserve">,1 </w:t>
      </w:r>
      <w:r w:rsidR="00752353" w:rsidRPr="00471C07">
        <w:rPr>
          <w:rFonts w:ascii="Simplified Arabic" w:hAnsi="Simplified Arabic" w:cs="Simplified Arabic" w:hint="cs"/>
          <w:b/>
          <w:bCs/>
          <w:color w:val="000000" w:themeColor="text1"/>
          <w:sz w:val="28"/>
          <w:szCs w:val="28"/>
          <w:rtl/>
        </w:rPr>
        <w:t>حدود الدراسة: (</w:t>
      </w:r>
      <w:r w:rsidR="0015003F" w:rsidRPr="00471C07">
        <w:rPr>
          <w:rFonts w:ascii="Simplified Arabic" w:hAnsi="Simplified Arabic" w:cs="Simplified Arabic" w:hint="cs"/>
          <w:b/>
          <w:bCs/>
          <w:color w:val="000000" w:themeColor="text1"/>
          <w:sz w:val="28"/>
          <w:szCs w:val="28"/>
          <w:rtl/>
        </w:rPr>
        <w:t>المكانية،</w:t>
      </w:r>
      <w:r w:rsidR="00752353" w:rsidRPr="00471C07">
        <w:rPr>
          <w:rFonts w:ascii="Simplified Arabic" w:hAnsi="Simplified Arabic" w:cs="Simplified Arabic" w:hint="cs"/>
          <w:b/>
          <w:bCs/>
          <w:color w:val="000000" w:themeColor="text1"/>
          <w:sz w:val="28"/>
          <w:szCs w:val="28"/>
          <w:rtl/>
        </w:rPr>
        <w:t xml:space="preserve"> </w:t>
      </w:r>
      <w:r w:rsidR="0015003F" w:rsidRPr="00471C07">
        <w:rPr>
          <w:rFonts w:ascii="Simplified Arabic" w:hAnsi="Simplified Arabic" w:cs="Simplified Arabic" w:hint="cs"/>
          <w:b/>
          <w:bCs/>
          <w:color w:val="000000" w:themeColor="text1"/>
          <w:sz w:val="28"/>
          <w:szCs w:val="28"/>
          <w:rtl/>
        </w:rPr>
        <w:t>الزمانية،</w:t>
      </w:r>
      <w:r w:rsidR="00752353" w:rsidRPr="00471C07">
        <w:rPr>
          <w:rFonts w:ascii="Simplified Arabic" w:hAnsi="Simplified Arabic" w:cs="Simplified Arabic" w:hint="cs"/>
          <w:b/>
          <w:bCs/>
          <w:color w:val="000000" w:themeColor="text1"/>
          <w:sz w:val="28"/>
          <w:szCs w:val="28"/>
          <w:rtl/>
        </w:rPr>
        <w:t xml:space="preserve"> البشرية)</w:t>
      </w:r>
    </w:p>
    <w:p w14:paraId="3C234E9A" w14:textId="77FD5BC3"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الموضوعية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ستقتصر هذه الدراسة على دراسة أثر القيادة التحويلية بأبعادها الأربعة (التأثير المثالي، الاستثارة الفكرية، الدافعية الإلهامية، الاعتبار الفردي) على الأداء الوظيف</w:t>
      </w:r>
      <w:r w:rsidR="00E95A55" w:rsidRPr="00471C07">
        <w:rPr>
          <w:rFonts w:ascii="Simplified Arabic" w:eastAsia="Calibri" w:hAnsi="Simplified Arabic" w:cs="Simplified Arabic" w:hint="cs"/>
          <w:color w:val="000000" w:themeColor="text1"/>
          <w:kern w:val="2"/>
          <w:sz w:val="28"/>
          <w:szCs w:val="28"/>
          <w:rtl/>
          <w14:ligatures w14:val="standardContextual"/>
        </w:rPr>
        <w:t>ى من خلال توسيط</w:t>
      </w:r>
      <w:r w:rsidR="00E95A55" w:rsidRPr="00471C07">
        <w:rPr>
          <w:rFonts w:ascii="Simplified Arabic" w:hAnsi="Simplified Arabic" w:cs="Simplified Arabic" w:hint="cs"/>
          <w:sz w:val="28"/>
          <w:szCs w:val="28"/>
          <w:rtl/>
        </w:rPr>
        <w:t xml:space="preserve"> </w:t>
      </w:r>
      <w:r w:rsidR="00E95A55" w:rsidRPr="00471C07">
        <w:rPr>
          <w:rFonts w:ascii="Simplified Arabic" w:eastAsia="Calibri" w:hAnsi="Simplified Arabic" w:cs="Simplified Arabic" w:hint="cs"/>
          <w:color w:val="000000" w:themeColor="text1"/>
          <w:kern w:val="2"/>
          <w:sz w:val="28"/>
          <w:szCs w:val="28"/>
          <w:rtl/>
          <w14:ligatures w14:val="standardContextual"/>
        </w:rPr>
        <w:t xml:space="preserve">التحوّل الرقمي بأبعاده الأربعة (البنية التحتية التكنولوجية، الثقافة التنظيمية الرقمية، التشريعات والسياسات الرقمية، الموارد البشرية الرقمية)  </w:t>
      </w:r>
      <w:r w:rsidRPr="00471C07">
        <w:rPr>
          <w:rFonts w:ascii="Simplified Arabic" w:eastAsia="Calibri" w:hAnsi="Simplified Arabic" w:cs="Simplified Arabic" w:hint="cs"/>
          <w:color w:val="000000" w:themeColor="text1"/>
          <w:kern w:val="2"/>
          <w:sz w:val="28"/>
          <w:szCs w:val="28"/>
          <w14:ligatures w14:val="standardContextual"/>
        </w:rPr>
        <w:t>.</w:t>
      </w:r>
    </w:p>
    <w:p w14:paraId="318B444F" w14:textId="77777777"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المكانية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ستُطبَّق الدراسة على الجهات الحكومية المدنية في المملكة العربية السعودية، مع التركيز على عدد من الوزارات والهيئات الحكومية الرئيسة المشمولة بقياس التحوّل الرقمي الصادر عن هيئة الحكومة الرقمية والبالغ عددها 217 جهة في دورة 2025م، ولن تشمل الدراسة الجهات العسكرية أو الأمنية أو القطاع الخاص أو القطاع غير الربحي</w:t>
      </w:r>
      <w:r w:rsidRPr="00471C07">
        <w:rPr>
          <w:rFonts w:ascii="Simplified Arabic" w:eastAsia="Calibri" w:hAnsi="Simplified Arabic" w:cs="Simplified Arabic" w:hint="cs"/>
          <w:color w:val="000000" w:themeColor="text1"/>
          <w:kern w:val="2"/>
          <w:sz w:val="28"/>
          <w:szCs w:val="28"/>
          <w14:ligatures w14:val="standardContextual"/>
        </w:rPr>
        <w:t>.</w:t>
      </w:r>
    </w:p>
    <w:p w14:paraId="46C866C9" w14:textId="3903F0F7"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lastRenderedPageBreak/>
        <w:t>الحدود الزمانية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ستُجرى الدراسة الميدانية وتُجمع بياناتها الأولية خلال الفصل الدراسي الثاني من العام الجامعي 1447/1448هـ الموافق للعام الميلادي 2026م</w:t>
      </w:r>
      <w:r w:rsidR="009523B9" w:rsidRPr="00471C07">
        <w:rPr>
          <w:rFonts w:ascii="Simplified Arabic" w:eastAsia="Calibri" w:hAnsi="Simplified Arabic" w:cs="Simplified Arabic" w:hint="cs"/>
          <w:color w:val="000000" w:themeColor="text1"/>
          <w:kern w:val="2"/>
          <w:sz w:val="28"/>
          <w:szCs w:val="28"/>
          <w:rtl/>
          <w14:ligatures w14:val="standardContextual"/>
        </w:rPr>
        <w:t>.</w:t>
      </w:r>
    </w:p>
    <w:p w14:paraId="111C0FEE" w14:textId="1E7AF58B" w:rsidR="0014379D" w:rsidRPr="00471C07" w:rsidRDefault="0014379D" w:rsidP="00471C07">
      <w:pPr>
        <w:pStyle w:val="a3"/>
        <w:numPr>
          <w:ilvl w:val="0"/>
          <w:numId w:val="3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71C07">
        <w:rPr>
          <w:rFonts w:ascii="Simplified Arabic" w:eastAsia="Calibri" w:hAnsi="Simplified Arabic" w:cs="Simplified Arabic" w:hint="cs"/>
          <w:color w:val="000000" w:themeColor="text1"/>
          <w:kern w:val="2"/>
          <w:sz w:val="28"/>
          <w:szCs w:val="28"/>
          <w:rtl/>
          <w14:ligatures w14:val="standardContextual"/>
        </w:rPr>
        <w:t>الحدود البشرية</w:t>
      </w:r>
      <w:r w:rsidRPr="00471C07">
        <w:rPr>
          <w:rFonts w:ascii="Simplified Arabic" w:eastAsia="Calibri" w:hAnsi="Simplified Arabic" w:cs="Simplified Arabic" w:hint="cs"/>
          <w:color w:val="000000" w:themeColor="text1"/>
          <w:kern w:val="2"/>
          <w:sz w:val="28"/>
          <w:szCs w:val="28"/>
          <w14:ligatures w14:val="standardContextual"/>
        </w:rPr>
        <w:t xml:space="preserve">: </w:t>
      </w:r>
      <w:r w:rsidRPr="00471C07">
        <w:rPr>
          <w:rFonts w:ascii="Simplified Arabic" w:eastAsia="Calibri" w:hAnsi="Simplified Arabic" w:cs="Simplified Arabic" w:hint="cs"/>
          <w:color w:val="000000" w:themeColor="text1"/>
          <w:kern w:val="2"/>
          <w:sz w:val="28"/>
          <w:szCs w:val="28"/>
          <w:rtl/>
          <w14:ligatures w14:val="standardContextual"/>
        </w:rPr>
        <w:t xml:space="preserve">ستقتصر الدراسة على العاملين المدنيين في الجهات الحكومية بالمملكة العربية السعودية من كلا الجنسين ومن مختلف المستويات الإدارية (العليا والوسطى والتنفيذية) </w:t>
      </w:r>
      <w:r w:rsidR="009523B9" w:rsidRPr="00471C07">
        <w:rPr>
          <w:rFonts w:ascii="Simplified Arabic" w:eastAsia="Calibri" w:hAnsi="Simplified Arabic" w:cs="Simplified Arabic" w:hint="cs"/>
          <w:color w:val="000000" w:themeColor="text1"/>
          <w:kern w:val="2"/>
          <w:sz w:val="28"/>
          <w:szCs w:val="28"/>
          <w:rtl/>
          <w14:ligatures w14:val="standardContextual"/>
        </w:rPr>
        <w:t>.</w:t>
      </w:r>
    </w:p>
    <w:p w14:paraId="78444C64" w14:textId="77777777" w:rsidR="00752353" w:rsidRPr="00471C07" w:rsidRDefault="00752353" w:rsidP="00471C07">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p>
    <w:p w14:paraId="4CD8C884" w14:textId="77777777" w:rsidR="00A43D1D" w:rsidRDefault="00A43D1D">
      <w:pPr>
        <w:spacing w:after="200" w:line="276" w:lineRule="auto"/>
        <w:rPr>
          <w:rFonts w:ascii="Simplified Arabic" w:hAnsi="Simplified Arabic" w:cs="Simplified Arabic"/>
          <w:b/>
          <w:bCs/>
          <w:color w:val="000000" w:themeColor="text1"/>
          <w:sz w:val="28"/>
          <w:szCs w:val="28"/>
          <w:u w:val="single"/>
        </w:rPr>
      </w:pPr>
      <w:bookmarkStart w:id="20" w:name="_Toc202226014"/>
      <w:r>
        <w:rPr>
          <w:rFonts w:ascii="Simplified Arabic" w:hAnsi="Simplified Arabic" w:cs="Simplified Arabic"/>
          <w:b/>
          <w:bCs/>
          <w:color w:val="000000" w:themeColor="text1"/>
          <w:sz w:val="28"/>
          <w:szCs w:val="28"/>
          <w:u w:val="single"/>
        </w:rPr>
        <w:br w:type="page"/>
      </w:r>
    </w:p>
    <w:p w14:paraId="297D6FA8" w14:textId="77777777" w:rsidR="00A43D1D" w:rsidRPr="00A43D1D" w:rsidRDefault="00A43D1D" w:rsidP="00A43D1D">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A43D1D">
        <w:rPr>
          <w:rFonts w:ascii="Simplified Arabic" w:eastAsia="Times New Roman" w:hAnsi="Simplified Arabic" w:cs="Simplified Arabic" w:hint="cs"/>
          <w:b/>
          <w:bCs/>
          <w:kern w:val="36"/>
          <w:sz w:val="28"/>
          <w:szCs w:val="28"/>
          <w:rtl/>
        </w:rPr>
        <w:lastRenderedPageBreak/>
        <w:t>الفصل الثالث: منهجية الدراسة وإجراءاتها</w:t>
      </w:r>
    </w:p>
    <w:p w14:paraId="4C314929" w14:textId="77777777" w:rsidR="00A43D1D" w:rsidRPr="00A43D1D" w:rsidRDefault="00A43D1D" w:rsidP="00A43D1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تمهيد</w:t>
      </w:r>
    </w:p>
    <w:p w14:paraId="19D08E87" w14:textId="19BC2439"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يُعدّ هذا الفصل حجر الزاوية في البناء البحثي للدراسة، إذ يتناول الإطار المنهجي والإجراءات العلمية التي اعتمد عليها الباحث في تنفيذ دراسته الميدانية الموسومة بـ"الدور الوسيط للتحول الرقمي في تأثير القيادة التحويلية على الأداء الوظيفي في الأجهزة الحكومية المدنية في المملكة العربية السعودية". ويستعرض الفصل بشكل تفصيلي المنهج المتبع في الدراسة، ومجتمعها وعيّنتها، والأدوات المستخدمة في جمع البيانات وإجراءات بنائها والتحقق من خصائصها السيكومترية من حيث الصدق والثبات، فضلاً عن المعالجات الإحصائية المقترحة لتحليل البيانات واختبار الفرضيات</w:t>
      </w:r>
      <w:r w:rsidRPr="00A43D1D">
        <w:rPr>
          <w:rFonts w:ascii="Simplified Arabic" w:eastAsia="Times New Roman" w:hAnsi="Simplified Arabic" w:cs="Simplified Arabic" w:hint="cs"/>
          <w:sz w:val="28"/>
          <w:szCs w:val="28"/>
        </w:rPr>
        <w:t xml:space="preserve">. </w:t>
      </w:r>
    </w:p>
    <w:p w14:paraId="08AD57BE" w14:textId="77777777" w:rsidR="00A43D1D" w:rsidRPr="00A43D1D" w:rsidRDefault="00A43D1D" w:rsidP="00A43D1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أولاً: منهج الدراسة</w:t>
      </w:r>
    </w:p>
    <w:p w14:paraId="7D0BCB8B"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اعتمدت هذه الدراسة على المنهج الوصفي التحليلي بوصفه الأنسب لطبيعة موضوعها وأهدافها البحثية،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ومن ثمّ تفسير النتائج في ضوء الإطار النظري والدراسات السابقة. ويتيح هذا المنهج التعرّف على مستوى ممارسة القيادة التحويلية بأبعادها الأربعة </w:t>
      </w:r>
      <w:r w:rsidRPr="00A43D1D">
        <w:rPr>
          <w:rFonts w:ascii="Simplified Arabic" w:eastAsia="Times New Roman" w:hAnsi="Simplified Arabic" w:cs="Simplified Arabic" w:hint="cs"/>
          <w:sz w:val="28"/>
          <w:szCs w:val="28"/>
        </w:rPr>
        <w:t>(</w:t>
      </w:r>
      <w:r w:rsidRPr="00A43D1D">
        <w:rPr>
          <w:rFonts w:ascii="Simplified Arabic" w:eastAsia="Times New Roman" w:hAnsi="Simplified Arabic" w:cs="Simplified Arabic" w:hint="cs"/>
          <w:sz w:val="28"/>
          <w:szCs w:val="28"/>
          <w:rtl/>
        </w:rPr>
        <w:t>التأثير المثالي، والدافعية الإلهامية، والاستثارة الفكرية، والاعتبار الفردي)، ومستوى تطبيق التحوّل الرقمي بأبعاده الأربعة (البنية التحتية التقنية، والثقافة التنظيمية الرقمية، والتشريعات والسياسات الرقمية، والموارد البشرية الرقمية)، ومستوى الأداء الوظيفي لدى العاملين في الجهات الحكومية المدنية بالمملكة العربية السعودية، فضلاً عن قياس طبيعة العلاقات الارتباطية بين هذه المتغيّرات وتحديد حجم التأثير المباشر وغير المباشر واتجاهه</w:t>
      </w:r>
      <w:r w:rsidRPr="00A43D1D">
        <w:rPr>
          <w:rFonts w:ascii="Simplified Arabic" w:eastAsia="Times New Roman" w:hAnsi="Simplified Arabic" w:cs="Simplified Arabic" w:hint="cs"/>
          <w:sz w:val="28"/>
          <w:szCs w:val="28"/>
        </w:rPr>
        <w:t>.</w:t>
      </w:r>
    </w:p>
    <w:p w14:paraId="488C8430"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ويتناسب المنهج الوصفي التحليلي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 وفي هذا السياق استُخدم </w:t>
      </w:r>
      <w:r w:rsidRPr="00A43D1D">
        <w:rPr>
          <w:rFonts w:ascii="Simplified Arabic" w:eastAsia="Times New Roman" w:hAnsi="Simplified Arabic" w:cs="Simplified Arabic" w:hint="cs"/>
          <w:b/>
          <w:bCs/>
          <w:sz w:val="28"/>
          <w:szCs w:val="28"/>
          <w:rtl/>
        </w:rPr>
        <w:t>الأسلوب المسحي الميداني</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(Field Survey Approach) </w:t>
      </w:r>
      <w:r w:rsidRPr="00A43D1D">
        <w:rPr>
          <w:rFonts w:ascii="Simplified Arabic" w:eastAsia="Times New Roman" w:hAnsi="Simplified Arabic" w:cs="Simplified Arabic" w:hint="cs"/>
          <w:sz w:val="28"/>
          <w:szCs w:val="28"/>
          <w:rtl/>
        </w:rPr>
        <w:t xml:space="preserve">من خلال تصميم استبانة مُحكّمة وموثوقة وُزّعت إلكترونياً وورقياً على عيّنة ممثّلة من العاملين في الجهات الحكومية السعودية، حيث جُمعت البيانات الأولية ورُمّزت </w:t>
      </w:r>
      <w:r w:rsidRPr="00A43D1D">
        <w:rPr>
          <w:rFonts w:ascii="Simplified Arabic" w:eastAsia="Times New Roman" w:hAnsi="Simplified Arabic" w:cs="Simplified Arabic" w:hint="cs"/>
          <w:sz w:val="28"/>
          <w:szCs w:val="28"/>
          <w:rtl/>
        </w:rPr>
        <w:lastRenderedPageBreak/>
        <w:t>وأُدخلت في البرامج الإحصائية المتخصّصة</w:t>
      </w:r>
      <w:r w:rsidRPr="00A43D1D">
        <w:rPr>
          <w:rFonts w:ascii="Simplified Arabic" w:eastAsia="Times New Roman" w:hAnsi="Simplified Arabic" w:cs="Simplified Arabic" w:hint="cs"/>
          <w:sz w:val="28"/>
          <w:szCs w:val="28"/>
        </w:rPr>
        <w:t xml:space="preserve"> (SPSS V.28 </w:t>
      </w:r>
      <w:r w:rsidRPr="00A43D1D">
        <w:rPr>
          <w:rFonts w:ascii="Simplified Arabic" w:eastAsia="Times New Roman" w:hAnsi="Simplified Arabic" w:cs="Simplified Arabic" w:hint="cs"/>
          <w:sz w:val="28"/>
          <w:szCs w:val="28"/>
          <w:rtl/>
        </w:rPr>
        <w:t>و</w:t>
      </w:r>
      <w:r w:rsidRPr="00A43D1D">
        <w:rPr>
          <w:rFonts w:ascii="Simplified Arabic" w:eastAsia="Times New Roman" w:hAnsi="Simplified Arabic" w:cs="Simplified Arabic" w:hint="cs"/>
          <w:sz w:val="28"/>
          <w:szCs w:val="28"/>
        </w:rPr>
        <w:t xml:space="preserve">AMOS V.26) </w:t>
      </w:r>
      <w:r w:rsidRPr="00A43D1D">
        <w:rPr>
          <w:rFonts w:ascii="Simplified Arabic" w:eastAsia="Times New Roman" w:hAnsi="Simplified Arabic" w:cs="Simplified Arabic" w:hint="cs"/>
          <w:sz w:val="28"/>
          <w:szCs w:val="28"/>
          <w:rtl/>
        </w:rPr>
        <w:t>لمعالجتها وتحليلها واستخلاص النتائج واختبار الفرضيات</w:t>
      </w:r>
      <w:r w:rsidRPr="00A43D1D">
        <w:rPr>
          <w:rFonts w:ascii="Simplified Arabic" w:eastAsia="Times New Roman" w:hAnsi="Simplified Arabic" w:cs="Simplified Arabic" w:hint="cs"/>
          <w:sz w:val="28"/>
          <w:szCs w:val="28"/>
        </w:rPr>
        <w:t>.</w:t>
      </w:r>
    </w:p>
    <w:p w14:paraId="51B80678"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وإلى جانب البيانات الأولية، اعتمدت الدراسة على مراجعة منهجية معمّقة للمصادر الثانوية من أدبيات نظرية ودراسات سابقة عربية وأجنبية وتقارير رسمية حكومية ذات صلة بمتغيّرات الدراسة، وذلك لبناء الإطار النظري وتعزيز القدرة التفسيرية للنتائج الميدانية ومقارنتها بمخرجات الدراسات السابقة. ويُعدّ الجمع بين المصادر الأولية والثانوية ضرورة منهجية لضمان شمولية المعالجة البحثية وعمقها وموضوعيتها</w:t>
      </w:r>
      <w:r w:rsidRPr="00A43D1D">
        <w:rPr>
          <w:rFonts w:ascii="Simplified Arabic" w:eastAsia="Times New Roman" w:hAnsi="Simplified Arabic" w:cs="Simplified Arabic" w:hint="cs"/>
          <w:sz w:val="28"/>
          <w:szCs w:val="28"/>
        </w:rPr>
        <w:t>.</w:t>
      </w:r>
    </w:p>
    <w:p w14:paraId="0A241C21" w14:textId="77777777" w:rsidR="00A43D1D" w:rsidRPr="00A43D1D" w:rsidRDefault="00A43D1D" w:rsidP="00A43D1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ثانياً: مجتمع الدراسة وعيّنتها</w:t>
      </w:r>
    </w:p>
    <w:p w14:paraId="2657C374" w14:textId="12AD0B55"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مجتمع الدراسة</w:t>
      </w:r>
    </w:p>
    <w:p w14:paraId="0FF20C17"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2025م نحو </w:t>
      </w:r>
      <w:r w:rsidRPr="00A43D1D">
        <w:rPr>
          <w:rFonts w:ascii="Simplified Arabic" w:eastAsia="Times New Roman" w:hAnsi="Simplified Arabic" w:cs="Simplified Arabic" w:hint="cs"/>
          <w:b/>
          <w:bCs/>
          <w:sz w:val="28"/>
          <w:szCs w:val="28"/>
        </w:rPr>
        <w:t>(1,183,259)</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 xml:space="preserve">موظفاً حكومياً، منهم </w:t>
      </w:r>
      <w:r w:rsidRPr="00A43D1D">
        <w:rPr>
          <w:rFonts w:ascii="Simplified Arabic" w:eastAsia="Times New Roman" w:hAnsi="Simplified Arabic" w:cs="Simplified Arabic" w:hint="cs"/>
          <w:b/>
          <w:bCs/>
          <w:sz w:val="28"/>
          <w:szCs w:val="28"/>
        </w:rPr>
        <w:t>(1,144,584)</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 xml:space="preserve">موظفاً سعودياً بنسبة 97%. ويتوزّع هؤلاء الموظفون على ما يزيد عن </w:t>
      </w:r>
      <w:r w:rsidRPr="00A43D1D">
        <w:rPr>
          <w:rFonts w:ascii="Simplified Arabic" w:eastAsia="Times New Roman" w:hAnsi="Simplified Arabic" w:cs="Simplified Arabic" w:hint="cs"/>
          <w:b/>
          <w:bCs/>
          <w:sz w:val="28"/>
          <w:szCs w:val="28"/>
        </w:rPr>
        <w:t>(217)</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جهة حكومية مشمولة بقياس التحوّل الرقمي وفقاً لبيانات هيئة الحكومة الرقمية لعام 2025م، 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ويتّسم هذا المجتمع بالتنوّع والاتساع الجغرافي والتنظيمي، ممّا يستوجب اعتماد أسلوب أخذ عيّنات يضمن التمثيل العادل لمختلف شرائحه</w:t>
      </w:r>
      <w:r w:rsidRPr="00A43D1D">
        <w:rPr>
          <w:rFonts w:ascii="Simplified Arabic" w:eastAsia="Times New Roman" w:hAnsi="Simplified Arabic" w:cs="Simplified Arabic" w:hint="cs"/>
          <w:sz w:val="28"/>
          <w:szCs w:val="28"/>
        </w:rPr>
        <w:t>.</w:t>
      </w:r>
    </w:p>
    <w:p w14:paraId="53C684C1" w14:textId="1398779A"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عيّنة الدراسة</w:t>
      </w:r>
    </w:p>
    <w:p w14:paraId="01DFB503"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نظراً لكبر حجم مجتمع الدراسة وصعوبة إجراء مسح شامل، اعتمد الباحث على أسلوب </w:t>
      </w:r>
      <w:r w:rsidRPr="00A43D1D">
        <w:rPr>
          <w:rFonts w:ascii="Simplified Arabic" w:eastAsia="Times New Roman" w:hAnsi="Simplified Arabic" w:cs="Simplified Arabic" w:hint="cs"/>
          <w:b/>
          <w:bCs/>
          <w:sz w:val="28"/>
          <w:szCs w:val="28"/>
          <w:rtl/>
        </w:rPr>
        <w:t>العيّنة العشوائية الطبقية التناسبية</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(Proportional Stratified Random Sample) </w:t>
      </w:r>
      <w:r w:rsidRPr="00A43D1D">
        <w:rPr>
          <w:rFonts w:ascii="Simplified Arabic" w:eastAsia="Times New Roman" w:hAnsi="Simplified Arabic" w:cs="Simplified Arabic" w:hint="cs"/>
          <w:sz w:val="28"/>
          <w:szCs w:val="28"/>
          <w:rtl/>
        </w:rPr>
        <w:t xml:space="preserve">لضمان تمثيل مختلف الجهات الحكومية والمناطق الجغرافية والمستويات الإدارية بصورة متوازنة. وقد حُدّد الحدّ </w:t>
      </w:r>
      <w:r w:rsidRPr="00A43D1D">
        <w:rPr>
          <w:rFonts w:ascii="Simplified Arabic" w:eastAsia="Times New Roman" w:hAnsi="Simplified Arabic" w:cs="Simplified Arabic" w:hint="cs"/>
          <w:sz w:val="28"/>
          <w:szCs w:val="28"/>
          <w:rtl/>
        </w:rPr>
        <w:lastRenderedPageBreak/>
        <w:t xml:space="preserve">الأدنى لحجم العيّنة وفقاً لمعادلة </w:t>
      </w:r>
      <w:r w:rsidRPr="00A43D1D">
        <w:rPr>
          <w:rFonts w:ascii="Simplified Arabic" w:eastAsia="Times New Roman" w:hAnsi="Simplified Arabic" w:cs="Simplified Arabic" w:hint="cs"/>
          <w:b/>
          <w:bCs/>
          <w:sz w:val="28"/>
          <w:szCs w:val="28"/>
          <w:rtl/>
        </w:rPr>
        <w:t>ستيفن ثومبسون</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(Steven K. Thompson) </w:t>
      </w:r>
      <w:r w:rsidRPr="00A43D1D">
        <w:rPr>
          <w:rFonts w:ascii="Simplified Arabic" w:eastAsia="Times New Roman" w:hAnsi="Simplified Arabic" w:cs="Simplified Arabic" w:hint="cs"/>
          <w:sz w:val="28"/>
          <w:szCs w:val="28"/>
          <w:rtl/>
        </w:rPr>
        <w:t>عند مستوى ثقة 95% وهامش خطأ مسموح به 5% ونسبة توافر الخاصية 50%، وفق الصيغة التالية</w:t>
      </w:r>
      <w:r w:rsidRPr="00A43D1D">
        <w:rPr>
          <w:rFonts w:ascii="Simplified Arabic" w:eastAsia="Times New Roman" w:hAnsi="Simplified Arabic" w:cs="Simplified Arabic" w:hint="cs"/>
          <w:sz w:val="28"/>
          <w:szCs w:val="28"/>
        </w:rPr>
        <w:t>:</w:t>
      </w:r>
    </w:p>
    <w:p w14:paraId="7E2FDFD8"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حيث</w:t>
      </w:r>
      <w:r w:rsidRPr="00A43D1D">
        <w:rPr>
          <w:rFonts w:ascii="Simplified Arabic" w:eastAsia="Times New Roman" w:hAnsi="Simplified Arabic" w:cs="Simplified Arabic" w:hint="cs"/>
          <w:sz w:val="28"/>
          <w:szCs w:val="28"/>
        </w:rPr>
        <w:t>:</w:t>
      </w:r>
    </w:p>
    <w:p w14:paraId="0DAB64AD" w14:textId="77777777" w:rsidR="00A43D1D" w:rsidRPr="00A43D1D" w:rsidRDefault="00A43D1D" w:rsidP="00A43D1D">
      <w:pPr>
        <w:numPr>
          <w:ilvl w:val="0"/>
          <w:numId w:val="47"/>
        </w:num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Pr>
        <w:t>N</w:t>
      </w:r>
      <w:r w:rsidRPr="00A43D1D">
        <w:rPr>
          <w:rFonts w:ascii="Simplified Arabic" w:eastAsia="Times New Roman" w:hAnsi="Simplified Arabic" w:cs="Simplified Arabic" w:hint="cs"/>
          <w:sz w:val="28"/>
          <w:szCs w:val="28"/>
        </w:rPr>
        <w:t xml:space="preserve"> = </w:t>
      </w:r>
      <w:r w:rsidRPr="00A43D1D">
        <w:rPr>
          <w:rFonts w:ascii="Simplified Arabic" w:eastAsia="Times New Roman" w:hAnsi="Simplified Arabic" w:cs="Simplified Arabic" w:hint="cs"/>
          <w:sz w:val="28"/>
          <w:szCs w:val="28"/>
          <w:rtl/>
        </w:rPr>
        <w:t>حجم المجتمع</w:t>
      </w:r>
    </w:p>
    <w:p w14:paraId="0341E6FD" w14:textId="77777777" w:rsidR="00A43D1D" w:rsidRPr="00A43D1D" w:rsidRDefault="00A43D1D" w:rsidP="00A43D1D">
      <w:pPr>
        <w:numPr>
          <w:ilvl w:val="0"/>
          <w:numId w:val="47"/>
        </w:num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Pr>
        <w:t>z</w:t>
      </w:r>
      <w:r w:rsidRPr="00A43D1D">
        <w:rPr>
          <w:rFonts w:ascii="Simplified Arabic" w:eastAsia="Times New Roman" w:hAnsi="Simplified Arabic" w:cs="Simplified Arabic" w:hint="cs"/>
          <w:sz w:val="28"/>
          <w:szCs w:val="28"/>
        </w:rPr>
        <w:t xml:space="preserve"> = </w:t>
      </w:r>
      <w:r w:rsidRPr="00A43D1D">
        <w:rPr>
          <w:rFonts w:ascii="Simplified Arabic" w:eastAsia="Times New Roman" w:hAnsi="Simplified Arabic" w:cs="Simplified Arabic" w:hint="cs"/>
          <w:sz w:val="28"/>
          <w:szCs w:val="28"/>
          <w:rtl/>
        </w:rPr>
        <w:t>الدرجة المعيارية عند مستوى ثقة 95</w:t>
      </w:r>
      <w:r w:rsidRPr="00A43D1D">
        <w:rPr>
          <w:rFonts w:ascii="Simplified Arabic" w:eastAsia="Times New Roman" w:hAnsi="Simplified Arabic" w:cs="Simplified Arabic" w:hint="cs"/>
          <w:sz w:val="28"/>
          <w:szCs w:val="28"/>
        </w:rPr>
        <w:t>% (1.96)</w:t>
      </w:r>
    </w:p>
    <w:p w14:paraId="12473CD9" w14:textId="77777777" w:rsidR="00A43D1D" w:rsidRPr="00A43D1D" w:rsidRDefault="00A43D1D" w:rsidP="00A43D1D">
      <w:pPr>
        <w:numPr>
          <w:ilvl w:val="0"/>
          <w:numId w:val="47"/>
        </w:num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Pr>
        <w:t>d</w:t>
      </w:r>
      <w:r w:rsidRPr="00A43D1D">
        <w:rPr>
          <w:rFonts w:ascii="Simplified Arabic" w:eastAsia="Times New Roman" w:hAnsi="Simplified Arabic" w:cs="Simplified Arabic" w:hint="cs"/>
          <w:sz w:val="28"/>
          <w:szCs w:val="28"/>
        </w:rPr>
        <w:t xml:space="preserve"> = </w:t>
      </w:r>
      <w:r w:rsidRPr="00A43D1D">
        <w:rPr>
          <w:rFonts w:ascii="Simplified Arabic" w:eastAsia="Times New Roman" w:hAnsi="Simplified Arabic" w:cs="Simplified Arabic" w:hint="cs"/>
          <w:sz w:val="28"/>
          <w:szCs w:val="28"/>
          <w:rtl/>
        </w:rPr>
        <w:t>نسبة الخطأ</w:t>
      </w:r>
      <w:r w:rsidRPr="00A43D1D">
        <w:rPr>
          <w:rFonts w:ascii="Simplified Arabic" w:eastAsia="Times New Roman" w:hAnsi="Simplified Arabic" w:cs="Simplified Arabic" w:hint="cs"/>
          <w:sz w:val="28"/>
          <w:szCs w:val="28"/>
        </w:rPr>
        <w:t xml:space="preserve"> (0.05)</w:t>
      </w:r>
    </w:p>
    <w:p w14:paraId="51F60881" w14:textId="77777777" w:rsidR="00A43D1D" w:rsidRPr="00A43D1D" w:rsidRDefault="00A43D1D" w:rsidP="00A43D1D">
      <w:pPr>
        <w:numPr>
          <w:ilvl w:val="0"/>
          <w:numId w:val="47"/>
        </w:num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Pr>
        <w:t>p</w:t>
      </w:r>
      <w:r w:rsidRPr="00A43D1D">
        <w:rPr>
          <w:rFonts w:ascii="Simplified Arabic" w:eastAsia="Times New Roman" w:hAnsi="Simplified Arabic" w:cs="Simplified Arabic" w:hint="cs"/>
          <w:sz w:val="28"/>
          <w:szCs w:val="28"/>
        </w:rPr>
        <w:t xml:space="preserve"> = </w:t>
      </w:r>
      <w:r w:rsidRPr="00A43D1D">
        <w:rPr>
          <w:rFonts w:ascii="Simplified Arabic" w:eastAsia="Times New Roman" w:hAnsi="Simplified Arabic" w:cs="Simplified Arabic" w:hint="cs"/>
          <w:sz w:val="28"/>
          <w:szCs w:val="28"/>
          <w:rtl/>
        </w:rPr>
        <w:t>نسبة توافر الخاصية</w:t>
      </w:r>
      <w:r w:rsidRPr="00A43D1D">
        <w:rPr>
          <w:rFonts w:ascii="Simplified Arabic" w:eastAsia="Times New Roman" w:hAnsi="Simplified Arabic" w:cs="Simplified Arabic" w:hint="cs"/>
          <w:sz w:val="28"/>
          <w:szCs w:val="28"/>
        </w:rPr>
        <w:t xml:space="preserve"> (0.50)</w:t>
      </w:r>
    </w:p>
    <w:p w14:paraId="66B12C21"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وبتطبيق المعادلة على مجتمع يتجاوز المليون مفردة، بلغ الحدّ الأدنى المطلوب لحجم العيّنة </w:t>
      </w:r>
      <w:r w:rsidRPr="00A43D1D">
        <w:rPr>
          <w:rFonts w:ascii="Simplified Arabic" w:eastAsia="Times New Roman" w:hAnsi="Simplified Arabic" w:cs="Simplified Arabic" w:hint="cs"/>
          <w:b/>
          <w:bCs/>
          <w:sz w:val="28"/>
          <w:szCs w:val="28"/>
        </w:rPr>
        <w:t>(384)</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 xml:space="preserve">مفردة. وقد استهدف الباحث توزيع ما لا يقلّ عن </w:t>
      </w:r>
      <w:r w:rsidRPr="00A43D1D">
        <w:rPr>
          <w:rFonts w:ascii="Simplified Arabic" w:eastAsia="Times New Roman" w:hAnsi="Simplified Arabic" w:cs="Simplified Arabic" w:hint="cs"/>
          <w:b/>
          <w:bCs/>
          <w:sz w:val="28"/>
          <w:szCs w:val="28"/>
        </w:rPr>
        <w:t>(500)</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 و25%. كما رُوعيت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A43D1D">
        <w:rPr>
          <w:rFonts w:ascii="Simplified Arabic" w:eastAsia="Times New Roman" w:hAnsi="Simplified Arabic" w:cs="Simplified Arabic" w:hint="cs"/>
          <w:sz w:val="28"/>
          <w:szCs w:val="28"/>
        </w:rPr>
        <w:t>.</w:t>
      </w:r>
    </w:p>
    <w:p w14:paraId="35F6E414" w14:textId="5B30F981"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الجدول التوضيحي لمواصفات مجتمع وعيّنة الدراسة</w:t>
      </w:r>
    </w:p>
    <w:tbl>
      <w:tblPr>
        <w:tblStyle w:val="a7"/>
        <w:bidiVisual/>
        <w:tblW w:w="0" w:type="auto"/>
        <w:tblLook w:val="04A0" w:firstRow="1" w:lastRow="0" w:firstColumn="1" w:lastColumn="0" w:noHBand="0" w:noVBand="1"/>
      </w:tblPr>
      <w:tblGrid>
        <w:gridCol w:w="4139"/>
        <w:gridCol w:w="2774"/>
      </w:tblGrid>
      <w:tr w:rsidR="00A43D1D" w:rsidRPr="00A43D1D" w14:paraId="2F3ADF2F" w14:textId="77777777" w:rsidTr="00A43D1D">
        <w:tc>
          <w:tcPr>
            <w:tcW w:w="0" w:type="auto"/>
            <w:hideMark/>
          </w:tcPr>
          <w:p w14:paraId="5B9890EE"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البيان</w:t>
            </w:r>
          </w:p>
        </w:tc>
        <w:tc>
          <w:tcPr>
            <w:tcW w:w="0" w:type="auto"/>
            <w:hideMark/>
          </w:tcPr>
          <w:p w14:paraId="06FCE71C"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القيمة</w:t>
            </w:r>
          </w:p>
        </w:tc>
      </w:tr>
      <w:tr w:rsidR="00A43D1D" w:rsidRPr="00A43D1D" w14:paraId="75FBC62D" w14:textId="77777777" w:rsidTr="00A43D1D">
        <w:tc>
          <w:tcPr>
            <w:tcW w:w="0" w:type="auto"/>
            <w:hideMark/>
          </w:tcPr>
          <w:p w14:paraId="0090E8E4"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إجمالي العاملين في الجهات الحكومية المدنية</w:t>
            </w:r>
          </w:p>
        </w:tc>
        <w:tc>
          <w:tcPr>
            <w:tcW w:w="0" w:type="auto"/>
            <w:hideMark/>
          </w:tcPr>
          <w:p w14:paraId="52432BFF"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1,183,259 </w:t>
            </w:r>
            <w:r w:rsidRPr="00A43D1D">
              <w:rPr>
                <w:rFonts w:ascii="Simplified Arabic" w:eastAsia="Times New Roman" w:hAnsi="Simplified Arabic" w:cs="Simplified Arabic" w:hint="cs"/>
                <w:sz w:val="28"/>
                <w:szCs w:val="28"/>
                <w:rtl/>
              </w:rPr>
              <w:t>موظفاً</w:t>
            </w:r>
          </w:p>
        </w:tc>
      </w:tr>
      <w:tr w:rsidR="00A43D1D" w:rsidRPr="00A43D1D" w14:paraId="6E2AEF6E" w14:textId="77777777" w:rsidTr="00A43D1D">
        <w:tc>
          <w:tcPr>
            <w:tcW w:w="0" w:type="auto"/>
            <w:hideMark/>
          </w:tcPr>
          <w:p w14:paraId="56EEB14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إجمالي السعوديين منهم</w:t>
            </w:r>
          </w:p>
        </w:tc>
        <w:tc>
          <w:tcPr>
            <w:tcW w:w="0" w:type="auto"/>
            <w:hideMark/>
          </w:tcPr>
          <w:p w14:paraId="1E1386E6"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1,144,584 </w:t>
            </w:r>
            <w:r w:rsidRPr="00A43D1D">
              <w:rPr>
                <w:rFonts w:ascii="Simplified Arabic" w:eastAsia="Times New Roman" w:hAnsi="Simplified Arabic" w:cs="Simplified Arabic" w:hint="cs"/>
                <w:sz w:val="28"/>
                <w:szCs w:val="28"/>
                <w:rtl/>
              </w:rPr>
              <w:t>موظفاً</w:t>
            </w:r>
            <w:r w:rsidRPr="00A43D1D">
              <w:rPr>
                <w:rFonts w:ascii="Simplified Arabic" w:eastAsia="Times New Roman" w:hAnsi="Simplified Arabic" w:cs="Simplified Arabic" w:hint="cs"/>
                <w:sz w:val="28"/>
                <w:szCs w:val="28"/>
              </w:rPr>
              <w:t xml:space="preserve"> (97%)</w:t>
            </w:r>
          </w:p>
        </w:tc>
      </w:tr>
      <w:tr w:rsidR="00A43D1D" w:rsidRPr="00A43D1D" w14:paraId="124E4542" w14:textId="77777777" w:rsidTr="00A43D1D">
        <w:tc>
          <w:tcPr>
            <w:tcW w:w="0" w:type="auto"/>
            <w:hideMark/>
          </w:tcPr>
          <w:p w14:paraId="003052E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عدد الجهات الحكومية المشمولة</w:t>
            </w:r>
          </w:p>
        </w:tc>
        <w:tc>
          <w:tcPr>
            <w:tcW w:w="0" w:type="auto"/>
            <w:hideMark/>
          </w:tcPr>
          <w:p w14:paraId="58E9898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أكثر من 217 جهة</w:t>
            </w:r>
          </w:p>
        </w:tc>
      </w:tr>
      <w:tr w:rsidR="00A43D1D" w:rsidRPr="00A43D1D" w14:paraId="5C2D6A96" w14:textId="77777777" w:rsidTr="00A43D1D">
        <w:tc>
          <w:tcPr>
            <w:tcW w:w="0" w:type="auto"/>
            <w:hideMark/>
          </w:tcPr>
          <w:p w14:paraId="5FC3B9D6"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الحدّ الأدنى لحجم العيّنة (ثومبسون)</w:t>
            </w:r>
          </w:p>
        </w:tc>
        <w:tc>
          <w:tcPr>
            <w:tcW w:w="0" w:type="auto"/>
            <w:hideMark/>
          </w:tcPr>
          <w:p w14:paraId="72BD1DCE"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384 </w:t>
            </w:r>
            <w:r w:rsidRPr="00A43D1D">
              <w:rPr>
                <w:rFonts w:ascii="Simplified Arabic" w:eastAsia="Times New Roman" w:hAnsi="Simplified Arabic" w:cs="Simplified Arabic" w:hint="cs"/>
                <w:sz w:val="28"/>
                <w:szCs w:val="28"/>
                <w:rtl/>
              </w:rPr>
              <w:t>مفردة</w:t>
            </w:r>
          </w:p>
        </w:tc>
      </w:tr>
      <w:tr w:rsidR="00A43D1D" w:rsidRPr="00A43D1D" w14:paraId="32FF2495" w14:textId="77777777" w:rsidTr="00A43D1D">
        <w:tc>
          <w:tcPr>
            <w:tcW w:w="0" w:type="auto"/>
            <w:hideMark/>
          </w:tcPr>
          <w:p w14:paraId="555ED4F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العدد المستهدف للتوزيع</w:t>
            </w:r>
          </w:p>
        </w:tc>
        <w:tc>
          <w:tcPr>
            <w:tcW w:w="0" w:type="auto"/>
            <w:hideMark/>
          </w:tcPr>
          <w:p w14:paraId="321D8EE1"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500 </w:t>
            </w:r>
            <w:r w:rsidRPr="00A43D1D">
              <w:rPr>
                <w:rFonts w:ascii="Simplified Arabic" w:eastAsia="Times New Roman" w:hAnsi="Simplified Arabic" w:cs="Simplified Arabic" w:hint="cs"/>
                <w:sz w:val="28"/>
                <w:szCs w:val="28"/>
                <w:rtl/>
              </w:rPr>
              <w:t>استبانة</w:t>
            </w:r>
          </w:p>
        </w:tc>
      </w:tr>
      <w:tr w:rsidR="00A43D1D" w:rsidRPr="00A43D1D" w14:paraId="37241962" w14:textId="77777777" w:rsidTr="00A43D1D">
        <w:tc>
          <w:tcPr>
            <w:tcW w:w="0" w:type="auto"/>
            <w:hideMark/>
          </w:tcPr>
          <w:p w14:paraId="012B2F9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مستوى الثقة</w:t>
            </w:r>
          </w:p>
        </w:tc>
        <w:tc>
          <w:tcPr>
            <w:tcW w:w="0" w:type="auto"/>
            <w:hideMark/>
          </w:tcPr>
          <w:p w14:paraId="70CE587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95%</w:t>
            </w:r>
          </w:p>
        </w:tc>
      </w:tr>
      <w:tr w:rsidR="00A43D1D" w:rsidRPr="00A43D1D" w14:paraId="11E7D2B0" w14:textId="77777777" w:rsidTr="00A43D1D">
        <w:tc>
          <w:tcPr>
            <w:tcW w:w="0" w:type="auto"/>
            <w:hideMark/>
          </w:tcPr>
          <w:p w14:paraId="7EEE8F4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هامش الخطأ</w:t>
            </w:r>
          </w:p>
        </w:tc>
        <w:tc>
          <w:tcPr>
            <w:tcW w:w="0" w:type="auto"/>
            <w:hideMark/>
          </w:tcPr>
          <w:p w14:paraId="20FC80D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5%</w:t>
            </w:r>
          </w:p>
        </w:tc>
      </w:tr>
    </w:tbl>
    <w:p w14:paraId="26992F6B" w14:textId="77777777" w:rsidR="00A43D1D" w:rsidRPr="00A43D1D" w:rsidRDefault="00A43D1D" w:rsidP="00A43D1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lastRenderedPageBreak/>
        <w:t>ثالثاً: وسائل جمع البيانات</w:t>
      </w:r>
    </w:p>
    <w:p w14:paraId="5DBCD484"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اعتمدت الدراسة على نوعين أساسيين من مصادر البيانات لتحقيق التكامل المنهجي المطلوب</w:t>
      </w:r>
      <w:r w:rsidRPr="00A43D1D">
        <w:rPr>
          <w:rFonts w:ascii="Simplified Arabic" w:eastAsia="Times New Roman" w:hAnsi="Simplified Arabic" w:cs="Simplified Arabic" w:hint="cs"/>
          <w:sz w:val="28"/>
          <w:szCs w:val="28"/>
        </w:rPr>
        <w:t>:</w:t>
      </w:r>
    </w:p>
    <w:p w14:paraId="3031B215"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أولاً- المصادر الثانوية</w:t>
      </w:r>
      <w:r w:rsidRPr="00A43D1D">
        <w:rPr>
          <w:rFonts w:ascii="Simplified Arabic" w:eastAsia="Times New Roman" w:hAnsi="Simplified Arabic" w:cs="Simplified Arabic" w:hint="cs"/>
          <w:b/>
          <w:bCs/>
          <w:sz w:val="28"/>
          <w:szCs w:val="28"/>
        </w:rPr>
        <w:t xml:space="preserve"> (Secondary Sources):</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وقد استُخدمت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والأجنبية، والرسائل الجامعية (الماجستير والدكتوراه)، وقواعد البيانات الإلكترونية مثل</w:t>
      </w:r>
      <w:r w:rsidRPr="00A43D1D">
        <w:rPr>
          <w:rFonts w:ascii="Simplified Arabic" w:eastAsia="Times New Roman" w:hAnsi="Simplified Arabic" w:cs="Simplified Arabic" w:hint="cs"/>
          <w:sz w:val="28"/>
          <w:szCs w:val="28"/>
        </w:rPr>
        <w:t xml:space="preserve"> (Scopus</w:t>
      </w:r>
      <w:r w:rsidRPr="00A43D1D">
        <w:rPr>
          <w:rFonts w:ascii="Simplified Arabic" w:eastAsia="Times New Roman" w:hAnsi="Simplified Arabic" w:cs="Simplified Arabic" w:hint="cs"/>
          <w:sz w:val="28"/>
          <w:szCs w:val="28"/>
          <w:rtl/>
        </w:rPr>
        <w:t>، و</w:t>
      </w:r>
      <w:r w:rsidRPr="00A43D1D">
        <w:rPr>
          <w:rFonts w:ascii="Simplified Arabic" w:eastAsia="Times New Roman" w:hAnsi="Simplified Arabic" w:cs="Simplified Arabic" w:hint="cs"/>
          <w:sz w:val="28"/>
          <w:szCs w:val="28"/>
        </w:rPr>
        <w:t>Web of Science</w:t>
      </w:r>
      <w:r w:rsidRPr="00A43D1D">
        <w:rPr>
          <w:rFonts w:ascii="Simplified Arabic" w:eastAsia="Times New Roman" w:hAnsi="Simplified Arabic" w:cs="Simplified Arabic" w:hint="cs"/>
          <w:sz w:val="28"/>
          <w:szCs w:val="28"/>
          <w:rtl/>
        </w:rPr>
        <w:t>، و</w:t>
      </w:r>
      <w:r w:rsidRPr="00A43D1D">
        <w:rPr>
          <w:rFonts w:ascii="Simplified Arabic" w:eastAsia="Times New Roman" w:hAnsi="Simplified Arabic" w:cs="Simplified Arabic" w:hint="cs"/>
          <w:sz w:val="28"/>
          <w:szCs w:val="28"/>
        </w:rPr>
        <w:t>Google Scholar</w:t>
      </w:r>
      <w:r w:rsidRPr="00A43D1D">
        <w:rPr>
          <w:rFonts w:ascii="Simplified Arabic" w:eastAsia="Times New Roman" w:hAnsi="Simplified Arabic" w:cs="Simplified Arabic" w:hint="cs"/>
          <w:sz w:val="28"/>
          <w:szCs w:val="28"/>
          <w:rtl/>
        </w:rPr>
        <w:t>، ودار المنظومة</w:t>
      </w:r>
      <w:r w:rsidRPr="00A43D1D">
        <w:rPr>
          <w:rFonts w:ascii="Simplified Arabic" w:eastAsia="Times New Roman" w:hAnsi="Simplified Arabic" w:cs="Simplified Arabic" w:hint="cs"/>
          <w:sz w:val="28"/>
          <w:szCs w:val="28"/>
        </w:rPr>
        <w:t>)</w:t>
      </w:r>
      <w:r w:rsidRPr="00A43D1D">
        <w:rPr>
          <w:rFonts w:ascii="Simplified Arabic" w:eastAsia="Times New Roman" w:hAnsi="Simplified Arabic" w:cs="Simplified Arabic" w:hint="cs"/>
          <w:sz w:val="28"/>
          <w:szCs w:val="28"/>
          <w:rtl/>
        </w:rPr>
        <w:t>،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r w:rsidRPr="00A43D1D">
        <w:rPr>
          <w:rFonts w:ascii="Simplified Arabic" w:eastAsia="Times New Roman" w:hAnsi="Simplified Arabic" w:cs="Simplified Arabic" w:hint="cs"/>
          <w:sz w:val="28"/>
          <w:szCs w:val="28"/>
        </w:rPr>
        <w:t>.</w:t>
      </w:r>
    </w:p>
    <w:p w14:paraId="7D899934"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ثانياً- المصادر الأولية</w:t>
      </w:r>
      <w:r w:rsidRPr="00A43D1D">
        <w:rPr>
          <w:rFonts w:ascii="Simplified Arabic" w:eastAsia="Times New Roman" w:hAnsi="Simplified Arabic" w:cs="Simplified Arabic" w:hint="cs"/>
          <w:b/>
          <w:bCs/>
          <w:sz w:val="28"/>
          <w:szCs w:val="28"/>
        </w:rPr>
        <w:t xml:space="preserve"> (Primary Sources):</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وتمثّلت في البيانات الميدانية التي جُمعت من خلال استبانة مصمَّمة خصيصاً لأغراض هذه الدراسة، وُزّعت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A43D1D">
        <w:rPr>
          <w:rFonts w:ascii="Simplified Arabic" w:eastAsia="Times New Roman" w:hAnsi="Simplified Arabic" w:cs="Simplified Arabic" w:hint="cs"/>
          <w:sz w:val="28"/>
          <w:szCs w:val="28"/>
        </w:rPr>
        <w:t>.</w:t>
      </w:r>
    </w:p>
    <w:p w14:paraId="57E071E4" w14:textId="77777777" w:rsidR="00A43D1D" w:rsidRPr="00A43D1D" w:rsidRDefault="00A43D1D" w:rsidP="00A43D1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رابعاً: أداة الدراسة وإجراءات بنائها</w:t>
      </w:r>
    </w:p>
    <w:p w14:paraId="587E2ED0" w14:textId="45D02ACA"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وصف أداة الدراسة</w:t>
      </w:r>
    </w:p>
    <w:p w14:paraId="7BD6CC7B"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استُخدمت </w:t>
      </w:r>
      <w:r w:rsidRPr="00A43D1D">
        <w:rPr>
          <w:rFonts w:ascii="Simplified Arabic" w:eastAsia="Times New Roman" w:hAnsi="Simplified Arabic" w:cs="Simplified Arabic" w:hint="cs"/>
          <w:b/>
          <w:bCs/>
          <w:sz w:val="28"/>
          <w:szCs w:val="28"/>
          <w:rtl/>
        </w:rPr>
        <w:t>الاستبانة</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(Questionnaire) </w:t>
      </w:r>
      <w:r w:rsidRPr="00A43D1D">
        <w:rPr>
          <w:rFonts w:ascii="Simplified Arabic" w:eastAsia="Times New Roman" w:hAnsi="Simplified Arabic" w:cs="Simplified Arabic" w:hint="cs"/>
          <w:sz w:val="28"/>
          <w:szCs w:val="28"/>
          <w:rtl/>
        </w:rPr>
        <w:t xml:space="preserve">أداةً رئيسة لجمع البيانات الأولية من أفراد عيّنة الدراسة، وصُمّمت في ضوء الإطار النظري والدراسات السابقة المستعرضة وفق </w:t>
      </w:r>
      <w:r w:rsidRPr="00A43D1D">
        <w:rPr>
          <w:rFonts w:ascii="Simplified Arabic" w:eastAsia="Times New Roman" w:hAnsi="Simplified Arabic" w:cs="Simplified Arabic" w:hint="cs"/>
          <w:b/>
          <w:bCs/>
          <w:sz w:val="28"/>
          <w:szCs w:val="28"/>
          <w:rtl/>
        </w:rPr>
        <w:t>مقياس ليكرت الخماسي المتدرّج</w:t>
      </w:r>
      <w:r w:rsidRPr="00A43D1D">
        <w:rPr>
          <w:rFonts w:ascii="Simplified Arabic" w:eastAsia="Times New Roman" w:hAnsi="Simplified Arabic" w:cs="Simplified Arabic" w:hint="cs"/>
          <w:sz w:val="28"/>
          <w:szCs w:val="28"/>
          <w:rtl/>
        </w:rPr>
        <w:t xml:space="preserve"> على النحو التالي</w:t>
      </w:r>
      <w:r w:rsidRPr="00A43D1D">
        <w:rPr>
          <w:rFonts w:ascii="Simplified Arabic" w:eastAsia="Times New Roman" w:hAnsi="Simplified Arabic" w:cs="Simplified Arabic" w:hint="cs"/>
          <w:sz w:val="28"/>
          <w:szCs w:val="28"/>
        </w:rPr>
        <w:t>:</w:t>
      </w:r>
    </w:p>
    <w:tbl>
      <w:tblPr>
        <w:tblStyle w:val="a7"/>
        <w:bidiVisual/>
        <w:tblW w:w="0" w:type="auto"/>
        <w:tblLook w:val="04A0" w:firstRow="1" w:lastRow="0" w:firstColumn="1" w:lastColumn="0" w:noHBand="0" w:noVBand="1"/>
      </w:tblPr>
      <w:tblGrid>
        <w:gridCol w:w="1064"/>
        <w:gridCol w:w="1263"/>
        <w:gridCol w:w="735"/>
        <w:gridCol w:w="717"/>
        <w:gridCol w:w="1173"/>
        <w:gridCol w:w="1700"/>
      </w:tblGrid>
      <w:tr w:rsidR="00A43D1D" w:rsidRPr="00A43D1D" w14:paraId="6A45B581" w14:textId="77777777" w:rsidTr="00A43D1D">
        <w:tc>
          <w:tcPr>
            <w:tcW w:w="0" w:type="auto"/>
            <w:hideMark/>
          </w:tcPr>
          <w:p w14:paraId="7A6F929A"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الاستجابة</w:t>
            </w:r>
          </w:p>
        </w:tc>
        <w:tc>
          <w:tcPr>
            <w:tcW w:w="0" w:type="auto"/>
            <w:hideMark/>
          </w:tcPr>
          <w:p w14:paraId="25580AF8"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موافق بشدة</w:t>
            </w:r>
          </w:p>
        </w:tc>
        <w:tc>
          <w:tcPr>
            <w:tcW w:w="0" w:type="auto"/>
            <w:hideMark/>
          </w:tcPr>
          <w:p w14:paraId="3DA98AA9"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موافق</w:t>
            </w:r>
          </w:p>
        </w:tc>
        <w:tc>
          <w:tcPr>
            <w:tcW w:w="0" w:type="auto"/>
            <w:hideMark/>
          </w:tcPr>
          <w:p w14:paraId="2C394292"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محايد</w:t>
            </w:r>
          </w:p>
        </w:tc>
        <w:tc>
          <w:tcPr>
            <w:tcW w:w="0" w:type="auto"/>
            <w:hideMark/>
          </w:tcPr>
          <w:p w14:paraId="2BBBB854"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غير موافق</w:t>
            </w:r>
          </w:p>
        </w:tc>
        <w:tc>
          <w:tcPr>
            <w:tcW w:w="0" w:type="auto"/>
            <w:hideMark/>
          </w:tcPr>
          <w:p w14:paraId="5B9B2776"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غير موافق بشدة</w:t>
            </w:r>
          </w:p>
        </w:tc>
      </w:tr>
      <w:tr w:rsidR="00A43D1D" w:rsidRPr="00A43D1D" w14:paraId="7514FC68" w14:textId="77777777" w:rsidTr="00A43D1D">
        <w:tc>
          <w:tcPr>
            <w:tcW w:w="0" w:type="auto"/>
            <w:hideMark/>
          </w:tcPr>
          <w:p w14:paraId="0F50F55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الدرجة</w:t>
            </w:r>
          </w:p>
        </w:tc>
        <w:tc>
          <w:tcPr>
            <w:tcW w:w="0" w:type="auto"/>
            <w:hideMark/>
          </w:tcPr>
          <w:p w14:paraId="2FE0345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5</w:t>
            </w:r>
          </w:p>
        </w:tc>
        <w:tc>
          <w:tcPr>
            <w:tcW w:w="0" w:type="auto"/>
            <w:hideMark/>
          </w:tcPr>
          <w:p w14:paraId="4745AB0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56BE0952"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3</w:t>
            </w:r>
          </w:p>
        </w:tc>
        <w:tc>
          <w:tcPr>
            <w:tcW w:w="0" w:type="auto"/>
            <w:hideMark/>
          </w:tcPr>
          <w:p w14:paraId="5378855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2</w:t>
            </w:r>
          </w:p>
        </w:tc>
        <w:tc>
          <w:tcPr>
            <w:tcW w:w="0" w:type="auto"/>
            <w:hideMark/>
          </w:tcPr>
          <w:p w14:paraId="519FA8A1"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1</w:t>
            </w:r>
          </w:p>
        </w:tc>
      </w:tr>
    </w:tbl>
    <w:p w14:paraId="41240C68"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ولتفسير المتوسطات الحسابية، حُدّد طول الفئة وفق المعادلة الآتية</w:t>
      </w:r>
      <w:r w:rsidRPr="00A43D1D">
        <w:rPr>
          <w:rFonts w:ascii="Simplified Arabic" w:eastAsia="Times New Roman" w:hAnsi="Simplified Arabic" w:cs="Simplified Arabic" w:hint="cs"/>
          <w:sz w:val="28"/>
          <w:szCs w:val="28"/>
        </w:rPr>
        <w:t>:</w:t>
      </w:r>
    </w:p>
    <w:p w14:paraId="1EFCB78B" w14:textId="77777777" w:rsidR="00A43D1D" w:rsidRPr="00A43D1D" w:rsidRDefault="00A43D1D" w:rsidP="00A43D1D">
      <w:pPr>
        <w:numPr>
          <w:ilvl w:val="0"/>
          <w:numId w:val="48"/>
        </w:num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lastRenderedPageBreak/>
        <w:t>طول الفئة = (الحد الأعلى – الحد الأدنى) ÷ عدد الفئات = (5 – 1) ÷ 5 = 0.80</w:t>
      </w:r>
    </w:p>
    <w:tbl>
      <w:tblPr>
        <w:tblStyle w:val="a7"/>
        <w:bidiVisual/>
        <w:tblW w:w="0" w:type="auto"/>
        <w:tblLook w:val="04A0" w:firstRow="1" w:lastRow="0" w:firstColumn="1" w:lastColumn="0" w:noHBand="0" w:noVBand="1"/>
      </w:tblPr>
      <w:tblGrid>
        <w:gridCol w:w="2793"/>
        <w:gridCol w:w="1615"/>
      </w:tblGrid>
      <w:tr w:rsidR="00A43D1D" w:rsidRPr="00A43D1D" w14:paraId="445A775D" w14:textId="77777777" w:rsidTr="00A43D1D">
        <w:tc>
          <w:tcPr>
            <w:tcW w:w="0" w:type="auto"/>
            <w:hideMark/>
          </w:tcPr>
          <w:p w14:paraId="601A0717"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المتوسط الحسابي</w:t>
            </w:r>
          </w:p>
        </w:tc>
        <w:tc>
          <w:tcPr>
            <w:tcW w:w="0" w:type="auto"/>
            <w:hideMark/>
          </w:tcPr>
          <w:p w14:paraId="618EF504"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مستوى الموافقة</w:t>
            </w:r>
          </w:p>
        </w:tc>
      </w:tr>
      <w:tr w:rsidR="00A43D1D" w:rsidRPr="00A43D1D" w14:paraId="3BD5F161" w14:textId="77777777" w:rsidTr="00A43D1D">
        <w:tc>
          <w:tcPr>
            <w:tcW w:w="0" w:type="auto"/>
            <w:hideMark/>
          </w:tcPr>
          <w:p w14:paraId="5DA20D9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 1.00 إلى أقل من 1.80</w:t>
            </w:r>
          </w:p>
        </w:tc>
        <w:tc>
          <w:tcPr>
            <w:tcW w:w="0" w:type="auto"/>
            <w:hideMark/>
          </w:tcPr>
          <w:p w14:paraId="2CF13047"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منخفض جداً</w:t>
            </w:r>
          </w:p>
        </w:tc>
      </w:tr>
      <w:tr w:rsidR="00A43D1D" w:rsidRPr="00A43D1D" w14:paraId="3C6F19E7" w14:textId="77777777" w:rsidTr="00A43D1D">
        <w:tc>
          <w:tcPr>
            <w:tcW w:w="0" w:type="auto"/>
            <w:hideMark/>
          </w:tcPr>
          <w:p w14:paraId="1999EB0F"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 1.80 إلى أقل من 2.60</w:t>
            </w:r>
          </w:p>
        </w:tc>
        <w:tc>
          <w:tcPr>
            <w:tcW w:w="0" w:type="auto"/>
            <w:hideMark/>
          </w:tcPr>
          <w:p w14:paraId="40DB699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منخفض</w:t>
            </w:r>
          </w:p>
        </w:tc>
      </w:tr>
      <w:tr w:rsidR="00A43D1D" w:rsidRPr="00A43D1D" w14:paraId="6C0264C9" w14:textId="77777777" w:rsidTr="00A43D1D">
        <w:tc>
          <w:tcPr>
            <w:tcW w:w="0" w:type="auto"/>
            <w:hideMark/>
          </w:tcPr>
          <w:p w14:paraId="0D418E6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 2.60 إلى أقل من 3.40</w:t>
            </w:r>
          </w:p>
        </w:tc>
        <w:tc>
          <w:tcPr>
            <w:tcW w:w="0" w:type="auto"/>
            <w:hideMark/>
          </w:tcPr>
          <w:p w14:paraId="2700FD4E"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متوسط</w:t>
            </w:r>
          </w:p>
        </w:tc>
      </w:tr>
      <w:tr w:rsidR="00A43D1D" w:rsidRPr="00A43D1D" w14:paraId="6D153C49" w14:textId="77777777" w:rsidTr="00A43D1D">
        <w:tc>
          <w:tcPr>
            <w:tcW w:w="0" w:type="auto"/>
            <w:hideMark/>
          </w:tcPr>
          <w:p w14:paraId="32E16FD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 3.40 إلى أقل من 4.20</w:t>
            </w:r>
          </w:p>
        </w:tc>
        <w:tc>
          <w:tcPr>
            <w:tcW w:w="0" w:type="auto"/>
            <w:hideMark/>
          </w:tcPr>
          <w:p w14:paraId="0D8CC95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مرتفع</w:t>
            </w:r>
          </w:p>
        </w:tc>
      </w:tr>
      <w:tr w:rsidR="00A43D1D" w:rsidRPr="00A43D1D" w14:paraId="25BA4898" w14:textId="77777777" w:rsidTr="00A43D1D">
        <w:tc>
          <w:tcPr>
            <w:tcW w:w="0" w:type="auto"/>
            <w:hideMark/>
          </w:tcPr>
          <w:p w14:paraId="62B6BE5E"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من 4.20 إلى 5.00</w:t>
            </w:r>
          </w:p>
        </w:tc>
        <w:tc>
          <w:tcPr>
            <w:tcW w:w="0" w:type="auto"/>
            <w:hideMark/>
          </w:tcPr>
          <w:p w14:paraId="17B2141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مرتفع جداً</w:t>
            </w:r>
          </w:p>
        </w:tc>
      </w:tr>
    </w:tbl>
    <w:p w14:paraId="767FC190" w14:textId="34BB8C42"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مكوّنات الاستبانة</w:t>
      </w:r>
    </w:p>
    <w:p w14:paraId="1E31A30E"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تكوّنت الاستبانة من </w:t>
      </w:r>
      <w:r w:rsidRPr="00A43D1D">
        <w:rPr>
          <w:rFonts w:ascii="Simplified Arabic" w:eastAsia="Times New Roman" w:hAnsi="Simplified Arabic" w:cs="Simplified Arabic" w:hint="cs"/>
          <w:b/>
          <w:bCs/>
          <w:sz w:val="28"/>
          <w:szCs w:val="28"/>
          <w:rtl/>
        </w:rPr>
        <w:t>أربعة أقسام رئيسة</w:t>
      </w:r>
      <w:r w:rsidRPr="00A43D1D">
        <w:rPr>
          <w:rFonts w:ascii="Simplified Arabic" w:eastAsia="Times New Roman" w:hAnsi="Simplified Arabic" w:cs="Simplified Arabic" w:hint="cs"/>
          <w:sz w:val="28"/>
          <w:szCs w:val="28"/>
          <w:rtl/>
        </w:rPr>
        <w:t xml:space="preserve"> يبلغ مجموع فقراتها </w:t>
      </w:r>
      <w:r w:rsidRPr="00A43D1D">
        <w:rPr>
          <w:rFonts w:ascii="Simplified Arabic" w:eastAsia="Times New Roman" w:hAnsi="Simplified Arabic" w:cs="Simplified Arabic" w:hint="cs"/>
          <w:b/>
          <w:bCs/>
          <w:sz w:val="28"/>
          <w:szCs w:val="28"/>
        </w:rPr>
        <w:t>(42)</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فقرة، موزّعة على النحو الآتي</w:t>
      </w:r>
      <w:r w:rsidRPr="00A43D1D">
        <w:rPr>
          <w:rFonts w:ascii="Simplified Arabic" w:eastAsia="Times New Roman" w:hAnsi="Simplified Arabic" w:cs="Simplified Arabic" w:hint="cs"/>
          <w:sz w:val="28"/>
          <w:szCs w:val="28"/>
        </w:rPr>
        <w:t>:</w:t>
      </w:r>
    </w:p>
    <w:p w14:paraId="71491FBB"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القسم الأول: البيانات الديموغرافية والوظيفية</w:t>
      </w:r>
      <w:r w:rsidRPr="00A43D1D">
        <w:rPr>
          <w:rFonts w:ascii="Simplified Arabic" w:eastAsia="Times New Roman" w:hAnsi="Simplified Arabic" w:cs="Simplified Arabic" w:hint="cs"/>
          <w:b/>
          <w:bCs/>
          <w:sz w:val="28"/>
          <w:szCs w:val="28"/>
        </w:rPr>
        <w:t>:</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ويتضمّن خمسة متغيّرات هي (الجنس، والعمر، والمؤهل العلمي، وسنوات الخبرة، والمستوى الإداري) لوصف خصائص عيّنة الدراسة وفحص الفروق الإحصائية وفقاً لهذه المتغيّرات</w:t>
      </w:r>
      <w:r w:rsidRPr="00A43D1D">
        <w:rPr>
          <w:rFonts w:ascii="Simplified Arabic" w:eastAsia="Times New Roman" w:hAnsi="Simplified Arabic" w:cs="Simplified Arabic" w:hint="cs"/>
          <w:sz w:val="28"/>
          <w:szCs w:val="28"/>
        </w:rPr>
        <w:t>.</w:t>
      </w:r>
    </w:p>
    <w:p w14:paraId="1D534C5C"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القسم الثاني: القيادة التحويلية (المتغيّر المستقل)</w:t>
      </w:r>
      <w:r w:rsidRPr="00A43D1D">
        <w:rPr>
          <w:rFonts w:ascii="Simplified Arabic" w:eastAsia="Times New Roman" w:hAnsi="Simplified Arabic" w:cs="Simplified Arabic" w:hint="cs"/>
          <w:b/>
          <w:bCs/>
          <w:sz w:val="28"/>
          <w:szCs w:val="28"/>
        </w:rPr>
        <w:t>:</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ويتكوّن من (16) فقرة موزّعة بالتساوي على أربعة أبعاد بواقع (4) فقرات لكل بُعد: التأثير المثالي، والاستثارة الفكرية، والدافعية الإلهامية، والاعتبار الفردي</w:t>
      </w:r>
      <w:r w:rsidRPr="00A43D1D">
        <w:rPr>
          <w:rFonts w:ascii="Simplified Arabic" w:eastAsia="Times New Roman" w:hAnsi="Simplified Arabic" w:cs="Simplified Arabic" w:hint="cs"/>
          <w:sz w:val="28"/>
          <w:szCs w:val="28"/>
        </w:rPr>
        <w:t>.</w:t>
      </w:r>
    </w:p>
    <w:p w14:paraId="1FA52FFA"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القسم الثالث: التحوّل الرقمي (المتغيّر الوسيط)</w:t>
      </w:r>
      <w:r w:rsidRPr="00A43D1D">
        <w:rPr>
          <w:rFonts w:ascii="Simplified Arabic" w:eastAsia="Times New Roman" w:hAnsi="Simplified Arabic" w:cs="Simplified Arabic" w:hint="cs"/>
          <w:b/>
          <w:bCs/>
          <w:sz w:val="28"/>
          <w:szCs w:val="28"/>
        </w:rPr>
        <w:t>:</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ويتكوّن من (16) فقرة موزّعة بالتساوي على أربعة أبعاد بواقع (4) فقرات لكل بُعد: البنية التحتية التكنولوجية، والثقافة التنظيمية الرقمية، والتشريعات والسياسات الرقمية، والموارد البشرية الرقمية</w:t>
      </w:r>
      <w:r w:rsidRPr="00A43D1D">
        <w:rPr>
          <w:rFonts w:ascii="Simplified Arabic" w:eastAsia="Times New Roman" w:hAnsi="Simplified Arabic" w:cs="Simplified Arabic" w:hint="cs"/>
          <w:sz w:val="28"/>
          <w:szCs w:val="28"/>
        </w:rPr>
        <w:t>.</w:t>
      </w:r>
    </w:p>
    <w:p w14:paraId="1F2E5966"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القسم الرابع: الأداء الوظيفي (المتغيّر التابع)</w:t>
      </w:r>
      <w:r w:rsidRPr="00A43D1D">
        <w:rPr>
          <w:rFonts w:ascii="Simplified Arabic" w:eastAsia="Times New Roman" w:hAnsi="Simplified Arabic" w:cs="Simplified Arabic" w:hint="cs"/>
          <w:b/>
          <w:bCs/>
          <w:sz w:val="28"/>
          <w:szCs w:val="28"/>
        </w:rPr>
        <w:t>:</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w:t>
      </w:r>
      <w:r w:rsidRPr="00A43D1D">
        <w:rPr>
          <w:rFonts w:ascii="Simplified Arabic" w:eastAsia="Times New Roman" w:hAnsi="Simplified Arabic" w:cs="Simplified Arabic" w:hint="cs"/>
          <w:sz w:val="28"/>
          <w:szCs w:val="28"/>
        </w:rPr>
        <w:t>.</w:t>
      </w:r>
    </w:p>
    <w:p w14:paraId="53538A1D" w14:textId="77777777" w:rsid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tl/>
        </w:rPr>
      </w:pPr>
    </w:p>
    <w:p w14:paraId="50284DC9" w14:textId="2014A6E6"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lastRenderedPageBreak/>
        <w:t>الجدول التوضيحي لتوزيع فقرات الاستبانة</w:t>
      </w:r>
    </w:p>
    <w:tbl>
      <w:tblPr>
        <w:tblStyle w:val="a7"/>
        <w:bidiVisual/>
        <w:tblW w:w="0" w:type="auto"/>
        <w:tblLook w:val="04A0" w:firstRow="1" w:lastRow="0" w:firstColumn="1" w:lastColumn="0" w:noHBand="0" w:noVBand="1"/>
      </w:tblPr>
      <w:tblGrid>
        <w:gridCol w:w="938"/>
        <w:gridCol w:w="2205"/>
        <w:gridCol w:w="1095"/>
        <w:gridCol w:w="4255"/>
      </w:tblGrid>
      <w:tr w:rsidR="00A43D1D" w:rsidRPr="00A43D1D" w14:paraId="7D0BFE54" w14:textId="77777777" w:rsidTr="00A43D1D">
        <w:tc>
          <w:tcPr>
            <w:tcW w:w="0" w:type="auto"/>
            <w:hideMark/>
          </w:tcPr>
          <w:p w14:paraId="353CE68C"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القسم</w:t>
            </w:r>
          </w:p>
        </w:tc>
        <w:tc>
          <w:tcPr>
            <w:tcW w:w="0" w:type="auto"/>
            <w:hideMark/>
          </w:tcPr>
          <w:p w14:paraId="7C654A1E"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المتغيّر/البُعد</w:t>
            </w:r>
          </w:p>
        </w:tc>
        <w:tc>
          <w:tcPr>
            <w:tcW w:w="0" w:type="auto"/>
            <w:hideMark/>
          </w:tcPr>
          <w:p w14:paraId="54D9691E"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عدد الفقرات</w:t>
            </w:r>
          </w:p>
        </w:tc>
        <w:tc>
          <w:tcPr>
            <w:tcW w:w="0" w:type="auto"/>
            <w:hideMark/>
          </w:tcPr>
          <w:p w14:paraId="33A2866E" w14:textId="77777777" w:rsidR="00A43D1D" w:rsidRPr="00A43D1D" w:rsidRDefault="00A43D1D" w:rsidP="00A43D1D">
            <w:pPr>
              <w:bidi/>
              <w:spacing w:after="0" w:line="276" w:lineRule="auto"/>
              <w:jc w:val="both"/>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المرجع</w:t>
            </w:r>
          </w:p>
        </w:tc>
      </w:tr>
      <w:tr w:rsidR="00A43D1D" w:rsidRPr="00A43D1D" w14:paraId="74BF41E5" w14:textId="77777777" w:rsidTr="00A43D1D">
        <w:tc>
          <w:tcPr>
            <w:tcW w:w="0" w:type="auto"/>
            <w:hideMark/>
          </w:tcPr>
          <w:p w14:paraId="5028CA96"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الأول</w:t>
            </w:r>
          </w:p>
        </w:tc>
        <w:tc>
          <w:tcPr>
            <w:tcW w:w="0" w:type="auto"/>
            <w:hideMark/>
          </w:tcPr>
          <w:p w14:paraId="47F0AFE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البيانات الديموغرافية والوظيفية</w:t>
            </w:r>
          </w:p>
        </w:tc>
        <w:tc>
          <w:tcPr>
            <w:tcW w:w="0" w:type="auto"/>
            <w:hideMark/>
          </w:tcPr>
          <w:p w14:paraId="779877A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5 </w:t>
            </w:r>
            <w:r w:rsidRPr="00A43D1D">
              <w:rPr>
                <w:rFonts w:ascii="Simplified Arabic" w:eastAsia="Times New Roman" w:hAnsi="Simplified Arabic" w:cs="Simplified Arabic" w:hint="cs"/>
                <w:sz w:val="28"/>
                <w:szCs w:val="28"/>
                <w:rtl/>
              </w:rPr>
              <w:t>متغيّرات</w:t>
            </w:r>
          </w:p>
        </w:tc>
        <w:tc>
          <w:tcPr>
            <w:tcW w:w="0" w:type="auto"/>
            <w:hideMark/>
          </w:tcPr>
          <w:p w14:paraId="2F33E404"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إعداد الباحث</w:t>
            </w:r>
          </w:p>
        </w:tc>
      </w:tr>
      <w:tr w:rsidR="00A43D1D" w:rsidRPr="00A43D1D" w14:paraId="149BD895" w14:textId="77777777" w:rsidTr="00A43D1D">
        <w:tc>
          <w:tcPr>
            <w:tcW w:w="0" w:type="auto"/>
            <w:hideMark/>
          </w:tcPr>
          <w:p w14:paraId="684FE33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الثاني</w:t>
            </w:r>
          </w:p>
        </w:tc>
        <w:tc>
          <w:tcPr>
            <w:tcW w:w="0" w:type="auto"/>
            <w:hideMark/>
          </w:tcPr>
          <w:p w14:paraId="5BCD1DC8"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القيادة التحويلية</w:t>
            </w:r>
          </w:p>
        </w:tc>
        <w:tc>
          <w:tcPr>
            <w:tcW w:w="0" w:type="auto"/>
            <w:hideMark/>
          </w:tcPr>
          <w:p w14:paraId="66FC693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16</w:t>
            </w:r>
          </w:p>
        </w:tc>
        <w:tc>
          <w:tcPr>
            <w:tcW w:w="0" w:type="auto"/>
            <w:hideMark/>
          </w:tcPr>
          <w:p w14:paraId="7C5CF12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البركاني (2024)، بلحاج</w:t>
            </w:r>
            <w:r w:rsidRPr="00A43D1D">
              <w:rPr>
                <w:rFonts w:ascii="Simplified Arabic" w:eastAsia="Times New Roman" w:hAnsi="Simplified Arabic" w:cs="Simplified Arabic" w:hint="cs"/>
                <w:sz w:val="28"/>
                <w:szCs w:val="28"/>
              </w:rPr>
              <w:t xml:space="preserve"> (2024)</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Hussain et al. (2024)</w:t>
            </w:r>
          </w:p>
        </w:tc>
      </w:tr>
      <w:tr w:rsidR="00A43D1D" w:rsidRPr="00A43D1D" w14:paraId="6B947CC0" w14:textId="77777777" w:rsidTr="00A43D1D">
        <w:tc>
          <w:tcPr>
            <w:tcW w:w="0" w:type="auto"/>
            <w:hideMark/>
          </w:tcPr>
          <w:p w14:paraId="39D0923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11850EE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التأثير المثالي</w:t>
            </w:r>
          </w:p>
        </w:tc>
        <w:tc>
          <w:tcPr>
            <w:tcW w:w="0" w:type="auto"/>
            <w:hideMark/>
          </w:tcPr>
          <w:p w14:paraId="3899C17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7D9F83E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2E74E8D6" w14:textId="77777777" w:rsidTr="00A43D1D">
        <w:tc>
          <w:tcPr>
            <w:tcW w:w="0" w:type="auto"/>
            <w:hideMark/>
          </w:tcPr>
          <w:p w14:paraId="3A82BC6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448174A2"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الاستثارة الفكرية</w:t>
            </w:r>
          </w:p>
        </w:tc>
        <w:tc>
          <w:tcPr>
            <w:tcW w:w="0" w:type="auto"/>
            <w:hideMark/>
          </w:tcPr>
          <w:p w14:paraId="356448D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634A24DC"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7E3AACB2" w14:textId="77777777" w:rsidTr="00A43D1D">
        <w:tc>
          <w:tcPr>
            <w:tcW w:w="0" w:type="auto"/>
            <w:hideMark/>
          </w:tcPr>
          <w:p w14:paraId="5615163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0201DF8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الدافعية الإلهامية</w:t>
            </w:r>
          </w:p>
        </w:tc>
        <w:tc>
          <w:tcPr>
            <w:tcW w:w="0" w:type="auto"/>
            <w:hideMark/>
          </w:tcPr>
          <w:p w14:paraId="1CE7E8B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07D7D608"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4E9D6E8C" w14:textId="77777777" w:rsidTr="00A43D1D">
        <w:tc>
          <w:tcPr>
            <w:tcW w:w="0" w:type="auto"/>
            <w:hideMark/>
          </w:tcPr>
          <w:p w14:paraId="2C0026E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1CE1E1C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الاعتبار الفردي</w:t>
            </w:r>
          </w:p>
        </w:tc>
        <w:tc>
          <w:tcPr>
            <w:tcW w:w="0" w:type="auto"/>
            <w:hideMark/>
          </w:tcPr>
          <w:p w14:paraId="209EA7E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019BBC8F"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0526298A" w14:textId="77777777" w:rsidTr="00A43D1D">
        <w:tc>
          <w:tcPr>
            <w:tcW w:w="0" w:type="auto"/>
            <w:hideMark/>
          </w:tcPr>
          <w:p w14:paraId="08A6DE56"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الثالث</w:t>
            </w:r>
          </w:p>
        </w:tc>
        <w:tc>
          <w:tcPr>
            <w:tcW w:w="0" w:type="auto"/>
            <w:hideMark/>
          </w:tcPr>
          <w:p w14:paraId="04AC304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التحوّل الرقمي</w:t>
            </w:r>
          </w:p>
        </w:tc>
        <w:tc>
          <w:tcPr>
            <w:tcW w:w="0" w:type="auto"/>
            <w:hideMark/>
          </w:tcPr>
          <w:p w14:paraId="5CC505F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16</w:t>
            </w:r>
          </w:p>
        </w:tc>
        <w:tc>
          <w:tcPr>
            <w:tcW w:w="0" w:type="auto"/>
            <w:hideMark/>
          </w:tcPr>
          <w:p w14:paraId="0D83677F"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الطيب (2024)، موافى وبدوي</w:t>
            </w:r>
            <w:r w:rsidRPr="00A43D1D">
              <w:rPr>
                <w:rFonts w:ascii="Simplified Arabic" w:eastAsia="Times New Roman" w:hAnsi="Simplified Arabic" w:cs="Simplified Arabic" w:hint="cs"/>
                <w:sz w:val="28"/>
                <w:szCs w:val="28"/>
              </w:rPr>
              <w:t xml:space="preserve"> (2024)</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Abdurrahman (2025)</w:t>
            </w:r>
          </w:p>
        </w:tc>
      </w:tr>
      <w:tr w:rsidR="00A43D1D" w:rsidRPr="00A43D1D" w14:paraId="495331DA" w14:textId="77777777" w:rsidTr="00A43D1D">
        <w:tc>
          <w:tcPr>
            <w:tcW w:w="0" w:type="auto"/>
            <w:hideMark/>
          </w:tcPr>
          <w:p w14:paraId="241441A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3827E8E1"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البنية التحتية التقنية</w:t>
            </w:r>
          </w:p>
        </w:tc>
        <w:tc>
          <w:tcPr>
            <w:tcW w:w="0" w:type="auto"/>
            <w:hideMark/>
          </w:tcPr>
          <w:p w14:paraId="6E1DDC92"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0AA3CF4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61C73D48" w14:textId="77777777" w:rsidTr="00A43D1D">
        <w:tc>
          <w:tcPr>
            <w:tcW w:w="0" w:type="auto"/>
            <w:hideMark/>
          </w:tcPr>
          <w:p w14:paraId="17AC6358"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4B6BF711"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الثقافة الرقمية</w:t>
            </w:r>
          </w:p>
        </w:tc>
        <w:tc>
          <w:tcPr>
            <w:tcW w:w="0" w:type="auto"/>
            <w:hideMark/>
          </w:tcPr>
          <w:p w14:paraId="07F227B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6FE93C9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04B1EBA2" w14:textId="77777777" w:rsidTr="00A43D1D">
        <w:tc>
          <w:tcPr>
            <w:tcW w:w="0" w:type="auto"/>
            <w:hideMark/>
          </w:tcPr>
          <w:p w14:paraId="3386E2E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58BA7E8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التشريعات والسياسات الرقمية</w:t>
            </w:r>
          </w:p>
        </w:tc>
        <w:tc>
          <w:tcPr>
            <w:tcW w:w="0" w:type="auto"/>
            <w:hideMark/>
          </w:tcPr>
          <w:p w14:paraId="05958C2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552EEFCA"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1C921003" w14:textId="77777777" w:rsidTr="00A43D1D">
        <w:tc>
          <w:tcPr>
            <w:tcW w:w="0" w:type="auto"/>
            <w:hideMark/>
          </w:tcPr>
          <w:p w14:paraId="38A951C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52B26A40"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الموارد البشرية الرقمية</w:t>
            </w:r>
          </w:p>
        </w:tc>
        <w:tc>
          <w:tcPr>
            <w:tcW w:w="0" w:type="auto"/>
            <w:hideMark/>
          </w:tcPr>
          <w:p w14:paraId="21A2ECDF"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4</w:t>
            </w:r>
          </w:p>
        </w:tc>
        <w:tc>
          <w:tcPr>
            <w:tcW w:w="0" w:type="auto"/>
            <w:hideMark/>
          </w:tcPr>
          <w:p w14:paraId="0265F5C4"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r w:rsidR="00A43D1D" w:rsidRPr="00A43D1D" w14:paraId="3E4154ED" w14:textId="77777777" w:rsidTr="00A43D1D">
        <w:tc>
          <w:tcPr>
            <w:tcW w:w="0" w:type="auto"/>
            <w:hideMark/>
          </w:tcPr>
          <w:p w14:paraId="2A7CF23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الرابع</w:t>
            </w:r>
          </w:p>
        </w:tc>
        <w:tc>
          <w:tcPr>
            <w:tcW w:w="0" w:type="auto"/>
            <w:hideMark/>
          </w:tcPr>
          <w:p w14:paraId="166548D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الأداء الوظيفي</w:t>
            </w:r>
          </w:p>
        </w:tc>
        <w:tc>
          <w:tcPr>
            <w:tcW w:w="0" w:type="auto"/>
            <w:hideMark/>
          </w:tcPr>
          <w:p w14:paraId="46A8AC5C"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10</w:t>
            </w:r>
          </w:p>
        </w:tc>
        <w:tc>
          <w:tcPr>
            <w:tcW w:w="0" w:type="auto"/>
            <w:hideMark/>
          </w:tcPr>
          <w:p w14:paraId="4FE9251B"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Pr>
              <w:t>Gazi et al. (2024)</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Chang (2024)</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Deng et al. (2023)</w:t>
            </w:r>
          </w:p>
        </w:tc>
      </w:tr>
      <w:tr w:rsidR="00A43D1D" w:rsidRPr="00A43D1D" w14:paraId="61AEC57D" w14:textId="77777777" w:rsidTr="00A43D1D">
        <w:tc>
          <w:tcPr>
            <w:tcW w:w="0" w:type="auto"/>
            <w:hideMark/>
          </w:tcPr>
          <w:p w14:paraId="6B63D2F3"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tl/>
              </w:rPr>
              <w:t>المجموع</w:t>
            </w:r>
          </w:p>
        </w:tc>
        <w:tc>
          <w:tcPr>
            <w:tcW w:w="0" w:type="auto"/>
            <w:hideMark/>
          </w:tcPr>
          <w:p w14:paraId="6FA09FB9"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c>
          <w:tcPr>
            <w:tcW w:w="0" w:type="auto"/>
            <w:hideMark/>
          </w:tcPr>
          <w:p w14:paraId="001C6855"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b/>
                <w:bCs/>
                <w:sz w:val="28"/>
                <w:szCs w:val="28"/>
              </w:rPr>
              <w:t xml:space="preserve">42 </w:t>
            </w:r>
            <w:r w:rsidRPr="00A43D1D">
              <w:rPr>
                <w:rFonts w:ascii="Simplified Arabic" w:eastAsia="Times New Roman" w:hAnsi="Simplified Arabic" w:cs="Simplified Arabic" w:hint="cs"/>
                <w:b/>
                <w:bCs/>
                <w:sz w:val="28"/>
                <w:szCs w:val="28"/>
                <w:rtl/>
              </w:rPr>
              <w:t>فقرة</w:t>
            </w:r>
          </w:p>
        </w:tc>
        <w:tc>
          <w:tcPr>
            <w:tcW w:w="0" w:type="auto"/>
            <w:hideMark/>
          </w:tcPr>
          <w:p w14:paraId="5CDB3C8D" w14:textId="77777777" w:rsidR="00A43D1D" w:rsidRPr="00A43D1D" w:rsidRDefault="00A43D1D" w:rsidP="00A43D1D">
            <w:pPr>
              <w:bidi/>
              <w:spacing w:after="0" w:line="276" w:lineRule="auto"/>
              <w:jc w:val="both"/>
              <w:rPr>
                <w:rFonts w:ascii="Simplified Arabic" w:eastAsia="Times New Roman" w:hAnsi="Simplified Arabic" w:cs="Simplified Arabic"/>
                <w:sz w:val="28"/>
                <w:szCs w:val="28"/>
              </w:rPr>
            </w:pPr>
          </w:p>
        </w:tc>
      </w:tr>
    </w:tbl>
    <w:p w14:paraId="5C56DFE7"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سار الباحث في بناء أداة الدراسة وفق الخطوات الآتية</w:t>
      </w:r>
      <w:r w:rsidRPr="00A43D1D">
        <w:rPr>
          <w:rFonts w:ascii="Simplified Arabic" w:eastAsia="Times New Roman" w:hAnsi="Simplified Arabic" w:cs="Simplified Arabic" w:hint="cs"/>
          <w:sz w:val="28"/>
          <w:szCs w:val="28"/>
        </w:rPr>
        <w:t>:</w:t>
      </w:r>
    </w:p>
    <w:p w14:paraId="0BD875AA"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lastRenderedPageBreak/>
        <w:t>أولاً، الاطلاع على الإطار النظري والدراسات السابقة العربية والأجنبية ذات الصلة بمتغيّرات الدراسة بهدف تحديد الأبعاد الرئيسة لكل متغيّر والمؤشرات الدالة عليها. ثانياً، صياغة فقرات الاستبانة في ضوء التعريفات الإجرائية للمتغيّرات وأبعادها، مع الحرص على وضوح الصياغة اللغوية وملاءمتها لطبيعة المجتمع المستهدف. ثالثاً، عرض الاستبانة في صورتها الأولية على المشرف العلمي لإبداء ملاحظاته وتوجيهاته</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رابعاً، عرض الاستبانة على مجموعة من المحكّمين المتخصّصين للتحقّق من صدقها الظاهري وصدق محتواها. خامساً، إجراء التعديلات اللازمة في ضوء ملاحظات المحكّمين. سادساً، تطبيق الاستبانة على عيّنة استطلاعية للتحقّق من ثباتها. سابعاً، إخراج الاستبانة في صورتها النهائية وتوزيعها على عيّنة الدراسة</w:t>
      </w:r>
      <w:r w:rsidRPr="00A43D1D">
        <w:rPr>
          <w:rFonts w:ascii="Simplified Arabic" w:eastAsia="Times New Roman" w:hAnsi="Simplified Arabic" w:cs="Simplified Arabic" w:hint="cs"/>
          <w:sz w:val="28"/>
          <w:szCs w:val="28"/>
        </w:rPr>
        <w:t>.</w:t>
      </w:r>
    </w:p>
    <w:p w14:paraId="0A26BEF2" w14:textId="4B28AAA3"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صدق أداة الدراسة</w:t>
      </w:r>
    </w:p>
    <w:p w14:paraId="0B7808A2" w14:textId="5F25C929" w:rsidR="00A43D1D" w:rsidRPr="00A43D1D" w:rsidRDefault="00A43D1D" w:rsidP="00A43D1D">
      <w:pPr>
        <w:bidi/>
        <w:spacing w:before="100" w:beforeAutospacing="1" w:after="100" w:afterAutospacing="1" w:line="276" w:lineRule="auto"/>
        <w:jc w:val="both"/>
        <w:outlineLvl w:val="3"/>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أ) الصدق الظاهري وصدق المحتوى (صدق المحكّمين</w:t>
      </w:r>
      <w:r>
        <w:rPr>
          <w:rFonts w:ascii="Simplified Arabic" w:eastAsia="Times New Roman" w:hAnsi="Simplified Arabic" w:cs="Simplified Arabic" w:hint="cs"/>
          <w:b/>
          <w:bCs/>
          <w:sz w:val="28"/>
          <w:szCs w:val="28"/>
          <w:rtl/>
        </w:rPr>
        <w:t>)</w:t>
      </w:r>
    </w:p>
    <w:p w14:paraId="16EFE39B"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عُرضت الاستبانة في صورتها الأوّلية على مجموعة من المحكّمين المتخصّصين في الإدارة والقيادة ومناهج البحث العلمي من أعضاء هيئة التدريس في الجامعات السعودية، وذلك للتأكد من صدقها الظاهري وصدق محتواها ووضوح الصياغة اللغوية وملاءمة الفقرات للأبعاد التي تقيسها، وانتماء كل فقرة للبُعد الذي تندرج تحته، وكفاية عدد الفقرات لتغطية كل بُعد. وقد أُجريت التعديلات اللازمة في ضوء ملاحظات المحكّمين بحذف بعض الفقرات وإعادة صياغة بعضها الآخر، حتى استقرّت الاستبانة على صورتها النهائية المكوّنة من (42) فقرة</w:t>
      </w:r>
      <w:r w:rsidRPr="00A43D1D">
        <w:rPr>
          <w:rFonts w:ascii="Simplified Arabic" w:eastAsia="Times New Roman" w:hAnsi="Simplified Arabic" w:cs="Simplified Arabic" w:hint="cs"/>
          <w:sz w:val="28"/>
          <w:szCs w:val="28"/>
        </w:rPr>
        <w:t>.</w:t>
      </w:r>
    </w:p>
    <w:p w14:paraId="0BFB5FFE" w14:textId="77777777" w:rsidR="00A43D1D" w:rsidRPr="00A43D1D" w:rsidRDefault="00A43D1D" w:rsidP="00A43D1D">
      <w:pPr>
        <w:bidi/>
        <w:spacing w:before="100" w:beforeAutospacing="1" w:after="100" w:afterAutospacing="1" w:line="276" w:lineRule="auto"/>
        <w:jc w:val="both"/>
        <w:outlineLvl w:val="3"/>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ب) صدق الاتساق الداخلي</w:t>
      </w:r>
      <w:r w:rsidRPr="00A43D1D">
        <w:rPr>
          <w:rFonts w:ascii="Simplified Arabic" w:eastAsia="Times New Roman" w:hAnsi="Simplified Arabic" w:cs="Simplified Arabic" w:hint="cs"/>
          <w:b/>
          <w:bCs/>
          <w:sz w:val="28"/>
          <w:szCs w:val="28"/>
        </w:rPr>
        <w:t xml:space="preserve"> (Internal Consistency Validity)</w:t>
      </w:r>
    </w:p>
    <w:p w14:paraId="459E4CF8"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سيُحسب صدق الاتساق الداخلي بعد تطبيق الاستبانة على العيّنة الاستطلاعية من خلال حساب </w:t>
      </w:r>
      <w:r w:rsidRPr="00A43D1D">
        <w:rPr>
          <w:rFonts w:ascii="Simplified Arabic" w:eastAsia="Times New Roman" w:hAnsi="Simplified Arabic" w:cs="Simplified Arabic" w:hint="cs"/>
          <w:b/>
          <w:bCs/>
          <w:sz w:val="28"/>
          <w:szCs w:val="28"/>
          <w:rtl/>
        </w:rPr>
        <w:t>معامل ارتباط بيرسون</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(Pearson Correlation Coefficient) </w:t>
      </w:r>
      <w:r w:rsidRPr="00A43D1D">
        <w:rPr>
          <w:rFonts w:ascii="Simplified Arabic" w:eastAsia="Times New Roman" w:hAnsi="Simplified Arabic" w:cs="Simplified Arabic" w:hint="cs"/>
          <w:sz w:val="28"/>
          <w:szCs w:val="28"/>
          <w:rtl/>
        </w:rPr>
        <w:t xml:space="preserve">بين درجة كل فقرة من فقرات الاستبانة والدرجة الكلية للبُعد الذي تنتمي إليه، وكذلك بين درجة كل بُعد والدرجة الكلية للمتغيّر. ويُعدّ معامل الارتباط دالاً إحصائياً عند مستوى دلالة </w:t>
      </w:r>
      <w:r w:rsidRPr="00A43D1D">
        <w:rPr>
          <w:rFonts w:ascii="Simplified Arabic" w:eastAsia="Times New Roman" w:hAnsi="Simplified Arabic" w:cs="Simplified Arabic" w:hint="cs"/>
          <w:sz w:val="28"/>
          <w:szCs w:val="28"/>
        </w:rPr>
        <w:t xml:space="preserve">(0.05) </w:t>
      </w:r>
      <w:r w:rsidRPr="00A43D1D">
        <w:rPr>
          <w:rFonts w:ascii="Simplified Arabic" w:eastAsia="Times New Roman" w:hAnsi="Simplified Arabic" w:cs="Simplified Arabic" w:hint="cs"/>
          <w:sz w:val="28"/>
          <w:szCs w:val="28"/>
          <w:rtl/>
        </w:rPr>
        <w:t>أو</w:t>
      </w:r>
      <w:r w:rsidRPr="00A43D1D">
        <w:rPr>
          <w:rFonts w:ascii="Simplified Arabic" w:eastAsia="Times New Roman" w:hAnsi="Simplified Arabic" w:cs="Simplified Arabic" w:hint="cs"/>
          <w:sz w:val="28"/>
          <w:szCs w:val="28"/>
        </w:rPr>
        <w:t xml:space="preserve"> (0.01).</w:t>
      </w:r>
    </w:p>
    <w:p w14:paraId="64FB9AB0" w14:textId="77777777"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Pr>
        <w:t xml:space="preserve">6. </w:t>
      </w:r>
      <w:r w:rsidRPr="00A43D1D">
        <w:rPr>
          <w:rFonts w:ascii="Simplified Arabic" w:eastAsia="Times New Roman" w:hAnsi="Simplified Arabic" w:cs="Simplified Arabic" w:hint="cs"/>
          <w:b/>
          <w:bCs/>
          <w:sz w:val="28"/>
          <w:szCs w:val="28"/>
          <w:rtl/>
        </w:rPr>
        <w:t>ثبات أداة الدراسة</w:t>
      </w:r>
      <w:r w:rsidRPr="00A43D1D">
        <w:rPr>
          <w:rFonts w:ascii="Simplified Arabic" w:eastAsia="Times New Roman" w:hAnsi="Simplified Arabic" w:cs="Simplified Arabic" w:hint="cs"/>
          <w:b/>
          <w:bCs/>
          <w:sz w:val="28"/>
          <w:szCs w:val="28"/>
        </w:rPr>
        <w:t xml:space="preserve"> (Reliability)</w:t>
      </w:r>
    </w:p>
    <w:p w14:paraId="236A2E8D"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lastRenderedPageBreak/>
        <w:t xml:space="preserve">للتحقّق من ثبات الأداة، سيُجرى </w:t>
      </w:r>
      <w:r w:rsidRPr="00A43D1D">
        <w:rPr>
          <w:rFonts w:ascii="Simplified Arabic" w:eastAsia="Times New Roman" w:hAnsi="Simplified Arabic" w:cs="Simplified Arabic" w:hint="cs"/>
          <w:b/>
          <w:bCs/>
          <w:sz w:val="28"/>
          <w:szCs w:val="28"/>
          <w:rtl/>
        </w:rPr>
        <w:t>اختبار تجريبي</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(Pilot Study) </w:t>
      </w:r>
      <w:r w:rsidRPr="00A43D1D">
        <w:rPr>
          <w:rFonts w:ascii="Simplified Arabic" w:eastAsia="Times New Roman" w:hAnsi="Simplified Arabic" w:cs="Simplified Arabic" w:hint="cs"/>
          <w:sz w:val="28"/>
          <w:szCs w:val="28"/>
          <w:rtl/>
        </w:rPr>
        <w:t xml:space="preserve">على عيّنة استطلاعية لا تقلّ عن (30) مفردة من خارج عيّنة الدراسة النهائية، وذلك لحساب </w:t>
      </w:r>
      <w:r w:rsidRPr="00A43D1D">
        <w:rPr>
          <w:rFonts w:ascii="Simplified Arabic" w:eastAsia="Times New Roman" w:hAnsi="Simplified Arabic" w:cs="Simplified Arabic" w:hint="cs"/>
          <w:b/>
          <w:bCs/>
          <w:sz w:val="28"/>
          <w:szCs w:val="28"/>
          <w:rtl/>
        </w:rPr>
        <w:t>معامل ألفا كرونباخ</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(Cronbach's Alpha) </w:t>
      </w:r>
      <w:r w:rsidRPr="00A43D1D">
        <w:rPr>
          <w:rFonts w:ascii="Simplified Arabic" w:eastAsia="Times New Roman" w:hAnsi="Simplified Arabic" w:cs="Simplified Arabic" w:hint="cs"/>
          <w:sz w:val="28"/>
          <w:szCs w:val="28"/>
          <w:rtl/>
        </w:rPr>
        <w:t>للتأكد من ثبات الأداة واتّساقها الداخلي، إذ تُعدّ القيمة التي تزيد عن (0.70) مقبولة للأغراض البحثية وفقاً للمعايير الإحصائية المعتمدة، بينما تُعدّ القيمة التي تتجاوز (0.80) مؤشّراً على ثبات مرتفع للأداة</w:t>
      </w:r>
      <w:r w:rsidRPr="00A43D1D">
        <w:rPr>
          <w:rFonts w:ascii="Simplified Arabic" w:eastAsia="Times New Roman" w:hAnsi="Simplified Arabic" w:cs="Simplified Arabic" w:hint="cs"/>
          <w:sz w:val="28"/>
          <w:szCs w:val="28"/>
        </w:rPr>
        <w:t>.</w:t>
      </w:r>
    </w:p>
    <w:p w14:paraId="03292514" w14:textId="77777777" w:rsidR="00A43D1D" w:rsidRPr="00A43D1D" w:rsidRDefault="00A43D1D" w:rsidP="00A43D1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خامساً: المعالجات الإحصائية المقترحة</w:t>
      </w:r>
    </w:p>
    <w:p w14:paraId="5C8025FD"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اعتمد الباحث في تحليل بيانات الدراسة على برنامج </w:t>
      </w:r>
      <w:r w:rsidRPr="00A43D1D">
        <w:rPr>
          <w:rFonts w:ascii="Simplified Arabic" w:eastAsia="Times New Roman" w:hAnsi="Simplified Arabic" w:cs="Simplified Arabic" w:hint="cs"/>
          <w:b/>
          <w:bCs/>
          <w:sz w:val="28"/>
          <w:szCs w:val="28"/>
          <w:rtl/>
        </w:rPr>
        <w:t>التحليل الإحصائي للعلوم الاجتماعية</w:t>
      </w:r>
      <w:r w:rsidRPr="00A43D1D">
        <w:rPr>
          <w:rFonts w:ascii="Simplified Arabic" w:eastAsia="Times New Roman" w:hAnsi="Simplified Arabic" w:cs="Simplified Arabic" w:hint="cs"/>
          <w:b/>
          <w:bCs/>
          <w:sz w:val="28"/>
          <w:szCs w:val="28"/>
        </w:rPr>
        <w:t xml:space="preserve"> (SPSS V.28)</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 xml:space="preserve">وبرنامج </w:t>
      </w:r>
      <w:r w:rsidRPr="00A43D1D">
        <w:rPr>
          <w:rFonts w:ascii="Simplified Arabic" w:eastAsia="Times New Roman" w:hAnsi="Simplified Arabic" w:cs="Simplified Arabic" w:hint="cs"/>
          <w:b/>
          <w:bCs/>
          <w:sz w:val="28"/>
          <w:szCs w:val="28"/>
        </w:rPr>
        <w:t>AMOS V.26</w:t>
      </w:r>
      <w:r w:rsidRPr="00A43D1D">
        <w:rPr>
          <w:rFonts w:ascii="Simplified Arabic" w:eastAsia="Times New Roman" w:hAnsi="Simplified Arabic" w:cs="Simplified Arabic" w:hint="cs"/>
          <w:sz w:val="28"/>
          <w:szCs w:val="28"/>
        </w:rPr>
        <w:t xml:space="preserve"> </w:t>
      </w:r>
      <w:r w:rsidRPr="00A43D1D">
        <w:rPr>
          <w:rFonts w:ascii="Simplified Arabic" w:eastAsia="Times New Roman" w:hAnsi="Simplified Arabic" w:cs="Simplified Arabic" w:hint="cs"/>
          <w:sz w:val="28"/>
          <w:szCs w:val="28"/>
          <w:rtl/>
        </w:rPr>
        <w:t>للإجابة عن أسئلة الدراسة واختبار فرضياتها، وذلك من خلال توظيف مجموعة متكاملة من الأساليب الإحصائية الوصفية والتحليلية على النحو الآتي</w:t>
      </w:r>
      <w:r w:rsidRPr="00A43D1D">
        <w:rPr>
          <w:rFonts w:ascii="Simplified Arabic" w:eastAsia="Times New Roman" w:hAnsi="Simplified Arabic" w:cs="Simplified Arabic" w:hint="cs"/>
          <w:sz w:val="28"/>
          <w:szCs w:val="28"/>
        </w:rPr>
        <w:t>:</w:t>
      </w:r>
    </w:p>
    <w:p w14:paraId="3B3E3DD2" w14:textId="56C43316"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أساليب الإحصاء الوصفي</w:t>
      </w:r>
      <w:r w:rsidRPr="00A43D1D">
        <w:rPr>
          <w:rFonts w:ascii="Simplified Arabic" w:eastAsia="Times New Roman" w:hAnsi="Simplified Arabic" w:cs="Simplified Arabic" w:hint="cs"/>
          <w:b/>
          <w:bCs/>
          <w:sz w:val="28"/>
          <w:szCs w:val="28"/>
        </w:rPr>
        <w:t xml:space="preserve"> (Descriptive Statistics)</w:t>
      </w:r>
    </w:p>
    <w:p w14:paraId="5DD662C6"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استُخدمت هذه الأساليب لوصف الخصائص الديموغرافية والوظيفية لأفراد عيّنة الدراسة وتحديد مستوى استجاباتهم لفقرات أداة الدراسة، وتشمل: التكرارات والنسب المئوية لوصف الخصائص الشخصية والوظيفية والتوزيعات التكرارية، والمتوسط الحسابي لمعرفة متوسط إجابات العيّنة عن فقرات الأبعاد، والانحراف المعياري لمعرفة درجة تشتّت الإجابات حول المتوسط الحسابي</w:t>
      </w:r>
      <w:r w:rsidRPr="00A43D1D">
        <w:rPr>
          <w:rFonts w:ascii="Simplified Arabic" w:eastAsia="Times New Roman" w:hAnsi="Simplified Arabic" w:cs="Simplified Arabic" w:hint="cs"/>
          <w:sz w:val="28"/>
          <w:szCs w:val="28"/>
        </w:rPr>
        <w:t>.</w:t>
      </w:r>
    </w:p>
    <w:p w14:paraId="04983CB2" w14:textId="3FE8A6D6" w:rsidR="00A43D1D" w:rsidRPr="00A43D1D" w:rsidRDefault="00A43D1D" w:rsidP="00A43D1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A43D1D">
        <w:rPr>
          <w:rFonts w:ascii="Simplified Arabic" w:eastAsia="Times New Roman" w:hAnsi="Simplified Arabic" w:cs="Simplified Arabic" w:hint="cs"/>
          <w:b/>
          <w:bCs/>
          <w:sz w:val="28"/>
          <w:szCs w:val="28"/>
          <w:rtl/>
        </w:rPr>
        <w:t>أساليب الإحصاء التحليلي</w:t>
      </w:r>
      <w:r w:rsidRPr="00A43D1D">
        <w:rPr>
          <w:rFonts w:ascii="Simplified Arabic" w:eastAsia="Times New Roman" w:hAnsi="Simplified Arabic" w:cs="Simplified Arabic" w:hint="cs"/>
          <w:b/>
          <w:bCs/>
          <w:sz w:val="28"/>
          <w:szCs w:val="28"/>
        </w:rPr>
        <w:t xml:space="preserve"> (Inferential Statistics)</w:t>
      </w:r>
    </w:p>
    <w:p w14:paraId="5F5D2851"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تشمل </w:t>
      </w:r>
      <w:r w:rsidRPr="00A43D1D">
        <w:rPr>
          <w:rFonts w:ascii="Simplified Arabic" w:eastAsia="Times New Roman" w:hAnsi="Simplified Arabic" w:cs="Simplified Arabic" w:hint="cs"/>
          <w:b/>
          <w:bCs/>
          <w:sz w:val="28"/>
          <w:szCs w:val="28"/>
          <w:rtl/>
        </w:rPr>
        <w:t>معامل ألفا كرونباخ</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(Cronbach's Alpha) </w:t>
      </w:r>
      <w:r w:rsidRPr="00A43D1D">
        <w:rPr>
          <w:rFonts w:ascii="Simplified Arabic" w:eastAsia="Times New Roman" w:hAnsi="Simplified Arabic" w:cs="Simplified Arabic" w:hint="cs"/>
          <w:sz w:val="28"/>
          <w:szCs w:val="28"/>
          <w:rtl/>
        </w:rPr>
        <w:t>لقياس ثبات أداة الدراسة، و</w:t>
      </w:r>
      <w:r w:rsidRPr="00A43D1D">
        <w:rPr>
          <w:rFonts w:ascii="Simplified Arabic" w:eastAsia="Times New Roman" w:hAnsi="Simplified Arabic" w:cs="Simplified Arabic" w:hint="cs"/>
          <w:b/>
          <w:bCs/>
          <w:sz w:val="28"/>
          <w:szCs w:val="28"/>
          <w:rtl/>
        </w:rPr>
        <w:t>معامل ارتباط بيرسون</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(Pearson Correlation) </w:t>
      </w:r>
      <w:r w:rsidRPr="00A43D1D">
        <w:rPr>
          <w:rFonts w:ascii="Simplified Arabic" w:eastAsia="Times New Roman" w:hAnsi="Simplified Arabic" w:cs="Simplified Arabic" w:hint="cs"/>
          <w:sz w:val="28"/>
          <w:szCs w:val="28"/>
          <w:rtl/>
        </w:rPr>
        <w:t>لتحديد الاتساق الداخلي وصدق الأداة وللكشف عن طبيعة العلاقة بين متغيّرات الدراسة، و</w:t>
      </w:r>
      <w:r w:rsidRPr="00A43D1D">
        <w:rPr>
          <w:rFonts w:ascii="Simplified Arabic" w:eastAsia="Times New Roman" w:hAnsi="Simplified Arabic" w:cs="Simplified Arabic" w:hint="cs"/>
          <w:b/>
          <w:bCs/>
          <w:sz w:val="28"/>
          <w:szCs w:val="28"/>
          <w:rtl/>
        </w:rPr>
        <w:t>تحليل الانحدار المتعدد</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(Multiple Regression Analysis) </w:t>
      </w:r>
      <w:r w:rsidRPr="00A43D1D">
        <w:rPr>
          <w:rFonts w:ascii="Simplified Arabic" w:eastAsia="Times New Roman" w:hAnsi="Simplified Arabic" w:cs="Simplified Arabic" w:hint="cs"/>
          <w:sz w:val="28"/>
          <w:szCs w:val="28"/>
          <w:rtl/>
        </w:rPr>
        <w:t>لاختبار أثر أبعاد القيادة التحويلية الأربعة وأبعاد التحوّل الرقمي الأربعة مجتمعةً على الأداء الوظيفي وتحديد نسبة التباين المُفسَّر</w:t>
      </w:r>
      <w:r w:rsidRPr="00A43D1D">
        <w:rPr>
          <w:rFonts w:ascii="Simplified Arabic" w:eastAsia="Times New Roman" w:hAnsi="Simplified Arabic" w:cs="Simplified Arabic" w:hint="cs"/>
          <w:sz w:val="28"/>
          <w:szCs w:val="28"/>
        </w:rPr>
        <w:t xml:space="preserve"> (R²) </w:t>
      </w:r>
      <w:r w:rsidRPr="00A43D1D">
        <w:rPr>
          <w:rFonts w:ascii="Simplified Arabic" w:eastAsia="Times New Roman" w:hAnsi="Simplified Arabic" w:cs="Simplified Arabic" w:hint="cs"/>
          <w:sz w:val="28"/>
          <w:szCs w:val="28"/>
          <w:rtl/>
        </w:rPr>
        <w:t>في المتغيّر التابع، و</w:t>
      </w:r>
      <w:r w:rsidRPr="00A43D1D">
        <w:rPr>
          <w:rFonts w:ascii="Simplified Arabic" w:eastAsia="Times New Roman" w:hAnsi="Simplified Arabic" w:cs="Simplified Arabic" w:hint="cs"/>
          <w:b/>
          <w:bCs/>
          <w:sz w:val="28"/>
          <w:szCs w:val="28"/>
          <w:rtl/>
        </w:rPr>
        <w:t>تحليل الانحدار التدريجي</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(Stepwise Regression) </w:t>
      </w:r>
      <w:r w:rsidRPr="00A43D1D">
        <w:rPr>
          <w:rFonts w:ascii="Simplified Arabic" w:eastAsia="Times New Roman" w:hAnsi="Simplified Arabic" w:cs="Simplified Arabic" w:hint="cs"/>
          <w:sz w:val="28"/>
          <w:szCs w:val="28"/>
          <w:rtl/>
        </w:rPr>
        <w:t>لتحديد الأهمية النسبية لكل بُعد من أبعاد المتغيّرات المستقلة في التنبؤ بالأداء الوظيفي وترتيبها حسب قوة إسهامها</w:t>
      </w:r>
      <w:r w:rsidRPr="00A43D1D">
        <w:rPr>
          <w:rFonts w:ascii="Simplified Arabic" w:eastAsia="Times New Roman" w:hAnsi="Simplified Arabic" w:cs="Simplified Arabic" w:hint="cs"/>
          <w:sz w:val="28"/>
          <w:szCs w:val="28"/>
        </w:rPr>
        <w:t>.</w:t>
      </w:r>
    </w:p>
    <w:p w14:paraId="13E09959" w14:textId="77777777"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lastRenderedPageBreak/>
        <w:t xml:space="preserve">كما تشمل </w:t>
      </w:r>
      <w:r w:rsidRPr="00A43D1D">
        <w:rPr>
          <w:rFonts w:ascii="Simplified Arabic" w:eastAsia="Times New Roman" w:hAnsi="Simplified Arabic" w:cs="Simplified Arabic" w:hint="cs"/>
          <w:b/>
          <w:bCs/>
          <w:sz w:val="28"/>
          <w:szCs w:val="28"/>
          <w:rtl/>
        </w:rPr>
        <w:t>اختبار "ت" للعيّنات المستقلة</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(Independent Samples T-Test) </w:t>
      </w:r>
      <w:r w:rsidRPr="00A43D1D">
        <w:rPr>
          <w:rFonts w:ascii="Simplified Arabic" w:eastAsia="Times New Roman" w:hAnsi="Simplified Arabic" w:cs="Simplified Arabic" w:hint="cs"/>
          <w:sz w:val="28"/>
          <w:szCs w:val="28"/>
          <w:rtl/>
        </w:rPr>
        <w:t>للكشف عن الفروق ذات الدلالة الإحصائية في استجابات أفراد العيّنة تبعاً لمتغيّر الجنس، و</w:t>
      </w:r>
      <w:r w:rsidRPr="00A43D1D">
        <w:rPr>
          <w:rFonts w:ascii="Simplified Arabic" w:eastAsia="Times New Roman" w:hAnsi="Simplified Arabic" w:cs="Simplified Arabic" w:hint="cs"/>
          <w:b/>
          <w:bCs/>
          <w:sz w:val="28"/>
          <w:szCs w:val="28"/>
          <w:rtl/>
        </w:rPr>
        <w:t>تحليل التباين الأحادي</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(One-Way ANOVA) </w:t>
      </w:r>
      <w:r w:rsidRPr="00A43D1D">
        <w:rPr>
          <w:rFonts w:ascii="Simplified Arabic" w:eastAsia="Times New Roman" w:hAnsi="Simplified Arabic" w:cs="Simplified Arabic" w:hint="cs"/>
          <w:sz w:val="28"/>
          <w:szCs w:val="28"/>
          <w:rtl/>
        </w:rPr>
        <w:t>للكشف عن الفروق ذات الدلالة الإحصائية وفقاً للمتغيّرات الديموغرافية متعدّدة الفئات (العمر، والمؤهل العلمي، وسنوات الخبرة، والمستوى الإداري) مع استخدام اختبارات المقارنات البعدية</w:t>
      </w:r>
      <w:r w:rsidRPr="00A43D1D">
        <w:rPr>
          <w:rFonts w:ascii="Simplified Arabic" w:eastAsia="Times New Roman" w:hAnsi="Simplified Arabic" w:cs="Simplified Arabic" w:hint="cs"/>
          <w:sz w:val="28"/>
          <w:szCs w:val="28"/>
        </w:rPr>
        <w:t xml:space="preserve"> (Scheffé </w:t>
      </w:r>
      <w:r w:rsidRPr="00A43D1D">
        <w:rPr>
          <w:rFonts w:ascii="Simplified Arabic" w:eastAsia="Times New Roman" w:hAnsi="Simplified Arabic" w:cs="Simplified Arabic" w:hint="cs"/>
          <w:sz w:val="28"/>
          <w:szCs w:val="28"/>
          <w:rtl/>
        </w:rPr>
        <w:t>أو</w:t>
      </w:r>
      <w:r w:rsidRPr="00A43D1D">
        <w:rPr>
          <w:rFonts w:ascii="Simplified Arabic" w:eastAsia="Times New Roman" w:hAnsi="Simplified Arabic" w:cs="Simplified Arabic" w:hint="cs"/>
          <w:sz w:val="28"/>
          <w:szCs w:val="28"/>
        </w:rPr>
        <w:t xml:space="preserve"> LSD) </w:t>
      </w:r>
      <w:r w:rsidRPr="00A43D1D">
        <w:rPr>
          <w:rFonts w:ascii="Simplified Arabic" w:eastAsia="Times New Roman" w:hAnsi="Simplified Arabic" w:cs="Simplified Arabic" w:hint="cs"/>
          <w:sz w:val="28"/>
          <w:szCs w:val="28"/>
          <w:rtl/>
        </w:rPr>
        <w:t>لتحديد مصدر الفروق، و</w:t>
      </w:r>
      <w:r w:rsidRPr="00A43D1D">
        <w:rPr>
          <w:rFonts w:ascii="Simplified Arabic" w:eastAsia="Times New Roman" w:hAnsi="Simplified Arabic" w:cs="Simplified Arabic" w:hint="cs"/>
          <w:b/>
          <w:bCs/>
          <w:sz w:val="28"/>
          <w:szCs w:val="28"/>
          <w:rtl/>
        </w:rPr>
        <w:t>معامل تضخّم التباين</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(VIF) </w:t>
      </w:r>
      <w:r w:rsidRPr="00A43D1D">
        <w:rPr>
          <w:rFonts w:ascii="Simplified Arabic" w:eastAsia="Times New Roman" w:hAnsi="Simplified Arabic" w:cs="Simplified Arabic" w:hint="cs"/>
          <w:sz w:val="28"/>
          <w:szCs w:val="28"/>
          <w:rtl/>
        </w:rPr>
        <w:t>و</w:t>
      </w:r>
      <w:r w:rsidRPr="00A43D1D">
        <w:rPr>
          <w:rFonts w:ascii="Simplified Arabic" w:eastAsia="Times New Roman" w:hAnsi="Simplified Arabic" w:cs="Simplified Arabic" w:hint="cs"/>
          <w:b/>
          <w:bCs/>
          <w:sz w:val="28"/>
          <w:szCs w:val="28"/>
          <w:rtl/>
        </w:rPr>
        <w:t>اختبار التحمّل</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(Tolerance) </w:t>
      </w:r>
      <w:r w:rsidRPr="00A43D1D">
        <w:rPr>
          <w:rFonts w:ascii="Simplified Arabic" w:eastAsia="Times New Roman" w:hAnsi="Simplified Arabic" w:cs="Simplified Arabic" w:hint="cs"/>
          <w:sz w:val="28"/>
          <w:szCs w:val="28"/>
          <w:rtl/>
        </w:rPr>
        <w:t>للتأكد من عدم وجود مشكلة ازدواج خطي</w:t>
      </w:r>
      <w:r w:rsidRPr="00A43D1D">
        <w:rPr>
          <w:rFonts w:ascii="Simplified Arabic" w:eastAsia="Times New Roman" w:hAnsi="Simplified Arabic" w:cs="Simplified Arabic" w:hint="cs"/>
          <w:sz w:val="28"/>
          <w:szCs w:val="28"/>
        </w:rPr>
        <w:t xml:space="preserve"> (Multicollinearity) </w:t>
      </w:r>
      <w:r w:rsidRPr="00A43D1D">
        <w:rPr>
          <w:rFonts w:ascii="Simplified Arabic" w:eastAsia="Times New Roman" w:hAnsi="Simplified Arabic" w:cs="Simplified Arabic" w:hint="cs"/>
          <w:sz w:val="28"/>
          <w:szCs w:val="28"/>
          <w:rtl/>
        </w:rPr>
        <w:t>بين المتغيّرات المستقلة قبل إجراء تحليل الانحدار، حيث تُعدّ القيم مقبولة عندما يكون</w:t>
      </w:r>
      <w:r w:rsidRPr="00A43D1D">
        <w:rPr>
          <w:rFonts w:ascii="Simplified Arabic" w:eastAsia="Times New Roman" w:hAnsi="Simplified Arabic" w:cs="Simplified Arabic" w:hint="cs"/>
          <w:sz w:val="28"/>
          <w:szCs w:val="28"/>
        </w:rPr>
        <w:t xml:space="preserve"> VIF </w:t>
      </w:r>
      <w:r w:rsidRPr="00A43D1D">
        <w:rPr>
          <w:rFonts w:ascii="Simplified Arabic" w:eastAsia="Times New Roman" w:hAnsi="Simplified Arabic" w:cs="Simplified Arabic" w:hint="cs"/>
          <w:sz w:val="28"/>
          <w:szCs w:val="28"/>
          <w:rtl/>
        </w:rPr>
        <w:t>أقل من (10) ومعامل التحمّل أكبر من</w:t>
      </w:r>
      <w:r w:rsidRPr="00A43D1D">
        <w:rPr>
          <w:rFonts w:ascii="Simplified Arabic" w:eastAsia="Times New Roman" w:hAnsi="Simplified Arabic" w:cs="Simplified Arabic" w:hint="cs"/>
          <w:sz w:val="28"/>
          <w:szCs w:val="28"/>
        </w:rPr>
        <w:t xml:space="preserve"> (0.10).</w:t>
      </w:r>
    </w:p>
    <w:p w14:paraId="2A67B0B8" w14:textId="710769DB" w:rsidR="00A43D1D" w:rsidRPr="00A43D1D" w:rsidRDefault="00A43D1D" w:rsidP="00A43D1D">
      <w:pPr>
        <w:bidi/>
        <w:spacing w:before="100" w:beforeAutospacing="1" w:after="100" w:afterAutospacing="1" w:line="276" w:lineRule="auto"/>
        <w:jc w:val="both"/>
        <w:rPr>
          <w:rFonts w:ascii="Simplified Arabic" w:eastAsia="Times New Roman" w:hAnsi="Simplified Arabic" w:cs="Simplified Arabic"/>
          <w:sz w:val="28"/>
          <w:szCs w:val="28"/>
        </w:rPr>
      </w:pP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b/>
          <w:bCs/>
          <w:sz w:val="28"/>
          <w:szCs w:val="28"/>
          <w:rtl/>
        </w:rPr>
        <w:t>نمذجة المعادلات الهيكلية</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(Structural Equation Modeling – SEM) </w:t>
      </w:r>
      <w:r w:rsidRPr="00A43D1D">
        <w:rPr>
          <w:rFonts w:ascii="Simplified Arabic" w:eastAsia="Times New Roman" w:hAnsi="Simplified Arabic" w:cs="Simplified Arabic" w:hint="cs"/>
          <w:sz w:val="28"/>
          <w:szCs w:val="28"/>
          <w:rtl/>
        </w:rPr>
        <w:t>و</w:t>
      </w:r>
      <w:r w:rsidRPr="00A43D1D">
        <w:rPr>
          <w:rFonts w:ascii="Simplified Arabic" w:eastAsia="Times New Roman" w:hAnsi="Simplified Arabic" w:cs="Simplified Arabic" w:hint="cs"/>
          <w:b/>
          <w:bCs/>
          <w:sz w:val="28"/>
          <w:szCs w:val="28"/>
          <w:rtl/>
        </w:rPr>
        <w:t>تحليل المسار</w:t>
      </w:r>
      <w:r w:rsidRPr="00A43D1D">
        <w:rPr>
          <w:rFonts w:ascii="Simplified Arabic" w:eastAsia="Times New Roman" w:hAnsi="Simplified Arabic" w:cs="Simplified Arabic" w:hint="cs"/>
          <w:sz w:val="28"/>
          <w:szCs w:val="28"/>
          <w:rtl/>
        </w:rPr>
        <w:t xml:space="preserve"> </w:t>
      </w:r>
      <w:r w:rsidRPr="00A43D1D">
        <w:rPr>
          <w:rFonts w:ascii="Simplified Arabic" w:eastAsia="Times New Roman" w:hAnsi="Simplified Arabic" w:cs="Simplified Arabic" w:hint="cs"/>
          <w:sz w:val="28"/>
          <w:szCs w:val="28"/>
        </w:rPr>
        <w:t xml:space="preserve">(Path Analysis) </w:t>
      </w:r>
      <w:r w:rsidRPr="00A43D1D">
        <w:rPr>
          <w:rFonts w:ascii="Simplified Arabic" w:eastAsia="Times New Roman" w:hAnsi="Simplified Arabic" w:cs="Simplified Arabic" w:hint="cs"/>
          <w:sz w:val="28"/>
          <w:szCs w:val="28"/>
          <w:rtl/>
        </w:rPr>
        <w:t>باستخدام برنامج</w:t>
      </w:r>
      <w:r w:rsidRPr="00A43D1D">
        <w:rPr>
          <w:rFonts w:ascii="Simplified Arabic" w:eastAsia="Times New Roman" w:hAnsi="Simplified Arabic" w:cs="Simplified Arabic" w:hint="cs"/>
          <w:sz w:val="28"/>
          <w:szCs w:val="28"/>
        </w:rPr>
        <w:t xml:space="preserve"> AMOS </w:t>
      </w:r>
      <w:r w:rsidRPr="00A43D1D">
        <w:rPr>
          <w:rFonts w:ascii="Simplified Arabic" w:eastAsia="Times New Roman" w:hAnsi="Simplified Arabic" w:cs="Simplified Arabic" w:hint="cs"/>
          <w:sz w:val="28"/>
          <w:szCs w:val="28"/>
          <w:rtl/>
        </w:rPr>
        <w:t>لاختبار النموذج البنائي المقترح للدراسة والتحقّق من جودة مطابقته للبيانات الفعلية باستخدام مؤشرات حسن المطابقة مثل</w:t>
      </w:r>
      <w:r w:rsidRPr="00A43D1D">
        <w:rPr>
          <w:rFonts w:ascii="Simplified Arabic" w:eastAsia="Times New Roman" w:hAnsi="Simplified Arabic" w:cs="Simplified Arabic" w:hint="cs"/>
          <w:sz w:val="28"/>
          <w:szCs w:val="28"/>
        </w:rPr>
        <w:t xml:space="preserve"> (GFI</w:t>
      </w:r>
      <w:r w:rsidRPr="00A43D1D">
        <w:rPr>
          <w:rFonts w:ascii="Simplified Arabic" w:eastAsia="Times New Roman" w:hAnsi="Simplified Arabic" w:cs="Simplified Arabic" w:hint="cs"/>
          <w:sz w:val="28"/>
          <w:szCs w:val="28"/>
          <w:rtl/>
        </w:rPr>
        <w:t>، و</w:t>
      </w:r>
      <w:r w:rsidRPr="00A43D1D">
        <w:rPr>
          <w:rFonts w:ascii="Simplified Arabic" w:eastAsia="Times New Roman" w:hAnsi="Simplified Arabic" w:cs="Simplified Arabic" w:hint="cs"/>
          <w:sz w:val="28"/>
          <w:szCs w:val="28"/>
        </w:rPr>
        <w:t>CFI</w:t>
      </w:r>
      <w:r w:rsidRPr="00A43D1D">
        <w:rPr>
          <w:rFonts w:ascii="Simplified Arabic" w:eastAsia="Times New Roman" w:hAnsi="Simplified Arabic" w:cs="Simplified Arabic" w:hint="cs"/>
          <w:sz w:val="28"/>
          <w:szCs w:val="28"/>
          <w:rtl/>
        </w:rPr>
        <w:t>، و</w:t>
      </w:r>
      <w:r w:rsidRPr="00A43D1D">
        <w:rPr>
          <w:rFonts w:ascii="Simplified Arabic" w:eastAsia="Times New Roman" w:hAnsi="Simplified Arabic" w:cs="Simplified Arabic" w:hint="cs"/>
          <w:sz w:val="28"/>
          <w:szCs w:val="28"/>
        </w:rPr>
        <w:t>NFI</w:t>
      </w:r>
      <w:r w:rsidRPr="00A43D1D">
        <w:rPr>
          <w:rFonts w:ascii="Simplified Arabic" w:eastAsia="Times New Roman" w:hAnsi="Simplified Arabic" w:cs="Simplified Arabic" w:hint="cs"/>
          <w:sz w:val="28"/>
          <w:szCs w:val="28"/>
          <w:rtl/>
        </w:rPr>
        <w:t>، و</w:t>
      </w:r>
      <w:r w:rsidRPr="00A43D1D">
        <w:rPr>
          <w:rFonts w:ascii="Simplified Arabic" w:eastAsia="Times New Roman" w:hAnsi="Simplified Arabic" w:cs="Simplified Arabic" w:hint="cs"/>
          <w:sz w:val="28"/>
          <w:szCs w:val="28"/>
        </w:rPr>
        <w:t>RMSEA</w:t>
      </w:r>
      <w:r w:rsidRPr="00A43D1D">
        <w:rPr>
          <w:rFonts w:ascii="Simplified Arabic" w:eastAsia="Times New Roman" w:hAnsi="Simplified Arabic" w:cs="Simplified Arabic" w:hint="cs"/>
          <w:sz w:val="28"/>
          <w:szCs w:val="28"/>
          <w:rtl/>
        </w:rPr>
        <w:t>، و</w:t>
      </w:r>
      <w:r w:rsidRPr="00A43D1D">
        <w:rPr>
          <w:rFonts w:ascii="Cambria" w:eastAsia="Times New Roman" w:hAnsi="Cambria" w:cs="Cambria"/>
          <w:sz w:val="28"/>
          <w:szCs w:val="28"/>
        </w:rPr>
        <w:t>χ</w:t>
      </w:r>
      <w:r w:rsidRPr="00A43D1D">
        <w:rPr>
          <w:rFonts w:ascii="Simplified Arabic" w:eastAsia="Times New Roman" w:hAnsi="Simplified Arabic" w:cs="Simplified Arabic"/>
          <w:sz w:val="28"/>
          <w:szCs w:val="28"/>
        </w:rPr>
        <w:t>²</w:t>
      </w:r>
      <w:r w:rsidRPr="00A43D1D">
        <w:rPr>
          <w:rFonts w:ascii="Simplified Arabic" w:eastAsia="Times New Roman" w:hAnsi="Simplified Arabic" w:cs="Simplified Arabic" w:hint="cs"/>
          <w:sz w:val="28"/>
          <w:szCs w:val="28"/>
        </w:rPr>
        <w:t>/df)</w:t>
      </w:r>
      <w:r w:rsidRPr="00A43D1D">
        <w:rPr>
          <w:rFonts w:ascii="Simplified Arabic" w:eastAsia="Times New Roman" w:hAnsi="Simplified Arabic" w:cs="Simplified Arabic" w:hint="cs"/>
          <w:sz w:val="28"/>
          <w:szCs w:val="28"/>
          <w:rtl/>
        </w:rPr>
        <w:t>، وفحص العلاقات السببية المباشرة وغير المباشرة بين المتغيّرات المستقلة والتابعة، واختبار الدور الوسيط للتحوّل الرقمي في العلاقة بين القيادة التحويلية والأداء الوظيفي</w:t>
      </w:r>
      <w:r w:rsidRPr="00A43D1D">
        <w:rPr>
          <w:rFonts w:ascii="Simplified Arabic" w:eastAsia="Times New Roman" w:hAnsi="Simplified Arabic" w:cs="Simplified Arabic" w:hint="cs"/>
          <w:sz w:val="28"/>
          <w:szCs w:val="28"/>
        </w:rPr>
        <w:t>.</w:t>
      </w:r>
    </w:p>
    <w:p w14:paraId="55AFCE12" w14:textId="77777777" w:rsidR="00A43D1D" w:rsidRDefault="00A43D1D">
      <w:pPr>
        <w:spacing w:after="200" w:line="276" w:lineRule="auto"/>
        <w:rPr>
          <w:rFonts w:ascii="Simplified Arabic" w:hAnsi="Simplified Arabic" w:cs="Simplified Arabic"/>
          <w:b/>
          <w:bCs/>
          <w:color w:val="000000" w:themeColor="text1"/>
          <w:sz w:val="28"/>
          <w:szCs w:val="28"/>
          <w:u w:val="single"/>
          <w:rtl/>
        </w:rPr>
      </w:pPr>
      <w:r>
        <w:rPr>
          <w:rFonts w:ascii="Simplified Arabic" w:hAnsi="Simplified Arabic" w:cs="Simplified Arabic"/>
          <w:b/>
          <w:bCs/>
          <w:color w:val="000000" w:themeColor="text1"/>
          <w:sz w:val="28"/>
          <w:szCs w:val="28"/>
          <w:u w:val="single"/>
          <w:rtl/>
        </w:rPr>
        <w:br w:type="page"/>
      </w:r>
    </w:p>
    <w:p w14:paraId="1F7FA582" w14:textId="4474F38A" w:rsidR="00735F0D" w:rsidRPr="00471C07" w:rsidRDefault="00735F0D" w:rsidP="00471C07">
      <w:pPr>
        <w:bidi/>
        <w:spacing w:before="100" w:beforeAutospacing="1" w:after="100" w:afterAutospacing="1" w:line="276" w:lineRule="auto"/>
        <w:jc w:val="center"/>
        <w:outlineLvl w:val="0"/>
        <w:rPr>
          <w:rFonts w:ascii="Simplified Arabic" w:hAnsi="Simplified Arabic" w:cs="Simplified Arabic"/>
          <w:b/>
          <w:bCs/>
          <w:color w:val="000000" w:themeColor="text1"/>
          <w:sz w:val="28"/>
          <w:szCs w:val="28"/>
          <w:u w:val="single"/>
          <w:rtl/>
        </w:rPr>
      </w:pPr>
      <w:r w:rsidRPr="00471C07">
        <w:rPr>
          <w:rFonts w:ascii="Simplified Arabic" w:hAnsi="Simplified Arabic" w:cs="Simplified Arabic" w:hint="cs"/>
          <w:b/>
          <w:bCs/>
          <w:color w:val="000000" w:themeColor="text1"/>
          <w:sz w:val="28"/>
          <w:szCs w:val="28"/>
          <w:u w:val="single"/>
          <w:rtl/>
        </w:rPr>
        <w:lastRenderedPageBreak/>
        <w:t>المراجع:</w:t>
      </w:r>
      <w:bookmarkEnd w:id="20"/>
    </w:p>
    <w:p w14:paraId="7EFD40D1" w14:textId="77777777" w:rsidR="00735F0D" w:rsidRPr="00471C07" w:rsidRDefault="00735F0D" w:rsidP="00471C07">
      <w:pPr>
        <w:bidi/>
        <w:spacing w:before="100" w:beforeAutospacing="1" w:after="100" w:afterAutospacing="1" w:line="276" w:lineRule="auto"/>
        <w:outlineLvl w:val="1"/>
        <w:rPr>
          <w:rFonts w:ascii="Simplified Arabic" w:hAnsi="Simplified Arabic" w:cs="Simplified Arabic"/>
          <w:b/>
          <w:bCs/>
          <w:color w:val="000000" w:themeColor="text1"/>
          <w:sz w:val="28"/>
          <w:szCs w:val="28"/>
          <w:rtl/>
        </w:rPr>
      </w:pPr>
      <w:bookmarkStart w:id="21" w:name="_Toc202226015"/>
      <w:r w:rsidRPr="00471C07">
        <w:rPr>
          <w:rFonts w:ascii="Simplified Arabic" w:hAnsi="Simplified Arabic" w:cs="Simplified Arabic" w:hint="cs"/>
          <w:b/>
          <w:bCs/>
          <w:color w:val="000000" w:themeColor="text1"/>
          <w:sz w:val="28"/>
          <w:szCs w:val="28"/>
          <w:rtl/>
        </w:rPr>
        <w:t>المراجع العربية</w:t>
      </w:r>
      <w:bookmarkEnd w:id="21"/>
      <w:r w:rsidRPr="00471C07">
        <w:rPr>
          <w:rFonts w:ascii="Simplified Arabic" w:hAnsi="Simplified Arabic" w:cs="Simplified Arabic" w:hint="cs"/>
          <w:b/>
          <w:bCs/>
          <w:color w:val="000000" w:themeColor="text1"/>
          <w:sz w:val="28"/>
          <w:szCs w:val="28"/>
          <w:rtl/>
        </w:rPr>
        <w:t xml:space="preserve"> </w:t>
      </w:r>
    </w:p>
    <w:p w14:paraId="5815041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 xml:space="preserve">البركاني، يوسف ضويحي. (2024). أثر القيادة التحويلية على فاعلية اتخاذ القرارات: دراسة تطبيقية على مستشفى العام. مجلة العلوم الإقتصادية والإدارية والقانونية، مج8, ملحق ، 64 - 88. مسترجع من </w:t>
      </w:r>
      <w:r w:rsidRPr="00471C07">
        <w:rPr>
          <w:rFonts w:ascii="Simplified Arabic" w:hAnsi="Simplified Arabic" w:cs="Simplified Arabic" w:hint="cs"/>
          <w:sz w:val="28"/>
          <w:szCs w:val="28"/>
        </w:rPr>
        <w:t>http://search.mandumah.com/Record/1466004</w:t>
      </w:r>
    </w:p>
    <w:p w14:paraId="394A2039"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برويس، وردة، و دباب، زهية. (2016). أثر الإبداع التنظيمي على الأداء الوظيفي بالمؤسسة. أبحاث الندوة العلمية الرابعة: الإبداع في عالم الأعمال، عمان: مركز البحث و تطوير الموارد البشرية - رماح، 81 - 96. مسترجع من </w:t>
      </w:r>
      <w:hyperlink r:id="rId13" w:history="1">
        <w:r w:rsidRPr="00471C07">
          <w:rPr>
            <w:rStyle w:val="Hyperlink"/>
            <w:rFonts w:ascii="Simplified Arabic" w:eastAsia="Calibri" w:hAnsi="Simplified Arabic" w:cs="Simplified Arabic" w:hint="cs"/>
            <w:sz w:val="28"/>
            <w:szCs w:val="28"/>
          </w:rPr>
          <w:t>http://search.mandumah.com/Record/754242</w:t>
        </w:r>
      </w:hyperlink>
    </w:p>
    <w:p w14:paraId="6BC303F2"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 xml:space="preserve">بلحاج، إبراهيم بلقاسم. (2024). أثر القيادة التحويلية في الإبداع التنظيمي: دراسة ميدانية في المراكز الصحية الخاصة بمدينة الزاوية. مجلة الدراسات الاقتصادية، مج7, ع1 ، 196 - 227. مسترجع من </w:t>
      </w:r>
      <w:r w:rsidRPr="00471C07">
        <w:rPr>
          <w:rFonts w:ascii="Simplified Arabic" w:hAnsi="Simplified Arabic" w:cs="Simplified Arabic" w:hint="cs"/>
          <w:sz w:val="28"/>
          <w:szCs w:val="28"/>
        </w:rPr>
        <w:t>http://search.mandumah.com/Record/1465633</w:t>
      </w:r>
    </w:p>
    <w:p w14:paraId="337B4191"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البلوشي، عبدالمجيد أحمد سعيد، و طشطوش، هايل عبدالمولى إبراهيم. (2023). أثر التحفيز على الأداء الوظيفي: دراسة حالة شركة تاول لمشاريع البنية التحتية (رسالة ماجستير غير منشورة). جامعة الشرقية، إبراء. مسترجع من </w:t>
      </w:r>
      <w:hyperlink r:id="rId14" w:history="1">
        <w:r w:rsidRPr="00471C07">
          <w:rPr>
            <w:rStyle w:val="Hyperlink"/>
            <w:rFonts w:ascii="Simplified Arabic" w:eastAsia="Calibri" w:hAnsi="Simplified Arabic" w:cs="Simplified Arabic" w:hint="cs"/>
            <w:sz w:val="28"/>
            <w:szCs w:val="28"/>
          </w:rPr>
          <w:t>http://search.mandumah.com/Record/1587159</w:t>
        </w:r>
      </w:hyperlink>
    </w:p>
    <w:p w14:paraId="1A8F2BD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بلولة، سعيدة، و لطرش، محمد. (2024). أثر الاستغراق الوظيفي على الأداء الوظيفي: دراسة استطلاعية بالمدرسة الوطنية للغابات - باتنة. مجلة الأصيل للبحوث الاقتصادية والإدارية، مج8, ع1 ، 316 - 335. مسترجع من </w:t>
      </w:r>
      <w:hyperlink r:id="rId15" w:history="1">
        <w:r w:rsidRPr="00471C07">
          <w:rPr>
            <w:rStyle w:val="Hyperlink"/>
            <w:rFonts w:ascii="Simplified Arabic" w:eastAsia="Calibri" w:hAnsi="Simplified Arabic" w:cs="Simplified Arabic" w:hint="cs"/>
            <w:sz w:val="28"/>
            <w:szCs w:val="28"/>
          </w:rPr>
          <w:t>http://search.mandumah.com/Record/1473974</w:t>
        </w:r>
      </w:hyperlink>
    </w:p>
    <w:p w14:paraId="0190F075"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الحربي، عبدالعزيز بن مصلح. (2025). أثر الولاء الوظيفي على الأداء الوظيفي للعاملين: دراسة حالة على شركة المراعي بالمملكة العربية السعودية. مجلة العلوم الإقتصادية والإدارية والقانونية، مج9, ملحق ، 68 - 82. مسترجع من </w:t>
      </w:r>
      <w:hyperlink r:id="rId16" w:history="1">
        <w:r w:rsidRPr="00471C07">
          <w:rPr>
            <w:rStyle w:val="Hyperlink"/>
            <w:rFonts w:ascii="Simplified Arabic" w:eastAsia="Calibri" w:hAnsi="Simplified Arabic" w:cs="Simplified Arabic" w:hint="cs"/>
            <w:sz w:val="28"/>
            <w:szCs w:val="28"/>
          </w:rPr>
          <w:t>http://search.mandumah.com/Record/1610609</w:t>
        </w:r>
      </w:hyperlink>
    </w:p>
    <w:p w14:paraId="306571D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lastRenderedPageBreak/>
        <w:t>حسن، وليد محمد، و رضوان، طارق رضوان محمد. (2024). أثر القيادة التحويلية على فعالية فرق العمل: دراسة تطبيقية على العاملين بالشركة المصرية للاتصالات (رسالة دكتوراه غير منشورة). جامعة طنطا، طنطا.</w:t>
      </w:r>
    </w:p>
    <w:p w14:paraId="3ECC83C5"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الحميدي، عمر بن عبدالعزيز، و شعيبي،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ع71 ، 620 - 657. مسترجع من </w:t>
      </w:r>
      <w:hyperlink r:id="rId17" w:history="1">
        <w:r w:rsidRPr="00471C07">
          <w:rPr>
            <w:rStyle w:val="Hyperlink"/>
            <w:rFonts w:ascii="Simplified Arabic" w:eastAsia="Calibri" w:hAnsi="Simplified Arabic" w:cs="Simplified Arabic" w:hint="cs"/>
            <w:sz w:val="28"/>
            <w:szCs w:val="28"/>
          </w:rPr>
          <w:t>http://search.mandumah.com/Record/1547275</w:t>
        </w:r>
      </w:hyperlink>
    </w:p>
    <w:p w14:paraId="46E7F2EC"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الخضران، عبدالله مبارك سعيد. (2023). دور القيادة التحويلية في تعزيز المسؤولية المجتمعية: دراسة تطبيقية على مديرية الشئون الصحية بعسير. مجلة العلوم الإقتصادية والإدارية والقانونية، مج7, ملحق ، 18 - 36.</w:t>
      </w:r>
    </w:p>
    <w:p w14:paraId="4B5F1B81"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خلاف، فاتن فرغل سيد، و عبدالظاهر، محمود محمد. (2023). دور القيادة التحويلية في التمكين الوظيفي: دراسة تطبيقية على العاملين بالهيئة القومية للتأمينات الاجتماعية بمحافظة أسيوط (رسالة ماجستير غير منشورة). جامعة اسيوط، أسيوط.</w:t>
      </w:r>
    </w:p>
    <w:p w14:paraId="1AAF008D"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 xml:space="preserve">السلمي، محمد خالد محمد، و شعيبي، فيصل بن أحمد بن عابد. (2024). دور القيادة التحويلية في تعزيز السمعة التنظيمية: دراسة ميدانية على الموظفين الإداريين بالشؤون الصحية بمحافظة جدة. مجلة العلوم الإقتصادية والإدارية والقانونية، مج8, ع7 ، 1 - 20. مسترجع من </w:t>
      </w:r>
      <w:r w:rsidRPr="00471C07">
        <w:rPr>
          <w:rFonts w:ascii="Simplified Arabic" w:hAnsi="Simplified Arabic" w:cs="Simplified Arabic" w:hint="cs"/>
          <w:sz w:val="28"/>
          <w:szCs w:val="28"/>
        </w:rPr>
        <w:t>http://search.mandumah.com/Record/1490146</w:t>
      </w:r>
    </w:p>
    <w:p w14:paraId="46B4EF26"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 xml:space="preserve">سيار، عبدالرحمن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ع1 ، 183 - 198. مسترجع من </w:t>
      </w:r>
      <w:r w:rsidRPr="00471C07">
        <w:rPr>
          <w:rFonts w:ascii="Simplified Arabic" w:hAnsi="Simplified Arabic" w:cs="Simplified Arabic" w:hint="cs"/>
          <w:sz w:val="28"/>
          <w:szCs w:val="28"/>
        </w:rPr>
        <w:t>http://search.mandumah.com/Record/1352359</w:t>
      </w:r>
    </w:p>
    <w:p w14:paraId="26475B0D"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الطالب، ليلى صالح حسين. (2022). أثر ضغوط العمل على الأداء الوظيفي. المجلة العربية للنشر العلمي، ع50 ، 477 - 488. مسترجع من </w:t>
      </w:r>
      <w:hyperlink r:id="rId18" w:history="1">
        <w:r w:rsidRPr="00471C07">
          <w:rPr>
            <w:rStyle w:val="Hyperlink"/>
            <w:rFonts w:ascii="Simplified Arabic" w:eastAsia="Calibri" w:hAnsi="Simplified Arabic" w:cs="Simplified Arabic" w:hint="cs"/>
            <w:sz w:val="28"/>
            <w:szCs w:val="28"/>
          </w:rPr>
          <w:t>http://search.mandumah.com/Record/1436805</w:t>
        </w:r>
      </w:hyperlink>
    </w:p>
    <w:p w14:paraId="1A7CB7D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kern w:val="2"/>
          <w:sz w:val="28"/>
          <w:szCs w:val="28"/>
          <w:rtl/>
        </w:rPr>
      </w:pPr>
      <w:r w:rsidRPr="00471C07">
        <w:rPr>
          <w:rFonts w:ascii="Simplified Arabic" w:eastAsia="Calibri" w:hAnsi="Simplified Arabic" w:cs="Simplified Arabic" w:hint="cs"/>
          <w:kern w:val="2"/>
          <w:sz w:val="28"/>
          <w:szCs w:val="28"/>
          <w:rtl/>
        </w:rPr>
        <w:lastRenderedPageBreak/>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3DA4D2AC"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عبدالمحمود، السماني محمد الغالي نور الدائم، و آدم، حسابو أحمد حسابو. (2025). أثر المناخ التنظيمي على الأداء الوظيفي للعاملين. مجلة الأطروحة - العلوم الاجتماعية، مج10, ع1 ، 29 - 47. مسترجع من </w:t>
      </w:r>
      <w:hyperlink r:id="rId19" w:history="1">
        <w:r w:rsidRPr="00471C07">
          <w:rPr>
            <w:rStyle w:val="Hyperlink"/>
            <w:rFonts w:ascii="Simplified Arabic" w:eastAsia="Calibri" w:hAnsi="Simplified Arabic" w:cs="Simplified Arabic" w:hint="cs"/>
            <w:sz w:val="28"/>
            <w:szCs w:val="28"/>
          </w:rPr>
          <w:t>http://search.mandumah.com/Record/1594532</w:t>
        </w:r>
      </w:hyperlink>
    </w:p>
    <w:p w14:paraId="7732F316"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kern w:val="2"/>
          <w:sz w:val="28"/>
          <w:szCs w:val="28"/>
          <w:rtl/>
        </w:rPr>
      </w:pPr>
      <w:r w:rsidRPr="00471C07">
        <w:rPr>
          <w:rFonts w:ascii="Simplified Arabic" w:eastAsia="Calibri" w:hAnsi="Simplified Arabic" w:cs="Simplified Arabic" w:hint="cs"/>
          <w:kern w:val="2"/>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78A494B1"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kern w:val="2"/>
          <w:sz w:val="28"/>
          <w:szCs w:val="28"/>
          <w:rtl/>
        </w:rPr>
      </w:pPr>
      <w:r w:rsidRPr="00471C07">
        <w:rPr>
          <w:rFonts w:ascii="Simplified Arabic" w:eastAsia="Calibri" w:hAnsi="Simplified Arabic" w:cs="Simplified Arabic" w:hint="cs"/>
          <w:kern w:val="2"/>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5CE93453"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kern w:val="2"/>
          <w:sz w:val="28"/>
          <w:szCs w:val="28"/>
          <w:rtl/>
        </w:rPr>
        <w:t xml:space="preserve">علي، شروق هادي عبد، و خضير، أرادن حاتم. (2020). التحول الرقمي للعمليات المصرفية كأداة لتطوير الأداء المالي الاستراتيجي لمصرف بغداد أنموذجا. مجلة الإدارة والاقتصاد، ع126 ، 1 - 13. مسترجع من </w:t>
      </w:r>
      <w:hyperlink r:id="rId20" w:history="1">
        <w:r w:rsidRPr="00471C07">
          <w:rPr>
            <w:rStyle w:val="Hyperlink"/>
            <w:rFonts w:ascii="Simplified Arabic" w:eastAsia="Calibri" w:hAnsi="Simplified Arabic" w:cs="Simplified Arabic" w:hint="cs"/>
            <w:kern w:val="2"/>
            <w:sz w:val="28"/>
            <w:szCs w:val="28"/>
          </w:rPr>
          <w:t>http://search.mandumah.com/Record/1147538</w:t>
        </w:r>
      </w:hyperlink>
    </w:p>
    <w:p w14:paraId="79892EE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الغنام، نورة بنت محمد بن حسن، و الصقر، عبدالعزيز بن محمد بن علي. (2025). دور القيادة التحويلية في تحقيق التميز المؤسسي: جامعة الأمير سطام بن عبدالعزيز نموذجاً. المجلة العربية للعلوم التربوية والنفسية، ع48 ، 603 - 658.</w:t>
      </w:r>
    </w:p>
    <w:p w14:paraId="1ED8B965"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t>قاسم، راكان فاروق. (2024). دور القيادة التحويلية في جودة الخدمات التعليمية: دراسة استطلاعية للأفراد العاملين في شعب ضمان الجودة في جامعة الموصل. مجلة دراسات إقليمية، مج18, ع60 ، 371 - 394.</w:t>
      </w:r>
    </w:p>
    <w:p w14:paraId="7B4D2623"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 xml:space="preserve">مطاوع، سعد عبدالحميد عبدالحميد، و المقاطي، عبدالله بن فهد علي. (2025). تأثير التحول الرقمي على الأداء المالي: دراسة تطبيقية على شركات الأدوية في المملكة العربية السعودية. مجلة راية الدولية للعلوم التجارية، مج4, ع13 ، 61 - 98. مسترجع من </w:t>
      </w:r>
      <w:hyperlink r:id="rId21" w:history="1">
        <w:r w:rsidRPr="00471C07">
          <w:rPr>
            <w:rStyle w:val="Hyperlink"/>
            <w:rFonts w:ascii="Simplified Arabic" w:hAnsi="Simplified Arabic" w:cs="Simplified Arabic" w:hint="cs"/>
            <w:sz w:val="28"/>
            <w:szCs w:val="28"/>
          </w:rPr>
          <w:t>http://search.mandumah.com/Record/1572965</w:t>
        </w:r>
      </w:hyperlink>
    </w:p>
    <w:p w14:paraId="59BD13BC"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Pr>
      </w:pPr>
      <w:r w:rsidRPr="00471C07">
        <w:rPr>
          <w:rFonts w:ascii="Simplified Arabic" w:hAnsi="Simplified Arabic" w:cs="Simplified Arabic" w:hint="cs"/>
          <w:sz w:val="28"/>
          <w:szCs w:val="28"/>
          <w:rtl/>
        </w:rPr>
        <w:lastRenderedPageBreak/>
        <w:t>المقدم، مصطفى صلاح محمد، و جراد، علياء محمود. (2023). أثر القيادة التحويلية في الاستغراق الوظيفي للعاملين: الدور الوسيط للتمكين النفسي. الإدارة العامة، س64, ع2 ، 549 - 611.</w:t>
      </w:r>
    </w:p>
    <w:p w14:paraId="45AAF96D" w14:textId="77777777" w:rsidR="009523B9" w:rsidRPr="00471C07" w:rsidRDefault="009523B9" w:rsidP="00471C07">
      <w:pPr>
        <w:pStyle w:val="a3"/>
        <w:numPr>
          <w:ilvl w:val="0"/>
          <w:numId w:val="45"/>
        </w:numPr>
        <w:bidi/>
        <w:spacing w:line="276" w:lineRule="auto"/>
        <w:jc w:val="both"/>
        <w:rPr>
          <w:rFonts w:ascii="Simplified Arabic" w:hAnsi="Simplified Arabic" w:cs="Simplified Arabic"/>
          <w:sz w:val="28"/>
          <w:szCs w:val="28"/>
          <w:rtl/>
        </w:rPr>
      </w:pPr>
      <w:r w:rsidRPr="00471C07">
        <w:rPr>
          <w:rFonts w:ascii="Simplified Arabic" w:hAnsi="Simplified Arabic" w:cs="Simplified Arabic" w:hint="cs"/>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4B2F942D" w14:textId="77777777" w:rsidR="009523B9" w:rsidRPr="00471C07" w:rsidRDefault="009523B9" w:rsidP="00471C07">
      <w:pPr>
        <w:pStyle w:val="a3"/>
        <w:numPr>
          <w:ilvl w:val="0"/>
          <w:numId w:val="45"/>
        </w:numPr>
        <w:bidi/>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tl/>
        </w:rPr>
        <w:t xml:space="preserve">نصر، فرج علي عمار، و القبي، الطيب محمد علي. (2023). الاحتراق الوظيفي وعلاقته بالأداء الوظيفي: دراسة حالة على كلية الاقتصاد بجامعة سرت الليبية. مجلة الدراسات الاقتصادية، مج6, ع1 ، 185 - 209. مسترجع من </w:t>
      </w:r>
      <w:hyperlink r:id="rId22" w:history="1">
        <w:r w:rsidRPr="00471C07">
          <w:rPr>
            <w:rStyle w:val="Hyperlink"/>
            <w:rFonts w:ascii="Simplified Arabic" w:eastAsia="Calibri" w:hAnsi="Simplified Arabic" w:cs="Simplified Arabic" w:hint="cs"/>
            <w:sz w:val="28"/>
            <w:szCs w:val="28"/>
          </w:rPr>
          <w:t>http://search.mandumah.com/Record/1354503</w:t>
        </w:r>
      </w:hyperlink>
    </w:p>
    <w:p w14:paraId="76C00618" w14:textId="2EEFBB17" w:rsidR="00E95A55" w:rsidRPr="00471C07" w:rsidRDefault="00E95A55" w:rsidP="00471C07">
      <w:pPr>
        <w:pStyle w:val="a3"/>
        <w:numPr>
          <w:ilvl w:val="0"/>
          <w:numId w:val="45"/>
        </w:numPr>
        <w:bidi/>
        <w:spacing w:after="200" w:line="276" w:lineRule="auto"/>
        <w:jc w:val="both"/>
        <w:rPr>
          <w:rFonts w:ascii="Simplified Arabic" w:eastAsia="Calibri" w:hAnsi="Simplified Arabic" w:cs="Simplified Arabic"/>
          <w:color w:val="EE0000"/>
          <w:sz w:val="28"/>
          <w:szCs w:val="28"/>
        </w:rPr>
      </w:pPr>
      <w:r w:rsidRPr="00471C07">
        <w:rPr>
          <w:rFonts w:ascii="Simplified Arabic" w:eastAsia="Calibri" w:hAnsi="Simplified Arabic" w:cs="Simplified Arabic" w:hint="cs"/>
          <w:color w:val="EE0000"/>
          <w:sz w:val="28"/>
          <w:szCs w:val="28"/>
          <w:rtl/>
        </w:rPr>
        <w:t xml:space="preserve">وزارة الموارد البشرية والتنمية الاجتماعية. (2025). إحصائيات القوى العاملة في القطاع الحكومي للربع الثاني من عام 2025. مكتبة البيانات المفتوحة. </w:t>
      </w:r>
      <w:hyperlink r:id="rId23" w:history="1">
        <w:r w:rsidRPr="00471C07">
          <w:rPr>
            <w:rStyle w:val="Hyperlink"/>
            <w:rFonts w:ascii="Simplified Arabic" w:eastAsia="Calibri" w:hAnsi="Simplified Arabic" w:cs="Simplified Arabic" w:hint="cs"/>
            <w:color w:val="EE0000"/>
            <w:sz w:val="28"/>
            <w:szCs w:val="28"/>
          </w:rPr>
          <w:t>https://www.hrsd.gov.sa/knowledge-centre/data-and-statistics/open-data/758917</w:t>
        </w:r>
      </w:hyperlink>
    </w:p>
    <w:p w14:paraId="7633F170"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kern w:val="2"/>
          <w:sz w:val="28"/>
          <w:szCs w:val="28"/>
        </w:rPr>
        <w:t xml:space="preserve">Abdurrahman, A. (2025). Examining the impact of digital transformation on organizational performance: Integrating the Resource-Based View and Dynamic Capabilities frameworks. Sustainable Futures, 3(1), 100105. </w:t>
      </w:r>
      <w:hyperlink r:id="rId24" w:history="1">
        <w:r w:rsidRPr="00471C07">
          <w:rPr>
            <w:rStyle w:val="Hyperlink"/>
            <w:rFonts w:ascii="Simplified Arabic" w:eastAsia="Calibri" w:hAnsi="Simplified Arabic" w:cs="Simplified Arabic" w:hint="cs"/>
            <w:kern w:val="2"/>
            <w:sz w:val="28"/>
            <w:szCs w:val="28"/>
          </w:rPr>
          <w:t>https://doi.org/10.1016/S3050-7901(25)00010-5</w:t>
        </w:r>
      </w:hyperlink>
    </w:p>
    <w:p w14:paraId="41C24C39" w14:textId="77777777" w:rsidR="00062CDD" w:rsidRPr="00471C07" w:rsidRDefault="00062CDD" w:rsidP="00062CDD">
      <w:pPr>
        <w:pStyle w:val="a3"/>
        <w:numPr>
          <w:ilvl w:val="0"/>
          <w:numId w:val="46"/>
        </w:numPr>
        <w:spacing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Bozintan, A. G., Cri</w:t>
      </w:r>
      <w:r w:rsidRPr="00471C07">
        <w:rPr>
          <w:rFonts w:ascii="Cambria" w:eastAsia="Calibri" w:hAnsi="Cambria" w:cs="Cambria"/>
          <w:sz w:val="28"/>
          <w:szCs w:val="28"/>
        </w:rPr>
        <w:t>ș</w:t>
      </w:r>
      <w:r w:rsidRPr="00471C07">
        <w:rPr>
          <w:rFonts w:ascii="Simplified Arabic" w:eastAsia="Calibri" w:hAnsi="Simplified Arabic" w:cs="Simplified Arabic" w:hint="cs"/>
          <w:sz w:val="28"/>
          <w:szCs w:val="28"/>
        </w:rPr>
        <w:t>an, E. L., &amp; Pinco, O. (2023). The impact of digital transformation on strategic management. Ann. Univ. Oradea, 32(1), 647. https://doi.org/10.47535/1991auoes32(1)049</w:t>
      </w:r>
    </w:p>
    <w:p w14:paraId="55F30E55"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Chang, R. (2024). The impact of employees’ health and well-being on job performance. Journal of Education, Humanities and Social Sciences, 29(1), 372-378.</w:t>
      </w:r>
    </w:p>
    <w:p w14:paraId="6879B4BC"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lastRenderedPageBreak/>
        <w:t>Deng, H., Duan, S. X., &amp; Wibowo, S. (2023). Digital technology driven knowledge sharing for job performance. Journal of Knowledge Management, 27(2), 404-425.</w:t>
      </w:r>
    </w:p>
    <w:p w14:paraId="201772AE"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Gazi, M. A. I., Yusof, M. F., Islam, M. A., Amin, M. B., &amp; bin S Senathirajah, A. R. (2024). Analyzing the impact of employee job satisfaction on their job behavior in the industrial setting: An analysis from the perspective of job performance. Journal of Open Innovation: Technology, Market, and Complexity, 10(4), 100427.</w:t>
      </w:r>
      <w:r w:rsidRPr="00471C07">
        <w:rPr>
          <w:rFonts w:ascii="Simplified Arabic" w:eastAsia="Calibri" w:hAnsi="Simplified Arabic" w:cs="Simplified Arabic" w:hint="cs"/>
          <w:sz w:val="28"/>
          <w:szCs w:val="28"/>
          <w:rtl/>
        </w:rPr>
        <w:t>‏</w:t>
      </w:r>
    </w:p>
    <w:p w14:paraId="3E9743A5"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Hussain, N., Nazari, P. N. A., &amp; Husin, N. (2024). Transforming Performance: The Significance of Transformational Leadership. E-Jurnal Penyelidikan Dan Inovasi, 11(2), 177–195. </w:t>
      </w:r>
      <w:hyperlink r:id="rId25" w:history="1">
        <w:r w:rsidRPr="00471C07">
          <w:rPr>
            <w:rFonts w:ascii="Simplified Arabic" w:hAnsi="Simplified Arabic" w:cs="Simplified Arabic" w:hint="cs"/>
            <w:color w:val="0000FF" w:themeColor="hyperlink"/>
            <w:sz w:val="28"/>
            <w:szCs w:val="28"/>
            <w:u w:val="single"/>
          </w:rPr>
          <w:t>https://doi.org/10.53840/ejpi.v11i2.200</w:t>
        </w:r>
      </w:hyperlink>
    </w:p>
    <w:p w14:paraId="4C0AE0E4"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Jaroliya, D., &amp; Gyanchandani, R. (2022). Transformational leadership style: a boost or hindrance to team performance in IT sector. Vilakshan-XIMB Journal of Management, 19(1), 87-105.</w:t>
      </w:r>
    </w:p>
    <w:p w14:paraId="58625D6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Liang, D. (2024). The impact of digital transformation on the high-quality development of enterprises: A Resource-Based View. Sustainability, 16(8), 3188. https://doi.org/10.3390/su16083188</w:t>
      </w:r>
    </w:p>
    <w:p w14:paraId="50A5F25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Ly, B. (2026). Digital transformation and flexibility in public services: A Dynamic Capabilities and Contingency Theory perspective. BRQ Business Research Quarterly. https://doi.org/10.1016/S2444-569X(26)00011-9</w:t>
      </w:r>
    </w:p>
    <w:p w14:paraId="094EB6BF"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471C07">
        <w:rPr>
          <w:rFonts w:ascii="Simplified Arabic" w:eastAsia="Calibri" w:hAnsi="Simplified Arabic" w:cs="Simplified Arabic" w:hint="cs"/>
          <w:sz w:val="28"/>
          <w:szCs w:val="28"/>
        </w:rPr>
        <w:t xml:space="preserve">Novianto, N. (2023). Models of digital transformation in the public sector. Policy &amp; Governance Review, 7(2). </w:t>
      </w:r>
      <w:hyperlink r:id="rId26" w:history="1">
        <w:r w:rsidRPr="00471C07">
          <w:rPr>
            <w:rStyle w:val="Hyperlink"/>
            <w:rFonts w:ascii="Simplified Arabic" w:eastAsia="Calibri" w:hAnsi="Simplified Arabic" w:cs="Simplified Arabic" w:hint="cs"/>
            <w:sz w:val="28"/>
            <w:szCs w:val="28"/>
          </w:rPr>
          <w:t>https://doi.org/10.30589/pgr.v7i2.753</w:t>
        </w:r>
      </w:hyperlink>
    </w:p>
    <w:p w14:paraId="2BC56746" w14:textId="77777777" w:rsidR="00062CDD" w:rsidRPr="00471C07" w:rsidRDefault="00062CDD" w:rsidP="00062CDD">
      <w:pPr>
        <w:pStyle w:val="a3"/>
        <w:numPr>
          <w:ilvl w:val="0"/>
          <w:numId w:val="46"/>
        </w:numPr>
        <w:spacing w:after="200" w:line="276" w:lineRule="auto"/>
        <w:jc w:val="both"/>
        <w:rPr>
          <w:rFonts w:ascii="Simplified Arabic" w:eastAsia="Calibri" w:hAnsi="Simplified Arabic" w:cs="Simplified Arabic"/>
          <w:sz w:val="28"/>
          <w:szCs w:val="28"/>
        </w:rPr>
      </w:pPr>
      <w:r w:rsidRPr="00A43D1D">
        <w:rPr>
          <w:rFonts w:ascii="Simplified Arabic" w:eastAsia="Calibri" w:hAnsi="Simplified Arabic" w:cs="Simplified Arabic" w:hint="cs"/>
          <w:sz w:val="28"/>
          <w:szCs w:val="28"/>
          <w:lang w:val="pl-PL"/>
        </w:rPr>
        <w:lastRenderedPageBreak/>
        <w:t xml:space="preserve">Okolocha, C. B., Akam, G. U., &amp; Uchehara, F. O. (2021). </w:t>
      </w:r>
      <w:r w:rsidRPr="00471C07">
        <w:rPr>
          <w:rFonts w:ascii="Simplified Arabic" w:eastAsia="Calibri" w:hAnsi="Simplified Arabic" w:cs="Simplified Arabic" w:hint="cs"/>
          <w:sz w:val="28"/>
          <w:szCs w:val="28"/>
        </w:rPr>
        <w:t>Effect of job satisfaction on job performance of university lecturers in South-East, Nigeria. International Journal of Management Studies and Social Science Research, 3(1), 119-137.</w:t>
      </w:r>
      <w:r w:rsidRPr="00471C07">
        <w:rPr>
          <w:rFonts w:ascii="Simplified Arabic" w:eastAsia="Calibri" w:hAnsi="Simplified Arabic" w:cs="Simplified Arabic" w:hint="cs"/>
          <w:sz w:val="28"/>
          <w:szCs w:val="28"/>
          <w:rtl/>
        </w:rPr>
        <w:t>‏</w:t>
      </w:r>
    </w:p>
    <w:p w14:paraId="4F17B083"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Purwanti, G. A., &amp; Sarı, M. (2024). The Effect of Transformational Leadership on Team Performance in The Work Environment. </w:t>
      </w:r>
      <w:r w:rsidRPr="00471C07">
        <w:rPr>
          <w:rFonts w:ascii="Simplified Arabic" w:hAnsi="Simplified Arabic" w:cs="Simplified Arabic" w:hint="cs"/>
          <w:i/>
          <w:iCs/>
          <w:sz w:val="28"/>
          <w:szCs w:val="28"/>
        </w:rPr>
        <w:t>Smart International Management Journal</w:t>
      </w:r>
      <w:r w:rsidRPr="00471C07">
        <w:rPr>
          <w:rFonts w:ascii="Simplified Arabic" w:hAnsi="Simplified Arabic" w:cs="Simplified Arabic" w:hint="cs"/>
          <w:sz w:val="28"/>
          <w:szCs w:val="28"/>
        </w:rPr>
        <w:t xml:space="preserve">, </w:t>
      </w:r>
      <w:r w:rsidRPr="00471C07">
        <w:rPr>
          <w:rFonts w:ascii="Simplified Arabic" w:hAnsi="Simplified Arabic" w:cs="Simplified Arabic" w:hint="cs"/>
          <w:i/>
          <w:iCs/>
          <w:sz w:val="28"/>
          <w:szCs w:val="28"/>
        </w:rPr>
        <w:t>1</w:t>
      </w:r>
      <w:r w:rsidRPr="00471C07">
        <w:rPr>
          <w:rFonts w:ascii="Simplified Arabic" w:hAnsi="Simplified Arabic" w:cs="Simplified Arabic" w:hint="cs"/>
          <w:sz w:val="28"/>
          <w:szCs w:val="28"/>
        </w:rPr>
        <w:t>(3), 1–6. https://doi.org/10.70076/simj.v1i3.41</w:t>
      </w:r>
    </w:p>
    <w:p w14:paraId="5ADB6163"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Sidabutar, J. M., Machmud, S., &amp; Megawati, I. (2024). The Influence of Transformational Leadership and Communication on Employee Performance. Bisnis Dan Iptek, 17(2), 125–139. </w:t>
      </w:r>
      <w:hyperlink r:id="rId27" w:history="1">
        <w:r w:rsidRPr="00471C07">
          <w:rPr>
            <w:rFonts w:ascii="Simplified Arabic" w:hAnsi="Simplified Arabic" w:cs="Simplified Arabic" w:hint="cs"/>
            <w:color w:val="0000FF" w:themeColor="hyperlink"/>
            <w:sz w:val="28"/>
            <w:szCs w:val="28"/>
            <w:u w:val="single"/>
          </w:rPr>
          <w:t>https://doi.org/10.55208/zwzns211</w:t>
        </w:r>
      </w:hyperlink>
    </w:p>
    <w:p w14:paraId="2D33FDF7" w14:textId="77777777" w:rsidR="00062CDD" w:rsidRPr="00471C07" w:rsidRDefault="00062CDD" w:rsidP="00062CDD">
      <w:pPr>
        <w:numPr>
          <w:ilvl w:val="0"/>
          <w:numId w:val="46"/>
        </w:numPr>
        <w:spacing w:line="276" w:lineRule="auto"/>
        <w:contextualSpacing/>
        <w:jc w:val="both"/>
        <w:rPr>
          <w:rFonts w:ascii="Simplified Arabic" w:hAnsi="Simplified Arabic" w:cs="Simplified Arabic"/>
          <w:sz w:val="28"/>
          <w:szCs w:val="28"/>
        </w:rPr>
      </w:pPr>
      <w:r w:rsidRPr="00471C07">
        <w:rPr>
          <w:rFonts w:ascii="Simplified Arabic" w:hAnsi="Simplified Arabic" w:cs="Simplified Arabic" w:hint="cs"/>
          <w:sz w:val="28"/>
          <w:szCs w:val="28"/>
        </w:rPr>
        <w:t xml:space="preserve">Suryadi, Y., Dewi, N. L. Y., Trisnawati, T., &amp; Al-Amin, A.-A. (2024). The Impact Of Transformational Leadership On Organizational Performance And Employee Motivation. Transforma, 2(2), 65–76. </w:t>
      </w:r>
      <w:hyperlink r:id="rId28" w:history="1">
        <w:r w:rsidRPr="00471C07">
          <w:rPr>
            <w:rFonts w:ascii="Simplified Arabic" w:hAnsi="Simplified Arabic" w:cs="Simplified Arabic" w:hint="cs"/>
            <w:color w:val="0000FF" w:themeColor="hyperlink"/>
            <w:sz w:val="28"/>
            <w:szCs w:val="28"/>
            <w:u w:val="single"/>
          </w:rPr>
          <w:t>https://doi.org/10.56457/tjm.v2i2.129</w:t>
        </w:r>
      </w:hyperlink>
    </w:p>
    <w:p w14:paraId="0E22FF97" w14:textId="77777777" w:rsidR="00626753" w:rsidRPr="00471C07" w:rsidRDefault="00626753" w:rsidP="00471C07">
      <w:pPr>
        <w:bidi/>
        <w:spacing w:after="200" w:line="276" w:lineRule="auto"/>
        <w:jc w:val="both"/>
        <w:rPr>
          <w:rFonts w:ascii="Simplified Arabic" w:eastAsia="Calibri" w:hAnsi="Simplified Arabic" w:cs="Simplified Arabic"/>
          <w:sz w:val="28"/>
          <w:szCs w:val="28"/>
        </w:rPr>
      </w:pPr>
    </w:p>
    <w:p w14:paraId="5EB22588" w14:textId="77777777" w:rsidR="00DF30CE" w:rsidRPr="00471C07" w:rsidRDefault="00DF30CE" w:rsidP="00471C07">
      <w:pPr>
        <w:bidi/>
        <w:spacing w:before="100" w:beforeAutospacing="1" w:after="100" w:afterAutospacing="1" w:line="276" w:lineRule="auto"/>
        <w:jc w:val="both"/>
        <w:rPr>
          <w:rFonts w:ascii="Simplified Arabic" w:hAnsi="Simplified Arabic" w:cs="Simplified Arabic"/>
          <w:noProof/>
          <w:sz w:val="28"/>
          <w:szCs w:val="28"/>
        </w:rPr>
      </w:pPr>
    </w:p>
    <w:p w14:paraId="31A71C11" w14:textId="77777777" w:rsidR="0027677B" w:rsidRPr="00471C07" w:rsidRDefault="0027677B" w:rsidP="00471C07">
      <w:pPr>
        <w:bidi/>
        <w:spacing w:before="100" w:beforeAutospacing="1" w:after="100" w:afterAutospacing="1" w:line="276" w:lineRule="auto"/>
        <w:ind w:left="426"/>
        <w:jc w:val="both"/>
        <w:rPr>
          <w:rFonts w:ascii="Simplified Arabic" w:hAnsi="Simplified Arabic" w:cs="Simplified Arabic"/>
          <w:noProof/>
          <w:sz w:val="28"/>
          <w:szCs w:val="28"/>
        </w:rPr>
      </w:pPr>
    </w:p>
    <w:p w14:paraId="1A5A2AE3" w14:textId="77777777" w:rsidR="00375661" w:rsidRPr="00471C07" w:rsidRDefault="00375661" w:rsidP="00471C07">
      <w:pPr>
        <w:bidi/>
        <w:spacing w:before="100" w:beforeAutospacing="1" w:after="100" w:afterAutospacing="1" w:line="276" w:lineRule="auto"/>
        <w:ind w:left="426"/>
        <w:jc w:val="both"/>
        <w:rPr>
          <w:rFonts w:ascii="Simplified Arabic" w:hAnsi="Simplified Arabic" w:cs="Simplified Arabic"/>
          <w:noProof/>
          <w:sz w:val="28"/>
          <w:szCs w:val="28"/>
        </w:rPr>
      </w:pPr>
    </w:p>
    <w:sectPr w:rsidR="00375661" w:rsidRPr="00471C07" w:rsidSect="00476CBD">
      <w:footerReference w:type="first" r:id="rId2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BCB1" w14:textId="77777777" w:rsidR="00C811C8" w:rsidRDefault="00C811C8" w:rsidP="00F628F0">
      <w:pPr>
        <w:spacing w:after="0" w:line="240" w:lineRule="auto"/>
      </w:pPr>
      <w:r>
        <w:separator/>
      </w:r>
    </w:p>
  </w:endnote>
  <w:endnote w:type="continuationSeparator" w:id="0">
    <w:p w14:paraId="03991F72" w14:textId="77777777" w:rsidR="00C811C8" w:rsidRDefault="00C811C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7921A67A" w:rsidR="0015003F" w:rsidRPr="00FA7D05" w:rsidRDefault="0015003F">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A1113E">
          <w:rPr>
            <w:rFonts w:ascii="Sakkal Majalla" w:hAnsi="Sakkal Majalla" w:cs="Sakkal Majalla" w:hint="eastAsia"/>
            <w:noProof/>
            <w:rtl/>
          </w:rPr>
          <w:t>‌ج</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5003F" w:rsidRDefault="001500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BC6EA" w14:textId="77777777" w:rsidR="00C811C8" w:rsidRDefault="00C811C8" w:rsidP="00F628F0">
      <w:pPr>
        <w:spacing w:after="0" w:line="240" w:lineRule="auto"/>
      </w:pPr>
      <w:r>
        <w:separator/>
      </w:r>
    </w:p>
  </w:footnote>
  <w:footnote w:type="continuationSeparator" w:id="0">
    <w:p w14:paraId="7B7F3D7C" w14:textId="77777777" w:rsidR="00C811C8" w:rsidRDefault="00C811C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5003F" w:rsidRDefault="0015003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5003F" w:rsidRDefault="0015003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9D3"/>
    <w:multiLevelType w:val="hybridMultilevel"/>
    <w:tmpl w:val="6284D6B4"/>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C5E38"/>
    <w:multiLevelType w:val="hybridMultilevel"/>
    <w:tmpl w:val="9822C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08E73886"/>
    <w:multiLevelType w:val="hybridMultilevel"/>
    <w:tmpl w:val="6B0C1E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CC79EE"/>
    <w:multiLevelType w:val="hybridMultilevel"/>
    <w:tmpl w:val="F20079F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13843"/>
    <w:multiLevelType w:val="hybridMultilevel"/>
    <w:tmpl w:val="22E06B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B0800"/>
    <w:multiLevelType w:val="hybridMultilevel"/>
    <w:tmpl w:val="2F706958"/>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F7798"/>
    <w:multiLevelType w:val="multilevel"/>
    <w:tmpl w:val="CE9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108F035C"/>
    <w:multiLevelType w:val="multilevel"/>
    <w:tmpl w:val="0970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A092F"/>
    <w:multiLevelType w:val="hybridMultilevel"/>
    <w:tmpl w:val="430EE2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4A1223B"/>
    <w:multiLevelType w:val="multilevel"/>
    <w:tmpl w:val="DAC8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3D28D9"/>
    <w:multiLevelType w:val="multilevel"/>
    <w:tmpl w:val="7DE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2F562726"/>
    <w:multiLevelType w:val="hybridMultilevel"/>
    <w:tmpl w:val="4C9452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8"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F62E24"/>
    <w:multiLevelType w:val="multilevel"/>
    <w:tmpl w:val="9D76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3E2A78"/>
    <w:multiLevelType w:val="hybridMultilevel"/>
    <w:tmpl w:val="5852DDC2"/>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300DD7"/>
    <w:multiLevelType w:val="multilevel"/>
    <w:tmpl w:val="2F8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855546"/>
    <w:multiLevelType w:val="hybridMultilevel"/>
    <w:tmpl w:val="66727BF2"/>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016EF5"/>
    <w:multiLevelType w:val="hybridMultilevel"/>
    <w:tmpl w:val="04F6BC5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A6144D"/>
    <w:multiLevelType w:val="hybridMultilevel"/>
    <w:tmpl w:val="DFBCD3C2"/>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E044336"/>
    <w:multiLevelType w:val="hybridMultilevel"/>
    <w:tmpl w:val="78921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43693874">
    <w:abstractNumId w:val="33"/>
  </w:num>
  <w:num w:numId="2" w16cid:durableId="641082857">
    <w:abstractNumId w:val="17"/>
  </w:num>
  <w:num w:numId="3" w16cid:durableId="1245339560">
    <w:abstractNumId w:val="23"/>
  </w:num>
  <w:num w:numId="4" w16cid:durableId="66003591">
    <w:abstractNumId w:val="36"/>
  </w:num>
  <w:num w:numId="5" w16cid:durableId="176962853">
    <w:abstractNumId w:val="40"/>
  </w:num>
  <w:num w:numId="6" w16cid:durableId="164514047">
    <w:abstractNumId w:val="34"/>
  </w:num>
  <w:num w:numId="7" w16cid:durableId="780536858">
    <w:abstractNumId w:val="20"/>
  </w:num>
  <w:num w:numId="8" w16cid:durableId="436025585">
    <w:abstractNumId w:val="2"/>
  </w:num>
  <w:num w:numId="9" w16cid:durableId="86536972">
    <w:abstractNumId w:val="1"/>
  </w:num>
  <w:num w:numId="10" w16cid:durableId="1377000990">
    <w:abstractNumId w:val="5"/>
  </w:num>
  <w:num w:numId="11" w16cid:durableId="134030176">
    <w:abstractNumId w:val="9"/>
  </w:num>
  <w:num w:numId="12" w16cid:durableId="1102578580">
    <w:abstractNumId w:val="18"/>
  </w:num>
  <w:num w:numId="13" w16cid:durableId="774598667">
    <w:abstractNumId w:val="25"/>
  </w:num>
  <w:num w:numId="14" w16cid:durableId="1427460390">
    <w:abstractNumId w:val="27"/>
  </w:num>
  <w:num w:numId="15" w16cid:durableId="911811195">
    <w:abstractNumId w:val="21"/>
  </w:num>
  <w:num w:numId="16" w16cid:durableId="72896086">
    <w:abstractNumId w:val="20"/>
  </w:num>
  <w:num w:numId="17" w16cid:durableId="1817188377">
    <w:abstractNumId w:val="36"/>
  </w:num>
  <w:num w:numId="18" w16cid:durableId="530454417">
    <w:abstractNumId w:val="8"/>
  </w:num>
  <w:num w:numId="19" w16cid:durableId="1528759699">
    <w:abstractNumId w:val="12"/>
  </w:num>
  <w:num w:numId="20" w16cid:durableId="1066415709">
    <w:abstractNumId w:val="4"/>
  </w:num>
  <w:num w:numId="21" w16cid:durableId="808597591">
    <w:abstractNumId w:val="38"/>
  </w:num>
  <w:num w:numId="22" w16cid:durableId="658387719">
    <w:abstractNumId w:val="41"/>
  </w:num>
  <w:num w:numId="23" w16cid:durableId="831722091">
    <w:abstractNumId w:val="19"/>
  </w:num>
  <w:num w:numId="24" w16cid:durableId="1469199597">
    <w:abstractNumId w:val="31"/>
  </w:num>
  <w:num w:numId="25" w16cid:durableId="1908030529">
    <w:abstractNumId w:val="24"/>
  </w:num>
  <w:num w:numId="26" w16cid:durableId="1394230772">
    <w:abstractNumId w:val="30"/>
  </w:num>
  <w:num w:numId="27" w16cid:durableId="1477528120">
    <w:abstractNumId w:val="43"/>
  </w:num>
  <w:num w:numId="28" w16cid:durableId="870339426">
    <w:abstractNumId w:val="28"/>
  </w:num>
  <w:num w:numId="29" w16cid:durableId="2096245094">
    <w:abstractNumId w:val="22"/>
  </w:num>
  <w:num w:numId="30" w16cid:durableId="252859047">
    <w:abstractNumId w:val="14"/>
  </w:num>
  <w:num w:numId="31" w16cid:durableId="156382079">
    <w:abstractNumId w:val="32"/>
  </w:num>
  <w:num w:numId="32" w16cid:durableId="1607034315">
    <w:abstractNumId w:val="35"/>
  </w:num>
  <w:num w:numId="33" w16cid:durableId="1229726597">
    <w:abstractNumId w:val="13"/>
  </w:num>
  <w:num w:numId="34" w16cid:durableId="1331103827">
    <w:abstractNumId w:val="16"/>
  </w:num>
  <w:num w:numId="35" w16cid:durableId="603340586">
    <w:abstractNumId w:val="11"/>
  </w:num>
  <w:num w:numId="36" w16cid:durableId="1542401142">
    <w:abstractNumId w:val="37"/>
  </w:num>
  <w:num w:numId="37" w16cid:durableId="1535650007">
    <w:abstractNumId w:val="6"/>
  </w:num>
  <w:num w:numId="38" w16cid:durableId="1233734413">
    <w:abstractNumId w:val="45"/>
  </w:num>
  <w:num w:numId="39" w16cid:durableId="421418142">
    <w:abstractNumId w:val="42"/>
  </w:num>
  <w:num w:numId="40" w16cid:durableId="1603024274">
    <w:abstractNumId w:val="39"/>
  </w:num>
  <w:num w:numId="41" w16cid:durableId="511141294">
    <w:abstractNumId w:val="10"/>
  </w:num>
  <w:num w:numId="42" w16cid:durableId="723061196">
    <w:abstractNumId w:val="44"/>
  </w:num>
  <w:num w:numId="43" w16cid:durableId="1232230952">
    <w:abstractNumId w:val="7"/>
  </w:num>
  <w:num w:numId="44" w16cid:durableId="47846584">
    <w:abstractNumId w:val="3"/>
  </w:num>
  <w:num w:numId="45" w16cid:durableId="233011054">
    <w:abstractNumId w:val="0"/>
  </w:num>
  <w:num w:numId="46" w16cid:durableId="317879271">
    <w:abstractNumId w:val="26"/>
  </w:num>
  <w:num w:numId="47" w16cid:durableId="608128111">
    <w:abstractNumId w:val="15"/>
  </w:num>
  <w:num w:numId="48" w16cid:durableId="119109047">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2CDD"/>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0CB3"/>
    <w:rsid w:val="000F7F04"/>
    <w:rsid w:val="0010520B"/>
    <w:rsid w:val="00107382"/>
    <w:rsid w:val="00110665"/>
    <w:rsid w:val="0011126E"/>
    <w:rsid w:val="00116AE4"/>
    <w:rsid w:val="00117CA1"/>
    <w:rsid w:val="00125BC1"/>
    <w:rsid w:val="00132AAC"/>
    <w:rsid w:val="00141E5C"/>
    <w:rsid w:val="00142A4A"/>
    <w:rsid w:val="0014379D"/>
    <w:rsid w:val="0015003F"/>
    <w:rsid w:val="00152104"/>
    <w:rsid w:val="001541B2"/>
    <w:rsid w:val="00156C1D"/>
    <w:rsid w:val="001603EF"/>
    <w:rsid w:val="001618EF"/>
    <w:rsid w:val="001624C4"/>
    <w:rsid w:val="001654CD"/>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5A5"/>
    <w:rsid w:val="00232A16"/>
    <w:rsid w:val="00232AC0"/>
    <w:rsid w:val="00233AC3"/>
    <w:rsid w:val="0024045F"/>
    <w:rsid w:val="00242116"/>
    <w:rsid w:val="00245DC6"/>
    <w:rsid w:val="00250CC6"/>
    <w:rsid w:val="00251580"/>
    <w:rsid w:val="00255D3B"/>
    <w:rsid w:val="00257B9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2063"/>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1C07"/>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ED"/>
    <w:rsid w:val="005F5AF5"/>
    <w:rsid w:val="005F6175"/>
    <w:rsid w:val="00601ED8"/>
    <w:rsid w:val="00604424"/>
    <w:rsid w:val="0061026F"/>
    <w:rsid w:val="00610F62"/>
    <w:rsid w:val="00611CCB"/>
    <w:rsid w:val="00612B5E"/>
    <w:rsid w:val="006230BE"/>
    <w:rsid w:val="0062589E"/>
    <w:rsid w:val="00625A3C"/>
    <w:rsid w:val="00626753"/>
    <w:rsid w:val="00627A22"/>
    <w:rsid w:val="00633630"/>
    <w:rsid w:val="00633F98"/>
    <w:rsid w:val="00634932"/>
    <w:rsid w:val="00636D0A"/>
    <w:rsid w:val="006373C8"/>
    <w:rsid w:val="006422CD"/>
    <w:rsid w:val="006442CA"/>
    <w:rsid w:val="006447D8"/>
    <w:rsid w:val="00644F28"/>
    <w:rsid w:val="00647907"/>
    <w:rsid w:val="0065187E"/>
    <w:rsid w:val="00653432"/>
    <w:rsid w:val="00653970"/>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11A2"/>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73E"/>
    <w:rsid w:val="008E7947"/>
    <w:rsid w:val="008F2F98"/>
    <w:rsid w:val="008F3699"/>
    <w:rsid w:val="008F46B2"/>
    <w:rsid w:val="008F57B4"/>
    <w:rsid w:val="008F78D1"/>
    <w:rsid w:val="0090102E"/>
    <w:rsid w:val="0090249C"/>
    <w:rsid w:val="00903D33"/>
    <w:rsid w:val="009139AE"/>
    <w:rsid w:val="00916122"/>
    <w:rsid w:val="00917C97"/>
    <w:rsid w:val="00922314"/>
    <w:rsid w:val="00922798"/>
    <w:rsid w:val="0092506C"/>
    <w:rsid w:val="00933B0B"/>
    <w:rsid w:val="0093756B"/>
    <w:rsid w:val="009400C2"/>
    <w:rsid w:val="009462FA"/>
    <w:rsid w:val="009505DD"/>
    <w:rsid w:val="009523B9"/>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052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3D1D"/>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195B"/>
    <w:rsid w:val="00A92820"/>
    <w:rsid w:val="00A96318"/>
    <w:rsid w:val="00A979FF"/>
    <w:rsid w:val="00AA19E2"/>
    <w:rsid w:val="00AA2138"/>
    <w:rsid w:val="00AA2CA6"/>
    <w:rsid w:val="00AA5B5B"/>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110"/>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5B82"/>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05A3A"/>
    <w:rsid w:val="00C06B1A"/>
    <w:rsid w:val="00C1095F"/>
    <w:rsid w:val="00C10CF1"/>
    <w:rsid w:val="00C11026"/>
    <w:rsid w:val="00C1168C"/>
    <w:rsid w:val="00C125F1"/>
    <w:rsid w:val="00C1324B"/>
    <w:rsid w:val="00C13D3D"/>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05F8"/>
    <w:rsid w:val="00C71CFC"/>
    <w:rsid w:val="00C72A24"/>
    <w:rsid w:val="00C74AAF"/>
    <w:rsid w:val="00C74B9F"/>
    <w:rsid w:val="00C76706"/>
    <w:rsid w:val="00C77BF0"/>
    <w:rsid w:val="00C811C8"/>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6F07"/>
    <w:rsid w:val="00E3717D"/>
    <w:rsid w:val="00E415CF"/>
    <w:rsid w:val="00E45FD8"/>
    <w:rsid w:val="00E467BD"/>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5A55"/>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359C4"/>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43D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سرد الفقرات1, سرد الفقرات11,NumberedList,سرد الفقرات1,سرد الفقرات1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3"/>
    <w:uiPriority w:val="34"/>
    <w:locked/>
    <w:rsid w:val="00312F0B"/>
  </w:style>
  <w:style w:type="table" w:styleId="40">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8E773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f">
    <w:name w:val="Unresolved Mention"/>
    <w:basedOn w:val="a0"/>
    <w:uiPriority w:val="99"/>
    <w:semiHidden/>
    <w:unhideWhenUsed/>
    <w:rsid w:val="00E95A55"/>
    <w:rPr>
      <w:color w:val="605E5C"/>
      <w:shd w:val="clear" w:color="auto" w:fill="E1DFDD"/>
    </w:rPr>
  </w:style>
  <w:style w:type="paragraph" w:styleId="HTML">
    <w:name w:val="HTML Preformatted"/>
    <w:basedOn w:val="a"/>
    <w:link w:val="HTMLChar"/>
    <w:uiPriority w:val="99"/>
    <w:semiHidden/>
    <w:unhideWhenUsed/>
    <w:rsid w:val="006911A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911A2"/>
    <w:rPr>
      <w:rFonts w:ascii="Consolas" w:hAnsi="Consolas"/>
      <w:sz w:val="20"/>
      <w:szCs w:val="20"/>
    </w:rPr>
  </w:style>
  <w:style w:type="character" w:customStyle="1" w:styleId="4Char">
    <w:name w:val="عنوان 4 Char"/>
    <w:basedOn w:val="a0"/>
    <w:link w:val="4"/>
    <w:uiPriority w:val="9"/>
    <w:semiHidden/>
    <w:rsid w:val="00A43D1D"/>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59207329">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25479289">
      <w:bodyDiv w:val="1"/>
      <w:marLeft w:val="0"/>
      <w:marRight w:val="0"/>
      <w:marTop w:val="0"/>
      <w:marBottom w:val="0"/>
      <w:divBdr>
        <w:top w:val="none" w:sz="0" w:space="0" w:color="auto"/>
        <w:left w:val="none" w:sz="0" w:space="0" w:color="auto"/>
        <w:bottom w:val="none" w:sz="0" w:space="0" w:color="auto"/>
        <w:right w:val="none" w:sz="0" w:space="0" w:color="auto"/>
      </w:divBdr>
      <w:divsChild>
        <w:div w:id="32945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0160073">
      <w:bodyDiv w:val="1"/>
      <w:marLeft w:val="0"/>
      <w:marRight w:val="0"/>
      <w:marTop w:val="0"/>
      <w:marBottom w:val="0"/>
      <w:divBdr>
        <w:top w:val="none" w:sz="0" w:space="0" w:color="auto"/>
        <w:left w:val="none" w:sz="0" w:space="0" w:color="auto"/>
        <w:bottom w:val="none" w:sz="0" w:space="0" w:color="auto"/>
        <w:right w:val="none" w:sz="0" w:space="0" w:color="auto"/>
      </w:divBdr>
    </w:div>
    <w:div w:id="346755819">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16828124">
      <w:bodyDiv w:val="1"/>
      <w:marLeft w:val="0"/>
      <w:marRight w:val="0"/>
      <w:marTop w:val="0"/>
      <w:marBottom w:val="0"/>
      <w:divBdr>
        <w:top w:val="none" w:sz="0" w:space="0" w:color="auto"/>
        <w:left w:val="none" w:sz="0" w:space="0" w:color="auto"/>
        <w:bottom w:val="none" w:sz="0" w:space="0" w:color="auto"/>
        <w:right w:val="none" w:sz="0" w:space="0" w:color="auto"/>
      </w:divBdr>
      <w:divsChild>
        <w:div w:id="1070345293">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60390428">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161430">
      <w:bodyDiv w:val="1"/>
      <w:marLeft w:val="0"/>
      <w:marRight w:val="0"/>
      <w:marTop w:val="0"/>
      <w:marBottom w:val="0"/>
      <w:divBdr>
        <w:top w:val="none" w:sz="0" w:space="0" w:color="auto"/>
        <w:left w:val="none" w:sz="0" w:space="0" w:color="auto"/>
        <w:bottom w:val="none" w:sz="0" w:space="0" w:color="auto"/>
        <w:right w:val="none" w:sz="0" w:space="0" w:color="auto"/>
      </w:divBdr>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04515636">
      <w:bodyDiv w:val="1"/>
      <w:marLeft w:val="0"/>
      <w:marRight w:val="0"/>
      <w:marTop w:val="0"/>
      <w:marBottom w:val="0"/>
      <w:divBdr>
        <w:top w:val="none" w:sz="0" w:space="0" w:color="auto"/>
        <w:left w:val="none" w:sz="0" w:space="0" w:color="auto"/>
        <w:bottom w:val="none" w:sz="0" w:space="0" w:color="auto"/>
        <w:right w:val="none" w:sz="0" w:space="0" w:color="auto"/>
      </w:divBdr>
      <w:divsChild>
        <w:div w:id="186257493">
          <w:marLeft w:val="0"/>
          <w:marRight w:val="0"/>
          <w:marTop w:val="0"/>
          <w:marBottom w:val="0"/>
          <w:divBdr>
            <w:top w:val="none" w:sz="0" w:space="0" w:color="auto"/>
            <w:left w:val="none" w:sz="0" w:space="0" w:color="auto"/>
            <w:bottom w:val="none" w:sz="0" w:space="0" w:color="auto"/>
            <w:right w:val="none" w:sz="0" w:space="0" w:color="auto"/>
          </w:divBdr>
          <w:divsChild>
            <w:div w:id="1629627862">
              <w:marLeft w:val="0"/>
              <w:marRight w:val="0"/>
              <w:marTop w:val="0"/>
              <w:marBottom w:val="0"/>
              <w:divBdr>
                <w:top w:val="none" w:sz="0" w:space="0" w:color="auto"/>
                <w:left w:val="none" w:sz="0" w:space="0" w:color="auto"/>
                <w:bottom w:val="none" w:sz="0" w:space="0" w:color="auto"/>
                <w:right w:val="none" w:sz="0" w:space="0" w:color="auto"/>
              </w:divBdr>
              <w:divsChild>
                <w:div w:id="1909533525">
                  <w:marLeft w:val="0"/>
                  <w:marRight w:val="0"/>
                  <w:marTop w:val="0"/>
                  <w:marBottom w:val="0"/>
                  <w:divBdr>
                    <w:top w:val="none" w:sz="0" w:space="0" w:color="auto"/>
                    <w:left w:val="none" w:sz="0" w:space="0" w:color="auto"/>
                    <w:bottom w:val="none" w:sz="0" w:space="0" w:color="auto"/>
                    <w:right w:val="none" w:sz="0" w:space="0" w:color="auto"/>
                  </w:divBdr>
                  <w:divsChild>
                    <w:div w:id="1575696384">
                      <w:marLeft w:val="0"/>
                      <w:marRight w:val="0"/>
                      <w:marTop w:val="0"/>
                      <w:marBottom w:val="0"/>
                      <w:divBdr>
                        <w:top w:val="none" w:sz="0" w:space="0" w:color="auto"/>
                        <w:left w:val="none" w:sz="0" w:space="0" w:color="auto"/>
                        <w:bottom w:val="none" w:sz="0" w:space="0" w:color="auto"/>
                        <w:right w:val="none" w:sz="0" w:space="0" w:color="auto"/>
                      </w:divBdr>
                      <w:divsChild>
                        <w:div w:id="861748180">
                          <w:marLeft w:val="0"/>
                          <w:marRight w:val="0"/>
                          <w:marTop w:val="0"/>
                          <w:marBottom w:val="0"/>
                          <w:divBdr>
                            <w:top w:val="none" w:sz="0" w:space="0" w:color="auto"/>
                            <w:left w:val="none" w:sz="0" w:space="0" w:color="auto"/>
                            <w:bottom w:val="none" w:sz="0" w:space="0" w:color="auto"/>
                            <w:right w:val="none" w:sz="0" w:space="0" w:color="auto"/>
                          </w:divBdr>
                          <w:divsChild>
                            <w:div w:id="1528520685">
                              <w:marLeft w:val="0"/>
                              <w:marRight w:val="0"/>
                              <w:marTop w:val="0"/>
                              <w:marBottom w:val="0"/>
                              <w:divBdr>
                                <w:top w:val="none" w:sz="0" w:space="0" w:color="auto"/>
                                <w:left w:val="none" w:sz="0" w:space="0" w:color="auto"/>
                                <w:bottom w:val="none" w:sz="0" w:space="0" w:color="auto"/>
                                <w:right w:val="none" w:sz="0" w:space="0" w:color="auto"/>
                              </w:divBdr>
                              <w:divsChild>
                                <w:div w:id="1240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54839683">
      <w:bodyDiv w:val="1"/>
      <w:marLeft w:val="0"/>
      <w:marRight w:val="0"/>
      <w:marTop w:val="0"/>
      <w:marBottom w:val="0"/>
      <w:divBdr>
        <w:top w:val="none" w:sz="0" w:space="0" w:color="auto"/>
        <w:left w:val="none" w:sz="0" w:space="0" w:color="auto"/>
        <w:bottom w:val="none" w:sz="0" w:space="0" w:color="auto"/>
        <w:right w:val="none" w:sz="0" w:space="0" w:color="auto"/>
      </w:divBdr>
      <w:divsChild>
        <w:div w:id="611742975">
          <w:marLeft w:val="0"/>
          <w:marRight w:val="0"/>
          <w:marTop w:val="0"/>
          <w:marBottom w:val="0"/>
          <w:divBdr>
            <w:top w:val="none" w:sz="0" w:space="0" w:color="auto"/>
            <w:left w:val="none" w:sz="0" w:space="0" w:color="auto"/>
            <w:bottom w:val="none" w:sz="0" w:space="0" w:color="auto"/>
            <w:right w:val="none" w:sz="0" w:space="0" w:color="auto"/>
          </w:divBdr>
          <w:divsChild>
            <w:div w:id="1122067360">
              <w:marLeft w:val="0"/>
              <w:marRight w:val="0"/>
              <w:marTop w:val="0"/>
              <w:marBottom w:val="0"/>
              <w:divBdr>
                <w:top w:val="none" w:sz="0" w:space="0" w:color="auto"/>
                <w:left w:val="none" w:sz="0" w:space="0" w:color="auto"/>
                <w:bottom w:val="none" w:sz="0" w:space="0" w:color="auto"/>
                <w:right w:val="none" w:sz="0" w:space="0" w:color="auto"/>
              </w:divBdr>
              <w:divsChild>
                <w:div w:id="20475663">
                  <w:marLeft w:val="0"/>
                  <w:marRight w:val="0"/>
                  <w:marTop w:val="0"/>
                  <w:marBottom w:val="0"/>
                  <w:divBdr>
                    <w:top w:val="none" w:sz="0" w:space="0" w:color="auto"/>
                    <w:left w:val="none" w:sz="0" w:space="0" w:color="auto"/>
                    <w:bottom w:val="none" w:sz="0" w:space="0" w:color="auto"/>
                    <w:right w:val="none" w:sz="0" w:space="0" w:color="auto"/>
                  </w:divBdr>
                  <w:divsChild>
                    <w:div w:id="1714842475">
                      <w:marLeft w:val="0"/>
                      <w:marRight w:val="0"/>
                      <w:marTop w:val="0"/>
                      <w:marBottom w:val="0"/>
                      <w:divBdr>
                        <w:top w:val="none" w:sz="0" w:space="0" w:color="auto"/>
                        <w:left w:val="none" w:sz="0" w:space="0" w:color="auto"/>
                        <w:bottom w:val="none" w:sz="0" w:space="0" w:color="auto"/>
                        <w:right w:val="none" w:sz="0" w:space="0" w:color="auto"/>
                      </w:divBdr>
                      <w:divsChild>
                        <w:div w:id="10420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04993">
          <w:marLeft w:val="0"/>
          <w:marRight w:val="0"/>
          <w:marTop w:val="0"/>
          <w:marBottom w:val="0"/>
          <w:divBdr>
            <w:top w:val="none" w:sz="0" w:space="0" w:color="auto"/>
            <w:left w:val="none" w:sz="0" w:space="0" w:color="auto"/>
            <w:bottom w:val="none" w:sz="0" w:space="0" w:color="auto"/>
            <w:right w:val="none" w:sz="0" w:space="0" w:color="auto"/>
          </w:divBdr>
          <w:divsChild>
            <w:div w:id="2057771447">
              <w:marLeft w:val="0"/>
              <w:marRight w:val="0"/>
              <w:marTop w:val="0"/>
              <w:marBottom w:val="0"/>
              <w:divBdr>
                <w:top w:val="none" w:sz="0" w:space="0" w:color="auto"/>
                <w:left w:val="none" w:sz="0" w:space="0" w:color="auto"/>
                <w:bottom w:val="none" w:sz="0" w:space="0" w:color="auto"/>
                <w:right w:val="none" w:sz="0" w:space="0" w:color="auto"/>
              </w:divBdr>
              <w:divsChild>
                <w:div w:id="1503664046">
                  <w:marLeft w:val="0"/>
                  <w:marRight w:val="0"/>
                  <w:marTop w:val="0"/>
                  <w:marBottom w:val="0"/>
                  <w:divBdr>
                    <w:top w:val="none" w:sz="0" w:space="0" w:color="auto"/>
                    <w:left w:val="none" w:sz="0" w:space="0" w:color="auto"/>
                    <w:bottom w:val="none" w:sz="0" w:space="0" w:color="auto"/>
                    <w:right w:val="none" w:sz="0" w:space="0" w:color="auto"/>
                  </w:divBdr>
                  <w:divsChild>
                    <w:div w:id="1715929837">
                      <w:marLeft w:val="0"/>
                      <w:marRight w:val="0"/>
                      <w:marTop w:val="0"/>
                      <w:marBottom w:val="0"/>
                      <w:divBdr>
                        <w:top w:val="none" w:sz="0" w:space="0" w:color="auto"/>
                        <w:left w:val="none" w:sz="0" w:space="0" w:color="auto"/>
                        <w:bottom w:val="none" w:sz="0" w:space="0" w:color="auto"/>
                        <w:right w:val="none" w:sz="0" w:space="0" w:color="auto"/>
                      </w:divBdr>
                      <w:divsChild>
                        <w:div w:id="694113292">
                          <w:marLeft w:val="0"/>
                          <w:marRight w:val="0"/>
                          <w:marTop w:val="0"/>
                          <w:marBottom w:val="0"/>
                          <w:divBdr>
                            <w:top w:val="none" w:sz="0" w:space="0" w:color="auto"/>
                            <w:left w:val="none" w:sz="0" w:space="0" w:color="auto"/>
                            <w:bottom w:val="none" w:sz="0" w:space="0" w:color="auto"/>
                            <w:right w:val="none" w:sz="0" w:space="0" w:color="auto"/>
                          </w:divBdr>
                          <w:divsChild>
                            <w:div w:id="367223879">
                              <w:marLeft w:val="0"/>
                              <w:marRight w:val="0"/>
                              <w:marTop w:val="0"/>
                              <w:marBottom w:val="0"/>
                              <w:divBdr>
                                <w:top w:val="none" w:sz="0" w:space="0" w:color="auto"/>
                                <w:left w:val="none" w:sz="0" w:space="0" w:color="auto"/>
                                <w:bottom w:val="none" w:sz="0" w:space="0" w:color="auto"/>
                                <w:right w:val="none" w:sz="0" w:space="0" w:color="auto"/>
                              </w:divBdr>
                              <w:divsChild>
                                <w:div w:id="70809615">
                                  <w:marLeft w:val="0"/>
                                  <w:marRight w:val="0"/>
                                  <w:marTop w:val="0"/>
                                  <w:marBottom w:val="0"/>
                                  <w:divBdr>
                                    <w:top w:val="none" w:sz="0" w:space="0" w:color="auto"/>
                                    <w:left w:val="none" w:sz="0" w:space="0" w:color="auto"/>
                                    <w:bottom w:val="none" w:sz="0" w:space="0" w:color="auto"/>
                                    <w:right w:val="none" w:sz="0" w:space="0" w:color="auto"/>
                                  </w:divBdr>
                                  <w:divsChild>
                                    <w:div w:id="8409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602738">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18632248">
      <w:bodyDiv w:val="1"/>
      <w:marLeft w:val="0"/>
      <w:marRight w:val="0"/>
      <w:marTop w:val="0"/>
      <w:marBottom w:val="0"/>
      <w:divBdr>
        <w:top w:val="none" w:sz="0" w:space="0" w:color="auto"/>
        <w:left w:val="none" w:sz="0" w:space="0" w:color="auto"/>
        <w:bottom w:val="none" w:sz="0" w:space="0" w:color="auto"/>
        <w:right w:val="none" w:sz="0" w:space="0" w:color="auto"/>
      </w:divBdr>
    </w:div>
    <w:div w:id="921446531">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33511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03185086">
      <w:bodyDiv w:val="1"/>
      <w:marLeft w:val="0"/>
      <w:marRight w:val="0"/>
      <w:marTop w:val="0"/>
      <w:marBottom w:val="0"/>
      <w:divBdr>
        <w:top w:val="none" w:sz="0" w:space="0" w:color="auto"/>
        <w:left w:val="none" w:sz="0" w:space="0" w:color="auto"/>
        <w:bottom w:val="none" w:sz="0" w:space="0" w:color="auto"/>
        <w:right w:val="none" w:sz="0" w:space="0" w:color="auto"/>
      </w:divBdr>
    </w:div>
    <w:div w:id="1104957536">
      <w:bodyDiv w:val="1"/>
      <w:marLeft w:val="0"/>
      <w:marRight w:val="0"/>
      <w:marTop w:val="0"/>
      <w:marBottom w:val="0"/>
      <w:divBdr>
        <w:top w:val="none" w:sz="0" w:space="0" w:color="auto"/>
        <w:left w:val="none" w:sz="0" w:space="0" w:color="auto"/>
        <w:bottom w:val="none" w:sz="0" w:space="0" w:color="auto"/>
        <w:right w:val="none" w:sz="0" w:space="0" w:color="auto"/>
      </w:divBdr>
      <w:divsChild>
        <w:div w:id="1336494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7362118">
          <w:blockQuote w:val="1"/>
          <w:marLeft w:val="720"/>
          <w:marRight w:val="720"/>
          <w:marTop w:val="100"/>
          <w:marBottom w:val="100"/>
          <w:divBdr>
            <w:top w:val="none" w:sz="0" w:space="0" w:color="auto"/>
            <w:left w:val="none" w:sz="0" w:space="0" w:color="auto"/>
            <w:bottom w:val="none" w:sz="0" w:space="0" w:color="auto"/>
            <w:right w:val="none" w:sz="0" w:space="0" w:color="auto"/>
          </w:divBdr>
        </w:div>
        <w:div w:id="67954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25607635">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84254741">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67529">
      <w:bodyDiv w:val="1"/>
      <w:marLeft w:val="0"/>
      <w:marRight w:val="0"/>
      <w:marTop w:val="0"/>
      <w:marBottom w:val="0"/>
      <w:divBdr>
        <w:top w:val="none" w:sz="0" w:space="0" w:color="auto"/>
        <w:left w:val="none" w:sz="0" w:space="0" w:color="auto"/>
        <w:bottom w:val="none" w:sz="0" w:space="0" w:color="auto"/>
        <w:right w:val="none" w:sz="0" w:space="0" w:color="auto"/>
      </w:divBdr>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2865167">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28864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4430578">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35753279">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38243661">
      <w:bodyDiv w:val="1"/>
      <w:marLeft w:val="0"/>
      <w:marRight w:val="0"/>
      <w:marTop w:val="0"/>
      <w:marBottom w:val="0"/>
      <w:divBdr>
        <w:top w:val="none" w:sz="0" w:space="0" w:color="auto"/>
        <w:left w:val="none" w:sz="0" w:space="0" w:color="auto"/>
        <w:bottom w:val="none" w:sz="0" w:space="0" w:color="auto"/>
        <w:right w:val="none" w:sz="0" w:space="0" w:color="auto"/>
      </w:divBdr>
      <w:divsChild>
        <w:div w:id="871310431">
          <w:marLeft w:val="0"/>
          <w:marRight w:val="0"/>
          <w:marTop w:val="0"/>
          <w:marBottom w:val="0"/>
          <w:divBdr>
            <w:top w:val="none" w:sz="0" w:space="0" w:color="auto"/>
            <w:left w:val="none" w:sz="0" w:space="0" w:color="auto"/>
            <w:bottom w:val="none" w:sz="0" w:space="0" w:color="auto"/>
            <w:right w:val="none" w:sz="0" w:space="0" w:color="auto"/>
          </w:divBdr>
        </w:div>
      </w:divsChild>
    </w:div>
    <w:div w:id="1955865900">
      <w:bodyDiv w:val="1"/>
      <w:marLeft w:val="0"/>
      <w:marRight w:val="0"/>
      <w:marTop w:val="0"/>
      <w:marBottom w:val="0"/>
      <w:divBdr>
        <w:top w:val="none" w:sz="0" w:space="0" w:color="auto"/>
        <w:left w:val="none" w:sz="0" w:space="0" w:color="auto"/>
        <w:bottom w:val="none" w:sz="0" w:space="0" w:color="auto"/>
        <w:right w:val="none" w:sz="0" w:space="0" w:color="auto"/>
      </w:divBdr>
    </w:div>
    <w:div w:id="1973511566">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165759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294066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754242" TargetMode="External"/><Relationship Id="rId18" Type="http://schemas.openxmlformats.org/officeDocument/2006/relationships/hyperlink" Target="http://search.mandumah.com/Record/1436805" TargetMode="External"/><Relationship Id="rId26" Type="http://schemas.openxmlformats.org/officeDocument/2006/relationships/hyperlink" Target="https://doi.org/10.30589/pgr.v7i2.753" TargetMode="External"/><Relationship Id="rId3" Type="http://schemas.openxmlformats.org/officeDocument/2006/relationships/styles" Target="styles.xml"/><Relationship Id="rId21" Type="http://schemas.openxmlformats.org/officeDocument/2006/relationships/hyperlink" Target="http://search.mandumah.com/Record/1572965"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earch.mandumah.com/Record/1547275" TargetMode="External"/><Relationship Id="rId25" Type="http://schemas.openxmlformats.org/officeDocument/2006/relationships/hyperlink" Target="https://doi.org/10.53840/ejpi.v11i2.200" TargetMode="External"/><Relationship Id="rId2" Type="http://schemas.openxmlformats.org/officeDocument/2006/relationships/numbering" Target="numbering.xml"/><Relationship Id="rId16" Type="http://schemas.openxmlformats.org/officeDocument/2006/relationships/hyperlink" Target="http://search.mandumah.com/Record/1610609" TargetMode="External"/><Relationship Id="rId20" Type="http://schemas.openxmlformats.org/officeDocument/2006/relationships/hyperlink" Target="http://search.mandumah.com/Record/114753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16/S3050-7901(25)00010-5" TargetMode="External"/><Relationship Id="rId5" Type="http://schemas.openxmlformats.org/officeDocument/2006/relationships/webSettings" Target="webSettings.xml"/><Relationship Id="rId15" Type="http://schemas.openxmlformats.org/officeDocument/2006/relationships/hyperlink" Target="http://search.mandumah.com/Record/1473974" TargetMode="External"/><Relationship Id="rId23" Type="http://schemas.openxmlformats.org/officeDocument/2006/relationships/hyperlink" Target="https://www.hrsd.gov.sa/knowledge-centre/data-and-statistics/open-data/758917" TargetMode="External"/><Relationship Id="rId28" Type="http://schemas.openxmlformats.org/officeDocument/2006/relationships/hyperlink" Target="https://doi.org/10.56457/tjm.v2i2.129" TargetMode="External"/><Relationship Id="rId10" Type="http://schemas.openxmlformats.org/officeDocument/2006/relationships/header" Target="header1.xml"/><Relationship Id="rId19" Type="http://schemas.openxmlformats.org/officeDocument/2006/relationships/hyperlink" Target="http://search.mandumah.com/Record/159453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87159" TargetMode="External"/><Relationship Id="rId22" Type="http://schemas.openxmlformats.org/officeDocument/2006/relationships/hyperlink" Target="http://search.mandumah.com/Record/1354503" TargetMode="External"/><Relationship Id="rId27" Type="http://schemas.openxmlformats.org/officeDocument/2006/relationships/hyperlink" Target="https://doi.org/10.55208/zwzns211"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66</Pages>
  <Words>13543</Words>
  <Characters>77196</Characters>
  <Application>Microsoft Office Word</Application>
  <DocSecurity>0</DocSecurity>
  <Lines>643</Lines>
  <Paragraphs>181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wessam ayman</cp:lastModifiedBy>
  <cp:revision>3</cp:revision>
  <cp:lastPrinted>2025-11-23T18:59:00Z</cp:lastPrinted>
  <dcterms:created xsi:type="dcterms:W3CDTF">2026-06-25T09:58:00Z</dcterms:created>
  <dcterms:modified xsi:type="dcterms:W3CDTF">2026-06-25T18:50:00Z</dcterms:modified>
</cp:coreProperties>
</file>