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35F5D" w14:textId="77777777" w:rsidR="00677147" w:rsidRPr="00677147" w:rsidRDefault="00677147" w:rsidP="00677147">
      <w:pPr>
        <w:spacing w:after="160" w:line="259" w:lineRule="auto"/>
        <w:rPr>
          <w:rFonts w:ascii="Sakkal Majalla" w:eastAsia="Calibri" w:hAnsi="Sakkal Majalla" w:cs="Sakkal Majalla"/>
          <w:b/>
          <w:bCs/>
          <w:kern w:val="2"/>
          <w:sz w:val="28"/>
          <w:szCs w:val="28"/>
          <w:lang w:bidi="ar-EG"/>
        </w:rPr>
      </w:pPr>
      <w:r w:rsidRPr="00677147">
        <w:rPr>
          <w:rFonts w:ascii="Sakkal Majalla" w:eastAsia="Calibri" w:hAnsi="Sakkal Majalla" w:cs="Sakkal Majalla"/>
          <w:b/>
          <w:bCs/>
          <w:noProof/>
          <w:kern w:val="2"/>
          <w:sz w:val="28"/>
          <w:szCs w:val="28"/>
        </w:rPr>
        <w:drawing>
          <wp:anchor distT="0" distB="0" distL="114300" distR="114300" simplePos="0" relativeHeight="251662336" behindDoc="0" locked="0" layoutInCell="1" allowOverlap="1" wp14:anchorId="34355788" wp14:editId="7D6BCD8D">
            <wp:simplePos x="0" y="0"/>
            <wp:positionH relativeFrom="margin">
              <wp:posOffset>-695325</wp:posOffset>
            </wp:positionH>
            <wp:positionV relativeFrom="margin">
              <wp:posOffset>-457200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77147">
        <w:rPr>
          <w:rFonts w:ascii="Sakkal Majalla" w:eastAsia="Calibri" w:hAnsi="Sakkal Majalla" w:cs="Sakkal Majalla"/>
          <w:b/>
          <w:bCs/>
          <w:kern w:val="2"/>
          <w:sz w:val="28"/>
          <w:szCs w:val="28"/>
          <w:rtl/>
          <w:lang w:bidi="ar-EG"/>
        </w:rPr>
        <w:t xml:space="preserve">جامعة ميدأوشن </w:t>
      </w:r>
    </w:p>
    <w:p w14:paraId="06DE1F4C" w14:textId="77777777" w:rsidR="00677147" w:rsidRPr="00677147" w:rsidRDefault="00677147" w:rsidP="00677147">
      <w:pPr>
        <w:spacing w:after="160" w:line="259" w:lineRule="auto"/>
        <w:rPr>
          <w:rFonts w:ascii="Sakkal Majalla" w:eastAsia="Calibri" w:hAnsi="Sakkal Majalla" w:cs="Sakkal Majalla"/>
          <w:b/>
          <w:bCs/>
          <w:kern w:val="2"/>
          <w:sz w:val="28"/>
          <w:szCs w:val="28"/>
          <w:rtl/>
          <w:lang w:bidi="ar-EG"/>
        </w:rPr>
      </w:pPr>
      <w:r w:rsidRPr="00677147">
        <w:rPr>
          <w:rFonts w:ascii="Sakkal Majalla" w:eastAsia="Calibri" w:hAnsi="Sakkal Majalla" w:cs="Sakkal Majalla"/>
          <w:b/>
          <w:bCs/>
          <w:kern w:val="2"/>
          <w:sz w:val="28"/>
          <w:szCs w:val="28"/>
          <w:lang w:bidi="ar-EG"/>
        </w:rPr>
        <w:t xml:space="preserve">    </w:t>
      </w:r>
      <w:r w:rsidRPr="00677147">
        <w:rPr>
          <w:rFonts w:ascii="Sakkal Majalla" w:eastAsia="Calibri" w:hAnsi="Sakkal Majalla" w:cs="Sakkal Majalla"/>
          <w:b/>
          <w:bCs/>
          <w:kern w:val="2"/>
          <w:sz w:val="28"/>
          <w:szCs w:val="28"/>
          <w:rtl/>
          <w:lang w:bidi="ar-EG"/>
        </w:rPr>
        <w:t xml:space="preserve">كلية الإدارة </w:t>
      </w:r>
    </w:p>
    <w:p w14:paraId="1263560B" w14:textId="77777777" w:rsidR="00677147" w:rsidRPr="00677147" w:rsidRDefault="00677147" w:rsidP="00677147">
      <w:pPr>
        <w:tabs>
          <w:tab w:val="left" w:pos="1677"/>
        </w:tabs>
        <w:spacing w:after="160" w:line="259" w:lineRule="auto"/>
        <w:rPr>
          <w:rFonts w:ascii="Sakkal Majalla" w:eastAsia="Calibri" w:hAnsi="Sakkal Majalla" w:cs="Sakkal Majalla"/>
          <w:kern w:val="2"/>
          <w:sz w:val="28"/>
          <w:szCs w:val="28"/>
          <w:rtl/>
          <w:lang w:bidi="ar-EG"/>
        </w:rPr>
      </w:pPr>
      <w:r w:rsidRPr="00677147">
        <w:rPr>
          <w:rFonts w:ascii="Sakkal Majalla" w:eastAsia="Calibri" w:hAnsi="Sakkal Majalla" w:cs="Sakkal Majalla"/>
          <w:b/>
          <w:bCs/>
          <w:kern w:val="2"/>
          <w:sz w:val="28"/>
          <w:szCs w:val="28"/>
          <w:rtl/>
          <w:lang w:bidi="ar-EG"/>
        </w:rPr>
        <w:t xml:space="preserve">قسم / </w:t>
      </w:r>
      <w:r w:rsidRPr="00677147">
        <w:rPr>
          <w:rFonts w:ascii="Sakkal Majalla" w:eastAsia="Calibri" w:hAnsi="Sakkal Majalla" w:cs="Sakkal Majalla" w:hint="cs"/>
          <w:b/>
          <w:bCs/>
          <w:kern w:val="2"/>
          <w:sz w:val="28"/>
          <w:szCs w:val="28"/>
          <w:rtl/>
        </w:rPr>
        <w:t>إدارة الاعمال</w:t>
      </w:r>
      <w:r w:rsidRPr="00677147">
        <w:rPr>
          <w:rFonts w:ascii="Sakkal Majalla" w:eastAsia="Calibri" w:hAnsi="Sakkal Majalla" w:cs="Sakkal Majalla"/>
          <w:b/>
          <w:bCs/>
          <w:kern w:val="2"/>
          <w:sz w:val="28"/>
          <w:szCs w:val="28"/>
          <w:rtl/>
          <w:lang w:bidi="ar-EG"/>
        </w:rPr>
        <w:tab/>
      </w:r>
      <w:r w:rsidRPr="00677147">
        <w:rPr>
          <w:rFonts w:ascii="Sakkal Majalla" w:eastAsia="Calibri" w:hAnsi="Sakkal Majalla" w:cs="Sakkal Majalla"/>
          <w:b/>
          <w:bCs/>
          <w:kern w:val="2"/>
          <w:sz w:val="28"/>
          <w:szCs w:val="28"/>
          <w:rtl/>
          <w:lang w:bidi="ar-EG"/>
        </w:rPr>
        <w:tab/>
      </w:r>
    </w:p>
    <w:p w14:paraId="07E896A7" w14:textId="77777777" w:rsidR="00677147" w:rsidRPr="00677147" w:rsidRDefault="00677147" w:rsidP="00677147">
      <w:pPr>
        <w:spacing w:after="160" w:line="259" w:lineRule="auto"/>
        <w:rPr>
          <w:rFonts w:ascii="Sakkal Majalla" w:eastAsia="Calibri" w:hAnsi="Sakkal Majalla" w:cs="Sakkal Majalla"/>
          <w:kern w:val="2"/>
          <w:sz w:val="28"/>
          <w:szCs w:val="28"/>
          <w:rtl/>
          <w:lang w:bidi="ar-EG"/>
        </w:rPr>
      </w:pPr>
    </w:p>
    <w:p w14:paraId="00E8300E" w14:textId="77777777" w:rsidR="00677147" w:rsidRPr="00677147" w:rsidRDefault="00677147" w:rsidP="00677147">
      <w:pPr>
        <w:spacing w:after="160" w:line="259" w:lineRule="auto"/>
        <w:rPr>
          <w:rFonts w:ascii="Sakkal Majalla" w:eastAsia="Calibri" w:hAnsi="Sakkal Majalla" w:cs="Sakkal Majalla"/>
          <w:kern w:val="2"/>
          <w:sz w:val="28"/>
          <w:szCs w:val="28"/>
          <w:rtl/>
          <w:lang w:bidi="ar-EG"/>
        </w:rPr>
      </w:pPr>
    </w:p>
    <w:p w14:paraId="66884314" w14:textId="77777777" w:rsidR="00677147" w:rsidRPr="00677147" w:rsidRDefault="00677147" w:rsidP="00677147">
      <w:pPr>
        <w:spacing w:after="160" w:line="259" w:lineRule="auto"/>
        <w:rPr>
          <w:rFonts w:ascii="Sakkal Majalla" w:eastAsia="Calibri" w:hAnsi="Sakkal Majalla" w:cs="Sakkal Majalla"/>
          <w:kern w:val="2"/>
          <w:sz w:val="28"/>
          <w:szCs w:val="28"/>
          <w:rtl/>
        </w:rPr>
      </w:pPr>
    </w:p>
    <w:p w14:paraId="148246BD" w14:textId="77777777" w:rsidR="00677147" w:rsidRPr="00677147" w:rsidRDefault="00677147" w:rsidP="00677147">
      <w:pPr>
        <w:spacing w:after="160" w:line="259" w:lineRule="auto"/>
        <w:jc w:val="center"/>
        <w:rPr>
          <w:rFonts w:ascii="Sakkal Majalla" w:eastAsia="Calibri" w:hAnsi="Sakkal Majalla" w:cs="Sakkal Majalla"/>
          <w:kern w:val="2"/>
          <w:sz w:val="28"/>
          <w:szCs w:val="28"/>
          <w:rtl/>
          <w:lang w:bidi="ar-EG"/>
        </w:rPr>
      </w:pPr>
      <w:r w:rsidRPr="00677147">
        <w:rPr>
          <w:rFonts w:ascii="Simplified Arabic" w:eastAsia="Calibri" w:hAnsi="Simplified Arabic" w:cs="(AH) Manal Black"/>
          <w:kern w:val="2"/>
          <w:sz w:val="44"/>
          <w:szCs w:val="44"/>
          <w:rtl/>
          <w:lang w:bidi="ar-EG"/>
        </w:rPr>
        <w:t xml:space="preserve">التعدين ووسائل الأمان في مناجم النحاس في المنطقة </w:t>
      </w:r>
      <w:r w:rsidRPr="00677147">
        <w:rPr>
          <w:rFonts w:ascii="Simplified Arabic" w:eastAsia="Calibri" w:hAnsi="Simplified Arabic" w:cs="(AH) Manal Black" w:hint="cs"/>
          <w:kern w:val="2"/>
          <w:sz w:val="44"/>
          <w:szCs w:val="44"/>
          <w:rtl/>
          <w:lang w:bidi="ar-EG"/>
        </w:rPr>
        <w:t>الغربية</w:t>
      </w:r>
      <w:r w:rsidRPr="00677147">
        <w:rPr>
          <w:rFonts w:ascii="Simplified Arabic" w:eastAsia="Calibri" w:hAnsi="Simplified Arabic" w:cs="(AH) Manal Black"/>
          <w:kern w:val="2"/>
          <w:sz w:val="44"/>
          <w:szCs w:val="44"/>
          <w:rtl/>
          <w:lang w:bidi="ar-EG"/>
        </w:rPr>
        <w:t xml:space="preserve"> في المملكة العربية </w:t>
      </w:r>
      <w:r w:rsidRPr="00677147">
        <w:rPr>
          <w:rFonts w:ascii="Simplified Arabic" w:eastAsia="Calibri" w:hAnsi="Simplified Arabic" w:cs="(AH) Manal Black" w:hint="cs"/>
          <w:kern w:val="2"/>
          <w:sz w:val="44"/>
          <w:szCs w:val="44"/>
          <w:rtl/>
          <w:lang w:bidi="ar-EG"/>
        </w:rPr>
        <w:t>السعودية</w:t>
      </w:r>
    </w:p>
    <w:p w14:paraId="64E071E3" w14:textId="77777777" w:rsidR="00677147" w:rsidRPr="00677147" w:rsidRDefault="00677147" w:rsidP="00677147">
      <w:pPr>
        <w:spacing w:after="160" w:line="259" w:lineRule="auto"/>
        <w:jc w:val="center"/>
        <w:rPr>
          <w:rFonts w:ascii="Sakkal Majalla" w:eastAsia="Calibri" w:hAnsi="Sakkal Majalla" w:cs="Sakkal Majalla"/>
          <w:b/>
          <w:bCs/>
          <w:kern w:val="2"/>
          <w:sz w:val="28"/>
          <w:szCs w:val="28"/>
          <w:rtl/>
          <w:lang w:bidi="ar-EG"/>
        </w:rPr>
      </w:pPr>
    </w:p>
    <w:p w14:paraId="117DF845" w14:textId="77777777" w:rsidR="00677147" w:rsidRPr="00677147" w:rsidRDefault="00677147" w:rsidP="00677147">
      <w:pPr>
        <w:spacing w:after="160" w:line="259" w:lineRule="auto"/>
        <w:jc w:val="center"/>
        <w:rPr>
          <w:rFonts w:ascii="Sakkal Majalla" w:eastAsia="Calibri" w:hAnsi="Sakkal Majalla" w:cs="Sakkal Majalla"/>
          <w:b/>
          <w:bCs/>
          <w:kern w:val="2"/>
          <w:sz w:val="28"/>
          <w:szCs w:val="28"/>
          <w:rtl/>
          <w:lang w:bidi="ar-EG"/>
        </w:rPr>
      </w:pPr>
    </w:p>
    <w:p w14:paraId="23327234" w14:textId="7E5D29E8" w:rsidR="00677147" w:rsidRDefault="00677147" w:rsidP="00BE6C10">
      <w:pPr>
        <w:spacing w:after="160" w:line="259" w:lineRule="auto"/>
        <w:jc w:val="center"/>
        <w:rPr>
          <w:rFonts w:ascii="Sakkal Majalla" w:eastAsia="Calibri" w:hAnsi="Sakkal Majalla" w:cs="Sakkal Majalla"/>
          <w:b/>
          <w:bCs/>
          <w:kern w:val="2"/>
          <w:sz w:val="24"/>
          <w:szCs w:val="24"/>
          <w:lang w:bidi="ar-EG"/>
        </w:rPr>
      </w:pPr>
      <w:r w:rsidRPr="00677147">
        <w:rPr>
          <w:rFonts w:ascii="Sakkal Majalla" w:eastAsia="Calibri" w:hAnsi="Sakkal Majalla" w:cs="(AH) Manal Black"/>
          <w:kern w:val="2"/>
          <w:sz w:val="36"/>
          <w:szCs w:val="36"/>
          <w:rtl/>
          <w:lang w:bidi="ar-EG"/>
        </w:rPr>
        <w:t>إعداد الطالب/</w:t>
      </w:r>
    </w:p>
    <w:p w14:paraId="266F1DA4" w14:textId="028E8A93" w:rsidR="00BE6C10" w:rsidRPr="00BE6C10" w:rsidRDefault="00BE6C10" w:rsidP="00BE6C10">
      <w:pPr>
        <w:spacing w:after="160" w:line="259" w:lineRule="auto"/>
        <w:jc w:val="center"/>
        <w:rPr>
          <w:rFonts w:ascii="Sakkal Majalla" w:eastAsia="Calibri" w:hAnsi="Sakkal Majalla" w:cs="Sakkal Majalla"/>
          <w:b/>
          <w:bCs/>
          <w:kern w:val="2"/>
          <w:sz w:val="40"/>
          <w:szCs w:val="40"/>
          <w:rtl/>
          <w:lang w:bidi="ar-EG"/>
        </w:rPr>
      </w:pPr>
      <w:r w:rsidRPr="00BE6C10">
        <w:rPr>
          <w:rFonts w:ascii="Sakkal Majalla" w:eastAsia="Calibri" w:hAnsi="Sakkal Majalla" w:cs="Sakkal Majalla" w:hint="cs"/>
          <w:b/>
          <w:bCs/>
          <w:kern w:val="2"/>
          <w:sz w:val="40"/>
          <w:szCs w:val="40"/>
          <w:rtl/>
          <w:lang w:bidi="ar-EG"/>
        </w:rPr>
        <w:t>حسن بن حمدان الحربي</w:t>
      </w:r>
    </w:p>
    <w:p w14:paraId="6153F733" w14:textId="77777777" w:rsidR="00677147" w:rsidRPr="00677147" w:rsidRDefault="00677147" w:rsidP="00677147">
      <w:pPr>
        <w:spacing w:after="160" w:line="259" w:lineRule="auto"/>
        <w:jc w:val="center"/>
        <w:rPr>
          <w:rFonts w:ascii="Sakkal Majalla" w:eastAsia="Calibri" w:hAnsi="Sakkal Majalla" w:cs="Sakkal Majalla"/>
          <w:b/>
          <w:bCs/>
          <w:kern w:val="2"/>
          <w:sz w:val="28"/>
          <w:szCs w:val="28"/>
          <w:rtl/>
          <w:lang w:bidi="ar-EG"/>
        </w:rPr>
      </w:pPr>
    </w:p>
    <w:p w14:paraId="6D3F5636" w14:textId="77777777" w:rsidR="00677147" w:rsidRPr="00677147" w:rsidRDefault="00677147" w:rsidP="00677147">
      <w:pPr>
        <w:spacing w:after="160" w:line="259" w:lineRule="auto"/>
        <w:jc w:val="center"/>
        <w:rPr>
          <w:rFonts w:ascii="Sakkal Majalla" w:eastAsia="Calibri" w:hAnsi="Sakkal Majalla" w:cs="Sakkal Majalla"/>
          <w:b/>
          <w:bCs/>
          <w:kern w:val="2"/>
          <w:sz w:val="28"/>
          <w:szCs w:val="28"/>
          <w:rtl/>
          <w:lang w:bidi="ar-EG"/>
        </w:rPr>
      </w:pPr>
    </w:p>
    <w:p w14:paraId="31DB4B08" w14:textId="77777777" w:rsidR="00677147" w:rsidRPr="00677147" w:rsidRDefault="00677147" w:rsidP="00677147">
      <w:pPr>
        <w:spacing w:after="160" w:line="259" w:lineRule="auto"/>
        <w:jc w:val="center"/>
        <w:rPr>
          <w:rFonts w:ascii="Sakkal Majalla" w:eastAsia="Calibri" w:hAnsi="Sakkal Majalla" w:cs="(AH) Manal Black"/>
          <w:kern w:val="2"/>
          <w:sz w:val="36"/>
          <w:szCs w:val="36"/>
          <w:rtl/>
          <w:lang w:bidi="ar-EG"/>
        </w:rPr>
      </w:pPr>
      <w:r w:rsidRPr="00677147">
        <w:rPr>
          <w:rFonts w:ascii="Sakkal Majalla" w:eastAsia="Calibri" w:hAnsi="Sakkal Majalla" w:cs="(AH) Manal Black"/>
          <w:kern w:val="2"/>
          <w:sz w:val="36"/>
          <w:szCs w:val="36"/>
          <w:rtl/>
          <w:lang w:bidi="ar-EG"/>
        </w:rPr>
        <w:t>إشراف</w:t>
      </w:r>
      <w:r w:rsidRPr="00677147">
        <w:rPr>
          <w:rFonts w:ascii="Sakkal Majalla" w:eastAsia="Calibri" w:hAnsi="Sakkal Majalla" w:cs="(AH) Manal Black" w:hint="cs"/>
          <w:kern w:val="2"/>
          <w:sz w:val="36"/>
          <w:szCs w:val="36"/>
          <w:rtl/>
          <w:lang w:bidi="ar-EG"/>
        </w:rPr>
        <w:t>/</w:t>
      </w:r>
    </w:p>
    <w:p w14:paraId="44DA3DA9" w14:textId="77777777" w:rsidR="00677147" w:rsidRPr="00677147" w:rsidRDefault="00677147" w:rsidP="00677147">
      <w:pPr>
        <w:spacing w:after="160" w:line="259" w:lineRule="auto"/>
        <w:jc w:val="center"/>
        <w:rPr>
          <w:rFonts w:ascii="Sakkal Majalla" w:eastAsia="Calibri" w:hAnsi="Sakkal Majalla" w:cs="Sakkal Majalla"/>
          <w:b/>
          <w:bCs/>
          <w:kern w:val="2"/>
          <w:sz w:val="40"/>
          <w:szCs w:val="40"/>
          <w:rtl/>
          <w:lang w:bidi="ar-EG"/>
        </w:rPr>
      </w:pPr>
      <w:r w:rsidRPr="00677147">
        <w:rPr>
          <w:rFonts w:ascii="Sakkal Majalla" w:eastAsia="Calibri" w:hAnsi="Sakkal Majalla" w:cs="Sakkal Majalla"/>
          <w:b/>
          <w:bCs/>
          <w:kern w:val="2"/>
          <w:sz w:val="40"/>
          <w:szCs w:val="40"/>
          <w:rtl/>
          <w:lang w:bidi="ar-EG"/>
        </w:rPr>
        <w:t>د.</w:t>
      </w:r>
      <w:r w:rsidRPr="00677147">
        <w:rPr>
          <w:rFonts w:ascii="Sakkal Majalla" w:eastAsia="Calibri" w:hAnsi="Sakkal Majalla" w:cs="Sakkal Majalla" w:hint="cs"/>
          <w:b/>
          <w:bCs/>
          <w:kern w:val="2"/>
          <w:sz w:val="40"/>
          <w:szCs w:val="40"/>
          <w:rtl/>
          <w:lang w:bidi="ar-EG"/>
        </w:rPr>
        <w:t xml:space="preserve"> </w:t>
      </w:r>
      <w:r w:rsidRPr="00677147">
        <w:rPr>
          <w:rFonts w:ascii="Sakkal Majalla" w:eastAsia="Calibri" w:hAnsi="Sakkal Majalla" w:cs="Sakkal Majalla"/>
          <w:b/>
          <w:bCs/>
          <w:kern w:val="2"/>
          <w:sz w:val="40"/>
          <w:szCs w:val="40"/>
          <w:rtl/>
          <w:lang w:bidi="ar-EG"/>
        </w:rPr>
        <w:t>الفيصل عبد الحميد</w:t>
      </w:r>
    </w:p>
    <w:p w14:paraId="037C4860" w14:textId="20276440" w:rsidR="00677147" w:rsidRPr="00EC1DBF" w:rsidRDefault="00EC1DBF" w:rsidP="00677147">
      <w:pPr>
        <w:spacing w:after="160" w:line="259" w:lineRule="auto"/>
        <w:jc w:val="center"/>
        <w:rPr>
          <w:rFonts w:ascii="Sakkal Majalla" w:eastAsia="Calibri" w:hAnsi="Sakkal Majalla" w:cs="Sakkal Majalla"/>
          <w:b/>
          <w:bCs/>
          <w:kern w:val="2"/>
          <w:sz w:val="40"/>
          <w:szCs w:val="40"/>
          <w:rtl/>
          <w:lang w:bidi="ar-EG"/>
        </w:rPr>
      </w:pPr>
      <w:r w:rsidRPr="00EC1DBF">
        <w:rPr>
          <w:rFonts w:ascii="Sakkal Majalla" w:eastAsia="Calibri" w:hAnsi="Sakkal Majalla" w:cs="Sakkal Majalla" w:hint="cs"/>
          <w:b/>
          <w:bCs/>
          <w:kern w:val="2"/>
          <w:sz w:val="40"/>
          <w:szCs w:val="40"/>
          <w:rtl/>
          <w:lang w:bidi="ar-EG"/>
        </w:rPr>
        <w:t>د. فايز جراد</w:t>
      </w:r>
    </w:p>
    <w:p w14:paraId="0C47D544" w14:textId="77777777" w:rsidR="00677147" w:rsidRPr="00677147" w:rsidRDefault="00677147" w:rsidP="00677147">
      <w:pPr>
        <w:spacing w:after="160" w:line="259" w:lineRule="auto"/>
        <w:rPr>
          <w:rFonts w:ascii="Sakkal Majalla" w:eastAsia="Calibri" w:hAnsi="Sakkal Majalla" w:cs="Sakkal Majalla"/>
          <w:b/>
          <w:bCs/>
          <w:kern w:val="2"/>
          <w:sz w:val="28"/>
          <w:szCs w:val="28"/>
          <w:rtl/>
          <w:lang w:bidi="ar-EG"/>
        </w:rPr>
      </w:pPr>
    </w:p>
    <w:p w14:paraId="3ACD366B" w14:textId="77777777" w:rsidR="00677147" w:rsidRPr="00677147" w:rsidRDefault="00677147" w:rsidP="00677147">
      <w:pPr>
        <w:spacing w:after="160" w:line="259" w:lineRule="auto"/>
        <w:jc w:val="center"/>
        <w:rPr>
          <w:rFonts w:ascii="Sakkal Majalla" w:eastAsia="Calibri" w:hAnsi="Sakkal Majalla" w:cs="Sakkal Majalla"/>
          <w:b/>
          <w:bCs/>
          <w:kern w:val="2"/>
          <w:sz w:val="32"/>
          <w:szCs w:val="32"/>
          <w:rtl/>
          <w:lang w:bidi="ar-EG"/>
        </w:rPr>
      </w:pPr>
      <w:r w:rsidRPr="00677147">
        <w:rPr>
          <w:rFonts w:ascii="Sakkal Majalla" w:eastAsia="Calibri" w:hAnsi="Sakkal Majalla" w:cs="Sakkal Majalla"/>
          <w:b/>
          <w:bCs/>
          <w:kern w:val="2"/>
          <w:sz w:val="32"/>
          <w:szCs w:val="32"/>
          <w:rtl/>
          <w:lang w:bidi="ar-EG"/>
        </w:rPr>
        <w:t>العام الدراسي:</w:t>
      </w:r>
    </w:p>
    <w:p w14:paraId="6DAD80DC" w14:textId="77777777" w:rsidR="00677147" w:rsidRPr="00677147" w:rsidRDefault="00677147" w:rsidP="00677147">
      <w:pPr>
        <w:spacing w:after="160" w:line="259" w:lineRule="auto"/>
        <w:jc w:val="center"/>
        <w:rPr>
          <w:rFonts w:ascii="Sakkal Majalla" w:eastAsia="Calibri" w:hAnsi="Sakkal Majalla" w:cs="Sakkal Majalla"/>
          <w:b/>
          <w:bCs/>
          <w:kern w:val="2"/>
          <w:sz w:val="32"/>
          <w:szCs w:val="32"/>
          <w:rtl/>
          <w:lang w:bidi="ar-EG"/>
        </w:rPr>
      </w:pPr>
      <w:r w:rsidRPr="00677147">
        <w:rPr>
          <w:rFonts w:ascii="Sakkal Majalla" w:eastAsia="Calibri" w:hAnsi="Sakkal Majalla" w:cs="Sakkal Majalla" w:hint="cs"/>
          <w:b/>
          <w:bCs/>
          <w:kern w:val="2"/>
          <w:sz w:val="32"/>
          <w:szCs w:val="32"/>
          <w:rtl/>
          <w:lang w:bidi="ar-EG"/>
        </w:rPr>
        <w:t>2025</w:t>
      </w:r>
    </w:p>
    <w:p w14:paraId="0878226C" w14:textId="77777777" w:rsidR="001827BF" w:rsidRDefault="001827BF">
      <w:pPr>
        <w:rPr>
          <w:rtl/>
        </w:rPr>
      </w:pPr>
    </w:p>
    <w:p w14:paraId="43090767" w14:textId="77777777" w:rsidR="00677147" w:rsidRDefault="00677147">
      <w:pPr>
        <w:rPr>
          <w:rtl/>
        </w:rPr>
      </w:pPr>
    </w:p>
    <w:p w14:paraId="56DB5A1A" w14:textId="77777777" w:rsid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5936C237" w14:textId="77777777" w:rsid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4E51EA9A" w14:textId="77777777" w:rsid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5B4A9A40" w14:textId="77777777" w:rsid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6F19D153"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381C887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bookmarkStart w:id="0" w:name="_Hlk192235957"/>
    <w:p w14:paraId="39AB073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Calibri" w:eastAsia="Calibri" w:hAnsi="Calibri" w:cs="Arial"/>
          <w:noProof/>
          <w:rtl/>
          <w14:ligatures w14:val="none"/>
        </w:rPr>
        <mc:AlternateContent>
          <mc:Choice Requires="wps">
            <w:drawing>
              <wp:anchor distT="0" distB="0" distL="114300" distR="114300" simplePos="0" relativeHeight="251659264" behindDoc="0" locked="0" layoutInCell="1" allowOverlap="1" wp14:anchorId="5E3CC535" wp14:editId="5C666DA0">
                <wp:simplePos x="0" y="0"/>
                <wp:positionH relativeFrom="margin">
                  <wp:posOffset>468629</wp:posOffset>
                </wp:positionH>
                <wp:positionV relativeFrom="paragraph">
                  <wp:posOffset>13335</wp:posOffset>
                </wp:positionV>
                <wp:extent cx="4815205" cy="2466975"/>
                <wp:effectExtent l="0" t="0" r="23495" b="28575"/>
                <wp:wrapNone/>
                <wp:docPr id="1299746412" name="Rounded Rectangle 1"/>
                <wp:cNvGraphicFramePr/>
                <a:graphic xmlns:a="http://schemas.openxmlformats.org/drawingml/2006/main">
                  <a:graphicData uri="http://schemas.microsoft.com/office/word/2010/wordprocessingShape">
                    <wps:wsp>
                      <wps:cNvSpPr/>
                      <wps:spPr>
                        <a:xfrm>
                          <a:off x="0" y="0"/>
                          <a:ext cx="4815205" cy="2466975"/>
                        </a:xfrm>
                        <a:prstGeom prst="roundRect">
                          <a:avLst/>
                        </a:prstGeom>
                        <a:solidFill>
                          <a:sysClr val="window" lastClr="FFFFFF"/>
                        </a:solidFill>
                        <a:ln w="25400" cap="flat" cmpd="sng" algn="ctr">
                          <a:solidFill>
                            <a:sysClr val="windowText" lastClr="000000"/>
                          </a:solidFill>
                          <a:prstDash val="solid"/>
                        </a:ln>
                        <a:effectLst/>
                      </wps:spPr>
                      <wps:txbx>
                        <w:txbxContent>
                          <w:p w14:paraId="505251BE" w14:textId="77777777" w:rsidR="00677147" w:rsidRPr="007F2935" w:rsidRDefault="00677147" w:rsidP="00677147">
                            <w:pPr>
                              <w:jc w:val="center"/>
                              <w:outlineLvl w:val="0"/>
                              <w:rPr>
                                <w:rFonts w:ascii="Sakkal Majalla" w:hAnsi="Sakkal Majalla" w:cs="Sakkal Majalla"/>
                                <w:b/>
                                <w:bCs/>
                                <w:sz w:val="48"/>
                                <w:szCs w:val="48"/>
                              </w:rPr>
                            </w:pPr>
                            <w:bookmarkStart w:id="1" w:name="_Toc180777309"/>
                            <w:bookmarkStart w:id="2" w:name="_Toc191798355"/>
                            <w:bookmarkStart w:id="3" w:name="_Toc191822813"/>
                            <w:bookmarkStart w:id="4" w:name="_Toc192862019"/>
                            <w:r w:rsidRPr="007F2935">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الاول</w:t>
                            </w:r>
                            <w:r w:rsidRPr="007F2935">
                              <w:rPr>
                                <w:rFonts w:ascii="Sakkal Majalla" w:hAnsi="Sakkal Majalla" w:cs="Sakkal Majalla" w:hint="cs"/>
                                <w:b/>
                                <w:bCs/>
                                <w:sz w:val="48"/>
                                <w:szCs w:val="48"/>
                                <w:rtl/>
                              </w:rPr>
                              <w:t xml:space="preserve">: الإطار </w:t>
                            </w:r>
                            <w:bookmarkEnd w:id="1"/>
                            <w:bookmarkEnd w:id="2"/>
                            <w:bookmarkEnd w:id="3"/>
                            <w:r>
                              <w:rPr>
                                <w:rFonts w:ascii="Sakkal Majalla" w:hAnsi="Sakkal Majalla" w:cs="Sakkal Majalla" w:hint="cs"/>
                                <w:b/>
                                <w:bCs/>
                                <w:sz w:val="48"/>
                                <w:szCs w:val="48"/>
                                <w:rtl/>
                              </w:rPr>
                              <w:t>العام للدراسة</w:t>
                            </w:r>
                            <w:bookmarkEnd w:id="4"/>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5E3CC535" id="Rounded Rectangle 1" o:spid="_x0000_s1026" style="position:absolute;left:0;text-align:left;margin-left:36.9pt;margin-top:1.05pt;width:379.15pt;height:19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" fillcolor="window" strokecolor="windowText" strokeweight="2pt">
                <v:textbox>
                  <w:txbxContent>
                    <w:p w14:paraId="505251BE" w14:textId="77777777" w:rsidR="00677147" w:rsidRPr="007F2935" w:rsidRDefault="00677147" w:rsidP="00677147">
                      <w:pPr>
                        <w:jc w:val="center"/>
                        <w:outlineLvl w:val="0"/>
                        <w:rPr>
                          <w:rFonts w:ascii="Sakkal Majalla" w:hAnsi="Sakkal Majalla" w:cs="Sakkal Majalla"/>
                          <w:b/>
                          <w:bCs/>
                          <w:sz w:val="48"/>
                          <w:szCs w:val="48"/>
                        </w:rPr>
                      </w:pPr>
                      <w:bookmarkStart w:id="5" w:name="_Toc180777309"/>
                      <w:bookmarkStart w:id="6" w:name="_Toc191798355"/>
                      <w:bookmarkStart w:id="7" w:name="_Toc191822813"/>
                      <w:bookmarkStart w:id="8" w:name="_Toc192862019"/>
                      <w:r w:rsidRPr="007F2935">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الاول</w:t>
                      </w:r>
                      <w:r w:rsidRPr="007F2935">
                        <w:rPr>
                          <w:rFonts w:ascii="Sakkal Majalla" w:hAnsi="Sakkal Majalla" w:cs="Sakkal Majalla" w:hint="cs"/>
                          <w:b/>
                          <w:bCs/>
                          <w:sz w:val="48"/>
                          <w:szCs w:val="48"/>
                          <w:rtl/>
                        </w:rPr>
                        <w:t xml:space="preserve">: الإطار </w:t>
                      </w:r>
                      <w:bookmarkEnd w:id="5"/>
                      <w:bookmarkEnd w:id="6"/>
                      <w:bookmarkEnd w:id="7"/>
                      <w:r>
                        <w:rPr>
                          <w:rFonts w:ascii="Sakkal Majalla" w:hAnsi="Sakkal Majalla" w:cs="Sakkal Majalla" w:hint="cs"/>
                          <w:b/>
                          <w:bCs/>
                          <w:sz w:val="48"/>
                          <w:szCs w:val="48"/>
                          <w:rtl/>
                        </w:rPr>
                        <w:t>العام للدراسة</w:t>
                      </w:r>
                      <w:bookmarkEnd w:id="8"/>
                    </w:p>
                  </w:txbxContent>
                </v:textbox>
                <w10:wrap anchorx="margin"/>
              </v:roundrect>
            </w:pict>
          </mc:Fallback>
        </mc:AlternateContent>
      </w:r>
    </w:p>
    <w:p w14:paraId="7141346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6D8448AE" w14:textId="77777777" w:rsidR="00677147" w:rsidRPr="00677147" w:rsidRDefault="00677147" w:rsidP="00677147">
      <w:pPr>
        <w:spacing w:after="160" w:line="288" w:lineRule="auto"/>
        <w:jc w:val="mediumKashida"/>
        <w:rPr>
          <w:rFonts w:ascii="Sakkal Majalla" w:eastAsia="Calibri" w:hAnsi="Sakkal Majalla" w:cs="(AH) Manal Black"/>
          <w:b/>
          <w:bCs/>
          <w:kern w:val="2"/>
          <w:sz w:val="36"/>
          <w:szCs w:val="36"/>
          <w:u w:val="single"/>
          <w:rtl/>
          <w:lang w:bidi="ar-EG"/>
        </w:rPr>
      </w:pPr>
    </w:p>
    <w:p w14:paraId="06E51F65"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1EF213A0"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47E7A1DD"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bookmarkEnd w:id="0"/>
    <w:p w14:paraId="1C3972BB"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62F3226F"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247CE680"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66A37EBC" w14:textId="77777777" w:rsid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4AEB5E5E"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2941E204"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3583B405" w14:textId="77777777" w:rsid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7C1A3CE0" w14:textId="77777777" w:rsidR="00BE6C10" w:rsidRPr="00677147" w:rsidRDefault="00BE6C10" w:rsidP="00BE6C10">
      <w:pPr>
        <w:spacing w:after="160" w:line="288" w:lineRule="auto"/>
        <w:jc w:val="mediumKashida"/>
        <w:rPr>
          <w:rFonts w:ascii="Sakkal Majalla" w:eastAsia="Calibri" w:hAnsi="Sakkal Majalla" w:cs="Sakkal Majalla"/>
          <w:kern w:val="2"/>
          <w:sz w:val="28"/>
          <w:szCs w:val="28"/>
          <w:u w:val="single"/>
          <w:rtl/>
        </w:rPr>
      </w:pPr>
    </w:p>
    <w:p w14:paraId="189DF617"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5" w:name="_Toc192862020"/>
      <w:r w:rsidRPr="00677147">
        <w:rPr>
          <w:rFonts w:ascii="Simplified Arabic" w:eastAsia="Calibri" w:hAnsi="Simplified Arabic" w:cs="(AH) Manal Black"/>
          <w:kern w:val="2"/>
          <w:sz w:val="32"/>
          <w:szCs w:val="32"/>
          <w:u w:val="single"/>
          <w:rtl/>
        </w:rPr>
        <w:lastRenderedPageBreak/>
        <w:t>مقدمة</w:t>
      </w:r>
      <w:bookmarkEnd w:id="5"/>
    </w:p>
    <w:p w14:paraId="7EF694C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تسهم صناعة التعدين في المملكة العربية السعودية بدورٍ محوري في تعزيز الاقتصاد الوطني وتحقيق التنمية المستدامة حيث تُعَدُّ هذه الصناعة جزءًا أساسيًا من رؤية المملكة 2030 التي تسعى إلى تنويع مصادر الدخل وتقليل الاعتماد على النفط. وتشهد المنطقة الغربية من المملكة نشاطًا مكثفًا في استخراج المعادن ومن أبرزها مناجم النحاس التي تُعَدُّ موردًا استراتيجيًا ذا قيمة اقتصادية كبيرة</w:t>
      </w:r>
      <w:r w:rsidRPr="00677147">
        <w:rPr>
          <w:rFonts w:ascii="Simplified Arabic" w:eastAsia="Calibri" w:hAnsi="Simplified Arabic" w:cs="Simplified Arabic"/>
          <w:kern w:val="2"/>
          <w:sz w:val="28"/>
          <w:szCs w:val="28"/>
        </w:rPr>
        <w:t>.</w:t>
      </w:r>
    </w:p>
    <w:p w14:paraId="54B5F6D2"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يتطلب قطاع التعدين تطبيق أعلى معايير الأمان لضمان حماية العاملين والمحافظة على استمرارية العمليات التشغيلية دون مخاطر. وتنطوي أعمال التعدين على العديد من المخاطر المرتبطة بظروف العمل الشاقة والتقنيات المستخدمة مما يستدعي اتخاذ تدابير وقائية تضمن سلامة القوى العاملة والبيئة المحيطة. وتواجه مناجم النحاس في المنطقة الغربية عدة تحديات تتعلق بتحديث المعدات وتطوير آليات السلامة المهنية ما يحتم على الجهات المعنية اتخاذ خطوات حاسمة لمعالجة هذه القضايا</w:t>
      </w:r>
      <w:r w:rsidRPr="00677147">
        <w:rPr>
          <w:rFonts w:ascii="Simplified Arabic" w:eastAsia="Calibri" w:hAnsi="Simplified Arabic" w:cs="Simplified Arabic"/>
          <w:kern w:val="2"/>
          <w:sz w:val="28"/>
          <w:szCs w:val="28"/>
        </w:rPr>
        <w:t>.</w:t>
      </w:r>
    </w:p>
    <w:p w14:paraId="63CACB6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تُبذل جهود حثيثة لتطوير تقنيات حديثة تضمن سلامة العاملين في قطاع التعدين ومع ذلك تبقى هناك فجوة بين ما هو متحقق على أرض الواقع وما تستهدفه المعايير العالمية. وتُعَدُّ إدارة المخاطر جزءًا لا يتجزأ من استراتيجيات السلامة في المناجم حيث تقتضي دراسة المخاطر المحتملة وتحليلها بدقة قبل البدء في أي عمليات تعدين</w:t>
      </w:r>
      <w:r w:rsidRPr="00677147">
        <w:rPr>
          <w:rFonts w:ascii="Simplified Arabic" w:eastAsia="Calibri" w:hAnsi="Simplified Arabic" w:cs="Simplified Arabic"/>
          <w:kern w:val="2"/>
          <w:sz w:val="28"/>
          <w:szCs w:val="28"/>
        </w:rPr>
        <w:t>.</w:t>
      </w:r>
    </w:p>
    <w:p w14:paraId="75EA049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تُعتبر وسائل الأمان الفعالة من أهم العوامل التي تسهم في تقليل حوادث العمل وتحسين بيئة العمل في المناجم. ويتطلب ذلك تعزيز التدريب المستمر للعاملين على أساليب السلامة الحديثة وتطوير أنظمة مراقبة دقيقة للكشف عن المخاطر المحتملة في الوقت المناسب. كما يُعتمد على توظيف التكنولوجيا المتقدمة لتحسين مستوى الأمان وضمان الاستجابة السريعة للطوارئ</w:t>
      </w:r>
      <w:r w:rsidRPr="00677147">
        <w:rPr>
          <w:rFonts w:ascii="Simplified Arabic" w:eastAsia="Calibri" w:hAnsi="Simplified Arabic" w:cs="Simplified Arabic"/>
          <w:kern w:val="2"/>
          <w:sz w:val="28"/>
          <w:szCs w:val="28"/>
        </w:rPr>
        <w:t>.</w:t>
      </w:r>
    </w:p>
    <w:p w14:paraId="2DBEC3F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lastRenderedPageBreak/>
        <w:t>و</w:t>
      </w:r>
      <w:r w:rsidRPr="00677147">
        <w:rPr>
          <w:rFonts w:ascii="Simplified Arabic" w:eastAsia="Calibri" w:hAnsi="Simplified Arabic" w:cs="Simplified Arabic"/>
          <w:kern w:val="2"/>
          <w:sz w:val="28"/>
          <w:szCs w:val="28"/>
          <w:rtl/>
        </w:rPr>
        <w:t>يتعين على الجهات المسؤولة والشركات المشغلة العمل على وضع استراتيجيات شاملة تضمن تحقيق مستويات عالية من السلامة المهنية مع مراعاة المعايير الدولية وضمان تنفيذها بفعالية. ويسهم ذلك في تعزيز ثقة العاملين وتقليل نسبة الحوادث والإصابات مما ينعكس إيجابًا على الأداء العام للقطاع وزيادة الإنتاجية</w:t>
      </w:r>
      <w:r w:rsidRPr="00677147">
        <w:rPr>
          <w:rFonts w:ascii="Simplified Arabic" w:eastAsia="Calibri" w:hAnsi="Simplified Arabic" w:cs="Simplified Arabic"/>
          <w:kern w:val="2"/>
          <w:sz w:val="28"/>
          <w:szCs w:val="28"/>
        </w:rPr>
        <w:t>.</w:t>
      </w:r>
    </w:p>
    <w:p w14:paraId="0A717E21"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6" w:name="_Toc192862021"/>
      <w:r w:rsidRPr="00677147">
        <w:rPr>
          <w:rFonts w:ascii="Simplified Arabic" w:eastAsia="Calibri" w:hAnsi="Simplified Arabic" w:cs="(AH) Manal Black"/>
          <w:kern w:val="2"/>
          <w:sz w:val="32"/>
          <w:szCs w:val="32"/>
          <w:u w:val="single"/>
          <w:rtl/>
        </w:rPr>
        <w:t>مشكلة الدراسة:</w:t>
      </w:r>
      <w:bookmarkEnd w:id="6"/>
    </w:p>
    <w:p w14:paraId="3F007AD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تواجه صناعة التعدين في المملكة العربية السعودية العديد من التحديات المتعلقة بضمان سلامة العاملين والمحافظة على استمرارية العمليات التشغيلية دون وقوع حوادث أو أضرار بيئية. ويُعَدُّ قطاع التعدين من الركائز الأساسية التي تدعم الاقتصاد الوطني وتسهم في تحقيق رؤية المملكة 2030، لا سيما في ظل سعي الدولة لتنويع مصادر الدخل وزيادة مساهمة القطاعات غير النفطية في الناتج المحلي الإجمالي. وتبرز مناجم النحاس في المنطقة الغربية كأحد المحاور الرئيسة في هذا القطاع، حيث تُعَدُّ مصدرًا مهمًا للثروة المعدنية ذات القيمة الاقتصادية الكبيرة</w:t>
      </w:r>
      <w:r w:rsidRPr="00677147">
        <w:rPr>
          <w:rFonts w:ascii="Simplified Arabic" w:eastAsia="Calibri" w:hAnsi="Simplified Arabic" w:cs="Simplified Arabic"/>
          <w:kern w:val="2"/>
          <w:sz w:val="28"/>
          <w:szCs w:val="28"/>
        </w:rPr>
        <w:t>.</w:t>
      </w:r>
    </w:p>
    <w:p w14:paraId="1074CB6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ومع تزايد نشاط التعدين وتوسّع نطاق عملياته، تظهر إشكاليات معقدة تتعلق بتطبيق معايير السلامة المهنية وضمان بيئة عمل آمنة للعاملين. إذ تُعَدُّ بيئة العمل في المناجم بطبيعتها محفوفة بالمخاطر، بدءًا من الانهيارات الأرضية وتسرب الغازات الضارة وصولًا إلى الأعطال الفنية في المعدات الثقيلة والانفجارات الناتجة عن تفاعلات كيميائية غير متوقعة. وتفرض هذه الظروف على الشركات المشغلة تبنّي استراتيجيات أمان صارمة تضمن تقليل المخاطر والحفاظ على سلامة القوى العاملة</w:t>
      </w:r>
      <w:r w:rsidRPr="00677147">
        <w:rPr>
          <w:rFonts w:ascii="Simplified Arabic" w:eastAsia="Calibri" w:hAnsi="Simplified Arabic" w:cs="Simplified Arabic"/>
          <w:kern w:val="2"/>
          <w:sz w:val="28"/>
          <w:szCs w:val="28"/>
        </w:rPr>
        <w:t>.</w:t>
      </w:r>
    </w:p>
    <w:p w14:paraId="6BAB93E4"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 xml:space="preserve">ورغم الجهود المبذولة من قِبَل الجهات المعنية وشركات التعدين لتطبيق إجراءات السلامة والامتثال للمعايير الدولية، لا تزال هناك فجوة واضحة بين الواقع والتطلعات، حيث تشير التقارير والدراسات الميدانية إلى تكرار حوادث العمل في بعض المناجم. وتتعدد الأسباب وراء ذلك، بدءًا من قِدَم المعدات المستخدمة وافتقارها إلى التقنيات الحديثة لرصد </w:t>
      </w:r>
      <w:r w:rsidRPr="00677147">
        <w:rPr>
          <w:rFonts w:ascii="Simplified Arabic" w:eastAsia="Calibri" w:hAnsi="Simplified Arabic" w:cs="Simplified Arabic"/>
          <w:kern w:val="2"/>
          <w:sz w:val="28"/>
          <w:szCs w:val="28"/>
          <w:rtl/>
        </w:rPr>
        <w:lastRenderedPageBreak/>
        <w:t>المخاطر، وانتهاءً بنقص التدريب الدوري للعاملين على أساليب الأمان والتعامل مع الحالات الطارئة</w:t>
      </w:r>
      <w:r w:rsidRPr="00677147">
        <w:rPr>
          <w:rFonts w:ascii="Simplified Arabic" w:eastAsia="Calibri" w:hAnsi="Simplified Arabic" w:cs="Simplified Arabic"/>
          <w:kern w:val="2"/>
          <w:sz w:val="28"/>
          <w:szCs w:val="28"/>
        </w:rPr>
        <w:t>.</w:t>
      </w:r>
    </w:p>
    <w:p w14:paraId="3055867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وتنعكس هذه التحديات سلبًا على الإنتاجية وكفاءة العمليات التشغيلية، فضلًا عن تعريض حياة العاملين للخطر بشكل مباشر. وفي هذا السياق، يتضح أن هناك قصورًا في إدارة المخاطر وتحليلها بشكل دقيق قبل الشروع في أنشطة التعدين، بالإضافة إلى ضعف مستوى التنسيق بين الجهات الرقابية والشركات المشغلة لضمان تنفيذ الإجراءات الوقائية بفعالية</w:t>
      </w:r>
      <w:r w:rsidRPr="00677147">
        <w:rPr>
          <w:rFonts w:ascii="Simplified Arabic" w:eastAsia="Calibri" w:hAnsi="Simplified Arabic" w:cs="Simplified Arabic"/>
          <w:kern w:val="2"/>
          <w:sz w:val="28"/>
          <w:szCs w:val="28"/>
        </w:rPr>
        <w:t>.</w:t>
      </w:r>
    </w:p>
    <w:p w14:paraId="5C15629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وانطلاقًا من هذه المعطيات، تتمثل مشكلة الدراسة في ضرورة الوقوف على واقع وسائل الأمان المستخدمة في مناجم النحاس بالمنطقة الغربية من المملكة العربية السعودية، وتحليل مدى فاعليتها في الوقاية من المخاطر والحوادث المهنية. كما تبرز الحاجة إلى استكشاف المعوقات التي تحول دون تحقيق مستويات أمان مثالية، والتعرف على الثغرات في السياسات والإجراءات الحالية، واقتراح حلول عملية تسهم في تعزيز سلامة العاملين وضمان بيئة عمل آمنة ومستدامة وفقًا لأفضل الممارسات العالمية والمعايير المعتمدة</w:t>
      </w:r>
      <w:r w:rsidRPr="00677147">
        <w:rPr>
          <w:rFonts w:ascii="Simplified Arabic" w:eastAsia="Calibri" w:hAnsi="Simplified Arabic" w:cs="Simplified Arabic"/>
          <w:kern w:val="2"/>
          <w:sz w:val="28"/>
          <w:szCs w:val="28"/>
        </w:rPr>
        <w:t>.</w:t>
      </w:r>
      <w:r w:rsidRPr="00677147">
        <w:rPr>
          <w:rFonts w:ascii="Simplified Arabic" w:eastAsia="Calibri" w:hAnsi="Simplified Arabic" w:cs="Simplified Arabic" w:hint="cs"/>
          <w:kern w:val="2"/>
          <w:sz w:val="28"/>
          <w:szCs w:val="28"/>
          <w:rtl/>
        </w:rPr>
        <w:t xml:space="preserve"> </w:t>
      </w:r>
    </w:p>
    <w:p w14:paraId="3B7349DD"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7" w:name="_Toc192862022"/>
      <w:r w:rsidRPr="00677147">
        <w:rPr>
          <w:rFonts w:ascii="Simplified Arabic" w:eastAsia="Calibri" w:hAnsi="Simplified Arabic" w:cs="(AH) Manal Black"/>
          <w:kern w:val="2"/>
          <w:sz w:val="32"/>
          <w:szCs w:val="32"/>
          <w:u w:val="single"/>
          <w:rtl/>
        </w:rPr>
        <w:t>أهمية الدراسة:</w:t>
      </w:r>
      <w:bookmarkEnd w:id="7"/>
    </w:p>
    <w:p w14:paraId="50E5806C" w14:textId="77777777" w:rsidR="00677147" w:rsidRPr="00677147" w:rsidRDefault="00677147" w:rsidP="00677147">
      <w:pPr>
        <w:numPr>
          <w:ilvl w:val="0"/>
          <w:numId w:val="1"/>
        </w:numPr>
        <w:spacing w:after="160" w:line="288" w:lineRule="auto"/>
        <w:jc w:val="mediumKashida"/>
        <w:rPr>
          <w:rFonts w:ascii="Simplified Arabic" w:eastAsia="Calibri" w:hAnsi="Simplified Arabic" w:cs="Simplified Arabic"/>
          <w:kern w:val="2"/>
          <w:sz w:val="28"/>
          <w:szCs w:val="28"/>
          <w:u w:val="single"/>
        </w:rPr>
      </w:pPr>
      <w:r w:rsidRPr="00677147">
        <w:rPr>
          <w:rFonts w:ascii="Simplified Arabic" w:eastAsia="Calibri" w:hAnsi="Simplified Arabic" w:cs="Simplified Arabic"/>
          <w:kern w:val="2"/>
          <w:sz w:val="28"/>
          <w:szCs w:val="28"/>
          <w:u w:val="single"/>
          <w:rtl/>
          <w:lang w:bidi="ar-EG"/>
        </w:rPr>
        <w:t xml:space="preserve">الأهمية العلمية </w:t>
      </w:r>
      <w:r w:rsidRPr="00677147">
        <w:rPr>
          <w:rFonts w:ascii="Simplified Arabic" w:eastAsia="Calibri" w:hAnsi="Simplified Arabic" w:cs="Simplified Arabic"/>
          <w:kern w:val="2"/>
          <w:sz w:val="28"/>
          <w:szCs w:val="28"/>
          <w:u w:val="single"/>
        </w:rPr>
        <w:t>:</w:t>
      </w:r>
    </w:p>
    <w:p w14:paraId="0F7C809C" w14:textId="77777777" w:rsidR="00677147" w:rsidRPr="00677147" w:rsidRDefault="00677147" w:rsidP="00677147">
      <w:pPr>
        <w:spacing w:after="160" w:line="288" w:lineRule="auto"/>
        <w:rPr>
          <w:rFonts w:ascii="Simplified Arabic" w:eastAsia="Calibri" w:hAnsi="Simplified Arabic" w:cs="Simplified Arabic"/>
          <w:kern w:val="2"/>
          <w:sz w:val="28"/>
          <w:szCs w:val="28"/>
          <w:rtl/>
          <w:lang w:bidi="ar-EG"/>
        </w:rPr>
      </w:pPr>
      <w:r w:rsidRPr="00677147">
        <w:rPr>
          <w:rFonts w:ascii="Simplified Arabic" w:eastAsia="Calibri" w:hAnsi="Simplified Arabic" w:cs="Simplified Arabic"/>
          <w:kern w:val="2"/>
          <w:sz w:val="28"/>
          <w:szCs w:val="28"/>
          <w:rtl/>
          <w:lang w:bidi="ar-EG"/>
        </w:rPr>
        <w:t>تبرز الأهمية العلمية لهذه الدراسة في مساهمتها في إثراء المعرفة العلمية المتعلقة بقطاع التعدين في المملكة العربية السعودية، ولا سيما في مجال السلامة المهنية في مناجم النحاس. حيث تُعَدُّ هذه الدراسة من الدراسات القليلة التي تتناول موضوع السلامة في قطاع التعدين ضمن السياق المحلي، مما يسهم في سد فجوة معرفية في الأدبيات العلمية المرتبطة بهذا المجال. وتعتمد الدراسة على تحليل معمق للإجراءات الوقائية والمعايير المتبعة في مناجم النحاس بالمنطقة الغربية، مما يتيح تقديم إطار نظري ومنهجي يمكن الاستفادة منه في دراسات مستقبلية تُعنى بتحليل المخاطر وتحسين بيئات العمل في الصناعات الثقيلة.</w:t>
      </w:r>
    </w:p>
    <w:p w14:paraId="365E9E3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lang w:bidi="ar-EG"/>
        </w:rPr>
      </w:pPr>
      <w:r w:rsidRPr="00677147">
        <w:rPr>
          <w:rFonts w:ascii="Simplified Arabic" w:eastAsia="Calibri" w:hAnsi="Simplified Arabic" w:cs="Simplified Arabic"/>
          <w:kern w:val="2"/>
          <w:sz w:val="28"/>
          <w:szCs w:val="28"/>
          <w:rtl/>
          <w:lang w:bidi="ar-EG"/>
        </w:rPr>
        <w:lastRenderedPageBreak/>
        <w:t>وتكتسب الدراسة أهمية علمية إضافية من خلال تسليطها الضوء على الفجوات بين المعايير المطبقة والمعايير العالمية في مجال السلامة المهنية، مما يسهم في توجيه الباحثين والمختصين نحو دراسة تأثير هذه الفجوات على سلامة العاملين وأداء المناجم. كما تعزز الدراسة الفهم العلمي لكيفية توظيف التقنيات الحديثة في رصد المخاطر والسيطرة عليها، مما يدعم تطوير استراتيجيات أمان أكثر فاعلية في قطاع التعدين.</w:t>
      </w:r>
      <w:r w:rsidRPr="00677147">
        <w:rPr>
          <w:rFonts w:ascii="Simplified Arabic" w:eastAsia="Calibri" w:hAnsi="Simplified Arabic" w:cs="Simplified Arabic" w:hint="cs"/>
          <w:kern w:val="2"/>
          <w:sz w:val="28"/>
          <w:szCs w:val="28"/>
          <w:rtl/>
          <w:lang w:bidi="ar-EG"/>
        </w:rPr>
        <w:t xml:space="preserve"> </w:t>
      </w:r>
    </w:p>
    <w:p w14:paraId="66E7762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lang w:bidi="ar-EG"/>
        </w:rPr>
      </w:pPr>
    </w:p>
    <w:p w14:paraId="58AC5A0F" w14:textId="77777777" w:rsidR="00677147" w:rsidRPr="00677147" w:rsidRDefault="00677147" w:rsidP="00677147">
      <w:pPr>
        <w:numPr>
          <w:ilvl w:val="0"/>
          <w:numId w:val="1"/>
        </w:numPr>
        <w:spacing w:after="160" w:line="288" w:lineRule="auto"/>
        <w:jc w:val="mediumKashida"/>
        <w:rPr>
          <w:rFonts w:ascii="Simplified Arabic" w:eastAsia="Calibri" w:hAnsi="Simplified Arabic" w:cs="Simplified Arabic"/>
          <w:kern w:val="2"/>
          <w:sz w:val="28"/>
          <w:szCs w:val="28"/>
          <w:u w:val="single"/>
          <w:rtl/>
        </w:rPr>
      </w:pPr>
      <w:r w:rsidRPr="00677147">
        <w:rPr>
          <w:rFonts w:ascii="Simplified Arabic" w:eastAsia="Calibri" w:hAnsi="Simplified Arabic" w:cs="Simplified Arabic"/>
          <w:kern w:val="2"/>
          <w:sz w:val="28"/>
          <w:szCs w:val="28"/>
          <w:u w:val="single"/>
          <w:rtl/>
          <w:lang w:bidi="ar-EG"/>
        </w:rPr>
        <w:t>الأهمية العملية</w:t>
      </w:r>
      <w:r w:rsidRPr="00677147">
        <w:rPr>
          <w:rFonts w:ascii="Simplified Arabic" w:eastAsia="Calibri" w:hAnsi="Simplified Arabic" w:cs="Simplified Arabic"/>
          <w:kern w:val="2"/>
          <w:sz w:val="28"/>
          <w:szCs w:val="28"/>
          <w:u w:val="single"/>
        </w:rPr>
        <w:t xml:space="preserve">: </w:t>
      </w:r>
    </w:p>
    <w:p w14:paraId="6707CB83" w14:textId="77777777" w:rsidR="00677147" w:rsidRPr="00677147" w:rsidRDefault="00677147" w:rsidP="00677147">
      <w:pPr>
        <w:spacing w:after="160" w:line="288" w:lineRule="auto"/>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تجلى الأهمية العملية لهذه الدراسة في قدرتها على تقديم توصيات عملية ومقترحات قابلة للتطبيق لتحسين إجراءات السلامة في مناجم النحاس بالمنطقة الغربية. فمن خلال تحليل الواقع الحالي لمستويات الأمان وتقييم فعالية التدابير الوقائية، يمكن لأصحاب القرار والجهات المعنية في قطاع التعدين الاستفادة من النتائج لتطوير سياسات وإجراءات أمان أكثر كفاءة.</w:t>
      </w:r>
    </w:p>
    <w:p w14:paraId="3117472B" w14:textId="77777777" w:rsidR="00677147" w:rsidRPr="00677147" w:rsidRDefault="00677147" w:rsidP="00677147">
      <w:pPr>
        <w:spacing w:after="160" w:line="288" w:lineRule="auto"/>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وتسهم الدراسة في تعزيز ثقافة السلامة المهنية من خلال تقديم حلول عملية تسهم في تقليل حوادث العمل والحد من المخاطر التي يتعرض لها العاملون. كما تساعد التوصيات المقدمة في دعم جهود الشركات لتحديث المعدات وتطبيق أحدث التقنيات في مجال رصد المخاطر، مما يسهم في خلق بيئة عمل آمنة ومستدامة.</w:t>
      </w:r>
    </w:p>
    <w:p w14:paraId="651209A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بالإضافة إلى ذلك، تمثل هذه الدراسة مرجعًا هامًا للمؤسسات الحكومية والشركات الخاصة العاملة في قطاع التعدين، حيث يمكنها الاستفادة من النتائج والتوصيات لتطوير سياسات السلامة وضمان توافقها مع المعايير العالمية. ويسهم ذلك في تعزيز سمعة الشركات والرفع من كفاءة الأداء، بما ينعكس إيجابًا على الإنتاجية واستدامة القطاع.</w:t>
      </w:r>
    </w:p>
    <w:p w14:paraId="0008F4A8"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8" w:name="_Toc192862023"/>
      <w:r w:rsidRPr="00677147">
        <w:rPr>
          <w:rFonts w:ascii="Simplified Arabic" w:eastAsia="Calibri" w:hAnsi="Simplified Arabic" w:cs="(AH) Manal Black"/>
          <w:kern w:val="2"/>
          <w:sz w:val="32"/>
          <w:szCs w:val="32"/>
          <w:u w:val="single"/>
          <w:rtl/>
        </w:rPr>
        <w:t>أهداف الدراسة:</w:t>
      </w:r>
      <w:bookmarkEnd w:id="8"/>
    </w:p>
    <w:p w14:paraId="729E923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u w:val="single"/>
          <w:rtl/>
        </w:rPr>
      </w:pPr>
      <w:r w:rsidRPr="00677147">
        <w:rPr>
          <w:rFonts w:ascii="Simplified Arabic" w:eastAsia="Calibri" w:hAnsi="Simplified Arabic" w:cs="Simplified Arabic"/>
          <w:kern w:val="2"/>
          <w:sz w:val="28"/>
          <w:szCs w:val="28"/>
          <w:u w:val="single"/>
          <w:rtl/>
        </w:rPr>
        <w:t>الهدف الرئيسي:</w:t>
      </w:r>
    </w:p>
    <w:p w14:paraId="485C493C"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Pr>
      </w:pPr>
      <w:r w:rsidRPr="00677147">
        <w:rPr>
          <w:rFonts w:ascii="Simplified Arabic" w:eastAsia="Calibri" w:hAnsi="Simplified Arabic" w:cs="Simplified Arabic"/>
          <w:b/>
          <w:bCs/>
          <w:kern w:val="2"/>
          <w:sz w:val="28"/>
          <w:szCs w:val="28"/>
          <w:rtl/>
        </w:rPr>
        <w:lastRenderedPageBreak/>
        <w:t>الهدف الرئيسي</w:t>
      </w:r>
      <w:r w:rsidRPr="00677147">
        <w:rPr>
          <w:rFonts w:ascii="Simplified Arabic" w:eastAsia="Calibri" w:hAnsi="Simplified Arabic" w:cs="Simplified Arabic"/>
          <w:b/>
          <w:bCs/>
          <w:kern w:val="2"/>
          <w:sz w:val="28"/>
          <w:szCs w:val="28"/>
        </w:rPr>
        <w:t>:</w:t>
      </w:r>
    </w:p>
    <w:p w14:paraId="177250A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تهدف هذه الدراسة إلى تقييم واقع وسائل الأمان في مناجم النحاس بالمنطقة الغربية من المملكة العربية السعودية، وتحليل مدى فاعليتها في تقليل المخاطر المهنية</w:t>
      </w:r>
    </w:p>
    <w:p w14:paraId="178CBF9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u w:val="single"/>
          <w:rtl/>
        </w:rPr>
      </w:pPr>
      <w:r w:rsidRPr="00677147">
        <w:rPr>
          <w:rFonts w:ascii="Simplified Arabic" w:eastAsia="Calibri" w:hAnsi="Simplified Arabic" w:cs="Simplified Arabic"/>
          <w:kern w:val="2"/>
          <w:sz w:val="28"/>
          <w:szCs w:val="28"/>
          <w:u w:val="single"/>
          <w:rtl/>
        </w:rPr>
        <w:t>الأهداف الفرعية:</w:t>
      </w:r>
    </w:p>
    <w:p w14:paraId="0D9E715A" w14:textId="77777777" w:rsidR="00677147" w:rsidRPr="00677147" w:rsidRDefault="00677147" w:rsidP="00677147">
      <w:pPr>
        <w:numPr>
          <w:ilvl w:val="0"/>
          <w:numId w:val="2"/>
        </w:numPr>
        <w:spacing w:after="160" w:line="288" w:lineRule="auto"/>
        <w:ind w:left="357" w:hanging="357"/>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تحليل كفاءة التدابير الوقائية الحالية في مناجم النحاس بالمنطقة الغربية، وتحديد مدى توافقها مع المعايير العالمية للسلامة المهنية</w:t>
      </w:r>
      <w:r w:rsidRPr="00677147">
        <w:rPr>
          <w:rFonts w:ascii="Simplified Arabic" w:eastAsia="Calibri" w:hAnsi="Simplified Arabic" w:cs="Simplified Arabic"/>
          <w:kern w:val="2"/>
          <w:sz w:val="28"/>
          <w:szCs w:val="28"/>
        </w:rPr>
        <w:t>.</w:t>
      </w:r>
    </w:p>
    <w:p w14:paraId="126F4258" w14:textId="77777777" w:rsidR="00677147" w:rsidRPr="00677147" w:rsidRDefault="00677147" w:rsidP="00677147">
      <w:pPr>
        <w:numPr>
          <w:ilvl w:val="0"/>
          <w:numId w:val="2"/>
        </w:numPr>
        <w:spacing w:after="160" w:line="288" w:lineRule="auto"/>
        <w:ind w:left="357" w:hanging="357"/>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الكشف عن أبرز التحديات والمعوقات التي تواجه تطبيق إجراءات السلامة في المناجم، وتقديم حلول عملية للتغلب عليها</w:t>
      </w:r>
      <w:r w:rsidRPr="00677147">
        <w:rPr>
          <w:rFonts w:ascii="Simplified Arabic" w:eastAsia="Calibri" w:hAnsi="Simplified Arabic" w:cs="Simplified Arabic"/>
          <w:kern w:val="2"/>
          <w:sz w:val="28"/>
          <w:szCs w:val="28"/>
        </w:rPr>
        <w:t>.</w:t>
      </w:r>
    </w:p>
    <w:p w14:paraId="5150E9BB" w14:textId="77777777" w:rsidR="00677147" w:rsidRPr="00677147" w:rsidRDefault="00677147" w:rsidP="00677147">
      <w:pPr>
        <w:numPr>
          <w:ilvl w:val="0"/>
          <w:numId w:val="2"/>
        </w:numPr>
        <w:spacing w:after="160" w:line="288" w:lineRule="auto"/>
        <w:ind w:left="357" w:hanging="357"/>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اقتراح توصيات علمية وعملية لتعزيز بيئة العمل في مناجم النحاس من خلال تبني تقنيات حديثة وتطوير سياسات أمان شاملة</w:t>
      </w:r>
      <w:r w:rsidRPr="00677147">
        <w:rPr>
          <w:rFonts w:ascii="Simplified Arabic" w:eastAsia="Calibri" w:hAnsi="Simplified Arabic" w:cs="Simplified Arabic"/>
          <w:kern w:val="2"/>
          <w:sz w:val="28"/>
          <w:szCs w:val="28"/>
        </w:rPr>
        <w:t>.</w:t>
      </w:r>
    </w:p>
    <w:p w14:paraId="28239AE1"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9" w:name="_Toc192862024"/>
      <w:r w:rsidRPr="00677147">
        <w:rPr>
          <w:rFonts w:ascii="Simplified Arabic" w:eastAsia="Calibri" w:hAnsi="Simplified Arabic" w:cs="(AH) Manal Black"/>
          <w:kern w:val="2"/>
          <w:sz w:val="32"/>
          <w:szCs w:val="32"/>
          <w:u w:val="single"/>
          <w:rtl/>
        </w:rPr>
        <w:t>تساؤلات الدراسة</w:t>
      </w:r>
      <w:bookmarkEnd w:id="9"/>
    </w:p>
    <w:p w14:paraId="78F96B72"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Pr>
      </w:pPr>
      <w:r w:rsidRPr="00677147">
        <w:rPr>
          <w:rFonts w:ascii="Simplified Arabic" w:eastAsia="Calibri" w:hAnsi="Simplified Arabic" w:cs="Simplified Arabic"/>
          <w:b/>
          <w:bCs/>
          <w:kern w:val="2"/>
          <w:sz w:val="28"/>
          <w:szCs w:val="28"/>
          <w:rtl/>
        </w:rPr>
        <w:t>التساؤل الرئيسي</w:t>
      </w:r>
      <w:r w:rsidRPr="00677147">
        <w:rPr>
          <w:rFonts w:ascii="Simplified Arabic" w:eastAsia="Calibri" w:hAnsi="Simplified Arabic" w:cs="Simplified Arabic"/>
          <w:b/>
          <w:bCs/>
          <w:kern w:val="2"/>
          <w:sz w:val="28"/>
          <w:szCs w:val="28"/>
        </w:rPr>
        <w:t>:</w:t>
      </w:r>
    </w:p>
    <w:p w14:paraId="139C001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ما هو واقع وسائل الأمان في مناجم النحاس بالمنطقة الغربية من المملكة العربية السعودية؟ وما مدى فاعليتها في تقليل المخاطر المهنية؟</w:t>
      </w:r>
    </w:p>
    <w:p w14:paraId="62BBEF48"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Pr>
      </w:pPr>
      <w:r w:rsidRPr="00677147">
        <w:rPr>
          <w:rFonts w:ascii="Simplified Arabic" w:eastAsia="Calibri" w:hAnsi="Simplified Arabic" w:cs="Simplified Arabic"/>
          <w:b/>
          <w:bCs/>
          <w:kern w:val="2"/>
          <w:sz w:val="28"/>
          <w:szCs w:val="28"/>
          <w:rtl/>
        </w:rPr>
        <w:t>التساؤلات الفرعية</w:t>
      </w:r>
      <w:r w:rsidRPr="00677147">
        <w:rPr>
          <w:rFonts w:ascii="Simplified Arabic" w:eastAsia="Calibri" w:hAnsi="Simplified Arabic" w:cs="Simplified Arabic"/>
          <w:b/>
          <w:bCs/>
          <w:kern w:val="2"/>
          <w:sz w:val="28"/>
          <w:szCs w:val="28"/>
        </w:rPr>
        <w:t>:</w:t>
      </w:r>
    </w:p>
    <w:p w14:paraId="5ED78C33" w14:textId="77777777" w:rsidR="00677147" w:rsidRPr="00677147" w:rsidRDefault="00677147" w:rsidP="00677147">
      <w:pPr>
        <w:numPr>
          <w:ilvl w:val="0"/>
          <w:numId w:val="3"/>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ما مدى كفاءة التدابير الوقائية الحالية في مناجم النحاس بالمنطقة الغربية؟ وهل تتوافق مع المعايير العالمية للسلامة المهنية؟</w:t>
      </w:r>
    </w:p>
    <w:p w14:paraId="0E2A61B6" w14:textId="77777777" w:rsidR="00677147" w:rsidRPr="00677147" w:rsidRDefault="00677147" w:rsidP="00677147">
      <w:pPr>
        <w:numPr>
          <w:ilvl w:val="0"/>
          <w:numId w:val="3"/>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ما هي أبرز التحديات والمعوقات التي تواجه تطبيق إجراءات السلامة في مناجم النحاس؟ وما الحلول العملية للتغلب عليها؟</w:t>
      </w:r>
    </w:p>
    <w:p w14:paraId="0AF34D26" w14:textId="77777777" w:rsidR="00677147" w:rsidRPr="00677147" w:rsidRDefault="00677147" w:rsidP="00677147">
      <w:pPr>
        <w:numPr>
          <w:ilvl w:val="0"/>
          <w:numId w:val="3"/>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lastRenderedPageBreak/>
        <w:t>ما هي التوصيات العلمية والعملية التي يمكن تقديمها لتعزيز بيئة العمل في مناجم النحاس من خلال تبني تقنيات حديثة وتطوير سياسات أمان شاملة؟</w:t>
      </w:r>
    </w:p>
    <w:p w14:paraId="32E36FF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5A4B234E"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10" w:name="_Toc192862025"/>
      <w:r w:rsidRPr="00677147">
        <w:rPr>
          <w:rFonts w:ascii="Simplified Arabic" w:eastAsia="Calibri" w:hAnsi="Simplified Arabic" w:cs="(AH) Manal Black"/>
          <w:kern w:val="2"/>
          <w:sz w:val="32"/>
          <w:szCs w:val="32"/>
          <w:u w:val="single"/>
          <w:rtl/>
        </w:rPr>
        <w:t>فروض الدراسة:</w:t>
      </w:r>
      <w:bookmarkEnd w:id="10"/>
    </w:p>
    <w:p w14:paraId="0F96599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b/>
          <w:bCs/>
          <w:kern w:val="2"/>
          <w:sz w:val="28"/>
          <w:szCs w:val="28"/>
          <w:rtl/>
        </w:rPr>
        <w:t>الفرض الأول</w:t>
      </w:r>
      <w:r w:rsidRPr="00677147">
        <w:rPr>
          <w:rFonts w:ascii="Simplified Arabic" w:eastAsia="Calibri" w:hAnsi="Simplified Arabic" w:cs="Simplified Arabic"/>
          <w:b/>
          <w:bCs/>
          <w:kern w:val="2"/>
          <w:sz w:val="28"/>
          <w:szCs w:val="28"/>
        </w:rPr>
        <w:t>:</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يوجد تأثير إيجابي لتطبيق وسائل الأمان الفعّالة في مناجم النحاس بالمنطقة الغربي على تقليل الحوادث المهنية والمخاطر المحتملة</w:t>
      </w:r>
      <w:r w:rsidRPr="00677147">
        <w:rPr>
          <w:rFonts w:ascii="Simplified Arabic" w:eastAsia="Calibri" w:hAnsi="Simplified Arabic" w:cs="Simplified Arabic"/>
          <w:kern w:val="2"/>
          <w:sz w:val="28"/>
          <w:szCs w:val="28"/>
        </w:rPr>
        <w:t>.</w:t>
      </w:r>
    </w:p>
    <w:p w14:paraId="15F842D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b/>
          <w:bCs/>
          <w:kern w:val="2"/>
          <w:sz w:val="28"/>
          <w:szCs w:val="28"/>
          <w:rtl/>
        </w:rPr>
        <w:t>الفرض الثاني</w:t>
      </w:r>
      <w:r w:rsidRPr="00677147">
        <w:rPr>
          <w:rFonts w:ascii="Simplified Arabic" w:eastAsia="Calibri" w:hAnsi="Simplified Arabic" w:cs="Simplified Arabic"/>
          <w:b/>
          <w:bCs/>
          <w:kern w:val="2"/>
          <w:sz w:val="28"/>
          <w:szCs w:val="28"/>
        </w:rPr>
        <w:t>:</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توجد علاقة بين كفاءة التدابير الوقائية المستخدمة في مناجم النحاس ومدى توافقها مع المعايير العالمية للسلامة المهنية</w:t>
      </w:r>
      <w:r w:rsidRPr="00677147">
        <w:rPr>
          <w:rFonts w:ascii="Simplified Arabic" w:eastAsia="Calibri" w:hAnsi="Simplified Arabic" w:cs="Simplified Arabic"/>
          <w:kern w:val="2"/>
          <w:sz w:val="28"/>
          <w:szCs w:val="28"/>
        </w:rPr>
        <w:t>.</w:t>
      </w:r>
    </w:p>
    <w:p w14:paraId="7029CA8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b/>
          <w:bCs/>
          <w:kern w:val="2"/>
          <w:sz w:val="28"/>
          <w:szCs w:val="28"/>
          <w:rtl/>
        </w:rPr>
        <w:t>الفرض الثالث</w:t>
      </w:r>
      <w:r w:rsidRPr="00677147">
        <w:rPr>
          <w:rFonts w:ascii="Simplified Arabic" w:eastAsia="Calibri" w:hAnsi="Simplified Arabic" w:cs="Simplified Arabic"/>
          <w:b/>
          <w:bCs/>
          <w:kern w:val="2"/>
          <w:sz w:val="28"/>
          <w:szCs w:val="28"/>
        </w:rPr>
        <w:t>:</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يوجد تأثير مباشر لتحديث المعدات وتبني التقنيات الحديثة على تعزيز سلامة العاملين في مناجم النحاس وضمان بيئة عمل آمنة</w:t>
      </w:r>
      <w:r w:rsidRPr="00677147">
        <w:rPr>
          <w:rFonts w:ascii="Simplified Arabic" w:eastAsia="Calibri" w:hAnsi="Simplified Arabic" w:cs="Simplified Arabic"/>
          <w:kern w:val="2"/>
          <w:sz w:val="28"/>
          <w:szCs w:val="28"/>
        </w:rPr>
        <w:t>.</w:t>
      </w:r>
    </w:p>
    <w:p w14:paraId="0E4CCB96"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6"/>
          <w:szCs w:val="36"/>
          <w:u w:val="single"/>
          <w:rtl/>
        </w:rPr>
      </w:pPr>
      <w:bookmarkStart w:id="11" w:name="_Toc192862026"/>
      <w:r w:rsidRPr="00677147">
        <w:rPr>
          <w:rFonts w:ascii="Simplified Arabic" w:eastAsia="Calibri" w:hAnsi="Simplified Arabic" w:cs="(AH) Manal Black" w:hint="cs"/>
          <w:kern w:val="2"/>
          <w:sz w:val="36"/>
          <w:szCs w:val="36"/>
          <w:u w:val="single"/>
          <w:rtl/>
        </w:rPr>
        <w:t>النظرية العلمية المتبعة لإعداد البحث</w:t>
      </w:r>
      <w:bookmarkEnd w:id="11"/>
    </w:p>
    <w:p w14:paraId="332AE1E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تعتمد هذه الدراسة على نظرية إدارة المخاطر كإطار علمي رئيسي يوجّه عملية تحليل وتقييم وسائل الأمان في مناجم النحاس بالمنطقة الغربية من المملكة العربية السعودية. وتقوم هذه النظرية على مبدأ التعرّف على المخاطر المحتملة وتقييمها بشكل منهجي، ثم اتخاذ التدابير الوقائية المناسبة للتخفيف من تأثيرها أو الحد منها</w:t>
      </w:r>
      <w:r w:rsidRPr="00677147">
        <w:rPr>
          <w:rFonts w:ascii="Simplified Arabic" w:eastAsia="Calibri" w:hAnsi="Simplified Arabic" w:cs="Simplified Arabic"/>
          <w:kern w:val="2"/>
          <w:sz w:val="28"/>
          <w:szCs w:val="28"/>
        </w:rPr>
        <w:t>.</w:t>
      </w:r>
    </w:p>
    <w:p w14:paraId="0F284AE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تركز النظرية على عدة محاور أساسية تشمل</w:t>
      </w:r>
      <w:r w:rsidRPr="00677147">
        <w:rPr>
          <w:rFonts w:ascii="Simplified Arabic" w:eastAsia="Calibri" w:hAnsi="Simplified Arabic" w:cs="Simplified Arabic"/>
          <w:kern w:val="2"/>
          <w:sz w:val="28"/>
          <w:szCs w:val="28"/>
        </w:rPr>
        <w:t>:</w:t>
      </w:r>
    </w:p>
    <w:p w14:paraId="17CE7BC7" w14:textId="77777777" w:rsidR="00677147" w:rsidRPr="00677147" w:rsidRDefault="00677147" w:rsidP="00677147">
      <w:pPr>
        <w:numPr>
          <w:ilvl w:val="0"/>
          <w:numId w:val="4"/>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تحليل المخاطر</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تحديد مصادر المخاطر المرتبطة بعمليات التعدين وتقييم احتمالية حدوثها وشدة تأثيرها على سلامة العاملين</w:t>
      </w:r>
      <w:r w:rsidRPr="00677147">
        <w:rPr>
          <w:rFonts w:ascii="Simplified Arabic" w:eastAsia="Calibri" w:hAnsi="Simplified Arabic" w:cs="Simplified Arabic"/>
          <w:kern w:val="2"/>
          <w:sz w:val="28"/>
          <w:szCs w:val="28"/>
        </w:rPr>
        <w:t>.</w:t>
      </w:r>
    </w:p>
    <w:p w14:paraId="676F3E6F" w14:textId="77777777" w:rsidR="00677147" w:rsidRPr="00677147" w:rsidRDefault="00677147" w:rsidP="00677147">
      <w:pPr>
        <w:numPr>
          <w:ilvl w:val="0"/>
          <w:numId w:val="4"/>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إدارة السلامة المهنية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وضع استراتيجيات فعالة لتحسين بيئة العمل وتقليل الحوادث من خلال تنفيذ إجراءات وقائية وتدابير احترازية</w:t>
      </w:r>
      <w:r w:rsidRPr="00677147">
        <w:rPr>
          <w:rFonts w:ascii="Simplified Arabic" w:eastAsia="Calibri" w:hAnsi="Simplified Arabic" w:cs="Simplified Arabic"/>
          <w:kern w:val="2"/>
          <w:sz w:val="28"/>
          <w:szCs w:val="28"/>
        </w:rPr>
        <w:t>.</w:t>
      </w:r>
    </w:p>
    <w:p w14:paraId="31BB0A8E" w14:textId="77777777" w:rsidR="00677147" w:rsidRPr="00677147" w:rsidRDefault="00677147" w:rsidP="00677147">
      <w:pPr>
        <w:numPr>
          <w:ilvl w:val="0"/>
          <w:numId w:val="4"/>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lastRenderedPageBreak/>
        <w:t>التكنولوجيا الحديثة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تبنّي تقنيات مبتكرة لرصد المخاطر بشكل آلي وتحليل البيانات المتعلقة بالحوادث المحتملة لضمان استجابة سريعة وفعالة</w:t>
      </w:r>
      <w:r w:rsidRPr="00677147">
        <w:rPr>
          <w:rFonts w:ascii="Simplified Arabic" w:eastAsia="Calibri" w:hAnsi="Simplified Arabic" w:cs="Simplified Arabic"/>
          <w:kern w:val="2"/>
          <w:sz w:val="28"/>
          <w:szCs w:val="28"/>
        </w:rPr>
        <w:t>.</w:t>
      </w:r>
    </w:p>
    <w:p w14:paraId="6F90C871" w14:textId="77777777" w:rsidR="00677147" w:rsidRPr="00677147" w:rsidRDefault="00677147" w:rsidP="00677147">
      <w:pPr>
        <w:numPr>
          <w:ilvl w:val="0"/>
          <w:numId w:val="4"/>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التدريب والتأهيل</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تعزيز قدرات العاملين من خلال التدريب المستمر على إجراءات السلامة وكيفية التعامل مع حالات الطوارئ</w:t>
      </w:r>
      <w:r w:rsidRPr="00677147">
        <w:rPr>
          <w:rFonts w:ascii="Simplified Arabic" w:eastAsia="Calibri" w:hAnsi="Simplified Arabic" w:cs="Simplified Arabic"/>
          <w:kern w:val="2"/>
          <w:sz w:val="28"/>
          <w:szCs w:val="28"/>
        </w:rPr>
        <w:t>.</w:t>
      </w:r>
    </w:p>
    <w:p w14:paraId="2066959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تساعد هذه النظرية في تفسير الظواهر المتعلقة بالأمان والسلامة في مناجم النحاس، حيث تُقدّم إطارًا عمليًا لتحديد المشكلات وتحليلها ووضع الحلول المناسبة. كما تساهم في توجيه صانعي القرار نحو تنفيذ استراتيجيات أمان أكثر تطورًا وفعالية لضمان سلامة العاملين وتقليل الحوادث</w:t>
      </w:r>
      <w:r w:rsidRPr="00677147">
        <w:rPr>
          <w:rFonts w:ascii="Simplified Arabic" w:eastAsia="Calibri" w:hAnsi="Simplified Arabic" w:cs="Simplified Arabic"/>
          <w:kern w:val="2"/>
          <w:sz w:val="28"/>
          <w:szCs w:val="28"/>
        </w:rPr>
        <w:t>.</w:t>
      </w:r>
    </w:p>
    <w:p w14:paraId="1A862D35"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28811230"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7AA37D4C"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6D0ABFD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506ECFC2"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46251CE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18D33C3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7ABAB3F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679719B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Calibri" w:eastAsia="Calibri" w:hAnsi="Calibri" w:cs="Arial"/>
          <w:noProof/>
          <w:rtl/>
          <w14:ligatures w14:val="none"/>
        </w:rPr>
        <mc:AlternateContent>
          <mc:Choice Requires="wps">
            <w:drawing>
              <wp:anchor distT="0" distB="0" distL="114300" distR="114300" simplePos="0" relativeHeight="251660288" behindDoc="0" locked="0" layoutInCell="1" allowOverlap="1" wp14:anchorId="60887820" wp14:editId="6E755E21">
                <wp:simplePos x="0" y="0"/>
                <wp:positionH relativeFrom="margin">
                  <wp:posOffset>468629</wp:posOffset>
                </wp:positionH>
                <wp:positionV relativeFrom="paragraph">
                  <wp:posOffset>13335</wp:posOffset>
                </wp:positionV>
                <wp:extent cx="4815205" cy="2466975"/>
                <wp:effectExtent l="0" t="0" r="23495" b="28575"/>
                <wp:wrapNone/>
                <wp:docPr id="1120932688" name="Rounded Rectangle 1"/>
                <wp:cNvGraphicFramePr/>
                <a:graphic xmlns:a="http://schemas.openxmlformats.org/drawingml/2006/main">
                  <a:graphicData uri="http://schemas.microsoft.com/office/word/2010/wordprocessingShape">
                    <wps:wsp>
                      <wps:cNvSpPr/>
                      <wps:spPr>
                        <a:xfrm>
                          <a:off x="0" y="0"/>
                          <a:ext cx="4815205" cy="2466975"/>
                        </a:xfrm>
                        <a:prstGeom prst="roundRect">
                          <a:avLst/>
                        </a:prstGeom>
                        <a:solidFill>
                          <a:sysClr val="window" lastClr="FFFFFF"/>
                        </a:solidFill>
                        <a:ln w="25400" cap="flat" cmpd="sng" algn="ctr">
                          <a:solidFill>
                            <a:sysClr val="windowText" lastClr="000000"/>
                          </a:solidFill>
                          <a:prstDash val="solid"/>
                        </a:ln>
                        <a:effectLst/>
                      </wps:spPr>
                      <wps:txbx>
                        <w:txbxContent>
                          <w:p w14:paraId="5FABDFE3" w14:textId="77777777" w:rsidR="00677147" w:rsidRPr="007F2935" w:rsidRDefault="00677147" w:rsidP="00677147">
                            <w:pPr>
                              <w:jc w:val="center"/>
                              <w:outlineLvl w:val="0"/>
                              <w:rPr>
                                <w:rFonts w:ascii="Sakkal Majalla" w:hAnsi="Sakkal Majalla" w:cs="Sakkal Majalla"/>
                                <w:b/>
                                <w:bCs/>
                                <w:sz w:val="48"/>
                                <w:szCs w:val="48"/>
                              </w:rPr>
                            </w:pPr>
                            <w:bookmarkStart w:id="12" w:name="_Toc192862027"/>
                            <w:r w:rsidRPr="007F2935">
                              <w:rPr>
                                <w:rFonts w:ascii="Sakkal Majalla" w:hAnsi="Sakkal Majalla" w:cs="Sakkal Majalla" w:hint="cs"/>
                                <w:b/>
                                <w:bCs/>
                                <w:sz w:val="48"/>
                                <w:szCs w:val="48"/>
                                <w:rtl/>
                              </w:rPr>
                              <w:t>الفصل الثاني: الإطار النظري</w:t>
                            </w:r>
                            <w:r>
                              <w:rPr>
                                <w:rFonts w:ascii="Sakkal Majalla" w:hAnsi="Sakkal Majalla" w:cs="Sakkal Majalla" w:hint="cs"/>
                                <w:b/>
                                <w:bCs/>
                                <w:sz w:val="48"/>
                                <w:szCs w:val="48"/>
                                <w:rtl/>
                              </w:rPr>
                              <w:t xml:space="preserve"> والدراسات السابقة</w:t>
                            </w:r>
                            <w:bookmarkEnd w:id="12"/>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60887820" id="_x0000_s1027" style="position:absolute;left:0;text-align:left;margin-left:36.9pt;margin-top:1.05pt;width:379.15pt;height:19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" fillcolor="window" strokecolor="windowText" strokeweight="2pt">
                <v:textbox>
                  <w:txbxContent>
                    <w:p w14:paraId="5FABDFE3" w14:textId="77777777" w:rsidR="00677147" w:rsidRPr="007F2935" w:rsidRDefault="00677147" w:rsidP="00677147">
                      <w:pPr>
                        <w:jc w:val="center"/>
                        <w:outlineLvl w:val="0"/>
                        <w:rPr>
                          <w:rFonts w:ascii="Sakkal Majalla" w:hAnsi="Sakkal Majalla" w:cs="Sakkal Majalla"/>
                          <w:b/>
                          <w:bCs/>
                          <w:sz w:val="48"/>
                          <w:szCs w:val="48"/>
                        </w:rPr>
                      </w:pPr>
                      <w:bookmarkStart w:id="17" w:name="_Toc192862027"/>
                      <w:r w:rsidRPr="007F2935">
                        <w:rPr>
                          <w:rFonts w:ascii="Sakkal Majalla" w:hAnsi="Sakkal Majalla" w:cs="Sakkal Majalla" w:hint="cs"/>
                          <w:b/>
                          <w:bCs/>
                          <w:sz w:val="48"/>
                          <w:szCs w:val="48"/>
                          <w:rtl/>
                        </w:rPr>
                        <w:t>الفصل الثاني: الإطار النظري</w:t>
                      </w:r>
                      <w:r>
                        <w:rPr>
                          <w:rFonts w:ascii="Sakkal Majalla" w:hAnsi="Sakkal Majalla" w:cs="Sakkal Majalla" w:hint="cs"/>
                          <w:b/>
                          <w:bCs/>
                          <w:sz w:val="48"/>
                          <w:szCs w:val="48"/>
                          <w:rtl/>
                        </w:rPr>
                        <w:t xml:space="preserve"> والدراسات السابقة</w:t>
                      </w:r>
                      <w:bookmarkEnd w:id="17"/>
                    </w:p>
                  </w:txbxContent>
                </v:textbox>
                <w10:wrap anchorx="margin"/>
              </v:roundrect>
            </w:pict>
          </mc:Fallback>
        </mc:AlternateContent>
      </w:r>
    </w:p>
    <w:p w14:paraId="2AC18B0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5DFF11FC" w14:textId="77777777" w:rsidR="00677147" w:rsidRPr="00677147" w:rsidRDefault="00677147" w:rsidP="00677147">
      <w:pPr>
        <w:spacing w:after="160" w:line="288" w:lineRule="auto"/>
        <w:jc w:val="mediumKashida"/>
        <w:rPr>
          <w:rFonts w:ascii="Sakkal Majalla" w:eastAsia="Calibri" w:hAnsi="Sakkal Majalla" w:cs="(AH) Manal Black"/>
          <w:b/>
          <w:bCs/>
          <w:kern w:val="2"/>
          <w:sz w:val="36"/>
          <w:szCs w:val="36"/>
          <w:u w:val="single"/>
          <w:rtl/>
          <w:lang w:bidi="ar-EG"/>
        </w:rPr>
      </w:pPr>
    </w:p>
    <w:p w14:paraId="1D61E237"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4F302083"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045C14D7"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5B982803"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7743E5DC"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02D622E9" w14:textId="77777777" w:rsidR="00677147" w:rsidRPr="00677147" w:rsidRDefault="00677147" w:rsidP="00677147">
      <w:pPr>
        <w:spacing w:after="120" w:line="288" w:lineRule="auto"/>
        <w:jc w:val="mediumKashida"/>
        <w:rPr>
          <w:rFonts w:ascii="Simplified Arabic" w:eastAsia="Calibri" w:hAnsi="Simplified Arabic" w:cs="Simplified Arabic"/>
          <w:sz w:val="28"/>
          <w:szCs w:val="28"/>
          <w:rtl/>
          <w:lang w:bidi="ar-EG"/>
          <w14:ligatures w14:val="none"/>
        </w:rPr>
      </w:pPr>
    </w:p>
    <w:p w14:paraId="6C05ED07"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3A632214"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081F1F7A"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2D07465E"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0B233CB9" w14:textId="77777777" w:rsidR="00677147" w:rsidRPr="00677147" w:rsidRDefault="00677147" w:rsidP="00677147">
      <w:pPr>
        <w:spacing w:after="160" w:line="288" w:lineRule="auto"/>
        <w:jc w:val="mediumKashida"/>
        <w:rPr>
          <w:rFonts w:ascii="Sakkal Majalla" w:eastAsia="Calibri" w:hAnsi="Sakkal Majalla" w:cs="Sakkal Majalla"/>
          <w:kern w:val="2"/>
          <w:sz w:val="28"/>
          <w:szCs w:val="28"/>
          <w:u w:val="single"/>
          <w:rtl/>
        </w:rPr>
      </w:pPr>
    </w:p>
    <w:p w14:paraId="61DD3E00"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13" w:name="_Toc192862028"/>
      <w:r w:rsidRPr="00677147">
        <w:rPr>
          <w:rFonts w:ascii="Simplified Arabic" w:eastAsia="Calibri" w:hAnsi="Simplified Arabic" w:cs="(AH) Manal Black" w:hint="cs"/>
          <w:kern w:val="2"/>
          <w:sz w:val="32"/>
          <w:szCs w:val="32"/>
          <w:u w:val="single"/>
          <w:rtl/>
        </w:rPr>
        <w:t>مقدمة</w:t>
      </w:r>
      <w:bookmarkEnd w:id="13"/>
    </w:p>
    <w:p w14:paraId="7FA07A0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يستعرض هذا الفصل الدراسات السابقة والإطار النظري المرتبط بموضوع البحث حيث يتم تسليط الضوء على الجهود العلمية التي تناولت الظاهرة قيد الدراسة من زوايا متعددة. ويساعد استعراض الدراسات السابقة على فهم الاتجاهات البحثية المختلفة وتحديد الفجوات المعرفية والاستفادة من الأساليب والمنهجيات التي اعتمدتها الأبحاث السابقة في هذا المجال</w:t>
      </w:r>
      <w:r w:rsidRPr="00677147">
        <w:rPr>
          <w:rFonts w:ascii="Simplified Arabic" w:eastAsia="Calibri" w:hAnsi="Simplified Arabic" w:cs="Simplified Arabic"/>
          <w:kern w:val="2"/>
          <w:sz w:val="28"/>
          <w:szCs w:val="28"/>
        </w:rPr>
        <w:t>.</w:t>
      </w:r>
    </w:p>
    <w:p w14:paraId="4A779F8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كما يتناول الفصل الإطار النظري الذي يمثل الأساس المفاهيمي والتحليلي للبحث حيث يتم استعراض النظريات والمفاهيم ذات الصلة والتي تشكل الإطار المرجعي لفهم الموضوع وتحليل أبعاده المختلفة</w:t>
      </w:r>
      <w:r w:rsidRPr="00677147">
        <w:rPr>
          <w:rFonts w:ascii="Simplified Arabic" w:eastAsia="Calibri" w:hAnsi="Simplified Arabic" w:cs="Simplified Arabic"/>
          <w:kern w:val="2"/>
          <w:sz w:val="28"/>
          <w:szCs w:val="28"/>
        </w:rPr>
        <w:t>.</w:t>
      </w:r>
    </w:p>
    <w:p w14:paraId="6A2F4D6A"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14" w:name="_Toc192862029"/>
      <w:r w:rsidRPr="00677147">
        <w:rPr>
          <w:rFonts w:ascii="Simplified Arabic" w:eastAsia="Calibri" w:hAnsi="Simplified Arabic" w:cs="(AH) Manal Black" w:hint="cs"/>
          <w:kern w:val="2"/>
          <w:sz w:val="32"/>
          <w:szCs w:val="32"/>
          <w:u w:val="single"/>
          <w:rtl/>
        </w:rPr>
        <w:t xml:space="preserve">أولا: </w:t>
      </w:r>
      <w:r w:rsidRPr="00677147">
        <w:rPr>
          <w:rFonts w:ascii="Simplified Arabic" w:eastAsia="Calibri" w:hAnsi="Simplified Arabic" w:cs="(AH) Manal Black"/>
          <w:kern w:val="2"/>
          <w:sz w:val="32"/>
          <w:szCs w:val="32"/>
          <w:u w:val="single"/>
          <w:rtl/>
        </w:rPr>
        <w:t>الدراسات السابقة:</w:t>
      </w:r>
      <w:bookmarkEnd w:id="14"/>
    </w:p>
    <w:p w14:paraId="33B9B9C5"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Pr>
      </w:pPr>
      <w:r w:rsidRPr="00677147">
        <w:rPr>
          <w:rFonts w:ascii="Simplified Arabic" w:eastAsia="Calibri" w:hAnsi="Simplified Arabic" w:cs="Simplified Arabic" w:hint="cs"/>
          <w:kern w:val="2"/>
          <w:sz w:val="28"/>
          <w:szCs w:val="28"/>
          <w:rtl/>
        </w:rPr>
        <w:lastRenderedPageBreak/>
        <w:t xml:space="preserve"> </w:t>
      </w:r>
      <w:r w:rsidRPr="00677147">
        <w:rPr>
          <w:rFonts w:ascii="Simplified Arabic" w:eastAsia="Calibri" w:hAnsi="Simplified Arabic" w:cs="Simplified Arabic"/>
          <w:b/>
          <w:bCs/>
          <w:kern w:val="2"/>
          <w:sz w:val="28"/>
          <w:szCs w:val="28"/>
          <w:rtl/>
        </w:rPr>
        <w:t>دراسة (الظاهر، 2009)</w:t>
      </w:r>
    </w:p>
    <w:p w14:paraId="7718815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b/>
          <w:bCs/>
          <w:kern w:val="2"/>
          <w:sz w:val="28"/>
          <w:szCs w:val="28"/>
          <w:rtl/>
        </w:rPr>
        <w:t>عنوان الدراسة</w:t>
      </w:r>
      <w:r w:rsidRPr="00677147">
        <w:rPr>
          <w:rFonts w:ascii="Simplified Arabic" w:eastAsia="Calibri" w:hAnsi="Simplified Arabic" w:cs="Simplified Arabic"/>
          <w:b/>
          <w:bCs/>
          <w:kern w:val="2"/>
          <w:sz w:val="28"/>
          <w:szCs w:val="28"/>
        </w:rPr>
        <w:t>:</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إدارة الأزمات</w:t>
      </w:r>
    </w:p>
    <w:p w14:paraId="02280C4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هدفت الدراسة إلى استعراض المفاهيم الأساسية المتعلقة بإدارة الأزمات مع التركيز على دراسة النماذج والاستراتيجيات المستخدمة في التعامل مع الأزمات في مختلف المؤسسات. كما ركزت الدراسة على أهمية الإدارة الفعالة للأزمات في الحد من الخسائر البشرية والمادية، وضمان استمرارية الأنشطة المؤسسية. وتطرقت الدراسة إلى تحليل دور الإدارة الاستباقية في التنبؤ بالأزمات قبل حدوثها من خلال إنشاء خطط طوارئ مبنية على أسس علمية ومنهجية</w:t>
      </w:r>
      <w:r w:rsidRPr="00677147">
        <w:rPr>
          <w:rFonts w:ascii="Simplified Arabic" w:eastAsia="Calibri" w:hAnsi="Simplified Arabic" w:cs="Simplified Arabic"/>
          <w:kern w:val="2"/>
          <w:sz w:val="28"/>
          <w:szCs w:val="28"/>
        </w:rPr>
        <w:t>.</w:t>
      </w:r>
      <w:r w:rsidRPr="00677147">
        <w:rPr>
          <w:rFonts w:ascii="Simplified Arabic" w:eastAsia="Calibri" w:hAnsi="Simplified Arabic" w:cs="Simplified Arabic"/>
          <w:kern w:val="2"/>
          <w:sz w:val="28"/>
          <w:szCs w:val="28"/>
        </w:rPr>
        <w:br/>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اعتمد الباحث في هذه الدراسة على المنهج الوصفي التحليلي من خلال مراجعة الأدبيات ذات الصلة بإدارة الأزمات والكوارث، بالإضافة إلى تحليل عدد من النماذج التطبيقية الناجحة والفاشلة في إدارة الأزمات على مستوى المؤسسات الحكومية والخاصة</w:t>
      </w:r>
      <w:r w:rsidRPr="00677147">
        <w:rPr>
          <w:rFonts w:ascii="Simplified Arabic" w:eastAsia="Calibri" w:hAnsi="Simplified Arabic" w:cs="Simplified Arabic"/>
          <w:kern w:val="2"/>
          <w:sz w:val="28"/>
          <w:szCs w:val="28"/>
        </w:rPr>
        <w:t>.</w:t>
      </w:r>
      <w:r w:rsidRPr="00677147">
        <w:rPr>
          <w:rFonts w:ascii="Simplified Arabic" w:eastAsia="Calibri" w:hAnsi="Simplified Arabic" w:cs="Simplified Arabic"/>
          <w:kern w:val="2"/>
          <w:sz w:val="28"/>
          <w:szCs w:val="28"/>
        </w:rPr>
        <w:br/>
      </w:r>
      <w:r w:rsidRPr="00677147">
        <w:rPr>
          <w:rFonts w:ascii="Simplified Arabic" w:eastAsia="Calibri" w:hAnsi="Simplified Arabic" w:cs="Simplified Arabic"/>
          <w:kern w:val="2"/>
          <w:sz w:val="28"/>
          <w:szCs w:val="28"/>
          <w:rtl/>
        </w:rPr>
        <w:t>وتوصلت الدراسة إلى عدة نتائج أبرزها</w:t>
      </w:r>
      <w:r w:rsidRPr="00677147">
        <w:rPr>
          <w:rFonts w:ascii="Simplified Arabic" w:eastAsia="Calibri" w:hAnsi="Simplified Arabic" w:cs="Simplified Arabic"/>
          <w:kern w:val="2"/>
          <w:sz w:val="28"/>
          <w:szCs w:val="28"/>
        </w:rPr>
        <w:t>:</w:t>
      </w:r>
    </w:p>
    <w:p w14:paraId="556CCA4D" w14:textId="77777777" w:rsidR="00677147" w:rsidRPr="00677147" w:rsidRDefault="00677147" w:rsidP="00677147">
      <w:pPr>
        <w:numPr>
          <w:ilvl w:val="0"/>
          <w:numId w:val="6"/>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الحاجة إلى التخطيط المسبق</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بينت الدراسة أن وجود خطط استباقية يمكن أن يساهم بشكل كبير في تخفيف حدة الأزمة وتقليل آثارها السلبية</w:t>
      </w:r>
      <w:r w:rsidRPr="00677147">
        <w:rPr>
          <w:rFonts w:ascii="Simplified Arabic" w:eastAsia="Calibri" w:hAnsi="Simplified Arabic" w:cs="Simplified Arabic"/>
          <w:kern w:val="2"/>
          <w:sz w:val="28"/>
          <w:szCs w:val="28"/>
        </w:rPr>
        <w:t>.</w:t>
      </w:r>
    </w:p>
    <w:p w14:paraId="4999CE21" w14:textId="77777777" w:rsidR="00677147" w:rsidRPr="00677147" w:rsidRDefault="00677147" w:rsidP="00677147">
      <w:pPr>
        <w:numPr>
          <w:ilvl w:val="0"/>
          <w:numId w:val="6"/>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الجاهزية والتأهب</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أكدت الدراسة على أهمية تعزيز جاهزية الفرق الإدارية للتعامل مع الأزمات من خلال التدريب المكثف والمستمر</w:t>
      </w:r>
      <w:r w:rsidRPr="00677147">
        <w:rPr>
          <w:rFonts w:ascii="Simplified Arabic" w:eastAsia="Calibri" w:hAnsi="Simplified Arabic" w:cs="Simplified Arabic"/>
          <w:kern w:val="2"/>
          <w:sz w:val="28"/>
          <w:szCs w:val="28"/>
        </w:rPr>
        <w:t>.</w:t>
      </w:r>
    </w:p>
    <w:p w14:paraId="2C85B6E2" w14:textId="77777777" w:rsidR="00677147" w:rsidRPr="00677147" w:rsidRDefault="00677147" w:rsidP="00677147">
      <w:pPr>
        <w:numPr>
          <w:ilvl w:val="0"/>
          <w:numId w:val="6"/>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القيادة الفاعلة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أوضحت الدراسة أن القيادة الحكيمة والقادرة على اتخاذ قرارات سريعة تلعب دوراً حاسماً في إدارة الأزمة بشكل فعال</w:t>
      </w:r>
      <w:r w:rsidRPr="00677147">
        <w:rPr>
          <w:rFonts w:ascii="Simplified Arabic" w:eastAsia="Calibri" w:hAnsi="Simplified Arabic" w:cs="Simplified Arabic"/>
          <w:kern w:val="2"/>
          <w:sz w:val="28"/>
          <w:szCs w:val="28"/>
        </w:rPr>
        <w:t>.</w:t>
      </w:r>
    </w:p>
    <w:p w14:paraId="20C5CF59" w14:textId="77777777" w:rsidR="00677147" w:rsidRPr="00677147" w:rsidRDefault="00677147" w:rsidP="00677147">
      <w:pPr>
        <w:numPr>
          <w:ilvl w:val="0"/>
          <w:numId w:val="6"/>
        </w:num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التواصل الفعّال</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أظهرت النتائج أن غياب التواصل الفعّال بين الأطراف المختلفة خلال الأزمة يؤدي إلى تفاقم الأوضاع ويؤخر عملية التعافي</w:t>
      </w:r>
      <w:r w:rsidRPr="00677147">
        <w:rPr>
          <w:rFonts w:ascii="Simplified Arabic" w:eastAsia="Calibri" w:hAnsi="Simplified Arabic" w:cs="Simplified Arabic"/>
          <w:kern w:val="2"/>
          <w:sz w:val="28"/>
          <w:szCs w:val="28"/>
        </w:rPr>
        <w:t>.</w:t>
      </w:r>
    </w:p>
    <w:p w14:paraId="5FB05B9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وأوصت الدراسة بضرورة العمل على إنشاء وحدات متخصصة لإدارة الأزمات ضمن المؤسسات الكبيرة والحكومية، مع تفعيل دور الإعلام في نشر المعلومات الصحيحة خلال الأزمات لتجنب الشائعات. كما دعت إلى بناء شبكات تواصل قوية مع الجهات ذات العلاقة لضمان توحيد الجهود والتعاون في مواجهة الأزمات</w:t>
      </w:r>
      <w:r w:rsidRPr="00677147">
        <w:rPr>
          <w:rFonts w:ascii="Simplified Arabic" w:eastAsia="Calibri" w:hAnsi="Simplified Arabic" w:cs="Simplified Arabic"/>
          <w:kern w:val="2"/>
          <w:sz w:val="28"/>
          <w:szCs w:val="28"/>
        </w:rPr>
        <w:t>.</w:t>
      </w:r>
    </w:p>
    <w:p w14:paraId="0BB70DB9"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Pr>
      </w:pPr>
      <w:r w:rsidRPr="00677147">
        <w:rPr>
          <w:rFonts w:ascii="Simplified Arabic" w:eastAsia="Calibri" w:hAnsi="Simplified Arabic" w:cs="Simplified Arabic"/>
          <w:b/>
          <w:bCs/>
          <w:kern w:val="2"/>
          <w:sz w:val="28"/>
          <w:szCs w:val="28"/>
          <w:rtl/>
        </w:rPr>
        <w:t>دراسة (</w:t>
      </w:r>
      <w:proofErr w:type="spellStart"/>
      <w:r w:rsidRPr="00677147">
        <w:rPr>
          <w:rFonts w:ascii="Simplified Arabic" w:eastAsia="Calibri" w:hAnsi="Simplified Arabic" w:cs="Simplified Arabic"/>
          <w:b/>
          <w:bCs/>
          <w:kern w:val="2"/>
          <w:sz w:val="28"/>
          <w:szCs w:val="28"/>
          <w:rtl/>
        </w:rPr>
        <w:t>القليطي</w:t>
      </w:r>
      <w:proofErr w:type="spellEnd"/>
      <w:r w:rsidRPr="00677147">
        <w:rPr>
          <w:rFonts w:ascii="Simplified Arabic" w:eastAsia="Calibri" w:hAnsi="Simplified Arabic" w:cs="Simplified Arabic"/>
          <w:b/>
          <w:bCs/>
          <w:kern w:val="2"/>
          <w:sz w:val="28"/>
          <w:szCs w:val="28"/>
          <w:rtl/>
        </w:rPr>
        <w:t>، 2019)</w:t>
      </w:r>
    </w:p>
    <w:p w14:paraId="08961F7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عنوان الدراسة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 xml:space="preserve">إدارة الأزمات والكوارث في المناجم: دراسة حالة حادثة منجم </w:t>
      </w:r>
      <w:proofErr w:type="spellStart"/>
      <w:r w:rsidRPr="00677147">
        <w:rPr>
          <w:rFonts w:ascii="Simplified Arabic" w:eastAsia="Calibri" w:hAnsi="Simplified Arabic" w:cs="Simplified Arabic"/>
          <w:kern w:val="2"/>
          <w:sz w:val="28"/>
          <w:szCs w:val="28"/>
          <w:rtl/>
        </w:rPr>
        <w:t>كوبيابو</w:t>
      </w:r>
      <w:proofErr w:type="spellEnd"/>
      <w:r w:rsidRPr="00677147">
        <w:rPr>
          <w:rFonts w:ascii="Simplified Arabic" w:eastAsia="Calibri" w:hAnsi="Simplified Arabic" w:cs="Simplified Arabic"/>
          <w:kern w:val="2"/>
          <w:sz w:val="28"/>
          <w:szCs w:val="28"/>
          <w:rtl/>
        </w:rPr>
        <w:t xml:space="preserve"> 2010</w:t>
      </w:r>
      <w:r w:rsidRPr="00677147">
        <w:rPr>
          <w:rFonts w:ascii="Simplified Arabic" w:eastAsia="Calibri" w:hAnsi="Simplified Arabic" w:cs="Simplified Arabic"/>
          <w:kern w:val="2"/>
          <w:sz w:val="28"/>
          <w:szCs w:val="28"/>
        </w:rPr>
        <w:br/>
      </w:r>
      <w:r w:rsidRPr="00677147">
        <w:rPr>
          <w:rFonts w:ascii="Simplified Arabic" w:eastAsia="Calibri" w:hAnsi="Simplified Arabic" w:cs="Simplified Arabic"/>
          <w:kern w:val="2"/>
          <w:sz w:val="28"/>
          <w:szCs w:val="28"/>
          <w:rtl/>
        </w:rPr>
        <w:t xml:space="preserve">هدفت هذه الدراسة إلى تحليل كارثة منجم </w:t>
      </w:r>
      <w:proofErr w:type="spellStart"/>
      <w:r w:rsidRPr="00677147">
        <w:rPr>
          <w:rFonts w:ascii="Simplified Arabic" w:eastAsia="Calibri" w:hAnsi="Simplified Arabic" w:cs="Simplified Arabic"/>
          <w:kern w:val="2"/>
          <w:sz w:val="28"/>
          <w:szCs w:val="28"/>
          <w:rtl/>
        </w:rPr>
        <w:t>كوبيابو</w:t>
      </w:r>
      <w:proofErr w:type="spellEnd"/>
      <w:r w:rsidRPr="00677147">
        <w:rPr>
          <w:rFonts w:ascii="Simplified Arabic" w:eastAsia="Calibri" w:hAnsi="Simplified Arabic" w:cs="Simplified Arabic"/>
          <w:kern w:val="2"/>
          <w:sz w:val="28"/>
          <w:szCs w:val="28"/>
          <w:rtl/>
        </w:rPr>
        <w:t xml:space="preserve"> في تشيلي عام 2010، والتي تعتبر من أبرز حوادث المناجم في التاريخ الحديث، حيث تعرض 33 عاملاً للانحصار تحت الأرض لمدة 69 يوماً. تناولت الدراسة الجوانب الإدارية والتنسيقية لعملية الإنقاذ، بالإضافة إلى تحليل استراتيجيات إدارة الأزمة من قبل الحكومة التشيلية والمنظمات الدولية المشاركة</w:t>
      </w:r>
      <w:r w:rsidRPr="00677147">
        <w:rPr>
          <w:rFonts w:ascii="Simplified Arabic" w:eastAsia="Calibri" w:hAnsi="Simplified Arabic" w:cs="Simplified Arabic"/>
          <w:kern w:val="2"/>
          <w:sz w:val="28"/>
          <w:szCs w:val="28"/>
        </w:rPr>
        <w:t>.</w:t>
      </w:r>
      <w:r w:rsidRPr="00677147">
        <w:rPr>
          <w:rFonts w:ascii="Simplified Arabic" w:eastAsia="Calibri" w:hAnsi="Simplified Arabic" w:cs="Simplified Arabic"/>
          <w:kern w:val="2"/>
          <w:sz w:val="28"/>
          <w:szCs w:val="28"/>
        </w:rPr>
        <w:br/>
      </w:r>
      <w:r w:rsidRPr="00677147">
        <w:rPr>
          <w:rFonts w:ascii="Simplified Arabic" w:eastAsia="Calibri" w:hAnsi="Simplified Arabic" w:cs="Simplified Arabic"/>
          <w:kern w:val="2"/>
          <w:sz w:val="28"/>
          <w:szCs w:val="28"/>
          <w:rtl/>
        </w:rPr>
        <w:t>استخدم الباحث في هذه الدراسة منهج دراسة الحالة، حيث قام بجمع البيانات من مصادر متنوعة تشمل تقارير رسمية، مقابلات مع المسؤولين، وشهادات الناجين من الحادثة. كما تم تحليل دور القيادة الفاعلة والدعم الدولي في إنجاح عملية الإنقاذ</w:t>
      </w:r>
      <w:r w:rsidRPr="00677147">
        <w:rPr>
          <w:rFonts w:ascii="Simplified Arabic" w:eastAsia="Calibri" w:hAnsi="Simplified Arabic" w:cs="Simplified Arabic"/>
          <w:kern w:val="2"/>
          <w:sz w:val="28"/>
          <w:szCs w:val="28"/>
        </w:rPr>
        <w:t>.</w:t>
      </w:r>
      <w:r w:rsidRPr="00677147">
        <w:rPr>
          <w:rFonts w:ascii="Simplified Arabic" w:eastAsia="Calibri" w:hAnsi="Simplified Arabic" w:cs="Simplified Arabic"/>
          <w:kern w:val="2"/>
          <w:sz w:val="28"/>
          <w:szCs w:val="28"/>
        </w:rPr>
        <w:br/>
      </w:r>
      <w:r w:rsidRPr="00677147">
        <w:rPr>
          <w:rFonts w:ascii="Simplified Arabic" w:eastAsia="Calibri" w:hAnsi="Simplified Arabic" w:cs="Simplified Arabic"/>
          <w:kern w:val="2"/>
          <w:sz w:val="28"/>
          <w:szCs w:val="28"/>
          <w:rtl/>
        </w:rPr>
        <w:t>وتوصلت الدراسة إلى مجموعة من النتائج، من أبرزها</w:t>
      </w:r>
      <w:r w:rsidRPr="00677147">
        <w:rPr>
          <w:rFonts w:ascii="Simplified Arabic" w:eastAsia="Calibri" w:hAnsi="Simplified Arabic" w:cs="Simplified Arabic"/>
          <w:kern w:val="2"/>
          <w:sz w:val="28"/>
          <w:szCs w:val="28"/>
        </w:rPr>
        <w:t>:</w:t>
      </w:r>
    </w:p>
    <w:p w14:paraId="0241E6FC" w14:textId="77777777" w:rsidR="00677147" w:rsidRPr="00677147" w:rsidRDefault="00677147" w:rsidP="00677147">
      <w:pPr>
        <w:numPr>
          <w:ilvl w:val="0"/>
          <w:numId w:val="7"/>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القيادة الاستباقية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أثبتت الدراسة أن القيادة السياسية الفعالة والتفاعل السريع مع الأزمة كان لهما دور محوري في إنقاذ العمال</w:t>
      </w:r>
      <w:r w:rsidRPr="00677147">
        <w:rPr>
          <w:rFonts w:ascii="Simplified Arabic" w:eastAsia="Calibri" w:hAnsi="Simplified Arabic" w:cs="Simplified Arabic"/>
          <w:kern w:val="2"/>
          <w:sz w:val="28"/>
          <w:szCs w:val="28"/>
        </w:rPr>
        <w:t>.</w:t>
      </w:r>
    </w:p>
    <w:p w14:paraId="3547015A" w14:textId="77777777" w:rsidR="00677147" w:rsidRPr="00677147" w:rsidRDefault="00677147" w:rsidP="00677147">
      <w:pPr>
        <w:numPr>
          <w:ilvl w:val="0"/>
          <w:numId w:val="7"/>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التعاون الدولي</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أكدت النتائج أن التعاون بين الحكومة التشيلية والدول الأخرى ساعد في تسريع عملية الإنقاذ عبر توفير الخبرات الفنية والمعدات المتقدمة</w:t>
      </w:r>
      <w:r w:rsidRPr="00677147">
        <w:rPr>
          <w:rFonts w:ascii="Simplified Arabic" w:eastAsia="Calibri" w:hAnsi="Simplified Arabic" w:cs="Simplified Arabic"/>
          <w:kern w:val="2"/>
          <w:sz w:val="28"/>
          <w:szCs w:val="28"/>
        </w:rPr>
        <w:t>.</w:t>
      </w:r>
    </w:p>
    <w:p w14:paraId="000BAF32" w14:textId="77777777" w:rsidR="00677147" w:rsidRPr="00677147" w:rsidRDefault="00677147" w:rsidP="00677147">
      <w:pPr>
        <w:numPr>
          <w:ilvl w:val="0"/>
          <w:numId w:val="7"/>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lastRenderedPageBreak/>
        <w:t>استخدام التكنولوجيا</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أظهرت الدراسة أن التكنولوجيا الحديثة لعبت دوراً أساسياً في الوصول إلى العمال المحاصرين والحفاظ على تواصل مستمر معهم</w:t>
      </w:r>
      <w:r w:rsidRPr="00677147">
        <w:rPr>
          <w:rFonts w:ascii="Simplified Arabic" w:eastAsia="Calibri" w:hAnsi="Simplified Arabic" w:cs="Simplified Arabic"/>
          <w:kern w:val="2"/>
          <w:sz w:val="28"/>
          <w:szCs w:val="28"/>
        </w:rPr>
        <w:t>.</w:t>
      </w:r>
    </w:p>
    <w:p w14:paraId="5B4CBEF2" w14:textId="77777777" w:rsidR="00677147" w:rsidRPr="00677147" w:rsidRDefault="00677147" w:rsidP="00677147">
      <w:pPr>
        <w:numPr>
          <w:ilvl w:val="0"/>
          <w:numId w:val="7"/>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التنسيق الإعلامي</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ركزت الدراسة على الدور الإيجابي للإعلام في توحيد الجهود وزيادة الثقة العامة في عملية الإنقاذ</w:t>
      </w:r>
      <w:r w:rsidRPr="00677147">
        <w:rPr>
          <w:rFonts w:ascii="Simplified Arabic" w:eastAsia="Calibri" w:hAnsi="Simplified Arabic" w:cs="Simplified Arabic"/>
          <w:kern w:val="2"/>
          <w:sz w:val="28"/>
          <w:szCs w:val="28"/>
        </w:rPr>
        <w:t>.</w:t>
      </w:r>
    </w:p>
    <w:p w14:paraId="2A46231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وأوصت الدراسة بضرورة تعزيز التدريب على إدارة الأزمات في صناعة التعدين، وتطوير بروتوكولات موحدة لتنسيق جهود الإنقاذ في حالات الكوارث. كما دعت إلى أهمية إجراء تدريبات دورية تحاكي حوادث مماثلة لضمان الجاهزية</w:t>
      </w:r>
      <w:r w:rsidRPr="00677147">
        <w:rPr>
          <w:rFonts w:ascii="Simplified Arabic" w:eastAsia="Calibri" w:hAnsi="Simplified Arabic" w:cs="Simplified Arabic"/>
          <w:kern w:val="2"/>
          <w:sz w:val="28"/>
          <w:szCs w:val="28"/>
        </w:rPr>
        <w:t>.</w:t>
      </w:r>
    </w:p>
    <w:p w14:paraId="5FBCA39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p>
    <w:p w14:paraId="62DC8BDB"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Pr>
      </w:pPr>
      <w:r w:rsidRPr="00677147">
        <w:rPr>
          <w:rFonts w:ascii="Simplified Arabic" w:eastAsia="Calibri" w:hAnsi="Simplified Arabic" w:cs="Simplified Arabic"/>
          <w:b/>
          <w:bCs/>
          <w:kern w:val="2"/>
          <w:sz w:val="28"/>
          <w:szCs w:val="28"/>
          <w:rtl/>
        </w:rPr>
        <w:t>دراسة (عبود وزاراك، 2015)</w:t>
      </w:r>
    </w:p>
    <w:p w14:paraId="41EE2CA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عنوان الدراسة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تطبيقات علمية في جيولوجيا المناجم والاستكشاف المعدني</w:t>
      </w:r>
      <w:r w:rsidRPr="00677147">
        <w:rPr>
          <w:rFonts w:ascii="Simplified Arabic" w:eastAsia="Calibri" w:hAnsi="Simplified Arabic" w:cs="Simplified Arabic"/>
          <w:kern w:val="2"/>
          <w:sz w:val="28"/>
          <w:szCs w:val="28"/>
        </w:rPr>
        <w:br/>
      </w:r>
      <w:r w:rsidRPr="00677147">
        <w:rPr>
          <w:rFonts w:ascii="Simplified Arabic" w:eastAsia="Calibri" w:hAnsi="Simplified Arabic" w:cs="Simplified Arabic"/>
          <w:kern w:val="2"/>
          <w:sz w:val="28"/>
          <w:szCs w:val="28"/>
          <w:rtl/>
        </w:rPr>
        <w:t xml:space="preserve">هدفت الدراسة إلى دراسة التطبيقات العلمية المتقدمة في مجال استكشاف المناجم وتقييم المناطق الغنية بالموارد المعدنية، مع التركيز على تحليل الخواص الجيولوجية للأراضي المحتملة للتعدين. تطرقت الدراسة إلى تقنيات المسح الجيولوجي الحديثة، مثل الاستشعار عن بُعد وتحليل البيانات الجيوفيزيائية </w:t>
      </w:r>
      <w:proofErr w:type="spellStart"/>
      <w:r w:rsidRPr="00677147">
        <w:rPr>
          <w:rFonts w:ascii="Simplified Arabic" w:eastAsia="Calibri" w:hAnsi="Simplified Arabic" w:cs="Simplified Arabic"/>
          <w:kern w:val="2"/>
          <w:sz w:val="28"/>
          <w:szCs w:val="28"/>
          <w:rtl/>
        </w:rPr>
        <w:t>والجيوكيميائية</w:t>
      </w:r>
      <w:proofErr w:type="spellEnd"/>
    </w:p>
    <w:p w14:paraId="693398D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استند الباحثان في هذه الدراسة إلى منهج البحث العلمي التطبيقي الذي يركز على استخدام الأساليب التحليلية لتحديد المواقع المثلى للتعدين. كما تمت دراسة العوامل البيئية التي تؤثر على جدوى التعدين مثل التربة، والمياه الجوفية، والتكوينات الصخرية</w:t>
      </w:r>
      <w:r w:rsidRPr="00677147">
        <w:rPr>
          <w:rFonts w:ascii="Simplified Arabic" w:eastAsia="Calibri" w:hAnsi="Simplified Arabic" w:cs="Simplified Arabic"/>
          <w:kern w:val="2"/>
          <w:sz w:val="28"/>
          <w:szCs w:val="28"/>
        </w:rPr>
        <w:t>.</w:t>
      </w:r>
      <w:r w:rsidRPr="00677147">
        <w:rPr>
          <w:rFonts w:ascii="Simplified Arabic" w:eastAsia="Calibri" w:hAnsi="Simplified Arabic" w:cs="Simplified Arabic"/>
          <w:kern w:val="2"/>
          <w:sz w:val="28"/>
          <w:szCs w:val="28"/>
        </w:rPr>
        <w:br/>
      </w:r>
      <w:r w:rsidRPr="00677147">
        <w:rPr>
          <w:rFonts w:ascii="Simplified Arabic" w:eastAsia="Calibri" w:hAnsi="Simplified Arabic" w:cs="Simplified Arabic"/>
          <w:kern w:val="2"/>
          <w:sz w:val="28"/>
          <w:szCs w:val="28"/>
          <w:rtl/>
        </w:rPr>
        <w:t>وتوصلت الدراسة إلى النتائج التالية</w:t>
      </w:r>
      <w:r w:rsidRPr="00677147">
        <w:rPr>
          <w:rFonts w:ascii="Simplified Arabic" w:eastAsia="Calibri" w:hAnsi="Simplified Arabic" w:cs="Simplified Arabic"/>
          <w:kern w:val="2"/>
          <w:sz w:val="28"/>
          <w:szCs w:val="28"/>
        </w:rPr>
        <w:t>:</w:t>
      </w:r>
    </w:p>
    <w:p w14:paraId="7B7B8DAD" w14:textId="77777777" w:rsidR="00677147" w:rsidRPr="00677147" w:rsidRDefault="00677147" w:rsidP="00677147">
      <w:pPr>
        <w:numPr>
          <w:ilvl w:val="0"/>
          <w:numId w:val="8"/>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تحديد المواقع المثالية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باستخدام تقنيات التحليل الجيولوجي المتقدمة، تم تحديد المناطق ذات الإمكانيات العالية للتعدين بدقة أكبر</w:t>
      </w:r>
      <w:r w:rsidRPr="00677147">
        <w:rPr>
          <w:rFonts w:ascii="Simplified Arabic" w:eastAsia="Calibri" w:hAnsi="Simplified Arabic" w:cs="Simplified Arabic"/>
          <w:kern w:val="2"/>
          <w:sz w:val="28"/>
          <w:szCs w:val="28"/>
        </w:rPr>
        <w:t>.</w:t>
      </w:r>
    </w:p>
    <w:p w14:paraId="4DF725AD" w14:textId="77777777" w:rsidR="00677147" w:rsidRPr="00677147" w:rsidRDefault="00677147" w:rsidP="00677147">
      <w:pPr>
        <w:numPr>
          <w:ilvl w:val="0"/>
          <w:numId w:val="8"/>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lastRenderedPageBreak/>
        <w:t>التقليل من المخاطر</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أظهرت الدراسة أن استخدام تقنيات التحليل البيئي يسهم في تقليل المخاطر البيئية المرتبطة بأنشطة التعدين</w:t>
      </w:r>
      <w:r w:rsidRPr="00677147">
        <w:rPr>
          <w:rFonts w:ascii="Simplified Arabic" w:eastAsia="Calibri" w:hAnsi="Simplified Arabic" w:cs="Simplified Arabic"/>
          <w:kern w:val="2"/>
          <w:sz w:val="28"/>
          <w:szCs w:val="28"/>
        </w:rPr>
        <w:t>.</w:t>
      </w:r>
    </w:p>
    <w:p w14:paraId="1D6D3332" w14:textId="77777777" w:rsidR="00677147" w:rsidRPr="00677147" w:rsidRDefault="00677147" w:rsidP="00677147">
      <w:pPr>
        <w:numPr>
          <w:ilvl w:val="0"/>
          <w:numId w:val="8"/>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الجدوى الاقتصادية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بيّنت الدراسة أن الاستثمار في التكنولوجيا الحديثة يؤدي إلى زيادة الكفاءة الاقتصادية وتقليل تكاليف الاستكشاف</w:t>
      </w:r>
      <w:r w:rsidRPr="00677147">
        <w:rPr>
          <w:rFonts w:ascii="Simplified Arabic" w:eastAsia="Calibri" w:hAnsi="Simplified Arabic" w:cs="Simplified Arabic"/>
          <w:kern w:val="2"/>
          <w:sz w:val="28"/>
          <w:szCs w:val="28"/>
        </w:rPr>
        <w:t>.</w:t>
      </w:r>
    </w:p>
    <w:p w14:paraId="0151B45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وأوصت الدراسة بضرورة تبني أساليب المسح المتقدمة في عمليات التنقيب والتعدين لتعزيز الكفاءة وتقليل المخاطر البيئية. كما أكدت على أهمية تدريب الكوادر البشرية على استخدام التقنيات الحديثة لضمان سلامة العمليات</w:t>
      </w:r>
      <w:r w:rsidRPr="00677147">
        <w:rPr>
          <w:rFonts w:ascii="Simplified Arabic" w:eastAsia="Calibri" w:hAnsi="Simplified Arabic" w:cs="Simplified Arabic"/>
          <w:kern w:val="2"/>
          <w:sz w:val="28"/>
          <w:szCs w:val="28"/>
        </w:rPr>
        <w:t>.</w:t>
      </w:r>
    </w:p>
    <w:p w14:paraId="3681649F"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Pr>
      </w:pPr>
      <w:r w:rsidRPr="00677147">
        <w:rPr>
          <w:rFonts w:ascii="Simplified Arabic" w:eastAsia="Calibri" w:hAnsi="Simplified Arabic" w:cs="Simplified Arabic"/>
          <w:b/>
          <w:bCs/>
          <w:kern w:val="2"/>
          <w:sz w:val="28"/>
          <w:szCs w:val="28"/>
          <w:rtl/>
        </w:rPr>
        <w:t>دراسة (محمد، 2008)</w:t>
      </w:r>
    </w:p>
    <w:p w14:paraId="1CFE05E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عنوان الدراسة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الآثار البيئية والاقتصادية لبعض المخلفات الصناعية: دراسة مقارنة في السودان ومصر</w:t>
      </w:r>
    </w:p>
    <w:p w14:paraId="583426B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هدفت الدراسة إلى تحليل الآثار البيئية الناتجة عن المخلفات الصناعية في دولتي السودان ومصر، مع تسليط الضوء على التحديات البيئية والاقتصادية التي تنجم عن تراكم هذه المخلفات</w:t>
      </w:r>
      <w:r w:rsidRPr="00677147">
        <w:rPr>
          <w:rFonts w:ascii="Simplified Arabic" w:eastAsia="Calibri" w:hAnsi="Simplified Arabic" w:cs="Simplified Arabic"/>
          <w:kern w:val="2"/>
          <w:sz w:val="28"/>
          <w:szCs w:val="28"/>
        </w:rPr>
        <w:t>.</w:t>
      </w:r>
    </w:p>
    <w:p w14:paraId="63BDE0C4"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اعتمد الباحث في هذه الدراسة على المنهج الوصفي التحليلي، حيث قام بجمع البيانات من تقارير بيئية ودراسات حكومية، بالإضافة إلى إجراء مقابلات مع خبراء في مجالات البيئة والاقتصاد</w:t>
      </w:r>
      <w:r w:rsidRPr="00677147">
        <w:rPr>
          <w:rFonts w:ascii="Simplified Arabic" w:eastAsia="Calibri" w:hAnsi="Simplified Arabic" w:cs="Simplified Arabic"/>
          <w:kern w:val="2"/>
          <w:sz w:val="28"/>
          <w:szCs w:val="28"/>
        </w:rPr>
        <w:t>.</w:t>
      </w:r>
    </w:p>
    <w:p w14:paraId="0664B87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وتوصلت الدراسة إلى ما يلي</w:t>
      </w:r>
      <w:r w:rsidRPr="00677147">
        <w:rPr>
          <w:rFonts w:ascii="Simplified Arabic" w:eastAsia="Calibri" w:hAnsi="Simplified Arabic" w:cs="Simplified Arabic"/>
          <w:kern w:val="2"/>
          <w:sz w:val="28"/>
          <w:szCs w:val="28"/>
        </w:rPr>
        <w:t>:</w:t>
      </w:r>
    </w:p>
    <w:p w14:paraId="6104767B" w14:textId="77777777" w:rsidR="00677147" w:rsidRPr="00677147" w:rsidRDefault="00677147" w:rsidP="00677147">
      <w:pPr>
        <w:numPr>
          <w:ilvl w:val="0"/>
          <w:numId w:val="9"/>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التأثير البيئي</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أكدت الدراسة أن تراكم المخلفات الصناعية يؤدي إلى تلوث التربة والمياه، مما يؤثر بشكل مباشر على الزراعة وصحة الإنسان</w:t>
      </w:r>
      <w:r w:rsidRPr="00677147">
        <w:rPr>
          <w:rFonts w:ascii="Simplified Arabic" w:eastAsia="Calibri" w:hAnsi="Simplified Arabic" w:cs="Simplified Arabic"/>
          <w:kern w:val="2"/>
          <w:sz w:val="28"/>
          <w:szCs w:val="28"/>
        </w:rPr>
        <w:t>.</w:t>
      </w:r>
    </w:p>
    <w:p w14:paraId="034225B4" w14:textId="77777777" w:rsidR="00677147" w:rsidRPr="00677147" w:rsidRDefault="00677147" w:rsidP="00677147">
      <w:pPr>
        <w:numPr>
          <w:ilvl w:val="0"/>
          <w:numId w:val="9"/>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lastRenderedPageBreak/>
        <w:t>التكلفة الاقتصادية</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بينت الدراسة أن تكاليف معالجة المخلفات وإعادة تدويرها تتجاوز بكثير تكاليف الوقاية الأولية</w:t>
      </w:r>
      <w:r w:rsidRPr="00677147">
        <w:rPr>
          <w:rFonts w:ascii="Simplified Arabic" w:eastAsia="Calibri" w:hAnsi="Simplified Arabic" w:cs="Simplified Arabic"/>
          <w:kern w:val="2"/>
          <w:sz w:val="28"/>
          <w:szCs w:val="28"/>
        </w:rPr>
        <w:t>.</w:t>
      </w:r>
    </w:p>
    <w:p w14:paraId="1BAD15C7" w14:textId="77777777" w:rsidR="00677147" w:rsidRPr="00677147" w:rsidRDefault="00677147" w:rsidP="00677147">
      <w:pPr>
        <w:numPr>
          <w:ilvl w:val="0"/>
          <w:numId w:val="9"/>
        </w:numPr>
        <w:tabs>
          <w:tab w:val="num" w:pos="720"/>
        </w:tabs>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التباين في السياسات</w:t>
      </w:r>
      <w:r w:rsidRPr="00677147">
        <w:rPr>
          <w:rFonts w:ascii="Simplified Arabic" w:eastAsia="Calibri" w:hAnsi="Simplified Arabic" w:cs="Simplified Arabic"/>
          <w:kern w:val="2"/>
          <w:sz w:val="28"/>
          <w:szCs w:val="28"/>
        </w:rPr>
        <w:t xml:space="preserve">: </w:t>
      </w:r>
      <w:r w:rsidRPr="00677147">
        <w:rPr>
          <w:rFonts w:ascii="Simplified Arabic" w:eastAsia="Calibri" w:hAnsi="Simplified Arabic" w:cs="Simplified Arabic"/>
          <w:kern w:val="2"/>
          <w:sz w:val="28"/>
          <w:szCs w:val="28"/>
          <w:rtl/>
        </w:rPr>
        <w:t>أوضحت الدراسة وجود اختلافات كبيرة بين سياسات السودان ومصر في التعامل مع المخلفات الصناعية، حيث تفتقر بعض المناطق إلى خطط واضحة لإدارة النفايات</w:t>
      </w:r>
      <w:r w:rsidRPr="00677147">
        <w:rPr>
          <w:rFonts w:ascii="Simplified Arabic" w:eastAsia="Calibri" w:hAnsi="Simplified Arabic" w:cs="Simplified Arabic"/>
          <w:kern w:val="2"/>
          <w:sz w:val="28"/>
          <w:szCs w:val="28"/>
        </w:rPr>
        <w:t>.</w:t>
      </w:r>
    </w:p>
    <w:p w14:paraId="5A292D4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وأوصت الدراسة بضرورة تبني استراتيجيات أكثر فعالية في التعامل مع المخلفات الصناعية من خلال تحسين البنية التحتية وتطبيق تقنيات حديثة لمعالجة النفايات. كما أكدت على أهمية التعاون بين الدولتين لتبادل الخبرات وتعزيز القدرات المحلية في مجال إدارة المخلفات</w:t>
      </w:r>
      <w:r w:rsidRPr="00677147">
        <w:rPr>
          <w:rFonts w:ascii="Simplified Arabic" w:eastAsia="Calibri" w:hAnsi="Simplified Arabic" w:cs="Simplified Arabic"/>
          <w:kern w:val="2"/>
          <w:sz w:val="28"/>
          <w:szCs w:val="28"/>
        </w:rPr>
        <w:t>.</w:t>
      </w:r>
    </w:p>
    <w:p w14:paraId="78BB50FD"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u w:val="single"/>
          <w:rtl/>
        </w:rPr>
      </w:pPr>
      <w:r w:rsidRPr="00677147">
        <w:rPr>
          <w:rFonts w:ascii="Simplified Arabic" w:eastAsia="Calibri" w:hAnsi="Simplified Arabic" w:cs="Simplified Arabic"/>
          <w:b/>
          <w:bCs/>
          <w:kern w:val="2"/>
          <w:sz w:val="28"/>
          <w:szCs w:val="28"/>
          <w:u w:val="single"/>
          <w:rtl/>
        </w:rPr>
        <w:t>التعقيب على الدراسات السابقة</w:t>
      </w:r>
    </w:p>
    <w:p w14:paraId="451EE35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على الرغم من قيمة الدراسات السابقة في استعراض متغيرات الدراسة الحالية إلا أنها لم تتطرق الى تسليط الضوء على التعدين ووسائل الأمان في مناجم النحاس في المنطقة الغربية في المملكة العربية السعودية وهو ما يمثل فجوة بين مما يستلزم المزيد من البحث والدراسة عنها  وهو ما سيتناوله الباحث لمحاولة سد هذه الفجوة  .</w:t>
      </w:r>
    </w:p>
    <w:p w14:paraId="4D042399" w14:textId="77777777" w:rsidR="00677147" w:rsidRPr="00677147" w:rsidRDefault="00677147" w:rsidP="00677147">
      <w:pPr>
        <w:spacing w:after="160" w:line="288" w:lineRule="auto"/>
        <w:jc w:val="mediumKashida"/>
        <w:outlineLvl w:val="1"/>
        <w:rPr>
          <w:rFonts w:ascii="Simplified Arabic" w:eastAsia="Calibri" w:hAnsi="Simplified Arabic" w:cs="(AH) Manal Black"/>
          <w:kern w:val="2"/>
          <w:sz w:val="32"/>
          <w:szCs w:val="32"/>
          <w:u w:val="single"/>
          <w:rtl/>
        </w:rPr>
      </w:pPr>
      <w:bookmarkStart w:id="15" w:name="_Toc192862030"/>
      <w:r w:rsidRPr="00677147">
        <w:rPr>
          <w:rFonts w:ascii="Simplified Arabic" w:eastAsia="Calibri" w:hAnsi="Simplified Arabic" w:cs="(AH) Manal Black" w:hint="cs"/>
          <w:kern w:val="2"/>
          <w:sz w:val="32"/>
          <w:szCs w:val="32"/>
          <w:u w:val="single"/>
          <w:rtl/>
        </w:rPr>
        <w:t>ثانيا: الإطار النظري</w:t>
      </w:r>
      <w:bookmarkEnd w:id="15"/>
    </w:p>
    <w:p w14:paraId="32D677C1"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16" w:name="_Hlk192254532"/>
      <w:r w:rsidRPr="00677147">
        <w:rPr>
          <w:rFonts w:ascii="Simplified Arabic" w:eastAsia="Calibri" w:hAnsi="Simplified Arabic" w:cs="(AH) Manal Black" w:hint="cs"/>
          <w:kern w:val="2"/>
          <w:sz w:val="32"/>
          <w:szCs w:val="32"/>
          <w:u w:val="single"/>
          <w:rtl/>
        </w:rPr>
        <w:t xml:space="preserve"> </w:t>
      </w:r>
      <w:bookmarkStart w:id="17" w:name="_Toc192862031"/>
      <w:r w:rsidRPr="00677147">
        <w:rPr>
          <w:rFonts w:ascii="Simplified Arabic" w:eastAsia="Calibri" w:hAnsi="Simplified Arabic" w:cs="(AH) Manal Black"/>
          <w:kern w:val="2"/>
          <w:sz w:val="32"/>
          <w:szCs w:val="32"/>
          <w:u w:val="single"/>
          <w:rtl/>
        </w:rPr>
        <w:t>القوانين والأنظمة ذات العلاقة بالمناجم:</w:t>
      </w:r>
      <w:bookmarkEnd w:id="17"/>
    </w:p>
    <w:p w14:paraId="68BCF26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إذا ما تم تسليط الضوء على الأنظمة والقوانين المتبعة في المناجم، فهنالك عدة مستويات من هذه الأنظمة في كل دولة حسب طبيعتها وموقعها الجغرافي، وإدراجها تحت القوانين والاتفاقات الدولية والإقليمية، فمن هذه المستويات ما يلي: </w:t>
      </w:r>
    </w:p>
    <w:p w14:paraId="33ACBB67"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القوانين والأنظمة الداخلية:</w:t>
      </w:r>
    </w:p>
    <w:p w14:paraId="049E31A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وهي عبارة عن القوانين التي تسنها الدول لإدارة ومتابعة والاشراف على المناجم التابعة لها أو الواقعة داخل أراضيها. ففي المملكة العربيّة السعودية، تم إصدار قانون نظام الاستثمار التعديني بتاريخ 1425ه، والتي حدّدت فيه الجهات المشرفة على نشاط التعدين وطبيعة رخص أعمال التعدين بأنواعها، وأحكامها وشروطها (وزارة الطاقة والصناعة والثروة المعدنية السعودية، قرار رقم 216). وأيضاً في المملكة العربية السعودية، تم اعتماد لائحة ادارة السلامة والصحة المهنية الأخيرة في المنشآت ومن ضمنها المناجم بموجب قرار تم اصداره من وزير العمل والتنمية الاجتماعية بتاريخ 1439/10/17هـ (وزارة العمل والتنمية الاجتماعية).</w:t>
      </w:r>
    </w:p>
    <w:p w14:paraId="43E4190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وفي اليمن تم إصدار قانون رقم (22) لسنة 2010 والذي يهدف إلى تنظيم عمليات الاستطلاع والاستكشاف والتعدين واستخراج خامات المحاجر والتعدين الحرفي على نحو يتفق مع الإدارة البيئية السليمة (وزارة النفط والمعادن اليمنية، 2010).</w:t>
      </w:r>
    </w:p>
    <w:p w14:paraId="20A10C5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كما أصدرت الجزائر قانون المناجم رقم (14-05) لسنة 2014 في تعريف الوكالات المنجميّة الوطنيّة، وطبيعة عملها والقوانين التي تسري عليها، ونظم الرقابة الإدارية والتقنية على جميع النشاطات المنجميّة والتعدينية، والتدابير اللازمة للوقاية من الأخطار المنجميّة (وزارة الطاقة والمناجم الجزائرية، 2014). </w:t>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 xml:space="preserve">تعتبر أستراليا من أكبر منتجي المواد المعدنية المستخرجة من المناجم، ولدى أستراليا نشاطات تعدينية في جميع ولاياتها وأقاليمها، خصوصاً مناجم الذهب، وبسبب هذه الأنشطة المتزايدة، فقد عانت الدولة من الكثير من حوادث وكوارث في المناجم طيلة السنوات السابقة، لذا سنّت كل مقاطعة في استراليا تشريعات محددة لتوفير إطار قانوني وإداري وتنظيمي لهذا القطاع والعاملين فيه (2010 </w:t>
      </w:r>
      <w:proofErr w:type="gramStart"/>
      <w:r w:rsidRPr="00677147">
        <w:rPr>
          <w:rFonts w:ascii="Simplified Arabic" w:eastAsia="Calibri" w:hAnsi="Simplified Arabic" w:cs="Simplified Arabic"/>
          <w:kern w:val="2"/>
          <w:sz w:val="28"/>
          <w:szCs w:val="28"/>
          <w:rtl/>
        </w:rPr>
        <w:t>,.</w:t>
      </w:r>
      <w:r w:rsidRPr="00677147">
        <w:rPr>
          <w:rFonts w:ascii="Simplified Arabic" w:eastAsia="Calibri" w:hAnsi="Simplified Arabic" w:cs="Simplified Arabic"/>
          <w:kern w:val="2"/>
          <w:sz w:val="28"/>
          <w:szCs w:val="28"/>
        </w:rPr>
        <w:t>Franks</w:t>
      </w:r>
      <w:proofErr w:type="gramEnd"/>
      <w:r w:rsidRPr="00677147">
        <w:rPr>
          <w:rFonts w:ascii="Simplified Arabic" w:eastAsia="Calibri" w:hAnsi="Simplified Arabic" w:cs="Simplified Arabic"/>
          <w:kern w:val="2"/>
          <w:sz w:val="28"/>
          <w:szCs w:val="28"/>
        </w:rPr>
        <w:t xml:space="preserve"> et al</w:t>
      </w:r>
      <w:r w:rsidRPr="00677147">
        <w:rPr>
          <w:rFonts w:ascii="Simplified Arabic" w:eastAsia="Calibri" w:hAnsi="Simplified Arabic" w:cs="Simplified Arabic"/>
          <w:kern w:val="2"/>
          <w:sz w:val="28"/>
          <w:szCs w:val="28"/>
          <w:rtl/>
        </w:rPr>
        <w:t>).</w:t>
      </w:r>
    </w:p>
    <w:p w14:paraId="5D62530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 xml:space="preserve">في تشيلي، وهي الدولة محل الدراسة، أشار قانون التعدين لعام 2007 إلى ضرورة اتخاذ احتياطات السلامة العامة أثناء العمل في المناجم، مثل تدريب العاملين على استخدام </w:t>
      </w:r>
      <w:r w:rsidRPr="00677147">
        <w:rPr>
          <w:rFonts w:ascii="Simplified Arabic" w:eastAsia="Calibri" w:hAnsi="Simplified Arabic" w:cs="Simplified Arabic"/>
          <w:kern w:val="2"/>
          <w:sz w:val="28"/>
          <w:szCs w:val="28"/>
          <w:rtl/>
        </w:rPr>
        <w:lastRenderedPageBreak/>
        <w:t>الآليات الخاصة في الحفر والتنقيب في المناجم، وإعلامهم بالمخاطر المتوقعة أثناء العمل وكيفية التعامل معها في حال وقوعها، وضرورة استخدام الملابس الواقية وتوفير العلاجات الأولية في حال إصابة أحد العمال (2014 ,</w:t>
      </w:r>
      <w:r w:rsidRPr="00677147">
        <w:rPr>
          <w:rFonts w:ascii="Simplified Arabic" w:eastAsia="Calibri" w:hAnsi="Simplified Arabic" w:cs="Simplified Arabic"/>
          <w:kern w:val="2"/>
          <w:sz w:val="28"/>
          <w:szCs w:val="28"/>
        </w:rPr>
        <w:t>Neito &amp; Urrutia</w:t>
      </w:r>
      <w:r w:rsidRPr="00677147">
        <w:rPr>
          <w:rFonts w:ascii="Simplified Arabic" w:eastAsia="Calibri" w:hAnsi="Simplified Arabic" w:cs="Simplified Arabic"/>
          <w:kern w:val="2"/>
          <w:sz w:val="28"/>
          <w:szCs w:val="28"/>
          <w:rtl/>
        </w:rPr>
        <w:t>).</w:t>
      </w:r>
    </w:p>
    <w:p w14:paraId="2018C21C"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القوانين والأنظمة الدولية:</w:t>
      </w:r>
    </w:p>
    <w:p w14:paraId="70DB825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هي اتفاقيات دولية في مجالات مختلفة، بل أن هذه الاتفاقات قد تمتد لتصبح الدولة عضواً في أحد المنظمات الدولية التي تقوم بسن وتوحيد القوانين التي تصب في مصلحة الجميع وتقوم بتوحيد المتطلبات والمفاهيم. فمن هذه المنظمات الدولية، منظمة العمل الدولية التابعة للأمم المتحدة، ومجموعة البنك الدولي. وأقرت منظمة العمل الدولية العديد من القوانين والإرشادات المتعلقة بالعمل في المناجم، وأحدها التقرير الدولي في السلامة والصحة في المناجم عام 1994، والذي يجب أن يسري على الدول الأعضاء المتقدمة والنامية على حد سواء، وقام التقرير باستعراض التكنولوجيات السريعة التي يمر بها قطاع التعدين، وطبيعة الأخطار والمشاكل </w:t>
      </w:r>
      <w:bookmarkEnd w:id="16"/>
      <w:r w:rsidRPr="00677147">
        <w:rPr>
          <w:rFonts w:ascii="Simplified Arabic" w:eastAsia="Calibri" w:hAnsi="Simplified Arabic" w:cs="Simplified Arabic"/>
          <w:kern w:val="2"/>
          <w:sz w:val="28"/>
          <w:szCs w:val="28"/>
          <w:rtl/>
        </w:rPr>
        <w:t>البيئية المعقّدة التي يتعرض لها العمال في المناجم، وطرح مجموعة من التوصيات التي يجب اتخاذها للحد من هذه المشاكل (منظمة العمل الدولية، 1994).</w:t>
      </w:r>
    </w:p>
    <w:p w14:paraId="3024191A"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18" w:name="_Toc192862032"/>
      <w:r w:rsidRPr="00677147">
        <w:rPr>
          <w:rFonts w:ascii="Simplified Arabic" w:eastAsia="Calibri" w:hAnsi="Simplified Arabic" w:cs="(AH) Manal Black"/>
          <w:kern w:val="2"/>
          <w:sz w:val="32"/>
          <w:szCs w:val="32"/>
          <w:u w:val="single"/>
          <w:rtl/>
        </w:rPr>
        <w:t>أثر حوادث المناجم التي حدثت في أنحاء متفرقة في العالم:</w:t>
      </w:r>
      <w:bookmarkEnd w:id="18"/>
    </w:p>
    <w:p w14:paraId="73E3B7A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تكررت حوادث المناجم في العالم في أزمنة عديدة مختلفة ومناجم مختلفة في دول العالم، فمن حادثة سان خوسيه في تشيلي إلى حادثة صوما في تركيا إلى حوادث في دول متعددة نذكرها على سبيل المثال لا الحصر مثل بورما ونيوزيلاندا وسورينام والصين والولايات المتحدة الأمريكية وكولومبيا وغيرها من الدول. هدفت دراسة (2011 ,</w:t>
      </w:r>
      <w:r w:rsidRPr="00677147">
        <w:rPr>
          <w:rFonts w:ascii="Simplified Arabic" w:eastAsia="Calibri" w:hAnsi="Simplified Arabic" w:cs="Simplified Arabic"/>
          <w:kern w:val="2"/>
          <w:sz w:val="28"/>
          <w:szCs w:val="28"/>
        </w:rPr>
        <w:t>Wei</w:t>
      </w:r>
      <w:r w:rsidRPr="00677147">
        <w:rPr>
          <w:rFonts w:ascii="Simplified Arabic" w:eastAsia="Calibri" w:hAnsi="Simplified Arabic" w:cs="Simplified Arabic"/>
          <w:kern w:val="2"/>
          <w:sz w:val="28"/>
          <w:szCs w:val="28"/>
          <w:rtl/>
        </w:rPr>
        <w:t xml:space="preserve">) إلى المقارنة بين طبيعة حوادث مناجم الفحم التي وقعت في كل من الصين والولايات المتحدة في الفترة بين (2000-2009)، حيث أشار الباحث إلى أنه على الرغم من أن الصين والولايات المتحدة من كبرى الدول في إنتاج الفحم، على الرغم من أن الإدارة الصينية لسلامة مناجم </w:t>
      </w:r>
      <w:r w:rsidRPr="00677147">
        <w:rPr>
          <w:rFonts w:ascii="Simplified Arabic" w:eastAsia="Calibri" w:hAnsi="Simplified Arabic" w:cs="Simplified Arabic"/>
          <w:kern w:val="2"/>
          <w:sz w:val="28"/>
          <w:szCs w:val="28"/>
          <w:rtl/>
        </w:rPr>
        <w:lastRenderedPageBreak/>
        <w:t>الفحم تعمل على تعزيز إدارة السلامة الشاملة عن طريق التقدم العلمي والتكنولوجي، وفي الوقت نفسه تعزز السلامة والتدريب التقني، وتنفذ مختلف أشكال أنشطة الدعاية للسلامة، إلا أن عدد الحوادث وعدد القتلى ومعدل الوفيات لكل مليون طن كانت أعلى بكثير في الصين من الولايات المتحدة في السنوات الأخيرة. ووضع الباحث بعض التوصيات منها ضرورة أن تستفيد الحكومة الصينية من الخبرة الإدارية الأمريكية لحوادث المناجم، وينبغي أن تعزز الحكومة الصينية تشريعات السلامة في مناجم الفحم لضمان سلامة حياة العمال.</w:t>
      </w:r>
    </w:p>
    <w:p w14:paraId="0209B79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hint="cs"/>
          <w:kern w:val="2"/>
          <w:sz w:val="28"/>
          <w:szCs w:val="28"/>
          <w:rtl/>
        </w:rPr>
        <w:t xml:space="preserve">كما </w:t>
      </w:r>
      <w:r w:rsidRPr="00677147">
        <w:rPr>
          <w:rFonts w:ascii="Simplified Arabic" w:eastAsia="Calibri" w:hAnsi="Simplified Arabic" w:cs="Simplified Arabic"/>
          <w:kern w:val="2"/>
          <w:sz w:val="28"/>
          <w:szCs w:val="28"/>
          <w:rtl/>
        </w:rPr>
        <w:t xml:space="preserve">انه في عام </w:t>
      </w:r>
      <w:r w:rsidRPr="00677147">
        <w:rPr>
          <w:rFonts w:ascii="Simplified Arabic" w:eastAsia="Calibri" w:hAnsi="Simplified Arabic" w:cs="Simplified Arabic"/>
          <w:kern w:val="2"/>
          <w:sz w:val="28"/>
          <w:szCs w:val="28"/>
        </w:rPr>
        <w:t xml:space="preserve"> 2023</w:t>
      </w:r>
      <w:r w:rsidRPr="00677147">
        <w:rPr>
          <w:rFonts w:ascii="Simplified Arabic" w:eastAsia="Calibri" w:hAnsi="Simplified Arabic" w:cs="Simplified Arabic"/>
          <w:kern w:val="2"/>
          <w:sz w:val="28"/>
          <w:szCs w:val="28"/>
          <w:rtl/>
        </w:rPr>
        <w:t xml:space="preserve">حدثت  وفاة لشخصين من عمال مناجم النحاس في  المملكة العربية </w:t>
      </w:r>
      <w:r w:rsidRPr="00677147">
        <w:rPr>
          <w:rFonts w:ascii="Simplified Arabic" w:eastAsia="Calibri" w:hAnsi="Simplified Arabic" w:cs="Simplified Arabic" w:hint="cs"/>
          <w:kern w:val="2"/>
          <w:sz w:val="28"/>
          <w:szCs w:val="28"/>
          <w:rtl/>
        </w:rPr>
        <w:t>السعودية</w:t>
      </w:r>
      <w:r w:rsidRPr="00677147">
        <w:rPr>
          <w:rFonts w:ascii="Simplified Arabic" w:eastAsia="Calibri" w:hAnsi="Simplified Arabic" w:cs="Simplified Arabic"/>
          <w:kern w:val="2"/>
          <w:sz w:val="28"/>
          <w:szCs w:val="28"/>
          <w:rtl/>
        </w:rPr>
        <w:t xml:space="preserve"> والسبب كان في اعطال بالمعدة تسببت بقتل اثنين من فنين المنجم</w:t>
      </w:r>
      <w:r w:rsidRPr="00677147">
        <w:rPr>
          <w:rFonts w:ascii="Simplified Arabic" w:eastAsia="Calibri" w:hAnsi="Simplified Arabic" w:cs="Simplified Arabic" w:hint="cs"/>
          <w:kern w:val="2"/>
          <w:sz w:val="28"/>
          <w:szCs w:val="28"/>
          <w:rtl/>
        </w:rPr>
        <w:t>.</w:t>
      </w:r>
    </w:p>
    <w:p w14:paraId="49D51CF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وبسبب تزايد معدل كوارث المناجم في إسبانيا، هدفت دراسة (2010 </w:t>
      </w:r>
      <w:proofErr w:type="gramStart"/>
      <w:r w:rsidRPr="00677147">
        <w:rPr>
          <w:rFonts w:ascii="Simplified Arabic" w:eastAsia="Calibri" w:hAnsi="Simplified Arabic" w:cs="Simplified Arabic"/>
          <w:kern w:val="2"/>
          <w:sz w:val="28"/>
          <w:szCs w:val="28"/>
          <w:rtl/>
        </w:rPr>
        <w:t>,.</w:t>
      </w:r>
      <w:proofErr w:type="spellStart"/>
      <w:r w:rsidRPr="00677147">
        <w:rPr>
          <w:rFonts w:ascii="Simplified Arabic" w:eastAsia="Calibri" w:hAnsi="Simplified Arabic" w:cs="Simplified Arabic"/>
          <w:kern w:val="2"/>
          <w:sz w:val="28"/>
          <w:szCs w:val="28"/>
        </w:rPr>
        <w:t>Sanmiquel</w:t>
      </w:r>
      <w:proofErr w:type="spellEnd"/>
      <w:proofErr w:type="gramEnd"/>
      <w:r w:rsidRPr="00677147">
        <w:rPr>
          <w:rFonts w:ascii="Simplified Arabic" w:eastAsia="Calibri" w:hAnsi="Simplified Arabic" w:cs="Simplified Arabic"/>
          <w:kern w:val="2"/>
          <w:sz w:val="28"/>
          <w:szCs w:val="28"/>
        </w:rPr>
        <w:t xml:space="preserve"> et al</w:t>
      </w:r>
      <w:r w:rsidRPr="00677147">
        <w:rPr>
          <w:rFonts w:ascii="Simplified Arabic" w:eastAsia="Calibri" w:hAnsi="Simplified Arabic" w:cs="Simplified Arabic"/>
          <w:kern w:val="2"/>
          <w:sz w:val="28"/>
          <w:szCs w:val="28"/>
          <w:rtl/>
        </w:rPr>
        <w:t xml:space="preserve">) إلى وضع تقرير عن الحوادث الخطيرة والمميتة في قطاع المناجم في إسبانيا بين عام (1982-2006)، ويستند التقرير على وقوع 212 حادثة مناجم (خطيرة أو مميتة) نفذتها الإدارة العامة للطاقة والتعدين في </w:t>
      </w:r>
      <w:proofErr w:type="spellStart"/>
      <w:r w:rsidRPr="00677147">
        <w:rPr>
          <w:rFonts w:ascii="Simplified Arabic" w:eastAsia="Calibri" w:hAnsi="Simplified Arabic" w:cs="Simplified Arabic"/>
          <w:kern w:val="2"/>
          <w:sz w:val="28"/>
          <w:szCs w:val="28"/>
          <w:rtl/>
        </w:rPr>
        <w:t>كاتالونيا</w:t>
      </w:r>
      <w:proofErr w:type="spellEnd"/>
      <w:r w:rsidRPr="00677147">
        <w:rPr>
          <w:rFonts w:ascii="Simplified Arabic" w:eastAsia="Calibri" w:hAnsi="Simplified Arabic" w:cs="Simplified Arabic"/>
          <w:kern w:val="2"/>
          <w:sz w:val="28"/>
          <w:szCs w:val="28"/>
          <w:rtl/>
        </w:rPr>
        <w:t xml:space="preserve"> (إسبانيا). اعتمدت الدراسة على أسلوب فاير </w:t>
      </w:r>
      <w:proofErr w:type="spellStart"/>
      <w:r w:rsidRPr="00677147">
        <w:rPr>
          <w:rFonts w:ascii="Simplified Arabic" w:eastAsia="Calibri" w:hAnsi="Simplified Arabic" w:cs="Simplified Arabic"/>
          <w:kern w:val="2"/>
          <w:sz w:val="28"/>
          <w:szCs w:val="28"/>
          <w:rtl/>
        </w:rPr>
        <w:t>ووليامسون</w:t>
      </w:r>
      <w:proofErr w:type="spellEnd"/>
      <w:r w:rsidRPr="00677147">
        <w:rPr>
          <w:rFonts w:ascii="Simplified Arabic" w:eastAsia="Calibri" w:hAnsi="Simplified Arabic" w:cs="Simplified Arabic"/>
          <w:kern w:val="2"/>
          <w:sz w:val="28"/>
          <w:szCs w:val="28"/>
          <w:rtl/>
        </w:rPr>
        <w:t xml:space="preserve"> (</w:t>
      </w:r>
      <w:proofErr w:type="spellStart"/>
      <w:r w:rsidRPr="00677147">
        <w:rPr>
          <w:rFonts w:ascii="Simplified Arabic" w:eastAsia="Calibri" w:hAnsi="Simplified Arabic" w:cs="Simplified Arabic"/>
          <w:kern w:val="2"/>
          <w:sz w:val="28"/>
          <w:szCs w:val="28"/>
        </w:rPr>
        <w:t>Feyer</w:t>
      </w:r>
      <w:proofErr w:type="spellEnd"/>
      <w:r w:rsidRPr="00677147">
        <w:rPr>
          <w:rFonts w:ascii="Simplified Arabic" w:eastAsia="Calibri" w:hAnsi="Simplified Arabic" w:cs="Simplified Arabic"/>
          <w:kern w:val="2"/>
          <w:sz w:val="28"/>
          <w:szCs w:val="28"/>
        </w:rPr>
        <w:t xml:space="preserve"> and Williamson</w:t>
      </w:r>
      <w:r w:rsidRPr="00677147">
        <w:rPr>
          <w:rFonts w:ascii="Simplified Arabic" w:eastAsia="Calibri" w:hAnsi="Simplified Arabic" w:cs="Simplified Arabic"/>
          <w:kern w:val="2"/>
          <w:sz w:val="28"/>
          <w:szCs w:val="28"/>
          <w:rtl/>
        </w:rPr>
        <w:t xml:space="preserve">) لتحليل أسباب الحوادث. وأشارت النتائج إلى أن أسباب الكوارث في المناجم حصلت لعدة أسباب منها أسباب بيئية في التعدين السطحي والتحت سطحي، وعدم ملاءمة ظروف مكان العمل، بالإضافة إلى الأخطاء البشرية بسبب قلة الخبرات والتدريب لدى العمال. </w:t>
      </w:r>
    </w:p>
    <w:p w14:paraId="0FC4BB93"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19" w:name="_Toc192862033"/>
      <w:r w:rsidRPr="00677147">
        <w:rPr>
          <w:rFonts w:ascii="Simplified Arabic" w:eastAsia="Calibri" w:hAnsi="Simplified Arabic" w:cs="(AH) Manal Black"/>
          <w:kern w:val="2"/>
          <w:sz w:val="32"/>
          <w:szCs w:val="32"/>
          <w:u w:val="single"/>
          <w:rtl/>
        </w:rPr>
        <w:t>إدارة الأزمات والكوارث:</w:t>
      </w:r>
      <w:bookmarkEnd w:id="19"/>
    </w:p>
    <w:p w14:paraId="095CB55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تعد الهيئة العليا للأمن الصناعي أحد قطاعات وزارة الداخلية في المملكة العربية السعودية هي الجهة المسؤولة على الاشراف على الأمن والسلامة في عدة قطاعات منها قطاع </w:t>
      </w:r>
      <w:proofErr w:type="spellStart"/>
      <w:r w:rsidRPr="00677147">
        <w:rPr>
          <w:rFonts w:ascii="Simplified Arabic" w:eastAsia="Calibri" w:hAnsi="Simplified Arabic" w:cs="Simplified Arabic"/>
          <w:kern w:val="2"/>
          <w:sz w:val="28"/>
          <w:szCs w:val="28"/>
          <w:rtl/>
        </w:rPr>
        <w:t>التعد</w:t>
      </w:r>
      <w:r w:rsidRPr="00677147">
        <w:rPr>
          <w:rFonts w:ascii="Simplified Arabic" w:eastAsia="Calibri" w:hAnsi="Simplified Arabic" w:cs="Simplified Arabic" w:hint="cs"/>
          <w:kern w:val="2"/>
          <w:sz w:val="28"/>
          <w:szCs w:val="28"/>
          <w:rtl/>
        </w:rPr>
        <w:t>ی</w:t>
      </w:r>
      <w:r w:rsidRPr="00677147">
        <w:rPr>
          <w:rFonts w:ascii="Simplified Arabic" w:eastAsia="Calibri" w:hAnsi="Simplified Arabic" w:cs="Simplified Arabic" w:hint="eastAsia"/>
          <w:kern w:val="2"/>
          <w:sz w:val="28"/>
          <w:szCs w:val="28"/>
          <w:rtl/>
        </w:rPr>
        <w:t>ن</w:t>
      </w:r>
      <w:proofErr w:type="spellEnd"/>
      <w:r w:rsidRPr="00677147">
        <w:rPr>
          <w:rFonts w:ascii="Simplified Arabic" w:eastAsia="Calibri" w:hAnsi="Simplified Arabic" w:cs="Simplified Arabic"/>
          <w:kern w:val="2"/>
          <w:sz w:val="28"/>
          <w:szCs w:val="28"/>
          <w:rtl/>
        </w:rPr>
        <w:t xml:space="preserve">. ثانياً- الأخطار في المناجم: تمثل القشرة الأرضية وباطن الأرض خصوصاً خزان كبير من الثروات المعدنية والخامات الطبيعية، التي يحتاج إليها الانسان في العديد من الامور مثل البناء والصناعة والمواد التكنولوجية، ولكن الوصول إلى هذا المستودع من </w:t>
      </w:r>
      <w:r w:rsidRPr="00677147">
        <w:rPr>
          <w:rFonts w:ascii="Simplified Arabic" w:eastAsia="Calibri" w:hAnsi="Simplified Arabic" w:cs="Simplified Arabic"/>
          <w:kern w:val="2"/>
          <w:sz w:val="28"/>
          <w:szCs w:val="28"/>
          <w:rtl/>
        </w:rPr>
        <w:lastRenderedPageBreak/>
        <w:t>الثروات في باطن الأرض بحاجة إلى المخاطرة ويتم ذلك من خلال انشاء المناجم، التي يعد العمل فيها من الأعمال ذات الصعوبة والخطورة فمهنة العمل في المناجم تعتمد على القوة الجسدية، ففي القدم كان الرجال يفقدون حياتهم من شدة التعب جراء العمل في المناجم بسبب ارتفاع درجة الحرارة وانخفاض الأكسجين، أو بسبب الانهيارات، وعدم الأخذ بتدابير السلامة بالشكل الكافي، أما في الوقت الحالي فقد توافرت الآلات الحديثة التي ساعدت في التخفيف من تعب العمال جسديا، وتطورت معايير الأمن والسلامة، والرقابة من قبل السلطات، لكن ذلك لم يرفع عن العمال في المناجم خطر الموت (2015 ,</w:t>
      </w:r>
      <w:r w:rsidRPr="00677147">
        <w:rPr>
          <w:rFonts w:ascii="Simplified Arabic" w:eastAsia="Calibri" w:hAnsi="Simplified Arabic" w:cs="Simplified Arabic"/>
          <w:kern w:val="2"/>
          <w:sz w:val="28"/>
          <w:szCs w:val="28"/>
        </w:rPr>
        <w:t>Badri</w:t>
      </w:r>
      <w:r w:rsidRPr="00677147">
        <w:rPr>
          <w:rFonts w:ascii="Simplified Arabic" w:eastAsia="Calibri" w:hAnsi="Simplified Arabic" w:cs="Simplified Arabic"/>
          <w:kern w:val="2"/>
          <w:sz w:val="28"/>
          <w:szCs w:val="28"/>
          <w:rtl/>
        </w:rPr>
        <w:t>).</w:t>
      </w:r>
    </w:p>
    <w:p w14:paraId="44A5BAA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ويتمثل عمل العمال في المناجم في "استخراج المعادن ذات القيمة الاقتصادية من باطن الأرض" وهو ما يسمى بالتعدين، ويطلق على المكان الذي يتم فيه استخراج المعادن اسم "المنجم"، وتنقسم المناجم إلى نوعين المناجم السطحية وهي الموجودة على سطح الأرض، والمناجم التحت سطحية التي توجد في باطن الارض، والتي يتم فيها استخدام العديد من طرق استخراج المعادن أهمها طريقة الآبار العميقة والانفاق، وهي المناجم الاكثر خطورة، وبالرغم من خطورة العمل في المناجم إلا أنها موجودة وبكثرة في العالم، حيث أن عملية التعدين واستخراج المعادن مصدر كبير للدخل في العديد من الدول مثل استراليا التي بها اندفاع كبير في انتاج الذهب بلغ نسبة 40% من الناتج العالمي، ومع بداية القرن الواحد والعشرون طورت الشركات الكبرى في العالم صناعات تعدينية </w:t>
      </w:r>
      <w:proofErr w:type="spellStart"/>
      <w:r w:rsidRPr="00677147">
        <w:rPr>
          <w:rFonts w:ascii="Simplified Arabic" w:eastAsia="Calibri" w:hAnsi="Simplified Arabic" w:cs="Simplified Arabic"/>
          <w:kern w:val="2"/>
          <w:sz w:val="28"/>
          <w:szCs w:val="28"/>
          <w:rtl/>
        </w:rPr>
        <w:t>معولمة</w:t>
      </w:r>
      <w:proofErr w:type="spellEnd"/>
      <w:r w:rsidRPr="00677147">
        <w:rPr>
          <w:rFonts w:ascii="Simplified Arabic" w:eastAsia="Calibri" w:hAnsi="Simplified Arabic" w:cs="Simplified Arabic"/>
          <w:kern w:val="2"/>
          <w:sz w:val="28"/>
          <w:szCs w:val="28"/>
          <w:rtl/>
        </w:rPr>
        <w:t>، مع زيادة الطلب على المعادن لاسيما النادر منها نتيجة للتكنولوجيات الجديدة (عبود وزاراك، 2015).</w:t>
      </w:r>
    </w:p>
    <w:p w14:paraId="24F554CF"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20" w:name="_Toc192862034"/>
      <w:r w:rsidRPr="00677147">
        <w:rPr>
          <w:rFonts w:ascii="Simplified Arabic" w:eastAsia="Calibri" w:hAnsi="Simplified Arabic" w:cs="(AH) Manal Black"/>
          <w:kern w:val="2"/>
          <w:sz w:val="32"/>
          <w:szCs w:val="32"/>
          <w:u w:val="single"/>
          <w:rtl/>
        </w:rPr>
        <w:t>تعريفات للمناجم:</w:t>
      </w:r>
      <w:bookmarkEnd w:id="20"/>
    </w:p>
    <w:p w14:paraId="72C34404"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عرفها (2015 ,</w:t>
      </w:r>
      <w:r w:rsidRPr="00677147">
        <w:rPr>
          <w:rFonts w:ascii="Simplified Arabic" w:eastAsia="Calibri" w:hAnsi="Simplified Arabic" w:cs="Simplified Arabic"/>
          <w:kern w:val="2"/>
          <w:sz w:val="28"/>
          <w:szCs w:val="28"/>
        </w:rPr>
        <w:t>Badri</w:t>
      </w:r>
      <w:r w:rsidRPr="00677147">
        <w:rPr>
          <w:rFonts w:ascii="Simplified Arabic" w:eastAsia="Calibri" w:hAnsi="Simplified Arabic" w:cs="Simplified Arabic"/>
          <w:kern w:val="2"/>
          <w:sz w:val="28"/>
          <w:szCs w:val="28"/>
          <w:rtl/>
        </w:rPr>
        <w:t>) بأنها "المكامن الطبيعية التي يستخرج منها المواد المعدنية من باطن الأرض أو سطحها".</w:t>
      </w:r>
    </w:p>
    <w:p w14:paraId="48153DD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وعرفها (2011 ,</w:t>
      </w:r>
      <w:r w:rsidRPr="00677147">
        <w:rPr>
          <w:rFonts w:ascii="Simplified Arabic" w:eastAsia="Calibri" w:hAnsi="Simplified Arabic" w:cs="Simplified Arabic"/>
          <w:kern w:val="2"/>
          <w:sz w:val="28"/>
          <w:szCs w:val="28"/>
        </w:rPr>
        <w:t>Useem, et.al</w:t>
      </w:r>
      <w:r w:rsidRPr="00677147">
        <w:rPr>
          <w:rFonts w:ascii="Simplified Arabic" w:eastAsia="Calibri" w:hAnsi="Simplified Arabic" w:cs="Simplified Arabic"/>
          <w:kern w:val="2"/>
          <w:sz w:val="28"/>
          <w:szCs w:val="28"/>
          <w:rtl/>
        </w:rPr>
        <w:t>) بأنها" تلك المنشأة الهندسية وموطن الخامات المعدنية والضرورية في المجال لاقتصادي.</w:t>
      </w:r>
    </w:p>
    <w:p w14:paraId="71F272FD"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21" w:name="_Toc192862035"/>
      <w:r w:rsidRPr="00677147">
        <w:rPr>
          <w:rFonts w:ascii="Simplified Arabic" w:eastAsia="Calibri" w:hAnsi="Simplified Arabic" w:cs="(AH) Manal Black"/>
          <w:kern w:val="2"/>
          <w:sz w:val="32"/>
          <w:szCs w:val="32"/>
          <w:u w:val="single"/>
          <w:rtl/>
        </w:rPr>
        <w:t>الفرق بين المناجم السطحية والمناجم تحت سطحية:</w:t>
      </w:r>
      <w:bookmarkEnd w:id="21"/>
    </w:p>
    <w:p w14:paraId="7D3246D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تتمتع المناجم السطحية بالكثير من المزايا من حيث (2016 ,</w:t>
      </w:r>
      <w:r w:rsidRPr="00677147">
        <w:rPr>
          <w:rFonts w:ascii="Simplified Arabic" w:eastAsia="Calibri" w:hAnsi="Simplified Arabic" w:cs="Simplified Arabic"/>
          <w:kern w:val="2"/>
          <w:sz w:val="28"/>
          <w:szCs w:val="28"/>
        </w:rPr>
        <w:t>Meyer, &amp; Steyn</w:t>
      </w:r>
      <w:r w:rsidRPr="00677147">
        <w:rPr>
          <w:rFonts w:ascii="Simplified Arabic" w:eastAsia="Calibri" w:hAnsi="Simplified Arabic" w:cs="Simplified Arabic"/>
          <w:kern w:val="2"/>
          <w:sz w:val="28"/>
          <w:szCs w:val="28"/>
          <w:rtl/>
        </w:rPr>
        <w:t>):</w:t>
      </w:r>
    </w:p>
    <w:p w14:paraId="0CD4E54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1- كفاءة العمل: يتميز العمل في المناجم السطحية بالكفاءة العالية في العمل والتي تفوق المناجم تحت سطحية حيث تبلغ زيادة كفاءة المناجم السطحية عن المناجم تحت سطحية (3-4) أضعاف. وعلى الرغم مما تتميز به المناجم السطحية إلا ان هناك بعض السلبيات وهي كالتالي (2014 ,</w:t>
      </w:r>
      <w:proofErr w:type="spellStart"/>
      <w:r w:rsidRPr="00677147">
        <w:rPr>
          <w:rFonts w:ascii="Simplified Arabic" w:eastAsia="Calibri" w:hAnsi="Simplified Arabic" w:cs="Simplified Arabic"/>
          <w:kern w:val="2"/>
          <w:sz w:val="28"/>
          <w:szCs w:val="28"/>
        </w:rPr>
        <w:t>Zhang,et</w:t>
      </w:r>
      <w:proofErr w:type="spellEnd"/>
      <w:r w:rsidRPr="00677147">
        <w:rPr>
          <w:rFonts w:ascii="Simplified Arabic" w:eastAsia="Calibri" w:hAnsi="Simplified Arabic" w:cs="Simplified Arabic"/>
          <w:kern w:val="2"/>
          <w:sz w:val="28"/>
          <w:szCs w:val="28"/>
        </w:rPr>
        <w:t>. al</w:t>
      </w:r>
      <w:r w:rsidRPr="00677147">
        <w:rPr>
          <w:rFonts w:ascii="Simplified Arabic" w:eastAsia="Calibri" w:hAnsi="Simplified Arabic" w:cs="Simplified Arabic"/>
          <w:kern w:val="2"/>
          <w:sz w:val="28"/>
          <w:szCs w:val="28"/>
          <w:rtl/>
        </w:rPr>
        <w:t>):</w:t>
      </w:r>
    </w:p>
    <w:p w14:paraId="5E6B89D0" w14:textId="77777777" w:rsidR="00677147" w:rsidRPr="00677147" w:rsidRDefault="00677147" w:rsidP="00677147">
      <w:pPr>
        <w:numPr>
          <w:ilvl w:val="0"/>
          <w:numId w:val="5"/>
        </w:numPr>
        <w:spacing w:after="160" w:line="288" w:lineRule="auto"/>
        <w:contextualSpacing/>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تساقط الامطار وانخفاض درجات الحرارة تجعل ظروف العمل في المنجم أكثر صعوبة ومشقة.</w:t>
      </w:r>
    </w:p>
    <w:p w14:paraId="5E92C7ED" w14:textId="77777777" w:rsidR="00677147" w:rsidRPr="00677147" w:rsidRDefault="00677147" w:rsidP="00677147">
      <w:pPr>
        <w:numPr>
          <w:ilvl w:val="0"/>
          <w:numId w:val="5"/>
        </w:numPr>
        <w:spacing w:after="160" w:line="288" w:lineRule="auto"/>
        <w:contextualSpacing/>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يحتاج المنجم السطحي إلى مساحات كبيرة من الأرض خصوصاً إذا أصبح المنجم واسع وعميق، وقد يكون</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هذا التوسع على حساب الأراضي الزراعية.</w:t>
      </w:r>
    </w:p>
    <w:p w14:paraId="400CC75C"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أهم المناجم في المملكة العربية السعودية (تحت سطحية):</w:t>
      </w:r>
    </w:p>
    <w:p w14:paraId="4548DC5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تحتوي موارد المملكة المعدنية الهائلة على </w:t>
      </w:r>
      <w:proofErr w:type="spellStart"/>
      <w:r w:rsidRPr="00677147">
        <w:rPr>
          <w:rFonts w:ascii="Simplified Arabic" w:eastAsia="Calibri" w:hAnsi="Simplified Arabic" w:cs="Simplified Arabic"/>
          <w:kern w:val="2"/>
          <w:sz w:val="28"/>
          <w:szCs w:val="28"/>
          <w:rtl/>
        </w:rPr>
        <w:t>البوكسيت</w:t>
      </w:r>
      <w:proofErr w:type="spellEnd"/>
      <w:r w:rsidRPr="00677147">
        <w:rPr>
          <w:rFonts w:ascii="Simplified Arabic" w:eastAsia="Calibri" w:hAnsi="Simplified Arabic" w:cs="Simplified Arabic"/>
          <w:kern w:val="2"/>
          <w:sz w:val="28"/>
          <w:szCs w:val="28"/>
          <w:rtl/>
        </w:rPr>
        <w:t xml:space="preserve">، الفوسفيت، الزنك، النحاس والذهب، مع وجود موارد </w:t>
      </w:r>
      <w:proofErr w:type="spellStart"/>
      <w:r w:rsidRPr="00677147">
        <w:rPr>
          <w:rFonts w:ascii="Simplified Arabic" w:eastAsia="Calibri" w:hAnsi="Simplified Arabic" w:cs="Simplified Arabic"/>
          <w:kern w:val="2"/>
          <w:sz w:val="28"/>
          <w:szCs w:val="28"/>
          <w:rtl/>
        </w:rPr>
        <w:t>تقدرب</w:t>
      </w:r>
      <w:proofErr w:type="spellEnd"/>
      <w:r w:rsidRPr="00677147">
        <w:rPr>
          <w:rFonts w:ascii="Simplified Arabic" w:eastAsia="Calibri" w:hAnsi="Simplified Arabic" w:cs="Simplified Arabic"/>
          <w:kern w:val="2"/>
          <w:sz w:val="28"/>
          <w:szCs w:val="28"/>
          <w:rtl/>
        </w:rPr>
        <w:t xml:space="preserve"> 20 مليون طن من الذهب والمعادن النفيسة و60 مليون طن من النحاس؛ فأراضي المملكة الشاسعة وغير المكتشفة توفر إمكانيات هائلة للاستكشاف لما تحتويه هذه الأراضي من موارد، ومن أجل تطوير قطاع التعدين والمناجم أنشأت المملكة شركة التعدين العربية السعودية «معادن» كشركة مساهمة سعودية، ويتركز اهتمام شركة معادن </w:t>
      </w:r>
      <w:proofErr w:type="spellStart"/>
      <w:r w:rsidRPr="00677147">
        <w:rPr>
          <w:rFonts w:ascii="Simplified Arabic" w:eastAsia="Calibri" w:hAnsi="Simplified Arabic" w:cs="Simplified Arabic"/>
          <w:kern w:val="2"/>
          <w:sz w:val="28"/>
          <w:szCs w:val="28"/>
          <w:rtl/>
        </w:rPr>
        <w:t>عل</w:t>
      </w:r>
      <w:r w:rsidRPr="00677147">
        <w:rPr>
          <w:rFonts w:ascii="Simplified Arabic" w:eastAsia="Calibri" w:hAnsi="Simplified Arabic" w:cs="Simplified Arabic" w:hint="cs"/>
          <w:kern w:val="2"/>
          <w:sz w:val="28"/>
          <w:szCs w:val="28"/>
          <w:rtl/>
        </w:rPr>
        <w:t>ی</w:t>
      </w:r>
      <w:proofErr w:type="spellEnd"/>
      <w:r w:rsidRPr="00677147">
        <w:rPr>
          <w:rFonts w:ascii="Simplified Arabic" w:eastAsia="Calibri" w:hAnsi="Simplified Arabic" w:cs="Simplified Arabic"/>
          <w:kern w:val="2"/>
          <w:sz w:val="28"/>
          <w:szCs w:val="28"/>
          <w:rtl/>
        </w:rPr>
        <w:t xml:space="preserve"> ما يلي (2012 ,</w:t>
      </w:r>
      <w:r w:rsidRPr="00677147">
        <w:rPr>
          <w:rFonts w:ascii="Simplified Arabic" w:eastAsia="Calibri" w:hAnsi="Simplified Arabic" w:cs="Simplified Arabic"/>
          <w:kern w:val="2"/>
          <w:sz w:val="28"/>
          <w:szCs w:val="28"/>
        </w:rPr>
        <w:t>Al-</w:t>
      </w:r>
      <w:proofErr w:type="spellStart"/>
      <w:r w:rsidRPr="00677147">
        <w:rPr>
          <w:rFonts w:ascii="Simplified Arabic" w:eastAsia="Calibri" w:hAnsi="Simplified Arabic" w:cs="Simplified Arabic"/>
          <w:kern w:val="2"/>
          <w:sz w:val="28"/>
          <w:szCs w:val="28"/>
        </w:rPr>
        <w:t>Hobaib</w:t>
      </w:r>
      <w:proofErr w:type="spellEnd"/>
      <w:r w:rsidRPr="00677147">
        <w:rPr>
          <w:rFonts w:ascii="Simplified Arabic" w:eastAsia="Calibri" w:hAnsi="Simplified Arabic" w:cs="Simplified Arabic"/>
          <w:kern w:val="2"/>
          <w:sz w:val="28"/>
          <w:szCs w:val="28"/>
        </w:rPr>
        <w:t>, et. al</w:t>
      </w:r>
      <w:r w:rsidRPr="00677147">
        <w:rPr>
          <w:rFonts w:ascii="Simplified Arabic" w:eastAsia="Calibri" w:hAnsi="Simplified Arabic" w:cs="Simplified Arabic"/>
          <w:kern w:val="2"/>
          <w:sz w:val="28"/>
          <w:szCs w:val="28"/>
          <w:rtl/>
        </w:rPr>
        <w:t>):</w:t>
      </w:r>
    </w:p>
    <w:p w14:paraId="173A50EC"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1. منجم مهد الذهب: هو منجم سعودي موجود في محافظة مهد الذهب الموجودة بالمدينة المنورة في المملكة </w:t>
      </w:r>
      <w:r w:rsidRPr="00677147">
        <w:rPr>
          <w:rFonts w:ascii="Simplified Arabic" w:eastAsia="Calibri" w:hAnsi="Simplified Arabic" w:cs="Simplified Arabic" w:hint="eastAsia"/>
          <w:kern w:val="2"/>
          <w:sz w:val="28"/>
          <w:szCs w:val="28"/>
          <w:rtl/>
        </w:rPr>
        <w:t>العربية</w:t>
      </w:r>
      <w:r w:rsidRPr="00677147">
        <w:rPr>
          <w:rFonts w:ascii="Simplified Arabic" w:eastAsia="Calibri" w:hAnsi="Simplified Arabic" w:cs="Simplified Arabic"/>
          <w:kern w:val="2"/>
          <w:sz w:val="28"/>
          <w:szCs w:val="28"/>
          <w:rtl/>
        </w:rPr>
        <w:t xml:space="preserve"> السعودية، ويقع على ارتفاع 1060 متراً فوق سطح الأرض، </w:t>
      </w:r>
      <w:r w:rsidRPr="00677147">
        <w:rPr>
          <w:rFonts w:ascii="Simplified Arabic" w:eastAsia="Calibri" w:hAnsi="Simplified Arabic" w:cs="Simplified Arabic"/>
          <w:kern w:val="2"/>
          <w:sz w:val="28"/>
          <w:szCs w:val="28"/>
          <w:rtl/>
        </w:rPr>
        <w:lastRenderedPageBreak/>
        <w:t xml:space="preserve">ويعتبر منجم مهد الذهب أقدم منجم في </w:t>
      </w:r>
      <w:r w:rsidRPr="00677147">
        <w:rPr>
          <w:rFonts w:ascii="Simplified Arabic" w:eastAsia="Calibri" w:hAnsi="Simplified Arabic" w:cs="Simplified Arabic" w:hint="eastAsia"/>
          <w:kern w:val="2"/>
          <w:sz w:val="28"/>
          <w:szCs w:val="28"/>
          <w:rtl/>
        </w:rPr>
        <w:t>السعودية</w:t>
      </w:r>
      <w:r w:rsidRPr="00677147">
        <w:rPr>
          <w:rFonts w:ascii="Simplified Arabic" w:eastAsia="Calibri" w:hAnsi="Simplified Arabic" w:cs="Simplified Arabic"/>
          <w:kern w:val="2"/>
          <w:sz w:val="28"/>
          <w:szCs w:val="28"/>
          <w:rtl/>
        </w:rPr>
        <w:t xml:space="preserve"> وله تاريخ عميق كبير، ويعتبر </w:t>
      </w:r>
      <w:r w:rsidRPr="00677147">
        <w:rPr>
          <w:rFonts w:ascii="Simplified Arabic" w:eastAsia="Calibri" w:hAnsi="Simplified Arabic" w:cs="Simplified Arabic" w:hint="cs"/>
          <w:kern w:val="2"/>
          <w:sz w:val="28"/>
          <w:szCs w:val="28"/>
          <w:rtl/>
        </w:rPr>
        <w:t xml:space="preserve">من  </w:t>
      </w:r>
      <w:r w:rsidRPr="00677147">
        <w:rPr>
          <w:rFonts w:ascii="Simplified Arabic" w:eastAsia="Calibri" w:hAnsi="Simplified Arabic" w:cs="Simplified Arabic"/>
          <w:kern w:val="2"/>
          <w:sz w:val="28"/>
          <w:szCs w:val="28"/>
          <w:rtl/>
        </w:rPr>
        <w:t xml:space="preserve">أكبر </w:t>
      </w:r>
      <w:r w:rsidRPr="00677147">
        <w:rPr>
          <w:rFonts w:ascii="Simplified Arabic" w:eastAsia="Calibri" w:hAnsi="Simplified Arabic" w:cs="Simplified Arabic" w:hint="cs"/>
          <w:kern w:val="2"/>
          <w:sz w:val="28"/>
          <w:szCs w:val="28"/>
          <w:rtl/>
        </w:rPr>
        <w:t>ال</w:t>
      </w:r>
      <w:r w:rsidRPr="00677147">
        <w:rPr>
          <w:rFonts w:ascii="Simplified Arabic" w:eastAsia="Calibri" w:hAnsi="Simplified Arabic" w:cs="Simplified Arabic"/>
          <w:kern w:val="2"/>
          <w:sz w:val="28"/>
          <w:szCs w:val="28"/>
          <w:rtl/>
        </w:rPr>
        <w:t>من</w:t>
      </w:r>
      <w:r w:rsidRPr="00677147">
        <w:rPr>
          <w:rFonts w:ascii="Simplified Arabic" w:eastAsia="Calibri" w:hAnsi="Simplified Arabic" w:cs="Simplified Arabic" w:hint="cs"/>
          <w:kern w:val="2"/>
          <w:sz w:val="28"/>
          <w:szCs w:val="28"/>
          <w:rtl/>
        </w:rPr>
        <w:t>ا</w:t>
      </w:r>
      <w:r w:rsidRPr="00677147">
        <w:rPr>
          <w:rFonts w:ascii="Simplified Arabic" w:eastAsia="Calibri" w:hAnsi="Simplified Arabic" w:cs="Simplified Arabic"/>
          <w:kern w:val="2"/>
          <w:sz w:val="28"/>
          <w:szCs w:val="28"/>
          <w:rtl/>
        </w:rPr>
        <w:t xml:space="preserve">جم </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 xml:space="preserve">في الشرق الأوسط وذلك لأنه يحتوي على الكثير من المعادن </w:t>
      </w:r>
      <w:r w:rsidRPr="00677147">
        <w:rPr>
          <w:rFonts w:ascii="Simplified Arabic" w:eastAsia="Calibri" w:hAnsi="Simplified Arabic" w:cs="Simplified Arabic" w:hint="eastAsia"/>
          <w:kern w:val="2"/>
          <w:sz w:val="28"/>
          <w:szCs w:val="28"/>
          <w:rtl/>
        </w:rPr>
        <w:t>الغالية</w:t>
      </w:r>
      <w:r w:rsidRPr="00677147">
        <w:rPr>
          <w:rFonts w:ascii="Simplified Arabic" w:eastAsia="Calibri" w:hAnsi="Simplified Arabic" w:cs="Simplified Arabic"/>
          <w:kern w:val="2"/>
          <w:sz w:val="28"/>
          <w:szCs w:val="28"/>
          <w:rtl/>
        </w:rPr>
        <w:t xml:space="preserve"> وبسبب ذلك يمثل دخلاً كبيراً للدولة.</w:t>
      </w:r>
    </w:p>
    <w:p w14:paraId="333F3A9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2. منجم الأمار: بلغ عمر هذا المنجم الهام الذي يقع بالقرب العاصمة السعودية </w:t>
      </w:r>
      <w:r w:rsidRPr="00677147">
        <w:rPr>
          <w:rFonts w:ascii="Simplified Arabic" w:eastAsia="Calibri" w:hAnsi="Simplified Arabic" w:cs="Simplified Arabic" w:hint="cs"/>
          <w:kern w:val="2"/>
          <w:sz w:val="28"/>
          <w:szCs w:val="28"/>
          <w:rtl/>
        </w:rPr>
        <w:t>والذي يقارب 20 عام</w:t>
      </w:r>
      <w:r w:rsidRPr="00677147">
        <w:rPr>
          <w:rFonts w:ascii="Simplified Arabic" w:eastAsia="Calibri" w:hAnsi="Simplified Arabic" w:cs="Simplified Arabic"/>
          <w:kern w:val="2"/>
          <w:sz w:val="28"/>
          <w:szCs w:val="28"/>
          <w:rtl/>
        </w:rPr>
        <w:t xml:space="preserve">، يقع </w:t>
      </w:r>
      <w:r w:rsidRPr="00677147">
        <w:rPr>
          <w:rFonts w:ascii="Simplified Arabic" w:eastAsia="Calibri" w:hAnsi="Simplified Arabic" w:cs="Simplified Arabic" w:hint="eastAsia"/>
          <w:kern w:val="2"/>
          <w:sz w:val="28"/>
          <w:szCs w:val="28"/>
          <w:rtl/>
        </w:rPr>
        <w:t>في</w:t>
      </w:r>
      <w:r w:rsidRPr="00677147">
        <w:rPr>
          <w:rFonts w:ascii="Simplified Arabic" w:eastAsia="Calibri" w:hAnsi="Simplified Arabic" w:cs="Simplified Arabic"/>
          <w:kern w:val="2"/>
          <w:sz w:val="28"/>
          <w:szCs w:val="28"/>
          <w:rtl/>
        </w:rPr>
        <w:t xml:space="preserve"> منطقة الرياض ويبعد 195 كم إلى جنوب غرب مدينة الرياض ويشتمل على منجم تحت الأرض، وينتج هذا </w:t>
      </w:r>
      <w:r w:rsidRPr="00677147">
        <w:rPr>
          <w:rFonts w:ascii="Simplified Arabic" w:eastAsia="Calibri" w:hAnsi="Simplified Arabic" w:cs="Simplified Arabic" w:hint="eastAsia"/>
          <w:kern w:val="2"/>
          <w:sz w:val="28"/>
          <w:szCs w:val="28"/>
          <w:rtl/>
        </w:rPr>
        <w:t>المنجم</w:t>
      </w:r>
      <w:r w:rsidRPr="00677147">
        <w:rPr>
          <w:rFonts w:ascii="Simplified Arabic" w:eastAsia="Calibri" w:hAnsi="Simplified Arabic" w:cs="Simplified Arabic"/>
          <w:kern w:val="2"/>
          <w:sz w:val="28"/>
          <w:szCs w:val="28"/>
          <w:rtl/>
        </w:rPr>
        <w:t xml:space="preserve"> ما يعادل الـ 200 ألف طن سنوياً من المعادن النفيسة حيث من المتوقع أن ينتج المنجم نحو 385.000 </w:t>
      </w:r>
      <w:r w:rsidRPr="00677147">
        <w:rPr>
          <w:rFonts w:ascii="Simplified Arabic" w:eastAsia="Calibri" w:hAnsi="Simplified Arabic" w:cs="Simplified Arabic" w:hint="eastAsia"/>
          <w:kern w:val="2"/>
          <w:sz w:val="28"/>
          <w:szCs w:val="28"/>
          <w:rtl/>
        </w:rPr>
        <w:t>أوقية</w:t>
      </w:r>
      <w:r w:rsidRPr="00677147">
        <w:rPr>
          <w:rFonts w:ascii="Simplified Arabic" w:eastAsia="Calibri" w:hAnsi="Simplified Arabic" w:cs="Simplified Arabic"/>
          <w:kern w:val="2"/>
          <w:sz w:val="28"/>
          <w:szCs w:val="28"/>
          <w:rtl/>
        </w:rPr>
        <w:t xml:space="preserve"> من الذهب وحوالي 635.000 أوقية من الفضة.</w:t>
      </w:r>
    </w:p>
    <w:p w14:paraId="1BB85A73"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22" w:name="_Toc192862036"/>
      <w:r w:rsidRPr="00677147">
        <w:rPr>
          <w:rFonts w:ascii="Simplified Arabic" w:eastAsia="Calibri" w:hAnsi="Simplified Arabic" w:cs="(AH) Manal Black"/>
          <w:kern w:val="2"/>
          <w:sz w:val="32"/>
          <w:szCs w:val="32"/>
          <w:u w:val="single"/>
          <w:rtl/>
        </w:rPr>
        <w:t>الأخطار في المناجم:</w:t>
      </w:r>
      <w:bookmarkEnd w:id="22"/>
    </w:p>
    <w:p w14:paraId="0A72B73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إن طبيعة العمل الذي يمتهنه الانسان طوال حياته له تأثير كبير على حياته من الناحية النفسية والصحية والعقلية، وقد يتعرض العامل للمواقف شديدة الخطورة يمكن أن تؤدي بحياته ومن أكثر المهن خطورة في العالم هي العمل في المناجم، حيث تتأثر بيئة العمل في المنجم بالعديد من العوامل المتداخلة والمعقدة، فهي تضم عوامل فيزيائية مثل "بيئة المناخ الصخري، والأغبرة، والإشعاع المؤين وغير المؤين، والضجة، والاهتزاز، ووجود العديد من المواد الكيميائية في صورة أدخنة، وغازات، والضباب، والانبعاثات المختلفة"، وعوامل وخصائص تنظيم العمل في المنجم، وأحياناً تمثل مثل هذه العوامل خطورة على صحة العمال (2015 ,</w:t>
      </w:r>
      <w:r w:rsidRPr="00677147">
        <w:rPr>
          <w:rFonts w:ascii="Simplified Arabic" w:eastAsia="Calibri" w:hAnsi="Simplified Arabic" w:cs="Simplified Arabic"/>
          <w:kern w:val="2"/>
          <w:sz w:val="28"/>
          <w:szCs w:val="28"/>
        </w:rPr>
        <w:t>Badri</w:t>
      </w:r>
      <w:r w:rsidRPr="00677147">
        <w:rPr>
          <w:rFonts w:ascii="Simplified Arabic" w:eastAsia="Calibri" w:hAnsi="Simplified Arabic" w:cs="Simplified Arabic"/>
          <w:kern w:val="2"/>
          <w:sz w:val="28"/>
          <w:szCs w:val="28"/>
          <w:rtl/>
        </w:rPr>
        <w:t>).</w:t>
      </w:r>
    </w:p>
    <w:p w14:paraId="6DEB4664"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23" w:name="_Toc192862037"/>
      <w:r w:rsidRPr="00677147">
        <w:rPr>
          <w:rFonts w:ascii="Simplified Arabic" w:eastAsia="Calibri" w:hAnsi="Simplified Arabic" w:cs="(AH) Manal Black"/>
          <w:kern w:val="2"/>
          <w:sz w:val="32"/>
          <w:szCs w:val="32"/>
          <w:u w:val="single"/>
          <w:rtl/>
        </w:rPr>
        <w:t>تدابير الصحة والسلامة في بيئة العمل في المناجم:</w:t>
      </w:r>
      <w:bookmarkEnd w:id="23"/>
    </w:p>
    <w:p w14:paraId="75F857D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تشتمل الصحة والسلامة في بيئة العمل في المناجم مجموعة من الاستراتيجيات التي يوصى بها لكيفية التعامل مع مخاطر المناجم التي قد تهدد السلامة العامة في بيئة العمل وهي كالتالي (2016 ,</w:t>
      </w:r>
      <w:r w:rsidRPr="00677147">
        <w:rPr>
          <w:rFonts w:ascii="Simplified Arabic" w:eastAsia="Calibri" w:hAnsi="Simplified Arabic" w:cs="Simplified Arabic"/>
          <w:kern w:val="2"/>
          <w:sz w:val="28"/>
          <w:szCs w:val="28"/>
        </w:rPr>
        <w:t>Meyer&amp; Steyn</w:t>
      </w:r>
      <w:r w:rsidRPr="00677147">
        <w:rPr>
          <w:rFonts w:ascii="Simplified Arabic" w:eastAsia="Calibri" w:hAnsi="Simplified Arabic" w:cs="Simplified Arabic"/>
          <w:kern w:val="2"/>
          <w:sz w:val="28"/>
          <w:szCs w:val="28"/>
          <w:rtl/>
        </w:rPr>
        <w:t>):</w:t>
      </w:r>
    </w:p>
    <w:p w14:paraId="534FF56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1. يتوجب على نشاطات الاستكشاف والتطوير لمواقع التعدين التعامل مع المخاطر التي تهدد الصحة والسلامة المهنية كجزء من الخطة الشاملة، وتتضمن هذه الخطة على الجوانب التالية:</w:t>
      </w:r>
    </w:p>
    <w:p w14:paraId="3D875AB2"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2. اعداد الخطط للتعامل مع الطوارئ يتم تطبيقها على الأنشطة الاستكشافية مع الأخذ بعين الاعتبار طبيعة المواقع التعدينية المنعزلة جغرافياً، بحيث تكون متضمنة المعدات التي تلزم للإنقاذ وللاستجابة للطوارئ.</w:t>
      </w:r>
    </w:p>
    <w:p w14:paraId="0CAF416C"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3. تدريب عدد كافي من العاملين على الاسعافات الأولية للتعامل مع حالات الطوارئ.</w:t>
      </w:r>
    </w:p>
    <w:p w14:paraId="3A6D8F2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4. تطبيق تدريب نوعي للعمال يشتمل على إدارة الصحة والسلامة في بيئة العمل، وان يتضمن هذا التدريب برنامج تواصلي يحتوي على رسالة توضح التزامات الشركة اتجاه الصحة والسلامة، وأن يحتوي على اجتماعات دورية مستمرة.</w:t>
      </w:r>
    </w:p>
    <w:p w14:paraId="1819602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5. دمج الاعتبارات السلوكية في إدارة صحة وسلامة بيئة العمل، وأن يتضمن ذلك المراقبة السلوكية خلال ممارسة العمل.</w:t>
      </w:r>
    </w:p>
    <w:p w14:paraId="208A664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6. تدريب العمال على معرفة المخاطر المرتبطة بمهنة العمل في الأماكن النائية، مثل "السلامة من الحياة البرية، والعمل على الحيلولة دون الوقوع في تلك المخاطر، والاجهاد الحراري، والتأقلم، والتعرض للأمراض، والمعينات الملاحية كي لا يضل العمال طريقهم". </w:t>
      </w:r>
    </w:p>
    <w:p w14:paraId="788173EC"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24" w:name="_Toc192862038"/>
      <w:r w:rsidRPr="00677147">
        <w:rPr>
          <w:rFonts w:ascii="Simplified Arabic" w:eastAsia="Calibri" w:hAnsi="Simplified Arabic" w:cs="(AH) Manal Black"/>
          <w:kern w:val="2"/>
          <w:sz w:val="32"/>
          <w:szCs w:val="32"/>
          <w:u w:val="single"/>
          <w:rtl/>
        </w:rPr>
        <w:t>مخاطر بيئة العمل في المناجم:</w:t>
      </w:r>
      <w:bookmarkEnd w:id="24"/>
    </w:p>
    <w:p w14:paraId="19491A4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كما أشرنا من قبل بأن العمل في المناجم من أكثر الأعمال خطورة وذلك لأن بيئة العمل في المنجم محفوفة بالعديد من المخاطر التي تتمثل فيما يلي:</w:t>
      </w:r>
    </w:p>
    <w:p w14:paraId="2482AF4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 الأغبرة: غبار الهواء خطر واقع في جميع المناجم حيث ينبعث الغبار خلال عملية استخلاص الخامات من الصخور في العمليات التعدينية التقليدية، حيث أن المصدر الرئيسي للغبار هو قطع الصخور وحفر الانفاق وإطلاق المتفجرات، وكذلك أيضاً العمل </w:t>
      </w:r>
      <w:r w:rsidRPr="00677147">
        <w:rPr>
          <w:rFonts w:ascii="Simplified Arabic" w:eastAsia="Calibri" w:hAnsi="Simplified Arabic" w:cs="Simplified Arabic"/>
          <w:kern w:val="2"/>
          <w:sz w:val="28"/>
          <w:szCs w:val="28"/>
          <w:rtl/>
        </w:rPr>
        <w:lastRenderedPageBreak/>
        <w:t xml:space="preserve">المتواصل على الآلات والشاحنات وآلات الاستخراج (محمد، 2008). إن وجود هذه الأغبرة الهوائية تشكل مخاطر صحية متعلقة بتركيب الأغبرة الكيميائي، وحجم جزيئات الغبار وتركيزها في الهواء، وبالنسبة للتركيب الكيميائي للأغبرة فإن جميع طبقات المناجم محتوية على "السيليكا" ويعتبر السيليكا من أكثر العوامل المسببة </w:t>
      </w:r>
      <w:proofErr w:type="spellStart"/>
      <w:r w:rsidRPr="00677147">
        <w:rPr>
          <w:rFonts w:ascii="Simplified Arabic" w:eastAsia="Calibri" w:hAnsi="Simplified Arabic" w:cs="Simplified Arabic"/>
          <w:kern w:val="2"/>
          <w:sz w:val="28"/>
          <w:szCs w:val="28"/>
          <w:rtl/>
        </w:rPr>
        <w:t>لتغبرات</w:t>
      </w:r>
      <w:proofErr w:type="spellEnd"/>
      <w:r w:rsidRPr="00677147">
        <w:rPr>
          <w:rFonts w:ascii="Simplified Arabic" w:eastAsia="Calibri" w:hAnsi="Simplified Arabic" w:cs="Simplified Arabic"/>
          <w:kern w:val="2"/>
          <w:sz w:val="28"/>
          <w:szCs w:val="28"/>
          <w:rtl/>
        </w:rPr>
        <w:t xml:space="preserve"> الرئة (2016 ,</w:t>
      </w:r>
      <w:r w:rsidRPr="00677147">
        <w:rPr>
          <w:rFonts w:ascii="Simplified Arabic" w:eastAsia="Calibri" w:hAnsi="Simplified Arabic" w:cs="Simplified Arabic"/>
          <w:kern w:val="2"/>
          <w:sz w:val="28"/>
          <w:szCs w:val="28"/>
        </w:rPr>
        <w:t>Meyer &amp; Steyn</w:t>
      </w:r>
      <w:r w:rsidRPr="00677147">
        <w:rPr>
          <w:rFonts w:ascii="Simplified Arabic" w:eastAsia="Calibri" w:hAnsi="Simplified Arabic" w:cs="Simplified Arabic"/>
          <w:kern w:val="2"/>
          <w:sz w:val="28"/>
          <w:szCs w:val="28"/>
          <w:rtl/>
        </w:rPr>
        <w:t>).</w:t>
      </w:r>
    </w:p>
    <w:p w14:paraId="448BE0B5"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الوقاية من خطر الأغبرة:</w:t>
      </w:r>
    </w:p>
    <w:p w14:paraId="4538616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تظهر دراسة المتغيرات التي تتأثر بها شكل جسيمات الغبار أثناء عمليات الحفر بأن كمية الغبار الناتجة من عمليات الحفر تختلف باختلاف سرعة الدوران على مدى فترة حفر محددة، وهذه السرعة مستقلة عن السرعة الفعلية للاختراق، لذلك فمن الجيد أن تكون سرعة الاختراق عالية عندما تكون سرعة الدوران منخفضة، وعملياً تم اجراء العديد من السرعات المنخفضة والمرتفعة بما يناسب درجة قساوة الصخر، كما وتم اجراء انجاز كبير في مجال اخماد غبار الحفر من خلال إدخال مثقاب طرقي تم تغذيته بالماء الذي يمنع انتشار الغبار في الأجواء، وتمثل الأدوات المزودة بالمياه أكثر الطرق فاعلية للحفر المترافق للماء مع الاهتمام بالوقاية من </w:t>
      </w:r>
      <w:proofErr w:type="spellStart"/>
      <w:r w:rsidRPr="00677147">
        <w:rPr>
          <w:rFonts w:ascii="Simplified Arabic" w:eastAsia="Calibri" w:hAnsi="Simplified Arabic" w:cs="Simplified Arabic"/>
          <w:kern w:val="2"/>
          <w:sz w:val="28"/>
          <w:szCs w:val="28"/>
          <w:rtl/>
        </w:rPr>
        <w:t>تغبرات</w:t>
      </w:r>
      <w:proofErr w:type="spellEnd"/>
      <w:r w:rsidRPr="00677147">
        <w:rPr>
          <w:rFonts w:ascii="Simplified Arabic" w:eastAsia="Calibri" w:hAnsi="Simplified Arabic" w:cs="Simplified Arabic"/>
          <w:kern w:val="2"/>
          <w:sz w:val="28"/>
          <w:szCs w:val="28"/>
          <w:rtl/>
        </w:rPr>
        <w:t xml:space="preserve"> الرئة (عبود وزاراك، 2015).</w:t>
      </w:r>
    </w:p>
    <w:p w14:paraId="1EFCE07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ولكن طرق الحفر المترافقة مع المياه لا يصلح استخدامها في جميع حالات الحفر للعديد من الأسباب التقنية المتنوعة، ومن خلال النظر للرطوبة العالية للهواء الناتجة من هذه التقنية فإن الظروف لا تكون ملاءمة مع الحفر الرطب، ولذلك استخدم الحفر الجاف ولكنه هذه الطريقة تستلزم استخدام أدوات لها فاعلية عالية للحد من انتشار الغبار، وحبسه عن نقطة التشكل، وكذلك هي بحاجة إلى نظام يزيل الأغبرة التي تم حبسها دون أن تجد أي طريقة للخروج للجو (2016 ,</w:t>
      </w:r>
      <w:r w:rsidRPr="00677147">
        <w:rPr>
          <w:rFonts w:ascii="Simplified Arabic" w:eastAsia="Calibri" w:hAnsi="Simplified Arabic" w:cs="Simplified Arabic"/>
          <w:kern w:val="2"/>
          <w:sz w:val="28"/>
          <w:szCs w:val="28"/>
        </w:rPr>
        <w:t>Meyer &amp; Steyn</w:t>
      </w:r>
      <w:r w:rsidRPr="00677147">
        <w:rPr>
          <w:rFonts w:ascii="Simplified Arabic" w:eastAsia="Calibri" w:hAnsi="Simplified Arabic" w:cs="Simplified Arabic"/>
          <w:kern w:val="2"/>
          <w:sz w:val="28"/>
          <w:szCs w:val="28"/>
          <w:rtl/>
        </w:rPr>
        <w:t xml:space="preserve">). والمصادر الأخرى للغبار تتمثل في عمليات الاستخراج للخام والجر والنقل تقليص الحفر وخلال عمليات احكام السد، وفي الحالات التي لا تتوفر لها طريقة لإزالة الغبار تحتاج إلى تخطيط جيد لإعادة تجديد الهواء </w:t>
      </w:r>
      <w:r w:rsidRPr="00677147">
        <w:rPr>
          <w:rFonts w:ascii="Simplified Arabic" w:eastAsia="Calibri" w:hAnsi="Simplified Arabic" w:cs="Simplified Arabic"/>
          <w:kern w:val="2"/>
          <w:sz w:val="28"/>
          <w:szCs w:val="28"/>
          <w:rtl/>
        </w:rPr>
        <w:lastRenderedPageBreak/>
        <w:t>في المكان وإزالة الهواء الملوث بالغبار مع الحذر من هروب الأغبرة إلى عمليات تدوير ثانية (2014 ,</w:t>
      </w:r>
      <w:r w:rsidRPr="00677147">
        <w:rPr>
          <w:rFonts w:ascii="Simplified Arabic" w:eastAsia="Calibri" w:hAnsi="Simplified Arabic" w:cs="Simplified Arabic"/>
          <w:kern w:val="2"/>
          <w:sz w:val="28"/>
          <w:szCs w:val="28"/>
        </w:rPr>
        <w:t>Mousa, et.al</w:t>
      </w:r>
      <w:r w:rsidRPr="00677147">
        <w:rPr>
          <w:rFonts w:ascii="Simplified Arabic" w:eastAsia="Calibri" w:hAnsi="Simplified Arabic" w:cs="Simplified Arabic"/>
          <w:kern w:val="2"/>
          <w:sz w:val="28"/>
          <w:szCs w:val="28"/>
          <w:rtl/>
        </w:rPr>
        <w:t>).</w:t>
      </w:r>
    </w:p>
    <w:p w14:paraId="663B21D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 xml:space="preserve">• الضجيج: مع التطور التكنلوجي وزيادة استخدام الآلات الضخمة في عمليات التعدين والحفر ازدادت حدة الضجيج والاهتزاز التي نتج انبعاثات ضجيج عالية الشدة وبالإضافة إلى الضجة فإن معظم الآلات تصدر اهتزازات تنتقل بصورة مباشرة إلى أجزاء من جسم الانسان تؤثر سلباً على صحته على المدى البعيد، لهذا فإن مصادر الضجة في المناجم يستلزم الفحص الدوري لمستوى الضجة وتأثيره على صحة العمال في </w:t>
      </w:r>
      <w:proofErr w:type="gramStart"/>
      <w:r w:rsidRPr="00677147">
        <w:rPr>
          <w:rFonts w:ascii="Simplified Arabic" w:eastAsia="Calibri" w:hAnsi="Simplified Arabic" w:cs="Simplified Arabic"/>
          <w:kern w:val="2"/>
          <w:sz w:val="28"/>
          <w:szCs w:val="28"/>
          <w:rtl/>
        </w:rPr>
        <w:t>المنجم .</w:t>
      </w:r>
      <w:proofErr w:type="gramEnd"/>
      <w:r w:rsidRPr="00677147">
        <w:rPr>
          <w:rFonts w:ascii="Simplified Arabic" w:eastAsia="Calibri" w:hAnsi="Simplified Arabic" w:cs="Simplified Arabic"/>
          <w:kern w:val="2"/>
          <w:sz w:val="28"/>
          <w:szCs w:val="28"/>
          <w:rtl/>
        </w:rPr>
        <w:t>(</w:t>
      </w:r>
      <w:proofErr w:type="spellStart"/>
      <w:r w:rsidRPr="00677147">
        <w:rPr>
          <w:rFonts w:ascii="Simplified Arabic" w:eastAsia="Calibri" w:hAnsi="Simplified Arabic" w:cs="Simplified Arabic"/>
          <w:kern w:val="2"/>
          <w:sz w:val="28"/>
          <w:szCs w:val="28"/>
        </w:rPr>
        <w:t>Miktsell</w:t>
      </w:r>
      <w:proofErr w:type="spellEnd"/>
      <w:r w:rsidRPr="00677147">
        <w:rPr>
          <w:rFonts w:ascii="Simplified Arabic" w:eastAsia="Calibri" w:hAnsi="Simplified Arabic" w:cs="Simplified Arabic"/>
          <w:kern w:val="2"/>
          <w:sz w:val="28"/>
          <w:szCs w:val="28"/>
        </w:rPr>
        <w:t xml:space="preserve"> &amp; Whitney, 2017</w:t>
      </w:r>
      <w:r w:rsidRPr="00677147">
        <w:rPr>
          <w:rFonts w:ascii="Simplified Arabic" w:eastAsia="Calibri" w:hAnsi="Simplified Arabic" w:cs="Simplified Arabic"/>
          <w:kern w:val="2"/>
          <w:sz w:val="28"/>
          <w:szCs w:val="28"/>
          <w:rtl/>
        </w:rPr>
        <w:t>)</w:t>
      </w:r>
    </w:p>
    <w:p w14:paraId="058E50A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الاهتزازات: ويقصد بها "حركات متذبذبة في المجال تحت الصوتي أو ترددات مسموعة جزئياً" (,</w:t>
      </w:r>
      <w:r w:rsidRPr="00677147">
        <w:rPr>
          <w:rFonts w:ascii="Simplified Arabic" w:eastAsia="Calibri" w:hAnsi="Simplified Arabic" w:cs="Simplified Arabic"/>
          <w:kern w:val="2"/>
          <w:sz w:val="28"/>
          <w:szCs w:val="28"/>
        </w:rPr>
        <w:t>Meyer &amp; Steyn</w:t>
      </w:r>
      <w:r w:rsidRPr="00677147">
        <w:rPr>
          <w:rFonts w:ascii="Simplified Arabic" w:eastAsia="Calibri" w:hAnsi="Simplified Arabic" w:cs="Simplified Arabic"/>
          <w:kern w:val="2"/>
          <w:sz w:val="28"/>
          <w:szCs w:val="28"/>
          <w:rtl/>
        </w:rPr>
        <w:t xml:space="preserve"> 2016). وتحتوي المناجم على مصادر كثيرة للاهتزاز تتمثل في "الآلات والمعدات الكتل المتحركة عديمة التوازن، والاحتكاكات بين الآليات أو الأجزاء الرابطة بين الآلات المختلفة، وغيرها" (المعهد العربي للصحة والسلامة المهنية، 2010</w:t>
      </w:r>
      <w:r w:rsidRPr="00677147">
        <w:rPr>
          <w:rFonts w:ascii="Simplified Arabic" w:eastAsia="Calibri" w:hAnsi="Simplified Arabic" w:cs="Simplified Arabic" w:hint="cs"/>
          <w:kern w:val="2"/>
          <w:sz w:val="28"/>
          <w:szCs w:val="28"/>
          <w:rtl/>
        </w:rPr>
        <w:t>)</w:t>
      </w:r>
    </w:p>
    <w:p w14:paraId="3FB91A2B"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الوقاية من الضجة والاهتزاز:</w:t>
      </w:r>
    </w:p>
    <w:p w14:paraId="3B2DB4F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تعتبر اجراءات الوقاية من خطر الاهتزاز ذات طبيعة تقنية، وذلك عن طريق خفض الاهتزازات في مرحلة تصميم المعدات من خلال تعديل التوازن وتركيز الاجزاء المتحركة وخفض الحركة فيما بينها. كما يجب اخذ الحذر عند تصميم </w:t>
      </w:r>
      <w:proofErr w:type="spellStart"/>
      <w:r w:rsidRPr="00677147">
        <w:rPr>
          <w:rFonts w:ascii="Simplified Arabic" w:eastAsia="Calibri" w:hAnsi="Simplified Arabic" w:cs="Simplified Arabic"/>
          <w:kern w:val="2"/>
          <w:sz w:val="28"/>
          <w:szCs w:val="28"/>
          <w:rtl/>
        </w:rPr>
        <w:t>المسئنات</w:t>
      </w:r>
      <w:proofErr w:type="spellEnd"/>
      <w:r w:rsidRPr="00677147">
        <w:rPr>
          <w:rFonts w:ascii="Simplified Arabic" w:eastAsia="Calibri" w:hAnsi="Simplified Arabic" w:cs="Simplified Arabic"/>
          <w:kern w:val="2"/>
          <w:sz w:val="28"/>
          <w:szCs w:val="28"/>
          <w:rtl/>
        </w:rPr>
        <w:t xml:space="preserve"> وأجهزة الانتقال ويتم ذلك من خلال ما يلي (2017 ,</w:t>
      </w:r>
      <w:proofErr w:type="spellStart"/>
      <w:r w:rsidRPr="00677147">
        <w:rPr>
          <w:rFonts w:ascii="Simplified Arabic" w:eastAsia="Calibri" w:hAnsi="Simplified Arabic" w:cs="Simplified Arabic"/>
          <w:kern w:val="2"/>
          <w:sz w:val="28"/>
          <w:szCs w:val="28"/>
        </w:rPr>
        <w:t>Miktsell</w:t>
      </w:r>
      <w:proofErr w:type="spellEnd"/>
      <w:r w:rsidRPr="00677147">
        <w:rPr>
          <w:rFonts w:ascii="Simplified Arabic" w:eastAsia="Calibri" w:hAnsi="Simplified Arabic" w:cs="Simplified Arabic"/>
          <w:kern w:val="2"/>
          <w:sz w:val="28"/>
          <w:szCs w:val="28"/>
        </w:rPr>
        <w:t xml:space="preserve"> &amp; Whitney</w:t>
      </w:r>
      <w:r w:rsidRPr="00677147">
        <w:rPr>
          <w:rFonts w:ascii="Simplified Arabic" w:eastAsia="Calibri" w:hAnsi="Simplified Arabic" w:cs="Simplified Arabic"/>
          <w:kern w:val="2"/>
          <w:sz w:val="28"/>
          <w:szCs w:val="28"/>
          <w:rtl/>
        </w:rPr>
        <w:t xml:space="preserve">): استخدام الأدوات </w:t>
      </w:r>
      <w:proofErr w:type="spellStart"/>
      <w:r w:rsidRPr="00677147">
        <w:rPr>
          <w:rFonts w:ascii="Simplified Arabic" w:eastAsia="Calibri" w:hAnsi="Simplified Arabic" w:cs="Simplified Arabic"/>
          <w:kern w:val="2"/>
          <w:sz w:val="28"/>
          <w:szCs w:val="28"/>
          <w:rtl/>
        </w:rPr>
        <w:t>المخمدة</w:t>
      </w:r>
      <w:proofErr w:type="spellEnd"/>
      <w:r w:rsidRPr="00677147">
        <w:rPr>
          <w:rFonts w:ascii="Simplified Arabic" w:eastAsia="Calibri" w:hAnsi="Simplified Arabic" w:cs="Simplified Arabic"/>
          <w:kern w:val="2"/>
          <w:sz w:val="28"/>
          <w:szCs w:val="28"/>
          <w:rtl/>
        </w:rPr>
        <w:t xml:space="preserve"> للاهتزاز بين الإطار والأجزاء المتحركة آلة، وتزويد مقابض الادوات بمواد تمتص الاهتزاز بهدف حماية الأيدي، وارتداء قفازات خاصة ثنائية الطبقة تعمل على امتصاص الاهتزاز.</w:t>
      </w:r>
    </w:p>
    <w:p w14:paraId="6385582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 الإشعاع المؤين: تكثر مثل هذه المخاطر في مناجم استخراج اليورانيوم والثوريوم، مع احتمالية تواجد مثل هذه المخاطر في مناجم أخرى خصوصاً عندما تحتوي الطبقات </w:t>
      </w:r>
      <w:r w:rsidRPr="00677147">
        <w:rPr>
          <w:rFonts w:ascii="Simplified Arabic" w:eastAsia="Calibri" w:hAnsi="Simplified Arabic" w:cs="Simplified Arabic"/>
          <w:kern w:val="2"/>
          <w:sz w:val="28"/>
          <w:szCs w:val="28"/>
          <w:rtl/>
        </w:rPr>
        <w:lastRenderedPageBreak/>
        <w:t>المناجم كميات معتدلة من العناصر النشطة إشعاعيا، وهناك نوعين لخطر الإشعاع المؤين على عمال المناجم يتمثلان فيما يلي (المعهد العربي للصحة والسلامة المهنية، 2010):</w:t>
      </w:r>
    </w:p>
    <w:p w14:paraId="0D93AEE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1. إشعاع خارجي: ويكون مصدره جدران المنجم ويتم توليده بصورة رئيسية من أشعة غاما، وبدرجة أقل من أشعة </w:t>
      </w:r>
      <w:proofErr w:type="spellStart"/>
      <w:r w:rsidRPr="00677147">
        <w:rPr>
          <w:rFonts w:ascii="Simplified Arabic" w:eastAsia="Calibri" w:hAnsi="Simplified Arabic" w:cs="Simplified Arabic"/>
          <w:kern w:val="2"/>
          <w:sz w:val="28"/>
          <w:szCs w:val="28"/>
          <w:rtl/>
        </w:rPr>
        <w:t>ب</w:t>
      </w:r>
      <w:r w:rsidRPr="00677147">
        <w:rPr>
          <w:rFonts w:ascii="Simplified Arabic" w:eastAsia="Calibri" w:hAnsi="Simplified Arabic" w:cs="Simplified Arabic" w:hint="cs"/>
          <w:kern w:val="2"/>
          <w:sz w:val="28"/>
          <w:szCs w:val="28"/>
          <w:rtl/>
        </w:rPr>
        <w:t>ی</w:t>
      </w:r>
      <w:r w:rsidRPr="00677147">
        <w:rPr>
          <w:rFonts w:ascii="Simplified Arabic" w:eastAsia="Calibri" w:hAnsi="Simplified Arabic" w:cs="Simplified Arabic" w:hint="eastAsia"/>
          <w:kern w:val="2"/>
          <w:sz w:val="28"/>
          <w:szCs w:val="28"/>
          <w:rtl/>
        </w:rPr>
        <w:t>تا</w:t>
      </w:r>
      <w:proofErr w:type="spellEnd"/>
      <w:r w:rsidRPr="00677147">
        <w:rPr>
          <w:rFonts w:ascii="Simplified Arabic" w:eastAsia="Calibri" w:hAnsi="Simplified Arabic" w:cs="Simplified Arabic"/>
          <w:kern w:val="2"/>
          <w:sz w:val="28"/>
          <w:szCs w:val="28"/>
          <w:rtl/>
        </w:rPr>
        <w:t>.</w:t>
      </w:r>
    </w:p>
    <w:p w14:paraId="75A8B7F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2. إشعاع داخلي: وهو المتولد من أشعة ألفا المنطلقة عن جسيمات الرادون المستنشقة، إضافة إلى جسيمات </w:t>
      </w:r>
      <w:r w:rsidRPr="00677147">
        <w:rPr>
          <w:rFonts w:ascii="Simplified Arabic" w:eastAsia="Calibri" w:hAnsi="Simplified Arabic" w:cs="Simplified Arabic" w:hint="eastAsia"/>
          <w:kern w:val="2"/>
          <w:sz w:val="28"/>
          <w:szCs w:val="28"/>
          <w:rtl/>
        </w:rPr>
        <w:t>الاغبرة</w:t>
      </w:r>
      <w:r w:rsidRPr="00677147">
        <w:rPr>
          <w:rFonts w:ascii="Simplified Arabic" w:eastAsia="Calibri" w:hAnsi="Simplified Arabic" w:cs="Simplified Arabic"/>
          <w:kern w:val="2"/>
          <w:sz w:val="28"/>
          <w:szCs w:val="28"/>
          <w:rtl/>
        </w:rPr>
        <w:t xml:space="preserve"> الملتصق بها الرادون وهذا النوع منتشر في المناجم المفتوحة ولكنه قد يصل خطره إلى المناجم الباطنية، </w:t>
      </w:r>
      <w:r w:rsidRPr="00677147">
        <w:rPr>
          <w:rFonts w:ascii="Simplified Arabic" w:eastAsia="Calibri" w:hAnsi="Simplified Arabic" w:cs="Simplified Arabic" w:hint="eastAsia"/>
          <w:kern w:val="2"/>
          <w:sz w:val="28"/>
          <w:szCs w:val="28"/>
          <w:rtl/>
        </w:rPr>
        <w:t>كما</w:t>
      </w:r>
      <w:r w:rsidRPr="00677147">
        <w:rPr>
          <w:rFonts w:ascii="Simplified Arabic" w:eastAsia="Calibri" w:hAnsi="Simplified Arabic" w:cs="Simplified Arabic"/>
          <w:kern w:val="2"/>
          <w:sz w:val="28"/>
          <w:szCs w:val="28"/>
          <w:rtl/>
        </w:rPr>
        <w:t xml:space="preserve"> توجد </w:t>
      </w:r>
      <w:proofErr w:type="spellStart"/>
      <w:r w:rsidRPr="00677147">
        <w:rPr>
          <w:rFonts w:ascii="Simplified Arabic" w:eastAsia="Calibri" w:hAnsi="Simplified Arabic" w:cs="Simplified Arabic"/>
          <w:kern w:val="2"/>
          <w:sz w:val="28"/>
          <w:szCs w:val="28"/>
          <w:rtl/>
        </w:rPr>
        <w:t>ارتشاحات</w:t>
      </w:r>
      <w:proofErr w:type="spellEnd"/>
      <w:r w:rsidRPr="00677147">
        <w:rPr>
          <w:rFonts w:ascii="Simplified Arabic" w:eastAsia="Calibri" w:hAnsi="Simplified Arabic" w:cs="Simplified Arabic"/>
          <w:kern w:val="2"/>
          <w:sz w:val="28"/>
          <w:szCs w:val="28"/>
          <w:rtl/>
        </w:rPr>
        <w:t xml:space="preserve"> من الرادون في الاماكن المهجورة والتي ينبغي اغلاقها بإحكام وقد تحمل المياه الجوفية في بعض الاحيان كميات من الرادون لذلك ينبغي جمع هذه المياه ونقلها عبر قنوات محكمة الاغلاق إلى مناطق خاصة بالردم. </w:t>
      </w:r>
    </w:p>
    <w:p w14:paraId="64A76556"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الوقاية من خطر الإشعاع المؤين:</w:t>
      </w:r>
    </w:p>
    <w:p w14:paraId="04E77AF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يعتبر الإشعاع المؤين من أكثر المخاطر ضرراً على صحة العاملين في المناجم لذلك يجب الأخذ في الاعتبارات إجراءات الأمن والسلامة للوقاية من أخطاره وهي تتمثل فيما يلي (ناصر، 2008):</w:t>
      </w:r>
    </w:p>
    <w:p w14:paraId="3F65570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1. الاعتماد على هواء نقي من خلال تركيب تهوية موجبة يتم استخدامها في ازالة الأغبرة الملوثة.</w:t>
      </w:r>
    </w:p>
    <w:p w14:paraId="2DC9A18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2. التهوية في عمليات تخزين الخامات المستخرجة من المناجم لإبقاء خطر الرادون ومنتجاته تحت</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المراقبة.</w:t>
      </w:r>
    </w:p>
    <w:p w14:paraId="2B47ACE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3. تفعيل الاجراءات الخاصة برصد التقني لبيئة العمل في المنجم.</w:t>
      </w:r>
    </w:p>
    <w:p w14:paraId="77C0544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4. السماح بمرور فترة كافية بين بدء عمل نظام التهوية في المنجم وزمن دخول العمال إلى المنجم.</w:t>
      </w:r>
    </w:p>
    <w:p w14:paraId="286F3E5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5. ألا يمارس العمال عملهم في أماكن عودة الهواء، أو في الاقسام المغلقة من المنجم دون تصريح.</w:t>
      </w:r>
    </w:p>
    <w:p w14:paraId="4EB7F30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6. رصد تعرض العمال للإشعاع الخارجي بصورة مستمرة باستخدام اجهزة رصد شخصية </w:t>
      </w:r>
    </w:p>
    <w:p w14:paraId="01F29EA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العوامل الكيميائية: يتعرض عمال المناجم لمواد الكيميائية المتواجدة في المناجم على صورة غازات أو أدخنة أو أغبرة أو ذائبة في مياه المنجم، ومن أكثر المواد الكيميائية انتشاراً (المعهد العربي للصحة والسلامة المهنية، 2010):</w:t>
      </w:r>
    </w:p>
    <w:p w14:paraId="53BCF0A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1. غبار السيليكا: المتواجدة في المناجم بنسب مختلفة وهي معروفة بتأثيرها على الرئتين مسببة</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التليف.</w:t>
      </w:r>
    </w:p>
    <w:p w14:paraId="12688F1C"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2. الأغبرة الحاوية: وهي من المواد الكيميائية الضارة والسامة في المناجم مثل </w:t>
      </w:r>
      <w:proofErr w:type="spellStart"/>
      <w:r w:rsidRPr="00677147">
        <w:rPr>
          <w:rFonts w:ascii="Simplified Arabic" w:eastAsia="Calibri" w:hAnsi="Simplified Arabic" w:cs="Simplified Arabic"/>
          <w:kern w:val="2"/>
          <w:sz w:val="28"/>
          <w:szCs w:val="28"/>
          <w:rtl/>
        </w:rPr>
        <w:t>الاسبست</w:t>
      </w:r>
      <w:proofErr w:type="spellEnd"/>
      <w:r w:rsidRPr="00677147">
        <w:rPr>
          <w:rFonts w:ascii="Simplified Arabic" w:eastAsia="Calibri" w:hAnsi="Simplified Arabic" w:cs="Simplified Arabic"/>
          <w:kern w:val="2"/>
          <w:sz w:val="28"/>
          <w:szCs w:val="28"/>
          <w:rtl/>
        </w:rPr>
        <w:t xml:space="preserve"> والغرافيت </w:t>
      </w:r>
      <w:proofErr w:type="spellStart"/>
      <w:r w:rsidRPr="00677147">
        <w:rPr>
          <w:rFonts w:ascii="Simplified Arabic" w:eastAsia="Calibri" w:hAnsi="Simplified Arabic" w:cs="Simplified Arabic"/>
          <w:kern w:val="2"/>
          <w:sz w:val="28"/>
          <w:szCs w:val="28"/>
          <w:rtl/>
        </w:rPr>
        <w:t>والتالك</w:t>
      </w:r>
      <w:proofErr w:type="spellEnd"/>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والزرنيخ والرصاص والزئبق.</w:t>
      </w:r>
    </w:p>
    <w:p w14:paraId="5046F33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3. أول أكسيد الكربون وغازات </w:t>
      </w:r>
      <w:proofErr w:type="spellStart"/>
      <w:r w:rsidRPr="00677147">
        <w:rPr>
          <w:rFonts w:ascii="Simplified Arabic" w:eastAsia="Calibri" w:hAnsi="Simplified Arabic" w:cs="Simplified Arabic"/>
          <w:kern w:val="2"/>
          <w:sz w:val="28"/>
          <w:szCs w:val="28"/>
          <w:rtl/>
        </w:rPr>
        <w:t>النتروز</w:t>
      </w:r>
      <w:proofErr w:type="spellEnd"/>
      <w:r w:rsidRPr="00677147">
        <w:rPr>
          <w:rFonts w:ascii="Simplified Arabic" w:eastAsia="Calibri" w:hAnsi="Simplified Arabic" w:cs="Simplified Arabic"/>
          <w:kern w:val="2"/>
          <w:sz w:val="28"/>
          <w:szCs w:val="28"/>
          <w:rtl/>
        </w:rPr>
        <w:t>: المنبعثة من المحركات ومن المتفجرات الصلبة.</w:t>
      </w:r>
    </w:p>
    <w:p w14:paraId="4CEE9C1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4. كبريت الهيدروجين: الناتج من الانفجارات تحت الأرض أو نتيجة تحلل المواد العضوية في المياه الراكدة وله تأثير شديد على العيون وعلى المجرى التنفسي ويتميز بالسمية العالية ويؤدي إلى الموت في عند تواجده بتراكيز مرتفعة.</w:t>
      </w:r>
      <w:r w:rsidRPr="00677147">
        <w:rPr>
          <w:rFonts w:ascii="Simplified Arabic" w:eastAsia="Calibri" w:hAnsi="Simplified Arabic" w:cs="Simplified Arabic" w:hint="cs"/>
          <w:kern w:val="2"/>
          <w:sz w:val="28"/>
          <w:szCs w:val="28"/>
          <w:rtl/>
        </w:rPr>
        <w:t xml:space="preserve"> بالإضافة الى </w:t>
      </w:r>
      <w:r w:rsidRPr="00677147">
        <w:rPr>
          <w:rFonts w:ascii="Simplified Arabic" w:eastAsia="Calibri" w:hAnsi="Simplified Arabic" w:cs="Simplified Arabic"/>
          <w:kern w:val="2"/>
          <w:sz w:val="28"/>
          <w:szCs w:val="28"/>
          <w:rtl/>
        </w:rPr>
        <w:t>غاز الكبريتيد</w:t>
      </w:r>
    </w:p>
    <w:p w14:paraId="78E60C64"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5. الزرنيخ: تنطلق أغبرة هذه المركبات في خلال عمليات الصهر والسحق والغربلة والنقل لخامات الحديد الزرنيخية في المناجم وهي ابتلاعها يؤدي إلى اضطرابات في الجهاز الهضمي، وبالآلام باطنية، ووهن متنامي، وقد</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يتسبب بحدوث مرض السرطان وفي حالات نادرة قد يصاب العامل في المنجم بالتسمم.</w:t>
      </w:r>
    </w:p>
    <w:p w14:paraId="2C765ED3"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6. غاز المثان: يتميز غاز الميثان بعدم سميته، ولكنه يشكل مزيج منفجر مع الهواء.</w:t>
      </w:r>
    </w:p>
    <w:p w14:paraId="5420A04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 xml:space="preserve">7. المنغنيز: وهو من أكثر خامات العناصر سمية وخطر ويتواجد في الغالب في صورة أكاسيد متنوعة في </w:t>
      </w:r>
      <w:proofErr w:type="spellStart"/>
      <w:r w:rsidRPr="00677147">
        <w:rPr>
          <w:rFonts w:ascii="Simplified Arabic" w:eastAsia="Calibri" w:hAnsi="Simplified Arabic" w:cs="Simplified Arabic"/>
          <w:kern w:val="2"/>
          <w:sz w:val="28"/>
          <w:szCs w:val="28"/>
          <w:rtl/>
        </w:rPr>
        <w:t>التوضعات</w:t>
      </w:r>
      <w:proofErr w:type="spellEnd"/>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الرسوبية التي يتم استخراجه منها بالطريقة الرسوبية.</w:t>
      </w:r>
    </w:p>
    <w:p w14:paraId="02B2165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050FF12F"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الوقاية من خطر المواد الكيميائية:</w:t>
      </w:r>
    </w:p>
    <w:p w14:paraId="4FA448E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وقد تم تطبيق نظم مختلفة لخفض وترسيب هذه الغازات قبل انتشارها في بيئة المنجم تتمثل فيما يلي (2017 ,</w:t>
      </w:r>
      <w:proofErr w:type="spellStart"/>
      <w:r w:rsidRPr="00677147">
        <w:rPr>
          <w:rFonts w:ascii="Simplified Arabic" w:eastAsia="Calibri" w:hAnsi="Simplified Arabic" w:cs="Simplified Arabic"/>
          <w:kern w:val="2"/>
          <w:sz w:val="28"/>
          <w:szCs w:val="28"/>
        </w:rPr>
        <w:t>Miktsell</w:t>
      </w:r>
      <w:proofErr w:type="spellEnd"/>
      <w:r w:rsidRPr="00677147">
        <w:rPr>
          <w:rFonts w:ascii="Simplified Arabic" w:eastAsia="Calibri" w:hAnsi="Simplified Arabic" w:cs="Simplified Arabic"/>
          <w:kern w:val="2"/>
          <w:sz w:val="28"/>
          <w:szCs w:val="28"/>
        </w:rPr>
        <w:t xml:space="preserve"> &amp; Whitney</w:t>
      </w:r>
      <w:r w:rsidRPr="00677147">
        <w:rPr>
          <w:rFonts w:ascii="Simplified Arabic" w:eastAsia="Calibri" w:hAnsi="Simplified Arabic" w:cs="Simplified Arabic"/>
          <w:kern w:val="2"/>
          <w:sz w:val="28"/>
          <w:szCs w:val="28"/>
          <w:rtl/>
        </w:rPr>
        <w:t>): امرار غازات العادم عبر غرفة بقبقة، والحرق التحفيزي: ويتم من خلال حرق الغازات بالأكسجين وهي طريقة أثبتت فاعليتها خصوصاً في معالجة الغازات بدرجات حرارة مرتفعة.</w:t>
      </w:r>
    </w:p>
    <w:p w14:paraId="6C8EAD6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المناخ الصخري: وهو من أكثر مصادر الاجهاد في المناجم ومن أبرز العوامل التي تؤدي إلى المناخ الصغرى هي، درجات الحرارة والرطوبة بسبب العمق ومحركات ومعدات عمليات التعدين الباطني. وقد يتعرض العاملين في المنجم لتغيرات الحرارة المفاجئة عندما يكونون في مناخ حار وثم الخروج إلى خارج المنجم حيث درجات الحرارة المنخفضة، وهذا التغير المفاجئ في درجات الحرارة يشكل عام هام في التسبب في المشاكل التنفسية في القصبة الهوائية والرئتين والمفصلية لدى عمال المناجم.</w:t>
      </w:r>
    </w:p>
    <w:p w14:paraId="389F99B2"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الإضاءة: لا توجد دراسات أو بحوث علمية حول تأثير الإضاءة في المناجم على صحة العمال ولكن هناك مرض منتشر بشكل واسع جداً بين عمال المناجم وهو (رأرأة عمال المناج) ناجم عن نظام الاضاءة السيئة، كما أن النظام السيء للإضاءة له تأثير سلبي على الشعور بالراحة، والانتاجية، وقد تم مؤخراً فرض تحسينات ملحوظة على نظم الاضاءة في المناجم.</w:t>
      </w:r>
    </w:p>
    <w:p w14:paraId="5DD80194"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استخدام المتفجرات: ينجم عن عمليات التفجير الكثير من الأخطار وتم فرض العديد من الممارسات للحد من خطر عمليات التفجير في المناجم وهي كالتالي:</w:t>
      </w:r>
    </w:p>
    <w:p w14:paraId="42C1624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1. استخدام المتفجرات طبقاً لأنظمة السلامة المحلية والوطنية الخاصة بالمتفجرات.</w:t>
      </w:r>
    </w:p>
    <w:p w14:paraId="0FE443F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2. أن يتم تخصيص خبراء ومختصين في المتفجرات للقيام بأعمال التفجير.</w:t>
      </w:r>
    </w:p>
    <w:p w14:paraId="431126F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3. توفير إدارة فعالة لأنشطة التفجير في المناجم تتضمن "التحميل، والتزويد بشعلة التفجير، وإطلاق</w:t>
      </w:r>
    </w:p>
    <w:p w14:paraId="0410945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المتفجرات، والحفر بالقرب من المتفجرات والطلقات التي لم تنطلق والتخلص منها".</w:t>
      </w:r>
    </w:p>
    <w:p w14:paraId="0B17B9C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4. أن يتم تعين أوقات ومنية محددة لعمليات التفجير.</w:t>
      </w:r>
    </w:p>
    <w:p w14:paraId="283FD26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5. إطلاق أجهزة الإنذار قبل إجراء عملية التفجير وذلك لتحذير العاملين في المكان والمناطق المحيطة.</w:t>
      </w:r>
    </w:p>
    <w:p w14:paraId="3377869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6. تنفيذ برامج تدريبية يشأن كيفية إدارة عمليات التفجير وإجراءات الأمن والسلامة الخاصة بها.</w:t>
      </w:r>
    </w:p>
    <w:p w14:paraId="0B735282"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المخاطر الفيزيائية: تتضمن المخاطر الفيزيائية في المناجم التي تندرج تحت عمليات التعدين على ما</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يلي:</w:t>
      </w:r>
    </w:p>
    <w:p w14:paraId="6230FE2C"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1. التعرض لتهديدات الانزلاقات الأرضية.</w:t>
      </w:r>
    </w:p>
    <w:p w14:paraId="0C93B9A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2. سقوط الصخور إثر عمليات الحفر أو التفجير أو النقل.</w:t>
      </w:r>
    </w:p>
    <w:p w14:paraId="1A44E83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3. انهيار جدران الم</w:t>
      </w:r>
      <w:r w:rsidRPr="00677147">
        <w:rPr>
          <w:rFonts w:ascii="Simplified Arabic" w:eastAsia="Calibri" w:hAnsi="Simplified Arabic" w:cs="Simplified Arabic" w:hint="cs"/>
          <w:kern w:val="2"/>
          <w:sz w:val="28"/>
          <w:szCs w:val="28"/>
          <w:rtl/>
        </w:rPr>
        <w:t>نج</w:t>
      </w:r>
      <w:r w:rsidRPr="00677147">
        <w:rPr>
          <w:rFonts w:ascii="Simplified Arabic" w:eastAsia="Calibri" w:hAnsi="Simplified Arabic" w:cs="Simplified Arabic"/>
          <w:kern w:val="2"/>
          <w:sz w:val="28"/>
          <w:szCs w:val="28"/>
          <w:rtl/>
        </w:rPr>
        <w:t>م</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في عمليات التعدين السطحي، أو الانهيار الطيني في جدران المنجم تحت</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سطحي.</w:t>
      </w:r>
    </w:p>
    <w:p w14:paraId="608D95E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4. المخاطر المتعلقة بعمليات النقل مثل (الشاحنات، طرق النقل العالية، والسكك الحديدية).</w:t>
      </w:r>
    </w:p>
    <w:p w14:paraId="32BD2F9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roofErr w:type="spellStart"/>
      <w:r w:rsidRPr="00677147">
        <w:rPr>
          <w:rFonts w:ascii="Simplified Arabic" w:eastAsia="Calibri" w:hAnsi="Simplified Arabic" w:cs="Simplified Arabic" w:hint="cs"/>
          <w:b/>
          <w:bCs/>
          <w:kern w:val="2"/>
          <w:sz w:val="28"/>
          <w:szCs w:val="28"/>
          <w:rtl/>
        </w:rPr>
        <w:t>الوقايه</w:t>
      </w:r>
      <w:proofErr w:type="spellEnd"/>
      <w:r w:rsidRPr="00677147">
        <w:rPr>
          <w:rFonts w:ascii="Simplified Arabic" w:eastAsia="Calibri" w:hAnsi="Simplified Arabic" w:cs="Simplified Arabic" w:hint="cs"/>
          <w:b/>
          <w:bCs/>
          <w:kern w:val="2"/>
          <w:sz w:val="28"/>
          <w:szCs w:val="28"/>
          <w:rtl/>
        </w:rPr>
        <w:t xml:space="preserve"> من مخاطر المعدات </w:t>
      </w:r>
      <w:proofErr w:type="spellStart"/>
      <w:r w:rsidRPr="00677147">
        <w:rPr>
          <w:rFonts w:ascii="Simplified Arabic" w:eastAsia="Calibri" w:hAnsi="Simplified Arabic" w:cs="Simplified Arabic" w:hint="cs"/>
          <w:b/>
          <w:bCs/>
          <w:kern w:val="2"/>
          <w:sz w:val="28"/>
          <w:szCs w:val="28"/>
          <w:rtl/>
        </w:rPr>
        <w:t>المتنقله</w:t>
      </w:r>
      <w:proofErr w:type="spellEnd"/>
      <w:r w:rsidRPr="00677147">
        <w:rPr>
          <w:rFonts w:ascii="Simplified Arabic" w:eastAsia="Calibri" w:hAnsi="Simplified Arabic" w:cs="Simplified Arabic" w:hint="cs"/>
          <w:b/>
          <w:bCs/>
          <w:kern w:val="2"/>
          <w:sz w:val="28"/>
          <w:szCs w:val="28"/>
          <w:rtl/>
        </w:rPr>
        <w:t xml:space="preserve"> </w:t>
      </w:r>
      <w:proofErr w:type="spellStart"/>
      <w:r w:rsidRPr="00677147">
        <w:rPr>
          <w:rFonts w:ascii="Simplified Arabic" w:eastAsia="Calibri" w:hAnsi="Simplified Arabic" w:cs="Simplified Arabic" w:hint="cs"/>
          <w:b/>
          <w:bCs/>
          <w:kern w:val="2"/>
          <w:sz w:val="28"/>
          <w:szCs w:val="28"/>
          <w:rtl/>
        </w:rPr>
        <w:t>الثقيله</w:t>
      </w:r>
      <w:proofErr w:type="spellEnd"/>
      <w:r w:rsidRPr="00677147">
        <w:rPr>
          <w:rFonts w:ascii="Simplified Arabic" w:eastAsia="Calibri" w:hAnsi="Simplified Arabic" w:cs="Simplified Arabic" w:hint="cs"/>
          <w:b/>
          <w:bCs/>
          <w:kern w:val="2"/>
          <w:sz w:val="28"/>
          <w:szCs w:val="28"/>
          <w:rtl/>
        </w:rPr>
        <w:t xml:space="preserve"> </w:t>
      </w:r>
      <w:proofErr w:type="gramStart"/>
      <w:r w:rsidRPr="00677147">
        <w:rPr>
          <w:rFonts w:ascii="Simplified Arabic" w:eastAsia="Calibri" w:hAnsi="Simplified Arabic" w:cs="Simplified Arabic" w:hint="cs"/>
          <w:b/>
          <w:bCs/>
          <w:kern w:val="2"/>
          <w:sz w:val="28"/>
          <w:szCs w:val="28"/>
          <w:rtl/>
        </w:rPr>
        <w:t>كالشاحنات  وايضاً</w:t>
      </w:r>
      <w:proofErr w:type="gramEnd"/>
      <w:r w:rsidRPr="00677147">
        <w:rPr>
          <w:rFonts w:ascii="Simplified Arabic" w:eastAsia="Calibri" w:hAnsi="Simplified Arabic" w:cs="Simplified Arabic" w:hint="cs"/>
          <w:b/>
          <w:bCs/>
          <w:kern w:val="2"/>
          <w:sz w:val="28"/>
          <w:szCs w:val="28"/>
          <w:rtl/>
        </w:rPr>
        <w:t xml:space="preserve"> المعدات الدوارة </w:t>
      </w:r>
    </w:p>
    <w:p w14:paraId="1ED777D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lastRenderedPageBreak/>
        <w:t xml:space="preserve">تعتمد الوقاية من مخاطر المعدات المتنقلة الثقيلة والمعدات الدوارة في مناجم النحاس على تطبيق إجراءات سلامة صارمة تهدف إلى حماية العمال وتقليل الحوادث. </w:t>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 xml:space="preserve">تتطلب هذه العمليات بيئة عمل منظمة ومنضبطة، حيث تشكل المعدات الثقيلة مثل الشاحنات القلابة والجرافات تهديدًا كبيرًا إذا لم يتم التعامل معها بحذر. </w:t>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يؤدي ضعف الرؤية وحجم المعدات الضخم إلى زيادة احتمالية وقوع حوادث الاصطدام أو الدهس، ما يستدعي استخدام أنظمة تحذير متقدمة تشمل الكاميرات وأجهزة الاستشعار التي تنبه السائقين والعاملين في الموقع</w:t>
      </w:r>
      <w:r w:rsidRPr="00677147">
        <w:rPr>
          <w:rFonts w:ascii="Simplified Arabic" w:eastAsia="Calibri" w:hAnsi="Simplified Arabic" w:cs="Simplified Arabic"/>
          <w:kern w:val="2"/>
          <w:sz w:val="28"/>
          <w:szCs w:val="28"/>
        </w:rPr>
        <w:t>.</w:t>
      </w:r>
    </w:p>
    <w:p w14:paraId="4B1C5D1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 xml:space="preserve">تحتم معايير السلامة في المناجم تحديد مسارات واضحة لحركة المركبات الثقيلة، مما يضمن تقليل التداخل بينها وبين المشاة. </w:t>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يساعد تدريب السائقين على التعامل مع بيئة العمل الخطرة، بالإضافة إلى فرض ارتداء معدات الوقاية الشخصية مثل السترات العاكسة والخوذ الواقية، في تعزيز السلامة وتقليل المخاطر المحتملة. كما تسهم عمليات الصيانة الدورية في الحفاظ على كفاءة المعدات ومنع الأعطال المفاجئة التي قد تؤدي إلى حوادث كارثية</w:t>
      </w:r>
      <w:r w:rsidRPr="00677147">
        <w:rPr>
          <w:rFonts w:ascii="Simplified Arabic" w:eastAsia="Calibri" w:hAnsi="Simplified Arabic" w:cs="Simplified Arabic"/>
          <w:kern w:val="2"/>
          <w:sz w:val="28"/>
          <w:szCs w:val="28"/>
        </w:rPr>
        <w:t>.</w:t>
      </w:r>
    </w:p>
    <w:p w14:paraId="1A2C6F9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 xml:space="preserve">تشكل المعدات الدوارة، مثل الطواحين والمناشير الصناعية، خطرًا آخر لا يقل أهمية، حيث قد يؤدي الاحتجاز بين الأجزاء المتحركة إلى إصابات جسيمة. </w:t>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 xml:space="preserve">تفرض إجراءات الأمان ضرورة تركيب حواجز واقية تمنع التلامس المباشر مع هذه الأجزاء، إلى جانب اعتماد أنظمة الإيقاف الطارئ التي تسمح بوقف التشغيل فور حدوث أي طارئ. </w:t>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يساهم وضع بروتوكولات صارمة للصيانة، تتطلب فصل الطاقة قبل أي أعمال إصلاح، في تقليل المخاطر التي قد تنتج عن التشغيل غير المقصود للمعدات</w:t>
      </w:r>
      <w:r w:rsidRPr="00677147">
        <w:rPr>
          <w:rFonts w:ascii="Simplified Arabic" w:eastAsia="Calibri" w:hAnsi="Simplified Arabic" w:cs="Simplified Arabic"/>
          <w:kern w:val="2"/>
          <w:sz w:val="28"/>
          <w:szCs w:val="28"/>
        </w:rPr>
        <w:t>.</w:t>
      </w:r>
    </w:p>
    <w:p w14:paraId="35C094D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 xml:space="preserve">يعتمد نجاح إجراءات الوقاية على التزام العمال والتقنيين بإرشادات السلامة، إلى جانب المراقبة المستمرة لحالة المعدات للكشف المبكر عن أي مشكلات محتملة. </w:t>
      </w:r>
      <w:r w:rsidRPr="00677147">
        <w:rPr>
          <w:rFonts w:ascii="Simplified Arabic" w:eastAsia="Calibri" w:hAnsi="Simplified Arabic" w:cs="Simplified Arabic" w:hint="cs"/>
          <w:kern w:val="2"/>
          <w:sz w:val="28"/>
          <w:szCs w:val="28"/>
          <w:rtl/>
        </w:rPr>
        <w:t>و</w:t>
      </w:r>
      <w:r w:rsidRPr="00677147">
        <w:rPr>
          <w:rFonts w:ascii="Simplified Arabic" w:eastAsia="Calibri" w:hAnsi="Simplified Arabic" w:cs="Simplified Arabic"/>
          <w:kern w:val="2"/>
          <w:sz w:val="28"/>
          <w:szCs w:val="28"/>
          <w:rtl/>
        </w:rPr>
        <w:t>تؤدي هذه التدابير إلى توفير بيئة عمل أكثر أمانًا، مما يعزز كفاءة العمليات ويقلل من التكاليف المرتبطة بالحوادث والإصابات في مناجم النحاس بالمملكة العربية السعودية</w:t>
      </w:r>
      <w:r w:rsidRPr="00677147">
        <w:rPr>
          <w:rFonts w:ascii="Simplified Arabic" w:eastAsia="Calibri" w:hAnsi="Simplified Arabic" w:cs="Simplified Arabic"/>
          <w:kern w:val="2"/>
          <w:sz w:val="28"/>
          <w:szCs w:val="28"/>
        </w:rPr>
        <w:t>.</w:t>
      </w:r>
    </w:p>
    <w:p w14:paraId="381BF34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p>
    <w:p w14:paraId="23508A1D"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الوقاية من المخاطر الفيزيائية:</w:t>
      </w:r>
    </w:p>
    <w:p w14:paraId="63CF5186"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وتتضمن السلامة من المخاطر الفيزيائية على إجراء تقييم لسلامة موقع العمل من سقوط الصخور أو الانزلاقات الارضية، أو الزلازل، كما وتتضمن تقييم الطوبوغرافية الطبيعية حول موقع المنجم وتضمين البنية الأساسية المتعلقة بالمنجم. </w:t>
      </w:r>
    </w:p>
    <w:p w14:paraId="23777D7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 </w:t>
      </w:r>
      <w:r w:rsidRPr="00677147">
        <w:rPr>
          <w:rFonts w:ascii="Simplified Arabic" w:eastAsia="Calibri" w:hAnsi="Simplified Arabic" w:cs="Simplified Arabic" w:hint="cs"/>
          <w:kern w:val="2"/>
          <w:sz w:val="28"/>
          <w:szCs w:val="28"/>
          <w:rtl/>
        </w:rPr>
        <w:t>نفايات</w:t>
      </w:r>
      <w:r w:rsidRPr="00677147">
        <w:rPr>
          <w:rFonts w:ascii="Simplified Arabic" w:eastAsia="Calibri" w:hAnsi="Simplified Arabic" w:cs="Simplified Arabic"/>
          <w:kern w:val="2"/>
          <w:sz w:val="28"/>
          <w:szCs w:val="28"/>
          <w:rtl/>
        </w:rPr>
        <w:t xml:space="preserve"> التعدين: من أبرز مخاطر نفايات التعدين تلوث المياه السطحية والمياه الجوفية بالمواد الحمضية الناتجة عن صرف الصخور الحمضية ونض المعادن المحتوي على السيب (</w:t>
      </w:r>
      <w:proofErr w:type="spellStart"/>
      <w:r w:rsidRPr="00677147">
        <w:rPr>
          <w:rFonts w:ascii="Simplified Arabic" w:eastAsia="Calibri" w:hAnsi="Simplified Arabic" w:cs="Simplified Arabic"/>
          <w:kern w:val="2"/>
          <w:sz w:val="28"/>
          <w:szCs w:val="28"/>
          <w:rtl/>
        </w:rPr>
        <w:t>النضاض</w:t>
      </w:r>
      <w:proofErr w:type="spellEnd"/>
      <w:r w:rsidRPr="00677147">
        <w:rPr>
          <w:rFonts w:ascii="Simplified Arabic" w:eastAsia="Calibri" w:hAnsi="Simplified Arabic" w:cs="Simplified Arabic"/>
          <w:kern w:val="2"/>
          <w:sz w:val="28"/>
          <w:szCs w:val="28"/>
          <w:rtl/>
        </w:rPr>
        <w:t>)، والتثفل في شبكات الصرف، وتولد الغبار، وحدوث مخاطر جيوتقنية، وتتفاوت استراتيجيات التعامل مع نفايات التعدين تبعاً للقيود الموجودة في الموقع وطبيعة نوع ال</w:t>
      </w:r>
      <w:r w:rsidRPr="00677147">
        <w:rPr>
          <w:rFonts w:ascii="Simplified Arabic" w:eastAsia="Calibri" w:hAnsi="Simplified Arabic" w:cs="Simplified Arabic" w:hint="cs"/>
          <w:kern w:val="2"/>
          <w:sz w:val="28"/>
          <w:szCs w:val="28"/>
          <w:rtl/>
        </w:rPr>
        <w:t>نفا</w:t>
      </w:r>
      <w:r w:rsidRPr="00677147">
        <w:rPr>
          <w:rFonts w:ascii="Simplified Arabic" w:eastAsia="Calibri" w:hAnsi="Simplified Arabic" w:cs="Simplified Arabic"/>
          <w:kern w:val="2"/>
          <w:sz w:val="28"/>
          <w:szCs w:val="28"/>
          <w:rtl/>
        </w:rPr>
        <w:t>يات.</w:t>
      </w:r>
    </w:p>
    <w:p w14:paraId="3A14F468" w14:textId="77777777" w:rsidR="00677147" w:rsidRPr="00677147" w:rsidRDefault="00677147" w:rsidP="00677147">
      <w:pPr>
        <w:spacing w:after="160" w:line="288" w:lineRule="auto"/>
        <w:jc w:val="mediumKashida"/>
        <w:rPr>
          <w:rFonts w:ascii="Simplified Arabic" w:eastAsia="Calibri" w:hAnsi="Simplified Arabic" w:cs="Simplified Arabic"/>
          <w:b/>
          <w:bCs/>
          <w:kern w:val="2"/>
          <w:sz w:val="28"/>
          <w:szCs w:val="28"/>
          <w:rtl/>
        </w:rPr>
      </w:pPr>
      <w:r w:rsidRPr="00677147">
        <w:rPr>
          <w:rFonts w:ascii="Simplified Arabic" w:eastAsia="Calibri" w:hAnsi="Simplified Arabic" w:cs="Simplified Arabic"/>
          <w:b/>
          <w:bCs/>
          <w:kern w:val="2"/>
          <w:sz w:val="28"/>
          <w:szCs w:val="28"/>
          <w:rtl/>
        </w:rPr>
        <w:t>الوقاية من مخاطر نفايات المعادن:</w:t>
      </w:r>
    </w:p>
    <w:p w14:paraId="50F0F9C5"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تشمل الاستراتيجيات التي توصي بها منظمات الأمن والسلامة في المناجم وهي كالتالي:</w:t>
      </w:r>
    </w:p>
    <w:p w14:paraId="47AAD90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1. تصميم الانشاءات وتشغيلها وصيانتها وفقاً للمعايير الدولية.</w:t>
      </w:r>
    </w:p>
    <w:p w14:paraId="0055A37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2. اجراء مراجعة مستقلة ورصد مستمر أثناء مراحل التصميم والانشاء لكل من البنية الانشائية ونوعية</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المياه.</w:t>
      </w:r>
    </w:p>
    <w:p w14:paraId="706BBFC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3. التحقق من أقصى الافتراضات التصميمية بشأن الزلازل الأرضية وث</w:t>
      </w:r>
      <w:r w:rsidRPr="00677147">
        <w:rPr>
          <w:rFonts w:ascii="Simplified Arabic" w:eastAsia="Calibri" w:hAnsi="Simplified Arabic" w:cs="Simplified Arabic" w:hint="cs"/>
          <w:kern w:val="2"/>
          <w:sz w:val="28"/>
          <w:szCs w:val="28"/>
          <w:rtl/>
        </w:rPr>
        <w:t>با</w:t>
      </w:r>
      <w:r w:rsidRPr="00677147">
        <w:rPr>
          <w:rFonts w:ascii="Simplified Arabic" w:eastAsia="Calibri" w:hAnsi="Simplified Arabic" w:cs="Simplified Arabic"/>
          <w:kern w:val="2"/>
          <w:sz w:val="28"/>
          <w:szCs w:val="28"/>
          <w:rtl/>
        </w:rPr>
        <w:t>ت الانشاءات.</w:t>
      </w:r>
    </w:p>
    <w:p w14:paraId="70A80E34"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4. عند تخزين النفايات يجب الاخذ في الاعتبار المخاطر التي ترتبط بالثبات </w:t>
      </w:r>
      <w:proofErr w:type="spellStart"/>
      <w:r w:rsidRPr="00677147">
        <w:rPr>
          <w:rFonts w:ascii="Simplified Arabic" w:eastAsia="Calibri" w:hAnsi="Simplified Arabic" w:cs="Simplified Arabic"/>
          <w:kern w:val="2"/>
          <w:sz w:val="28"/>
          <w:szCs w:val="28"/>
          <w:rtl/>
        </w:rPr>
        <w:t>الجيوتقني</w:t>
      </w:r>
      <w:proofErr w:type="spellEnd"/>
      <w:r w:rsidRPr="00677147">
        <w:rPr>
          <w:rFonts w:ascii="Simplified Arabic" w:eastAsia="Calibri" w:hAnsi="Simplified Arabic" w:cs="Simplified Arabic"/>
          <w:kern w:val="2"/>
          <w:sz w:val="28"/>
          <w:szCs w:val="28"/>
          <w:rtl/>
        </w:rPr>
        <w:t xml:space="preserve"> أو الانهيار</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الهيدروليكي والمخاطر المرتبطة بالأصول الاقتصادية الواقعة بعدها، والأنظمة الإيكولوجية وصحة وسلامة الانسان.</w:t>
      </w:r>
    </w:p>
    <w:p w14:paraId="7A35C6DD"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5. ان تكون منشئات نفايات التعدين بعيدة عن الخنادق والمجاري المائية التي تحول المياه من مناطق التجميع، وذلك وفقاً لمعايير فترات معاودة الفيضانات.</w:t>
      </w:r>
    </w:p>
    <w:p w14:paraId="7C1B14B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Pr>
      </w:pPr>
      <w:r w:rsidRPr="00677147">
        <w:rPr>
          <w:rFonts w:ascii="Simplified Arabic" w:eastAsia="Calibri" w:hAnsi="Simplified Arabic" w:cs="Simplified Arabic"/>
          <w:kern w:val="2"/>
          <w:sz w:val="28"/>
          <w:szCs w:val="28"/>
          <w:rtl/>
        </w:rPr>
        <w:t>• انهيارات المناجم: يستلزم كشف المعادن المراد استخراجها في كثير من الأحيان إزالة كميات كبيرة من الغطاء الترابي أو النفايات الصخرية، وعند زيادة نسبة التعرية في المناجم السطحية ذات الحفر المفتوحة يحدث اختلال في بنية المنجم ينجم عنه احتمالية انهيار جدران المنجم (2015 ,</w:t>
      </w:r>
      <w:r w:rsidRPr="00677147">
        <w:rPr>
          <w:rFonts w:ascii="Simplified Arabic" w:eastAsia="Calibri" w:hAnsi="Simplified Arabic" w:cs="Simplified Arabic"/>
          <w:kern w:val="2"/>
          <w:sz w:val="28"/>
          <w:szCs w:val="28"/>
        </w:rPr>
        <w:t>Badri</w:t>
      </w:r>
      <w:r w:rsidRPr="00677147">
        <w:rPr>
          <w:rFonts w:ascii="Simplified Arabic" w:eastAsia="Calibri" w:hAnsi="Simplified Arabic" w:cs="Simplified Arabic"/>
          <w:kern w:val="2"/>
          <w:sz w:val="28"/>
          <w:szCs w:val="28"/>
          <w:rtl/>
        </w:rPr>
        <w:t>). وهناك العديد من الانهيارات التي تحدث في القشرة الأرضية وهناك نوعان مهمان من الانهيارات تحدث في أماكن التعدين السطحية تحت سطحية وهما :(</w:t>
      </w:r>
      <w:r w:rsidRPr="00677147">
        <w:rPr>
          <w:rFonts w:ascii="Simplified Arabic" w:eastAsia="Calibri" w:hAnsi="Simplified Arabic" w:cs="Simplified Arabic"/>
          <w:kern w:val="2"/>
          <w:sz w:val="28"/>
          <w:szCs w:val="28"/>
        </w:rPr>
        <w:t>Meyer &amp; Steyn, 2016</w:t>
      </w:r>
      <w:r w:rsidRPr="00677147">
        <w:rPr>
          <w:rFonts w:ascii="Simplified Arabic" w:eastAsia="Calibri" w:hAnsi="Simplified Arabic" w:cs="Simplified Arabic"/>
          <w:kern w:val="2"/>
          <w:sz w:val="28"/>
          <w:szCs w:val="28"/>
          <w:rtl/>
        </w:rPr>
        <w:t>)</w:t>
      </w:r>
    </w:p>
    <w:p w14:paraId="35F71AE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 xml:space="preserve">الانهيار الصخري: وهو عبارة عن "تدفق سريع لكميات كثيرة من </w:t>
      </w:r>
      <w:proofErr w:type="spellStart"/>
      <w:r w:rsidRPr="00677147">
        <w:rPr>
          <w:rFonts w:ascii="Simplified Arabic" w:eastAsia="Calibri" w:hAnsi="Simplified Arabic" w:cs="Simplified Arabic"/>
          <w:kern w:val="2"/>
          <w:sz w:val="28"/>
          <w:szCs w:val="28"/>
          <w:rtl/>
        </w:rPr>
        <w:t>المفتتات</w:t>
      </w:r>
      <w:proofErr w:type="spellEnd"/>
      <w:r w:rsidRPr="00677147">
        <w:rPr>
          <w:rFonts w:ascii="Simplified Arabic" w:eastAsia="Calibri" w:hAnsi="Simplified Arabic" w:cs="Simplified Arabic"/>
          <w:kern w:val="2"/>
          <w:sz w:val="28"/>
          <w:szCs w:val="28"/>
          <w:rtl/>
        </w:rPr>
        <w:t xml:space="preserve"> والكتل الصخرية المشبعة بالمياه والتي غالباً ما تكون نتيجة الامطار الغزيرة"، ويحدث انزلاق الصخور في المناجم في معظم الأحيان بسبب حدوث الزلازل. وهناك عوامل أخرى تساهم في حدوث الانهيارات الصخرية تتمثل فيما يلي: وجود طبقة من الطين بين الطبقات الصخرية، والانحدار الشديد، والهزات الأرضية، والحفر العميق. </w:t>
      </w:r>
    </w:p>
    <w:p w14:paraId="63D103EF"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25" w:name="_Toc192862039"/>
      <w:r w:rsidRPr="00677147">
        <w:rPr>
          <w:rFonts w:ascii="Simplified Arabic" w:eastAsia="Calibri" w:hAnsi="Simplified Arabic" w:cs="(AH) Manal Black"/>
          <w:kern w:val="2"/>
          <w:sz w:val="32"/>
          <w:szCs w:val="32"/>
          <w:u w:val="single"/>
          <w:rtl/>
        </w:rPr>
        <w:t>أسباب الانهيارات في المناجم:</w:t>
      </w:r>
      <w:bookmarkEnd w:id="25"/>
    </w:p>
    <w:p w14:paraId="6490E21B"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أشارت دراسة (2014 ,</w:t>
      </w:r>
      <w:r w:rsidRPr="00677147">
        <w:rPr>
          <w:rFonts w:ascii="Simplified Arabic" w:eastAsia="Calibri" w:hAnsi="Simplified Arabic" w:cs="Simplified Arabic"/>
          <w:kern w:val="2"/>
          <w:sz w:val="28"/>
          <w:szCs w:val="28"/>
        </w:rPr>
        <w:t>Mousa, et. al</w:t>
      </w:r>
      <w:r w:rsidRPr="00677147">
        <w:rPr>
          <w:rFonts w:ascii="Simplified Arabic" w:eastAsia="Calibri" w:hAnsi="Simplified Arabic" w:cs="Simplified Arabic"/>
          <w:kern w:val="2"/>
          <w:sz w:val="28"/>
          <w:szCs w:val="28"/>
          <w:rtl/>
        </w:rPr>
        <w:t xml:space="preserve">) إلى وجود العديد من الأسباب التي قد تؤدي إلى انهيارات المناجم </w:t>
      </w:r>
      <w:proofErr w:type="gramStart"/>
      <w:r w:rsidRPr="00677147">
        <w:rPr>
          <w:rFonts w:ascii="Simplified Arabic" w:eastAsia="Calibri" w:hAnsi="Simplified Arabic" w:cs="Simplified Arabic"/>
          <w:kern w:val="2"/>
          <w:sz w:val="28"/>
          <w:szCs w:val="28"/>
          <w:rtl/>
        </w:rPr>
        <w:t>وهي</w:t>
      </w:r>
      <w:r w:rsidRPr="00677147">
        <w:rPr>
          <w:rFonts w:ascii="Simplified Arabic" w:eastAsia="Calibri" w:hAnsi="Simplified Arabic" w:cs="Simplified Arabic" w:hint="cs"/>
          <w:kern w:val="2"/>
          <w:sz w:val="28"/>
          <w:szCs w:val="28"/>
          <w:rtl/>
        </w:rPr>
        <w:t xml:space="preserve"> </w:t>
      </w:r>
      <w:r w:rsidRPr="00677147">
        <w:rPr>
          <w:rFonts w:ascii="Calibri" w:eastAsia="Calibri" w:hAnsi="Calibri" w:cs="Arial"/>
          <w:kern w:val="2"/>
          <w:rtl/>
        </w:rPr>
        <w:t xml:space="preserve"> </w:t>
      </w:r>
      <w:proofErr w:type="spellStart"/>
      <w:r w:rsidRPr="00677147">
        <w:rPr>
          <w:rFonts w:ascii="Simplified Arabic" w:eastAsia="Calibri" w:hAnsi="Simplified Arabic" w:cs="Simplified Arabic"/>
          <w:kern w:val="2"/>
          <w:sz w:val="28"/>
          <w:szCs w:val="28"/>
          <w:rtl/>
        </w:rPr>
        <w:t>کالتال</w:t>
      </w:r>
      <w:r w:rsidRPr="00677147">
        <w:rPr>
          <w:rFonts w:ascii="Simplified Arabic" w:eastAsia="Calibri" w:hAnsi="Simplified Arabic" w:cs="Simplified Arabic" w:hint="cs"/>
          <w:kern w:val="2"/>
          <w:sz w:val="28"/>
          <w:szCs w:val="28"/>
          <w:rtl/>
        </w:rPr>
        <w:t>ی</w:t>
      </w:r>
      <w:proofErr w:type="spellEnd"/>
      <w:proofErr w:type="gramEnd"/>
      <w:r w:rsidRPr="00677147">
        <w:rPr>
          <w:rFonts w:ascii="Simplified Arabic" w:eastAsia="Calibri" w:hAnsi="Simplified Arabic" w:cs="Simplified Arabic"/>
          <w:kern w:val="2"/>
          <w:sz w:val="28"/>
          <w:szCs w:val="28"/>
          <w:rtl/>
        </w:rPr>
        <w:t>:</w:t>
      </w:r>
    </w:p>
    <w:p w14:paraId="253F106F"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1. التعدين العشوائي حيث تتميز بيئة العمل خالية من متطلبات السلامة وتعرضها للطمر وانهيار الصخور كما هو الحال في التعدين العشوائي عن الذهب في السودان.</w:t>
      </w:r>
    </w:p>
    <w:p w14:paraId="7F663801"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2. تآكل المنحدرات المكشوفة، وسدود المخلفات في المناجم عامل مهم في التسبب بانهيارات المناجم.</w:t>
      </w:r>
    </w:p>
    <w:p w14:paraId="0F7F7BB9"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lastRenderedPageBreak/>
        <w:t>3. العمق الشديد للمنجم يؤثر على المياه الجوفية والينابيع والآبار الجوفية والجدول المائي.</w:t>
      </w:r>
    </w:p>
    <w:p w14:paraId="28BA1757"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4. التفجيرات المستمرة في تفتيت الصخور واستخراج الخامات من المنجم تؤثر على المدى البعيد على بنية المنجم وقد تؤدي إلى انهيار جزئي أو كلي في المنجم، كما هو الحال في انهيار طيني في منجم في تشيلي الذي أدى إلى احتجاز العاملين في مدة تقارب الشهرين ونصف.</w:t>
      </w:r>
    </w:p>
    <w:p w14:paraId="061E21C0" w14:textId="77777777" w:rsidR="00677147" w:rsidRPr="00677147" w:rsidRDefault="00677147" w:rsidP="00677147">
      <w:pPr>
        <w:spacing w:after="160" w:line="288" w:lineRule="auto"/>
        <w:jc w:val="mediumKashida"/>
        <w:outlineLvl w:val="2"/>
        <w:rPr>
          <w:rFonts w:ascii="Simplified Arabic" w:eastAsia="Calibri" w:hAnsi="Simplified Arabic" w:cs="(AH) Manal Black"/>
          <w:kern w:val="2"/>
          <w:sz w:val="32"/>
          <w:szCs w:val="32"/>
          <w:u w:val="single"/>
          <w:rtl/>
        </w:rPr>
      </w:pPr>
      <w:bookmarkStart w:id="26" w:name="_Toc192862040"/>
      <w:r w:rsidRPr="00677147">
        <w:rPr>
          <w:rFonts w:ascii="Simplified Arabic" w:eastAsia="Calibri" w:hAnsi="Simplified Arabic" w:cs="(AH) Manal Black"/>
          <w:kern w:val="2"/>
          <w:sz w:val="32"/>
          <w:szCs w:val="32"/>
          <w:u w:val="single"/>
          <w:rtl/>
        </w:rPr>
        <w:t>معايير الأمن والسلامة للوقاية من أخطار انهيار المناجم:</w:t>
      </w:r>
      <w:bookmarkEnd w:id="26"/>
    </w:p>
    <w:p w14:paraId="4D017E9E"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فيما يلي المعايير الازم اتباعها في المناجم (المعهد العربي للصحة والسلامة المهنية، 2010):</w:t>
      </w:r>
    </w:p>
    <w:p w14:paraId="4D635242"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1. ضمان تصميم بناء المنجم بما يتلاءم مع معايير السلامة المطلوبة للأرضية والسقف والحواجز والممرات وذلك استناداً لدراسة دقيقة لجيولوجية أرض المنجم.</w:t>
      </w:r>
    </w:p>
    <w:p w14:paraId="7657862A"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2. اتخاذ الإجراءات الملاءمة للمحافظة على استقرار الأرض وتشمل هذه الإجراءات:</w:t>
      </w:r>
    </w:p>
    <w:p w14:paraId="16C2F172"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3. مراقبة حركات طبقات الأرض.</w:t>
      </w:r>
    </w:p>
    <w:p w14:paraId="4FB56360"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4. توفير كل ما يستلزم من دعم لسقف الحفريات وجدرانها وأرضيتها في المنجم ويتم استثناء المناطق التي</w:t>
      </w:r>
      <w:r w:rsidRPr="00677147">
        <w:rPr>
          <w:rFonts w:ascii="Simplified Arabic" w:eastAsia="Calibri" w:hAnsi="Simplified Arabic" w:cs="Simplified Arabic" w:hint="cs"/>
          <w:kern w:val="2"/>
          <w:sz w:val="28"/>
          <w:szCs w:val="28"/>
          <w:rtl/>
        </w:rPr>
        <w:t xml:space="preserve"> </w:t>
      </w:r>
      <w:r w:rsidRPr="00677147">
        <w:rPr>
          <w:rFonts w:ascii="Simplified Arabic" w:eastAsia="Calibri" w:hAnsi="Simplified Arabic" w:cs="Simplified Arabic"/>
          <w:kern w:val="2"/>
          <w:sz w:val="28"/>
          <w:szCs w:val="28"/>
          <w:rtl/>
        </w:rPr>
        <w:t>يستخدم فيها التعدين التحكم في انهيار الأرض.</w:t>
      </w:r>
    </w:p>
    <w:p w14:paraId="7CB24638" w14:textId="77777777" w:rsidR="00677147" w:rsidRPr="00677147" w:rsidRDefault="00677147" w:rsidP="00677147">
      <w:pPr>
        <w:spacing w:after="160" w:line="288" w:lineRule="auto"/>
        <w:jc w:val="mediumKashida"/>
        <w:rPr>
          <w:rFonts w:ascii="Simplified Arabic" w:eastAsia="Calibri" w:hAnsi="Simplified Arabic" w:cs="Simplified Arabic"/>
          <w:kern w:val="2"/>
          <w:sz w:val="28"/>
          <w:szCs w:val="28"/>
          <w:rtl/>
        </w:rPr>
      </w:pPr>
      <w:r w:rsidRPr="00677147">
        <w:rPr>
          <w:rFonts w:ascii="Simplified Arabic" w:eastAsia="Calibri" w:hAnsi="Simplified Arabic" w:cs="Simplified Arabic"/>
          <w:kern w:val="2"/>
          <w:sz w:val="28"/>
          <w:szCs w:val="28"/>
          <w:rtl/>
        </w:rPr>
        <w:t>5. تصميم السدود ومخازن النفايات والبحيرات الضحلة بشكل مخاطر حدوث أي انهيارات أو انزلاقات.</w:t>
      </w:r>
    </w:p>
    <w:p w14:paraId="24DE1955" w14:textId="77777777" w:rsidR="00677147" w:rsidRDefault="00677147"/>
    <w:sectPr w:rsidR="00677147" w:rsidSect="00DA4941">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H) Manal Black">
    <w:altName w:val="Arial"/>
    <w:panose1 w:val="020B0604020202020204"/>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1D10"/>
    <w:multiLevelType w:val="multilevel"/>
    <w:tmpl w:val="33302150"/>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126617AB"/>
    <w:multiLevelType w:val="multilevel"/>
    <w:tmpl w:val="8498242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773F73"/>
    <w:multiLevelType w:val="hybridMultilevel"/>
    <w:tmpl w:val="A42A474C"/>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2B31FF"/>
    <w:multiLevelType w:val="multilevel"/>
    <w:tmpl w:val="6212A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8B7B87"/>
    <w:multiLevelType w:val="multilevel"/>
    <w:tmpl w:val="66D8D0E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D40C90"/>
    <w:multiLevelType w:val="multilevel"/>
    <w:tmpl w:val="4FB099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66B2FD2"/>
    <w:multiLevelType w:val="multilevel"/>
    <w:tmpl w:val="778832D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9C2263"/>
    <w:multiLevelType w:val="multilevel"/>
    <w:tmpl w:val="EDA0BA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7CA47CF3"/>
    <w:multiLevelType w:val="hybridMultilevel"/>
    <w:tmpl w:val="C9729838"/>
    <w:lvl w:ilvl="0" w:tplc="0409000F">
      <w:start w:val="1"/>
      <w:numFmt w:val="decimal"/>
      <w:lvlText w:val="%1."/>
      <w:lvlJc w:val="left"/>
      <w:pPr>
        <w:ind w:left="36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16cid:durableId="1766195865">
    <w:abstractNumId w:val="8"/>
  </w:num>
  <w:num w:numId="2" w16cid:durableId="689570161">
    <w:abstractNumId w:val="0"/>
  </w:num>
  <w:num w:numId="3" w16cid:durableId="750198057">
    <w:abstractNumId w:val="3"/>
  </w:num>
  <w:num w:numId="4" w16cid:durableId="1778717210">
    <w:abstractNumId w:val="5"/>
  </w:num>
  <w:num w:numId="5" w16cid:durableId="1634213262">
    <w:abstractNumId w:val="2"/>
  </w:num>
  <w:num w:numId="6" w16cid:durableId="409160610">
    <w:abstractNumId w:val="7"/>
  </w:num>
  <w:num w:numId="7" w16cid:durableId="1509439001">
    <w:abstractNumId w:val="6"/>
  </w:num>
  <w:num w:numId="8" w16cid:durableId="1711765576">
    <w:abstractNumId w:val="1"/>
  </w:num>
  <w:num w:numId="9" w16cid:durableId="15733477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147"/>
    <w:rsid w:val="001529C9"/>
    <w:rsid w:val="001827BF"/>
    <w:rsid w:val="001A11A0"/>
    <w:rsid w:val="001F36FF"/>
    <w:rsid w:val="00264943"/>
    <w:rsid w:val="002F0312"/>
    <w:rsid w:val="003C4FE6"/>
    <w:rsid w:val="00465E1D"/>
    <w:rsid w:val="004D3DCD"/>
    <w:rsid w:val="005B4646"/>
    <w:rsid w:val="00677147"/>
    <w:rsid w:val="006A69FE"/>
    <w:rsid w:val="00833000"/>
    <w:rsid w:val="00B23D55"/>
    <w:rsid w:val="00BB6F06"/>
    <w:rsid w:val="00BD0CB1"/>
    <w:rsid w:val="00BE6C10"/>
    <w:rsid w:val="00CA18C2"/>
    <w:rsid w:val="00D04CBE"/>
    <w:rsid w:val="00D20A36"/>
    <w:rsid w:val="00DA4941"/>
    <w:rsid w:val="00DC691C"/>
    <w:rsid w:val="00DE3125"/>
    <w:rsid w:val="00EC1DBF"/>
    <w:rsid w:val="00F26B71"/>
    <w:rsid w:val="00F50B17"/>
    <w:rsid w:val="00F612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64DAC"/>
  <w15:chartTrackingRefBased/>
  <w15:docId w15:val="{EE102144-1C75-4B47-A4F9-75FD63BCB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1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71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1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1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1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1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1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1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1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1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71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1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1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1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1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1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1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147"/>
    <w:rPr>
      <w:rFonts w:eastAsiaTheme="majorEastAsia" w:cstheme="majorBidi"/>
      <w:color w:val="272727" w:themeColor="text1" w:themeTint="D8"/>
    </w:rPr>
  </w:style>
  <w:style w:type="paragraph" w:styleId="Title">
    <w:name w:val="Title"/>
    <w:basedOn w:val="Normal"/>
    <w:next w:val="Normal"/>
    <w:link w:val="TitleChar"/>
    <w:uiPriority w:val="10"/>
    <w:qFormat/>
    <w:rsid w:val="006771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1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1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1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1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7147"/>
    <w:rPr>
      <w:i/>
      <w:iCs/>
      <w:color w:val="404040" w:themeColor="text1" w:themeTint="BF"/>
    </w:rPr>
  </w:style>
  <w:style w:type="paragraph" w:styleId="ListParagraph">
    <w:name w:val="List Paragraph"/>
    <w:basedOn w:val="Normal"/>
    <w:uiPriority w:val="34"/>
    <w:qFormat/>
    <w:rsid w:val="00677147"/>
    <w:pPr>
      <w:ind w:left="720"/>
      <w:contextualSpacing/>
    </w:pPr>
  </w:style>
  <w:style w:type="character" w:styleId="IntenseEmphasis">
    <w:name w:val="Intense Emphasis"/>
    <w:basedOn w:val="DefaultParagraphFont"/>
    <w:uiPriority w:val="21"/>
    <w:qFormat/>
    <w:rsid w:val="00677147"/>
    <w:rPr>
      <w:i/>
      <w:iCs/>
      <w:color w:val="0F4761" w:themeColor="accent1" w:themeShade="BF"/>
    </w:rPr>
  </w:style>
  <w:style w:type="paragraph" w:styleId="IntenseQuote">
    <w:name w:val="Intense Quote"/>
    <w:basedOn w:val="Normal"/>
    <w:next w:val="Normal"/>
    <w:link w:val="IntenseQuoteChar"/>
    <w:uiPriority w:val="30"/>
    <w:qFormat/>
    <w:rsid w:val="006771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147"/>
    <w:rPr>
      <w:i/>
      <w:iCs/>
      <w:color w:val="0F4761" w:themeColor="accent1" w:themeShade="BF"/>
    </w:rPr>
  </w:style>
  <w:style w:type="character" w:styleId="IntenseReference">
    <w:name w:val="Intense Reference"/>
    <w:basedOn w:val="DefaultParagraphFont"/>
    <w:uiPriority w:val="32"/>
    <w:qFormat/>
    <w:rsid w:val="006771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32</Pages>
  <Words>6139</Words>
  <Characters>32759</Characters>
  <Application>Microsoft Office Word</Application>
  <DocSecurity>0</DocSecurity>
  <Lines>657</Lines>
  <Paragraphs>210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Alharbi</dc:creator>
  <cp:keywords/>
  <dc:description/>
  <cp:lastModifiedBy>Hassan Alharbi</cp:lastModifiedBy>
  <cp:revision>6</cp:revision>
  <dcterms:created xsi:type="dcterms:W3CDTF">2025-03-14T14:27:00Z</dcterms:created>
  <dcterms:modified xsi:type="dcterms:W3CDTF">2025-03-14T20:22:00Z</dcterms:modified>
  <cp:category/>
</cp:coreProperties>
</file>