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02965" w14:textId="77777777" w:rsidR="0011002A" w:rsidRDefault="00000000">
      <w:pPr>
        <w:bidi/>
        <w:spacing w:after="200"/>
        <w:jc w:val="center"/>
      </w:pPr>
      <w:r>
        <w:rPr>
          <w:rFonts w:ascii="Arial" w:eastAsia="Arial" w:hAnsi="Arial" w:cs="Arial"/>
          <w:b/>
          <w:bCs/>
          <w:sz w:val="40"/>
          <w:szCs w:val="40"/>
          <w:rtl/>
        </w:rPr>
        <w:t xml:space="preserve">جامعة </w:t>
      </w:r>
      <w:proofErr w:type="spellStart"/>
      <w:r>
        <w:rPr>
          <w:rFonts w:ascii="Arial" w:eastAsia="Arial" w:hAnsi="Arial" w:cs="Arial"/>
          <w:b/>
          <w:bCs/>
          <w:sz w:val="40"/>
          <w:szCs w:val="40"/>
          <w:rtl/>
        </w:rPr>
        <w:t>ميدأوشن</w:t>
      </w:r>
      <w:proofErr w:type="spellEnd"/>
    </w:p>
    <w:p w14:paraId="41E0F0AB" w14:textId="77777777" w:rsidR="0011002A" w:rsidRDefault="00000000">
      <w:pPr>
        <w:spacing w:after="200"/>
        <w:jc w:val="center"/>
      </w:pPr>
      <w:r>
        <w:rPr>
          <w:noProof/>
        </w:rPr>
        <w:drawing>
          <wp:inline distT="0" distB="0" distL="0" distR="0" wp14:anchorId="2EDAF53D" wp14:editId="20FF0299">
            <wp:extent cx="1428750" cy="1323975"/>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1323975"/>
                    </a:xfrm>
                    <a:prstGeom prst="rect">
                      <a:avLst/>
                    </a:prstGeom>
                  </pic:spPr>
                </pic:pic>
              </a:graphicData>
            </a:graphic>
          </wp:inline>
        </w:drawing>
      </w:r>
    </w:p>
    <w:p w14:paraId="6D7D95F4" w14:textId="77777777" w:rsidR="0011002A" w:rsidRDefault="00000000">
      <w:pPr>
        <w:bidi/>
        <w:spacing w:after="120"/>
        <w:jc w:val="center"/>
      </w:pPr>
      <w:r>
        <w:rPr>
          <w:rFonts w:ascii="Arial" w:eastAsia="Arial" w:hAnsi="Arial" w:cs="Arial"/>
          <w:b/>
          <w:bCs/>
          <w:sz w:val="32"/>
          <w:szCs w:val="32"/>
          <w:rtl/>
        </w:rPr>
        <w:t>كلية الإدارة</w:t>
      </w:r>
    </w:p>
    <w:p w14:paraId="05EE9693" w14:textId="77777777" w:rsidR="0011002A" w:rsidRDefault="00000000">
      <w:pPr>
        <w:bidi/>
        <w:spacing w:after="500"/>
        <w:jc w:val="center"/>
      </w:pPr>
      <w:r>
        <w:rPr>
          <w:rFonts w:ascii="Arial" w:eastAsia="Arial" w:hAnsi="Arial" w:cs="Arial"/>
          <w:b/>
          <w:bCs/>
          <w:sz w:val="30"/>
          <w:szCs w:val="30"/>
          <w:rtl/>
        </w:rPr>
        <w:t>قسم إدارة المشاريع</w:t>
      </w:r>
    </w:p>
    <w:p w14:paraId="2D132C4B" w14:textId="77777777" w:rsidR="0011002A" w:rsidRDefault="00000000">
      <w:pPr>
        <w:bidi/>
        <w:spacing w:after="150"/>
        <w:jc w:val="center"/>
      </w:pPr>
      <w:r>
        <w:rPr>
          <w:rFonts w:ascii="Arial" w:eastAsia="Arial" w:hAnsi="Arial" w:cs="Arial"/>
          <w:b/>
          <w:bCs/>
          <w:sz w:val="26"/>
          <w:szCs w:val="26"/>
          <w:u w:val="single"/>
          <w:rtl/>
        </w:rPr>
        <w:t>عنوان البحث</w:t>
      </w:r>
    </w:p>
    <w:p w14:paraId="5396F723" w14:textId="77777777" w:rsidR="0011002A" w:rsidRDefault="00000000">
      <w:pPr>
        <w:bidi/>
        <w:spacing w:after="500"/>
        <w:jc w:val="center"/>
      </w:pPr>
      <w:r>
        <w:rPr>
          <w:rFonts w:ascii="Arial" w:eastAsia="Arial" w:hAnsi="Arial" w:cs="Arial"/>
          <w:b/>
          <w:bCs/>
          <w:sz w:val="34"/>
          <w:szCs w:val="34"/>
          <w:rtl/>
        </w:rPr>
        <w:t>استخدام الذكاء الاصطناعي في إدارة المشاريع: دراسة تطبيقية على المؤسسات السعودية</w:t>
      </w:r>
    </w:p>
    <w:p w14:paraId="6193D4E7" w14:textId="6653B71C" w:rsidR="0011002A" w:rsidRDefault="00000000" w:rsidP="00E80E5D">
      <w:pPr>
        <w:bidi/>
        <w:spacing w:after="150"/>
        <w:jc w:val="center"/>
      </w:pPr>
      <w:r>
        <w:rPr>
          <w:rFonts w:ascii="Arial" w:eastAsia="Arial" w:hAnsi="Arial" w:cs="Arial"/>
          <w:sz w:val="24"/>
          <w:szCs w:val="24"/>
          <w:rtl/>
        </w:rPr>
        <w:t xml:space="preserve">الفصل الأول والثاني: المقدمة والإطار النظري، والدراسات السابقة </w:t>
      </w:r>
    </w:p>
    <w:p w14:paraId="7F5B7DED" w14:textId="77777777" w:rsidR="0011002A" w:rsidRDefault="00000000">
      <w:pPr>
        <w:bidi/>
        <w:spacing w:before="600" w:after="100"/>
        <w:jc w:val="center"/>
      </w:pPr>
      <w:r>
        <w:rPr>
          <w:rFonts w:ascii="Arial" w:eastAsia="Arial" w:hAnsi="Arial" w:cs="Arial"/>
          <w:b/>
          <w:bCs/>
          <w:sz w:val="26"/>
          <w:szCs w:val="26"/>
          <w:rtl/>
        </w:rPr>
        <w:t>إعداد الطالبة: ديمه بنت سعد بن دحام</w:t>
      </w:r>
    </w:p>
    <w:p w14:paraId="73FAEF65" w14:textId="77777777" w:rsidR="0011002A" w:rsidRDefault="00000000">
      <w:pPr>
        <w:bidi/>
        <w:spacing w:after="400"/>
        <w:jc w:val="center"/>
      </w:pPr>
      <w:r>
        <w:rPr>
          <w:rFonts w:ascii="Arial" w:eastAsia="Arial" w:hAnsi="Arial" w:cs="Arial"/>
          <w:b/>
          <w:bCs/>
          <w:sz w:val="26"/>
          <w:szCs w:val="26"/>
          <w:rtl/>
        </w:rPr>
        <w:t>إشراف الدكتور: فايز جراد</w:t>
      </w:r>
    </w:p>
    <w:p w14:paraId="7CBEF118" w14:textId="77777777" w:rsidR="0011002A" w:rsidRDefault="00000000">
      <w:pPr>
        <w:bidi/>
        <w:spacing w:before="600"/>
        <w:jc w:val="center"/>
      </w:pPr>
      <w:r>
        <w:rPr>
          <w:rFonts w:ascii="Arial" w:eastAsia="Arial" w:hAnsi="Arial" w:cs="Arial"/>
          <w:b/>
          <w:bCs/>
          <w:sz w:val="24"/>
          <w:szCs w:val="24"/>
          <w:rtl/>
        </w:rPr>
        <w:t>العام الدراسي 1447 - 1448هـ الموافق 2026م</w:t>
      </w:r>
    </w:p>
    <w:p w14:paraId="44342C37" w14:textId="77777777" w:rsidR="0011002A" w:rsidRDefault="00000000">
      <w:r>
        <w:br w:type="page"/>
      </w:r>
    </w:p>
    <w:p w14:paraId="2091159F" w14:textId="77777777" w:rsidR="0011002A" w:rsidRDefault="00000000">
      <w:pPr>
        <w:pStyle w:val="1"/>
        <w:bidi/>
        <w:spacing w:before="400" w:after="300"/>
        <w:jc w:val="center"/>
      </w:pPr>
      <w:r>
        <w:rPr>
          <w:rFonts w:ascii="Arial" w:eastAsia="Arial" w:hAnsi="Arial" w:cs="Arial"/>
          <w:b/>
          <w:bCs/>
          <w:rtl/>
        </w:rPr>
        <w:lastRenderedPageBreak/>
        <w:t>الفصل الأول: المقدمة والإطار النظري للدراسة</w:t>
      </w:r>
    </w:p>
    <w:p w14:paraId="78F72DDB" w14:textId="77777777" w:rsidR="0011002A" w:rsidRDefault="00000000" w:rsidP="00E80E5D">
      <w:pPr>
        <w:pStyle w:val="2"/>
        <w:bidi/>
        <w:spacing w:before="300" w:after="200"/>
      </w:pPr>
      <w:r>
        <w:rPr>
          <w:rFonts w:ascii="Arial" w:eastAsia="Arial" w:hAnsi="Arial" w:cs="Arial"/>
          <w:b/>
          <w:bCs/>
          <w:sz w:val="28"/>
          <w:szCs w:val="28"/>
          <w:rtl/>
        </w:rPr>
        <w:t>مقدمة</w:t>
      </w:r>
    </w:p>
    <w:p w14:paraId="3DA71422" w14:textId="77777777" w:rsidR="0011002A" w:rsidRDefault="00000000" w:rsidP="00E80E5D">
      <w:pPr>
        <w:bidi/>
        <w:spacing w:after="160" w:line="300" w:lineRule="auto"/>
      </w:pPr>
      <w:r>
        <w:rPr>
          <w:rFonts w:ascii="Arial" w:eastAsia="Arial" w:hAnsi="Arial" w:cs="Arial"/>
          <w:sz w:val="24"/>
          <w:szCs w:val="24"/>
          <w:rtl/>
        </w:rPr>
        <w:t>يشهد العالم اليوم تحولاً جذرياً في أساليب العمل الإداري نتيجة الانتشار المتسارع لتقنيات الذكاء الاصطناعي، التي انتقلت خلال سنوات قليلة من كونها حقلاً بحثياً نظرياً إلى أداة تشغيلية فعلية تعتمد عليها المؤسسات في تحسين قراراتها وعملياتها اليومية. ولم يكن مجال إدارة المشاريع بمعزل عن هذا التحول، إذ أصبحت خوارزميات التعلم الآلي وأنظمة التحليل التنبؤي جزءاً من الحزمة التقنية التي يستند إليها مديرو المشاريع في ضبط الجداول الزمنية، والتحكم في التكاليف، وضمان جودة المخرجات.</w:t>
      </w:r>
    </w:p>
    <w:p w14:paraId="4DBC33A4" w14:textId="77777777" w:rsidR="0011002A" w:rsidRDefault="00000000" w:rsidP="00E80E5D">
      <w:pPr>
        <w:bidi/>
        <w:spacing w:after="160" w:line="300" w:lineRule="auto"/>
      </w:pPr>
      <w:r>
        <w:rPr>
          <w:rFonts w:ascii="Arial" w:eastAsia="Arial" w:hAnsi="Arial" w:cs="Arial"/>
          <w:sz w:val="24"/>
          <w:szCs w:val="24"/>
          <w:rtl/>
        </w:rPr>
        <w:t>وفي المملكة العربية السعودية، يكتسب هذا التحول بعداً استراتيجياً إضافياً لارتباطه المباشر برؤية 2030 التي جعلت من التحول الرقمي ركيزة أساسية لتنويع الاقتصاد ورفع كفاءة الأداء المؤسسي في القطاعين الحكومي والخاص على حد سواء. غير أن تبني هذه التقنيات داخل منظومة إدارة المشاريع السعودية ما زال يفتقر إلى قاعدة معرفية تطبيقية كافية توضح حجم الأثر الفعلي لهذا التبني على أبعاد الكفاءة الثلاثة: الوقت، والتكلفة، والجودة. ومن هذا المنطلق تسعى هذه الدراسة إلى بناء إطار نظري وتطبيقي يربط بين مفاهيم الذكاء الاصطناعي وإدارة المشاريع ضمن سياق محلي محدد، يغطي المؤسسات العاملة في المملكة خلال الفترة من 2025 إلى 2026.</w:t>
      </w:r>
    </w:p>
    <w:p w14:paraId="48160BDF" w14:textId="77777777" w:rsidR="0011002A" w:rsidRDefault="00000000" w:rsidP="00E80E5D">
      <w:pPr>
        <w:pStyle w:val="2"/>
        <w:bidi/>
        <w:spacing w:before="300" w:after="200"/>
      </w:pPr>
      <w:r>
        <w:rPr>
          <w:rFonts w:ascii="Arial" w:eastAsia="Arial" w:hAnsi="Arial" w:cs="Arial"/>
          <w:b/>
          <w:bCs/>
          <w:sz w:val="28"/>
          <w:szCs w:val="28"/>
          <w:rtl/>
        </w:rPr>
        <w:t>مشكلة الدراسة</w:t>
      </w:r>
    </w:p>
    <w:p w14:paraId="10D23611" w14:textId="77777777" w:rsidR="0011002A" w:rsidRDefault="00000000" w:rsidP="00E80E5D">
      <w:pPr>
        <w:bidi/>
        <w:spacing w:after="160" w:line="300" w:lineRule="auto"/>
      </w:pPr>
      <w:r>
        <w:rPr>
          <w:rFonts w:ascii="Arial" w:eastAsia="Arial" w:hAnsi="Arial" w:cs="Arial"/>
          <w:sz w:val="24"/>
          <w:szCs w:val="24"/>
          <w:rtl/>
        </w:rPr>
        <w:t>على الرغم من اتساع الأدبيات العالمية التي تناولت دور الذكاء الاصطناعي في تطوير ممارسات إدارة المشاريع، فإن جانباً كبيراً منها صدر في بيئات صناعية أو تقنية مغايرة للسياق السعودي، ولم يعالج بالقدر الكافي العلاقة المركّبة بين استخدام هذه التقنيات وأبعاد الكفاءة الثلاثة مجتمعة. كما أن الدراسات المحلية المتاحة - على قلتها - تناولت الموضوع في الغالب من زاوية وصفية تقتصر على قياس درجة وعي العاملين أو إدراكهم، دون اختبار الأثر الفعلي إحصائياً باستخدام أدوات تحليل متقدمة تجمع بين أبعاد الزمن والتكلفة والجودة في آنٍ واحد. ويتبلور السؤال الرئيس لهذه الدراسة في:</w:t>
      </w:r>
    </w:p>
    <w:p w14:paraId="6B70EBA9" w14:textId="77777777" w:rsidR="0011002A" w:rsidRDefault="00000000" w:rsidP="00E80E5D">
      <w:pPr>
        <w:bidi/>
        <w:spacing w:after="160" w:line="300" w:lineRule="auto"/>
      </w:pPr>
      <w:r>
        <w:rPr>
          <w:rFonts w:ascii="Arial" w:eastAsia="Arial" w:hAnsi="Arial" w:cs="Arial"/>
          <w:b/>
          <w:bCs/>
          <w:sz w:val="24"/>
          <w:szCs w:val="24"/>
          <w:rtl/>
        </w:rPr>
        <w:t>«ما أثر استخدام الذكاء الاصطناعي على كفاءة إدارة المشاريع في المؤسسات السعودية؟»</w:t>
      </w:r>
    </w:p>
    <w:p w14:paraId="660DA927" w14:textId="77777777" w:rsidR="0011002A" w:rsidRDefault="00000000" w:rsidP="00E80E5D">
      <w:pPr>
        <w:bidi/>
        <w:spacing w:after="160" w:line="300" w:lineRule="auto"/>
      </w:pPr>
      <w:r>
        <w:rPr>
          <w:rFonts w:ascii="Arial" w:eastAsia="Arial" w:hAnsi="Arial" w:cs="Arial"/>
          <w:sz w:val="24"/>
          <w:szCs w:val="24"/>
          <w:rtl/>
        </w:rPr>
        <w:t>وتنبع هذه المشكلة من فجوة معرفية وتطبيقية مزدوجة: فجوة معرفية تتمثل في محدودية الأطر النظرية التي تفسر آلية تكامل الذكاء الاصطناعي عبر مراحل المشروع المختلفة ضمن السياق العربي، وفجوة تطبيقية تتمثل في ندرة الدراسات الميدانية التي تختبر هذا الأثر كمياً على عينة تمثيلية من المؤسسات السعودية بقطاعيها الحكومي والخاص.</w:t>
      </w:r>
    </w:p>
    <w:p w14:paraId="351F39A0" w14:textId="77777777" w:rsidR="0011002A" w:rsidRDefault="00000000" w:rsidP="00E80E5D">
      <w:pPr>
        <w:pStyle w:val="2"/>
        <w:bidi/>
        <w:spacing w:before="300" w:after="200"/>
      </w:pPr>
      <w:r>
        <w:rPr>
          <w:rFonts w:ascii="Arial" w:eastAsia="Arial" w:hAnsi="Arial" w:cs="Arial"/>
          <w:b/>
          <w:bCs/>
          <w:sz w:val="28"/>
          <w:szCs w:val="28"/>
          <w:rtl/>
        </w:rPr>
        <w:t>أهمية الدراسة</w:t>
      </w:r>
    </w:p>
    <w:p w14:paraId="09F27DA7" w14:textId="77777777" w:rsidR="0011002A" w:rsidRDefault="00000000" w:rsidP="00E80E5D">
      <w:pPr>
        <w:pStyle w:val="3"/>
        <w:bidi/>
        <w:spacing w:before="200" w:after="150"/>
      </w:pPr>
      <w:r>
        <w:rPr>
          <w:rFonts w:ascii="Arial" w:eastAsia="Arial" w:hAnsi="Arial" w:cs="Arial"/>
          <w:b/>
          <w:bCs/>
          <w:sz w:val="26"/>
          <w:szCs w:val="26"/>
          <w:rtl/>
        </w:rPr>
        <w:t>الأهمية العلمية</w:t>
      </w:r>
    </w:p>
    <w:p w14:paraId="36CB30EE" w14:textId="77777777" w:rsidR="0011002A" w:rsidRDefault="00000000" w:rsidP="00E80E5D">
      <w:pPr>
        <w:bidi/>
        <w:spacing w:after="160" w:line="300" w:lineRule="auto"/>
      </w:pPr>
      <w:r>
        <w:rPr>
          <w:rFonts w:ascii="Arial" w:eastAsia="Arial" w:hAnsi="Arial" w:cs="Arial"/>
          <w:sz w:val="24"/>
          <w:szCs w:val="24"/>
          <w:rtl/>
        </w:rPr>
        <w:t>تسعى هذه الدراسة إلى إضافة رصيد معرفي في تقاطع حقلين إداريين مهمين هما الذكاء الاصطناعي وإدارة المشاريع، وذلك في بيئة عربية وسعودية لا تزال الدراسات التطبيقية العميقة فيها محدودة نسبياً مقارنة بنظيراتها الغربية والآسيوية. كما تسهم الدراسة في بلورة نموذج مفاهيمي يربط نظريات تبني التكنولوجيا (كنظرية انتشار الابتكار ونموذج قبول التكنولوجيا) بمتغيرات الأداء التشغيلي للمشاريع، وهو ربط لم يحظَ باهتمام كافٍ في الأدبيات العربية المتخصصة.</w:t>
      </w:r>
    </w:p>
    <w:p w14:paraId="2C20FC52" w14:textId="77777777" w:rsidR="0011002A" w:rsidRDefault="00000000" w:rsidP="00E80E5D">
      <w:pPr>
        <w:pStyle w:val="3"/>
        <w:bidi/>
        <w:spacing w:before="200" w:after="150"/>
      </w:pPr>
      <w:r>
        <w:rPr>
          <w:rFonts w:ascii="Arial" w:eastAsia="Arial" w:hAnsi="Arial" w:cs="Arial"/>
          <w:b/>
          <w:bCs/>
          <w:sz w:val="26"/>
          <w:szCs w:val="26"/>
          <w:rtl/>
        </w:rPr>
        <w:t>الأهمية التطبيقية</w:t>
      </w:r>
    </w:p>
    <w:p w14:paraId="087C91CF" w14:textId="77777777" w:rsidR="0011002A" w:rsidRDefault="00000000" w:rsidP="00E80E5D">
      <w:pPr>
        <w:bidi/>
        <w:spacing w:after="160" w:line="300" w:lineRule="auto"/>
      </w:pPr>
      <w:r>
        <w:rPr>
          <w:rFonts w:ascii="Arial" w:eastAsia="Arial" w:hAnsi="Arial" w:cs="Arial"/>
          <w:sz w:val="24"/>
          <w:szCs w:val="24"/>
          <w:rtl/>
        </w:rPr>
        <w:t xml:space="preserve">تقدّم الدراسة لصنّاع القرار في المؤسسات السعودية تصوراً عملياً لكيفية دمج تقنيات الذكاء الاصطناعي ضمن مراحل إدارة المشروع المختلفة، بما يدعم اتساق هذا التبني مع متطلبات رؤية 2030، ويسهم في خفض </w:t>
      </w:r>
      <w:proofErr w:type="gramStart"/>
      <w:r>
        <w:rPr>
          <w:rFonts w:ascii="Arial" w:eastAsia="Arial" w:hAnsi="Arial" w:cs="Arial"/>
          <w:sz w:val="24"/>
          <w:szCs w:val="24"/>
          <w:rtl/>
        </w:rPr>
        <w:t>مخاطر</w:t>
      </w:r>
      <w:proofErr w:type="gramEnd"/>
      <w:r>
        <w:rPr>
          <w:rFonts w:ascii="Arial" w:eastAsia="Arial" w:hAnsi="Arial" w:cs="Arial"/>
          <w:sz w:val="24"/>
          <w:szCs w:val="24"/>
          <w:rtl/>
        </w:rPr>
        <w:t xml:space="preserve"> التأخير الزمني وتجاوز الميزانيات المعتمدة.</w:t>
      </w:r>
    </w:p>
    <w:p w14:paraId="2DF278A2" w14:textId="77777777" w:rsidR="0011002A" w:rsidRDefault="00000000" w:rsidP="00E80E5D">
      <w:pPr>
        <w:pStyle w:val="2"/>
        <w:bidi/>
        <w:spacing w:before="300" w:after="200"/>
      </w:pPr>
      <w:r>
        <w:rPr>
          <w:rFonts w:ascii="Arial" w:eastAsia="Arial" w:hAnsi="Arial" w:cs="Arial"/>
          <w:b/>
          <w:bCs/>
          <w:sz w:val="28"/>
          <w:szCs w:val="28"/>
          <w:rtl/>
        </w:rPr>
        <w:lastRenderedPageBreak/>
        <w:t>أهداف الدراسة</w:t>
      </w:r>
    </w:p>
    <w:p w14:paraId="4A0AAECD" w14:textId="77777777" w:rsidR="0011002A" w:rsidRDefault="00000000" w:rsidP="00E80E5D">
      <w:pPr>
        <w:bidi/>
        <w:spacing w:after="160" w:line="300" w:lineRule="auto"/>
      </w:pPr>
      <w:r>
        <w:rPr>
          <w:rFonts w:ascii="Arial" w:eastAsia="Arial" w:hAnsi="Arial" w:cs="Arial"/>
          <w:b/>
          <w:bCs/>
          <w:sz w:val="24"/>
          <w:szCs w:val="24"/>
          <w:rtl/>
        </w:rPr>
        <w:t>الهدف العام:</w:t>
      </w:r>
    </w:p>
    <w:p w14:paraId="16E0C10C" w14:textId="77777777" w:rsidR="0011002A" w:rsidRDefault="00000000" w:rsidP="00E80E5D">
      <w:pPr>
        <w:bidi/>
        <w:spacing w:after="160" w:line="300" w:lineRule="auto"/>
      </w:pPr>
      <w:r>
        <w:rPr>
          <w:rFonts w:ascii="Arial" w:eastAsia="Arial" w:hAnsi="Arial" w:cs="Arial"/>
          <w:sz w:val="24"/>
          <w:szCs w:val="24"/>
          <w:rtl/>
        </w:rPr>
        <w:t>تحليل أثر استخدام الذكاء الاصطناعي على كفاءة إدارة المشاريع في المؤسسات السعودية.</w:t>
      </w:r>
    </w:p>
    <w:p w14:paraId="475AA347" w14:textId="77777777" w:rsidR="0011002A" w:rsidRDefault="00000000" w:rsidP="00E80E5D">
      <w:pPr>
        <w:bidi/>
        <w:spacing w:after="160" w:line="300" w:lineRule="auto"/>
      </w:pPr>
      <w:r>
        <w:rPr>
          <w:rFonts w:ascii="Arial" w:eastAsia="Arial" w:hAnsi="Arial" w:cs="Arial"/>
          <w:b/>
          <w:bCs/>
          <w:sz w:val="24"/>
          <w:szCs w:val="24"/>
          <w:rtl/>
        </w:rPr>
        <w:t>الأهداف الفرعية:</w:t>
      </w:r>
    </w:p>
    <w:p w14:paraId="7B36C44A"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تحديد أبرز تطبيقات الذكاء الاصطناعي الموظّفة حالياً في إدارة المشاريع.</w:t>
      </w:r>
    </w:p>
    <w:p w14:paraId="7F15417E"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قياس أثر استخدام الذكاء الاصطناعي على كل بُعد من أبعاد الكفاءة الثلاثة: الزمن، والتكلفة، والجودة.</w:t>
      </w:r>
    </w:p>
    <w:p w14:paraId="6D7E6D4A"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تقييم أبرز التحديات والعقبات التي تواجه تطبيق الذكاء الاصطناعي في بيئة العمل السعودية.</w:t>
      </w:r>
    </w:p>
    <w:p w14:paraId="2633AD17"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صياغة تصور مقترح لتبني الذكاء الاصطناعي في إدارة المشاريع يتناسب مع خصوصية السياق السعودي.</w:t>
      </w:r>
    </w:p>
    <w:p w14:paraId="278412EA" w14:textId="77777777" w:rsidR="0011002A" w:rsidRDefault="00000000" w:rsidP="00E80E5D">
      <w:pPr>
        <w:pStyle w:val="2"/>
        <w:bidi/>
        <w:spacing w:before="300" w:after="200"/>
      </w:pPr>
      <w:r>
        <w:rPr>
          <w:rFonts w:ascii="Arial" w:eastAsia="Arial" w:hAnsi="Arial" w:cs="Arial"/>
          <w:b/>
          <w:bCs/>
          <w:sz w:val="28"/>
          <w:szCs w:val="28"/>
          <w:rtl/>
        </w:rPr>
        <w:t>تساؤلات الدراسة</w:t>
      </w:r>
    </w:p>
    <w:p w14:paraId="10D66065"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ما مدى استخدام تطبيقات الذكاء الاصطناعي في المؤسسات السعودية العاملة في مجال إدارة المشاريع؟</w:t>
      </w:r>
    </w:p>
    <w:p w14:paraId="0B3CBDD0"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ما أثر استخدام الذكاء الاصطناعي في تقليل زمن تنفيذ المشاريع؟</w:t>
      </w:r>
    </w:p>
    <w:p w14:paraId="344A941A"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ما أثر استخدام الذكاء الاصطناعي في تقليل تكاليف المشاريع؟</w:t>
      </w:r>
    </w:p>
    <w:p w14:paraId="2C20847C"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ما أثر استخدام الذكاء الاصطناعي في تحسين جودة مخرجات المشاريع؟</w:t>
      </w:r>
    </w:p>
    <w:p w14:paraId="7687571F"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هل توجد فروق ذات دلالة إحصائية بين القطاعين الحكومي والخاص في أثر الذكاء الاصطناعي على كفاءة إدارة المشاريع؟</w:t>
      </w:r>
    </w:p>
    <w:p w14:paraId="41262471"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هل يتوسط حجم المشروع العلاقة بين استخدام الذكاء الاصطناعي وكفاءة إدارة المشاريع؟</w:t>
      </w:r>
    </w:p>
    <w:p w14:paraId="6F50D758"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ما أبرز التحديات التي تواجه تبني الذكاء الاصطناعي في إدارة المشاريع بالبيئة السعودية؟</w:t>
      </w:r>
    </w:p>
    <w:p w14:paraId="0B623213" w14:textId="77777777" w:rsidR="0011002A" w:rsidRDefault="00000000" w:rsidP="00E80E5D">
      <w:pPr>
        <w:pStyle w:val="2"/>
        <w:bidi/>
        <w:spacing w:before="300" w:after="200"/>
      </w:pPr>
      <w:r>
        <w:rPr>
          <w:rFonts w:ascii="Arial" w:eastAsia="Arial" w:hAnsi="Arial" w:cs="Arial"/>
          <w:b/>
          <w:bCs/>
          <w:sz w:val="28"/>
          <w:szCs w:val="28"/>
          <w:rtl/>
        </w:rPr>
        <w:t>فروض الدراسة</w:t>
      </w:r>
    </w:p>
    <w:p w14:paraId="5127B3FB"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الفرض الأول (F1): هناك أثر ذو دلالة إحصائية لاستخدام الذكاء الاصطناعي على تقليل مدة تنفيذ المشاريع.</w:t>
      </w:r>
    </w:p>
    <w:p w14:paraId="7B307D0C"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الفرض الثاني (F2): هناك أثر ذو دلالة إحصائية لاستخدام الذكاء الاصطناعي على تقليل التكاليف.</w:t>
      </w:r>
    </w:p>
    <w:p w14:paraId="0E3A1F89"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الفرض الثالث (F3): هناك أثر ذو دلالة إحصائية لاستخدام الذكاء الاصطناعي على تحسين جودة المخرجات.</w:t>
      </w:r>
    </w:p>
    <w:p w14:paraId="66D88D14"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الفرض الرابع (F4): توجد فروق ذات دلالة إحصائية بين القطاع الحكومي والخاص في أثر الذكاء الاصطناعي على كفاءة إدارة المشاريع.</w:t>
      </w:r>
    </w:p>
    <w:p w14:paraId="1CA92EF4"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الفرض الخامس (F5): حجم المشروع يتوسط العلاقة بين استخدام الذكاء الاصطناعي وكفاءة إدارة المشاريع.</w:t>
      </w:r>
    </w:p>
    <w:p w14:paraId="217B15B1" w14:textId="77777777" w:rsidR="0011002A" w:rsidRDefault="00000000" w:rsidP="00E80E5D">
      <w:pPr>
        <w:pStyle w:val="2"/>
        <w:bidi/>
        <w:spacing w:before="300" w:after="200"/>
      </w:pPr>
      <w:r>
        <w:rPr>
          <w:rFonts w:ascii="Arial" w:eastAsia="Arial" w:hAnsi="Arial" w:cs="Arial"/>
          <w:b/>
          <w:bCs/>
          <w:sz w:val="28"/>
          <w:szCs w:val="28"/>
          <w:rtl/>
        </w:rPr>
        <w:t>الإطار النظري للدراسة</w:t>
      </w:r>
    </w:p>
    <w:p w14:paraId="09FBF2FB" w14:textId="77777777" w:rsidR="0011002A" w:rsidRDefault="00000000" w:rsidP="00E80E5D">
      <w:pPr>
        <w:bidi/>
        <w:spacing w:after="160" w:line="300" w:lineRule="auto"/>
      </w:pPr>
      <w:r>
        <w:rPr>
          <w:rFonts w:ascii="Arial" w:eastAsia="Arial" w:hAnsi="Arial" w:cs="Arial"/>
          <w:sz w:val="24"/>
          <w:szCs w:val="24"/>
          <w:rtl/>
        </w:rPr>
        <w:t>يقدّم هذا القسم شرحاً نظرياً موسّعاً للمفاهيم والأفكار المرتبطة بموضوع الدراسة، بدءاً بمفهوم الذكاء الاصطناعي وأنواعه وتقنياته ومجالات تطبيقه، مروراً بمفهوم إدارة المشاريع ومراحلها ومجالات المعرفة فيها، ثم مفهوم كفاءة إدارة المشاريع وأبعادها ومعايير قياسها، وصولاً إلى الربط التفصيلي بين الذكاء الاصطناعي وكل مرحلة من مراحل المشروع، وانتهاءً بالنظريات العلمية التي تفسر تبني هذه التقنية، بهدف تزويد القارئ بخلفية معرفية متكاملة عن موضوع الدراسة قبل الانتقال إلى استعراض الدراسات السابقة في الفصل الثاني.</w:t>
      </w:r>
    </w:p>
    <w:p w14:paraId="21A54C32" w14:textId="77777777" w:rsidR="0011002A" w:rsidRDefault="00000000" w:rsidP="00E80E5D">
      <w:pPr>
        <w:pStyle w:val="3"/>
        <w:bidi/>
        <w:spacing w:before="200" w:after="150"/>
      </w:pPr>
      <w:r>
        <w:rPr>
          <w:rFonts w:ascii="Arial" w:eastAsia="Arial" w:hAnsi="Arial" w:cs="Arial"/>
          <w:b/>
          <w:bCs/>
          <w:sz w:val="26"/>
          <w:szCs w:val="26"/>
          <w:rtl/>
        </w:rPr>
        <w:lastRenderedPageBreak/>
        <w:t>مفهوم الذكاء الاصطناعي ونشأته</w:t>
      </w:r>
    </w:p>
    <w:p w14:paraId="5D68D8CD" w14:textId="77777777" w:rsidR="0011002A" w:rsidRDefault="00000000" w:rsidP="00E80E5D">
      <w:pPr>
        <w:bidi/>
        <w:spacing w:after="160" w:line="300" w:lineRule="auto"/>
      </w:pPr>
      <w:r>
        <w:rPr>
          <w:rFonts w:ascii="Arial" w:eastAsia="Arial" w:hAnsi="Arial" w:cs="Arial"/>
          <w:sz w:val="24"/>
          <w:szCs w:val="24"/>
          <w:rtl/>
        </w:rPr>
        <w:t>يُعنى الذكاء الاصطناعي، بوصفه أحد فروع علوم الحاسب، بتصميم أنظمة وبرمجيات قادرة على محاكاة أوجه من الإدراك البشري كالتعلّم من الخبرة، والاستدلال المنطقي، وفهم اللغة، واتخاذ القرار في ظل عدم اليقين. ولا يقتصر هذا المفهوم على البرمجة التقليدية القائمة على تعليمات ثابتة، بل يتجاوزها إلى أنظمة قادرة على تعديل سلوكها استناداً إلى ما تستقيه من البيانات، وهو ما يميّزها عن البرمجيات الكلاسيكية التي تنفّذ أوامر محددة سلفاً دون قدرة على التكيّف.</w:t>
      </w:r>
    </w:p>
    <w:p w14:paraId="1A522AFC" w14:textId="77777777" w:rsidR="0011002A" w:rsidRDefault="00000000" w:rsidP="00E80E5D">
      <w:pPr>
        <w:bidi/>
        <w:spacing w:after="160" w:line="300" w:lineRule="auto"/>
      </w:pPr>
      <w:r>
        <w:rPr>
          <w:rFonts w:ascii="Arial" w:eastAsia="Arial" w:hAnsi="Arial" w:cs="Arial"/>
          <w:sz w:val="24"/>
          <w:szCs w:val="24"/>
          <w:rtl/>
        </w:rPr>
        <w:t>نشأ هذا الحقل المعرفي في منتصف القرن العشرين مع أولى محاولات الباحثين محاكاة العمليات الذهنية للإنسان حاسوبياً، ثم مرّ بمراحل تطور متعاقبة تراوحت بين فترات ازدهار بحثي وأخرى ركود، إلى أن شهد العقد الأخير طفرة غير مسبوقة بفعل تضافر ثلاثة عوامل رئيسية: تصاعد حجم البيانات الرقمية المتاحة، وتطوّر القدرات الحاسوبية، وتقدّم خوارزميات التعلّم العميق. وقد انعكس هذا التطور مباشرة على مجالات الأعمال والإدارة، ومنها إدارة المشاريع، التي أصبحت بيئة خصبة لتوظيف هذه التقنيات.</w:t>
      </w:r>
    </w:p>
    <w:p w14:paraId="5D47B859" w14:textId="77777777" w:rsidR="0011002A" w:rsidRDefault="00000000" w:rsidP="00E80E5D">
      <w:pPr>
        <w:pStyle w:val="3"/>
        <w:bidi/>
        <w:spacing w:before="200" w:after="150"/>
      </w:pPr>
      <w:r>
        <w:rPr>
          <w:rFonts w:ascii="Arial" w:eastAsia="Arial" w:hAnsi="Arial" w:cs="Arial"/>
          <w:b/>
          <w:bCs/>
          <w:sz w:val="26"/>
          <w:szCs w:val="26"/>
          <w:rtl/>
        </w:rPr>
        <w:t>أنواع الذكاء الاصطناعي وتصنيفاته</w:t>
      </w:r>
    </w:p>
    <w:p w14:paraId="23780E04" w14:textId="77777777" w:rsidR="0011002A" w:rsidRDefault="00000000" w:rsidP="00E80E5D">
      <w:pPr>
        <w:bidi/>
        <w:spacing w:after="160" w:line="300" w:lineRule="auto"/>
      </w:pPr>
      <w:r>
        <w:rPr>
          <w:rFonts w:ascii="Arial" w:eastAsia="Arial" w:hAnsi="Arial" w:cs="Arial"/>
          <w:sz w:val="24"/>
          <w:szCs w:val="24"/>
          <w:rtl/>
        </w:rPr>
        <w:t>يمكن تصنيف الذكاء الاصطناعي وفق أكثر من معيار، يوضّح كل منها زاوية مختلفة من زوايا فهم هذه التقنية:</w:t>
      </w:r>
    </w:p>
    <w:p w14:paraId="4FBE8791" w14:textId="77777777" w:rsidR="0011002A" w:rsidRDefault="00000000" w:rsidP="00E80E5D">
      <w:pPr>
        <w:bidi/>
        <w:spacing w:after="160" w:line="300" w:lineRule="auto"/>
      </w:pPr>
      <w:r>
        <w:rPr>
          <w:rFonts w:ascii="Arial" w:eastAsia="Arial" w:hAnsi="Arial" w:cs="Arial"/>
          <w:b/>
          <w:bCs/>
          <w:sz w:val="24"/>
          <w:szCs w:val="24"/>
          <w:rtl/>
        </w:rPr>
        <w:t>من حيث درجة القدرة والاستقلالية:</w:t>
      </w:r>
    </w:p>
    <w:p w14:paraId="5B63B6E4"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الذكاء الاصطناعي الضيّق (</w:t>
      </w:r>
      <w:proofErr w:type="spellStart"/>
      <w:r>
        <w:rPr>
          <w:rFonts w:ascii="Arial" w:eastAsia="Arial" w:hAnsi="Arial" w:cs="Arial"/>
          <w:sz w:val="24"/>
          <w:szCs w:val="24"/>
          <w:rtl/>
        </w:rPr>
        <w:t>Narrow</w:t>
      </w:r>
      <w:proofErr w:type="spellEnd"/>
      <w:r>
        <w:rPr>
          <w:rFonts w:ascii="Arial" w:eastAsia="Arial" w:hAnsi="Arial" w:cs="Arial"/>
          <w:sz w:val="24"/>
          <w:szCs w:val="24"/>
          <w:rtl/>
        </w:rPr>
        <w:t xml:space="preserve"> AI): أنظمة مصممة لأداء مهمة محددة بكفاءة عالية، كأنظمة التنبؤ بالمخاطر أو الجدولة الذكية، وهو النوع السائد حالياً في تطبيقات إدارة المشاريع.</w:t>
      </w:r>
    </w:p>
    <w:p w14:paraId="1B6C3447"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الذكاء الاصطناعي العام (</w:t>
      </w:r>
      <w:proofErr w:type="spellStart"/>
      <w:r>
        <w:rPr>
          <w:rFonts w:ascii="Arial" w:eastAsia="Arial" w:hAnsi="Arial" w:cs="Arial"/>
          <w:sz w:val="24"/>
          <w:szCs w:val="24"/>
          <w:rtl/>
        </w:rPr>
        <w:t>General</w:t>
      </w:r>
      <w:proofErr w:type="spellEnd"/>
      <w:r>
        <w:rPr>
          <w:rFonts w:ascii="Arial" w:eastAsia="Arial" w:hAnsi="Arial" w:cs="Arial"/>
          <w:sz w:val="24"/>
          <w:szCs w:val="24"/>
          <w:rtl/>
        </w:rPr>
        <w:t xml:space="preserve"> AI): أنظمة افتراضية قادرة على أداء أي مهمة فكرية يقوم بها الإنسان، وما زال هذا النوع في طور البحث النظري.</w:t>
      </w:r>
    </w:p>
    <w:p w14:paraId="211E4D67"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الذكاء الاصطناعي الخارق (</w:t>
      </w:r>
      <w:proofErr w:type="spellStart"/>
      <w:r>
        <w:rPr>
          <w:rFonts w:ascii="Arial" w:eastAsia="Arial" w:hAnsi="Arial" w:cs="Arial"/>
          <w:sz w:val="24"/>
          <w:szCs w:val="24"/>
          <w:rtl/>
        </w:rPr>
        <w:t>Super</w:t>
      </w:r>
      <w:proofErr w:type="spellEnd"/>
      <w:r>
        <w:rPr>
          <w:rFonts w:ascii="Arial" w:eastAsia="Arial" w:hAnsi="Arial" w:cs="Arial"/>
          <w:sz w:val="24"/>
          <w:szCs w:val="24"/>
          <w:rtl/>
        </w:rPr>
        <w:t xml:space="preserve"> AI): مستوى مستقبلي افتراضي يتجاوز فيه الذكاء الاصطناعي القدرات البشرية في جميع المجالات.</w:t>
      </w:r>
    </w:p>
    <w:p w14:paraId="228C3872" w14:textId="77777777" w:rsidR="0011002A" w:rsidRDefault="00000000" w:rsidP="00E80E5D">
      <w:pPr>
        <w:bidi/>
        <w:spacing w:after="160" w:line="300" w:lineRule="auto"/>
      </w:pPr>
      <w:r>
        <w:rPr>
          <w:rFonts w:ascii="Arial" w:eastAsia="Arial" w:hAnsi="Arial" w:cs="Arial"/>
          <w:b/>
          <w:bCs/>
          <w:sz w:val="24"/>
          <w:szCs w:val="24"/>
          <w:rtl/>
        </w:rPr>
        <w:t>من حيث القدرة الوظيفية والإدراكية:</w:t>
      </w:r>
    </w:p>
    <w:p w14:paraId="785E2096"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الآلات التفاعلية: تستجيب للمدخلات الحالية دون قدرة على تخزين خبرات سابقة.</w:t>
      </w:r>
    </w:p>
    <w:p w14:paraId="4E151D04"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أنظمة الذاكرة المحدودة: تستخدم بيانات تاريخية لتحسين قراراتها، وهي الفئة التي تنتمي إليها معظم تطبيقات التعلم الآلي المستخدمة حالياً في إدارة المشاريع، كأنظمة التنبؤ بالتأخير.</w:t>
      </w:r>
    </w:p>
    <w:p w14:paraId="1B070C7B"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 xml:space="preserve">أنظمة نظرية العقل: قيد التطوير، وتسعى إلى فهم الحالات الذهنية </w:t>
      </w:r>
      <w:proofErr w:type="gramStart"/>
      <w:r>
        <w:rPr>
          <w:rFonts w:ascii="Arial" w:eastAsia="Arial" w:hAnsi="Arial" w:cs="Arial"/>
          <w:sz w:val="24"/>
          <w:szCs w:val="24"/>
          <w:rtl/>
        </w:rPr>
        <w:t>والنوايا</w:t>
      </w:r>
      <w:proofErr w:type="gramEnd"/>
      <w:r>
        <w:rPr>
          <w:rFonts w:ascii="Arial" w:eastAsia="Arial" w:hAnsi="Arial" w:cs="Arial"/>
          <w:sz w:val="24"/>
          <w:szCs w:val="24"/>
          <w:rtl/>
        </w:rPr>
        <w:t xml:space="preserve"> البشرية.</w:t>
      </w:r>
    </w:p>
    <w:p w14:paraId="78767EFB"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أنظمة الوعي الذاتي: المستوى الأكثر تقدماً نظرياً، وترتبط بأنظمة تمتلك إدراكاً ذاتياً، ولا تزال في حيّز التنظير.</w:t>
      </w:r>
    </w:p>
    <w:p w14:paraId="74F25B24" w14:textId="77777777" w:rsidR="0011002A" w:rsidRDefault="00000000" w:rsidP="00E80E5D">
      <w:pPr>
        <w:bidi/>
        <w:spacing w:after="160" w:line="300" w:lineRule="auto"/>
      </w:pPr>
      <w:r>
        <w:rPr>
          <w:rFonts w:ascii="Arial" w:eastAsia="Arial" w:hAnsi="Arial" w:cs="Arial"/>
          <w:sz w:val="24"/>
          <w:szCs w:val="24"/>
          <w:rtl/>
        </w:rPr>
        <w:t>ويفسّر هذا التصنيف المزدوج اقتصار غالبية تطبيقات الذكاء الاصطناعي الحالية في إدارة المشاريع - كما سيتضح لاحقاً - على النوعين الضيّق ومحدود الذاكرة، لكونهما الأكثر نضجاً واستعداداً للتطبيق العملي في الوقت الراهن.</w:t>
      </w:r>
    </w:p>
    <w:p w14:paraId="109F6CF1" w14:textId="77777777" w:rsidR="0011002A" w:rsidRDefault="00000000" w:rsidP="00E80E5D">
      <w:pPr>
        <w:pStyle w:val="3"/>
        <w:bidi/>
        <w:spacing w:before="200" w:after="150"/>
      </w:pPr>
      <w:r>
        <w:rPr>
          <w:rFonts w:ascii="Arial" w:eastAsia="Arial" w:hAnsi="Arial" w:cs="Arial"/>
          <w:b/>
          <w:bCs/>
          <w:sz w:val="26"/>
          <w:szCs w:val="26"/>
          <w:rtl/>
        </w:rPr>
        <w:t>تقنيات الذكاء الاصطناعي الفرعية</w:t>
      </w:r>
    </w:p>
    <w:p w14:paraId="4F230C94" w14:textId="77777777" w:rsidR="0011002A" w:rsidRDefault="00000000" w:rsidP="00E80E5D">
      <w:pPr>
        <w:bidi/>
        <w:spacing w:after="160" w:line="300" w:lineRule="auto"/>
      </w:pPr>
      <w:r>
        <w:rPr>
          <w:rFonts w:ascii="Arial" w:eastAsia="Arial" w:hAnsi="Arial" w:cs="Arial"/>
          <w:sz w:val="24"/>
          <w:szCs w:val="24"/>
          <w:rtl/>
        </w:rPr>
        <w:t>يتشكل الذكاء الاصطناعي التطبيقي من مجموعة تقنيات فرعية مترابطة تمثل ركائزه التقنية، أبرزها:</w:t>
      </w:r>
    </w:p>
    <w:p w14:paraId="0EA657FE"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التعلم الآلي: مجموعة خوارزميات تتيح للنظام اكتشاف الأنماط في البيانات وتحسين أدائه دون برمجة صريحة لكل حالة على حدة.</w:t>
      </w:r>
    </w:p>
    <w:p w14:paraId="1E8A7707"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lastRenderedPageBreak/>
        <w:t>التعلم العميق: امتداد للتعلم الآلي يعتمد على شبكات عصبية اصطناعية متعددة الطبقات، وتزداد كفاءته كلما اتسع حجم البيانات المتاحة للتدريب.</w:t>
      </w:r>
    </w:p>
    <w:p w14:paraId="41051385"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معالجة اللغة الطبيعية: تمكّن الأنظمة من فهم النصوص والمحادثات البشرية وتحليلها، وتُستخدم في تحليل تقارير المشاريع والمراسلات.</w:t>
      </w:r>
    </w:p>
    <w:p w14:paraId="7ACAB632"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الروبوتات البرمجية: تؤتمت المهام الإدارية المتكررة كإدخال البيانات وإصدار التقارير الدورية.</w:t>
      </w:r>
    </w:p>
    <w:p w14:paraId="4DBC970C"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تحليل البيانات الضخمة: يعالج كميات ضخمة ومتنوعة من بيانات المشاريع لاستخلاص أنماط تدعم اتخاذ القرار.</w:t>
      </w:r>
    </w:p>
    <w:p w14:paraId="56FB7D00" w14:textId="77777777" w:rsidR="0011002A" w:rsidRDefault="00000000" w:rsidP="00E80E5D">
      <w:pPr>
        <w:bidi/>
        <w:spacing w:after="160" w:line="300" w:lineRule="auto"/>
      </w:pPr>
      <w:r>
        <w:rPr>
          <w:rFonts w:ascii="Arial" w:eastAsia="Arial" w:hAnsi="Arial" w:cs="Arial"/>
          <w:sz w:val="24"/>
          <w:szCs w:val="24"/>
          <w:rtl/>
        </w:rPr>
        <w:t xml:space="preserve">وهذه التقنيات ليست بدائل </w:t>
      </w:r>
      <w:proofErr w:type="gramStart"/>
      <w:r>
        <w:rPr>
          <w:rFonts w:ascii="Arial" w:eastAsia="Arial" w:hAnsi="Arial" w:cs="Arial"/>
          <w:sz w:val="24"/>
          <w:szCs w:val="24"/>
          <w:rtl/>
        </w:rPr>
        <w:t>متنافسة</w:t>
      </w:r>
      <w:proofErr w:type="gramEnd"/>
      <w:r>
        <w:rPr>
          <w:rFonts w:ascii="Arial" w:eastAsia="Arial" w:hAnsi="Arial" w:cs="Arial"/>
          <w:sz w:val="24"/>
          <w:szCs w:val="24"/>
          <w:rtl/>
        </w:rPr>
        <w:t xml:space="preserve"> بل عناصر متكاملة؛ إذ تُبنى معظم أنظمة إدارة المشاريع الذكية من مزيج منها، كأن يجمع نظام واحد بين التعلم الآلي للتنبؤ بالمخاطر ومعالجة اللغة الطبيعية لتحليل مراسلات الفريق في آنٍ واحد.</w:t>
      </w:r>
    </w:p>
    <w:p w14:paraId="08F75A72" w14:textId="77777777" w:rsidR="0011002A" w:rsidRDefault="00000000" w:rsidP="00E80E5D">
      <w:pPr>
        <w:pStyle w:val="3"/>
        <w:bidi/>
        <w:spacing w:before="200" w:after="150"/>
      </w:pPr>
      <w:r>
        <w:rPr>
          <w:rFonts w:ascii="Arial" w:eastAsia="Arial" w:hAnsi="Arial" w:cs="Arial"/>
          <w:b/>
          <w:bCs/>
          <w:sz w:val="26"/>
          <w:szCs w:val="26"/>
          <w:rtl/>
        </w:rPr>
        <w:t>مجالات تطبيق الذكاء الاصطناعي</w:t>
      </w:r>
    </w:p>
    <w:p w14:paraId="14557B0B" w14:textId="77777777" w:rsidR="0011002A" w:rsidRDefault="00000000" w:rsidP="00E80E5D">
      <w:pPr>
        <w:bidi/>
        <w:spacing w:after="160" w:line="300" w:lineRule="auto"/>
      </w:pPr>
      <w:r>
        <w:rPr>
          <w:rFonts w:ascii="Arial" w:eastAsia="Arial" w:hAnsi="Arial" w:cs="Arial"/>
          <w:sz w:val="24"/>
          <w:szCs w:val="24"/>
          <w:rtl/>
        </w:rPr>
        <w:t>تتوزع تطبيقات الذكاء الاصطناعي على نطاق واسع من القطاعات، من الرعاية الصحية (التشخيص المساعد) إلى التعليم (التعلّم التكيّفي) والصناعة (الصيانة التنبؤية) والخدمات المالية (كشف الاحتيال)، وصولاً إلى قطاع الأعمال والإدارة الذي يمثل السياق المباشر لهذه الدراسة. وفي مجال الأعمال تحديداً، يُستخدم الذكاء الاصطناعي في التخطيط الاستراتيجي، وإدارة سلاسل الإمداد، وخدمة العملاء، وإدارة الموارد البشرية، وإدارة المشاريع، وهو المجال الذي تتركّز عليه هذه الدراسة.</w:t>
      </w:r>
    </w:p>
    <w:p w14:paraId="2E5E0E3E" w14:textId="77777777" w:rsidR="0011002A" w:rsidRDefault="00000000" w:rsidP="00E80E5D">
      <w:pPr>
        <w:pStyle w:val="3"/>
        <w:bidi/>
        <w:spacing w:before="200" w:after="150"/>
      </w:pPr>
      <w:r>
        <w:rPr>
          <w:rFonts w:ascii="Arial" w:eastAsia="Arial" w:hAnsi="Arial" w:cs="Arial"/>
          <w:b/>
          <w:bCs/>
          <w:sz w:val="26"/>
          <w:szCs w:val="26"/>
          <w:rtl/>
        </w:rPr>
        <w:t>مفهوم إدارة المشاريع</w:t>
      </w:r>
    </w:p>
    <w:p w14:paraId="695531AB" w14:textId="77777777" w:rsidR="0011002A" w:rsidRDefault="00000000" w:rsidP="00E80E5D">
      <w:pPr>
        <w:bidi/>
        <w:spacing w:after="160" w:line="300" w:lineRule="auto"/>
      </w:pPr>
      <w:r>
        <w:rPr>
          <w:rFonts w:ascii="Arial" w:eastAsia="Arial" w:hAnsi="Arial" w:cs="Arial"/>
          <w:sz w:val="24"/>
          <w:szCs w:val="24"/>
          <w:rtl/>
        </w:rPr>
        <w:t>إدارة المشاريع ممارسة إدارية تُعنى بتوجيه موارد المؤسسة البشرية والمالية والتقنية نحو تحقيق هدف محدد ضمن قيود زمنية ومالية معينة، وتفترق عن الإدارة التشغيلية الروتينية بطابعها المؤقت - إذ لكل مشروع بداية ونهاية محددتان - وبتفرّد نواتجها، إذ ينتج كل مشروع مخرجاً فريداً لا يتكرر بالضبط في مشروع آخر. ويُنظر إليها، وفق دليل PMBOK الصادر عن معهد إدارة المشاريع، بوصفها تطبيقاً منظماً للمعرفة والمهارات والأدوات والتقنيات في أنشطة المشروع لتحقيق متطلباته المحددة سلفاً.</w:t>
      </w:r>
    </w:p>
    <w:p w14:paraId="045F6276" w14:textId="77777777" w:rsidR="0011002A" w:rsidRDefault="00000000" w:rsidP="00E80E5D">
      <w:pPr>
        <w:pStyle w:val="3"/>
        <w:bidi/>
        <w:spacing w:before="200" w:after="150"/>
      </w:pPr>
      <w:r>
        <w:rPr>
          <w:rFonts w:ascii="Arial" w:eastAsia="Arial" w:hAnsi="Arial" w:cs="Arial"/>
          <w:b/>
          <w:bCs/>
          <w:sz w:val="26"/>
          <w:szCs w:val="26"/>
          <w:rtl/>
        </w:rPr>
        <w:t>مراحل إدارة المشاريع (دورة حياة المشروع)</w:t>
      </w:r>
    </w:p>
    <w:p w14:paraId="5A510D93" w14:textId="77777777" w:rsidR="0011002A" w:rsidRDefault="00000000" w:rsidP="00E80E5D">
      <w:pPr>
        <w:bidi/>
        <w:spacing w:after="160" w:line="300" w:lineRule="auto"/>
      </w:pPr>
      <w:r>
        <w:rPr>
          <w:rFonts w:ascii="Arial" w:eastAsia="Arial" w:hAnsi="Arial" w:cs="Arial"/>
          <w:sz w:val="24"/>
          <w:szCs w:val="24"/>
          <w:rtl/>
        </w:rPr>
        <w:t>تمرّ إدارة أي مشروع بخمس مراحل رئيسية مترابطة:</w:t>
      </w:r>
    </w:p>
    <w:p w14:paraId="7282AFE5"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مرحلة البدء: تحديد جدوى المشروع وأهدافه العامة والحصول على الموافقة الرسمية على انطلاقه.</w:t>
      </w:r>
    </w:p>
    <w:p w14:paraId="1AA2C8D3"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مرحلة التخطيط: وضع خطة تفصيلية تشمل الجدول الزمني، والميزانية، وخطة الموارد، وخطة إدارة المخاطر.</w:t>
      </w:r>
    </w:p>
    <w:p w14:paraId="71FEF807"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مرحلة التنفيذ: تنفيذ الأنشطة المخطط لها، وتنسيق فرق العمل والموارد المتاحة.</w:t>
      </w:r>
    </w:p>
    <w:p w14:paraId="5D7E1948"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مرحلة المراقبة والتحكم: متابعة الأداء الفعلي مقابل الخطة المعتمدة، ورصد الانحرافات، واتخاذ الإجراءات التصحيحية اللازمة.</w:t>
      </w:r>
    </w:p>
    <w:p w14:paraId="499CB8FF"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مرحلة الإغلاق: تسليم المخرجات النهائية، وتوثيق الدروس المستفادة، وإغلاق العقود إدارياً ومالياً.</w:t>
      </w:r>
    </w:p>
    <w:p w14:paraId="1C71E050" w14:textId="77777777" w:rsidR="0011002A" w:rsidRDefault="00000000" w:rsidP="00E80E5D">
      <w:pPr>
        <w:bidi/>
        <w:spacing w:after="160" w:line="300" w:lineRule="auto"/>
      </w:pPr>
      <w:r>
        <w:rPr>
          <w:rFonts w:ascii="Arial" w:eastAsia="Arial" w:hAnsi="Arial" w:cs="Arial"/>
          <w:sz w:val="24"/>
          <w:szCs w:val="24"/>
          <w:rtl/>
        </w:rPr>
        <w:t>ويشكّل هذا التسلسل المرحلي الإطار الذي تُبنى عليه لاحقاً خارطة تكامل الذكاء الاصطناعي مع كل مرحلة من مراحل المشروع، كما هو مفصّل في القسم التالي.</w:t>
      </w:r>
    </w:p>
    <w:p w14:paraId="57B71016" w14:textId="77777777" w:rsidR="0011002A" w:rsidRDefault="00000000" w:rsidP="00E80E5D">
      <w:pPr>
        <w:pStyle w:val="3"/>
        <w:bidi/>
        <w:spacing w:before="200" w:after="150"/>
      </w:pPr>
      <w:r>
        <w:rPr>
          <w:rFonts w:ascii="Arial" w:eastAsia="Arial" w:hAnsi="Arial" w:cs="Arial"/>
          <w:b/>
          <w:bCs/>
          <w:sz w:val="26"/>
          <w:szCs w:val="26"/>
          <w:rtl/>
        </w:rPr>
        <w:t>مجالات المعرفة في إدارة المشاريع</w:t>
      </w:r>
    </w:p>
    <w:p w14:paraId="24F11095" w14:textId="77777777" w:rsidR="0011002A" w:rsidRDefault="00000000" w:rsidP="00E80E5D">
      <w:pPr>
        <w:bidi/>
        <w:spacing w:after="160" w:line="300" w:lineRule="auto"/>
      </w:pPr>
      <w:r>
        <w:rPr>
          <w:rFonts w:ascii="Arial" w:eastAsia="Arial" w:hAnsi="Arial" w:cs="Arial"/>
          <w:sz w:val="24"/>
          <w:szCs w:val="24"/>
          <w:rtl/>
        </w:rPr>
        <w:lastRenderedPageBreak/>
        <w:t>إلى جانب البعد المرحلي، تُصنَّف إدارة المشاريع وفق دليل PMBOK ضمن عشرة مجالات معرفية متكاملة، هي: التكامل، والنطاق، والجدول الزمني، والتكلفة، والجودة، والموارد، والاتصالات، والمخاطر، والمشتريات، وأصحاب المصلحة. وتنصبّ هذه الدراسة على ثلاثة من هذه المجالات تحديداً - الجدول الزمني، والتكلفة، والجودة - بوصفها الأبعاد الأكثر قابلية للقياس الكمي، والأكثر تأثراً بتطبيقات الذكاء الاصطناعي وفق ما تُظهره الأدبيات المستعرضة في الفصل الثاني.</w:t>
      </w:r>
    </w:p>
    <w:p w14:paraId="4F15EFE1" w14:textId="77777777" w:rsidR="0011002A" w:rsidRDefault="00000000" w:rsidP="00E80E5D">
      <w:pPr>
        <w:pStyle w:val="3"/>
        <w:bidi/>
        <w:spacing w:before="200" w:after="150"/>
      </w:pPr>
      <w:r>
        <w:rPr>
          <w:rFonts w:ascii="Arial" w:eastAsia="Arial" w:hAnsi="Arial" w:cs="Arial"/>
          <w:b/>
          <w:bCs/>
          <w:sz w:val="26"/>
          <w:szCs w:val="26"/>
          <w:rtl/>
        </w:rPr>
        <w:t>مفهوم كفاءة إدارة المشاريع وأبعادها</w:t>
      </w:r>
    </w:p>
    <w:p w14:paraId="17A07D15" w14:textId="77777777" w:rsidR="0011002A" w:rsidRDefault="00000000" w:rsidP="00E80E5D">
      <w:pPr>
        <w:bidi/>
        <w:spacing w:after="160" w:line="300" w:lineRule="auto"/>
      </w:pPr>
      <w:r>
        <w:rPr>
          <w:rFonts w:ascii="Arial" w:eastAsia="Arial" w:hAnsi="Arial" w:cs="Arial"/>
          <w:sz w:val="24"/>
          <w:szCs w:val="24"/>
          <w:rtl/>
        </w:rPr>
        <w:t>تُعرَّف كفاءة إدارة المشاريع بأنها مدى قدرة فريق المشروع على تحقيق الأهداف المحددة ضمن الحدود الزمنية والمالية المرسومة، مع المحافظة على مستوى الجودة المتفق عليه، وهو ما يُعرف تقليدياً بـ«المثلث الحديدي» لإدارة المشاريع. وتتحدد أبعاد هذه الكفاءة في:</w:t>
      </w:r>
    </w:p>
    <w:p w14:paraId="02EB4927"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بُعد الزمن: يقيس مدى التزام تنفيذ المشروع بالجدول الزمني المخطط، ويُعبَّر عنه غالباً بمؤشرات كالانحراف الزمني ومؤشر أداء الجدول.</w:t>
      </w:r>
    </w:p>
    <w:p w14:paraId="17620B54"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بُعد التكلفة: يقيس مدى الالتزام بالميزانية المعتمدة، ويُقاس عادة بمؤشرات كالانحراف في التكلفة ومؤشر أداء التكلفة ضمن منهجية القيمة المكتسبة.</w:t>
      </w:r>
    </w:p>
    <w:p w14:paraId="275944CD"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بُعد الجودة: يقيس مدى مطابقة مخرجات المشروع للمواصفات والمعايير المتفق عليها، وغالباً ما يُقاس عبر معدلات إعادة العمل، وعدد العيوب المكتشفة، ورضا أصحاب المصلحة.</w:t>
      </w:r>
    </w:p>
    <w:p w14:paraId="26B12831" w14:textId="77777777" w:rsidR="0011002A" w:rsidRDefault="00000000" w:rsidP="00E80E5D">
      <w:pPr>
        <w:bidi/>
        <w:spacing w:after="160" w:line="300" w:lineRule="auto"/>
      </w:pPr>
      <w:r>
        <w:rPr>
          <w:rFonts w:ascii="Arial" w:eastAsia="Arial" w:hAnsi="Arial" w:cs="Arial"/>
          <w:sz w:val="24"/>
          <w:szCs w:val="24"/>
          <w:rtl/>
        </w:rPr>
        <w:t>وتضيف بعض الأطر الحديثة بُعداً رابعاً هو رضا أصحاب المصلحة، إلا أن هذه الدراسة تقتصر - تماشياً مع أهدافها المحددة - على الأبعاد الثلاثة الأساسية أعلاه.</w:t>
      </w:r>
    </w:p>
    <w:p w14:paraId="755FB0B8" w14:textId="77777777" w:rsidR="0011002A" w:rsidRDefault="00000000" w:rsidP="00E80E5D">
      <w:pPr>
        <w:pStyle w:val="3"/>
        <w:bidi/>
        <w:spacing w:before="200" w:after="150"/>
      </w:pPr>
      <w:r>
        <w:rPr>
          <w:rFonts w:ascii="Arial" w:eastAsia="Arial" w:hAnsi="Arial" w:cs="Arial"/>
          <w:b/>
          <w:bCs/>
          <w:sz w:val="26"/>
          <w:szCs w:val="26"/>
          <w:rtl/>
        </w:rPr>
        <w:t>معايير ونماذج قياس كفاءة المشاريع</w:t>
      </w:r>
    </w:p>
    <w:p w14:paraId="730B89A3" w14:textId="77777777" w:rsidR="0011002A" w:rsidRDefault="00000000" w:rsidP="00E80E5D">
      <w:pPr>
        <w:bidi/>
        <w:spacing w:after="160" w:line="300" w:lineRule="auto"/>
      </w:pPr>
      <w:r>
        <w:rPr>
          <w:rFonts w:ascii="Arial" w:eastAsia="Arial" w:hAnsi="Arial" w:cs="Arial"/>
          <w:sz w:val="24"/>
          <w:szCs w:val="24"/>
          <w:rtl/>
        </w:rPr>
        <w:t>تتعدد النماذج المستخدمة لقياس كفاءة إدارة المشاريع، أبرزها منهجية القيمة المكتسبة التي تدمج قياسات النطاق والزمن والتكلفة في مؤشر واحد يتيح التنبؤ المبكر بالانحرافات، وأطر عمل دولية مثل PRINCE2 التي تقدّم مبادئ حوكمة تكميلية لضمان استمرار جدوى المشروع التجارية. وتعتمد هذه الدراسة في قياسها الميداني - المفصّل في الفصل الثالث - على مقاييس إدراكية تُجمع عبر استبانة لهذه الأبعاد الثلاثة، بما يتسق مع طبيعة العينة المستهدفة من العاملين في إدارة المشاريع.</w:t>
      </w:r>
    </w:p>
    <w:p w14:paraId="1CAC29BA" w14:textId="77777777" w:rsidR="0011002A" w:rsidRDefault="00000000" w:rsidP="00E80E5D">
      <w:pPr>
        <w:pStyle w:val="3"/>
        <w:bidi/>
        <w:spacing w:before="200" w:after="150"/>
      </w:pPr>
      <w:r>
        <w:rPr>
          <w:rFonts w:ascii="Arial" w:eastAsia="Arial" w:hAnsi="Arial" w:cs="Arial"/>
          <w:b/>
          <w:bCs/>
          <w:sz w:val="26"/>
          <w:szCs w:val="26"/>
          <w:rtl/>
        </w:rPr>
        <w:t>تكامل الذكاء الاصطناعي عبر مراحل إدارة المشاريع</w:t>
      </w:r>
    </w:p>
    <w:p w14:paraId="13C9939F" w14:textId="77777777" w:rsidR="0011002A" w:rsidRDefault="00000000" w:rsidP="00E80E5D">
      <w:pPr>
        <w:bidi/>
        <w:spacing w:after="160" w:line="300" w:lineRule="auto"/>
      </w:pPr>
      <w:r>
        <w:rPr>
          <w:rFonts w:ascii="Arial" w:eastAsia="Arial" w:hAnsi="Arial" w:cs="Arial"/>
          <w:sz w:val="24"/>
          <w:szCs w:val="24"/>
          <w:rtl/>
        </w:rPr>
        <w:t>انطلاقاً من مراحل دورة حياة المشروع الموضحة أعلاه، يمكن رصد أوجه تكامل الذكاء الاصطناعي مع كل مرحلة على النحو التالي:</w:t>
      </w:r>
    </w:p>
    <w:p w14:paraId="37310671"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في مرحلة البدء: تُستخدم نماذج التعلم الآلي في تحليل بيانات مشاريع مشابهة سابقة لتقدير الجدوى المبدئية وتقييم المخاطر الأولية بدقة تفوق التقديرات الاجتهادية اليدوية.</w:t>
      </w:r>
    </w:p>
    <w:p w14:paraId="6ED0E20F"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في مرحلة التخطيط: تساهم خوارزميات التحسين والجدولة الذكية في بناء جداول زمنية أكثر واقعية، بينما تُستخدم نماذج الانحدار والتعلم الآلي في تحسين دقة تقدير التكاليف والموارد المطلوبة.</w:t>
      </w:r>
    </w:p>
    <w:p w14:paraId="5E7D3E73"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في مرحلة التنفيذ: تؤتمت الروبوتات البرمجية المهام الإدارية المتكررة، وتساعد أدوات معالجة اللغة الطبيعية في تحليل التواصل بين فرق العمل وأصحاب المصلحة، ورصد المخاطر المبكرة الكامنة في المراسلات.</w:t>
      </w:r>
    </w:p>
    <w:p w14:paraId="05D1BC4A"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في مرحلة المراقبة والتحكم: تُستخدم نماذج التنبؤ لرصد الانحرافات عن الخط الأساس فور ظهورها، وتوليد تنبيهات مبكرة تتيح اتخاذ إجراءات تصحيحية استباقية بدلاً من ردّ الفعل المتأخر.</w:t>
      </w:r>
    </w:p>
    <w:p w14:paraId="5A3115AF"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lastRenderedPageBreak/>
        <w:t>في مرحلة الإغلاق: تساعد تقنيات معالجة اللغة الطبيعية في تحليل تقارير المشروع واستخلاص الدروس المستفادة آلياً، وأرشفتها ضمن قاعدة معرفية تُستثمر في تحسين تقديرات المشاريع المستقبلية.</w:t>
      </w:r>
    </w:p>
    <w:p w14:paraId="2819BA42" w14:textId="77777777" w:rsidR="0011002A" w:rsidRDefault="00000000" w:rsidP="00E80E5D">
      <w:pPr>
        <w:bidi/>
        <w:spacing w:after="160" w:line="300" w:lineRule="auto"/>
      </w:pPr>
      <w:r>
        <w:rPr>
          <w:rFonts w:ascii="Arial" w:eastAsia="Arial" w:hAnsi="Arial" w:cs="Arial"/>
          <w:sz w:val="24"/>
          <w:szCs w:val="24"/>
          <w:rtl/>
        </w:rPr>
        <w:t>ويفسّر هذا الربط المرحلي الأساس النظري لاختيار متغيرات الدراسة؛ إذ إن الأثر المتوقع لاستخدام الذكاء الاصطناعي على أبعاد الزمن والتكلفة والجودة (فروض الدراسة الثلاثة الأولى) ينبع من هذا التكامل عبر مختلف مراحل المشروع مجتمعة، وليس من مرحلة واحدة بعينها.</w:t>
      </w:r>
    </w:p>
    <w:p w14:paraId="7E0B4E17" w14:textId="77777777" w:rsidR="0011002A" w:rsidRDefault="00000000" w:rsidP="00E80E5D">
      <w:pPr>
        <w:pStyle w:val="3"/>
        <w:bidi/>
        <w:spacing w:before="200" w:after="150"/>
      </w:pPr>
      <w:r>
        <w:rPr>
          <w:rFonts w:ascii="Arial" w:eastAsia="Arial" w:hAnsi="Arial" w:cs="Arial"/>
          <w:b/>
          <w:bCs/>
          <w:sz w:val="26"/>
          <w:szCs w:val="26"/>
          <w:rtl/>
        </w:rPr>
        <w:t>النظريات العلمية المفسرة لتبني الذكاء الاصطناعي</w:t>
      </w:r>
    </w:p>
    <w:p w14:paraId="12BFB993" w14:textId="77777777" w:rsidR="0011002A" w:rsidRDefault="00000000" w:rsidP="00E80E5D">
      <w:pPr>
        <w:bidi/>
        <w:spacing w:after="160" w:line="300" w:lineRule="auto"/>
      </w:pPr>
      <w:r>
        <w:rPr>
          <w:rFonts w:ascii="Arial" w:eastAsia="Arial" w:hAnsi="Arial" w:cs="Arial"/>
          <w:sz w:val="24"/>
          <w:szCs w:val="24"/>
          <w:rtl/>
        </w:rPr>
        <w:t>تستند الدراسة إلى دمج مجموعة من النظريات التي تفسر كيفية تبني واستخدام التكنولوجيا داخل المؤسسات، وتشكّل معاً الأساس العلمي الذي بُني عليه نموذج الدراسة ومنهجية تحليلها:</w:t>
      </w:r>
    </w:p>
    <w:p w14:paraId="603F018F"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نظرية انتشار الابتكار التكنولوجي: تفسّر كيفية انتشار الابتكارات وتبنيها تدريجياً عبر فئات مختلفة من الأفراد والمؤسسات، وتُستخدم هنا لتفسير تفاوت درجة تبني الذكاء الاصطناعي بين القطاعين الحكومي والخاص (الفرض الرابع).</w:t>
      </w:r>
    </w:p>
    <w:p w14:paraId="6C2BBDE3"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نظرية الموارد والقدرات: تركز على الموارد التنظيمية النادرة والقيّمة التي تمنح المؤسسة ميزة تنافسية مستدامة، وتُستخدم لتفسير كيف يصبح الذكاء الاصطناعي مورداً استراتيجياً يفسّر تفاوت الكفاءة بين المؤسسات المختلفة الحجم (الفرض الخامس).</w:t>
      </w:r>
    </w:p>
    <w:p w14:paraId="65209FBB"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نظرية اتخاذ القرار: تدرس العمليات الذهنية التي تقود إلى قرارات فعالة في بيئة العمل، وتُوظَّف لتفسير الدور الداعم للذكاء الاصطناعي في تحسين جودة القرارات الإدارية داخل المشروع.</w:t>
      </w:r>
    </w:p>
    <w:p w14:paraId="2F9CA2EC"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نموذج قبول التكنولوجيا وإطار العوامل التنظيمية والتقنية والبيئية: يوضحان معاً العوامل الفردية (كالفائدة المدركة وسهولة الاستخدام) والمؤسسية (كالجاهزية التنظيمية والبنية التقنية) التي تحدد مدى تبني الذكاء الاصطناعي، وتشكلان الأساس المنهجي لبناء أداة القياس المستخدمة في الفصل الثالث.</w:t>
      </w:r>
    </w:p>
    <w:p w14:paraId="27231758" w14:textId="77777777" w:rsidR="0011002A" w:rsidRDefault="00000000" w:rsidP="00E80E5D">
      <w:pPr>
        <w:bidi/>
        <w:spacing w:after="160" w:line="300" w:lineRule="auto"/>
      </w:pPr>
      <w:r>
        <w:rPr>
          <w:rFonts w:ascii="Arial" w:eastAsia="Arial" w:hAnsi="Arial" w:cs="Arial"/>
          <w:sz w:val="24"/>
          <w:szCs w:val="24"/>
          <w:rtl/>
        </w:rPr>
        <w:t>ويُفترض في ضوء هذه النظريات مجتمعة أن الذكاء الاصطناعي هو المتغير المستقل الذي يؤثر على كفاءة إدارة المشاريع (المتغير التابع)، مع وجود متغيرات وسيطة كحجم المشروع، والقطاع، ونضج البنية الرقمية للمؤسسة، ويُختبر هذا النموذج إحصائياً كما هو مفصّل في الفصل الثالث من الدراسة.</w:t>
      </w:r>
    </w:p>
    <w:p w14:paraId="08435C1F" w14:textId="77777777" w:rsidR="0011002A" w:rsidRDefault="00000000" w:rsidP="00E80E5D">
      <w:pPr>
        <w:pStyle w:val="3"/>
        <w:bidi/>
        <w:spacing w:before="200" w:after="150"/>
      </w:pPr>
      <w:r>
        <w:rPr>
          <w:rFonts w:ascii="Arial" w:eastAsia="Arial" w:hAnsi="Arial" w:cs="Arial"/>
          <w:b/>
          <w:bCs/>
          <w:sz w:val="26"/>
          <w:szCs w:val="26"/>
          <w:rtl/>
        </w:rPr>
        <w:t>تعريفات إجرائية للمصطلحات الأساسية</w:t>
      </w:r>
    </w:p>
    <w:p w14:paraId="1B31B9E0"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الذكاء الاصطناعي: مجموعة الأنظمة والبرمجيات التي تعتمد على التعلم الآلي والتعلم العميق والتنبؤات المبنية على البيانات لأتمتة العمليات وتحسينها.</w:t>
      </w:r>
    </w:p>
    <w:p w14:paraId="5DB48B15"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كفاءة إدارة المشاريع: مدى تحقيق المشروع لأهدافه ضمن الإطار الزمني والتكلفة المحددة، مع المحافظة على جودة المخرجات.</w:t>
      </w:r>
    </w:p>
    <w:p w14:paraId="7248941F"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التبني الرقمي: مستوى اعتماد وتكامل تقنيات الذكاء الاصطناعي وأنظمة التحليل في بيئة العمل داخل المؤسسة.</w:t>
      </w:r>
    </w:p>
    <w:p w14:paraId="65674DE3" w14:textId="77777777" w:rsidR="0011002A" w:rsidRDefault="00000000" w:rsidP="00E80E5D">
      <w:r>
        <w:br w:type="page"/>
      </w:r>
    </w:p>
    <w:p w14:paraId="4723FB92" w14:textId="77777777" w:rsidR="0011002A" w:rsidRDefault="00000000" w:rsidP="00E80E5D">
      <w:pPr>
        <w:pStyle w:val="1"/>
        <w:bidi/>
        <w:spacing w:before="400" w:after="300"/>
        <w:jc w:val="center"/>
      </w:pPr>
      <w:r>
        <w:rPr>
          <w:rFonts w:ascii="Arial" w:eastAsia="Arial" w:hAnsi="Arial" w:cs="Arial"/>
          <w:b/>
          <w:bCs/>
          <w:rtl/>
        </w:rPr>
        <w:lastRenderedPageBreak/>
        <w:t>الفصل الثاني: الدراسات السابقة</w:t>
      </w:r>
    </w:p>
    <w:p w14:paraId="4A76DE6A" w14:textId="77777777" w:rsidR="0011002A" w:rsidRDefault="00000000" w:rsidP="00E80E5D">
      <w:pPr>
        <w:pStyle w:val="2"/>
        <w:bidi/>
        <w:spacing w:before="300" w:after="200"/>
      </w:pPr>
      <w:r>
        <w:rPr>
          <w:rFonts w:ascii="Arial" w:eastAsia="Arial" w:hAnsi="Arial" w:cs="Arial"/>
          <w:b/>
          <w:bCs/>
          <w:sz w:val="28"/>
          <w:szCs w:val="28"/>
          <w:rtl/>
        </w:rPr>
        <w:t>مقدمة</w:t>
      </w:r>
    </w:p>
    <w:p w14:paraId="4D3F6232" w14:textId="77777777" w:rsidR="0011002A" w:rsidRDefault="00000000" w:rsidP="00E80E5D">
      <w:pPr>
        <w:bidi/>
        <w:spacing w:after="160" w:line="300" w:lineRule="auto"/>
      </w:pPr>
      <w:r>
        <w:rPr>
          <w:rFonts w:ascii="Arial" w:eastAsia="Arial" w:hAnsi="Arial" w:cs="Arial"/>
          <w:sz w:val="24"/>
          <w:szCs w:val="24"/>
          <w:rtl/>
        </w:rPr>
        <w:t>يستعرض هذا الفصل مجموعة من الدراسات السابقة ذات الصلة المباشرة أو غير المباشرة بموضوع الذكاء الاصطناعي وإدارة المشاريع، بادئاً بالدراسات العربية والخليجية نظراً لقربها من سياق الدراسة الحالية، ثم الدراسات الأجنبية التي تناولت الموضوع من زوايا منهجية وتطبيقية متنوعة. ويُختتم الفصل بتعقيب عام على هذا الرصيد البحثي، وتحديد أوجه التميّز التي تنفرد بها الدراسة الحالية عنه.</w:t>
      </w:r>
    </w:p>
    <w:p w14:paraId="13A70244" w14:textId="77777777" w:rsidR="0011002A" w:rsidRDefault="00000000" w:rsidP="00E80E5D">
      <w:pPr>
        <w:pStyle w:val="2"/>
        <w:bidi/>
        <w:spacing w:before="300" w:after="200"/>
      </w:pPr>
      <w:r>
        <w:rPr>
          <w:rFonts w:ascii="Arial" w:eastAsia="Arial" w:hAnsi="Arial" w:cs="Arial"/>
          <w:b/>
          <w:bCs/>
          <w:sz w:val="28"/>
          <w:szCs w:val="28"/>
          <w:rtl/>
        </w:rPr>
        <w:t>الدراسات العربية والخليجية</w:t>
      </w:r>
    </w:p>
    <w:p w14:paraId="090EA5FA" w14:textId="77777777" w:rsidR="0011002A" w:rsidRDefault="00000000" w:rsidP="00E80E5D">
      <w:pPr>
        <w:bidi/>
        <w:spacing w:after="160" w:line="300" w:lineRule="auto"/>
      </w:pPr>
      <w:r>
        <w:rPr>
          <w:rFonts w:ascii="Arial" w:eastAsia="Arial" w:hAnsi="Arial" w:cs="Arial"/>
          <w:b/>
          <w:bCs/>
          <w:sz w:val="24"/>
          <w:szCs w:val="24"/>
          <w:rtl/>
        </w:rPr>
        <w:t xml:space="preserve">دراسة الشهري </w:t>
      </w:r>
      <w:proofErr w:type="spellStart"/>
      <w:r>
        <w:rPr>
          <w:rFonts w:ascii="Arial" w:eastAsia="Arial" w:hAnsi="Arial" w:cs="Arial"/>
          <w:b/>
          <w:bCs/>
          <w:sz w:val="24"/>
          <w:szCs w:val="24"/>
          <w:rtl/>
        </w:rPr>
        <w:t>وباسويد</w:t>
      </w:r>
      <w:proofErr w:type="spellEnd"/>
      <w:r>
        <w:rPr>
          <w:rFonts w:ascii="Arial" w:eastAsia="Arial" w:hAnsi="Arial" w:cs="Arial"/>
          <w:b/>
          <w:bCs/>
          <w:sz w:val="24"/>
          <w:szCs w:val="24"/>
          <w:rtl/>
        </w:rPr>
        <w:t xml:space="preserve"> وغروي (2023):</w:t>
      </w:r>
    </w:p>
    <w:p w14:paraId="12020EF0" w14:textId="77777777" w:rsidR="0011002A" w:rsidRDefault="00000000" w:rsidP="00E80E5D">
      <w:pPr>
        <w:bidi/>
        <w:spacing w:after="160" w:line="300" w:lineRule="auto"/>
      </w:pPr>
      <w:r>
        <w:rPr>
          <w:rFonts w:ascii="Arial" w:eastAsia="Arial" w:hAnsi="Arial" w:cs="Arial"/>
          <w:sz w:val="24"/>
          <w:szCs w:val="24"/>
          <w:rtl/>
        </w:rPr>
        <w:t>هدفت هذه الدراسة إلى الكشف عن واقع الذكاء الاصطناعي في إدارة المشاريع بالقطاع الحكومي السعودي، من خلال قياس مدى إدراك العاملين في إدارات المشاريع لأهمية هذه التقنية عبر مراحل المشروع المختلفة، ومساهمتها في تحسين الأداء، ومعوقات تطبيقها. واعتمدت الدراسة المنهج الوصفي التحليلي عبر استبانة وُزّعت على عينة طبقية قصدية بلغت 281 موظفاً في إدارات المشاريع الحكومية. وأظهرت النتائج مستوى مرتفعاً نسبياً من إدراك العاملين لأهمية الذكاء الاصطناعي، ولمساهمته الفعلية في تحسين إدارة المشاريع، كما كشفت عن معوقات تطبيقية أبرزها ارتفاع تكلفة التقنيات الحديثة وتباين آليات العمل الإداري بين الجهات الحكومية، دون وجود فروق دالة إحصائياً تُعزى للجنس، مقابل فروق دالة تُعزى لمستوى الخبرة والفئة العمرية.</w:t>
      </w:r>
    </w:p>
    <w:p w14:paraId="7403B99E" w14:textId="77777777" w:rsidR="0011002A" w:rsidRDefault="00000000" w:rsidP="00E80E5D">
      <w:pPr>
        <w:bidi/>
        <w:spacing w:after="160" w:line="300" w:lineRule="auto"/>
      </w:pPr>
      <w:r>
        <w:rPr>
          <w:rFonts w:ascii="Arial" w:eastAsia="Arial" w:hAnsi="Arial" w:cs="Arial"/>
          <w:b/>
          <w:bCs/>
          <w:sz w:val="24"/>
          <w:szCs w:val="24"/>
          <w:rtl/>
        </w:rPr>
        <w:t>دراسة الغامدي وآل ضرمان (2022):</w:t>
      </w:r>
    </w:p>
    <w:p w14:paraId="4DF4D796" w14:textId="77777777" w:rsidR="0011002A" w:rsidRDefault="00000000" w:rsidP="00E80E5D">
      <w:pPr>
        <w:bidi/>
        <w:spacing w:after="160" w:line="300" w:lineRule="auto"/>
      </w:pPr>
      <w:r>
        <w:rPr>
          <w:rFonts w:ascii="Arial" w:eastAsia="Arial" w:hAnsi="Arial" w:cs="Arial"/>
          <w:sz w:val="24"/>
          <w:szCs w:val="24"/>
          <w:rtl/>
        </w:rPr>
        <w:t>تناولت هذه الدراسة عمليات إدارة المعرفة المستندة إلى الذكاء الاصطناعي في المشاريع الإنشائية بالمملكة العربية السعودية من منظور المقاولين، وخلصت إلى أن دمج هذه العمليات ضمن ممارسات إدارة المشاريع يسهم في تحسين تدفق المعرفة داخل فرق المشروع، وأوصت بضرورة تبني آليات مؤسسية داعمة لهذا الدمج.</w:t>
      </w:r>
    </w:p>
    <w:p w14:paraId="44FF72A1" w14:textId="77777777" w:rsidR="0011002A" w:rsidRDefault="00000000" w:rsidP="00E80E5D">
      <w:pPr>
        <w:bidi/>
        <w:spacing w:after="160" w:line="300" w:lineRule="auto"/>
      </w:pPr>
      <w:r>
        <w:rPr>
          <w:rFonts w:ascii="Arial" w:eastAsia="Arial" w:hAnsi="Arial" w:cs="Arial"/>
          <w:b/>
          <w:bCs/>
          <w:sz w:val="24"/>
          <w:szCs w:val="24"/>
          <w:rtl/>
        </w:rPr>
        <w:t xml:space="preserve">دراسة أبو زيد </w:t>
      </w:r>
      <w:proofErr w:type="gramStart"/>
      <w:r>
        <w:rPr>
          <w:rFonts w:ascii="Arial" w:eastAsia="Arial" w:hAnsi="Arial" w:cs="Arial"/>
          <w:b/>
          <w:bCs/>
          <w:sz w:val="24"/>
          <w:szCs w:val="24"/>
          <w:rtl/>
        </w:rPr>
        <w:t>والشوري</w:t>
      </w:r>
      <w:proofErr w:type="gramEnd"/>
      <w:r>
        <w:rPr>
          <w:rFonts w:ascii="Arial" w:eastAsia="Arial" w:hAnsi="Arial" w:cs="Arial"/>
          <w:b/>
          <w:bCs/>
          <w:sz w:val="24"/>
          <w:szCs w:val="24"/>
          <w:rtl/>
        </w:rPr>
        <w:t xml:space="preserve"> (2022):</w:t>
      </w:r>
    </w:p>
    <w:p w14:paraId="16DD5BDD" w14:textId="77777777" w:rsidR="0011002A" w:rsidRDefault="00000000" w:rsidP="00E80E5D">
      <w:pPr>
        <w:bidi/>
        <w:spacing w:after="160" w:line="300" w:lineRule="auto"/>
      </w:pPr>
      <w:r>
        <w:rPr>
          <w:rFonts w:ascii="Arial" w:eastAsia="Arial" w:hAnsi="Arial" w:cs="Arial"/>
          <w:sz w:val="24"/>
          <w:szCs w:val="24"/>
          <w:rtl/>
        </w:rPr>
        <w:t>بحثت هذه الدراسة العلاقة بين الذكاء الاصطناعي وجودة الحكم المؤسسي بوجه عام، وتوصلت إلى أن تقنيات الذكاء الاصطناعي تسهم إيجابياً في تحسين جودة القرارات الإدارية من خلال توفير معلومات أدق وأشمل لصنّاع القرار، وهو ما يمثل سنداً نظرياً لافتراض تحسّن جودة القرارات في سياق إدارة المشاريع تحديداً.</w:t>
      </w:r>
    </w:p>
    <w:p w14:paraId="4519EACD" w14:textId="77777777" w:rsidR="0011002A" w:rsidRDefault="00000000" w:rsidP="00E80E5D">
      <w:pPr>
        <w:bidi/>
        <w:spacing w:after="160" w:line="300" w:lineRule="auto"/>
      </w:pPr>
      <w:r>
        <w:rPr>
          <w:rFonts w:ascii="Arial" w:eastAsia="Arial" w:hAnsi="Arial" w:cs="Arial"/>
          <w:b/>
          <w:bCs/>
          <w:sz w:val="24"/>
          <w:szCs w:val="24"/>
          <w:rtl/>
        </w:rPr>
        <w:t xml:space="preserve">دراسة </w:t>
      </w:r>
      <w:proofErr w:type="spellStart"/>
      <w:r>
        <w:rPr>
          <w:rFonts w:ascii="Arial" w:eastAsia="Arial" w:hAnsi="Arial" w:cs="Arial"/>
          <w:b/>
          <w:bCs/>
          <w:sz w:val="24"/>
          <w:szCs w:val="24"/>
          <w:rtl/>
        </w:rPr>
        <w:t>العشيقي</w:t>
      </w:r>
      <w:proofErr w:type="spellEnd"/>
      <w:r>
        <w:rPr>
          <w:rFonts w:ascii="Arial" w:eastAsia="Arial" w:hAnsi="Arial" w:cs="Arial"/>
          <w:b/>
          <w:bCs/>
          <w:sz w:val="24"/>
          <w:szCs w:val="24"/>
          <w:rtl/>
        </w:rPr>
        <w:t xml:space="preserve"> والخياط - </w:t>
      </w:r>
      <w:proofErr w:type="spellStart"/>
      <w:r>
        <w:rPr>
          <w:rFonts w:ascii="Arial" w:eastAsia="Arial" w:hAnsi="Arial" w:cs="Arial"/>
          <w:b/>
          <w:bCs/>
          <w:sz w:val="24"/>
          <w:szCs w:val="24"/>
          <w:rtl/>
        </w:rPr>
        <w:t>Alshaikhi</w:t>
      </w:r>
      <w:proofErr w:type="spellEnd"/>
      <w:r>
        <w:rPr>
          <w:rFonts w:ascii="Arial" w:eastAsia="Arial" w:hAnsi="Arial" w:cs="Arial"/>
          <w:b/>
          <w:bCs/>
          <w:sz w:val="24"/>
          <w:szCs w:val="24"/>
          <w:rtl/>
        </w:rPr>
        <w:t xml:space="preserve"> &amp; </w:t>
      </w:r>
      <w:proofErr w:type="spellStart"/>
      <w:r>
        <w:rPr>
          <w:rFonts w:ascii="Arial" w:eastAsia="Arial" w:hAnsi="Arial" w:cs="Arial"/>
          <w:b/>
          <w:bCs/>
          <w:sz w:val="24"/>
          <w:szCs w:val="24"/>
          <w:rtl/>
        </w:rPr>
        <w:t>Khayyat</w:t>
      </w:r>
      <w:proofErr w:type="spellEnd"/>
      <w:r>
        <w:rPr>
          <w:rFonts w:ascii="Arial" w:eastAsia="Arial" w:hAnsi="Arial" w:cs="Arial"/>
          <w:b/>
          <w:bCs/>
          <w:sz w:val="24"/>
          <w:szCs w:val="24"/>
          <w:rtl/>
        </w:rPr>
        <w:t xml:space="preserve"> (2021):</w:t>
      </w:r>
    </w:p>
    <w:p w14:paraId="0E51992F" w14:textId="77777777" w:rsidR="0011002A" w:rsidRDefault="00000000" w:rsidP="00E80E5D">
      <w:pPr>
        <w:bidi/>
        <w:spacing w:after="160" w:line="300" w:lineRule="auto"/>
      </w:pPr>
      <w:r>
        <w:rPr>
          <w:rFonts w:ascii="Arial" w:eastAsia="Arial" w:hAnsi="Arial" w:cs="Arial"/>
          <w:sz w:val="24"/>
          <w:szCs w:val="24"/>
          <w:rtl/>
        </w:rPr>
        <w:t>أُجريت هذه الدراسة في جامعة الطائف بالمملكة العربية السعودية، وبحثت أثر الذكاء الاصطناعي على مستقبل مهنة إدارة المشاريع من خلال مراجعة مفاهيمية للأدبيات ذات الصلة. وخلصت إلى أن الذكاء الاصطناعي، رغم قدرته على أتمتة كثير من المهام الروتينية اليومية لمدير المشروع، لا يمكن أن يحلّ محله بشكل كامل، إذ تبقى المهارات الشخصية والتفاعل الإنساني عنصراً جوهرياً لا تستطيع الخوارزميات إحلاله.</w:t>
      </w:r>
    </w:p>
    <w:p w14:paraId="6B6E6A53" w14:textId="77777777" w:rsidR="0011002A" w:rsidRDefault="00000000" w:rsidP="00E80E5D">
      <w:pPr>
        <w:pStyle w:val="2"/>
        <w:bidi/>
        <w:spacing w:before="300" w:after="200"/>
      </w:pPr>
      <w:r>
        <w:rPr>
          <w:rFonts w:ascii="Arial" w:eastAsia="Arial" w:hAnsi="Arial" w:cs="Arial"/>
          <w:b/>
          <w:bCs/>
          <w:sz w:val="28"/>
          <w:szCs w:val="28"/>
          <w:rtl/>
        </w:rPr>
        <w:t>الدراسات الأجنبية والدولية</w:t>
      </w:r>
    </w:p>
    <w:p w14:paraId="05F1F295" w14:textId="77777777" w:rsidR="0011002A" w:rsidRDefault="00000000" w:rsidP="00E80E5D">
      <w:pPr>
        <w:bidi/>
        <w:spacing w:after="160" w:line="300" w:lineRule="auto"/>
      </w:pPr>
      <w:r>
        <w:rPr>
          <w:rFonts w:ascii="Arial" w:eastAsia="Arial" w:hAnsi="Arial" w:cs="Arial"/>
          <w:b/>
          <w:bCs/>
          <w:sz w:val="24"/>
          <w:szCs w:val="24"/>
          <w:rtl/>
        </w:rPr>
        <w:t xml:space="preserve">دراسة </w:t>
      </w:r>
      <w:proofErr w:type="spellStart"/>
      <w:r>
        <w:rPr>
          <w:rFonts w:ascii="Arial" w:eastAsia="Arial" w:hAnsi="Arial" w:cs="Arial"/>
          <w:b/>
          <w:bCs/>
          <w:sz w:val="24"/>
          <w:szCs w:val="24"/>
          <w:rtl/>
        </w:rPr>
        <w:t>Assaf</w:t>
      </w:r>
      <w:proofErr w:type="spellEnd"/>
      <w:r>
        <w:rPr>
          <w:rFonts w:ascii="Arial" w:eastAsia="Arial" w:hAnsi="Arial" w:cs="Arial"/>
          <w:b/>
          <w:bCs/>
          <w:sz w:val="24"/>
          <w:szCs w:val="24"/>
          <w:rtl/>
        </w:rPr>
        <w:t xml:space="preserve">, Omar, Saleh, </w:t>
      </w:r>
      <w:proofErr w:type="spellStart"/>
      <w:r>
        <w:rPr>
          <w:rFonts w:ascii="Arial" w:eastAsia="Arial" w:hAnsi="Arial" w:cs="Arial"/>
          <w:b/>
          <w:bCs/>
          <w:sz w:val="24"/>
          <w:szCs w:val="24"/>
          <w:rtl/>
        </w:rPr>
        <w:t>Attar</w:t>
      </w:r>
      <w:proofErr w:type="spellEnd"/>
      <w:r>
        <w:rPr>
          <w:rFonts w:ascii="Arial" w:eastAsia="Arial" w:hAnsi="Arial" w:cs="Arial"/>
          <w:b/>
          <w:bCs/>
          <w:sz w:val="24"/>
          <w:szCs w:val="24"/>
          <w:rtl/>
        </w:rPr>
        <w:t xml:space="preserve">, </w:t>
      </w:r>
      <w:proofErr w:type="spellStart"/>
      <w:r>
        <w:rPr>
          <w:rFonts w:ascii="Arial" w:eastAsia="Arial" w:hAnsi="Arial" w:cs="Arial"/>
          <w:b/>
          <w:bCs/>
          <w:sz w:val="24"/>
          <w:szCs w:val="24"/>
          <w:rtl/>
        </w:rPr>
        <w:t>Alaqra</w:t>
      </w:r>
      <w:proofErr w:type="spellEnd"/>
      <w:r>
        <w:rPr>
          <w:rFonts w:ascii="Arial" w:eastAsia="Arial" w:hAnsi="Arial" w:cs="Arial"/>
          <w:b/>
          <w:bCs/>
          <w:sz w:val="24"/>
          <w:szCs w:val="24"/>
          <w:rtl/>
        </w:rPr>
        <w:t xml:space="preserve"> &amp; </w:t>
      </w:r>
      <w:proofErr w:type="spellStart"/>
      <w:r>
        <w:rPr>
          <w:rFonts w:ascii="Arial" w:eastAsia="Arial" w:hAnsi="Arial" w:cs="Arial"/>
          <w:b/>
          <w:bCs/>
          <w:sz w:val="24"/>
          <w:szCs w:val="24"/>
          <w:rtl/>
        </w:rPr>
        <w:t>Kanan</w:t>
      </w:r>
      <w:proofErr w:type="spellEnd"/>
      <w:r>
        <w:rPr>
          <w:rFonts w:ascii="Arial" w:eastAsia="Arial" w:hAnsi="Arial" w:cs="Arial"/>
          <w:b/>
          <w:bCs/>
          <w:sz w:val="24"/>
          <w:szCs w:val="24"/>
          <w:rtl/>
        </w:rPr>
        <w:t xml:space="preserve"> (2024):</w:t>
      </w:r>
    </w:p>
    <w:p w14:paraId="2DF3FE7E" w14:textId="77777777" w:rsidR="0011002A" w:rsidRDefault="00000000" w:rsidP="00E80E5D">
      <w:pPr>
        <w:bidi/>
        <w:spacing w:after="160" w:line="300" w:lineRule="auto"/>
      </w:pPr>
      <w:r>
        <w:rPr>
          <w:rFonts w:ascii="Arial" w:eastAsia="Arial" w:hAnsi="Arial" w:cs="Arial"/>
          <w:sz w:val="24"/>
          <w:szCs w:val="24"/>
          <w:rtl/>
        </w:rPr>
        <w:t xml:space="preserve">هدفت هذه الدراسة إلى فحص العوامل المؤثرة في قبول تبني الذكاء الاصطناعي داخل القطاع الحكومي، من خلال دمج نموذج قبول التكنولوجيا وإطار العوامل التنظيمية والتقنية والبيئية في إطار مفاهيمي واحد. وطُبّقت الدراسة على عينة من </w:t>
      </w:r>
      <w:r>
        <w:rPr>
          <w:rFonts w:ascii="Arial" w:eastAsia="Arial" w:hAnsi="Arial" w:cs="Arial"/>
          <w:sz w:val="24"/>
          <w:szCs w:val="24"/>
          <w:rtl/>
        </w:rPr>
        <w:lastRenderedPageBreak/>
        <w:t>179 موظفاً في أربع وزارات فلسطينية باستخدام نمذجة المعادلات الهيكلية بطريقة المربعات الصغرى الجزئية، وأظهرت النتائج ارتباطاً دالاً إحصائياً بين متغيرات هذا الإطار ومكوني نموذج القبول التكنولوجي (الفائدة المدركة وسهولة الاستخدام المدركة)، باستثناء علاقة الإطار القانوني والاستعداد التنظيمي بسهولة الاستخدام. وتقدّم هذه الدراسة سنداً منهجياً مباشراً لتوظيف النموذجين النظريين ذاتهما ضمن الإطار النظري للدراسة الحالية.</w:t>
      </w:r>
    </w:p>
    <w:p w14:paraId="047702BE" w14:textId="77777777" w:rsidR="0011002A" w:rsidRDefault="00000000" w:rsidP="00E80E5D">
      <w:pPr>
        <w:bidi/>
        <w:spacing w:after="160" w:line="300" w:lineRule="auto"/>
      </w:pPr>
      <w:r>
        <w:rPr>
          <w:rFonts w:ascii="Arial" w:eastAsia="Arial" w:hAnsi="Arial" w:cs="Arial"/>
          <w:b/>
          <w:bCs/>
          <w:sz w:val="24"/>
          <w:szCs w:val="24"/>
          <w:rtl/>
        </w:rPr>
        <w:t xml:space="preserve">دراسة </w:t>
      </w:r>
      <w:proofErr w:type="spellStart"/>
      <w:r>
        <w:rPr>
          <w:rFonts w:ascii="Arial" w:eastAsia="Arial" w:hAnsi="Arial" w:cs="Arial"/>
          <w:b/>
          <w:bCs/>
          <w:sz w:val="24"/>
          <w:szCs w:val="24"/>
          <w:rtl/>
        </w:rPr>
        <w:t>Gondia</w:t>
      </w:r>
      <w:proofErr w:type="spellEnd"/>
      <w:r>
        <w:rPr>
          <w:rFonts w:ascii="Arial" w:eastAsia="Arial" w:hAnsi="Arial" w:cs="Arial"/>
          <w:b/>
          <w:bCs/>
          <w:sz w:val="24"/>
          <w:szCs w:val="24"/>
          <w:rtl/>
        </w:rPr>
        <w:t xml:space="preserve"> وآخرون (2020):</w:t>
      </w:r>
    </w:p>
    <w:p w14:paraId="64B0D3C4" w14:textId="77777777" w:rsidR="0011002A" w:rsidRDefault="00000000" w:rsidP="00E80E5D">
      <w:pPr>
        <w:bidi/>
        <w:spacing w:after="160" w:line="300" w:lineRule="auto"/>
      </w:pPr>
      <w:r>
        <w:rPr>
          <w:rFonts w:ascii="Arial" w:eastAsia="Arial" w:hAnsi="Arial" w:cs="Arial"/>
          <w:sz w:val="24"/>
          <w:szCs w:val="24"/>
          <w:rtl/>
        </w:rPr>
        <w:t xml:space="preserve">استخدمت هذه الدراسة، المنشورة في مجلة </w:t>
      </w:r>
      <w:proofErr w:type="spellStart"/>
      <w:r>
        <w:rPr>
          <w:rFonts w:ascii="Arial" w:eastAsia="Arial" w:hAnsi="Arial" w:cs="Arial"/>
          <w:sz w:val="24"/>
          <w:szCs w:val="24"/>
          <w:rtl/>
        </w:rPr>
        <w:t>Journal</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of</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Construction</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Engineering</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and</w:t>
      </w:r>
      <w:proofErr w:type="spellEnd"/>
      <w:r>
        <w:rPr>
          <w:rFonts w:ascii="Arial" w:eastAsia="Arial" w:hAnsi="Arial" w:cs="Arial"/>
          <w:sz w:val="24"/>
          <w:szCs w:val="24"/>
          <w:rtl/>
        </w:rPr>
        <w:t xml:space="preserve"> Management، خوارزميات التعلم الآلي (أشجار القرار والتصنيف </w:t>
      </w:r>
      <w:proofErr w:type="spellStart"/>
      <w:r>
        <w:rPr>
          <w:rFonts w:ascii="Arial" w:eastAsia="Arial" w:hAnsi="Arial" w:cs="Arial"/>
          <w:sz w:val="24"/>
          <w:szCs w:val="24"/>
          <w:rtl/>
        </w:rPr>
        <w:t>البايزي</w:t>
      </w:r>
      <w:proofErr w:type="spellEnd"/>
      <w:r>
        <w:rPr>
          <w:rFonts w:ascii="Arial" w:eastAsia="Arial" w:hAnsi="Arial" w:cs="Arial"/>
          <w:sz w:val="24"/>
          <w:szCs w:val="24"/>
          <w:rtl/>
        </w:rPr>
        <w:t xml:space="preserve"> الساذج) للتنبؤ بمخاطر تأخر المشاريع الإنشائية استناداً إلى بيانات موضوعية من مشاريع سابقة. وأظهرت النتائج أن النموذج </w:t>
      </w:r>
      <w:proofErr w:type="spellStart"/>
      <w:r>
        <w:rPr>
          <w:rFonts w:ascii="Arial" w:eastAsia="Arial" w:hAnsi="Arial" w:cs="Arial"/>
          <w:sz w:val="24"/>
          <w:szCs w:val="24"/>
          <w:rtl/>
        </w:rPr>
        <w:t>البايزي</w:t>
      </w:r>
      <w:proofErr w:type="spellEnd"/>
      <w:r>
        <w:rPr>
          <w:rFonts w:ascii="Arial" w:eastAsia="Arial" w:hAnsi="Arial" w:cs="Arial"/>
          <w:sz w:val="24"/>
          <w:szCs w:val="24"/>
          <w:rtl/>
        </w:rPr>
        <w:t xml:space="preserve"> حقق أداءً تنبؤياً أفضل من النموذج الشجري، وأثبتت الدراسة أن التعلم الآلي يمكن أن يتفوق على الأساليب الإحصائية التقليدية في التنبؤ بالتأخير، بما يدعم فرضية الدراسة الحالية حول أثر الذكاء الاصطناعي في تقليل زمن تنفيذ المشاريع.</w:t>
      </w:r>
    </w:p>
    <w:p w14:paraId="6EB8EE80" w14:textId="77777777" w:rsidR="0011002A" w:rsidRDefault="00000000" w:rsidP="00E80E5D">
      <w:pPr>
        <w:bidi/>
        <w:spacing w:after="160" w:line="300" w:lineRule="auto"/>
      </w:pPr>
      <w:r>
        <w:rPr>
          <w:rFonts w:ascii="Arial" w:eastAsia="Arial" w:hAnsi="Arial" w:cs="Arial"/>
          <w:b/>
          <w:bCs/>
          <w:sz w:val="24"/>
          <w:szCs w:val="24"/>
          <w:rtl/>
        </w:rPr>
        <w:t xml:space="preserve">دراسة </w:t>
      </w:r>
      <w:proofErr w:type="spellStart"/>
      <w:r>
        <w:rPr>
          <w:rFonts w:ascii="Arial" w:eastAsia="Arial" w:hAnsi="Arial" w:cs="Arial"/>
          <w:b/>
          <w:bCs/>
          <w:sz w:val="24"/>
          <w:szCs w:val="24"/>
          <w:rtl/>
        </w:rPr>
        <w:t>Hossain</w:t>
      </w:r>
      <w:proofErr w:type="spellEnd"/>
      <w:r>
        <w:rPr>
          <w:rFonts w:ascii="Arial" w:eastAsia="Arial" w:hAnsi="Arial" w:cs="Arial"/>
          <w:b/>
          <w:bCs/>
          <w:sz w:val="24"/>
          <w:szCs w:val="24"/>
          <w:rtl/>
        </w:rPr>
        <w:t xml:space="preserve"> وآخرون (2024):</w:t>
      </w:r>
    </w:p>
    <w:p w14:paraId="47A29EB5" w14:textId="77777777" w:rsidR="0011002A" w:rsidRDefault="00000000" w:rsidP="00E80E5D">
      <w:pPr>
        <w:bidi/>
        <w:spacing w:after="160" w:line="300" w:lineRule="auto"/>
      </w:pPr>
      <w:r>
        <w:rPr>
          <w:rFonts w:ascii="Arial" w:eastAsia="Arial" w:hAnsi="Arial" w:cs="Arial"/>
          <w:sz w:val="24"/>
          <w:szCs w:val="24"/>
          <w:rtl/>
        </w:rPr>
        <w:t>قدّمت هذه الدراسة مراجعة شاملة لأدوات الذكاء الاصطناعي المستخدمة في التخطيط والجدولة وتخصيص الموارد وإدارة المخاطر والتواصل ومراقبة الأداء، مدعومة بأمثلة من دراسات حالة تطبيقية. وخلصت إلى أن الذكاء الاصطناعي يسهم في تحسين كفاءة المشاريع عبر تقليص الجداول الزمنية، وتحسين ضبط التكاليف، وتعزيز إدارة المخاطر بصورة استباقية، مع الإشارة إلى تحديات تتعلق بتكلفة الاستثمار الأولي، ومتطلبات المهارات، ومقاومة التغيير التنظيمي.</w:t>
      </w:r>
    </w:p>
    <w:p w14:paraId="44AF697C" w14:textId="77777777" w:rsidR="0011002A" w:rsidRDefault="00000000" w:rsidP="00E80E5D">
      <w:pPr>
        <w:bidi/>
        <w:spacing w:after="160" w:line="300" w:lineRule="auto"/>
      </w:pPr>
      <w:r>
        <w:rPr>
          <w:rFonts w:ascii="Arial" w:eastAsia="Arial" w:hAnsi="Arial" w:cs="Arial"/>
          <w:b/>
          <w:bCs/>
          <w:sz w:val="24"/>
          <w:szCs w:val="24"/>
          <w:rtl/>
        </w:rPr>
        <w:t xml:space="preserve">دراسة Aziz, </w:t>
      </w:r>
      <w:proofErr w:type="spellStart"/>
      <w:r>
        <w:rPr>
          <w:rFonts w:ascii="Arial" w:eastAsia="Arial" w:hAnsi="Arial" w:cs="Arial"/>
          <w:b/>
          <w:bCs/>
          <w:sz w:val="24"/>
          <w:szCs w:val="24"/>
          <w:rtl/>
        </w:rPr>
        <w:t>Hafez</w:t>
      </w:r>
      <w:proofErr w:type="spellEnd"/>
      <w:r>
        <w:rPr>
          <w:rFonts w:ascii="Arial" w:eastAsia="Arial" w:hAnsi="Arial" w:cs="Arial"/>
          <w:b/>
          <w:bCs/>
          <w:sz w:val="24"/>
          <w:szCs w:val="24"/>
          <w:rtl/>
        </w:rPr>
        <w:t xml:space="preserve"> &amp; </w:t>
      </w:r>
      <w:proofErr w:type="spellStart"/>
      <w:r>
        <w:rPr>
          <w:rFonts w:ascii="Arial" w:eastAsia="Arial" w:hAnsi="Arial" w:cs="Arial"/>
          <w:b/>
          <w:bCs/>
          <w:sz w:val="24"/>
          <w:szCs w:val="24"/>
          <w:rtl/>
        </w:rPr>
        <w:t>Abuel-Magd</w:t>
      </w:r>
      <w:proofErr w:type="spellEnd"/>
      <w:r>
        <w:rPr>
          <w:rFonts w:ascii="Arial" w:eastAsia="Arial" w:hAnsi="Arial" w:cs="Arial"/>
          <w:b/>
          <w:bCs/>
          <w:sz w:val="24"/>
          <w:szCs w:val="24"/>
          <w:rtl/>
        </w:rPr>
        <w:t xml:space="preserve"> (2014):</w:t>
      </w:r>
    </w:p>
    <w:p w14:paraId="186E8AD3" w14:textId="77777777" w:rsidR="0011002A" w:rsidRDefault="00000000" w:rsidP="00E80E5D">
      <w:pPr>
        <w:bidi/>
        <w:spacing w:after="160" w:line="300" w:lineRule="auto"/>
      </w:pPr>
      <w:r>
        <w:rPr>
          <w:rFonts w:ascii="Arial" w:eastAsia="Arial" w:hAnsi="Arial" w:cs="Arial"/>
          <w:sz w:val="24"/>
          <w:szCs w:val="24"/>
          <w:rtl/>
        </w:rPr>
        <w:t xml:space="preserve">طبّقت هذه الدراسة، المنشورة في </w:t>
      </w:r>
      <w:proofErr w:type="spellStart"/>
      <w:r>
        <w:rPr>
          <w:rFonts w:ascii="Arial" w:eastAsia="Arial" w:hAnsi="Arial" w:cs="Arial"/>
          <w:sz w:val="24"/>
          <w:szCs w:val="24"/>
          <w:rtl/>
        </w:rPr>
        <w:t>Alexandria</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Engineering</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Journal</w:t>
      </w:r>
      <w:proofErr w:type="spellEnd"/>
      <w:r>
        <w:rPr>
          <w:rFonts w:ascii="Arial" w:eastAsia="Arial" w:hAnsi="Arial" w:cs="Arial"/>
          <w:sz w:val="24"/>
          <w:szCs w:val="24"/>
          <w:rtl/>
        </w:rPr>
        <w:t>، أساليب تحسين قائمة على الذكاء الاصطناعي على مشاريع إنشائية عملاقة، وأظهرت النتائج أن النماذج الذكية المستخدمة حققت تحسناً ملموساً في تخصيص الموارد والتحكم في التكلفة مقارنة بالأساليب التقليدية للتخطيط، بما يدعم افتراض الدراسة الحالية حول العلاقة بين الذكاء الاصطناعي وكفاءة التكلفة.</w:t>
      </w:r>
    </w:p>
    <w:p w14:paraId="63D06CC9" w14:textId="77777777" w:rsidR="0011002A" w:rsidRDefault="00000000" w:rsidP="00E80E5D">
      <w:pPr>
        <w:bidi/>
        <w:spacing w:after="160" w:line="300" w:lineRule="auto"/>
      </w:pPr>
      <w:r>
        <w:rPr>
          <w:rFonts w:ascii="Arial" w:eastAsia="Arial" w:hAnsi="Arial" w:cs="Arial"/>
          <w:b/>
          <w:bCs/>
          <w:sz w:val="24"/>
          <w:szCs w:val="24"/>
          <w:rtl/>
        </w:rPr>
        <w:t xml:space="preserve">دراسة Alshahrani, </w:t>
      </w:r>
      <w:proofErr w:type="spellStart"/>
      <w:r>
        <w:rPr>
          <w:rFonts w:ascii="Arial" w:eastAsia="Arial" w:hAnsi="Arial" w:cs="Arial"/>
          <w:b/>
          <w:bCs/>
          <w:sz w:val="24"/>
          <w:szCs w:val="24"/>
          <w:rtl/>
        </w:rPr>
        <w:t>Dennehy</w:t>
      </w:r>
      <w:proofErr w:type="spellEnd"/>
      <w:r>
        <w:rPr>
          <w:rFonts w:ascii="Arial" w:eastAsia="Arial" w:hAnsi="Arial" w:cs="Arial"/>
          <w:b/>
          <w:bCs/>
          <w:sz w:val="24"/>
          <w:szCs w:val="24"/>
          <w:rtl/>
        </w:rPr>
        <w:t xml:space="preserve"> &amp; </w:t>
      </w:r>
      <w:proofErr w:type="spellStart"/>
      <w:r>
        <w:rPr>
          <w:rFonts w:ascii="Arial" w:eastAsia="Arial" w:hAnsi="Arial" w:cs="Arial"/>
          <w:b/>
          <w:bCs/>
          <w:sz w:val="24"/>
          <w:szCs w:val="24"/>
          <w:rtl/>
        </w:rPr>
        <w:t>Mäntymäki</w:t>
      </w:r>
      <w:proofErr w:type="spellEnd"/>
      <w:r>
        <w:rPr>
          <w:rFonts w:ascii="Arial" w:eastAsia="Arial" w:hAnsi="Arial" w:cs="Arial"/>
          <w:b/>
          <w:bCs/>
          <w:sz w:val="24"/>
          <w:szCs w:val="24"/>
          <w:rtl/>
        </w:rPr>
        <w:t xml:space="preserve"> (2022):</w:t>
      </w:r>
    </w:p>
    <w:p w14:paraId="4DEA3455" w14:textId="77777777" w:rsidR="0011002A" w:rsidRDefault="00000000" w:rsidP="00E80E5D">
      <w:pPr>
        <w:bidi/>
        <w:spacing w:after="160" w:line="300" w:lineRule="auto"/>
      </w:pPr>
      <w:r>
        <w:rPr>
          <w:rFonts w:ascii="Arial" w:eastAsia="Arial" w:hAnsi="Arial" w:cs="Arial"/>
          <w:sz w:val="24"/>
          <w:szCs w:val="24"/>
          <w:rtl/>
        </w:rPr>
        <w:t xml:space="preserve">نُشرت هذه الدراسة في مجلة </w:t>
      </w:r>
      <w:proofErr w:type="spellStart"/>
      <w:r>
        <w:rPr>
          <w:rFonts w:ascii="Arial" w:eastAsia="Arial" w:hAnsi="Arial" w:cs="Arial"/>
          <w:sz w:val="24"/>
          <w:szCs w:val="24"/>
          <w:rtl/>
        </w:rPr>
        <w:t>Government</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Information</w:t>
      </w:r>
      <w:proofErr w:type="spellEnd"/>
      <w:r>
        <w:rPr>
          <w:rFonts w:ascii="Arial" w:eastAsia="Arial" w:hAnsi="Arial" w:cs="Arial"/>
          <w:sz w:val="24"/>
          <w:szCs w:val="24"/>
          <w:rtl/>
        </w:rPr>
        <w:t xml:space="preserve"> </w:t>
      </w:r>
      <w:proofErr w:type="spellStart"/>
      <w:r>
        <w:rPr>
          <w:rFonts w:ascii="Arial" w:eastAsia="Arial" w:hAnsi="Arial" w:cs="Arial"/>
          <w:sz w:val="24"/>
          <w:szCs w:val="24"/>
          <w:rtl/>
        </w:rPr>
        <w:t>Quarterly</w:t>
      </w:r>
      <w:proofErr w:type="spellEnd"/>
      <w:r>
        <w:rPr>
          <w:rFonts w:ascii="Arial" w:eastAsia="Arial" w:hAnsi="Arial" w:cs="Arial"/>
          <w:sz w:val="24"/>
          <w:szCs w:val="24"/>
          <w:rtl/>
        </w:rPr>
        <w:t>، وتناولت كيفية استيعاب المؤسسات الحكومية السعودية لتقنيات الذكاء الاصطناعي من منظور نظرية الانتباه التنظيمي، وخلصت إلى أن استيعاب هذه التقنيات في القطاع الحكومي السعودي يمر بمراحل تدريجية تتأثر بأولويات الإدارة العليا ومدى استعداد البنية المؤسسية، وهو ما يدعم توظيف نظرية انتشار الابتكار ضمن الإطار النظري للدراسة الحالية لتفسير التفاوت بين القطاعين الحكومي والخاص.</w:t>
      </w:r>
    </w:p>
    <w:p w14:paraId="2CE68E80" w14:textId="77777777" w:rsidR="0011002A" w:rsidRDefault="00000000" w:rsidP="00E80E5D">
      <w:pPr>
        <w:pStyle w:val="2"/>
        <w:bidi/>
        <w:spacing w:before="300" w:after="200"/>
      </w:pPr>
      <w:r>
        <w:rPr>
          <w:rFonts w:ascii="Arial" w:eastAsia="Arial" w:hAnsi="Arial" w:cs="Arial"/>
          <w:b/>
          <w:bCs/>
          <w:sz w:val="28"/>
          <w:szCs w:val="28"/>
          <w:rtl/>
        </w:rPr>
        <w:t>التعقيب العام على الدراسات السابقة</w:t>
      </w:r>
    </w:p>
    <w:p w14:paraId="23F59460" w14:textId="77777777" w:rsidR="0011002A" w:rsidRDefault="00000000" w:rsidP="00E80E5D">
      <w:pPr>
        <w:bidi/>
        <w:spacing w:after="160" w:line="300" w:lineRule="auto"/>
      </w:pPr>
      <w:r>
        <w:rPr>
          <w:rFonts w:ascii="Arial" w:eastAsia="Arial" w:hAnsi="Arial" w:cs="Arial"/>
          <w:sz w:val="24"/>
          <w:szCs w:val="24"/>
          <w:rtl/>
        </w:rPr>
        <w:t xml:space="preserve">باستعراض الدراسات السابقة يتضح اتفاقها العام على أن للذكاء الاصطناعي أثراً إيجابياً محتملاً على أبعاد متعددة من أداء المشاريع، إلا أن هذا الرصيد البحثي يكشف عن ثلاثة أنماط رئيسية: النمط الأول دراسات وصفية تقيس درجة الوعي أو الإدراك دون اختبار الأثر الفعلي إحصائياً، كدراسة الشهري وآخرون (2023)؛ والنمط الثاني دراسات تقنية أو هندسية ضيقة النطاق تختبر أداء خوارزمية بعينها في سياق قطاعي محدد كالإنشاءات، كدراستي </w:t>
      </w:r>
      <w:proofErr w:type="spellStart"/>
      <w:r>
        <w:rPr>
          <w:rFonts w:ascii="Arial" w:eastAsia="Arial" w:hAnsi="Arial" w:cs="Arial"/>
          <w:sz w:val="24"/>
          <w:szCs w:val="24"/>
          <w:rtl/>
        </w:rPr>
        <w:t>Gondia</w:t>
      </w:r>
      <w:proofErr w:type="spellEnd"/>
      <w:r>
        <w:rPr>
          <w:rFonts w:ascii="Arial" w:eastAsia="Arial" w:hAnsi="Arial" w:cs="Arial"/>
          <w:sz w:val="24"/>
          <w:szCs w:val="24"/>
          <w:rtl/>
        </w:rPr>
        <w:t xml:space="preserve"> وآخرون (2020) </w:t>
      </w:r>
      <w:proofErr w:type="spellStart"/>
      <w:r>
        <w:rPr>
          <w:rFonts w:ascii="Arial" w:eastAsia="Arial" w:hAnsi="Arial" w:cs="Arial"/>
          <w:sz w:val="24"/>
          <w:szCs w:val="24"/>
          <w:rtl/>
        </w:rPr>
        <w:t>وAziz</w:t>
      </w:r>
      <w:proofErr w:type="spellEnd"/>
      <w:r>
        <w:rPr>
          <w:rFonts w:ascii="Arial" w:eastAsia="Arial" w:hAnsi="Arial" w:cs="Arial"/>
          <w:sz w:val="24"/>
          <w:szCs w:val="24"/>
          <w:rtl/>
        </w:rPr>
        <w:t xml:space="preserve"> وآخرون (2014)؛ والنمط الثالث دراسات نظرية أو مفاهيمية تناقش التبني المؤسسي للتكنولوجيا بوجه عام دون التخصص في إدارة المشاريع، كدراستي </w:t>
      </w:r>
      <w:proofErr w:type="spellStart"/>
      <w:r>
        <w:rPr>
          <w:rFonts w:ascii="Arial" w:eastAsia="Arial" w:hAnsi="Arial" w:cs="Arial"/>
          <w:sz w:val="24"/>
          <w:szCs w:val="24"/>
          <w:rtl/>
        </w:rPr>
        <w:t>Assaf</w:t>
      </w:r>
      <w:proofErr w:type="spellEnd"/>
      <w:r>
        <w:rPr>
          <w:rFonts w:ascii="Arial" w:eastAsia="Arial" w:hAnsi="Arial" w:cs="Arial"/>
          <w:sz w:val="24"/>
          <w:szCs w:val="24"/>
          <w:rtl/>
        </w:rPr>
        <w:t xml:space="preserve"> وآخرون (2024) </w:t>
      </w:r>
      <w:proofErr w:type="spellStart"/>
      <w:r>
        <w:rPr>
          <w:rFonts w:ascii="Arial" w:eastAsia="Arial" w:hAnsi="Arial" w:cs="Arial"/>
          <w:sz w:val="24"/>
          <w:szCs w:val="24"/>
          <w:rtl/>
        </w:rPr>
        <w:t>وAlshahrani</w:t>
      </w:r>
      <w:proofErr w:type="spellEnd"/>
      <w:r>
        <w:rPr>
          <w:rFonts w:ascii="Arial" w:eastAsia="Arial" w:hAnsi="Arial" w:cs="Arial"/>
          <w:sz w:val="24"/>
          <w:szCs w:val="24"/>
          <w:rtl/>
        </w:rPr>
        <w:t xml:space="preserve"> وآخرون (2022).</w:t>
      </w:r>
    </w:p>
    <w:p w14:paraId="1F49F27B" w14:textId="77777777" w:rsidR="0011002A" w:rsidRDefault="00000000" w:rsidP="00E80E5D">
      <w:pPr>
        <w:pStyle w:val="2"/>
        <w:bidi/>
        <w:spacing w:before="300" w:after="200"/>
      </w:pPr>
      <w:r>
        <w:rPr>
          <w:rFonts w:ascii="Arial" w:eastAsia="Arial" w:hAnsi="Arial" w:cs="Arial"/>
          <w:b/>
          <w:bCs/>
          <w:sz w:val="28"/>
          <w:szCs w:val="28"/>
          <w:rtl/>
        </w:rPr>
        <w:lastRenderedPageBreak/>
        <w:t>ما يميز الدراسة الحالية عن الدراسات السابقة</w:t>
      </w:r>
    </w:p>
    <w:p w14:paraId="72E816B9" w14:textId="77777777" w:rsidR="0011002A" w:rsidRDefault="00000000" w:rsidP="00E80E5D">
      <w:pPr>
        <w:bidi/>
        <w:spacing w:after="160" w:line="300" w:lineRule="auto"/>
      </w:pPr>
      <w:r>
        <w:rPr>
          <w:rFonts w:ascii="Arial" w:eastAsia="Arial" w:hAnsi="Arial" w:cs="Arial"/>
          <w:sz w:val="24"/>
          <w:szCs w:val="24"/>
          <w:rtl/>
        </w:rPr>
        <w:t>انطلاقاً من هذا التعقيب، تتحدد أوجه تميّز الدراسة الحالية فيما يلي:</w:t>
      </w:r>
    </w:p>
    <w:p w14:paraId="4CBCA055"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الجمع بين الأبعاد الثلاثة للكفاءة (الزمن، والتكلفة، والجودة) ضمن نموذج واحد قابل للاختبار الإحصائي، بخلاف الدراسات التي اقتصرت على بُعد واحد كدراسات التنبؤ بالتأخير، أو اكتفت بالوصف العام كدراسة الشهري وآخرون (2023).</w:t>
      </w:r>
    </w:p>
    <w:p w14:paraId="7B5FB0B8"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تغطية القطاعين الحكومي والخاص معاً ومقارنتهما إحصائياً، في حين اقتصرت أقرب الدراسات المحلية على القطاع الحكومي فقط.</w:t>
      </w:r>
    </w:p>
    <w:p w14:paraId="210B8CDD"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اختبار حجم المشروع بوصفه متغيراً وسيطاً في العلاقة بين الذكاء الاصطناعي وكفاءة إدارة المشاريع، وهو بُعد لم تتناوله أيٌّ من الدراسات السابقة المستعرضة.</w:t>
      </w:r>
    </w:p>
    <w:p w14:paraId="5327C43D"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الجمع بين التحليل الكمي المتقدم (الانحدار المتعدد، وتحليل التباين، ونمذجة المعادلات الهيكلية) والتحليل النوعي عبر المقابلات، بخلاف الدراسات التي اقتصرت على أحد النوعين فقط.</w:t>
      </w:r>
    </w:p>
    <w:p w14:paraId="37A03CB7" w14:textId="77777777" w:rsidR="0011002A" w:rsidRDefault="00000000" w:rsidP="00E80E5D">
      <w:pPr>
        <w:pStyle w:val="a4"/>
        <w:numPr>
          <w:ilvl w:val="0"/>
          <w:numId w:val="2"/>
        </w:numPr>
        <w:bidi/>
        <w:spacing w:after="120" w:line="300" w:lineRule="auto"/>
      </w:pPr>
      <w:r>
        <w:rPr>
          <w:rFonts w:ascii="Arial" w:eastAsia="Arial" w:hAnsi="Arial" w:cs="Arial"/>
          <w:sz w:val="24"/>
          <w:szCs w:val="24"/>
          <w:rtl/>
        </w:rPr>
        <w:t>تخصيص التحليل في السياق السعودي بمنهجية تطبيقية ميدانية تجمع بين القطاعين، بما يسهم في سد الفجوة التي أشارت إليها دراسات سابقة كدراسة Alshahrani وآخرون (2022) فيما يخص محدودية الدراسات التطبيقية العميقة الخاصة بإدارة المشاريع في هذا السياق.</w:t>
      </w:r>
    </w:p>
    <w:p w14:paraId="1946092E" w14:textId="34A4A535" w:rsidR="0011002A" w:rsidRDefault="0011002A" w:rsidP="00E80E5D">
      <w:pPr>
        <w:rPr>
          <w:rFonts w:hint="cs"/>
          <w:rtl/>
        </w:rPr>
      </w:pPr>
    </w:p>
    <w:sectPr w:rsidR="0011002A">
      <w:footerReference w:type="default" r:id="rId8"/>
      <w:pgSz w:w="11906" w:h="16838"/>
      <w:pgMar w:top="1440" w:right="1440" w:bottom="1440" w:left="1440" w:header="708" w:footer="708"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508E5" w14:textId="77777777" w:rsidR="00E83077" w:rsidRDefault="00E83077">
      <w:r>
        <w:separator/>
      </w:r>
    </w:p>
  </w:endnote>
  <w:endnote w:type="continuationSeparator" w:id="0">
    <w:p w14:paraId="24181B5C" w14:textId="77777777" w:rsidR="00E83077" w:rsidRDefault="00E8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0CA9E" w14:textId="77777777" w:rsidR="0011002A"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E80E5D">
      <w:rPr>
        <w:rFonts w:ascii="Arial" w:eastAsia="Arial" w:hAnsi="Arial" w:cs="Arial"/>
        <w:noProof/>
      </w:rPr>
      <w:t>11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0F964" w14:textId="77777777" w:rsidR="00E83077" w:rsidRDefault="00E83077">
      <w:r>
        <w:separator/>
      </w:r>
    </w:p>
  </w:footnote>
  <w:footnote w:type="continuationSeparator" w:id="0">
    <w:p w14:paraId="64478125" w14:textId="77777777" w:rsidR="00E83077" w:rsidRDefault="00E83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ED5116"/>
    <w:multiLevelType w:val="hybridMultilevel"/>
    <w:tmpl w:val="EE3AC2D2"/>
    <w:lvl w:ilvl="0" w:tplc="7C0682E8">
      <w:start w:val="1"/>
      <w:numFmt w:val="bullet"/>
      <w:lvlText w:val="●"/>
      <w:lvlJc w:val="left"/>
      <w:pPr>
        <w:ind w:left="720" w:hanging="360"/>
      </w:pPr>
    </w:lvl>
    <w:lvl w:ilvl="1" w:tplc="97AC2120">
      <w:start w:val="1"/>
      <w:numFmt w:val="bullet"/>
      <w:lvlText w:val="○"/>
      <w:lvlJc w:val="left"/>
      <w:pPr>
        <w:ind w:left="1440" w:hanging="360"/>
      </w:pPr>
    </w:lvl>
    <w:lvl w:ilvl="2" w:tplc="27B24902">
      <w:start w:val="1"/>
      <w:numFmt w:val="bullet"/>
      <w:lvlText w:val="■"/>
      <w:lvlJc w:val="left"/>
      <w:pPr>
        <w:ind w:left="2160" w:hanging="360"/>
      </w:pPr>
    </w:lvl>
    <w:lvl w:ilvl="3" w:tplc="60DEA868">
      <w:start w:val="1"/>
      <w:numFmt w:val="bullet"/>
      <w:lvlText w:val="●"/>
      <w:lvlJc w:val="left"/>
      <w:pPr>
        <w:ind w:left="2880" w:hanging="360"/>
      </w:pPr>
    </w:lvl>
    <w:lvl w:ilvl="4" w:tplc="42E84886">
      <w:start w:val="1"/>
      <w:numFmt w:val="bullet"/>
      <w:lvlText w:val="○"/>
      <w:lvlJc w:val="left"/>
      <w:pPr>
        <w:ind w:left="3600" w:hanging="360"/>
      </w:pPr>
    </w:lvl>
    <w:lvl w:ilvl="5" w:tplc="C736DB60">
      <w:start w:val="1"/>
      <w:numFmt w:val="bullet"/>
      <w:lvlText w:val="■"/>
      <w:lvlJc w:val="left"/>
      <w:pPr>
        <w:ind w:left="4320" w:hanging="360"/>
      </w:pPr>
    </w:lvl>
    <w:lvl w:ilvl="6" w:tplc="9D809F9E">
      <w:start w:val="1"/>
      <w:numFmt w:val="bullet"/>
      <w:lvlText w:val="●"/>
      <w:lvlJc w:val="left"/>
      <w:pPr>
        <w:ind w:left="5040" w:hanging="360"/>
      </w:pPr>
    </w:lvl>
    <w:lvl w:ilvl="7" w:tplc="0D54D09C">
      <w:start w:val="1"/>
      <w:numFmt w:val="bullet"/>
      <w:lvlText w:val="●"/>
      <w:lvlJc w:val="left"/>
      <w:pPr>
        <w:ind w:left="5760" w:hanging="360"/>
      </w:pPr>
    </w:lvl>
    <w:lvl w:ilvl="8" w:tplc="99E0CB4A">
      <w:start w:val="1"/>
      <w:numFmt w:val="bullet"/>
      <w:lvlText w:val="●"/>
      <w:lvlJc w:val="left"/>
      <w:pPr>
        <w:ind w:left="6480" w:hanging="360"/>
      </w:pPr>
    </w:lvl>
  </w:abstractNum>
  <w:abstractNum w:abstractNumId="1" w15:restartNumberingAfterBreak="0">
    <w:nsid w:val="49CC4D00"/>
    <w:multiLevelType w:val="hybridMultilevel"/>
    <w:tmpl w:val="88F8F7C0"/>
    <w:lvl w:ilvl="0" w:tplc="07909B82">
      <w:start w:val="1"/>
      <w:numFmt w:val="bullet"/>
      <w:lvlText w:val="•"/>
      <w:lvlJc w:val="right"/>
      <w:pPr>
        <w:ind w:right="720" w:hanging="360"/>
      </w:pPr>
    </w:lvl>
    <w:lvl w:ilvl="1" w:tplc="327403DA">
      <w:start w:val="1"/>
      <w:numFmt w:val="bullet"/>
      <w:lvlText w:val="○"/>
      <w:lvlJc w:val="right"/>
      <w:pPr>
        <w:ind w:right="1080" w:hanging="360"/>
      </w:pPr>
    </w:lvl>
    <w:lvl w:ilvl="2" w:tplc="33D28AF0">
      <w:numFmt w:val="decimal"/>
      <w:lvlText w:val=""/>
      <w:lvlJc w:val="left"/>
    </w:lvl>
    <w:lvl w:ilvl="3" w:tplc="85605090">
      <w:numFmt w:val="decimal"/>
      <w:lvlText w:val=""/>
      <w:lvlJc w:val="left"/>
    </w:lvl>
    <w:lvl w:ilvl="4" w:tplc="2654ACB0">
      <w:numFmt w:val="decimal"/>
      <w:lvlText w:val=""/>
      <w:lvlJc w:val="left"/>
    </w:lvl>
    <w:lvl w:ilvl="5" w:tplc="6ED8F7BA">
      <w:numFmt w:val="decimal"/>
      <w:lvlText w:val=""/>
      <w:lvlJc w:val="left"/>
    </w:lvl>
    <w:lvl w:ilvl="6" w:tplc="3516F2D6">
      <w:numFmt w:val="decimal"/>
      <w:lvlText w:val=""/>
      <w:lvlJc w:val="left"/>
    </w:lvl>
    <w:lvl w:ilvl="7" w:tplc="97343DD4">
      <w:numFmt w:val="decimal"/>
      <w:lvlText w:val=""/>
      <w:lvlJc w:val="left"/>
    </w:lvl>
    <w:lvl w:ilvl="8" w:tplc="4880E534">
      <w:numFmt w:val="decimal"/>
      <w:lvlText w:val=""/>
      <w:lvlJc w:val="left"/>
    </w:lvl>
  </w:abstractNum>
  <w:num w:numId="1" w16cid:durableId="1378820537">
    <w:abstractNumId w:val="0"/>
    <w:lvlOverride w:ilvl="0">
      <w:startOverride w:val="1"/>
    </w:lvlOverride>
  </w:num>
  <w:num w:numId="2" w16cid:durableId="7205127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02A"/>
    <w:rsid w:val="0011002A"/>
    <w:rsid w:val="007E2019"/>
    <w:rsid w:val="00E80E5D"/>
    <w:rsid w:val="00E83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8DE5C"/>
  <w15:docId w15:val="{4C9AB510-6BCF-44FE-B8AD-8132B46F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3195</Words>
  <Characters>18216</Characters>
  <Application>Microsoft Office Word</Application>
  <DocSecurity>0</DocSecurity>
  <Lines>151</Lines>
  <Paragraphs>42</Paragraphs>
  <ScaleCrop>false</ScaleCrop>
  <Company/>
  <LinksUpToDate>false</LinksUpToDate>
  <CharactersWithSpaces>21369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Dima S. Daham (HRSD)</cp:lastModifiedBy>
  <cp:revision>2</cp:revision>
  <dcterms:created xsi:type="dcterms:W3CDTF">2026-08-09T11:00:00Z</dcterms:created>
  <dcterms:modified xsi:type="dcterms:W3CDTF">2026-08-09T11:00:00Z</dcterms:modified>
</cp:coreProperties>
</file>