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30BDFBB9" w14:textId="5AC6D3E0" w:rsidR="00901153" w:rsidRPr="003D7155" w:rsidRDefault="008D1254" w:rsidP="003D7155">
      <w:pPr>
        <w:pStyle w:val="Heading1"/>
        <w:spacing w:line="360" w:lineRule="auto"/>
        <w:jc w:val="center"/>
        <w:rPr>
          <w:rFonts w:ascii="Sakkal Majalla" w:hAnsi="Sakkal Majalla" w:cs="Sakkal Majalla"/>
          <w:color w:val="000000" w:themeColor="text1"/>
          <w:sz w:val="32"/>
          <w:szCs w:val="32"/>
          <w:rtl/>
        </w:rPr>
      </w:pPr>
      <w:r w:rsidRPr="003D7155">
        <w:rPr>
          <w:rFonts w:ascii="Sakkal Majalla" w:hAnsi="Sakkal Majalla" w:cs="Sakkal Majalla" w:hint="cs"/>
          <w:b/>
          <w:bCs/>
          <w:color w:val="000000" w:themeColor="text1"/>
          <w:sz w:val="32"/>
          <w:szCs w:val="32"/>
          <w:rtl/>
        </w:rPr>
        <w:t xml:space="preserve">الإدارة </w:t>
      </w:r>
      <w:r w:rsidR="00901153" w:rsidRPr="003D7155">
        <w:rPr>
          <w:rFonts w:ascii="Sakkal Majalla" w:hAnsi="Sakkal Majalla" w:cs="Sakkal Majalla"/>
          <w:b/>
          <w:bCs/>
          <w:color w:val="000000" w:themeColor="text1"/>
          <w:sz w:val="32"/>
          <w:szCs w:val="32"/>
          <w:rtl/>
        </w:rPr>
        <w:t>الذكية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للموارد</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في</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مدينة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الرياض</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نحو</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استدامة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حضرية</w:t>
      </w:r>
      <w:r w:rsidR="00901153" w:rsidRPr="003D7155">
        <w:rPr>
          <w:rFonts w:ascii="Sakkal Majalla" w:hAnsi="Sakkal Majalla" w:cs="Sakkal Majalla"/>
          <w:b/>
          <w:bCs/>
          <w:color w:val="000000" w:themeColor="text1"/>
          <w:sz w:val="32"/>
          <w:szCs w:val="32"/>
        </w:rPr>
        <w:t xml:space="preserve"> </w:t>
      </w:r>
      <w:r w:rsidR="003A6FD5" w:rsidRPr="003D7155">
        <w:rPr>
          <w:rFonts w:ascii="Sakkal Majalla" w:hAnsi="Sakkal Majalla" w:cs="Sakkal Majalla"/>
          <w:b/>
          <w:bCs/>
          <w:color w:val="000000" w:themeColor="text1"/>
          <w:sz w:val="32"/>
          <w:szCs w:val="32"/>
          <w:rtl/>
        </w:rPr>
        <w:t>ورفاهية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مجتمعية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دراسة</w:t>
      </w:r>
      <w:r w:rsidR="00901153" w:rsidRPr="003D7155">
        <w:rPr>
          <w:rFonts w:ascii="Sakkal Majalla" w:hAnsi="Sakkal Majalla" w:cs="Sakkal Majalla"/>
          <w:b/>
          <w:bCs/>
          <w:color w:val="000000" w:themeColor="text1"/>
          <w:sz w:val="32"/>
          <w:szCs w:val="32"/>
        </w:rPr>
        <w:t xml:space="preserve"> </w:t>
      </w:r>
      <w:r w:rsidR="00B170F5" w:rsidRPr="003D7155">
        <w:rPr>
          <w:rFonts w:ascii="Sakkal Majalla" w:hAnsi="Sakkal Majalla" w:cs="Sakkal Majalla" w:hint="cs"/>
          <w:b/>
          <w:bCs/>
          <w:color w:val="000000" w:themeColor="text1"/>
          <w:sz w:val="32"/>
          <w:szCs w:val="32"/>
          <w:rtl/>
        </w:rPr>
        <w:t>ميدانية</w:t>
      </w:r>
    </w:p>
    <w:p w14:paraId="42E72BE2" w14:textId="0933D7FC" w:rsidR="00FD5B03" w:rsidRPr="003D7155" w:rsidRDefault="00FD5B03" w:rsidP="003D7155">
      <w:pPr>
        <w:spacing w:line="360" w:lineRule="auto"/>
        <w:jc w:val="center"/>
        <w:rPr>
          <w:rFonts w:ascii="Times New Roman" w:eastAsiaTheme="majorEastAsia" w:hAnsi="Times New Roman" w:cs="Times New Roman"/>
          <w:b/>
          <w:bCs/>
          <w:color w:val="000000" w:themeColor="text1"/>
          <w:sz w:val="28"/>
          <w:szCs w:val="28"/>
          <w:rtl/>
        </w:rPr>
      </w:pPr>
      <w:r w:rsidRPr="003D7155">
        <w:rPr>
          <w:rFonts w:ascii="Times New Roman" w:eastAsiaTheme="majorEastAsia" w:hAnsi="Times New Roman" w:cs="Times New Roman"/>
          <w:b/>
          <w:bCs/>
          <w:color w:val="000000" w:themeColor="text1"/>
          <w:sz w:val="28"/>
          <w:szCs w:val="28"/>
        </w:rPr>
        <w:t xml:space="preserve">Smart Resource Management in Riyadh: Towards Urban Sustainability and Community Well-being: </w:t>
      </w:r>
      <w:r w:rsidR="00B170F5" w:rsidRPr="003D7155">
        <w:rPr>
          <w:rFonts w:ascii="Times New Roman" w:eastAsiaTheme="majorEastAsia" w:hAnsi="Times New Roman" w:cs="Times New Roman"/>
          <w:b/>
          <w:bCs/>
          <w:color w:val="000000" w:themeColor="text1"/>
          <w:sz w:val="28"/>
          <w:szCs w:val="28"/>
        </w:rPr>
        <w:t>Field study</w:t>
      </w:r>
    </w:p>
    <w:p w14:paraId="5D2EB9EC" w14:textId="77777777" w:rsidR="003D7155"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2BEB6FB2" w:rsidR="003D7155" w:rsidRDefault="003D7155" w:rsidP="00165FA6">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000A5D12" w:rsidRPr="008B2678">
        <w:rPr>
          <w:rFonts w:ascii="Sakkal Majalla" w:hAnsi="Sakkal Majalla" w:cs="Sakkal Majalla"/>
          <w:b/>
          <w:bCs/>
          <w:sz w:val="32"/>
          <w:szCs w:val="32"/>
          <w:rtl/>
        </w:rPr>
        <w:t>رياض محمد الشهري</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0DD3EEEB" w:rsidR="003D7155" w:rsidRDefault="003D7155" w:rsidP="003D7155">
      <w:pPr>
        <w:spacing w:before="240" w:after="0" w:line="360" w:lineRule="auto"/>
        <w:rPr>
          <w:rFonts w:ascii="Traditional Arabic" w:hAnsi="Traditional Arabic" w:cs="Traditional Arabic"/>
          <w:b/>
          <w:bCs/>
          <w:sz w:val="32"/>
          <w:szCs w:val="32"/>
          <w:rtl/>
        </w:rPr>
      </w:pPr>
    </w:p>
    <w:p w14:paraId="2EA77D64" w14:textId="77777777" w:rsidR="00B42C73" w:rsidRPr="00B42C73" w:rsidRDefault="00B42C73" w:rsidP="00B42C73">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15AF0ECE" w14:textId="56829564" w:rsidR="00165FA6" w:rsidRDefault="00165FA6" w:rsidP="00165FA6">
      <w:pPr>
        <w:pStyle w:val="NormalWeb"/>
        <w:bidi/>
      </w:pPr>
      <w:r>
        <w:rPr>
          <w:rtl/>
        </w:rPr>
        <w:t xml:space="preserve">بدايةً، يتضح أن الباحث بذل جهدًا واضحًا في جمع المادة العلمية المرتبطة بموضوع الرسالة، وجاء الفصل منظمًا من حيث ترتيب العناوين وتسلسل الأفكار. </w:t>
      </w:r>
    </w:p>
    <w:p w14:paraId="77D7C3A8" w14:textId="77777777" w:rsidR="00165FA6" w:rsidRDefault="00165FA6" w:rsidP="00165FA6">
      <w:pPr>
        <w:pStyle w:val="NormalWeb"/>
        <w:bidi/>
      </w:pPr>
      <w:r>
        <w:rPr>
          <w:rtl/>
        </w:rPr>
        <w:t>بشكل عام، يوفر الفصل أساسًا معرفيًا مناسبًا للدراسة، إلا أن بعض الجوانب تحتاج إلى قدر من التعميق والتحليل النقدي حتى يتوافق بشكل أكبر مع مستوى أطروحات الدكتوراه</w:t>
      </w:r>
      <w:r>
        <w:t>.</w:t>
      </w:r>
    </w:p>
    <w:p w14:paraId="2B7A0788" w14:textId="77777777" w:rsidR="00165FA6" w:rsidRDefault="00165FA6" w:rsidP="00165FA6">
      <w:pPr>
        <w:pStyle w:val="Heading2"/>
      </w:pPr>
      <w:r>
        <w:t xml:space="preserve">1- </w:t>
      </w:r>
      <w:r>
        <w:rPr>
          <w:rtl/>
        </w:rPr>
        <w:t>الإطار النظري</w:t>
      </w:r>
    </w:p>
    <w:p w14:paraId="037FBDDB" w14:textId="77777777" w:rsidR="00165FA6" w:rsidRDefault="00165FA6" w:rsidP="00165FA6">
      <w:pPr>
        <w:pStyle w:val="NormalWeb"/>
        <w:bidi/>
      </w:pPr>
      <w:r>
        <w:rPr>
          <w:rtl/>
        </w:rPr>
        <w:t>جاء الإطار النظري منظمًا وواضحًا في عرض المفاهيم الأساسية مثل القيادة التحويلية والتحول الرقمي والأداء المؤسسي، مع تسلسل منطقي يسهل على القارئ متابعة الموضوع</w:t>
      </w:r>
      <w:r>
        <w:t>.</w:t>
      </w:r>
    </w:p>
    <w:p w14:paraId="56A33F0B" w14:textId="77777777" w:rsidR="00165FA6" w:rsidRDefault="00165FA6" w:rsidP="00165FA6">
      <w:pPr>
        <w:pStyle w:val="NormalWeb"/>
        <w:bidi/>
      </w:pPr>
      <w:r>
        <w:rPr>
          <w:rtl/>
        </w:rPr>
        <w:t>ومع ذلك، كان الطرح في بعض المواضع أقرب إلى العرض الوصفي للمفاهيم، وكان من الممكن تعزيزه بمزيد من التحليل من خلال</w:t>
      </w:r>
      <w:r>
        <w:t>:</w:t>
      </w:r>
    </w:p>
    <w:p w14:paraId="4FB66395" w14:textId="77777777" w:rsidR="00165FA6" w:rsidRDefault="00165FA6" w:rsidP="00165FA6">
      <w:pPr>
        <w:pStyle w:val="NormalWeb"/>
        <w:numPr>
          <w:ilvl w:val="0"/>
          <w:numId w:val="31"/>
        </w:numPr>
        <w:bidi/>
      </w:pPr>
      <w:r>
        <w:rPr>
          <w:rtl/>
        </w:rPr>
        <w:t>المقارنة بين النماذج النظرية المختلفة للقيادة التحويلية</w:t>
      </w:r>
      <w:r>
        <w:t>.</w:t>
      </w:r>
    </w:p>
    <w:p w14:paraId="23173C1F" w14:textId="77777777" w:rsidR="00165FA6" w:rsidRDefault="00165FA6" w:rsidP="00165FA6">
      <w:pPr>
        <w:pStyle w:val="NormalWeb"/>
        <w:numPr>
          <w:ilvl w:val="0"/>
          <w:numId w:val="31"/>
        </w:numPr>
        <w:bidi/>
      </w:pPr>
      <w:r>
        <w:rPr>
          <w:rtl/>
        </w:rPr>
        <w:t>مناقشة العلاقة بين القيادة والتحول الرقمي بصورة أعمق</w:t>
      </w:r>
      <w:r>
        <w:t>.</w:t>
      </w:r>
    </w:p>
    <w:p w14:paraId="4D6A47CE" w14:textId="77777777" w:rsidR="00165FA6" w:rsidRDefault="00165FA6" w:rsidP="00165FA6">
      <w:pPr>
        <w:pStyle w:val="NormalWeb"/>
        <w:numPr>
          <w:ilvl w:val="0"/>
          <w:numId w:val="31"/>
        </w:numPr>
        <w:bidi/>
      </w:pPr>
      <w:r>
        <w:rPr>
          <w:rtl/>
        </w:rPr>
        <w:t>توضيح الإطار النظري الحاكم للدراسة بشكل أكثر تحديدًا وربطه بمتغيرات البحث</w:t>
      </w:r>
      <w:r>
        <w:t>.</w:t>
      </w:r>
    </w:p>
    <w:p w14:paraId="01517BD0" w14:textId="77777777" w:rsidR="00165FA6" w:rsidRDefault="00165FA6" w:rsidP="00165FA6">
      <w:pPr>
        <w:pStyle w:val="Heading2"/>
      </w:pPr>
      <w:r>
        <w:t xml:space="preserve">2- </w:t>
      </w:r>
      <w:r>
        <w:rPr>
          <w:rtl/>
        </w:rPr>
        <w:t>الدراسات السابقة</w:t>
      </w:r>
    </w:p>
    <w:p w14:paraId="2E07831A" w14:textId="77777777" w:rsidR="00165FA6" w:rsidRDefault="00165FA6" w:rsidP="00165FA6">
      <w:pPr>
        <w:pStyle w:val="NormalWeb"/>
        <w:bidi/>
      </w:pPr>
      <w:r>
        <w:rPr>
          <w:rtl/>
        </w:rPr>
        <w:t>يتضح أن الباحث اطلع على عدد مناسب من الدراسات العربية والأجنبية، وتم عرض أهدافها ونتائجها بصورة منظمة، وهو ما يعكس جهدًا بحثيًا جيدًا</w:t>
      </w:r>
      <w:r>
        <w:t>.</w:t>
      </w:r>
    </w:p>
    <w:p w14:paraId="713D3A2F" w14:textId="77777777" w:rsidR="00165FA6" w:rsidRDefault="00165FA6" w:rsidP="00165FA6">
      <w:pPr>
        <w:pStyle w:val="NormalWeb"/>
        <w:bidi/>
      </w:pPr>
      <w:r>
        <w:rPr>
          <w:rtl/>
        </w:rPr>
        <w:t xml:space="preserve">لكن طريقة العرض جاءت في الغالب بشكل تسلسلي (دراسة بعد أخرى)، وكان من الأفضل تصنيف الدراسات في محاور موضوعية، مثل دراسات القيادة التحويلية، والتحول الرقمي، والأداء المؤسسي، مع إبراز أوجه الاتفاق والاختلاف بين نتائجها. كما يُفضل تدعيم الفصل </w:t>
      </w:r>
      <w:r w:rsidRPr="00165FA6">
        <w:rPr>
          <w:b/>
          <w:bCs/>
          <w:u w:val="single"/>
          <w:rtl/>
        </w:rPr>
        <w:t>بدراسات دولية</w:t>
      </w:r>
      <w:r>
        <w:rPr>
          <w:rtl/>
        </w:rPr>
        <w:t xml:space="preserve"> حديثة لتعزيز البعد العلمي للدراسة</w:t>
      </w:r>
      <w:r>
        <w:t>.</w:t>
      </w:r>
    </w:p>
    <w:p w14:paraId="6DDB2E05" w14:textId="7B4846B1" w:rsidR="00165FA6" w:rsidRPr="00165FA6" w:rsidRDefault="00165FA6" w:rsidP="00165FA6">
      <w:pPr>
        <w:pStyle w:val="Heading2"/>
      </w:pPr>
      <w:r>
        <w:t xml:space="preserve">3- </w:t>
      </w:r>
      <w:r>
        <w:rPr>
          <w:rtl/>
        </w:rPr>
        <w:t>الفجوة البحثية</w:t>
      </w:r>
    </w:p>
    <w:p w14:paraId="4DBC5074" w14:textId="4B267DB4" w:rsidR="00165FA6" w:rsidRDefault="00165FA6" w:rsidP="00165FA6">
      <w:pPr>
        <w:pStyle w:val="NormalWeb"/>
        <w:bidi/>
      </w:pPr>
      <w:r>
        <w:rPr>
          <w:rtl/>
        </w:rPr>
        <w:t xml:space="preserve">الفجوة البحثية واضحة بصورة عامة، خاصة فيما يتعلق بدراسة العلاقة بين القيادة التحويلية والأداء المؤسسي في ظل التحول الرقمي. </w:t>
      </w:r>
      <w:r>
        <w:rPr>
          <w:rFonts w:hint="cs"/>
          <w:rtl/>
        </w:rPr>
        <w:t>ولكنها</w:t>
      </w:r>
      <w:r>
        <w:rPr>
          <w:rtl/>
        </w:rPr>
        <w:t xml:space="preserve"> تحتاج إلى صياغة أكثر تحديدًا وربطها بشكل مباشر بمتغيرات الدراسة التي سيتم اختبارها ميدانيًا</w:t>
      </w:r>
      <w:r>
        <w:t>.</w:t>
      </w:r>
    </w:p>
    <w:p w14:paraId="4C674503" w14:textId="77777777" w:rsidR="00165FA6" w:rsidRDefault="00165FA6" w:rsidP="00165FA6">
      <w:pPr>
        <w:pStyle w:val="Heading2"/>
      </w:pPr>
      <w:r>
        <w:t xml:space="preserve">4- </w:t>
      </w:r>
      <w:r>
        <w:rPr>
          <w:rtl/>
        </w:rPr>
        <w:t>التقييم العام</w:t>
      </w:r>
    </w:p>
    <w:p w14:paraId="30CF59E2" w14:textId="77777777" w:rsidR="00165FA6" w:rsidRDefault="00165FA6" w:rsidP="00165FA6">
      <w:pPr>
        <w:pStyle w:val="NormalWeb"/>
        <w:bidi/>
      </w:pPr>
      <w:r>
        <w:rPr>
          <w:rtl/>
        </w:rPr>
        <w:t>بشكل عام، الفصل منظم وواضح ويعكس جهدًا علميًا جيدًا في عرض الأدبيات المرتبطة بموضوع الدراسة. ومع ذلك، يحتاج إلى قدر أكبر من التحليل النظري والطابع النقدي في مناقشة الدراسات السابقة، إضافة إلى توضيح الفجوة البحثية بصورة أكثر دقة</w:t>
      </w:r>
      <w:r>
        <w:t>.</w:t>
      </w:r>
    </w:p>
    <w:p w14:paraId="38B5ACA5" w14:textId="77777777" w:rsidR="00165FA6" w:rsidRDefault="00165FA6" w:rsidP="00165FA6">
      <w:pPr>
        <w:pStyle w:val="NormalWeb"/>
        <w:bidi/>
      </w:pPr>
      <w:r>
        <w:rPr>
          <w:rStyle w:val="Strong"/>
          <w:rtl/>
        </w:rPr>
        <w:t>التقدير العام</w:t>
      </w:r>
      <w:r>
        <w:rPr>
          <w:rStyle w:val="Strong"/>
        </w:rPr>
        <w:t>:</w:t>
      </w:r>
      <w:r>
        <w:br/>
      </w:r>
      <w:r>
        <w:rPr>
          <w:rStyle w:val="Strong"/>
          <w:rtl/>
        </w:rPr>
        <w:t>جيد جدًا مع توصيات تطوير</w:t>
      </w:r>
      <w:r>
        <w:rPr>
          <w:rStyle w:val="Strong"/>
        </w:rPr>
        <w:t>.</w:t>
      </w:r>
    </w:p>
    <w:p w14:paraId="12704387" w14:textId="77777777" w:rsidR="003D7155" w:rsidRPr="00165FA6" w:rsidRDefault="003D7155" w:rsidP="00165FA6">
      <w:pPr>
        <w:pStyle w:val="NormalWeb"/>
        <w:bidi/>
        <w:rPr>
          <w:rFonts w:ascii="Traditional Arabic" w:hAnsi="Traditional Arabic" w:cs="Traditional Arabic"/>
          <w:b/>
          <w:bCs/>
          <w:sz w:val="32"/>
          <w:szCs w:val="32"/>
        </w:rPr>
      </w:pPr>
      <w:bookmarkStart w:id="0" w:name="_GoBack"/>
      <w:bookmarkEnd w:id="0"/>
    </w:p>
    <w:sectPr w:rsidR="003D7155" w:rsidRPr="00165FA6"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EC227" w14:textId="77777777" w:rsidR="00502647" w:rsidRDefault="00502647" w:rsidP="00FD5B03">
      <w:pPr>
        <w:spacing w:after="0" w:line="240" w:lineRule="auto"/>
      </w:pPr>
      <w:r>
        <w:separator/>
      </w:r>
    </w:p>
  </w:endnote>
  <w:endnote w:type="continuationSeparator" w:id="0">
    <w:p w14:paraId="0BF95984" w14:textId="77777777" w:rsidR="00502647" w:rsidRDefault="00502647"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BB41C" w14:textId="77777777" w:rsidR="00502647" w:rsidRDefault="00502647" w:rsidP="00FD5B03">
      <w:pPr>
        <w:spacing w:after="0" w:line="240" w:lineRule="auto"/>
      </w:pPr>
      <w:r>
        <w:separator/>
      </w:r>
    </w:p>
  </w:footnote>
  <w:footnote w:type="continuationSeparator" w:id="0">
    <w:p w14:paraId="712A215C" w14:textId="77777777" w:rsidR="00502647" w:rsidRDefault="00502647"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5A0FA8"/>
    <w:multiLevelType w:val="multilevel"/>
    <w:tmpl w:val="8E86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5"/>
  </w:num>
  <w:num w:numId="3">
    <w:abstractNumId w:val="4"/>
  </w:num>
  <w:num w:numId="4">
    <w:abstractNumId w:val="19"/>
  </w:num>
  <w:num w:numId="5">
    <w:abstractNumId w:val="9"/>
  </w:num>
  <w:num w:numId="6">
    <w:abstractNumId w:val="13"/>
  </w:num>
  <w:num w:numId="7">
    <w:abstractNumId w:val="0"/>
  </w:num>
  <w:num w:numId="8">
    <w:abstractNumId w:val="23"/>
  </w:num>
  <w:num w:numId="9">
    <w:abstractNumId w:val="28"/>
  </w:num>
  <w:num w:numId="10">
    <w:abstractNumId w:val="26"/>
  </w:num>
  <w:num w:numId="11">
    <w:abstractNumId w:val="1"/>
  </w:num>
  <w:num w:numId="12">
    <w:abstractNumId w:val="17"/>
  </w:num>
  <w:num w:numId="13">
    <w:abstractNumId w:val="22"/>
  </w:num>
  <w:num w:numId="14">
    <w:abstractNumId w:val="3"/>
  </w:num>
  <w:num w:numId="15">
    <w:abstractNumId w:val="10"/>
  </w:num>
  <w:num w:numId="16">
    <w:abstractNumId w:val="27"/>
  </w:num>
  <w:num w:numId="17">
    <w:abstractNumId w:val="21"/>
  </w:num>
  <w:num w:numId="18">
    <w:abstractNumId w:val="2"/>
  </w:num>
  <w:num w:numId="19">
    <w:abstractNumId w:val="7"/>
  </w:num>
  <w:num w:numId="20">
    <w:abstractNumId w:val="30"/>
  </w:num>
  <w:num w:numId="21">
    <w:abstractNumId w:val="15"/>
  </w:num>
  <w:num w:numId="22">
    <w:abstractNumId w:val="12"/>
  </w:num>
  <w:num w:numId="23">
    <w:abstractNumId w:val="29"/>
  </w:num>
  <w:num w:numId="24">
    <w:abstractNumId w:val="24"/>
  </w:num>
  <w:num w:numId="25">
    <w:abstractNumId w:val="16"/>
  </w:num>
  <w:num w:numId="26">
    <w:abstractNumId w:val="14"/>
  </w:num>
  <w:num w:numId="27">
    <w:abstractNumId w:val="18"/>
  </w:num>
  <w:num w:numId="28">
    <w:abstractNumId w:val="5"/>
  </w:num>
  <w:num w:numId="29">
    <w:abstractNumId w:val="20"/>
  </w:num>
  <w:num w:numId="30">
    <w:abstractNumId w:val="11"/>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A5D12"/>
    <w:rsid w:val="000D5240"/>
    <w:rsid w:val="000E3C39"/>
    <w:rsid w:val="00136164"/>
    <w:rsid w:val="00165FA6"/>
    <w:rsid w:val="00261E5B"/>
    <w:rsid w:val="003A6FD5"/>
    <w:rsid w:val="003D7155"/>
    <w:rsid w:val="004267EE"/>
    <w:rsid w:val="00436C7A"/>
    <w:rsid w:val="004744D7"/>
    <w:rsid w:val="00487083"/>
    <w:rsid w:val="004C7C0E"/>
    <w:rsid w:val="004F100D"/>
    <w:rsid w:val="004F3455"/>
    <w:rsid w:val="00502647"/>
    <w:rsid w:val="00506D53"/>
    <w:rsid w:val="005518AC"/>
    <w:rsid w:val="005B7C5F"/>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80DDB"/>
    <w:rsid w:val="00BC1B25"/>
    <w:rsid w:val="00BD1469"/>
    <w:rsid w:val="00C173B2"/>
    <w:rsid w:val="00CB2307"/>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8069521">
      <w:bodyDiv w:val="1"/>
      <w:marLeft w:val="0"/>
      <w:marRight w:val="0"/>
      <w:marTop w:val="0"/>
      <w:marBottom w:val="0"/>
      <w:divBdr>
        <w:top w:val="none" w:sz="0" w:space="0" w:color="auto"/>
        <w:left w:val="none" w:sz="0" w:space="0" w:color="auto"/>
        <w:bottom w:val="none" w:sz="0" w:space="0" w:color="auto"/>
        <w:right w:val="none" w:sz="0" w:space="0" w:color="auto"/>
      </w:divBdr>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311</Words>
  <Characters>1773</Characters>
  <Application>Microsoft Office Word</Application>
  <DocSecurity>0</DocSecurity>
  <Lines>14</Lines>
  <Paragraphs>4</Paragraphs>
  <ScaleCrop>false</ScaleCrop>
  <HeadingPairs>
    <vt:vector size="6" baseType="variant">
      <vt:variant>
        <vt:lpstr>Title</vt:lpstr>
      </vt:variant>
      <vt:variant>
        <vt:i4>1</vt:i4>
      </vt:variant>
      <vt:variant>
        <vt:lpstr>Headings</vt:lpstr>
      </vt:variant>
      <vt:variant>
        <vt:i4>7</vt:i4>
      </vt:variant>
      <vt:variant>
        <vt:lpstr>العنوان</vt:lpstr>
      </vt:variant>
      <vt:variant>
        <vt:i4>1</vt:i4>
      </vt:variant>
    </vt:vector>
  </HeadingPairs>
  <TitlesOfParts>
    <vt:vector size="9" baseType="lpstr">
      <vt:lpstr/>
      <vt:lpstr>/جامعــــــة ميداوشن - كليــــة الإدارة</vt:lpstr>
      <vt:lpstr>عنوان الدراسة</vt:lpstr>
      <vt:lpstr>الإدارة الذكية للموارد في مدينة الرياض: نحو استدامة حضرية ورفاهية مجتمعية دراسة </vt:lpstr>
      <vt:lpstr>    الإطار النظري</vt:lpstr>
      <vt:lpstr>    الدراسات السابقة</vt:lpstr>
      <vt:lpstr>    الفجوة البحثية</vt:lpstr>
      <vt:lpstr>    التقييم العام</vt:lpstr>
      <vt:lpstr/>
    </vt:vector>
  </TitlesOfParts>
  <Company/>
  <LinksUpToDate>false</LinksUpToDate>
  <CharactersWithSpaces>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3</cp:revision>
  <dcterms:created xsi:type="dcterms:W3CDTF">2026-03-08T12:51:00Z</dcterms:created>
  <dcterms:modified xsi:type="dcterms:W3CDTF">2026-03-08T12:54:00Z</dcterms:modified>
</cp:coreProperties>
</file>