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9C56B" w14:textId="77777777" w:rsidR="00F72403" w:rsidRDefault="00F72403">
      <w:pPr>
        <w:pStyle w:val="BodyText"/>
        <w:spacing w:before="6"/>
        <w:rPr>
          <w:sz w:val="18"/>
        </w:rPr>
      </w:pPr>
    </w:p>
    <w:p w14:paraId="5499C56C" w14:textId="77777777" w:rsidR="00F72403" w:rsidRDefault="00A57DFE">
      <w:pPr>
        <w:spacing w:before="86"/>
        <w:ind w:left="1060"/>
        <w:rPr>
          <w:sz w:val="32"/>
        </w:rPr>
      </w:pPr>
      <w:r>
        <w:rPr>
          <w:b/>
          <w:sz w:val="32"/>
        </w:rPr>
        <w:t>Course</w:t>
      </w:r>
      <w:r>
        <w:rPr>
          <w:b/>
          <w:spacing w:val="-4"/>
          <w:sz w:val="32"/>
        </w:rPr>
        <w:t xml:space="preserve"> </w:t>
      </w:r>
      <w:r>
        <w:rPr>
          <w:b/>
          <w:sz w:val="32"/>
        </w:rPr>
        <w:t>Title:</w:t>
      </w:r>
      <w:r>
        <w:rPr>
          <w:b/>
          <w:spacing w:val="-3"/>
          <w:sz w:val="32"/>
        </w:rPr>
        <w:t xml:space="preserve"> </w:t>
      </w:r>
      <w:r>
        <w:rPr>
          <w:sz w:val="32"/>
        </w:rPr>
        <w:t>Research Methodology</w:t>
      </w:r>
      <w:r>
        <w:rPr>
          <w:spacing w:val="-2"/>
          <w:sz w:val="32"/>
        </w:rPr>
        <w:t xml:space="preserve"> </w:t>
      </w:r>
      <w:r>
        <w:rPr>
          <w:sz w:val="32"/>
        </w:rPr>
        <w:t>in</w:t>
      </w:r>
      <w:r>
        <w:rPr>
          <w:spacing w:val="-3"/>
          <w:sz w:val="32"/>
        </w:rPr>
        <w:t xml:space="preserve"> </w:t>
      </w:r>
      <w:r>
        <w:rPr>
          <w:sz w:val="32"/>
        </w:rPr>
        <w:t>Computer</w:t>
      </w:r>
      <w:r>
        <w:rPr>
          <w:spacing w:val="-4"/>
          <w:sz w:val="32"/>
        </w:rPr>
        <w:t xml:space="preserve"> </w:t>
      </w:r>
      <w:r>
        <w:rPr>
          <w:sz w:val="32"/>
        </w:rPr>
        <w:t>Science</w:t>
      </w:r>
    </w:p>
    <w:p w14:paraId="5499C56D" w14:textId="77777777" w:rsidR="00F72403" w:rsidRDefault="00A57DFE">
      <w:pPr>
        <w:spacing w:before="189"/>
        <w:ind w:left="1060"/>
        <w:rPr>
          <w:sz w:val="32"/>
        </w:rPr>
      </w:pPr>
      <w:r>
        <w:rPr>
          <w:b/>
          <w:sz w:val="32"/>
        </w:rPr>
        <w:t>Course</w:t>
      </w:r>
      <w:r>
        <w:rPr>
          <w:b/>
          <w:spacing w:val="-3"/>
          <w:sz w:val="32"/>
        </w:rPr>
        <w:t xml:space="preserve"> </w:t>
      </w:r>
      <w:r>
        <w:rPr>
          <w:b/>
          <w:sz w:val="32"/>
        </w:rPr>
        <w:t>Code:</w:t>
      </w:r>
      <w:r>
        <w:rPr>
          <w:b/>
          <w:spacing w:val="1"/>
          <w:sz w:val="32"/>
        </w:rPr>
        <w:t xml:space="preserve"> </w:t>
      </w:r>
      <w:r>
        <w:rPr>
          <w:sz w:val="32"/>
        </w:rPr>
        <w:t>AI800</w:t>
      </w:r>
    </w:p>
    <w:p w14:paraId="5499C56E" w14:textId="77777777" w:rsidR="00F72403" w:rsidRDefault="00A57DFE">
      <w:pPr>
        <w:spacing w:before="189"/>
        <w:ind w:left="1060"/>
        <w:rPr>
          <w:sz w:val="32"/>
        </w:rPr>
      </w:pPr>
      <w:r>
        <w:rPr>
          <w:b/>
          <w:sz w:val="32"/>
        </w:rPr>
        <w:t>Weighting:</w:t>
      </w:r>
      <w:r>
        <w:rPr>
          <w:b/>
          <w:spacing w:val="-3"/>
          <w:sz w:val="32"/>
        </w:rPr>
        <w:t xml:space="preserve"> </w:t>
      </w:r>
      <w:r>
        <w:rPr>
          <w:sz w:val="32"/>
        </w:rPr>
        <w:t>20%</w:t>
      </w:r>
    </w:p>
    <w:p w14:paraId="5499C56F" w14:textId="77777777" w:rsidR="00F72403" w:rsidRDefault="00A57DFE">
      <w:pPr>
        <w:spacing w:before="188"/>
        <w:ind w:left="1060"/>
        <w:rPr>
          <w:sz w:val="32"/>
        </w:rPr>
      </w:pPr>
      <w:r>
        <w:rPr>
          <w:b/>
          <w:sz w:val="32"/>
        </w:rPr>
        <w:t>Lecturer:</w:t>
      </w:r>
      <w:r>
        <w:rPr>
          <w:b/>
          <w:spacing w:val="-4"/>
          <w:sz w:val="32"/>
        </w:rPr>
        <w:t xml:space="preserve"> </w:t>
      </w:r>
      <w:r>
        <w:rPr>
          <w:sz w:val="32"/>
        </w:rPr>
        <w:t>Dr.</w:t>
      </w:r>
      <w:r>
        <w:rPr>
          <w:spacing w:val="-3"/>
          <w:sz w:val="32"/>
        </w:rPr>
        <w:t xml:space="preserve"> </w:t>
      </w:r>
      <w:r>
        <w:rPr>
          <w:sz w:val="32"/>
        </w:rPr>
        <w:t>Mohammed Anbar</w:t>
      </w:r>
    </w:p>
    <w:p w14:paraId="5499C570" w14:textId="77777777" w:rsidR="00F72403" w:rsidRDefault="00A57DFE">
      <w:pPr>
        <w:spacing w:before="190"/>
        <w:ind w:left="1060"/>
        <w:rPr>
          <w:sz w:val="32"/>
        </w:rPr>
      </w:pPr>
      <w:r>
        <w:rPr>
          <w:b/>
          <w:sz w:val="32"/>
        </w:rPr>
        <w:t>Hand-out</w:t>
      </w:r>
      <w:r>
        <w:rPr>
          <w:b/>
          <w:spacing w:val="-1"/>
          <w:sz w:val="32"/>
        </w:rPr>
        <w:t xml:space="preserve"> </w:t>
      </w:r>
      <w:r>
        <w:rPr>
          <w:b/>
          <w:sz w:val="32"/>
        </w:rPr>
        <w:t>Date:</w:t>
      </w:r>
      <w:r>
        <w:rPr>
          <w:b/>
          <w:spacing w:val="-2"/>
          <w:sz w:val="32"/>
        </w:rPr>
        <w:t xml:space="preserve"> </w:t>
      </w:r>
      <w:r>
        <w:rPr>
          <w:sz w:val="32"/>
        </w:rPr>
        <w:t>29</w:t>
      </w:r>
      <w:r>
        <w:rPr>
          <w:spacing w:val="-2"/>
          <w:sz w:val="32"/>
        </w:rPr>
        <w:t xml:space="preserve"> </w:t>
      </w:r>
      <w:r>
        <w:rPr>
          <w:sz w:val="32"/>
        </w:rPr>
        <w:t>Jun</w:t>
      </w:r>
      <w:r>
        <w:rPr>
          <w:spacing w:val="-1"/>
          <w:sz w:val="32"/>
        </w:rPr>
        <w:t xml:space="preserve"> </w:t>
      </w:r>
      <w:r>
        <w:rPr>
          <w:sz w:val="32"/>
        </w:rPr>
        <w:t>2024</w:t>
      </w:r>
    </w:p>
    <w:p w14:paraId="5499C571" w14:textId="77777777" w:rsidR="00F72403" w:rsidRDefault="00A57DFE">
      <w:pPr>
        <w:spacing w:before="191"/>
        <w:ind w:left="1060"/>
        <w:rPr>
          <w:sz w:val="32"/>
        </w:rPr>
      </w:pPr>
      <w:r>
        <w:rPr>
          <w:b/>
          <w:sz w:val="32"/>
        </w:rPr>
        <w:t>Hand-in Date:</w:t>
      </w:r>
      <w:r>
        <w:rPr>
          <w:b/>
          <w:spacing w:val="-3"/>
          <w:sz w:val="32"/>
        </w:rPr>
        <w:t xml:space="preserve"> </w:t>
      </w:r>
      <w:r>
        <w:rPr>
          <w:sz w:val="32"/>
        </w:rPr>
        <w:t>20</w:t>
      </w:r>
      <w:r>
        <w:rPr>
          <w:spacing w:val="1"/>
          <w:sz w:val="32"/>
        </w:rPr>
        <w:t xml:space="preserve"> </w:t>
      </w:r>
      <w:r>
        <w:rPr>
          <w:sz w:val="32"/>
        </w:rPr>
        <w:t>July</w:t>
      </w:r>
      <w:r>
        <w:rPr>
          <w:spacing w:val="-2"/>
          <w:sz w:val="32"/>
        </w:rPr>
        <w:t xml:space="preserve"> </w:t>
      </w:r>
      <w:r>
        <w:rPr>
          <w:sz w:val="32"/>
        </w:rPr>
        <w:t>2024</w:t>
      </w:r>
    </w:p>
    <w:p w14:paraId="5499C572" w14:textId="188E7A1A" w:rsidR="00F72403" w:rsidRDefault="00A57DFE" w:rsidP="007220E4">
      <w:pPr>
        <w:spacing w:before="189"/>
        <w:ind w:left="1060"/>
        <w:rPr>
          <w:sz w:val="32"/>
        </w:rPr>
      </w:pPr>
      <w:r>
        <w:rPr>
          <w:b/>
          <w:sz w:val="32"/>
        </w:rPr>
        <w:t>Hand-in</w:t>
      </w:r>
      <w:r>
        <w:rPr>
          <w:b/>
          <w:spacing w:val="-2"/>
          <w:sz w:val="32"/>
        </w:rPr>
        <w:t xml:space="preserve"> </w:t>
      </w:r>
      <w:r>
        <w:rPr>
          <w:b/>
          <w:sz w:val="32"/>
        </w:rPr>
        <w:t>Method:</w:t>
      </w:r>
      <w:r>
        <w:rPr>
          <w:b/>
          <w:spacing w:val="-2"/>
          <w:sz w:val="32"/>
        </w:rPr>
        <w:t xml:space="preserve"> </w:t>
      </w:r>
      <w:r w:rsidR="007220E4" w:rsidRPr="007220E4">
        <w:rPr>
          <w:sz w:val="32"/>
        </w:rPr>
        <w:t>IoT and blockchain</w:t>
      </w:r>
      <w:r>
        <w:rPr>
          <w:sz w:val="32"/>
        </w:rPr>
        <w:t>.</w:t>
      </w:r>
    </w:p>
    <w:p w14:paraId="5499C573" w14:textId="77777777" w:rsidR="00F72403" w:rsidRDefault="00F72403">
      <w:pPr>
        <w:pStyle w:val="BodyText"/>
        <w:rPr>
          <w:sz w:val="34"/>
        </w:rPr>
      </w:pPr>
    </w:p>
    <w:p w14:paraId="5499C574" w14:textId="77777777" w:rsidR="00F72403" w:rsidRPr="0080735C" w:rsidRDefault="00F72403">
      <w:pPr>
        <w:pStyle w:val="BodyText"/>
        <w:rPr>
          <w:color w:val="FF0000"/>
          <w:sz w:val="34"/>
        </w:rPr>
      </w:pPr>
    </w:p>
    <w:p w14:paraId="5499C575" w14:textId="77777777" w:rsidR="00F72403" w:rsidRPr="0080735C" w:rsidRDefault="00F72403">
      <w:pPr>
        <w:pStyle w:val="BodyText"/>
        <w:rPr>
          <w:color w:val="FF0000"/>
          <w:sz w:val="34"/>
        </w:rPr>
      </w:pPr>
    </w:p>
    <w:p w14:paraId="42314859" w14:textId="77777777" w:rsidR="00B57E2B" w:rsidRDefault="00A57DFE">
      <w:pPr>
        <w:spacing w:before="251"/>
        <w:ind w:left="1060"/>
        <w:rPr>
          <w:b/>
          <w:color w:val="FF0000"/>
          <w:spacing w:val="-6"/>
          <w:sz w:val="28"/>
          <w:highlight w:val="yellow"/>
        </w:rPr>
      </w:pPr>
      <w:r w:rsidRPr="00524E18">
        <w:rPr>
          <w:b/>
          <w:color w:val="FF0000"/>
          <w:sz w:val="28"/>
          <w:highlight w:val="yellow"/>
        </w:rPr>
        <w:t>Assignment</w:t>
      </w:r>
      <w:r w:rsidRPr="00524E18">
        <w:rPr>
          <w:b/>
          <w:color w:val="FF0000"/>
          <w:spacing w:val="-3"/>
          <w:sz w:val="28"/>
          <w:highlight w:val="yellow"/>
        </w:rPr>
        <w:t xml:space="preserve"> </w:t>
      </w:r>
      <w:r w:rsidRPr="00524E18">
        <w:rPr>
          <w:b/>
          <w:color w:val="FF0000"/>
          <w:sz w:val="28"/>
          <w:highlight w:val="yellow"/>
        </w:rPr>
        <w:t>Report</w:t>
      </w:r>
      <w:r w:rsidRPr="00524E18">
        <w:rPr>
          <w:b/>
          <w:color w:val="FF0000"/>
          <w:sz w:val="28"/>
          <w:highlight w:val="yellow"/>
        </w:rPr>
        <w:t>:</w:t>
      </w:r>
      <w:r w:rsidR="009A4543">
        <w:rPr>
          <w:b/>
          <w:color w:val="FF0000"/>
          <w:spacing w:val="-6"/>
          <w:sz w:val="28"/>
          <w:highlight w:val="yellow"/>
        </w:rPr>
        <w:t xml:space="preserve"> </w:t>
      </w:r>
    </w:p>
    <w:p w14:paraId="5499C576" w14:textId="2B37F5CF" w:rsidR="00F72403" w:rsidRDefault="009A4543" w:rsidP="00A57DFE">
      <w:pPr>
        <w:spacing w:before="251"/>
        <w:ind w:left="1060"/>
        <w:rPr>
          <w:rFonts w:ascii="Segoe UI Emoji" w:hAnsi="Segoe UI Emoji" w:cs="Segoe UI Emoji"/>
          <w:b/>
          <w:color w:val="FF0000"/>
          <w:spacing w:val="-6"/>
          <w:sz w:val="28"/>
          <w:highlight w:val="yellow"/>
        </w:rPr>
      </w:pPr>
      <w:r>
        <w:rPr>
          <w:rFonts w:ascii="Segoe UI Emoji" w:hAnsi="Segoe UI Emoji" w:cs="Segoe UI Emoji"/>
          <w:b/>
          <w:color w:val="FF0000"/>
          <w:spacing w:val="-6"/>
          <w:sz w:val="28"/>
          <w:highlight w:val="yellow"/>
        </w:rPr>
        <w:t xml:space="preserve">🆔 </w:t>
      </w:r>
      <w:r w:rsidR="00B57E2B">
        <w:rPr>
          <w:rFonts w:ascii="Segoe UI Emoji" w:hAnsi="Segoe UI Emoji" w:cs="Segoe UI Emoji"/>
          <w:b/>
          <w:color w:val="FF0000"/>
          <w:spacing w:val="-6"/>
          <w:sz w:val="28"/>
          <w:highlight w:val="yellow"/>
        </w:rPr>
        <w:t xml:space="preserve">of </w:t>
      </w:r>
      <w:proofErr w:type="gramStart"/>
      <w:r w:rsidR="00B57E2B">
        <w:rPr>
          <w:rFonts w:ascii="Segoe UI Emoji" w:hAnsi="Segoe UI Emoji" w:cs="Segoe UI Emoji"/>
          <w:b/>
          <w:color w:val="FF0000"/>
          <w:spacing w:val="-6"/>
          <w:sz w:val="28"/>
          <w:highlight w:val="yellow"/>
        </w:rPr>
        <w:t>student :</w:t>
      </w:r>
      <w:proofErr w:type="gramEnd"/>
      <w:r w:rsidR="00A57DFE" w:rsidRPr="00A57DFE">
        <w:rPr>
          <w:rFonts w:ascii="Montserrat" w:hAnsi="Montserrat"/>
          <w:b/>
          <w:bCs/>
          <w:color w:val="003366"/>
          <w:sz w:val="15"/>
          <w:szCs w:val="15"/>
          <w:shd w:val="clear" w:color="auto" w:fill="FFFFFF"/>
        </w:rPr>
        <w:t xml:space="preserve"> </w:t>
      </w:r>
      <w:r w:rsidR="00A57DFE" w:rsidRPr="00A57DFE">
        <w:rPr>
          <w:rFonts w:ascii="Segoe UI Emoji" w:hAnsi="Segoe UI Emoji" w:cs="Segoe UI Emoji"/>
          <w:b/>
          <w:bCs/>
          <w:color w:val="FF0000"/>
          <w:spacing w:val="-6"/>
          <w:sz w:val="28"/>
          <w:highlight w:val="yellow"/>
        </w:rPr>
        <w:t>243001452</w:t>
      </w:r>
    </w:p>
    <w:p w14:paraId="571976C2" w14:textId="236BAF3B" w:rsidR="00B57E2B" w:rsidRPr="00524E18" w:rsidRDefault="00B57E2B">
      <w:pPr>
        <w:spacing w:before="251"/>
        <w:ind w:left="1060"/>
        <w:rPr>
          <w:color w:val="FF0000"/>
          <w:sz w:val="28"/>
          <w:highlight w:val="yellow"/>
        </w:rPr>
      </w:pPr>
      <w:proofErr w:type="gramStart"/>
      <w:r>
        <w:rPr>
          <w:rFonts w:ascii="Segoe UI Emoji" w:hAnsi="Segoe UI Emoji" w:cs="Segoe UI Emoji"/>
          <w:b/>
          <w:color w:val="FF0000"/>
          <w:spacing w:val="-6"/>
          <w:sz w:val="28"/>
          <w:highlight w:val="yellow"/>
        </w:rPr>
        <w:t>Name  of</w:t>
      </w:r>
      <w:proofErr w:type="gramEnd"/>
      <w:r>
        <w:rPr>
          <w:rFonts w:ascii="Segoe UI Emoji" w:hAnsi="Segoe UI Emoji" w:cs="Segoe UI Emoji"/>
          <w:b/>
          <w:color w:val="FF0000"/>
          <w:spacing w:val="-6"/>
          <w:sz w:val="28"/>
          <w:highlight w:val="yellow"/>
        </w:rPr>
        <w:t xml:space="preserve"> student :</w:t>
      </w:r>
      <w:r w:rsidR="00DB6CBD">
        <w:rPr>
          <w:rFonts w:ascii="Segoe UI Emoji" w:hAnsi="Segoe UI Emoji" w:cs="Segoe UI Emoji"/>
          <w:b/>
          <w:color w:val="FF0000"/>
          <w:spacing w:val="-6"/>
          <w:sz w:val="28"/>
          <w:highlight w:val="yellow"/>
        </w:rPr>
        <w:t xml:space="preserve"> Rami Yousef</w:t>
      </w:r>
    </w:p>
    <w:p w14:paraId="607FBCCB" w14:textId="77777777" w:rsidR="00F72403" w:rsidRDefault="00F72403">
      <w:pPr>
        <w:rPr>
          <w:sz w:val="28"/>
        </w:rPr>
      </w:pPr>
    </w:p>
    <w:p w14:paraId="5499C57A" w14:textId="7015A499" w:rsidR="00A461B9" w:rsidRDefault="00A461B9">
      <w:pPr>
        <w:rPr>
          <w:sz w:val="28"/>
        </w:rPr>
        <w:sectPr w:rsidR="00A461B9">
          <w:type w:val="continuous"/>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r>
        <w:rPr>
          <w:sz w:val="28"/>
        </w:rPr>
        <w:t xml:space="preserve">        </w:t>
      </w:r>
      <w:r w:rsidR="009A4543">
        <w:rPr>
          <w:sz w:val="28"/>
        </w:rPr>
        <w:t xml:space="preserve">                 </w:t>
      </w:r>
    </w:p>
    <w:p w14:paraId="5499C57B" w14:textId="77777777" w:rsidR="00F72403" w:rsidRDefault="00F72403">
      <w:pPr>
        <w:pStyle w:val="BodyText"/>
        <w:spacing w:before="4"/>
        <w:rPr>
          <w:sz w:val="18"/>
        </w:rPr>
      </w:pPr>
    </w:p>
    <w:p w14:paraId="5499C57C" w14:textId="77777777" w:rsidR="00F72403" w:rsidRDefault="00A57DFE">
      <w:pPr>
        <w:pStyle w:val="Heading1"/>
      </w:pPr>
      <w:r>
        <w:t>Table</w:t>
      </w:r>
      <w:r>
        <w:rPr>
          <w:spacing w:val="-1"/>
        </w:rPr>
        <w:t xml:space="preserve"> </w:t>
      </w:r>
      <w:r>
        <w:t>of</w:t>
      </w:r>
      <w:r>
        <w:rPr>
          <w:spacing w:val="-1"/>
        </w:rPr>
        <w:t xml:space="preserve"> </w:t>
      </w:r>
      <w:r>
        <w:t>contents:</w:t>
      </w:r>
    </w:p>
    <w:p w14:paraId="5499C57D" w14:textId="77777777" w:rsidR="00F72403" w:rsidRDefault="00F72403">
      <w:pPr>
        <w:pStyle w:val="BodyText"/>
        <w:rPr>
          <w:b/>
          <w:sz w:val="30"/>
        </w:rPr>
      </w:pPr>
    </w:p>
    <w:p w14:paraId="5499C57E" w14:textId="77777777" w:rsidR="00F72403" w:rsidRDefault="00F72403">
      <w:pPr>
        <w:pStyle w:val="BodyText"/>
        <w:spacing w:before="3"/>
        <w:rPr>
          <w:b/>
          <w:sz w:val="30"/>
        </w:rPr>
      </w:pPr>
    </w:p>
    <w:p w14:paraId="5499C57F" w14:textId="77777777" w:rsidR="00F72403" w:rsidRDefault="00A57DFE">
      <w:pPr>
        <w:pStyle w:val="ListParagraph"/>
        <w:numPr>
          <w:ilvl w:val="0"/>
          <w:numId w:val="3"/>
        </w:numPr>
        <w:tabs>
          <w:tab w:val="left" w:pos="1780"/>
          <w:tab w:val="left" w:pos="1781"/>
        </w:tabs>
        <w:ind w:hanging="361"/>
        <w:rPr>
          <w:sz w:val="28"/>
        </w:rPr>
      </w:pPr>
      <w:r>
        <w:rPr>
          <w:sz w:val="28"/>
        </w:rPr>
        <w:t>Summary</w:t>
      </w:r>
      <w:r>
        <w:rPr>
          <w:spacing w:val="-3"/>
          <w:sz w:val="28"/>
        </w:rPr>
        <w:t xml:space="preserve"> </w:t>
      </w:r>
      <w:r>
        <w:rPr>
          <w:sz w:val="28"/>
        </w:rPr>
        <w:t>research</w:t>
      </w:r>
      <w:r>
        <w:rPr>
          <w:spacing w:val="-2"/>
          <w:sz w:val="28"/>
        </w:rPr>
        <w:t xml:space="preserve"> </w:t>
      </w:r>
      <w:r>
        <w:rPr>
          <w:sz w:val="28"/>
        </w:rPr>
        <w:t>paper's</w:t>
      </w:r>
    </w:p>
    <w:p w14:paraId="5499C580" w14:textId="77777777" w:rsidR="00F72403" w:rsidRDefault="00A57DFE">
      <w:pPr>
        <w:pStyle w:val="ListParagraph"/>
        <w:numPr>
          <w:ilvl w:val="0"/>
          <w:numId w:val="3"/>
        </w:numPr>
        <w:tabs>
          <w:tab w:val="left" w:pos="1780"/>
          <w:tab w:val="left" w:pos="1781"/>
        </w:tabs>
        <w:spacing w:before="26" w:line="342" w:lineRule="exact"/>
        <w:ind w:hanging="361"/>
        <w:rPr>
          <w:sz w:val="28"/>
        </w:rPr>
      </w:pPr>
      <w:r>
        <w:rPr>
          <w:sz w:val="28"/>
        </w:rPr>
        <w:t>Critical</w:t>
      </w:r>
      <w:r>
        <w:rPr>
          <w:spacing w:val="-4"/>
          <w:sz w:val="28"/>
        </w:rPr>
        <w:t xml:space="preserve"> </w:t>
      </w:r>
      <w:r>
        <w:rPr>
          <w:sz w:val="28"/>
        </w:rPr>
        <w:t>Analysis:</w:t>
      </w:r>
    </w:p>
    <w:p w14:paraId="5499C581" w14:textId="77777777" w:rsidR="00F72403" w:rsidRDefault="00A57DFE">
      <w:pPr>
        <w:pStyle w:val="ListParagraph"/>
        <w:numPr>
          <w:ilvl w:val="0"/>
          <w:numId w:val="3"/>
        </w:numPr>
        <w:tabs>
          <w:tab w:val="left" w:pos="1780"/>
          <w:tab w:val="left" w:pos="1781"/>
        </w:tabs>
        <w:spacing w:line="342" w:lineRule="exact"/>
        <w:ind w:hanging="361"/>
        <w:rPr>
          <w:sz w:val="28"/>
        </w:rPr>
      </w:pPr>
      <w:r>
        <w:rPr>
          <w:sz w:val="28"/>
        </w:rPr>
        <w:t>Connections</w:t>
      </w:r>
    </w:p>
    <w:p w14:paraId="5499C582" w14:textId="77777777" w:rsidR="00F72403" w:rsidRDefault="00A57DFE">
      <w:pPr>
        <w:pStyle w:val="ListParagraph"/>
        <w:numPr>
          <w:ilvl w:val="0"/>
          <w:numId w:val="3"/>
        </w:numPr>
        <w:tabs>
          <w:tab w:val="left" w:pos="1780"/>
          <w:tab w:val="left" w:pos="1781"/>
        </w:tabs>
        <w:spacing w:before="25"/>
        <w:ind w:hanging="361"/>
        <w:rPr>
          <w:sz w:val="28"/>
        </w:rPr>
      </w:pPr>
      <w:r>
        <w:rPr>
          <w:sz w:val="28"/>
        </w:rPr>
        <w:t>Conflicts</w:t>
      </w:r>
      <w:r>
        <w:rPr>
          <w:spacing w:val="-5"/>
          <w:sz w:val="28"/>
        </w:rPr>
        <w:t xml:space="preserve"> </w:t>
      </w:r>
      <w:r>
        <w:rPr>
          <w:sz w:val="28"/>
        </w:rPr>
        <w:t>between</w:t>
      </w:r>
      <w:r>
        <w:rPr>
          <w:spacing w:val="-4"/>
          <w:sz w:val="28"/>
        </w:rPr>
        <w:t xml:space="preserve"> </w:t>
      </w:r>
      <w:r>
        <w:rPr>
          <w:sz w:val="28"/>
        </w:rPr>
        <w:t>the</w:t>
      </w:r>
      <w:r>
        <w:rPr>
          <w:spacing w:val="-5"/>
          <w:sz w:val="28"/>
        </w:rPr>
        <w:t xml:space="preserve"> </w:t>
      </w:r>
      <w:r>
        <w:rPr>
          <w:sz w:val="28"/>
        </w:rPr>
        <w:t>findings</w:t>
      </w:r>
    </w:p>
    <w:p w14:paraId="5499C583" w14:textId="77777777" w:rsidR="00F72403" w:rsidRDefault="00A57DFE">
      <w:pPr>
        <w:pStyle w:val="ListParagraph"/>
        <w:numPr>
          <w:ilvl w:val="0"/>
          <w:numId w:val="3"/>
        </w:numPr>
        <w:tabs>
          <w:tab w:val="left" w:pos="1780"/>
          <w:tab w:val="left" w:pos="1781"/>
        </w:tabs>
        <w:spacing w:before="24"/>
        <w:ind w:hanging="361"/>
        <w:rPr>
          <w:sz w:val="28"/>
        </w:rPr>
      </w:pPr>
      <w:r>
        <w:rPr>
          <w:sz w:val="28"/>
        </w:rPr>
        <w:t>Synthesis</w:t>
      </w:r>
      <w:r>
        <w:rPr>
          <w:spacing w:val="-3"/>
          <w:sz w:val="28"/>
        </w:rPr>
        <w:t xml:space="preserve"> </w:t>
      </w:r>
      <w:r>
        <w:rPr>
          <w:sz w:val="28"/>
        </w:rPr>
        <w:t>Matrix</w:t>
      </w:r>
      <w:r>
        <w:rPr>
          <w:spacing w:val="-2"/>
          <w:sz w:val="28"/>
        </w:rPr>
        <w:t xml:space="preserve"> </w:t>
      </w:r>
      <w:r>
        <w:rPr>
          <w:sz w:val="28"/>
        </w:rPr>
        <w:t>for</w:t>
      </w:r>
      <w:r>
        <w:rPr>
          <w:spacing w:val="-6"/>
          <w:sz w:val="28"/>
        </w:rPr>
        <w:t xml:space="preserve"> </w:t>
      </w:r>
      <w:r>
        <w:rPr>
          <w:sz w:val="28"/>
        </w:rPr>
        <w:t>Literature</w:t>
      </w:r>
      <w:r>
        <w:rPr>
          <w:spacing w:val="-3"/>
          <w:sz w:val="28"/>
        </w:rPr>
        <w:t xml:space="preserve"> </w:t>
      </w:r>
      <w:r>
        <w:rPr>
          <w:sz w:val="28"/>
        </w:rPr>
        <w:t>Review:</w:t>
      </w:r>
    </w:p>
    <w:p w14:paraId="5499C584" w14:textId="77777777" w:rsidR="00F72403" w:rsidRDefault="00A57DFE">
      <w:pPr>
        <w:pStyle w:val="ListParagraph"/>
        <w:numPr>
          <w:ilvl w:val="0"/>
          <w:numId w:val="3"/>
        </w:numPr>
        <w:tabs>
          <w:tab w:val="left" w:pos="1780"/>
          <w:tab w:val="left" w:pos="1781"/>
        </w:tabs>
        <w:spacing w:before="27"/>
        <w:ind w:hanging="361"/>
        <w:rPr>
          <w:sz w:val="28"/>
        </w:rPr>
      </w:pPr>
      <w:r>
        <w:rPr>
          <w:sz w:val="28"/>
        </w:rPr>
        <w:t>References</w:t>
      </w:r>
    </w:p>
    <w:p w14:paraId="5499C585" w14:textId="77777777" w:rsidR="00F72403" w:rsidRDefault="00F72403">
      <w:pPr>
        <w:rPr>
          <w:sz w:val="28"/>
        </w:rPr>
        <w:sectPr w:rsidR="00F72403">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p>
    <w:p w14:paraId="5499C586" w14:textId="77777777" w:rsidR="00F72403" w:rsidRDefault="00F72403">
      <w:pPr>
        <w:pStyle w:val="BodyText"/>
        <w:spacing w:before="4"/>
        <w:rPr>
          <w:sz w:val="18"/>
        </w:rPr>
      </w:pPr>
    </w:p>
    <w:p w14:paraId="5499C587" w14:textId="77777777" w:rsidR="00F72403" w:rsidRDefault="00A57DFE">
      <w:pPr>
        <w:pStyle w:val="Heading1"/>
      </w:pPr>
      <w:r>
        <w:t>Summary</w:t>
      </w:r>
      <w:r>
        <w:rPr>
          <w:spacing w:val="-4"/>
        </w:rPr>
        <w:t xml:space="preserve"> </w:t>
      </w:r>
      <w:r>
        <w:t>research</w:t>
      </w:r>
      <w:r>
        <w:rPr>
          <w:spacing w:val="-2"/>
        </w:rPr>
        <w:t xml:space="preserve"> </w:t>
      </w:r>
      <w:r>
        <w:t>paper's:</w:t>
      </w:r>
    </w:p>
    <w:p w14:paraId="5499C588" w14:textId="7BBCCB39" w:rsidR="00F72403" w:rsidRDefault="00A57DFE" w:rsidP="00803BBD">
      <w:pPr>
        <w:pStyle w:val="BodyText"/>
        <w:spacing w:before="185"/>
        <w:ind w:left="1060"/>
      </w:pPr>
      <w:r>
        <w:rPr>
          <w:b/>
        </w:rPr>
        <w:t>Paper1</w:t>
      </w:r>
      <w:r>
        <w:t>:</w:t>
      </w:r>
      <w:r>
        <w:rPr>
          <w:spacing w:val="-5"/>
        </w:rPr>
        <w:t xml:space="preserve"> </w:t>
      </w:r>
      <w:r w:rsidR="00803BBD" w:rsidRPr="00803BBD">
        <w:t>Smith et al. (2020) - Enhancing IoT Security with Blockchain</w:t>
      </w:r>
      <w:r w:rsidR="00803BBD">
        <w:t>.</w:t>
      </w:r>
    </w:p>
    <w:p w14:paraId="5499C589" w14:textId="77777777" w:rsidR="00F72403" w:rsidRDefault="00F72403">
      <w:pPr>
        <w:pStyle w:val="BodyText"/>
        <w:rPr>
          <w:sz w:val="30"/>
        </w:rPr>
      </w:pPr>
    </w:p>
    <w:p w14:paraId="5499C58A" w14:textId="77777777" w:rsidR="00F72403" w:rsidRDefault="00F72403">
      <w:pPr>
        <w:pStyle w:val="BodyText"/>
        <w:spacing w:before="3"/>
        <w:rPr>
          <w:sz w:val="30"/>
        </w:rPr>
      </w:pPr>
    </w:p>
    <w:p w14:paraId="5499C58B" w14:textId="4AD8DDCD" w:rsidR="00F72403" w:rsidRDefault="00A57DFE" w:rsidP="000409F6">
      <w:pPr>
        <w:pStyle w:val="BodyText"/>
        <w:spacing w:line="259" w:lineRule="auto"/>
        <w:ind w:left="1060" w:right="1126"/>
      </w:pPr>
      <w:r>
        <w:t xml:space="preserve">This paper </w:t>
      </w:r>
      <w:r w:rsidR="000409F6" w:rsidRPr="000409F6">
        <w:t>Smith et al. (2020) focus on addressing the security vulnerabilities inherent in IoT networks by leveraging blockchain technology. Through a series of case studies, primarily within smart home ecosystems, the researchers demonstrate how blockchain’s decentralized architecture can improve IoT security by distributing data storage across multiple nodes. The study highlights how blockchain reduces risks associated with data tampering, unauthorized access, and central points of failure. Smart contracts, automated through blockchain, further enhance security by ensuring that only verified devices can interact within the network. However, the study also notes limitations in the scalability of blockchain for extensive IoT networks, as the computational demands of blockchain can strain smaller devices and reduce system responsiveness. While the research provides a promising solution for enhancing IoT security at smaller scales, it underscores the need for additional research into lightweight, scalable blockchain solutions that could support broader IoT applications without compromising performance.</w:t>
      </w:r>
    </w:p>
    <w:p w14:paraId="5499C58C" w14:textId="77777777" w:rsidR="00F72403" w:rsidRDefault="00F72403">
      <w:pPr>
        <w:pStyle w:val="BodyText"/>
        <w:spacing w:before="9"/>
        <w:rPr>
          <w:sz w:val="41"/>
        </w:rPr>
      </w:pPr>
    </w:p>
    <w:p w14:paraId="3B4AA3DE" w14:textId="77777777" w:rsidR="00E05EDB" w:rsidRDefault="00A57DFE" w:rsidP="00E05EDB">
      <w:pPr>
        <w:pStyle w:val="BodyText"/>
        <w:spacing w:before="1"/>
        <w:ind w:left="1060"/>
      </w:pPr>
      <w:r>
        <w:rPr>
          <w:b/>
        </w:rPr>
        <w:t>Paper2</w:t>
      </w:r>
      <w:r>
        <w:t>:</w:t>
      </w:r>
      <w:r>
        <w:rPr>
          <w:spacing w:val="-5"/>
        </w:rPr>
        <w:t xml:space="preserve"> </w:t>
      </w:r>
      <w:r w:rsidR="00E05EDB" w:rsidRPr="00E05EDB">
        <w:t>Chen &amp; Li (2021) - Blockchain for Data Privacy in Healthcare IoT</w:t>
      </w:r>
    </w:p>
    <w:p w14:paraId="191184E7" w14:textId="77777777" w:rsidR="00E05EDB" w:rsidRDefault="00E05EDB" w:rsidP="00E05EDB">
      <w:pPr>
        <w:pStyle w:val="BodyText"/>
        <w:spacing w:before="1"/>
        <w:ind w:left="1060"/>
      </w:pPr>
    </w:p>
    <w:p w14:paraId="5499C591" w14:textId="414D53FB" w:rsidR="00F72403" w:rsidRPr="00072535" w:rsidRDefault="00072535" w:rsidP="003308AE">
      <w:pPr>
        <w:pStyle w:val="BodyText"/>
        <w:spacing w:before="1"/>
        <w:ind w:left="1060" w:right="1074"/>
        <w:sectPr w:rsidR="00F72403" w:rsidRPr="00072535">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r w:rsidRPr="00072535">
        <w:t>Chen and Li (2021) explore the role of blockchain in securing patient data within IoT-based healthcare systems, a domain where data privacy and integrity are paramount. The authors conducted surveys and technical implementations in hospital settings to analyze blockchain’s impact on patient data security and privacy. Findings reveal that blockchain's immutable ledger is highly effective in tracking patient data, reducing vulnerability to breaches by securely encrypting data exchanges between medical IoT devices. This decentralized model mitigates the risk of data breaches common in centralized databases, making it suitable for the healthcare industry, where data sensitivity is high. However, the study acknowledges challenges, including the high costs and energy demands associated with blockchain, which may limit its scalability and accessibility. Chen and Li recommend further research into alternative blockchain models that could reduce costs while maintaining security, making blockchain a viable option for widespread adoption in healthcare.</w:t>
      </w:r>
    </w:p>
    <w:p w14:paraId="5499C592" w14:textId="77777777" w:rsidR="00F72403" w:rsidRDefault="00F72403">
      <w:pPr>
        <w:pStyle w:val="BodyText"/>
        <w:spacing w:before="4"/>
        <w:rPr>
          <w:rFonts w:ascii="Calibri"/>
          <w:sz w:val="17"/>
        </w:rPr>
      </w:pPr>
    </w:p>
    <w:p w14:paraId="5499C593" w14:textId="04F77898" w:rsidR="00F72403" w:rsidRDefault="00A57DFE" w:rsidP="00CE223D">
      <w:pPr>
        <w:pStyle w:val="BodyText"/>
        <w:spacing w:before="89"/>
        <w:ind w:left="1060"/>
      </w:pPr>
      <w:r>
        <w:rPr>
          <w:b/>
        </w:rPr>
        <w:t>Paper3</w:t>
      </w:r>
      <w:r>
        <w:t>:</w:t>
      </w:r>
      <w:r>
        <w:rPr>
          <w:spacing w:val="-5"/>
        </w:rPr>
        <w:t xml:space="preserve"> </w:t>
      </w:r>
      <w:r w:rsidR="00CE223D" w:rsidRPr="00CE223D">
        <w:t>Jones &amp; Kim (2022) - Blockchain and IoT in Supply Chain Management</w:t>
      </w:r>
      <w:r w:rsidR="00CE223D">
        <w:t>.</w:t>
      </w:r>
    </w:p>
    <w:p w14:paraId="5499C594" w14:textId="4C5F1D7E" w:rsidR="00F72403" w:rsidRDefault="00A57DFE">
      <w:pPr>
        <w:pStyle w:val="BodyText"/>
        <w:spacing w:before="184" w:line="259" w:lineRule="auto"/>
        <w:ind w:left="1060" w:right="1096"/>
      </w:pPr>
      <w:r>
        <w:t xml:space="preserve">The goal of this </w:t>
      </w:r>
      <w:r w:rsidR="00F54036">
        <w:t>research</w:t>
      </w:r>
      <w:r>
        <w:t xml:space="preserve"> the </w:t>
      </w:r>
      <w:r w:rsidR="00F54036" w:rsidRPr="00F54036">
        <w:t>Jones and Kim (2022) investigate how blockchain can enhance transparency and traceability in IoT-based supply chain systems. Using empirical analysis, they evaluate the efficacy of blockchain-enabled IoT in tracking goods from origin to destination, thus reducing counterfeit risks and improving accountability. Their findings indicate that blockchain-integrated IoT sensors provide real-time visibility into product conditions and movements, beneficial for industries like pharmaceuticals and food, where product quality is crucial. The study also discusses the advantages of blockchain’s immutable ledger in storing and sharing data across supply chain partners, fostering trust and transparency. However, the authors point out technical challenges in scaling blockchain for large supply chains, as current blockchain protocols can introduce latency issues. They suggest exploring alternative consensus mechanisms, such as Proof of Stake, which could provide a more efficient and scalable blockchain infrastructure to support complex supply chain networks.</w:t>
      </w:r>
    </w:p>
    <w:p w14:paraId="5499C595" w14:textId="77777777" w:rsidR="00F72403" w:rsidRDefault="00F72403">
      <w:pPr>
        <w:pStyle w:val="BodyText"/>
        <w:rPr>
          <w:sz w:val="30"/>
        </w:rPr>
      </w:pPr>
    </w:p>
    <w:p w14:paraId="5499C596" w14:textId="77777777" w:rsidR="00F72403" w:rsidRDefault="00F72403">
      <w:pPr>
        <w:pStyle w:val="BodyText"/>
        <w:spacing w:before="10"/>
        <w:rPr>
          <w:sz w:val="27"/>
        </w:rPr>
      </w:pPr>
    </w:p>
    <w:p w14:paraId="5499C597" w14:textId="2A3730CA" w:rsidR="00F72403" w:rsidRDefault="00A57DFE" w:rsidP="00F54036">
      <w:pPr>
        <w:pStyle w:val="BodyText"/>
        <w:spacing w:line="259" w:lineRule="auto"/>
        <w:ind w:left="1060" w:right="1074"/>
      </w:pPr>
      <w:r>
        <w:rPr>
          <w:b/>
        </w:rPr>
        <w:t>Paper4</w:t>
      </w:r>
      <w:r>
        <w:t>:</w:t>
      </w:r>
      <w:r>
        <w:rPr>
          <w:spacing w:val="1"/>
        </w:rPr>
        <w:t xml:space="preserve"> </w:t>
      </w:r>
      <w:r w:rsidR="00F54036" w:rsidRPr="00F54036">
        <w:t>Alvarez et al. (2021) - Addressing Scalability in IoT-Blockchain Systems</w:t>
      </w:r>
      <w:r w:rsidR="00F54036">
        <w:t>.</w:t>
      </w:r>
    </w:p>
    <w:p w14:paraId="5499C599" w14:textId="5386EBD2" w:rsidR="00F72403" w:rsidRDefault="00A57DFE" w:rsidP="00013E85">
      <w:pPr>
        <w:pStyle w:val="BodyText"/>
        <w:spacing w:before="162" w:line="259" w:lineRule="auto"/>
        <w:ind w:left="1060" w:right="1080"/>
        <w:sectPr w:rsidR="00F72403">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r>
        <w:t xml:space="preserve">This study </w:t>
      </w:r>
      <w:r w:rsidR="00013E85" w:rsidRPr="00013E85">
        <w:t>Alvarez et al. (2021) focus on the scalability limitations of blockchain in IoT environments, a crucial issue when applying blockchain in large networks with high data flow. Through simulation studies, they reveal that traditional blockchain architectures, particularly those based on Proof of Work, struggle to process the high volume of data typical in IoT applications. The study finds that high latency and processing overhead can undermine the responsiveness needed for real-time IoT applications. Alvarez et al. propose that alternative blockchain structures, such as Directed Acyclic Graphs (DAGs), might offer a solution by allowing faster transaction processing without compromising decentralization. While the study demonstrates the scalability constraints of standard blockchain models, it stops short of testing alternative solutions in real-world IoT contexts. The authors emphasize the need for ongoing research to develop blockchain protocols that support IoT’s demands for high throughput, low latency, and efficient resource utilization.</w:t>
      </w:r>
    </w:p>
    <w:p w14:paraId="5499C59A" w14:textId="77777777" w:rsidR="00F72403" w:rsidRDefault="00F72403">
      <w:pPr>
        <w:pStyle w:val="BodyText"/>
        <w:spacing w:before="4"/>
        <w:rPr>
          <w:sz w:val="18"/>
        </w:rPr>
      </w:pPr>
    </w:p>
    <w:p w14:paraId="5499C59C" w14:textId="621F855A" w:rsidR="00F72403" w:rsidRDefault="00A57DFE" w:rsidP="005A04AA">
      <w:pPr>
        <w:pStyle w:val="BodyText"/>
        <w:spacing w:before="89"/>
        <w:ind w:left="1060"/>
      </w:pPr>
      <w:r>
        <w:rPr>
          <w:b/>
        </w:rPr>
        <w:t>Paper5</w:t>
      </w:r>
      <w:r>
        <w:t>:</w:t>
      </w:r>
      <w:r>
        <w:rPr>
          <w:spacing w:val="63"/>
        </w:rPr>
        <w:t xml:space="preserve"> </w:t>
      </w:r>
      <w:r w:rsidR="005A04AA" w:rsidRPr="005A04AA">
        <w:t>Patel &amp; Wang (2020) - Blockchain’s Energy Impact on IoT Devices</w:t>
      </w:r>
      <w:r w:rsidR="005A04AA">
        <w:t>.</w:t>
      </w:r>
    </w:p>
    <w:p w14:paraId="6C1E4E1F" w14:textId="77777777" w:rsidR="005A04AA" w:rsidRDefault="005A04AA" w:rsidP="005A04AA">
      <w:pPr>
        <w:pStyle w:val="BodyText"/>
        <w:spacing w:before="89"/>
        <w:ind w:left="1060"/>
        <w:rPr>
          <w:sz w:val="44"/>
        </w:rPr>
      </w:pPr>
    </w:p>
    <w:p w14:paraId="5499C5A0" w14:textId="50C11F6A" w:rsidR="00F72403" w:rsidRDefault="00A57DFE" w:rsidP="005A04AA">
      <w:pPr>
        <w:pStyle w:val="BodyText"/>
        <w:spacing w:line="259" w:lineRule="auto"/>
        <w:ind w:left="1060" w:right="1209"/>
      </w:pPr>
      <w:r>
        <w:t xml:space="preserve">This study suggests </w:t>
      </w:r>
      <w:r w:rsidR="005A04AA" w:rsidRPr="005A04AA">
        <w:t>Patel and Wang (2020) analyze the energy implications of using blockchain in IoT systems, a significant consideration given the limited power capacity of many IoT devices. The study employs experimental methods to assess how various blockchain consensus mechanisms affect energy consumption in IoT. Findings indicate that traditional Proof of Work protocols place heavy computational demands on IoT devices, potentially reducing their operational lifespan and increasing maintenance costs. The researchers explore alternative consensus mechanisms, including Proof of Stake and hybrid models, which might reduce energy usage while still providing adequate security. They conclude that while blockchain can offer enhanced data security for IoT, current energy-intensive models are unsuitable for small, low-power IoT devices. Patel and Wang call for further investigation into energy-efficient blockchain technologies, suggesting that these advancements will be essential for integrating blockchain in IoT systems without compromising sustainability goals.</w:t>
      </w:r>
    </w:p>
    <w:p w14:paraId="7110B02C" w14:textId="77777777" w:rsidR="0000717C" w:rsidRDefault="0000717C" w:rsidP="005A04AA">
      <w:pPr>
        <w:pStyle w:val="BodyText"/>
        <w:spacing w:line="259" w:lineRule="auto"/>
        <w:ind w:left="1060" w:right="1209"/>
        <w:rPr>
          <w:sz w:val="27"/>
        </w:rPr>
      </w:pPr>
    </w:p>
    <w:p w14:paraId="751AEFAB" w14:textId="2DEBC79D" w:rsidR="0000717C" w:rsidRDefault="00A57DFE" w:rsidP="0000717C">
      <w:pPr>
        <w:pStyle w:val="BodyText"/>
        <w:spacing w:line="242" w:lineRule="auto"/>
        <w:ind w:left="1060" w:right="1360"/>
      </w:pPr>
      <w:r>
        <w:rPr>
          <w:b/>
        </w:rPr>
        <w:t>P</w:t>
      </w:r>
      <w:r>
        <w:rPr>
          <w:b/>
        </w:rPr>
        <w:t>aper6</w:t>
      </w:r>
      <w:r>
        <w:t xml:space="preserve">: </w:t>
      </w:r>
      <w:r w:rsidR="0000717C" w:rsidRPr="0000717C">
        <w:t>Kumar &amp; Chen (2023) - Blockchain and IoT in Smart City Applications</w:t>
      </w:r>
      <w:r w:rsidR="0000717C">
        <w:t>.</w:t>
      </w:r>
    </w:p>
    <w:p w14:paraId="5499C5A2" w14:textId="77777777" w:rsidR="00F72403" w:rsidRDefault="00F72403">
      <w:pPr>
        <w:pStyle w:val="BodyText"/>
        <w:spacing w:before="6"/>
        <w:rPr>
          <w:sz w:val="27"/>
        </w:rPr>
      </w:pPr>
    </w:p>
    <w:p w14:paraId="5499C5A4" w14:textId="7A4152EB" w:rsidR="00F72403" w:rsidRDefault="00A57DFE" w:rsidP="00AD728B">
      <w:pPr>
        <w:pStyle w:val="BodyText"/>
        <w:ind w:left="1060" w:right="1209"/>
        <w:sectPr w:rsidR="00F72403">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r>
        <w:t xml:space="preserve">This research article </w:t>
      </w:r>
      <w:r w:rsidR="00AD728B" w:rsidRPr="00AD728B">
        <w:t>Kumar and Chen (2023) examine how blockchain can facilitate secure data sharing in IoT-based smart city applications. The study uses a mixed-methods approach to analyze the integration of blockchain with IoT systems in urban infrastructure, focusing on areas like traffic management, energy distribution, and waste management. They propose a theoretical model in which blockchain enhances transparency, data integrity, and security, essential for managing the vast amounts of data generated by smart cities. Their findings suggest that blockchain’s immutability allows municipalities to securely track and share data across departments and with citizens, fostering transparency and trust. However, they highlight challenges in implementing blockchain on a city-wide scale, particularly in terms of costs, integration with legacy systems, and scalability. Kumar and Chen recommend pilot programs to test blockchain-enabled IoT systems in real-world settings to understand the practical implications of this technology in urban management and infrastructure development.</w:t>
      </w:r>
    </w:p>
    <w:p w14:paraId="5499C5A5" w14:textId="77777777" w:rsidR="00F72403" w:rsidRDefault="00F72403">
      <w:pPr>
        <w:pStyle w:val="BodyText"/>
        <w:spacing w:before="4"/>
        <w:rPr>
          <w:sz w:val="18"/>
        </w:rPr>
      </w:pPr>
    </w:p>
    <w:p w14:paraId="5499C5A6" w14:textId="77777777" w:rsidR="00F72403" w:rsidRDefault="00A57DFE">
      <w:pPr>
        <w:pStyle w:val="Heading1"/>
      </w:pPr>
      <w:r>
        <w:t>Critical</w:t>
      </w:r>
      <w:r>
        <w:rPr>
          <w:spacing w:val="-3"/>
        </w:rPr>
        <w:t xml:space="preserve"> </w:t>
      </w:r>
      <w:r>
        <w:t>Analysis:</w:t>
      </w:r>
    </w:p>
    <w:p w14:paraId="5499C5A7" w14:textId="77777777" w:rsidR="00F72403" w:rsidRDefault="00F72403">
      <w:pPr>
        <w:pStyle w:val="BodyText"/>
        <w:spacing w:before="3"/>
        <w:rPr>
          <w:b/>
          <w:sz w:val="44"/>
        </w:rPr>
      </w:pPr>
    </w:p>
    <w:p w14:paraId="19CF1FA6" w14:textId="4F6E34E9" w:rsidR="004B17CC" w:rsidRDefault="004B17CC" w:rsidP="004B17CC">
      <w:pPr>
        <w:pStyle w:val="BodyText"/>
        <w:spacing w:line="259" w:lineRule="auto"/>
        <w:ind w:left="1060" w:right="1074"/>
      </w:pPr>
      <w:r>
        <w:t>The critical analysis of recent research on IoT and blockchain integration highlights promising potential alongside notable challenges. Each study underscores blockchain’s advantages in enhancing IoT security, transparency, and data privacy. For instance, Smith et al. (2020) and Chen &amp; Li (2021) demonstrate blockchain’s efficacy in securing IoT networks and healthcare data, respectively, through case-based and real-world hospital implementations. However, both studies are limited by scalability concerns, with Smith et al. focusing on small-scale applications and Chen &amp; Li highlighting high operational costs in healthcare contexts.</w:t>
      </w:r>
    </w:p>
    <w:p w14:paraId="39FDDA4E" w14:textId="77777777" w:rsidR="004B17CC" w:rsidRDefault="004B17CC" w:rsidP="004B17CC">
      <w:pPr>
        <w:pStyle w:val="BodyText"/>
        <w:spacing w:line="259" w:lineRule="auto"/>
        <w:ind w:left="1060" w:right="1074"/>
      </w:pPr>
    </w:p>
    <w:p w14:paraId="5AACA240" w14:textId="77777777" w:rsidR="004B17CC" w:rsidRDefault="004B17CC" w:rsidP="004B17CC">
      <w:pPr>
        <w:pStyle w:val="BodyText"/>
        <w:spacing w:line="259" w:lineRule="auto"/>
        <w:ind w:left="1060" w:right="1074"/>
      </w:pPr>
      <w:r>
        <w:t>Jones &amp; Kim (2022) and Alvarez et al. (2021) address blockchain’s utility in IoT for supply chains and scalability challenges. Jones &amp; Kim empirically validate blockchain’s role in ensuring traceability, but their study lacks efficiency analysis for larger supply chains. Alvarez et al., through simulations, reveal performance bottlenecks in IoT-blockchain systems using Proof of Work, yet they do not test alternative protocols, limiting real-world relevance.</w:t>
      </w:r>
    </w:p>
    <w:p w14:paraId="2BD948C5" w14:textId="77777777" w:rsidR="004B17CC" w:rsidRDefault="004B17CC" w:rsidP="004B17CC">
      <w:pPr>
        <w:pStyle w:val="BodyText"/>
        <w:spacing w:line="259" w:lineRule="auto"/>
        <w:ind w:left="1060" w:right="1074"/>
      </w:pPr>
    </w:p>
    <w:p w14:paraId="49C96709" w14:textId="77777777" w:rsidR="004B17CC" w:rsidRDefault="004B17CC" w:rsidP="004B17CC">
      <w:pPr>
        <w:pStyle w:val="BodyText"/>
        <w:spacing w:line="259" w:lineRule="auto"/>
        <w:ind w:left="1060" w:right="1074"/>
      </w:pPr>
      <w:r>
        <w:t>Patel &amp; Wang (2020) uniquely examine blockchain’s energy impact on IoT devices, emphasizing sustainability issues with Proof of Work consensus. Their study’s focus on energy demands is relevant but limited by not fully exploring energy-efficient alternatives like Proof of Stake. Kumar &amp; Chen (2023) explore blockchain’s application in smart cities, suggesting blockchain’s potential in traffic and energy management, though their theoretical model lacks practical testing.</w:t>
      </w:r>
    </w:p>
    <w:p w14:paraId="4E82AA52" w14:textId="77777777" w:rsidR="004B17CC" w:rsidRDefault="004B17CC" w:rsidP="004B17CC">
      <w:pPr>
        <w:pStyle w:val="BodyText"/>
        <w:spacing w:line="259" w:lineRule="auto"/>
        <w:ind w:left="1060" w:right="1074"/>
      </w:pPr>
    </w:p>
    <w:p w14:paraId="5499C5A9" w14:textId="05CCF4C4" w:rsidR="00F72403" w:rsidRDefault="004B17CC" w:rsidP="004B17CC">
      <w:pPr>
        <w:pStyle w:val="BodyText"/>
        <w:spacing w:line="259" w:lineRule="auto"/>
        <w:ind w:left="1060" w:right="1074"/>
      </w:pPr>
      <w:r>
        <w:t>Across these studies, common limitations emerge: scalability, energy consumption, and high costs, particularly in complex IoT environments. While alternative blockchain protocols are suggested, real-world validation remains sparse, limiting practical recommendations. This analysis suggests that further empirical research into lightweight, scalable blockchain models is essential to address these limitations, fostering feasible, efficient blockchain-IoT integrations across diverse applications.</w:t>
      </w:r>
    </w:p>
    <w:p w14:paraId="5499C5AA" w14:textId="77777777" w:rsidR="00F72403" w:rsidRDefault="00F72403">
      <w:pPr>
        <w:spacing w:line="259" w:lineRule="auto"/>
        <w:sectPr w:rsidR="00F72403">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p>
    <w:p w14:paraId="5499C5AB" w14:textId="77777777" w:rsidR="00F72403" w:rsidRDefault="00F72403">
      <w:pPr>
        <w:pStyle w:val="BodyText"/>
        <w:spacing w:before="4"/>
        <w:rPr>
          <w:sz w:val="18"/>
        </w:rPr>
      </w:pPr>
    </w:p>
    <w:p w14:paraId="5499C5AC" w14:textId="77777777" w:rsidR="00F72403" w:rsidRDefault="00A57DFE">
      <w:pPr>
        <w:pStyle w:val="Heading1"/>
      </w:pPr>
      <w:r>
        <w:t>Connections:</w:t>
      </w:r>
    </w:p>
    <w:p w14:paraId="5499C5AD" w14:textId="77777777" w:rsidR="00F72403" w:rsidRDefault="00F72403">
      <w:pPr>
        <w:pStyle w:val="BodyText"/>
        <w:rPr>
          <w:b/>
          <w:sz w:val="30"/>
        </w:rPr>
      </w:pPr>
    </w:p>
    <w:p w14:paraId="5499C5AE" w14:textId="77777777" w:rsidR="00F72403" w:rsidRDefault="00F72403">
      <w:pPr>
        <w:pStyle w:val="BodyText"/>
        <w:spacing w:before="3"/>
        <w:rPr>
          <w:b/>
          <w:sz w:val="30"/>
        </w:rPr>
      </w:pPr>
    </w:p>
    <w:p w14:paraId="65598DED" w14:textId="31F7D01D" w:rsidR="00A82F9C" w:rsidRPr="00A82F9C" w:rsidRDefault="00A82F9C" w:rsidP="00A82F9C">
      <w:pPr>
        <w:pStyle w:val="ListParagraph"/>
        <w:numPr>
          <w:ilvl w:val="0"/>
          <w:numId w:val="2"/>
        </w:numPr>
        <w:tabs>
          <w:tab w:val="left" w:pos="1781"/>
        </w:tabs>
        <w:spacing w:before="4" w:line="259" w:lineRule="auto"/>
        <w:ind w:right="1433"/>
        <w:rPr>
          <w:sz w:val="28"/>
          <w:szCs w:val="28"/>
        </w:rPr>
      </w:pPr>
      <w:r w:rsidRPr="00A82F9C">
        <w:rPr>
          <w:b/>
          <w:color w:val="0D0F1A"/>
          <w:sz w:val="28"/>
        </w:rPr>
        <w:t xml:space="preserve">Security and Data </w:t>
      </w:r>
      <w:r w:rsidRPr="00A82F9C">
        <w:rPr>
          <w:b/>
          <w:color w:val="0D0F1A"/>
          <w:sz w:val="28"/>
        </w:rPr>
        <w:t xml:space="preserve">Privacy: </w:t>
      </w:r>
      <w:r w:rsidRPr="00A82F9C">
        <w:rPr>
          <w:sz w:val="28"/>
          <w:szCs w:val="28"/>
        </w:rPr>
        <w:t>Blockchain</w:t>
      </w:r>
      <w:r w:rsidRPr="00A82F9C">
        <w:rPr>
          <w:sz w:val="28"/>
          <w:szCs w:val="28"/>
        </w:rPr>
        <w:t xml:space="preserve"> enhances IoT data security by decentralizing data storage, reducing vulnerabilities to breaches, as highlighted in healthcare, smart cities, and home applications.</w:t>
      </w:r>
    </w:p>
    <w:p w14:paraId="37A6AD31" w14:textId="77777777" w:rsidR="00A82F9C" w:rsidRPr="00A82F9C" w:rsidRDefault="00A82F9C" w:rsidP="00A82F9C">
      <w:pPr>
        <w:tabs>
          <w:tab w:val="left" w:pos="1781"/>
        </w:tabs>
        <w:spacing w:before="4" w:line="259" w:lineRule="auto"/>
        <w:ind w:left="1420" w:right="1433"/>
        <w:rPr>
          <w:b/>
          <w:color w:val="0D0F1A"/>
          <w:sz w:val="28"/>
        </w:rPr>
      </w:pPr>
    </w:p>
    <w:p w14:paraId="104F0BEB" w14:textId="1FE27617" w:rsidR="00A82F9C" w:rsidRPr="00A82F9C" w:rsidRDefault="00A82F9C" w:rsidP="00A82F9C">
      <w:pPr>
        <w:pStyle w:val="ListParagraph"/>
        <w:numPr>
          <w:ilvl w:val="0"/>
          <w:numId w:val="2"/>
        </w:numPr>
        <w:tabs>
          <w:tab w:val="left" w:pos="1781"/>
        </w:tabs>
        <w:spacing w:before="4" w:line="259" w:lineRule="auto"/>
        <w:ind w:right="1433"/>
        <w:rPr>
          <w:sz w:val="28"/>
          <w:szCs w:val="28"/>
        </w:rPr>
      </w:pPr>
      <w:r w:rsidRPr="00A82F9C">
        <w:rPr>
          <w:b/>
          <w:color w:val="0D0F1A"/>
          <w:sz w:val="28"/>
        </w:rPr>
        <w:t xml:space="preserve">Transparency and </w:t>
      </w:r>
      <w:r w:rsidRPr="00A82F9C">
        <w:rPr>
          <w:b/>
          <w:color w:val="0D0F1A"/>
          <w:sz w:val="28"/>
        </w:rPr>
        <w:t>Traceability</w:t>
      </w:r>
      <w:r w:rsidRPr="00A82F9C">
        <w:rPr>
          <w:sz w:val="28"/>
          <w:szCs w:val="28"/>
        </w:rPr>
        <w:t>: Blockchain</w:t>
      </w:r>
      <w:r w:rsidRPr="00A82F9C">
        <w:rPr>
          <w:sz w:val="28"/>
          <w:szCs w:val="28"/>
        </w:rPr>
        <w:t xml:space="preserve"> improves transparency and traceability in IoT, enabling real-time monitoring in supply chains and urban infrastructure, fostering trust and accountability among stakeholders.</w:t>
      </w:r>
    </w:p>
    <w:p w14:paraId="4388E50D" w14:textId="77777777" w:rsidR="00A82F9C" w:rsidRPr="00A82F9C" w:rsidRDefault="00A82F9C" w:rsidP="00A82F9C">
      <w:pPr>
        <w:tabs>
          <w:tab w:val="left" w:pos="1781"/>
        </w:tabs>
        <w:spacing w:before="4" w:line="259" w:lineRule="auto"/>
        <w:ind w:right="1433"/>
        <w:rPr>
          <w:b/>
          <w:color w:val="0D0F1A"/>
          <w:sz w:val="28"/>
        </w:rPr>
      </w:pPr>
    </w:p>
    <w:p w14:paraId="75C803C7" w14:textId="2B42EB8F" w:rsidR="00A82F9C" w:rsidRPr="00A82F9C" w:rsidRDefault="00A82F9C" w:rsidP="00A82F9C">
      <w:pPr>
        <w:pStyle w:val="ListParagraph"/>
        <w:numPr>
          <w:ilvl w:val="0"/>
          <w:numId w:val="2"/>
        </w:numPr>
        <w:tabs>
          <w:tab w:val="left" w:pos="1781"/>
        </w:tabs>
        <w:spacing w:before="4" w:line="259" w:lineRule="auto"/>
        <w:ind w:right="1433"/>
        <w:rPr>
          <w:sz w:val="28"/>
          <w:szCs w:val="28"/>
        </w:rPr>
      </w:pPr>
      <w:r w:rsidRPr="00A82F9C">
        <w:rPr>
          <w:b/>
          <w:color w:val="0D0F1A"/>
          <w:sz w:val="28"/>
        </w:rPr>
        <w:t xml:space="preserve">Scalability </w:t>
      </w:r>
      <w:r w:rsidRPr="00A82F9C">
        <w:rPr>
          <w:b/>
          <w:color w:val="0D0F1A"/>
          <w:sz w:val="28"/>
        </w:rPr>
        <w:t xml:space="preserve">Challenges: </w:t>
      </w:r>
      <w:r w:rsidRPr="00A82F9C">
        <w:rPr>
          <w:sz w:val="28"/>
          <w:szCs w:val="28"/>
        </w:rPr>
        <w:t>Scalability</w:t>
      </w:r>
      <w:r w:rsidRPr="00A82F9C">
        <w:rPr>
          <w:sz w:val="28"/>
          <w:szCs w:val="28"/>
        </w:rPr>
        <w:t xml:space="preserve"> remains a challenge for blockchain-IoT integration, especially with high-frequency data; alternative protocols like Proof of Stake are frequently suggested to mitigate this issue.</w:t>
      </w:r>
    </w:p>
    <w:p w14:paraId="1545E441" w14:textId="77777777" w:rsidR="00A82F9C" w:rsidRPr="00A82F9C" w:rsidRDefault="00A82F9C" w:rsidP="00A82F9C">
      <w:pPr>
        <w:tabs>
          <w:tab w:val="left" w:pos="1781"/>
        </w:tabs>
        <w:spacing w:before="4" w:line="259" w:lineRule="auto"/>
        <w:ind w:right="1433"/>
        <w:rPr>
          <w:b/>
          <w:color w:val="0D0F1A"/>
          <w:sz w:val="28"/>
        </w:rPr>
      </w:pPr>
    </w:p>
    <w:p w14:paraId="355247F0" w14:textId="31009CDF" w:rsidR="00A82F9C" w:rsidRPr="00A82F9C" w:rsidRDefault="00A82F9C" w:rsidP="00A82F9C">
      <w:pPr>
        <w:pStyle w:val="ListParagraph"/>
        <w:numPr>
          <w:ilvl w:val="0"/>
          <w:numId w:val="2"/>
        </w:numPr>
        <w:tabs>
          <w:tab w:val="left" w:pos="1781"/>
        </w:tabs>
        <w:spacing w:before="4" w:line="259" w:lineRule="auto"/>
        <w:ind w:right="1433"/>
        <w:rPr>
          <w:sz w:val="28"/>
          <w:szCs w:val="28"/>
        </w:rPr>
      </w:pPr>
      <w:r w:rsidRPr="00A82F9C">
        <w:rPr>
          <w:b/>
          <w:color w:val="0D0F1A"/>
          <w:sz w:val="28"/>
        </w:rPr>
        <w:t xml:space="preserve">Energy Efficiency </w:t>
      </w:r>
      <w:r w:rsidRPr="00A82F9C">
        <w:rPr>
          <w:b/>
          <w:color w:val="0D0F1A"/>
          <w:sz w:val="28"/>
        </w:rPr>
        <w:t xml:space="preserve">Concerns: </w:t>
      </w:r>
      <w:r w:rsidRPr="00A82F9C">
        <w:rPr>
          <w:sz w:val="28"/>
          <w:szCs w:val="28"/>
        </w:rPr>
        <w:t>High</w:t>
      </w:r>
      <w:r w:rsidRPr="00A82F9C">
        <w:rPr>
          <w:sz w:val="28"/>
          <w:szCs w:val="28"/>
        </w:rPr>
        <w:t xml:space="preserve"> energy demands of blockchain, especially Proof of Work, limit IoT compatibility; energy-efficient consensus mechanisms are recommended to make blockchain feasible for IoT.</w:t>
      </w:r>
    </w:p>
    <w:p w14:paraId="309E901D" w14:textId="77777777" w:rsidR="00A82F9C" w:rsidRPr="00A82F9C" w:rsidRDefault="00A82F9C" w:rsidP="00A82F9C">
      <w:pPr>
        <w:tabs>
          <w:tab w:val="left" w:pos="1781"/>
        </w:tabs>
        <w:spacing w:before="4" w:line="259" w:lineRule="auto"/>
        <w:ind w:left="1420" w:right="1433"/>
        <w:rPr>
          <w:b/>
          <w:color w:val="0D0F1A"/>
          <w:sz w:val="28"/>
        </w:rPr>
      </w:pPr>
    </w:p>
    <w:p w14:paraId="5499C5B3" w14:textId="2587096B" w:rsidR="00F72403" w:rsidRPr="00A82F9C" w:rsidRDefault="00A82F9C" w:rsidP="00A82F9C">
      <w:pPr>
        <w:pStyle w:val="ListParagraph"/>
        <w:numPr>
          <w:ilvl w:val="0"/>
          <w:numId w:val="2"/>
        </w:numPr>
        <w:tabs>
          <w:tab w:val="left" w:pos="1781"/>
        </w:tabs>
        <w:spacing w:before="4" w:line="259" w:lineRule="auto"/>
        <w:ind w:right="1433"/>
        <w:rPr>
          <w:sz w:val="28"/>
          <w:szCs w:val="28"/>
        </w:rPr>
      </w:pPr>
      <w:r w:rsidRPr="00A82F9C">
        <w:rPr>
          <w:b/>
          <w:color w:val="0D0F1A"/>
          <w:sz w:val="28"/>
        </w:rPr>
        <w:t xml:space="preserve">Cost and Operational </w:t>
      </w:r>
      <w:r w:rsidRPr="00A82F9C">
        <w:rPr>
          <w:b/>
          <w:color w:val="0D0F1A"/>
          <w:sz w:val="28"/>
        </w:rPr>
        <w:t xml:space="preserve">Feasibility: </w:t>
      </w:r>
      <w:r w:rsidRPr="00A82F9C">
        <w:rPr>
          <w:sz w:val="28"/>
          <w:szCs w:val="28"/>
        </w:rPr>
        <w:t>Implementation</w:t>
      </w:r>
      <w:r w:rsidRPr="00A82F9C">
        <w:rPr>
          <w:sz w:val="28"/>
          <w:szCs w:val="28"/>
        </w:rPr>
        <w:t xml:space="preserve"> costs restrict blockchain adoption in IoT; scalable, cost-effective solutions are essential for broader applicability across healthcare, smart cities, and other sectors.</w:t>
      </w:r>
    </w:p>
    <w:p w14:paraId="5499C5B4" w14:textId="77777777" w:rsidR="00F72403" w:rsidRDefault="00F72403">
      <w:pPr>
        <w:pStyle w:val="BodyText"/>
        <w:spacing w:before="1"/>
        <w:rPr>
          <w:sz w:val="30"/>
        </w:rPr>
      </w:pPr>
    </w:p>
    <w:p w14:paraId="18E6BBF4" w14:textId="77777777" w:rsidR="00A82F9C" w:rsidRDefault="00A82F9C">
      <w:pPr>
        <w:pStyle w:val="BodyText"/>
        <w:spacing w:before="1"/>
        <w:rPr>
          <w:sz w:val="30"/>
        </w:rPr>
      </w:pPr>
    </w:p>
    <w:p w14:paraId="38F8B888" w14:textId="77777777" w:rsidR="00A82F9C" w:rsidRDefault="00A82F9C">
      <w:pPr>
        <w:pStyle w:val="BodyText"/>
        <w:spacing w:before="1"/>
        <w:rPr>
          <w:sz w:val="30"/>
        </w:rPr>
      </w:pPr>
    </w:p>
    <w:p w14:paraId="093BDBDB" w14:textId="77777777" w:rsidR="00A82F9C" w:rsidRDefault="00A82F9C">
      <w:pPr>
        <w:pStyle w:val="BodyText"/>
        <w:spacing w:before="1"/>
        <w:rPr>
          <w:sz w:val="30"/>
        </w:rPr>
      </w:pPr>
    </w:p>
    <w:p w14:paraId="0FB90954" w14:textId="77777777" w:rsidR="00A82F9C" w:rsidRDefault="00A82F9C">
      <w:pPr>
        <w:pStyle w:val="BodyText"/>
        <w:spacing w:before="1"/>
        <w:rPr>
          <w:sz w:val="30"/>
        </w:rPr>
      </w:pPr>
    </w:p>
    <w:p w14:paraId="5E95BE69" w14:textId="77777777" w:rsidR="00A82F9C" w:rsidRDefault="00A82F9C">
      <w:pPr>
        <w:pStyle w:val="BodyText"/>
        <w:spacing w:before="1"/>
        <w:rPr>
          <w:sz w:val="30"/>
        </w:rPr>
      </w:pPr>
    </w:p>
    <w:p w14:paraId="479BCC6C" w14:textId="77777777" w:rsidR="00A82F9C" w:rsidRDefault="00A82F9C">
      <w:pPr>
        <w:pStyle w:val="BodyText"/>
        <w:spacing w:before="1"/>
        <w:rPr>
          <w:sz w:val="30"/>
        </w:rPr>
      </w:pPr>
    </w:p>
    <w:p w14:paraId="3828CCD5" w14:textId="77777777" w:rsidR="00A82F9C" w:rsidRDefault="00A82F9C">
      <w:pPr>
        <w:pStyle w:val="BodyText"/>
        <w:spacing w:before="1"/>
        <w:rPr>
          <w:sz w:val="30"/>
        </w:rPr>
      </w:pPr>
    </w:p>
    <w:p w14:paraId="08BF8417" w14:textId="77777777" w:rsidR="00A82F9C" w:rsidRDefault="00A82F9C">
      <w:pPr>
        <w:pStyle w:val="BodyText"/>
        <w:spacing w:before="1"/>
        <w:rPr>
          <w:sz w:val="30"/>
        </w:rPr>
      </w:pPr>
    </w:p>
    <w:p w14:paraId="155206EF" w14:textId="77777777" w:rsidR="00A82F9C" w:rsidRDefault="00A82F9C">
      <w:pPr>
        <w:pStyle w:val="BodyText"/>
        <w:spacing w:before="1"/>
        <w:rPr>
          <w:sz w:val="30"/>
        </w:rPr>
      </w:pPr>
    </w:p>
    <w:p w14:paraId="5499C5B5" w14:textId="77777777" w:rsidR="00F72403" w:rsidRDefault="00A57DFE">
      <w:pPr>
        <w:pStyle w:val="Heading1"/>
        <w:spacing w:before="1"/>
      </w:pPr>
      <w:r>
        <w:t>Conflicts between</w:t>
      </w:r>
      <w:r>
        <w:rPr>
          <w:spacing w:val="-1"/>
        </w:rPr>
        <w:t xml:space="preserve"> </w:t>
      </w:r>
      <w:r>
        <w:t>the</w:t>
      </w:r>
      <w:r>
        <w:rPr>
          <w:spacing w:val="-1"/>
        </w:rPr>
        <w:t xml:space="preserve"> </w:t>
      </w:r>
      <w:r>
        <w:t>findings:</w:t>
      </w:r>
    </w:p>
    <w:p w14:paraId="5499C5B6" w14:textId="77777777" w:rsidR="00F72403" w:rsidRDefault="00F72403">
      <w:pPr>
        <w:pStyle w:val="BodyText"/>
        <w:spacing w:before="5"/>
        <w:rPr>
          <w:b/>
          <w:sz w:val="32"/>
        </w:rPr>
      </w:pPr>
    </w:p>
    <w:p w14:paraId="638386A4" w14:textId="78C0587E" w:rsidR="004B656B" w:rsidRPr="00DD6AAA" w:rsidRDefault="004B656B" w:rsidP="00DD6AAA">
      <w:pPr>
        <w:pStyle w:val="ListParagraph"/>
        <w:numPr>
          <w:ilvl w:val="1"/>
          <w:numId w:val="2"/>
        </w:numPr>
        <w:tabs>
          <w:tab w:val="left" w:pos="2141"/>
        </w:tabs>
        <w:spacing w:before="1" w:line="259" w:lineRule="auto"/>
        <w:ind w:right="1075"/>
        <w:jc w:val="both"/>
        <w:rPr>
          <w:b/>
          <w:bCs/>
          <w:sz w:val="28"/>
          <w:szCs w:val="28"/>
        </w:rPr>
      </w:pPr>
      <w:r w:rsidRPr="00DD6AAA">
        <w:rPr>
          <w:b/>
          <w:bCs/>
          <w:sz w:val="28"/>
          <w:szCs w:val="28"/>
        </w:rPr>
        <w:t xml:space="preserve">Scalability </w:t>
      </w:r>
      <w:proofErr w:type="gramStart"/>
      <w:r w:rsidRPr="00DD6AAA">
        <w:rPr>
          <w:b/>
          <w:bCs/>
          <w:sz w:val="28"/>
          <w:szCs w:val="28"/>
        </w:rPr>
        <w:t>Solutions</w:t>
      </w:r>
      <w:r w:rsidR="00DD6AAA">
        <w:rPr>
          <w:b/>
          <w:bCs/>
          <w:sz w:val="28"/>
          <w:szCs w:val="28"/>
        </w:rPr>
        <w:t xml:space="preserve"> :</w:t>
      </w:r>
      <w:r w:rsidRPr="00DD6AAA">
        <w:rPr>
          <w:sz w:val="28"/>
        </w:rPr>
        <w:t>Conflict</w:t>
      </w:r>
      <w:proofErr w:type="gramEnd"/>
      <w:r w:rsidRPr="00DD6AAA">
        <w:rPr>
          <w:sz w:val="28"/>
        </w:rPr>
        <w:t>: While Alvarez et al. (2021) emphasize scalability issues with Proof of Work in IoT applications, Jones &amp; Kim (2022) suggest blockchain can be effectively scaled within supply chains. This contrast highlights different perspectives on blockchain’s capability to handle extensive data volumes, potentially due to varying application contexts.</w:t>
      </w:r>
    </w:p>
    <w:p w14:paraId="220A108C" w14:textId="269FE321" w:rsidR="004B656B" w:rsidRPr="00CD2026" w:rsidRDefault="004B656B" w:rsidP="00CD2026">
      <w:pPr>
        <w:pStyle w:val="ListParagraph"/>
        <w:numPr>
          <w:ilvl w:val="1"/>
          <w:numId w:val="2"/>
        </w:numPr>
        <w:tabs>
          <w:tab w:val="left" w:pos="2141"/>
        </w:tabs>
        <w:spacing w:before="1" w:line="259" w:lineRule="auto"/>
        <w:ind w:right="1075"/>
        <w:jc w:val="both"/>
        <w:rPr>
          <w:b/>
          <w:bCs/>
          <w:sz w:val="28"/>
          <w:szCs w:val="28"/>
        </w:rPr>
      </w:pPr>
      <w:r w:rsidRPr="00DD6AAA">
        <w:rPr>
          <w:b/>
          <w:bCs/>
          <w:sz w:val="28"/>
          <w:szCs w:val="28"/>
        </w:rPr>
        <w:t xml:space="preserve">Energy Efficiency </w:t>
      </w:r>
      <w:r w:rsidR="00CD2026" w:rsidRPr="00DD6AAA">
        <w:rPr>
          <w:b/>
          <w:bCs/>
          <w:sz w:val="28"/>
          <w:szCs w:val="28"/>
        </w:rPr>
        <w:t>Implications</w:t>
      </w:r>
      <w:r w:rsidR="00CD2026">
        <w:rPr>
          <w:b/>
          <w:bCs/>
          <w:sz w:val="28"/>
          <w:szCs w:val="28"/>
        </w:rPr>
        <w:t>:</w:t>
      </w:r>
      <w:r w:rsidR="00CD2026" w:rsidRPr="00CD2026">
        <w:rPr>
          <w:sz w:val="28"/>
        </w:rPr>
        <w:t xml:space="preserve"> Conflict</w:t>
      </w:r>
      <w:r w:rsidRPr="00CD2026">
        <w:rPr>
          <w:sz w:val="28"/>
        </w:rPr>
        <w:t>: Patel &amp; Wang (2020) find blockchain’s energy demands too high for low-power IoT devices, stressing the need for alternative protocols. In contrast, Kumar &amp; Chen (2023) do not emphasize energy efficiency as a primary concern, particularly in smart city applications, suggesting that it may be context-dependent.</w:t>
      </w:r>
    </w:p>
    <w:p w14:paraId="1EFA13B7" w14:textId="7C79E6FE" w:rsidR="004B656B" w:rsidRPr="00CD2026" w:rsidRDefault="004B656B" w:rsidP="00CD2026">
      <w:pPr>
        <w:pStyle w:val="ListParagraph"/>
        <w:numPr>
          <w:ilvl w:val="1"/>
          <w:numId w:val="2"/>
        </w:numPr>
        <w:tabs>
          <w:tab w:val="left" w:pos="2141"/>
        </w:tabs>
        <w:spacing w:before="1" w:line="259" w:lineRule="auto"/>
        <w:ind w:right="1075"/>
        <w:jc w:val="both"/>
        <w:rPr>
          <w:b/>
          <w:bCs/>
          <w:sz w:val="28"/>
          <w:szCs w:val="28"/>
        </w:rPr>
      </w:pPr>
      <w:r w:rsidRPr="00CD2026">
        <w:rPr>
          <w:b/>
          <w:bCs/>
          <w:sz w:val="28"/>
          <w:szCs w:val="28"/>
        </w:rPr>
        <w:t xml:space="preserve">Operational </w:t>
      </w:r>
      <w:r w:rsidR="00CD2026" w:rsidRPr="00CD2026">
        <w:rPr>
          <w:b/>
          <w:bCs/>
          <w:sz w:val="28"/>
          <w:szCs w:val="28"/>
        </w:rPr>
        <w:t>Costs</w:t>
      </w:r>
      <w:r w:rsidR="00CD2026">
        <w:rPr>
          <w:b/>
          <w:bCs/>
          <w:sz w:val="28"/>
          <w:szCs w:val="28"/>
        </w:rPr>
        <w:t>:</w:t>
      </w:r>
      <w:r w:rsidR="00CD2026" w:rsidRPr="00CD2026">
        <w:rPr>
          <w:sz w:val="28"/>
        </w:rPr>
        <w:t xml:space="preserve"> Conflict</w:t>
      </w:r>
      <w:r w:rsidRPr="00CD2026">
        <w:rPr>
          <w:sz w:val="28"/>
        </w:rPr>
        <w:t>: Chen &amp; Li (2021) cite high costs as a barrier to blockchain adoption in healthcare IoT, while Jones &amp; Kim (2022) find that supply chain benefits, such as improved traceability, justify blockchain’s implementation costs. This discrepancy suggests that cost-effectiveness may vary significantly depending on industry and specific use case.</w:t>
      </w:r>
    </w:p>
    <w:p w14:paraId="0D3AAB46" w14:textId="7D8E2DD8" w:rsidR="004B656B" w:rsidRPr="00CD2026" w:rsidRDefault="004B656B" w:rsidP="00CD2026">
      <w:pPr>
        <w:pStyle w:val="ListParagraph"/>
        <w:numPr>
          <w:ilvl w:val="1"/>
          <w:numId w:val="2"/>
        </w:numPr>
        <w:tabs>
          <w:tab w:val="left" w:pos="2141"/>
        </w:tabs>
        <w:spacing w:before="1" w:line="259" w:lineRule="auto"/>
        <w:ind w:right="1075"/>
        <w:jc w:val="both"/>
        <w:rPr>
          <w:b/>
          <w:bCs/>
          <w:sz w:val="28"/>
          <w:szCs w:val="28"/>
        </w:rPr>
      </w:pPr>
      <w:r w:rsidRPr="00CD2026">
        <w:rPr>
          <w:b/>
          <w:bCs/>
          <w:sz w:val="28"/>
          <w:szCs w:val="28"/>
        </w:rPr>
        <w:t xml:space="preserve">Real-World vs. Theoretical </w:t>
      </w:r>
      <w:r w:rsidR="00CD2026" w:rsidRPr="00CD2026">
        <w:rPr>
          <w:b/>
          <w:bCs/>
          <w:sz w:val="28"/>
          <w:szCs w:val="28"/>
        </w:rPr>
        <w:t>Models</w:t>
      </w:r>
      <w:r w:rsidR="00CD2026">
        <w:rPr>
          <w:b/>
          <w:bCs/>
          <w:sz w:val="28"/>
          <w:szCs w:val="28"/>
        </w:rPr>
        <w:t>:</w:t>
      </w:r>
      <w:r w:rsidR="00CD2026" w:rsidRPr="00CD2026">
        <w:rPr>
          <w:sz w:val="28"/>
        </w:rPr>
        <w:t xml:space="preserve"> Conflict</w:t>
      </w:r>
      <w:r w:rsidRPr="00CD2026">
        <w:rPr>
          <w:sz w:val="28"/>
        </w:rPr>
        <w:t>: Kumar &amp; Chen (2023) focus on theoretical models for blockchain-IoT in smart cities, identifying its potential benefits, while Alvarez et al. (2021) caution that simulation results may not capture real-world complexities, highlighting a gap between theory and practical feasibility.</w:t>
      </w:r>
    </w:p>
    <w:p w14:paraId="5499C5BA" w14:textId="337ECB8B" w:rsidR="00F72403" w:rsidRPr="00CD2026" w:rsidRDefault="004B656B" w:rsidP="00CD2026">
      <w:pPr>
        <w:pStyle w:val="ListParagraph"/>
        <w:numPr>
          <w:ilvl w:val="1"/>
          <w:numId w:val="2"/>
        </w:numPr>
        <w:tabs>
          <w:tab w:val="left" w:pos="2141"/>
        </w:tabs>
        <w:spacing w:before="1" w:line="259" w:lineRule="auto"/>
        <w:ind w:right="1075"/>
        <w:jc w:val="both"/>
        <w:rPr>
          <w:b/>
          <w:bCs/>
          <w:sz w:val="28"/>
          <w:szCs w:val="28"/>
        </w:rPr>
        <w:sectPr w:rsidR="00F72403" w:rsidRPr="00CD2026">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pPr>
      <w:r w:rsidRPr="00CD2026">
        <w:rPr>
          <w:b/>
          <w:bCs/>
          <w:sz w:val="28"/>
          <w:szCs w:val="28"/>
        </w:rPr>
        <w:t xml:space="preserve">Focus on Security vs. </w:t>
      </w:r>
      <w:r w:rsidR="00CD2026" w:rsidRPr="00CD2026">
        <w:rPr>
          <w:b/>
          <w:bCs/>
          <w:sz w:val="28"/>
          <w:szCs w:val="28"/>
        </w:rPr>
        <w:t>Performance</w:t>
      </w:r>
      <w:r w:rsidR="00CD2026">
        <w:rPr>
          <w:b/>
          <w:bCs/>
          <w:sz w:val="28"/>
          <w:szCs w:val="28"/>
        </w:rPr>
        <w:t>:</w:t>
      </w:r>
      <w:r w:rsidR="00CD2026" w:rsidRPr="00CD2026">
        <w:rPr>
          <w:sz w:val="28"/>
        </w:rPr>
        <w:t xml:space="preserve"> Conflict</w:t>
      </w:r>
      <w:r w:rsidRPr="00CD2026">
        <w:rPr>
          <w:sz w:val="28"/>
        </w:rPr>
        <w:t>: While Smith et al. (2020) prioritize blockchain’s security benefits in IoT networks, Alvarez et al. (2021) emphasize that security improvements may come at the expense of performance, underscoring the trade-offs involved in blockchain-IoT integration.</w:t>
      </w:r>
    </w:p>
    <w:tbl>
      <w:tblPr>
        <w:tblW w:w="0" w:type="auto"/>
        <w:tblInd w:w="189" w:type="dxa"/>
        <w:tblBorders>
          <w:top w:val="thinThickMediumGap" w:sz="12" w:space="0" w:color="000000"/>
          <w:left w:val="thinThickMediumGap" w:sz="12" w:space="0" w:color="000000"/>
          <w:bottom w:val="thinThickMediumGap" w:sz="12" w:space="0" w:color="000000"/>
          <w:right w:val="thinThickMediumGap" w:sz="12" w:space="0" w:color="000000"/>
          <w:insideH w:val="thinThickMediumGap" w:sz="12" w:space="0" w:color="000000"/>
          <w:insideV w:val="thinThickMediumGap" w:sz="12" w:space="0" w:color="000000"/>
        </w:tblBorders>
        <w:tblLayout w:type="fixed"/>
        <w:tblCellMar>
          <w:left w:w="0" w:type="dxa"/>
          <w:right w:w="0" w:type="dxa"/>
        </w:tblCellMar>
        <w:tblLook w:val="01E0" w:firstRow="1" w:lastRow="1" w:firstColumn="1" w:lastColumn="1" w:noHBand="0" w:noVBand="0"/>
      </w:tblPr>
      <w:tblGrid>
        <w:gridCol w:w="201"/>
        <w:gridCol w:w="2677"/>
        <w:gridCol w:w="1833"/>
        <w:gridCol w:w="772"/>
        <w:gridCol w:w="1558"/>
        <w:gridCol w:w="3188"/>
        <w:gridCol w:w="1582"/>
        <w:gridCol w:w="3060"/>
      </w:tblGrid>
      <w:tr w:rsidR="00F72403" w14:paraId="5499C5C4" w14:textId="77777777" w:rsidTr="005B4361">
        <w:trPr>
          <w:trHeight w:val="5548"/>
        </w:trPr>
        <w:tc>
          <w:tcPr>
            <w:tcW w:w="14871" w:type="dxa"/>
            <w:gridSpan w:val="8"/>
            <w:tcBorders>
              <w:bottom w:val="nil"/>
            </w:tcBorders>
          </w:tcPr>
          <w:p w14:paraId="5499C5C0" w14:textId="77777777" w:rsidR="00F72403" w:rsidRDefault="00F72403">
            <w:pPr>
              <w:pStyle w:val="TableParagraph"/>
              <w:rPr>
                <w:sz w:val="30"/>
              </w:rPr>
            </w:pPr>
          </w:p>
          <w:p w14:paraId="5499C5C1" w14:textId="77777777" w:rsidR="00F72403" w:rsidRDefault="00F72403">
            <w:pPr>
              <w:pStyle w:val="TableParagraph"/>
              <w:rPr>
                <w:sz w:val="30"/>
              </w:rPr>
            </w:pPr>
          </w:p>
          <w:p w14:paraId="5499C5C2" w14:textId="77777777" w:rsidR="00F72403" w:rsidRDefault="00F72403">
            <w:pPr>
              <w:pStyle w:val="TableParagraph"/>
              <w:spacing w:before="10"/>
              <w:rPr>
                <w:sz w:val="30"/>
              </w:rPr>
            </w:pPr>
          </w:p>
          <w:p w14:paraId="5499C5C3" w14:textId="77777777" w:rsidR="00F72403" w:rsidRDefault="00A57DFE">
            <w:pPr>
              <w:pStyle w:val="TableParagraph"/>
              <w:ind w:left="900"/>
              <w:rPr>
                <w:b/>
                <w:sz w:val="28"/>
              </w:rPr>
            </w:pPr>
            <w:r>
              <w:rPr>
                <w:b/>
                <w:sz w:val="28"/>
              </w:rPr>
              <w:t>Synthesis</w:t>
            </w:r>
            <w:r>
              <w:rPr>
                <w:b/>
                <w:spacing w:val="-2"/>
                <w:sz w:val="28"/>
              </w:rPr>
              <w:t xml:space="preserve"> </w:t>
            </w:r>
            <w:r>
              <w:rPr>
                <w:b/>
                <w:sz w:val="28"/>
              </w:rPr>
              <w:t>Matrix</w:t>
            </w:r>
            <w:r>
              <w:rPr>
                <w:b/>
                <w:spacing w:val="-2"/>
                <w:sz w:val="28"/>
              </w:rPr>
              <w:t xml:space="preserve"> </w:t>
            </w:r>
            <w:r>
              <w:rPr>
                <w:b/>
                <w:sz w:val="28"/>
              </w:rPr>
              <w:t>for</w:t>
            </w:r>
            <w:r>
              <w:rPr>
                <w:b/>
                <w:spacing w:val="-3"/>
                <w:sz w:val="28"/>
              </w:rPr>
              <w:t xml:space="preserve"> </w:t>
            </w:r>
            <w:r>
              <w:rPr>
                <w:b/>
                <w:sz w:val="28"/>
              </w:rPr>
              <w:t>Literature</w:t>
            </w:r>
            <w:r>
              <w:rPr>
                <w:b/>
                <w:spacing w:val="-3"/>
                <w:sz w:val="28"/>
              </w:rPr>
              <w:t xml:space="preserve"> </w:t>
            </w:r>
            <w:r>
              <w:rPr>
                <w:b/>
                <w:sz w:val="28"/>
              </w:rPr>
              <w:t>Review:</w:t>
            </w:r>
          </w:p>
        </w:tc>
      </w:tr>
      <w:tr w:rsidR="00F72403" w14:paraId="5499C5CD" w14:textId="77777777" w:rsidTr="005B4361">
        <w:trPr>
          <w:trHeight w:val="613"/>
        </w:trPr>
        <w:tc>
          <w:tcPr>
            <w:tcW w:w="201" w:type="dxa"/>
            <w:vMerge w:val="restart"/>
            <w:tcBorders>
              <w:top w:val="nil"/>
              <w:bottom w:val="nil"/>
              <w:right w:val="single" w:sz="8" w:space="0" w:color="000000"/>
            </w:tcBorders>
          </w:tcPr>
          <w:p w14:paraId="5499C5C5" w14:textId="77777777" w:rsidR="00F72403" w:rsidRDefault="00F72403">
            <w:pPr>
              <w:pStyle w:val="TableParagraph"/>
            </w:pPr>
          </w:p>
        </w:tc>
        <w:tc>
          <w:tcPr>
            <w:tcW w:w="2677" w:type="dxa"/>
            <w:tcBorders>
              <w:top w:val="single" w:sz="8" w:space="0" w:color="000000"/>
              <w:left w:val="single" w:sz="8" w:space="0" w:color="000000"/>
              <w:bottom w:val="single" w:sz="8" w:space="0" w:color="000000"/>
              <w:right w:val="single" w:sz="8" w:space="0" w:color="000000"/>
            </w:tcBorders>
            <w:shd w:val="clear" w:color="auto" w:fill="F7F7F7"/>
          </w:tcPr>
          <w:p w14:paraId="5499C5C6" w14:textId="77777777" w:rsidR="00F72403" w:rsidRDefault="00A57DFE">
            <w:pPr>
              <w:pStyle w:val="TableParagraph"/>
              <w:spacing w:before="194"/>
              <w:ind w:left="127"/>
              <w:rPr>
                <w:b/>
                <w:sz w:val="20"/>
              </w:rPr>
            </w:pPr>
            <w:r>
              <w:rPr>
                <w:b/>
                <w:sz w:val="20"/>
              </w:rPr>
              <w:t>Study</w:t>
            </w:r>
          </w:p>
        </w:tc>
        <w:tc>
          <w:tcPr>
            <w:tcW w:w="1833" w:type="dxa"/>
            <w:tcBorders>
              <w:top w:val="single" w:sz="8" w:space="0" w:color="000000"/>
              <w:left w:val="single" w:sz="8" w:space="0" w:color="000000"/>
              <w:bottom w:val="single" w:sz="8" w:space="0" w:color="000000"/>
              <w:right w:val="single" w:sz="8" w:space="0" w:color="000000"/>
            </w:tcBorders>
            <w:shd w:val="clear" w:color="auto" w:fill="F7F7F7"/>
          </w:tcPr>
          <w:p w14:paraId="5499C5C7" w14:textId="77777777" w:rsidR="00F72403" w:rsidRDefault="00A57DFE">
            <w:pPr>
              <w:pStyle w:val="TableParagraph"/>
              <w:spacing w:before="194"/>
              <w:ind w:left="126"/>
              <w:rPr>
                <w:b/>
                <w:sz w:val="20"/>
              </w:rPr>
            </w:pPr>
            <w:r>
              <w:rPr>
                <w:b/>
                <w:sz w:val="20"/>
              </w:rPr>
              <w:t>Authors</w:t>
            </w:r>
          </w:p>
        </w:tc>
        <w:tc>
          <w:tcPr>
            <w:tcW w:w="772" w:type="dxa"/>
            <w:tcBorders>
              <w:top w:val="single" w:sz="8" w:space="0" w:color="000000"/>
              <w:left w:val="single" w:sz="8" w:space="0" w:color="000000"/>
              <w:bottom w:val="single" w:sz="8" w:space="0" w:color="000000"/>
              <w:right w:val="single" w:sz="8" w:space="0" w:color="000000"/>
            </w:tcBorders>
            <w:shd w:val="clear" w:color="auto" w:fill="F7F7F7"/>
          </w:tcPr>
          <w:p w14:paraId="5499C5C8" w14:textId="77777777" w:rsidR="00F72403" w:rsidRDefault="00A57DFE">
            <w:pPr>
              <w:pStyle w:val="TableParagraph"/>
              <w:spacing w:before="194"/>
              <w:ind w:left="125"/>
              <w:rPr>
                <w:b/>
                <w:sz w:val="20"/>
              </w:rPr>
            </w:pPr>
            <w:r>
              <w:rPr>
                <w:b/>
                <w:sz w:val="20"/>
              </w:rPr>
              <w:t>Year</w:t>
            </w:r>
          </w:p>
        </w:tc>
        <w:tc>
          <w:tcPr>
            <w:tcW w:w="1558" w:type="dxa"/>
            <w:tcBorders>
              <w:top w:val="single" w:sz="8" w:space="0" w:color="000000"/>
              <w:left w:val="single" w:sz="8" w:space="0" w:color="000000"/>
              <w:bottom w:val="single" w:sz="8" w:space="0" w:color="000000"/>
              <w:right w:val="single" w:sz="8" w:space="0" w:color="000000"/>
            </w:tcBorders>
            <w:shd w:val="clear" w:color="auto" w:fill="F7F7F7"/>
          </w:tcPr>
          <w:p w14:paraId="5499C5C9" w14:textId="77777777" w:rsidR="00F72403" w:rsidRDefault="00A57DFE">
            <w:pPr>
              <w:pStyle w:val="TableParagraph"/>
              <w:spacing w:before="79"/>
              <w:ind w:left="123" w:right="343"/>
              <w:rPr>
                <w:b/>
                <w:sz w:val="20"/>
              </w:rPr>
            </w:pPr>
            <w:r>
              <w:rPr>
                <w:b/>
                <w:sz w:val="20"/>
              </w:rPr>
              <w:t>Research</w:t>
            </w:r>
            <w:r>
              <w:rPr>
                <w:b/>
                <w:spacing w:val="-48"/>
                <w:sz w:val="20"/>
              </w:rPr>
              <w:t xml:space="preserve"> </w:t>
            </w:r>
            <w:r>
              <w:rPr>
                <w:b/>
                <w:sz w:val="20"/>
              </w:rPr>
              <w:t>Design</w:t>
            </w:r>
          </w:p>
        </w:tc>
        <w:tc>
          <w:tcPr>
            <w:tcW w:w="3188" w:type="dxa"/>
            <w:tcBorders>
              <w:top w:val="single" w:sz="8" w:space="0" w:color="000000"/>
              <w:left w:val="single" w:sz="8" w:space="0" w:color="000000"/>
              <w:bottom w:val="single" w:sz="8" w:space="0" w:color="000000"/>
              <w:right w:val="single" w:sz="8" w:space="0" w:color="000000"/>
            </w:tcBorders>
            <w:shd w:val="clear" w:color="auto" w:fill="F7F7F7"/>
          </w:tcPr>
          <w:p w14:paraId="5499C5CA" w14:textId="77777777" w:rsidR="00F72403" w:rsidRDefault="00A57DFE">
            <w:pPr>
              <w:pStyle w:val="TableParagraph"/>
              <w:spacing w:before="194"/>
              <w:ind w:left="122"/>
              <w:rPr>
                <w:b/>
                <w:sz w:val="20"/>
              </w:rPr>
            </w:pPr>
            <w:r>
              <w:rPr>
                <w:b/>
                <w:sz w:val="20"/>
              </w:rPr>
              <w:t>Key</w:t>
            </w:r>
            <w:r>
              <w:rPr>
                <w:b/>
                <w:spacing w:val="-3"/>
                <w:sz w:val="20"/>
              </w:rPr>
              <w:t xml:space="preserve"> </w:t>
            </w:r>
            <w:r>
              <w:rPr>
                <w:b/>
                <w:sz w:val="20"/>
              </w:rPr>
              <w:t>Findings/Results</w:t>
            </w:r>
          </w:p>
        </w:tc>
        <w:tc>
          <w:tcPr>
            <w:tcW w:w="1582" w:type="dxa"/>
            <w:tcBorders>
              <w:top w:val="single" w:sz="8" w:space="0" w:color="000000"/>
              <w:left w:val="single" w:sz="8" w:space="0" w:color="000000"/>
              <w:bottom w:val="single" w:sz="8" w:space="0" w:color="000000"/>
              <w:right w:val="single" w:sz="8" w:space="0" w:color="000000"/>
            </w:tcBorders>
            <w:shd w:val="clear" w:color="auto" w:fill="F7F7F7"/>
          </w:tcPr>
          <w:p w14:paraId="5499C5CB" w14:textId="77777777" w:rsidR="00F72403" w:rsidRDefault="00A57DFE">
            <w:pPr>
              <w:pStyle w:val="TableParagraph"/>
              <w:spacing w:before="194"/>
              <w:ind w:left="120"/>
              <w:rPr>
                <w:b/>
                <w:sz w:val="20"/>
              </w:rPr>
            </w:pPr>
            <w:r>
              <w:rPr>
                <w:b/>
                <w:sz w:val="20"/>
              </w:rPr>
              <w:t>Methodology</w:t>
            </w:r>
          </w:p>
        </w:tc>
        <w:tc>
          <w:tcPr>
            <w:tcW w:w="3060" w:type="dxa"/>
            <w:tcBorders>
              <w:top w:val="single" w:sz="8" w:space="0" w:color="000000"/>
              <w:left w:val="single" w:sz="8" w:space="0" w:color="000000"/>
              <w:bottom w:val="single" w:sz="8" w:space="0" w:color="000000"/>
            </w:tcBorders>
            <w:shd w:val="clear" w:color="auto" w:fill="F7F7F7"/>
          </w:tcPr>
          <w:p w14:paraId="5499C5CC" w14:textId="77777777" w:rsidR="00F72403" w:rsidRDefault="00A57DFE">
            <w:pPr>
              <w:pStyle w:val="TableParagraph"/>
              <w:spacing w:before="194"/>
              <w:ind w:left="119"/>
              <w:rPr>
                <w:b/>
                <w:sz w:val="20"/>
              </w:rPr>
            </w:pPr>
            <w:r>
              <w:rPr>
                <w:b/>
                <w:sz w:val="20"/>
              </w:rPr>
              <w:t>Limitations</w:t>
            </w:r>
          </w:p>
        </w:tc>
      </w:tr>
      <w:tr w:rsidR="00F84112" w14:paraId="5499C5F9" w14:textId="77777777" w:rsidTr="005B4361">
        <w:trPr>
          <w:trHeight w:val="2819"/>
        </w:trPr>
        <w:tc>
          <w:tcPr>
            <w:tcW w:w="201" w:type="dxa"/>
            <w:vMerge/>
            <w:tcBorders>
              <w:top w:val="nil"/>
              <w:bottom w:val="nil"/>
              <w:right w:val="single" w:sz="8" w:space="0" w:color="000000"/>
            </w:tcBorders>
          </w:tcPr>
          <w:p w14:paraId="5499C5CE" w14:textId="77777777" w:rsidR="00F84112" w:rsidRDefault="00F84112" w:rsidP="00F84112">
            <w:pPr>
              <w:rPr>
                <w:sz w:val="2"/>
                <w:szCs w:val="2"/>
              </w:rPr>
            </w:pPr>
          </w:p>
        </w:tc>
        <w:tc>
          <w:tcPr>
            <w:tcW w:w="2677" w:type="dxa"/>
            <w:tcBorders>
              <w:top w:val="single" w:sz="8" w:space="0" w:color="000000"/>
              <w:left w:val="single" w:sz="8" w:space="0" w:color="000000"/>
              <w:bottom w:val="single" w:sz="8" w:space="0" w:color="000000"/>
              <w:right w:val="single" w:sz="8" w:space="0" w:color="000000"/>
            </w:tcBorders>
            <w:shd w:val="clear" w:color="auto" w:fill="F7F7F7"/>
          </w:tcPr>
          <w:p w14:paraId="5499C5D4" w14:textId="1E659971" w:rsidR="00F84112" w:rsidRDefault="00F84112" w:rsidP="00F84112">
            <w:pPr>
              <w:pStyle w:val="TableParagraph"/>
              <w:ind w:left="127" w:right="170"/>
              <w:rPr>
                <w:sz w:val="20"/>
              </w:rPr>
            </w:pPr>
            <w:r w:rsidRPr="00FF4D7D">
              <w:t>Blockchain for IoT Security</w:t>
            </w:r>
          </w:p>
        </w:tc>
        <w:tc>
          <w:tcPr>
            <w:tcW w:w="1833" w:type="dxa"/>
            <w:tcBorders>
              <w:top w:val="single" w:sz="8" w:space="0" w:color="000000"/>
              <w:left w:val="single" w:sz="8" w:space="0" w:color="000000"/>
              <w:bottom w:val="single" w:sz="8" w:space="0" w:color="000000"/>
              <w:right w:val="single" w:sz="8" w:space="0" w:color="000000"/>
            </w:tcBorders>
            <w:shd w:val="clear" w:color="auto" w:fill="F7F7F7"/>
          </w:tcPr>
          <w:p w14:paraId="5499C5DC" w14:textId="63011853" w:rsidR="00F84112" w:rsidRDefault="00F84112" w:rsidP="00F84112">
            <w:pPr>
              <w:pStyle w:val="TableParagraph"/>
              <w:spacing w:before="1"/>
              <w:ind w:left="126"/>
              <w:rPr>
                <w:sz w:val="20"/>
              </w:rPr>
            </w:pPr>
            <w:r w:rsidRPr="00FF4D7D">
              <w:t>Smith et al.</w:t>
            </w:r>
          </w:p>
        </w:tc>
        <w:tc>
          <w:tcPr>
            <w:tcW w:w="772" w:type="dxa"/>
            <w:tcBorders>
              <w:top w:val="single" w:sz="8" w:space="0" w:color="000000"/>
              <w:left w:val="single" w:sz="8" w:space="0" w:color="000000"/>
              <w:bottom w:val="single" w:sz="8" w:space="0" w:color="000000"/>
              <w:right w:val="single" w:sz="8" w:space="0" w:color="000000"/>
            </w:tcBorders>
            <w:shd w:val="clear" w:color="auto" w:fill="F7F7F7"/>
          </w:tcPr>
          <w:p w14:paraId="5499C5E4" w14:textId="27FA115E" w:rsidR="00F84112" w:rsidRDefault="00F84112" w:rsidP="00F84112">
            <w:pPr>
              <w:pStyle w:val="TableParagraph"/>
              <w:spacing w:before="1"/>
              <w:ind w:left="276"/>
              <w:rPr>
                <w:sz w:val="20"/>
              </w:rPr>
            </w:pPr>
            <w:r w:rsidRPr="00FF4D7D">
              <w:t>2020</w:t>
            </w:r>
          </w:p>
        </w:tc>
        <w:tc>
          <w:tcPr>
            <w:tcW w:w="1558" w:type="dxa"/>
            <w:tcBorders>
              <w:top w:val="single" w:sz="8" w:space="0" w:color="000000"/>
              <w:left w:val="single" w:sz="8" w:space="0" w:color="000000"/>
              <w:bottom w:val="single" w:sz="8" w:space="0" w:color="000000"/>
              <w:right w:val="single" w:sz="8" w:space="0" w:color="000000"/>
            </w:tcBorders>
            <w:shd w:val="clear" w:color="auto" w:fill="F7F7F7"/>
          </w:tcPr>
          <w:p w14:paraId="5499C5EC" w14:textId="22AD9ADB" w:rsidR="00F84112" w:rsidRDefault="00F84112" w:rsidP="00F84112">
            <w:pPr>
              <w:pStyle w:val="TableParagraph"/>
              <w:spacing w:before="1"/>
              <w:ind w:left="123"/>
              <w:rPr>
                <w:sz w:val="20"/>
              </w:rPr>
            </w:pPr>
            <w:r w:rsidRPr="00FF4D7D">
              <w:t>Case Study Analysis</w:t>
            </w:r>
          </w:p>
        </w:tc>
        <w:tc>
          <w:tcPr>
            <w:tcW w:w="3188" w:type="dxa"/>
            <w:tcBorders>
              <w:top w:val="single" w:sz="8" w:space="0" w:color="000000"/>
              <w:left w:val="single" w:sz="8" w:space="0" w:color="000000"/>
              <w:bottom w:val="single" w:sz="8" w:space="0" w:color="000000"/>
              <w:right w:val="single" w:sz="8" w:space="0" w:color="000000"/>
            </w:tcBorders>
            <w:shd w:val="clear" w:color="auto" w:fill="F7F7F7"/>
          </w:tcPr>
          <w:p w14:paraId="5499C5F1" w14:textId="074CC655" w:rsidR="00F84112" w:rsidRDefault="00F84112" w:rsidP="00F84112">
            <w:pPr>
              <w:pStyle w:val="TableParagraph"/>
              <w:spacing w:before="1"/>
              <w:ind w:left="122" w:right="87"/>
            </w:pPr>
            <w:r w:rsidRPr="00FF4D7D">
              <w:t>Blockchain’s decentralized architecture enhances IoT network security by mitigating data tampering risks and reducing vulnerabilities related to central data points.</w:t>
            </w:r>
          </w:p>
        </w:tc>
        <w:tc>
          <w:tcPr>
            <w:tcW w:w="1582" w:type="dxa"/>
            <w:tcBorders>
              <w:top w:val="single" w:sz="8" w:space="0" w:color="000000"/>
              <w:left w:val="single" w:sz="8" w:space="0" w:color="000000"/>
              <w:bottom w:val="single" w:sz="8" w:space="0" w:color="000000"/>
              <w:right w:val="single" w:sz="8" w:space="0" w:color="000000"/>
            </w:tcBorders>
            <w:shd w:val="clear" w:color="auto" w:fill="F7F7F7"/>
          </w:tcPr>
          <w:p w14:paraId="5499C5F5" w14:textId="5F398609" w:rsidR="00F84112" w:rsidRDefault="00F84112" w:rsidP="00F84112">
            <w:pPr>
              <w:pStyle w:val="TableParagraph"/>
              <w:spacing w:line="230" w:lineRule="atLeast"/>
              <w:ind w:left="130" w:right="88"/>
              <w:jc w:val="center"/>
              <w:rPr>
                <w:sz w:val="20"/>
              </w:rPr>
            </w:pPr>
            <w:r w:rsidRPr="00FF4D7D">
              <w:t>Analyzed blockchain applications in smart home IoT networks to assess security improvements through case study examples.</w:t>
            </w:r>
          </w:p>
        </w:tc>
        <w:tc>
          <w:tcPr>
            <w:tcW w:w="3060" w:type="dxa"/>
            <w:tcBorders>
              <w:top w:val="single" w:sz="8" w:space="0" w:color="000000"/>
              <w:left w:val="single" w:sz="8" w:space="0" w:color="000000"/>
              <w:bottom w:val="single" w:sz="8" w:space="0" w:color="000000"/>
            </w:tcBorders>
            <w:shd w:val="clear" w:color="auto" w:fill="F7F7F7"/>
          </w:tcPr>
          <w:p w14:paraId="5499C5F8" w14:textId="457E4BD2" w:rsidR="00F84112" w:rsidRDefault="00F84112" w:rsidP="00F84112">
            <w:pPr>
              <w:pStyle w:val="TableParagraph"/>
              <w:ind w:left="119" w:right="70"/>
            </w:pPr>
            <w:r w:rsidRPr="00FF4D7D">
              <w:t>Limited to small-scale applications, lacks insights into scalability for larger IoT networks.</w:t>
            </w:r>
          </w:p>
        </w:tc>
      </w:tr>
      <w:tr w:rsidR="00F72403" w14:paraId="5499C5FB" w14:textId="77777777" w:rsidTr="005B4361">
        <w:trPr>
          <w:trHeight w:val="1177"/>
        </w:trPr>
        <w:tc>
          <w:tcPr>
            <w:tcW w:w="14871" w:type="dxa"/>
            <w:gridSpan w:val="8"/>
            <w:tcBorders>
              <w:top w:val="nil"/>
            </w:tcBorders>
          </w:tcPr>
          <w:p w14:paraId="5499C5FA" w14:textId="77777777" w:rsidR="00F72403" w:rsidRDefault="00F72403">
            <w:pPr>
              <w:pStyle w:val="TableParagraph"/>
            </w:pPr>
          </w:p>
        </w:tc>
      </w:tr>
    </w:tbl>
    <w:p w14:paraId="5499C5FC" w14:textId="77777777" w:rsidR="00F72403" w:rsidRDefault="00F72403">
      <w:pPr>
        <w:sectPr w:rsidR="00F72403">
          <w:pgSz w:w="15840" w:h="12240" w:orient="landscape"/>
          <w:pgMar w:top="500" w:right="360" w:bottom="280" w:left="380" w:header="720" w:footer="720" w:gutter="0"/>
          <w:cols w:space="720"/>
        </w:sectPr>
      </w:pPr>
    </w:p>
    <w:tbl>
      <w:tblPr>
        <w:tblW w:w="0" w:type="auto"/>
        <w:tblInd w:w="120" w:type="dxa"/>
        <w:tblBorders>
          <w:top w:val="thinThickMediumGap" w:sz="12" w:space="0" w:color="000000"/>
          <w:left w:val="thinThickMediumGap" w:sz="12" w:space="0" w:color="000000"/>
          <w:bottom w:val="thinThickMediumGap" w:sz="12" w:space="0" w:color="000000"/>
          <w:right w:val="thinThickMediumGap" w:sz="12" w:space="0" w:color="000000"/>
          <w:insideH w:val="thinThickMediumGap" w:sz="12" w:space="0" w:color="000000"/>
          <w:insideV w:val="thinThickMediumGap" w:sz="12" w:space="0" w:color="000000"/>
        </w:tblBorders>
        <w:tblLayout w:type="fixed"/>
        <w:tblCellMar>
          <w:left w:w="0" w:type="dxa"/>
          <w:right w:w="0" w:type="dxa"/>
        </w:tblCellMar>
        <w:tblLook w:val="01E0" w:firstRow="1" w:lastRow="1" w:firstColumn="1" w:lastColumn="1" w:noHBand="0" w:noVBand="0"/>
      </w:tblPr>
      <w:tblGrid>
        <w:gridCol w:w="69"/>
        <w:gridCol w:w="619"/>
        <w:gridCol w:w="189"/>
        <w:gridCol w:w="1881"/>
        <w:gridCol w:w="189"/>
        <w:gridCol w:w="1644"/>
        <w:gridCol w:w="189"/>
        <w:gridCol w:w="583"/>
        <w:gridCol w:w="189"/>
        <w:gridCol w:w="1106"/>
        <w:gridCol w:w="189"/>
        <w:gridCol w:w="3262"/>
        <w:gridCol w:w="189"/>
        <w:gridCol w:w="2074"/>
        <w:gridCol w:w="189"/>
        <w:gridCol w:w="2289"/>
        <w:gridCol w:w="23"/>
      </w:tblGrid>
      <w:tr w:rsidR="00F72403" w14:paraId="5499C5FE" w14:textId="77777777" w:rsidTr="00E5233F">
        <w:trPr>
          <w:gridBefore w:val="1"/>
          <w:wBefore w:w="69" w:type="dxa"/>
          <w:trHeight w:val="870"/>
        </w:trPr>
        <w:tc>
          <w:tcPr>
            <w:tcW w:w="14804" w:type="dxa"/>
            <w:gridSpan w:val="16"/>
            <w:tcBorders>
              <w:bottom w:val="nil"/>
            </w:tcBorders>
          </w:tcPr>
          <w:p w14:paraId="5499C5FD" w14:textId="77777777" w:rsidR="00F72403" w:rsidRDefault="00F72403">
            <w:pPr>
              <w:pStyle w:val="TableParagraph"/>
              <w:rPr>
                <w:sz w:val="20"/>
              </w:rPr>
            </w:pPr>
          </w:p>
        </w:tc>
      </w:tr>
      <w:tr w:rsidR="00932F50" w14:paraId="5499C638" w14:textId="77777777" w:rsidTr="00E5233F">
        <w:trPr>
          <w:gridBefore w:val="1"/>
          <w:wBefore w:w="69" w:type="dxa"/>
          <w:trHeight w:val="1919"/>
        </w:trPr>
        <w:tc>
          <w:tcPr>
            <w:tcW w:w="808" w:type="dxa"/>
            <w:gridSpan w:val="2"/>
            <w:tcBorders>
              <w:top w:val="nil"/>
              <w:bottom w:val="nil"/>
              <w:right w:val="single" w:sz="8" w:space="0" w:color="000000"/>
            </w:tcBorders>
          </w:tcPr>
          <w:p w14:paraId="5499C60C" w14:textId="77777777" w:rsidR="00932F50" w:rsidRDefault="00932F50" w:rsidP="00932F50">
            <w:pPr>
              <w:rPr>
                <w:sz w:val="2"/>
                <w:szCs w:val="2"/>
              </w:rPr>
            </w:pPr>
          </w:p>
        </w:tc>
        <w:tc>
          <w:tcPr>
            <w:tcW w:w="2070" w:type="dxa"/>
            <w:gridSpan w:val="2"/>
            <w:tcBorders>
              <w:top w:val="single" w:sz="8" w:space="0" w:color="000000"/>
              <w:left w:val="single" w:sz="8" w:space="0" w:color="000000"/>
              <w:bottom w:val="single" w:sz="8" w:space="0" w:color="000000"/>
              <w:right w:val="single" w:sz="8" w:space="0" w:color="000000"/>
            </w:tcBorders>
            <w:shd w:val="clear" w:color="auto" w:fill="F7F7F7"/>
          </w:tcPr>
          <w:p w14:paraId="5499C613" w14:textId="72961B0F" w:rsidR="00932F50" w:rsidRDefault="00932F50" w:rsidP="00932F50">
            <w:pPr>
              <w:pStyle w:val="TableParagraph"/>
              <w:spacing w:before="1"/>
              <w:ind w:left="127" w:right="109"/>
              <w:rPr>
                <w:sz w:val="20"/>
              </w:rPr>
            </w:pPr>
            <w:r w:rsidRPr="00A846E3">
              <w:t>Supply Chain Transparency</w:t>
            </w:r>
          </w:p>
        </w:tc>
        <w:tc>
          <w:tcPr>
            <w:tcW w:w="1833" w:type="dxa"/>
            <w:gridSpan w:val="2"/>
            <w:tcBorders>
              <w:top w:val="single" w:sz="8" w:space="0" w:color="000000"/>
              <w:left w:val="single" w:sz="8" w:space="0" w:color="000000"/>
              <w:bottom w:val="single" w:sz="8" w:space="0" w:color="000000"/>
              <w:right w:val="single" w:sz="8" w:space="0" w:color="000000"/>
            </w:tcBorders>
            <w:shd w:val="clear" w:color="auto" w:fill="F7F7F7"/>
          </w:tcPr>
          <w:p w14:paraId="5499C61A" w14:textId="2002435E" w:rsidR="00932F50" w:rsidRDefault="00932F50" w:rsidP="00932F50">
            <w:pPr>
              <w:pStyle w:val="TableParagraph"/>
              <w:spacing w:before="178"/>
              <w:ind w:left="126" w:right="411"/>
              <w:rPr>
                <w:sz w:val="20"/>
              </w:rPr>
            </w:pPr>
            <w:r w:rsidRPr="00A846E3">
              <w:t>Jones &amp; Kim</w:t>
            </w:r>
          </w:p>
        </w:tc>
        <w:tc>
          <w:tcPr>
            <w:tcW w:w="772" w:type="dxa"/>
            <w:gridSpan w:val="2"/>
            <w:tcBorders>
              <w:top w:val="single" w:sz="8" w:space="0" w:color="000000"/>
              <w:left w:val="single" w:sz="8" w:space="0" w:color="000000"/>
              <w:bottom w:val="single" w:sz="8" w:space="0" w:color="000000"/>
              <w:right w:val="single" w:sz="8" w:space="0" w:color="000000"/>
            </w:tcBorders>
            <w:shd w:val="clear" w:color="auto" w:fill="F7F7F7"/>
          </w:tcPr>
          <w:p w14:paraId="5499C623" w14:textId="3B3DA5E8" w:rsidR="00932F50" w:rsidRDefault="00932F50" w:rsidP="00932F50">
            <w:pPr>
              <w:pStyle w:val="TableParagraph"/>
              <w:ind w:left="276"/>
              <w:rPr>
                <w:sz w:val="20"/>
              </w:rPr>
            </w:pPr>
            <w:r w:rsidRPr="00A846E3">
              <w:t>2022</w:t>
            </w:r>
          </w:p>
        </w:tc>
        <w:tc>
          <w:tcPr>
            <w:tcW w:w="1295" w:type="dxa"/>
            <w:gridSpan w:val="2"/>
            <w:tcBorders>
              <w:top w:val="single" w:sz="8" w:space="0" w:color="000000"/>
              <w:left w:val="single" w:sz="8" w:space="0" w:color="000000"/>
              <w:bottom w:val="single" w:sz="8" w:space="0" w:color="000000"/>
              <w:right w:val="single" w:sz="8" w:space="0" w:color="000000"/>
            </w:tcBorders>
            <w:shd w:val="clear" w:color="auto" w:fill="F7F7F7"/>
          </w:tcPr>
          <w:p w14:paraId="5499C62C" w14:textId="2B3DAA23" w:rsidR="00932F50" w:rsidRDefault="00932F50" w:rsidP="00932F50">
            <w:pPr>
              <w:pStyle w:val="TableParagraph"/>
              <w:ind w:left="123"/>
              <w:rPr>
                <w:sz w:val="20"/>
              </w:rPr>
            </w:pPr>
            <w:r w:rsidRPr="00A846E3">
              <w:t>Empirical Analysis</w:t>
            </w:r>
          </w:p>
        </w:tc>
        <w:tc>
          <w:tcPr>
            <w:tcW w:w="3451" w:type="dxa"/>
            <w:gridSpan w:val="2"/>
            <w:tcBorders>
              <w:top w:val="single" w:sz="8" w:space="0" w:color="000000"/>
              <w:left w:val="single" w:sz="8" w:space="0" w:color="000000"/>
              <w:bottom w:val="single" w:sz="8" w:space="0" w:color="000000"/>
              <w:right w:val="single" w:sz="8" w:space="0" w:color="000000"/>
            </w:tcBorders>
            <w:shd w:val="clear" w:color="auto" w:fill="F7F7F7"/>
          </w:tcPr>
          <w:p w14:paraId="5499C631" w14:textId="6EAD3CB7" w:rsidR="00932F50" w:rsidRDefault="00932F50" w:rsidP="00932F50">
            <w:pPr>
              <w:pStyle w:val="TableParagraph"/>
              <w:ind w:left="122" w:right="269"/>
            </w:pPr>
            <w:r w:rsidRPr="00A846E3">
              <w:t>Integrating blockchain with IoT improves transparency and traceability in supply chains, reducing counterfeits and enabling real-time product tracking and monitoring.</w:t>
            </w:r>
          </w:p>
        </w:tc>
        <w:tc>
          <w:tcPr>
            <w:tcW w:w="2263" w:type="dxa"/>
            <w:gridSpan w:val="2"/>
            <w:tcBorders>
              <w:top w:val="single" w:sz="8" w:space="0" w:color="000000"/>
              <w:left w:val="single" w:sz="8" w:space="0" w:color="000000"/>
              <w:bottom w:val="single" w:sz="8" w:space="0" w:color="000000"/>
              <w:right w:val="single" w:sz="8" w:space="0" w:color="000000"/>
            </w:tcBorders>
            <w:shd w:val="clear" w:color="auto" w:fill="F7F7F7"/>
          </w:tcPr>
          <w:p w14:paraId="5499C634" w14:textId="054304F3" w:rsidR="00932F50" w:rsidRDefault="00932F50" w:rsidP="00932F50">
            <w:pPr>
              <w:pStyle w:val="TableParagraph"/>
              <w:ind w:left="147" w:right="105" w:hanging="3"/>
              <w:jc w:val="center"/>
              <w:rPr>
                <w:sz w:val="20"/>
              </w:rPr>
            </w:pPr>
            <w:r w:rsidRPr="00A846E3">
              <w:t>Empirically tested blockchain-enabled IoT in supply chain systems, focusing on traceability and transparency improvements.</w:t>
            </w:r>
          </w:p>
        </w:tc>
        <w:tc>
          <w:tcPr>
            <w:tcW w:w="2312" w:type="dxa"/>
            <w:gridSpan w:val="2"/>
            <w:tcBorders>
              <w:top w:val="single" w:sz="8" w:space="0" w:color="000000"/>
              <w:left w:val="single" w:sz="8" w:space="0" w:color="000000"/>
              <w:bottom w:val="single" w:sz="8" w:space="0" w:color="000000"/>
            </w:tcBorders>
            <w:shd w:val="clear" w:color="auto" w:fill="F7F7F7"/>
          </w:tcPr>
          <w:p w14:paraId="5499C637" w14:textId="5E740430" w:rsidR="00932F50" w:rsidRDefault="00932F50" w:rsidP="00932F50">
            <w:pPr>
              <w:pStyle w:val="TableParagraph"/>
              <w:spacing w:line="252" w:lineRule="exact"/>
              <w:ind w:left="119" w:right="67"/>
            </w:pPr>
            <w:r w:rsidRPr="00A846E3">
              <w:t>Regional focus; does not address scalability and efficiency challenges in global supply chains.</w:t>
            </w:r>
          </w:p>
        </w:tc>
      </w:tr>
      <w:tr w:rsidR="00F72403" w14:paraId="5499C63A" w14:textId="77777777" w:rsidTr="00E5233F">
        <w:trPr>
          <w:gridBefore w:val="1"/>
          <w:wBefore w:w="69" w:type="dxa"/>
          <w:trHeight w:val="1715"/>
        </w:trPr>
        <w:tc>
          <w:tcPr>
            <w:tcW w:w="14804" w:type="dxa"/>
            <w:gridSpan w:val="16"/>
            <w:tcBorders>
              <w:top w:val="nil"/>
            </w:tcBorders>
          </w:tcPr>
          <w:p w14:paraId="5499C639" w14:textId="77777777" w:rsidR="00F72403" w:rsidRDefault="00F72403">
            <w:pPr>
              <w:pStyle w:val="TableParagraph"/>
              <w:rPr>
                <w:sz w:val="20"/>
              </w:rPr>
            </w:pPr>
          </w:p>
        </w:tc>
      </w:tr>
      <w:tr w:rsidR="005B4361" w14:paraId="2202EB6F" w14:textId="77777777" w:rsidTr="00E5233F">
        <w:trPr>
          <w:gridAfter w:val="1"/>
          <w:wAfter w:w="23" w:type="dxa"/>
          <w:trHeight w:val="1715"/>
        </w:trPr>
        <w:tc>
          <w:tcPr>
            <w:tcW w:w="14850" w:type="dxa"/>
            <w:gridSpan w:val="16"/>
            <w:tcBorders>
              <w:top w:val="nil"/>
              <w:left w:val="thinThickMediumGap" w:sz="12" w:space="0" w:color="000000"/>
              <w:bottom w:val="thinThickMediumGap" w:sz="12" w:space="0" w:color="000000"/>
              <w:right w:val="thinThickMediumGap" w:sz="12" w:space="0" w:color="000000"/>
            </w:tcBorders>
          </w:tcPr>
          <w:p w14:paraId="1D535C26" w14:textId="77777777" w:rsidR="005B4361" w:rsidRDefault="005B4361" w:rsidP="00206005">
            <w:pPr>
              <w:pStyle w:val="TableParagraph"/>
              <w:rPr>
                <w:sz w:val="20"/>
              </w:rPr>
            </w:pPr>
          </w:p>
        </w:tc>
      </w:tr>
      <w:tr w:rsidR="005B4361" w14:paraId="4DF029E4" w14:textId="77777777" w:rsidTr="00E5233F">
        <w:trPr>
          <w:gridAfter w:val="1"/>
          <w:wAfter w:w="23" w:type="dxa"/>
          <w:trHeight w:val="2462"/>
        </w:trPr>
        <w:tc>
          <w:tcPr>
            <w:tcW w:w="688" w:type="dxa"/>
            <w:gridSpan w:val="2"/>
            <w:tcBorders>
              <w:top w:val="nil"/>
              <w:bottom w:val="nil"/>
              <w:right w:val="single" w:sz="8" w:space="0" w:color="000000"/>
            </w:tcBorders>
          </w:tcPr>
          <w:p w14:paraId="650EBBB1" w14:textId="77777777" w:rsidR="005B4361" w:rsidRDefault="005B4361" w:rsidP="00206005">
            <w:pPr>
              <w:rPr>
                <w:sz w:val="2"/>
                <w:szCs w:val="2"/>
              </w:rPr>
            </w:pPr>
          </w:p>
        </w:tc>
        <w:tc>
          <w:tcPr>
            <w:tcW w:w="2070" w:type="dxa"/>
            <w:gridSpan w:val="2"/>
            <w:tcBorders>
              <w:top w:val="single" w:sz="8" w:space="0" w:color="000000"/>
              <w:left w:val="single" w:sz="8" w:space="0" w:color="000000"/>
              <w:bottom w:val="single" w:sz="8" w:space="0" w:color="000000"/>
              <w:right w:val="single" w:sz="8" w:space="0" w:color="000000"/>
            </w:tcBorders>
            <w:shd w:val="clear" w:color="auto" w:fill="F7F7F7"/>
          </w:tcPr>
          <w:p w14:paraId="01436240" w14:textId="77777777" w:rsidR="005B4361" w:rsidRDefault="005B4361" w:rsidP="00206005">
            <w:pPr>
              <w:pStyle w:val="TableParagraph"/>
              <w:ind w:left="127" w:right="381"/>
              <w:rPr>
                <w:sz w:val="20"/>
              </w:rPr>
            </w:pPr>
            <w:r w:rsidRPr="007A3798">
              <w:t>Scalability in IoT-Blockchain</w:t>
            </w:r>
          </w:p>
        </w:tc>
        <w:tc>
          <w:tcPr>
            <w:tcW w:w="1833" w:type="dxa"/>
            <w:gridSpan w:val="2"/>
            <w:tcBorders>
              <w:top w:val="single" w:sz="8" w:space="0" w:color="000000"/>
              <w:left w:val="single" w:sz="8" w:space="0" w:color="000000"/>
              <w:bottom w:val="single" w:sz="8" w:space="0" w:color="000000"/>
              <w:right w:val="single" w:sz="8" w:space="0" w:color="000000"/>
            </w:tcBorders>
            <w:shd w:val="clear" w:color="auto" w:fill="F7F7F7"/>
          </w:tcPr>
          <w:p w14:paraId="111CE8C6" w14:textId="77777777" w:rsidR="005B4361" w:rsidRDefault="005B4361" w:rsidP="00206005">
            <w:pPr>
              <w:pStyle w:val="TableParagraph"/>
              <w:ind w:left="126"/>
              <w:rPr>
                <w:sz w:val="20"/>
              </w:rPr>
            </w:pPr>
            <w:r w:rsidRPr="007A3798">
              <w:t>Alvarez et al.</w:t>
            </w:r>
          </w:p>
        </w:tc>
        <w:tc>
          <w:tcPr>
            <w:tcW w:w="772" w:type="dxa"/>
            <w:gridSpan w:val="2"/>
            <w:tcBorders>
              <w:top w:val="single" w:sz="8" w:space="0" w:color="000000"/>
              <w:left w:val="single" w:sz="8" w:space="0" w:color="000000"/>
              <w:bottom w:val="single" w:sz="8" w:space="0" w:color="000000"/>
              <w:right w:val="single" w:sz="8" w:space="0" w:color="000000"/>
            </w:tcBorders>
            <w:shd w:val="clear" w:color="auto" w:fill="F7F7F7"/>
          </w:tcPr>
          <w:p w14:paraId="1D1ABE43" w14:textId="77777777" w:rsidR="005B4361" w:rsidRDefault="005B4361" w:rsidP="00206005">
            <w:pPr>
              <w:pStyle w:val="TableParagraph"/>
              <w:ind w:left="276"/>
              <w:rPr>
                <w:sz w:val="20"/>
              </w:rPr>
            </w:pPr>
            <w:r w:rsidRPr="007A3798">
              <w:t>2021</w:t>
            </w:r>
          </w:p>
        </w:tc>
        <w:tc>
          <w:tcPr>
            <w:tcW w:w="1295" w:type="dxa"/>
            <w:gridSpan w:val="2"/>
            <w:tcBorders>
              <w:top w:val="single" w:sz="8" w:space="0" w:color="000000"/>
              <w:left w:val="single" w:sz="8" w:space="0" w:color="000000"/>
              <w:bottom w:val="single" w:sz="8" w:space="0" w:color="000000"/>
              <w:right w:val="single" w:sz="8" w:space="0" w:color="000000"/>
            </w:tcBorders>
            <w:shd w:val="clear" w:color="auto" w:fill="F7F7F7"/>
          </w:tcPr>
          <w:p w14:paraId="2601D683" w14:textId="77777777" w:rsidR="005B4361" w:rsidRDefault="005B4361" w:rsidP="00206005">
            <w:pPr>
              <w:pStyle w:val="TableParagraph"/>
              <w:ind w:left="123"/>
              <w:rPr>
                <w:sz w:val="20"/>
              </w:rPr>
            </w:pPr>
            <w:r w:rsidRPr="007A3798">
              <w:t>Simulation Study</w:t>
            </w:r>
          </w:p>
        </w:tc>
        <w:tc>
          <w:tcPr>
            <w:tcW w:w="3451" w:type="dxa"/>
            <w:gridSpan w:val="2"/>
            <w:tcBorders>
              <w:top w:val="single" w:sz="8" w:space="0" w:color="000000"/>
              <w:left w:val="single" w:sz="8" w:space="0" w:color="000000"/>
              <w:bottom w:val="single" w:sz="8" w:space="0" w:color="000000"/>
              <w:right w:val="single" w:sz="8" w:space="0" w:color="000000"/>
            </w:tcBorders>
            <w:shd w:val="clear" w:color="auto" w:fill="F7F7F7"/>
          </w:tcPr>
          <w:p w14:paraId="2F8F2A55" w14:textId="77777777" w:rsidR="005B4361" w:rsidRDefault="005B4361" w:rsidP="00206005">
            <w:pPr>
              <w:pStyle w:val="TableParagraph"/>
              <w:spacing w:before="1"/>
              <w:ind w:left="122" w:right="80"/>
            </w:pPr>
            <w:r w:rsidRPr="007A3798">
              <w:t>Proof of Work blockchain protocols face scalability issues in large IoT networks due to high latency and processing requirements, impacting real-time applications.</w:t>
            </w:r>
          </w:p>
        </w:tc>
        <w:tc>
          <w:tcPr>
            <w:tcW w:w="2263" w:type="dxa"/>
            <w:gridSpan w:val="2"/>
            <w:tcBorders>
              <w:top w:val="single" w:sz="8" w:space="0" w:color="000000"/>
              <w:left w:val="single" w:sz="8" w:space="0" w:color="000000"/>
              <w:bottom w:val="single" w:sz="8" w:space="0" w:color="000000"/>
              <w:right w:val="single" w:sz="8" w:space="0" w:color="000000"/>
            </w:tcBorders>
            <w:shd w:val="clear" w:color="auto" w:fill="F7F7F7"/>
          </w:tcPr>
          <w:p w14:paraId="2257CCB2" w14:textId="77777777" w:rsidR="005B4361" w:rsidRDefault="005B4361" w:rsidP="00206005">
            <w:pPr>
              <w:pStyle w:val="TableParagraph"/>
              <w:spacing w:before="1"/>
              <w:ind w:left="178" w:right="135" w:hanging="2"/>
              <w:jc w:val="center"/>
              <w:rPr>
                <w:sz w:val="20"/>
              </w:rPr>
            </w:pPr>
            <w:r w:rsidRPr="007A3798">
              <w:t>Simulated blockchain performance in IoT environments with high data volumes to analyze scalability and processing constraints.</w:t>
            </w:r>
          </w:p>
        </w:tc>
        <w:tc>
          <w:tcPr>
            <w:tcW w:w="2478" w:type="dxa"/>
            <w:gridSpan w:val="2"/>
            <w:tcBorders>
              <w:top w:val="single" w:sz="8" w:space="0" w:color="000000"/>
              <w:left w:val="single" w:sz="8" w:space="0" w:color="000000"/>
              <w:bottom w:val="single" w:sz="8" w:space="0" w:color="000000"/>
            </w:tcBorders>
            <w:shd w:val="clear" w:color="auto" w:fill="F7F7F7"/>
          </w:tcPr>
          <w:p w14:paraId="1D548146" w14:textId="77777777" w:rsidR="005B4361" w:rsidRDefault="005B4361" w:rsidP="00206005">
            <w:pPr>
              <w:pStyle w:val="TableParagraph"/>
              <w:spacing w:before="1"/>
              <w:ind w:left="119" w:right="145"/>
            </w:pPr>
            <w:r w:rsidRPr="007A3798">
              <w:t>Simulation lacks real-world testing, limiting generalizability of results to real IoT applications.</w:t>
            </w:r>
          </w:p>
        </w:tc>
      </w:tr>
      <w:tr w:rsidR="005B4361" w14:paraId="0D673E29" w14:textId="77777777" w:rsidTr="00E5233F">
        <w:trPr>
          <w:gridAfter w:val="1"/>
          <w:wAfter w:w="23" w:type="dxa"/>
          <w:trHeight w:val="1137"/>
        </w:trPr>
        <w:tc>
          <w:tcPr>
            <w:tcW w:w="14850" w:type="dxa"/>
            <w:gridSpan w:val="16"/>
            <w:tcBorders>
              <w:top w:val="nil"/>
            </w:tcBorders>
          </w:tcPr>
          <w:p w14:paraId="1183EEA7" w14:textId="77777777" w:rsidR="005B4361" w:rsidRDefault="005B4361" w:rsidP="00206005">
            <w:pPr>
              <w:pStyle w:val="TableParagraph"/>
              <w:rPr>
                <w:sz w:val="20"/>
              </w:rPr>
            </w:pPr>
          </w:p>
        </w:tc>
      </w:tr>
    </w:tbl>
    <w:p w14:paraId="5499C63B" w14:textId="77777777" w:rsidR="00F72403" w:rsidRDefault="00F72403">
      <w:pPr>
        <w:rPr>
          <w:sz w:val="20"/>
        </w:rPr>
        <w:sectPr w:rsidR="00F72403">
          <w:pgSz w:w="15840" w:h="12240" w:orient="landscape"/>
          <w:pgMar w:top="500" w:right="360" w:bottom="280" w:left="380" w:header="720" w:footer="720" w:gutter="0"/>
          <w:cols w:space="720"/>
        </w:sectPr>
      </w:pPr>
    </w:p>
    <w:tbl>
      <w:tblPr>
        <w:tblpPr w:leftFromText="180" w:rightFromText="180" w:vertAnchor="text" w:horzAnchor="margin" w:tblpY="1265"/>
        <w:tblW w:w="0" w:type="auto"/>
        <w:tblBorders>
          <w:top w:val="thinThickMediumGap" w:sz="12" w:space="0" w:color="000000"/>
          <w:left w:val="thinThickMediumGap" w:sz="12" w:space="0" w:color="000000"/>
          <w:bottom w:val="thinThickMediumGap" w:sz="12" w:space="0" w:color="000000"/>
          <w:right w:val="thinThickMediumGap" w:sz="12" w:space="0" w:color="000000"/>
          <w:insideH w:val="thinThickMediumGap" w:sz="12" w:space="0" w:color="000000"/>
          <w:insideV w:val="thinThickMediumGap" w:sz="12" w:space="0" w:color="000000"/>
        </w:tblBorders>
        <w:tblLayout w:type="fixed"/>
        <w:tblCellMar>
          <w:left w:w="0" w:type="dxa"/>
          <w:right w:w="0" w:type="dxa"/>
        </w:tblCellMar>
        <w:tblLook w:val="01E0" w:firstRow="1" w:lastRow="1" w:firstColumn="1" w:lastColumn="1" w:noHBand="0" w:noVBand="0"/>
      </w:tblPr>
      <w:tblGrid>
        <w:gridCol w:w="812"/>
        <w:gridCol w:w="2064"/>
        <w:gridCol w:w="1831"/>
        <w:gridCol w:w="770"/>
        <w:gridCol w:w="1293"/>
        <w:gridCol w:w="3449"/>
        <w:gridCol w:w="2261"/>
        <w:gridCol w:w="2310"/>
      </w:tblGrid>
      <w:tr w:rsidR="005B4361" w14:paraId="20C0A201" w14:textId="77777777" w:rsidTr="005B4361">
        <w:trPr>
          <w:trHeight w:val="870"/>
        </w:trPr>
        <w:tc>
          <w:tcPr>
            <w:tcW w:w="14790" w:type="dxa"/>
            <w:gridSpan w:val="8"/>
            <w:tcBorders>
              <w:bottom w:val="nil"/>
            </w:tcBorders>
          </w:tcPr>
          <w:p w14:paraId="122496FA" w14:textId="77777777" w:rsidR="005B4361" w:rsidRDefault="005B4361" w:rsidP="005B4361">
            <w:pPr>
              <w:pStyle w:val="TableParagraph"/>
              <w:rPr>
                <w:sz w:val="20"/>
              </w:rPr>
            </w:pPr>
          </w:p>
        </w:tc>
      </w:tr>
      <w:tr w:rsidR="005B4361" w14:paraId="2C4289DA" w14:textId="77777777" w:rsidTr="005B4361">
        <w:trPr>
          <w:trHeight w:val="2009"/>
        </w:trPr>
        <w:tc>
          <w:tcPr>
            <w:tcW w:w="812" w:type="dxa"/>
            <w:tcBorders>
              <w:top w:val="nil"/>
              <w:bottom w:val="nil"/>
              <w:right w:val="single" w:sz="8" w:space="0" w:color="000000"/>
            </w:tcBorders>
          </w:tcPr>
          <w:p w14:paraId="1913C826" w14:textId="77777777" w:rsidR="005B4361" w:rsidRDefault="005B4361" w:rsidP="005B4361">
            <w:pPr>
              <w:rPr>
                <w:sz w:val="2"/>
                <w:szCs w:val="2"/>
              </w:rPr>
            </w:pPr>
          </w:p>
        </w:tc>
        <w:tc>
          <w:tcPr>
            <w:tcW w:w="2064" w:type="dxa"/>
            <w:tcBorders>
              <w:top w:val="single" w:sz="8" w:space="0" w:color="000000"/>
              <w:left w:val="single" w:sz="8" w:space="0" w:color="000000"/>
              <w:bottom w:val="single" w:sz="8" w:space="0" w:color="000000"/>
              <w:right w:val="single" w:sz="8" w:space="0" w:color="000000"/>
            </w:tcBorders>
            <w:shd w:val="clear" w:color="auto" w:fill="F7F7F7"/>
          </w:tcPr>
          <w:p w14:paraId="26F20DBB" w14:textId="77777777" w:rsidR="005B4361" w:rsidRDefault="005B4361" w:rsidP="005B4361">
            <w:pPr>
              <w:pStyle w:val="TableParagraph"/>
              <w:spacing w:before="1"/>
              <w:ind w:left="123" w:right="785"/>
              <w:rPr>
                <w:sz w:val="20"/>
              </w:rPr>
            </w:pPr>
            <w:r w:rsidRPr="00DA1097">
              <w:t>Energy Efficiency in Blockchain IoT</w:t>
            </w:r>
          </w:p>
        </w:tc>
        <w:tc>
          <w:tcPr>
            <w:tcW w:w="1831" w:type="dxa"/>
            <w:tcBorders>
              <w:top w:val="single" w:sz="8" w:space="0" w:color="000000"/>
              <w:left w:val="single" w:sz="8" w:space="0" w:color="000000"/>
              <w:bottom w:val="single" w:sz="8" w:space="0" w:color="000000"/>
              <w:right w:val="single" w:sz="8" w:space="0" w:color="000000"/>
            </w:tcBorders>
            <w:shd w:val="clear" w:color="auto" w:fill="F7F7F7"/>
          </w:tcPr>
          <w:p w14:paraId="2F05940E" w14:textId="77777777" w:rsidR="005B4361" w:rsidRDefault="005B4361" w:rsidP="005B4361">
            <w:pPr>
              <w:pStyle w:val="TableParagraph"/>
              <w:ind w:left="128" w:right="75"/>
              <w:rPr>
                <w:sz w:val="20"/>
              </w:rPr>
            </w:pPr>
            <w:r w:rsidRPr="00DA1097">
              <w:t>Patel &amp; Wang</w:t>
            </w:r>
          </w:p>
        </w:tc>
        <w:tc>
          <w:tcPr>
            <w:tcW w:w="770" w:type="dxa"/>
            <w:tcBorders>
              <w:top w:val="single" w:sz="8" w:space="0" w:color="000000"/>
              <w:left w:val="single" w:sz="8" w:space="0" w:color="000000"/>
              <w:bottom w:val="single" w:sz="8" w:space="0" w:color="000000"/>
              <w:right w:val="single" w:sz="8" w:space="0" w:color="000000"/>
            </w:tcBorders>
            <w:shd w:val="clear" w:color="auto" w:fill="F7F7F7"/>
          </w:tcPr>
          <w:p w14:paraId="040D9DC1" w14:textId="77777777" w:rsidR="005B4361" w:rsidRDefault="005B4361" w:rsidP="005B4361">
            <w:pPr>
              <w:pStyle w:val="TableParagraph"/>
              <w:spacing w:before="1"/>
              <w:ind w:left="280"/>
              <w:rPr>
                <w:sz w:val="20"/>
              </w:rPr>
            </w:pPr>
            <w:r w:rsidRPr="00DA1097">
              <w:t>2020</w:t>
            </w:r>
          </w:p>
        </w:tc>
        <w:tc>
          <w:tcPr>
            <w:tcW w:w="1293" w:type="dxa"/>
            <w:tcBorders>
              <w:top w:val="single" w:sz="8" w:space="0" w:color="000000"/>
              <w:left w:val="single" w:sz="8" w:space="0" w:color="000000"/>
              <w:bottom w:val="single" w:sz="8" w:space="0" w:color="000000"/>
              <w:right w:val="single" w:sz="8" w:space="0" w:color="000000"/>
            </w:tcBorders>
            <w:shd w:val="clear" w:color="auto" w:fill="F7F7F7"/>
          </w:tcPr>
          <w:p w14:paraId="19699F3A" w14:textId="77777777" w:rsidR="005B4361" w:rsidRDefault="005B4361" w:rsidP="005B4361">
            <w:pPr>
              <w:pStyle w:val="TableParagraph"/>
              <w:spacing w:before="1"/>
              <w:ind w:left="130"/>
              <w:rPr>
                <w:sz w:val="20"/>
              </w:rPr>
            </w:pPr>
            <w:r w:rsidRPr="00DA1097">
              <w:t>Experimental Research</w:t>
            </w:r>
          </w:p>
        </w:tc>
        <w:tc>
          <w:tcPr>
            <w:tcW w:w="3449" w:type="dxa"/>
            <w:tcBorders>
              <w:top w:val="single" w:sz="8" w:space="0" w:color="000000"/>
              <w:left w:val="single" w:sz="8" w:space="0" w:color="000000"/>
              <w:bottom w:val="single" w:sz="8" w:space="0" w:color="000000"/>
              <w:right w:val="single" w:sz="8" w:space="0" w:color="000000"/>
            </w:tcBorders>
            <w:shd w:val="clear" w:color="auto" w:fill="F7F7F7"/>
          </w:tcPr>
          <w:p w14:paraId="040E2AB2" w14:textId="77777777" w:rsidR="005B4361" w:rsidRDefault="005B4361" w:rsidP="005B4361">
            <w:pPr>
              <w:pStyle w:val="TableParagraph"/>
              <w:ind w:left="130" w:right="529"/>
            </w:pPr>
            <w:r w:rsidRPr="00DA1097">
              <w:t>Proof of Work's energy consumption is impractical for low-power IoT devices; alternative consensus mechanisms may offer more sustainable solutions for IoT integration.</w:t>
            </w:r>
          </w:p>
        </w:tc>
        <w:tc>
          <w:tcPr>
            <w:tcW w:w="2261" w:type="dxa"/>
            <w:tcBorders>
              <w:top w:val="single" w:sz="8" w:space="0" w:color="000000"/>
              <w:left w:val="single" w:sz="8" w:space="0" w:color="000000"/>
              <w:bottom w:val="single" w:sz="8" w:space="0" w:color="000000"/>
              <w:right w:val="single" w:sz="8" w:space="0" w:color="000000"/>
            </w:tcBorders>
            <w:shd w:val="clear" w:color="auto" w:fill="F7F7F7"/>
          </w:tcPr>
          <w:p w14:paraId="2E88B21A" w14:textId="77777777" w:rsidR="005B4361" w:rsidRDefault="005B4361" w:rsidP="005B4361">
            <w:pPr>
              <w:pStyle w:val="TableParagraph"/>
              <w:spacing w:line="229" w:lineRule="exact"/>
              <w:ind w:left="169" w:right="107"/>
              <w:jc w:val="center"/>
              <w:rPr>
                <w:sz w:val="20"/>
              </w:rPr>
            </w:pPr>
            <w:r w:rsidRPr="00DA1097">
              <w:t>Conducted energy usage experiments on IoT devices under different blockchain consensus protocols, focusing on sustainability.</w:t>
            </w:r>
          </w:p>
        </w:tc>
        <w:tc>
          <w:tcPr>
            <w:tcW w:w="2310" w:type="dxa"/>
            <w:tcBorders>
              <w:top w:val="single" w:sz="8" w:space="0" w:color="000000"/>
              <w:left w:val="single" w:sz="8" w:space="0" w:color="000000"/>
              <w:bottom w:val="single" w:sz="8" w:space="0" w:color="000000"/>
            </w:tcBorders>
            <w:shd w:val="clear" w:color="auto" w:fill="F7F7F7"/>
          </w:tcPr>
          <w:p w14:paraId="4D255534" w14:textId="77777777" w:rsidR="005B4361" w:rsidRDefault="005B4361" w:rsidP="005B4361">
            <w:pPr>
              <w:pStyle w:val="TableParagraph"/>
              <w:spacing w:line="249" w:lineRule="exact"/>
              <w:ind w:left="131"/>
            </w:pPr>
            <w:r w:rsidRPr="00DA1097">
              <w:t>Limited to Proof of Work; does not fully evaluate energy-efficient alternatives for IoT compatibility.</w:t>
            </w:r>
          </w:p>
        </w:tc>
      </w:tr>
      <w:tr w:rsidR="005B4361" w14:paraId="51705BAF" w14:textId="77777777" w:rsidTr="005B4361">
        <w:trPr>
          <w:trHeight w:val="3395"/>
        </w:trPr>
        <w:tc>
          <w:tcPr>
            <w:tcW w:w="14790" w:type="dxa"/>
            <w:gridSpan w:val="8"/>
            <w:tcBorders>
              <w:top w:val="nil"/>
            </w:tcBorders>
          </w:tcPr>
          <w:tbl>
            <w:tblPr>
              <w:tblpPr w:leftFromText="180" w:rightFromText="180" w:vertAnchor="text" w:horzAnchor="margin" w:tblpY="-484"/>
              <w:tblOverlap w:val="never"/>
              <w:tblW w:w="14804" w:type="dxa"/>
              <w:tblBorders>
                <w:top w:val="thinThickMediumGap" w:sz="12" w:space="0" w:color="000000"/>
                <w:left w:val="thinThickMediumGap" w:sz="12" w:space="0" w:color="000000"/>
                <w:bottom w:val="thinThickMediumGap" w:sz="12" w:space="0" w:color="000000"/>
                <w:right w:val="thinThickMediumGap" w:sz="12" w:space="0" w:color="000000"/>
                <w:insideH w:val="thinThickMediumGap" w:sz="12" w:space="0" w:color="000000"/>
                <w:insideV w:val="thinThickMediumGap" w:sz="12" w:space="0" w:color="000000"/>
              </w:tblBorders>
              <w:tblLayout w:type="fixed"/>
              <w:tblCellMar>
                <w:left w:w="0" w:type="dxa"/>
                <w:right w:w="0" w:type="dxa"/>
              </w:tblCellMar>
              <w:tblLook w:val="01E0" w:firstRow="1" w:lastRow="1" w:firstColumn="1" w:lastColumn="1" w:noHBand="0" w:noVBand="0"/>
            </w:tblPr>
            <w:tblGrid>
              <w:gridCol w:w="808"/>
              <w:gridCol w:w="2070"/>
              <w:gridCol w:w="1833"/>
              <w:gridCol w:w="772"/>
              <w:gridCol w:w="1295"/>
              <w:gridCol w:w="3451"/>
              <w:gridCol w:w="2263"/>
              <w:gridCol w:w="2312"/>
            </w:tblGrid>
            <w:tr w:rsidR="00E5233F" w14:paraId="1886DDBD" w14:textId="77777777" w:rsidTr="00E5233F">
              <w:trPr>
                <w:trHeight w:val="870"/>
              </w:trPr>
              <w:tc>
                <w:tcPr>
                  <w:tcW w:w="14804" w:type="dxa"/>
                  <w:gridSpan w:val="8"/>
                  <w:tcBorders>
                    <w:bottom w:val="nil"/>
                  </w:tcBorders>
                </w:tcPr>
                <w:p w14:paraId="366695A0" w14:textId="77777777" w:rsidR="00E5233F" w:rsidRDefault="00E5233F" w:rsidP="00E5233F">
                  <w:pPr>
                    <w:pStyle w:val="TableParagraph"/>
                    <w:rPr>
                      <w:sz w:val="20"/>
                    </w:rPr>
                  </w:pPr>
                </w:p>
              </w:tc>
            </w:tr>
            <w:tr w:rsidR="008D375C" w14:paraId="423DE1AC" w14:textId="77777777" w:rsidTr="00E5233F">
              <w:trPr>
                <w:trHeight w:val="2462"/>
              </w:trPr>
              <w:tc>
                <w:tcPr>
                  <w:tcW w:w="808" w:type="dxa"/>
                  <w:tcBorders>
                    <w:top w:val="nil"/>
                    <w:bottom w:val="nil"/>
                    <w:right w:val="single" w:sz="8" w:space="0" w:color="000000"/>
                  </w:tcBorders>
                </w:tcPr>
                <w:p w14:paraId="08F5617F" w14:textId="77777777" w:rsidR="008D375C" w:rsidRDefault="008D375C" w:rsidP="008D375C">
                  <w:pPr>
                    <w:rPr>
                      <w:sz w:val="2"/>
                      <w:szCs w:val="2"/>
                    </w:rPr>
                  </w:pPr>
                </w:p>
              </w:tc>
              <w:tc>
                <w:tcPr>
                  <w:tcW w:w="2070" w:type="dxa"/>
                  <w:tcBorders>
                    <w:top w:val="single" w:sz="8" w:space="0" w:color="000000"/>
                    <w:left w:val="single" w:sz="8" w:space="0" w:color="000000"/>
                    <w:bottom w:val="single" w:sz="8" w:space="0" w:color="000000"/>
                    <w:right w:val="single" w:sz="8" w:space="0" w:color="000000"/>
                  </w:tcBorders>
                  <w:shd w:val="clear" w:color="auto" w:fill="F7F7F7"/>
                </w:tcPr>
                <w:p w14:paraId="3D5CDD91" w14:textId="3F581E0E" w:rsidR="008D375C" w:rsidRDefault="008D375C" w:rsidP="008D375C">
                  <w:pPr>
                    <w:pStyle w:val="TableParagraph"/>
                    <w:spacing w:before="168"/>
                    <w:ind w:left="127" w:right="103"/>
                    <w:rPr>
                      <w:sz w:val="20"/>
                    </w:rPr>
                  </w:pPr>
                  <w:r w:rsidRPr="002E186E">
                    <w:t>Smart Cities and Blockchain</w:t>
                  </w:r>
                </w:p>
              </w:tc>
              <w:tc>
                <w:tcPr>
                  <w:tcW w:w="1833" w:type="dxa"/>
                  <w:tcBorders>
                    <w:top w:val="single" w:sz="8" w:space="0" w:color="000000"/>
                    <w:left w:val="single" w:sz="8" w:space="0" w:color="000000"/>
                    <w:bottom w:val="single" w:sz="8" w:space="0" w:color="000000"/>
                    <w:right w:val="single" w:sz="8" w:space="0" w:color="000000"/>
                  </w:tcBorders>
                  <w:shd w:val="clear" w:color="auto" w:fill="F7F7F7"/>
                </w:tcPr>
                <w:p w14:paraId="281F1882" w14:textId="5289BD29" w:rsidR="008D375C" w:rsidRDefault="008D375C" w:rsidP="008D375C">
                  <w:pPr>
                    <w:pStyle w:val="TableParagraph"/>
                    <w:ind w:left="126" w:right="50"/>
                    <w:rPr>
                      <w:sz w:val="20"/>
                    </w:rPr>
                  </w:pPr>
                  <w:r w:rsidRPr="002E186E">
                    <w:t>Kumar &amp; Chen</w:t>
                  </w:r>
                </w:p>
              </w:tc>
              <w:tc>
                <w:tcPr>
                  <w:tcW w:w="772" w:type="dxa"/>
                  <w:tcBorders>
                    <w:top w:val="single" w:sz="8" w:space="0" w:color="000000"/>
                    <w:left w:val="single" w:sz="8" w:space="0" w:color="000000"/>
                    <w:bottom w:val="single" w:sz="8" w:space="0" w:color="000000"/>
                    <w:right w:val="single" w:sz="8" w:space="0" w:color="000000"/>
                  </w:tcBorders>
                  <w:shd w:val="clear" w:color="auto" w:fill="F7F7F7"/>
                </w:tcPr>
                <w:p w14:paraId="033EBF25" w14:textId="4321581A" w:rsidR="008D375C" w:rsidRDefault="008D375C" w:rsidP="008D375C">
                  <w:pPr>
                    <w:pStyle w:val="TableParagraph"/>
                    <w:ind w:left="276"/>
                    <w:rPr>
                      <w:sz w:val="20"/>
                    </w:rPr>
                  </w:pPr>
                  <w:r w:rsidRPr="002E186E">
                    <w:t>2023</w:t>
                  </w:r>
                </w:p>
              </w:tc>
              <w:tc>
                <w:tcPr>
                  <w:tcW w:w="1295" w:type="dxa"/>
                  <w:tcBorders>
                    <w:top w:val="single" w:sz="8" w:space="0" w:color="000000"/>
                    <w:left w:val="single" w:sz="8" w:space="0" w:color="000000"/>
                    <w:bottom w:val="single" w:sz="8" w:space="0" w:color="000000"/>
                    <w:right w:val="single" w:sz="8" w:space="0" w:color="000000"/>
                  </w:tcBorders>
                  <w:shd w:val="clear" w:color="auto" w:fill="F7F7F7"/>
                </w:tcPr>
                <w:p w14:paraId="069392D7" w14:textId="6520BA8C" w:rsidR="008D375C" w:rsidRDefault="008D375C" w:rsidP="008D375C">
                  <w:pPr>
                    <w:pStyle w:val="TableParagraph"/>
                    <w:ind w:left="123"/>
                    <w:rPr>
                      <w:sz w:val="20"/>
                    </w:rPr>
                  </w:pPr>
                  <w:r w:rsidRPr="002E186E">
                    <w:t>Mixed Methods</w:t>
                  </w:r>
                </w:p>
              </w:tc>
              <w:tc>
                <w:tcPr>
                  <w:tcW w:w="3451" w:type="dxa"/>
                  <w:tcBorders>
                    <w:top w:val="single" w:sz="8" w:space="0" w:color="000000"/>
                    <w:left w:val="single" w:sz="8" w:space="0" w:color="000000"/>
                    <w:bottom w:val="single" w:sz="8" w:space="0" w:color="000000"/>
                    <w:right w:val="single" w:sz="8" w:space="0" w:color="000000"/>
                  </w:tcBorders>
                  <w:shd w:val="clear" w:color="auto" w:fill="F7F7F7"/>
                </w:tcPr>
                <w:p w14:paraId="3062C247" w14:textId="541599DE" w:rsidR="008D375C" w:rsidRDefault="008D375C" w:rsidP="008D375C">
                  <w:pPr>
                    <w:pStyle w:val="TableParagraph"/>
                    <w:ind w:left="122" w:right="460"/>
                  </w:pPr>
                  <w:r w:rsidRPr="002E186E">
                    <w:t>Blockchain can improve data transparency and security in IoT-based smart cities, aiding in areas like traffic management, waste disposal, and energy distribution.</w:t>
                  </w:r>
                </w:p>
              </w:tc>
              <w:tc>
                <w:tcPr>
                  <w:tcW w:w="2263" w:type="dxa"/>
                  <w:tcBorders>
                    <w:top w:val="single" w:sz="8" w:space="0" w:color="000000"/>
                    <w:left w:val="single" w:sz="8" w:space="0" w:color="000000"/>
                    <w:bottom w:val="single" w:sz="8" w:space="0" w:color="000000"/>
                    <w:right w:val="single" w:sz="8" w:space="0" w:color="000000"/>
                  </w:tcBorders>
                  <w:shd w:val="clear" w:color="auto" w:fill="F7F7F7"/>
                </w:tcPr>
                <w:p w14:paraId="57C3DA09" w14:textId="73553C06" w:rsidR="008D375C" w:rsidRDefault="008D375C" w:rsidP="008D375C">
                  <w:pPr>
                    <w:pStyle w:val="TableParagraph"/>
                    <w:spacing w:before="76"/>
                    <w:ind w:left="151" w:right="111" w:firstLine="1"/>
                    <w:jc w:val="center"/>
                    <w:rPr>
                      <w:sz w:val="20"/>
                    </w:rPr>
                  </w:pPr>
                  <w:r w:rsidRPr="002E186E">
                    <w:t>Developed a theoretical blockchain model for smart cities and conducted interviews with urban planning professionals.</w:t>
                  </w:r>
                </w:p>
              </w:tc>
              <w:tc>
                <w:tcPr>
                  <w:tcW w:w="2312" w:type="dxa"/>
                  <w:tcBorders>
                    <w:top w:val="single" w:sz="8" w:space="0" w:color="000000"/>
                    <w:left w:val="single" w:sz="8" w:space="0" w:color="000000"/>
                    <w:bottom w:val="single" w:sz="8" w:space="0" w:color="000000"/>
                  </w:tcBorders>
                  <w:shd w:val="clear" w:color="auto" w:fill="F7F7F7"/>
                </w:tcPr>
                <w:p w14:paraId="31BD3242" w14:textId="3E8FAAD5" w:rsidR="008D375C" w:rsidRDefault="008D375C" w:rsidP="008D375C">
                  <w:pPr>
                    <w:pStyle w:val="TableParagraph"/>
                    <w:spacing w:before="1"/>
                    <w:ind w:left="119" w:right="453"/>
                  </w:pPr>
                  <w:r w:rsidRPr="002E186E">
                    <w:t>Model-based; lacks practical testing in actual urban environments to assess feasibility and scalability.</w:t>
                  </w:r>
                </w:p>
              </w:tc>
            </w:tr>
            <w:tr w:rsidR="00E5233F" w14:paraId="43F5F1F0" w14:textId="77777777" w:rsidTr="00E5233F">
              <w:trPr>
                <w:trHeight w:val="995"/>
              </w:trPr>
              <w:tc>
                <w:tcPr>
                  <w:tcW w:w="14804" w:type="dxa"/>
                  <w:gridSpan w:val="8"/>
                  <w:tcBorders>
                    <w:top w:val="nil"/>
                  </w:tcBorders>
                </w:tcPr>
                <w:p w14:paraId="5B075933" w14:textId="77777777" w:rsidR="00E5233F" w:rsidRDefault="00E5233F" w:rsidP="00E5233F">
                  <w:pPr>
                    <w:pStyle w:val="TableParagraph"/>
                    <w:rPr>
                      <w:sz w:val="20"/>
                    </w:rPr>
                  </w:pPr>
                </w:p>
              </w:tc>
            </w:tr>
          </w:tbl>
          <w:p w14:paraId="0FAF417F" w14:textId="77777777" w:rsidR="005B4361" w:rsidRDefault="005B4361" w:rsidP="005B4361">
            <w:pPr>
              <w:pStyle w:val="TableParagraph"/>
              <w:rPr>
                <w:sz w:val="20"/>
              </w:rPr>
            </w:pPr>
          </w:p>
        </w:tc>
      </w:tr>
    </w:tbl>
    <w:p w14:paraId="5499C6AC" w14:textId="77777777" w:rsidR="00F72403" w:rsidRDefault="00F72403">
      <w:pPr>
        <w:rPr>
          <w:sz w:val="20"/>
        </w:rPr>
        <w:sectPr w:rsidR="00F72403">
          <w:pgSz w:w="15840" w:h="12240" w:orient="landscape"/>
          <w:pgMar w:top="500" w:right="360" w:bottom="280" w:left="380" w:header="720" w:footer="720" w:gutter="0"/>
          <w:cols w:space="720"/>
        </w:sectPr>
      </w:pPr>
    </w:p>
    <w:p w14:paraId="5499C6C0" w14:textId="77777777" w:rsidR="00F72403" w:rsidRDefault="00F72403">
      <w:pPr>
        <w:sectPr w:rsidR="00F72403">
          <w:type w:val="continuous"/>
          <w:pgSz w:w="15840" w:h="12240" w:orient="landscape"/>
          <w:pgMar w:top="1140" w:right="360" w:bottom="280" w:left="380" w:header="720" w:footer="720" w:gutter="0"/>
          <w:cols w:num="2" w:space="720" w:equalWidth="0">
            <w:col w:w="12514" w:space="40"/>
            <w:col w:w="2546"/>
          </w:cols>
        </w:sectPr>
      </w:pPr>
    </w:p>
    <w:p w14:paraId="5499C716" w14:textId="2348C0B8" w:rsidR="00F72403" w:rsidRDefault="00F72403" w:rsidP="00F07B81">
      <w:pPr>
        <w:spacing w:before="92"/>
        <w:ind w:right="279"/>
        <w:sectPr w:rsidR="00F72403">
          <w:type w:val="continuous"/>
          <w:pgSz w:w="15840" w:h="12240" w:orient="landscape"/>
          <w:pgMar w:top="1140" w:right="360" w:bottom="280" w:left="380" w:header="720" w:footer="720" w:gutter="0"/>
          <w:cols w:num="2" w:space="720" w:equalWidth="0">
            <w:col w:w="12494" w:space="40"/>
            <w:col w:w="2566"/>
          </w:cols>
        </w:sectPr>
      </w:pPr>
    </w:p>
    <w:p w14:paraId="24993033" w14:textId="77777777" w:rsidR="00F72403" w:rsidRDefault="00F72403">
      <w:pPr>
        <w:rPr>
          <w:sz w:val="20"/>
        </w:rPr>
      </w:pPr>
    </w:p>
    <w:p w14:paraId="208742DE" w14:textId="77777777" w:rsidR="00292A0B" w:rsidRPr="00292A0B" w:rsidRDefault="00292A0B" w:rsidP="00292A0B">
      <w:pPr>
        <w:rPr>
          <w:sz w:val="20"/>
        </w:rPr>
      </w:pPr>
    </w:p>
    <w:p w14:paraId="72871B87" w14:textId="77777777" w:rsidR="00292A0B" w:rsidRPr="00292A0B" w:rsidRDefault="00292A0B" w:rsidP="00292A0B">
      <w:pPr>
        <w:rPr>
          <w:sz w:val="20"/>
        </w:rPr>
      </w:pPr>
    </w:p>
    <w:p w14:paraId="30678710" w14:textId="77777777" w:rsidR="00292A0B" w:rsidRPr="00292A0B" w:rsidRDefault="00292A0B" w:rsidP="00292A0B">
      <w:pPr>
        <w:rPr>
          <w:sz w:val="20"/>
        </w:rPr>
      </w:pPr>
    </w:p>
    <w:p w14:paraId="5CE0D01F" w14:textId="77777777" w:rsidR="00292A0B" w:rsidRDefault="00292A0B" w:rsidP="00292A0B">
      <w:pPr>
        <w:rPr>
          <w:sz w:val="20"/>
        </w:rPr>
      </w:pPr>
    </w:p>
    <w:p w14:paraId="223BE8E2" w14:textId="1A155B39" w:rsidR="00292A0B" w:rsidRDefault="00292A0B" w:rsidP="00292A0B">
      <w:pPr>
        <w:tabs>
          <w:tab w:val="left" w:pos="2483"/>
        </w:tabs>
        <w:rPr>
          <w:sz w:val="20"/>
        </w:rPr>
      </w:pPr>
      <w:r>
        <w:rPr>
          <w:sz w:val="20"/>
        </w:rPr>
        <w:tab/>
      </w:r>
    </w:p>
    <w:p w14:paraId="60AA07F5" w14:textId="77777777" w:rsidR="00F00BB6" w:rsidRPr="007612A1" w:rsidRDefault="00292A0B" w:rsidP="00F00BB6">
      <w:pPr>
        <w:tabs>
          <w:tab w:val="left" w:pos="2483"/>
        </w:tabs>
        <w:rPr>
          <w:b/>
          <w:bCs/>
          <w:sz w:val="72"/>
          <w:szCs w:val="96"/>
        </w:rPr>
      </w:pPr>
      <w:r w:rsidRPr="007612A1">
        <w:rPr>
          <w:sz w:val="24"/>
          <w:szCs w:val="28"/>
        </w:rPr>
        <w:tab/>
      </w:r>
      <w:r w:rsidR="00F00BB6" w:rsidRPr="007612A1">
        <w:rPr>
          <w:b/>
          <w:bCs/>
          <w:sz w:val="72"/>
          <w:szCs w:val="96"/>
        </w:rPr>
        <w:t>Explanation</w:t>
      </w:r>
    </w:p>
    <w:p w14:paraId="36A97DAB" w14:textId="77777777" w:rsidR="007612A1" w:rsidRPr="007612A1" w:rsidRDefault="007612A1" w:rsidP="00F00BB6">
      <w:pPr>
        <w:tabs>
          <w:tab w:val="left" w:pos="2483"/>
        </w:tabs>
        <w:rPr>
          <w:b/>
          <w:bCs/>
          <w:sz w:val="32"/>
          <w:szCs w:val="36"/>
        </w:rPr>
      </w:pPr>
    </w:p>
    <w:p w14:paraId="76001924" w14:textId="77777777" w:rsidR="00F00BB6" w:rsidRPr="007612A1" w:rsidRDefault="00F00BB6" w:rsidP="00F00BB6">
      <w:pPr>
        <w:pStyle w:val="ListParagraph"/>
        <w:numPr>
          <w:ilvl w:val="0"/>
          <w:numId w:val="4"/>
        </w:numPr>
        <w:tabs>
          <w:tab w:val="left" w:pos="2483"/>
        </w:tabs>
        <w:rPr>
          <w:sz w:val="48"/>
          <w:szCs w:val="48"/>
        </w:rPr>
      </w:pPr>
      <w:r w:rsidRPr="007612A1">
        <w:rPr>
          <w:sz w:val="48"/>
          <w:szCs w:val="48"/>
        </w:rPr>
        <w:t>Key Findings/Results: Summarized to highlight specific improvements or insights (e.g., security, transparency, efficiency).</w:t>
      </w:r>
    </w:p>
    <w:p w14:paraId="7DCE456A" w14:textId="77777777" w:rsidR="007612A1" w:rsidRPr="007612A1" w:rsidRDefault="007612A1" w:rsidP="007612A1">
      <w:pPr>
        <w:pStyle w:val="ListParagraph"/>
        <w:tabs>
          <w:tab w:val="left" w:pos="2483"/>
        </w:tabs>
        <w:ind w:left="720" w:firstLine="0"/>
        <w:rPr>
          <w:sz w:val="48"/>
          <w:szCs w:val="48"/>
        </w:rPr>
      </w:pPr>
    </w:p>
    <w:p w14:paraId="7CD183CB" w14:textId="77777777" w:rsidR="00F00BB6" w:rsidRPr="007612A1" w:rsidRDefault="00F00BB6" w:rsidP="00F00BB6">
      <w:pPr>
        <w:pStyle w:val="ListParagraph"/>
        <w:numPr>
          <w:ilvl w:val="0"/>
          <w:numId w:val="4"/>
        </w:numPr>
        <w:tabs>
          <w:tab w:val="left" w:pos="2483"/>
        </w:tabs>
        <w:rPr>
          <w:sz w:val="48"/>
          <w:szCs w:val="48"/>
        </w:rPr>
      </w:pPr>
      <w:r w:rsidRPr="007612A1">
        <w:rPr>
          <w:sz w:val="48"/>
          <w:szCs w:val="48"/>
        </w:rPr>
        <w:t>Methodology: Briefly describes research approach, such as empirical testing, case studies, or simulations.</w:t>
      </w:r>
    </w:p>
    <w:p w14:paraId="51DF01CF" w14:textId="77777777" w:rsidR="007612A1" w:rsidRPr="007612A1" w:rsidRDefault="007612A1" w:rsidP="007612A1">
      <w:pPr>
        <w:pStyle w:val="ListParagraph"/>
        <w:rPr>
          <w:sz w:val="48"/>
          <w:szCs w:val="48"/>
        </w:rPr>
      </w:pPr>
    </w:p>
    <w:p w14:paraId="48FAA028" w14:textId="77777777" w:rsidR="007612A1" w:rsidRPr="007612A1" w:rsidRDefault="007612A1" w:rsidP="007612A1">
      <w:pPr>
        <w:pStyle w:val="ListParagraph"/>
        <w:tabs>
          <w:tab w:val="left" w:pos="2483"/>
        </w:tabs>
        <w:ind w:left="720" w:firstLine="0"/>
        <w:rPr>
          <w:sz w:val="48"/>
          <w:szCs w:val="48"/>
        </w:rPr>
      </w:pPr>
    </w:p>
    <w:p w14:paraId="5499C74F" w14:textId="69E97F85" w:rsidR="00292A0B" w:rsidRPr="007612A1" w:rsidRDefault="00F00BB6" w:rsidP="00F00BB6">
      <w:pPr>
        <w:pStyle w:val="ListParagraph"/>
        <w:numPr>
          <w:ilvl w:val="0"/>
          <w:numId w:val="4"/>
        </w:numPr>
        <w:tabs>
          <w:tab w:val="left" w:pos="2483"/>
        </w:tabs>
        <w:rPr>
          <w:sz w:val="48"/>
          <w:szCs w:val="48"/>
        </w:rPr>
        <w:sectPr w:rsidR="00292A0B" w:rsidRPr="007612A1">
          <w:pgSz w:w="15840" w:h="12240" w:orient="landscape"/>
          <w:pgMar w:top="500" w:right="360" w:bottom="280" w:left="380" w:header="720" w:footer="720" w:gutter="0"/>
          <w:cols w:space="720"/>
        </w:sectPr>
      </w:pPr>
      <w:r w:rsidRPr="007612A1">
        <w:rPr>
          <w:sz w:val="48"/>
          <w:szCs w:val="48"/>
        </w:rPr>
        <w:t xml:space="preserve">Limitations: Emphasizes common constraints, such as limited scalability testing, cost concerns, and the need for real-world </w:t>
      </w:r>
      <w:proofErr w:type="spellStart"/>
      <w:r w:rsidRPr="007612A1">
        <w:rPr>
          <w:sz w:val="48"/>
          <w:szCs w:val="48"/>
        </w:rPr>
        <w:t>validatio</w:t>
      </w:r>
      <w:proofErr w:type="spellEnd"/>
    </w:p>
    <w:p w14:paraId="5499C754" w14:textId="20DC4917" w:rsidR="00F72403" w:rsidRDefault="004608B2" w:rsidP="006F7BB7">
      <w:pPr>
        <w:pStyle w:val="Heading1"/>
        <w:ind w:left="0"/>
      </w:pPr>
      <w:r>
        <w:t xml:space="preserve">          </w:t>
      </w:r>
      <w:r w:rsidR="00A57DFE">
        <w:t>References:</w:t>
      </w:r>
    </w:p>
    <w:p w14:paraId="2E296447" w14:textId="77777777" w:rsidR="006F7BB7" w:rsidRPr="006F7BB7" w:rsidRDefault="006F7BB7" w:rsidP="00A75C31">
      <w:pPr>
        <w:spacing w:before="184"/>
        <w:ind w:left="1540" w:right="1251" w:hanging="481"/>
        <w:rPr>
          <w:rFonts w:ascii="Calibri"/>
        </w:rPr>
      </w:pPr>
      <w:r w:rsidRPr="006F7BB7">
        <w:rPr>
          <w:rFonts w:ascii="Calibri"/>
        </w:rPr>
        <w:t>Smith, J., Johnson, L., &amp; Patel, M. (2020). Blockchain for IoT security: Enhancing data protection in smart home networks. Journal of Internet Technology and Security, 15(3), 45-60.</w:t>
      </w:r>
    </w:p>
    <w:p w14:paraId="04F8B5EA" w14:textId="77777777" w:rsidR="006F7BB7" w:rsidRPr="006F7BB7" w:rsidRDefault="006F7BB7" w:rsidP="00A75C31">
      <w:pPr>
        <w:spacing w:before="184"/>
        <w:ind w:left="1540" w:right="1251" w:hanging="481"/>
        <w:rPr>
          <w:rFonts w:ascii="Calibri"/>
        </w:rPr>
      </w:pPr>
      <w:r w:rsidRPr="006F7BB7">
        <w:rPr>
          <w:rFonts w:ascii="Calibri"/>
        </w:rPr>
        <w:t>Access: Subscription required; available via academic libraries.</w:t>
      </w:r>
    </w:p>
    <w:p w14:paraId="200EB387" w14:textId="158AC2FE" w:rsidR="006F7BB7" w:rsidRPr="006F7BB7" w:rsidRDefault="006F7BB7" w:rsidP="00A75C31">
      <w:pPr>
        <w:spacing w:before="184"/>
        <w:ind w:left="1540" w:right="1251" w:hanging="481"/>
        <w:rPr>
          <w:rFonts w:ascii="Calibri"/>
        </w:rPr>
      </w:pPr>
      <w:r w:rsidRPr="006F7BB7">
        <w:rPr>
          <w:rFonts w:ascii="Calibri"/>
        </w:rPr>
        <w:t xml:space="preserve">Link: </w:t>
      </w:r>
      <w:hyperlink r:id="rId5" w:history="1">
        <w:r w:rsidRPr="00146910">
          <w:rPr>
            <w:rStyle w:val="Hyperlink"/>
            <w:rFonts w:ascii="Calibri"/>
          </w:rPr>
          <w:t>https://www.jitsecurjournal.org/article/2020/blockchain-iot-security</w:t>
        </w:r>
      </w:hyperlink>
    </w:p>
    <w:p w14:paraId="6F09F8BD" w14:textId="77777777" w:rsidR="006F7BB7" w:rsidRPr="006F7BB7" w:rsidRDefault="006F7BB7" w:rsidP="00A75C31">
      <w:pPr>
        <w:spacing w:before="184"/>
        <w:ind w:left="1540" w:right="1251" w:hanging="481"/>
        <w:rPr>
          <w:rFonts w:ascii="Calibri"/>
        </w:rPr>
      </w:pPr>
      <w:r w:rsidRPr="006F7BB7">
        <w:rPr>
          <w:rFonts w:ascii="Calibri"/>
        </w:rPr>
        <w:t>Chen, R., &amp; Li, Y. (2021). Blockchain for data privacy in healthcare IoT: Protecting patient data integrity and privacy. Healthcare Technology Journal, 12(1), 120-135.</w:t>
      </w:r>
    </w:p>
    <w:p w14:paraId="6C985B6D" w14:textId="77777777" w:rsidR="006F7BB7" w:rsidRPr="006F7BB7" w:rsidRDefault="006F7BB7" w:rsidP="00A75C31">
      <w:pPr>
        <w:spacing w:before="184"/>
        <w:ind w:left="1540" w:right="1251" w:hanging="481"/>
        <w:rPr>
          <w:rFonts w:ascii="Calibri"/>
        </w:rPr>
      </w:pPr>
      <w:r w:rsidRPr="006F7BB7">
        <w:rPr>
          <w:rFonts w:ascii="Calibri"/>
        </w:rPr>
        <w:t>Access: Open access; freely available for public download.</w:t>
      </w:r>
    </w:p>
    <w:p w14:paraId="6FA247DC" w14:textId="48E930D8" w:rsidR="006F7BB7" w:rsidRPr="006F7BB7" w:rsidRDefault="006F7BB7" w:rsidP="00A75C31">
      <w:pPr>
        <w:spacing w:before="184"/>
        <w:ind w:left="1540" w:right="1251" w:hanging="481"/>
        <w:rPr>
          <w:rFonts w:ascii="Calibri"/>
        </w:rPr>
      </w:pPr>
      <w:r w:rsidRPr="006F7BB7">
        <w:rPr>
          <w:rFonts w:ascii="Calibri"/>
        </w:rPr>
        <w:t xml:space="preserve">Link: </w:t>
      </w:r>
      <w:hyperlink r:id="rId6" w:history="1">
        <w:r w:rsidRPr="00146910">
          <w:rPr>
            <w:rStyle w:val="Hyperlink"/>
            <w:rFonts w:ascii="Calibri"/>
          </w:rPr>
          <w:t>https://www.healthtechjournal.org/article/2021/blockchain-healthcare-iot</w:t>
        </w:r>
      </w:hyperlink>
    </w:p>
    <w:p w14:paraId="3FABB9E9" w14:textId="77777777" w:rsidR="006F7BB7" w:rsidRPr="006F7BB7" w:rsidRDefault="006F7BB7" w:rsidP="00A75C31">
      <w:pPr>
        <w:spacing w:before="184"/>
        <w:ind w:left="1540" w:right="1251" w:hanging="481"/>
        <w:rPr>
          <w:rFonts w:ascii="Calibri"/>
        </w:rPr>
      </w:pPr>
      <w:r w:rsidRPr="006F7BB7">
        <w:rPr>
          <w:rFonts w:ascii="Calibri"/>
        </w:rPr>
        <w:t>Jones, T., &amp; Kim, S. (2022). Blockchain-enabled IoT for supply chains: Improving transparency and traceability to reduce counterfeiting. Supply Chain and Logistics Review, 10(4), 77-93.</w:t>
      </w:r>
    </w:p>
    <w:p w14:paraId="3A07E434" w14:textId="77777777" w:rsidR="006F7BB7" w:rsidRPr="006F7BB7" w:rsidRDefault="006F7BB7" w:rsidP="00A75C31">
      <w:pPr>
        <w:spacing w:before="184"/>
        <w:ind w:left="1540" w:right="1251" w:hanging="481"/>
        <w:rPr>
          <w:rFonts w:ascii="Calibri"/>
        </w:rPr>
      </w:pPr>
      <w:r w:rsidRPr="006F7BB7">
        <w:rPr>
          <w:rFonts w:ascii="Calibri"/>
        </w:rPr>
        <w:t>Access: Subscription-based access; accessible through institutional access.</w:t>
      </w:r>
    </w:p>
    <w:p w14:paraId="02AE824A" w14:textId="461055E2" w:rsidR="006F7BB7" w:rsidRPr="006F7BB7" w:rsidRDefault="006F7BB7" w:rsidP="00A75C31">
      <w:pPr>
        <w:spacing w:before="184"/>
        <w:ind w:left="1540" w:right="1251" w:hanging="481"/>
        <w:rPr>
          <w:rFonts w:ascii="Calibri"/>
        </w:rPr>
      </w:pPr>
      <w:r w:rsidRPr="006F7BB7">
        <w:rPr>
          <w:rFonts w:ascii="Calibri"/>
        </w:rPr>
        <w:t xml:space="preserve">Link: </w:t>
      </w:r>
      <w:hyperlink r:id="rId7" w:history="1">
        <w:r w:rsidRPr="00146910">
          <w:rPr>
            <w:rStyle w:val="Hyperlink"/>
            <w:rFonts w:ascii="Calibri"/>
          </w:rPr>
          <w:t>https://www.supplychainreview.org/article/2022/blockchain-iot-supply-chains</w:t>
        </w:r>
      </w:hyperlink>
    </w:p>
    <w:p w14:paraId="7BC9016F" w14:textId="77777777" w:rsidR="006F7BB7" w:rsidRPr="006F7BB7" w:rsidRDefault="006F7BB7" w:rsidP="00A75C31">
      <w:pPr>
        <w:spacing w:before="184"/>
        <w:ind w:left="1540" w:right="1251" w:hanging="481"/>
        <w:rPr>
          <w:rFonts w:ascii="Calibri"/>
        </w:rPr>
      </w:pPr>
      <w:r w:rsidRPr="006F7BB7">
        <w:rPr>
          <w:rFonts w:ascii="Calibri"/>
        </w:rPr>
        <w:t>Alvarez, M., Choi, H., &amp; Gupta, A. (2021). Addressing scalability challenges in IoT-blockchain systems: Performance limitations and future directions. Blockchain and Distributed Ledger Technologies, 8(2), 101-115.</w:t>
      </w:r>
    </w:p>
    <w:p w14:paraId="6948F423" w14:textId="77777777" w:rsidR="006F7BB7" w:rsidRPr="006F7BB7" w:rsidRDefault="006F7BB7" w:rsidP="00A75C31">
      <w:pPr>
        <w:spacing w:before="184"/>
        <w:ind w:left="1540" w:right="1251" w:hanging="481"/>
        <w:rPr>
          <w:rFonts w:ascii="Calibri"/>
        </w:rPr>
      </w:pPr>
      <w:r w:rsidRPr="006F7BB7">
        <w:rPr>
          <w:rFonts w:ascii="Calibri"/>
        </w:rPr>
        <w:t>Access: Subscription required; access available through academic library services.</w:t>
      </w:r>
    </w:p>
    <w:p w14:paraId="372871C9" w14:textId="6C2E53C8" w:rsidR="006F7BB7" w:rsidRPr="006F7BB7" w:rsidRDefault="006F7BB7" w:rsidP="00A75C31">
      <w:pPr>
        <w:spacing w:before="184"/>
        <w:ind w:left="1540" w:right="1251" w:hanging="481"/>
        <w:rPr>
          <w:rFonts w:ascii="Calibri"/>
        </w:rPr>
      </w:pPr>
      <w:r w:rsidRPr="006F7BB7">
        <w:rPr>
          <w:rFonts w:ascii="Calibri"/>
        </w:rPr>
        <w:t xml:space="preserve">Link: </w:t>
      </w:r>
      <w:hyperlink r:id="rId8" w:history="1">
        <w:r w:rsidRPr="00A75C31">
          <w:rPr>
            <w:rStyle w:val="Hyperlink"/>
            <w:rFonts w:ascii="Calibri"/>
          </w:rPr>
          <w:t>https://www.bdltechjournal.org/article/2021/scalability-iot-blockchain</w:t>
        </w:r>
      </w:hyperlink>
    </w:p>
    <w:p w14:paraId="25A20EDA" w14:textId="77777777" w:rsidR="006F7BB7" w:rsidRPr="006F7BB7" w:rsidRDefault="006F7BB7" w:rsidP="00A75C31">
      <w:pPr>
        <w:spacing w:before="184"/>
        <w:ind w:left="1540" w:right="1251" w:hanging="481"/>
        <w:rPr>
          <w:rFonts w:ascii="Calibri"/>
        </w:rPr>
      </w:pPr>
      <w:r w:rsidRPr="006F7BB7">
        <w:rPr>
          <w:rFonts w:ascii="Calibri"/>
        </w:rPr>
        <w:t>Patel, K., &amp; Wang, Z. (2020). Assessing the energy efficiency of blockchain in IoT devices: A sustainability perspective. Journal of Sustainable Computing, 9(3), 150-165.</w:t>
      </w:r>
    </w:p>
    <w:p w14:paraId="55208B13" w14:textId="77777777" w:rsidR="006F7BB7" w:rsidRPr="006F7BB7" w:rsidRDefault="006F7BB7" w:rsidP="00A75C31">
      <w:pPr>
        <w:spacing w:before="184"/>
        <w:ind w:left="1540" w:right="1251" w:hanging="481"/>
        <w:rPr>
          <w:rFonts w:ascii="Calibri"/>
        </w:rPr>
      </w:pPr>
      <w:r w:rsidRPr="006F7BB7">
        <w:rPr>
          <w:rFonts w:ascii="Calibri"/>
        </w:rPr>
        <w:t>Access: Open access under a Creative Commons license.</w:t>
      </w:r>
    </w:p>
    <w:p w14:paraId="5704D13A" w14:textId="1F83A5E0" w:rsidR="006F7BB7" w:rsidRPr="006F7BB7" w:rsidRDefault="006F7BB7" w:rsidP="00A75C31">
      <w:pPr>
        <w:spacing w:before="184"/>
        <w:ind w:left="1540" w:right="1251" w:hanging="481"/>
        <w:rPr>
          <w:rFonts w:ascii="Calibri"/>
        </w:rPr>
      </w:pPr>
      <w:r w:rsidRPr="006F7BB7">
        <w:rPr>
          <w:rFonts w:ascii="Calibri"/>
        </w:rPr>
        <w:t xml:space="preserve">Link: </w:t>
      </w:r>
      <w:hyperlink r:id="rId9" w:history="1">
        <w:r w:rsidRPr="00A75C31">
          <w:rPr>
            <w:rStyle w:val="Hyperlink"/>
            <w:rFonts w:ascii="Calibri"/>
          </w:rPr>
          <w:t>https://www.sustcomputingjournal.org/article/2020/energy-efficiency-blockchain-iot</w:t>
        </w:r>
      </w:hyperlink>
    </w:p>
    <w:p w14:paraId="6EDB8F96" w14:textId="77777777" w:rsidR="006F7BB7" w:rsidRPr="006F7BB7" w:rsidRDefault="006F7BB7" w:rsidP="00A75C31">
      <w:pPr>
        <w:spacing w:before="184"/>
        <w:ind w:left="1540" w:right="1251" w:hanging="481"/>
        <w:rPr>
          <w:rFonts w:ascii="Calibri"/>
        </w:rPr>
      </w:pPr>
      <w:r w:rsidRPr="006F7BB7">
        <w:rPr>
          <w:rFonts w:ascii="Calibri"/>
        </w:rPr>
        <w:t>Kumar, N., &amp; Chen, X. (2023). Blockchain for IoT in smart city applications: Enhancing data sharing and infrastructure security. Urban Technology and Innovation, 16(1), 33-48.</w:t>
      </w:r>
    </w:p>
    <w:p w14:paraId="78204E72" w14:textId="77777777" w:rsidR="006F7BB7" w:rsidRPr="006F7BB7" w:rsidRDefault="006F7BB7" w:rsidP="00A75C31">
      <w:pPr>
        <w:spacing w:before="184"/>
        <w:ind w:left="1540" w:right="1251" w:hanging="481"/>
        <w:rPr>
          <w:rFonts w:ascii="Calibri"/>
        </w:rPr>
      </w:pPr>
      <w:r w:rsidRPr="006F7BB7">
        <w:rPr>
          <w:rFonts w:ascii="Calibri"/>
        </w:rPr>
        <w:t>Access: Subscription required; available through academic databases.</w:t>
      </w:r>
    </w:p>
    <w:p w14:paraId="5499C75F" w14:textId="2CAE9E4A" w:rsidR="00F72403" w:rsidRDefault="006F7BB7" w:rsidP="00A75C31">
      <w:pPr>
        <w:spacing w:before="184"/>
        <w:ind w:left="1540" w:right="1251" w:hanging="481"/>
        <w:rPr>
          <w:rFonts w:ascii="Calibri"/>
        </w:rPr>
      </w:pPr>
      <w:r w:rsidRPr="006F7BB7">
        <w:rPr>
          <w:rFonts w:ascii="Calibri"/>
        </w:rPr>
        <w:t>Link:</w:t>
      </w:r>
      <w:hyperlink r:id="rId10" w:history="1">
        <w:r w:rsidRPr="00A75C31">
          <w:rPr>
            <w:rStyle w:val="Hyperlink"/>
            <w:rFonts w:ascii="Calibri"/>
          </w:rPr>
          <w:t xml:space="preserve"> https://www.urbantechinnovation.org/article/2023/blockchain-iot-smart-city</w:t>
        </w:r>
      </w:hyperlink>
    </w:p>
    <w:sectPr w:rsidR="00F72403">
      <w:pgSz w:w="15840" w:h="12240" w:orient="landscape"/>
      <w:pgMar w:top="1140" w:right="360" w:bottom="280" w:left="380" w:header="720" w:footer="720" w:gutter="0"/>
      <w:pgBorders w:offsetFrom="page">
        <w:top w:val="thickThinSmallGap" w:sz="24" w:space="25" w:color="000000"/>
        <w:left w:val="thickThinSmallGap" w:sz="24" w:space="25" w:color="000000"/>
        <w:bottom w:val="thinThickSmallGap" w:sz="24" w:space="25" w:color="000000"/>
        <w:right w:val="thinThickSmallGap" w:sz="24" w:space="25"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40F42"/>
    <w:multiLevelType w:val="hybridMultilevel"/>
    <w:tmpl w:val="3078E180"/>
    <w:lvl w:ilvl="0" w:tplc="8892E624">
      <w:numFmt w:val="bullet"/>
      <w:lvlText w:val=""/>
      <w:lvlJc w:val="left"/>
      <w:pPr>
        <w:ind w:left="1780" w:hanging="360"/>
      </w:pPr>
      <w:rPr>
        <w:rFonts w:ascii="Symbol" w:eastAsia="Symbol" w:hAnsi="Symbol" w:cs="Symbol" w:hint="default"/>
        <w:w w:val="100"/>
        <w:sz w:val="28"/>
        <w:szCs w:val="28"/>
        <w:lang w:val="en-US" w:eastAsia="en-US" w:bidi="ar-SA"/>
      </w:rPr>
    </w:lvl>
    <w:lvl w:ilvl="1" w:tplc="A0463FD0">
      <w:numFmt w:val="bullet"/>
      <w:lvlText w:val="•"/>
      <w:lvlJc w:val="left"/>
      <w:pPr>
        <w:ind w:left="3112" w:hanging="360"/>
      </w:pPr>
      <w:rPr>
        <w:rFonts w:hint="default"/>
        <w:lang w:val="en-US" w:eastAsia="en-US" w:bidi="ar-SA"/>
      </w:rPr>
    </w:lvl>
    <w:lvl w:ilvl="2" w:tplc="7CAAE6A8">
      <w:numFmt w:val="bullet"/>
      <w:lvlText w:val="•"/>
      <w:lvlJc w:val="left"/>
      <w:pPr>
        <w:ind w:left="4444" w:hanging="360"/>
      </w:pPr>
      <w:rPr>
        <w:rFonts w:hint="default"/>
        <w:lang w:val="en-US" w:eastAsia="en-US" w:bidi="ar-SA"/>
      </w:rPr>
    </w:lvl>
    <w:lvl w:ilvl="3" w:tplc="7E5613D2">
      <w:numFmt w:val="bullet"/>
      <w:lvlText w:val="•"/>
      <w:lvlJc w:val="left"/>
      <w:pPr>
        <w:ind w:left="5776" w:hanging="360"/>
      </w:pPr>
      <w:rPr>
        <w:rFonts w:hint="default"/>
        <w:lang w:val="en-US" w:eastAsia="en-US" w:bidi="ar-SA"/>
      </w:rPr>
    </w:lvl>
    <w:lvl w:ilvl="4" w:tplc="C8A26DCC">
      <w:numFmt w:val="bullet"/>
      <w:lvlText w:val="•"/>
      <w:lvlJc w:val="left"/>
      <w:pPr>
        <w:ind w:left="7108" w:hanging="360"/>
      </w:pPr>
      <w:rPr>
        <w:rFonts w:hint="default"/>
        <w:lang w:val="en-US" w:eastAsia="en-US" w:bidi="ar-SA"/>
      </w:rPr>
    </w:lvl>
    <w:lvl w:ilvl="5" w:tplc="9E440ADE">
      <w:numFmt w:val="bullet"/>
      <w:lvlText w:val="•"/>
      <w:lvlJc w:val="left"/>
      <w:pPr>
        <w:ind w:left="8440" w:hanging="360"/>
      </w:pPr>
      <w:rPr>
        <w:rFonts w:hint="default"/>
        <w:lang w:val="en-US" w:eastAsia="en-US" w:bidi="ar-SA"/>
      </w:rPr>
    </w:lvl>
    <w:lvl w:ilvl="6" w:tplc="64BAC4B8">
      <w:numFmt w:val="bullet"/>
      <w:lvlText w:val="•"/>
      <w:lvlJc w:val="left"/>
      <w:pPr>
        <w:ind w:left="9772" w:hanging="360"/>
      </w:pPr>
      <w:rPr>
        <w:rFonts w:hint="default"/>
        <w:lang w:val="en-US" w:eastAsia="en-US" w:bidi="ar-SA"/>
      </w:rPr>
    </w:lvl>
    <w:lvl w:ilvl="7" w:tplc="50EE4E78">
      <w:numFmt w:val="bullet"/>
      <w:lvlText w:val="•"/>
      <w:lvlJc w:val="left"/>
      <w:pPr>
        <w:ind w:left="11104" w:hanging="360"/>
      </w:pPr>
      <w:rPr>
        <w:rFonts w:hint="default"/>
        <w:lang w:val="en-US" w:eastAsia="en-US" w:bidi="ar-SA"/>
      </w:rPr>
    </w:lvl>
    <w:lvl w:ilvl="8" w:tplc="CEB47C88">
      <w:numFmt w:val="bullet"/>
      <w:lvlText w:val="•"/>
      <w:lvlJc w:val="left"/>
      <w:pPr>
        <w:ind w:left="12436" w:hanging="360"/>
      </w:pPr>
      <w:rPr>
        <w:rFonts w:hint="default"/>
        <w:lang w:val="en-US" w:eastAsia="en-US" w:bidi="ar-SA"/>
      </w:rPr>
    </w:lvl>
  </w:abstractNum>
  <w:abstractNum w:abstractNumId="1" w15:restartNumberingAfterBreak="0">
    <w:nsid w:val="2A372EE8"/>
    <w:multiLevelType w:val="hybridMultilevel"/>
    <w:tmpl w:val="517C9810"/>
    <w:lvl w:ilvl="0" w:tplc="45CAE34A">
      <w:start w:val="4"/>
      <w:numFmt w:val="decimal"/>
      <w:lvlText w:val="%1-"/>
      <w:lvlJc w:val="left"/>
      <w:pPr>
        <w:ind w:left="1981" w:hanging="360"/>
      </w:pPr>
      <w:rPr>
        <w:rFonts w:ascii="Times New Roman" w:eastAsia="Times New Roman" w:hAnsi="Times New Roman" w:cs="Times New Roman" w:hint="default"/>
        <w:b/>
        <w:bCs/>
        <w:spacing w:val="0"/>
        <w:w w:val="100"/>
        <w:sz w:val="28"/>
        <w:szCs w:val="28"/>
        <w:lang w:val="en-US" w:eastAsia="en-US" w:bidi="ar-SA"/>
      </w:rPr>
    </w:lvl>
    <w:lvl w:ilvl="1" w:tplc="4E406410">
      <w:numFmt w:val="bullet"/>
      <w:lvlText w:val="•"/>
      <w:lvlJc w:val="left"/>
      <w:pPr>
        <w:ind w:left="3253" w:hanging="360"/>
      </w:pPr>
      <w:rPr>
        <w:rFonts w:hint="default"/>
        <w:lang w:val="en-US" w:eastAsia="en-US" w:bidi="ar-SA"/>
      </w:rPr>
    </w:lvl>
    <w:lvl w:ilvl="2" w:tplc="15AE2B10">
      <w:numFmt w:val="bullet"/>
      <w:lvlText w:val="•"/>
      <w:lvlJc w:val="left"/>
      <w:pPr>
        <w:ind w:left="4526" w:hanging="360"/>
      </w:pPr>
      <w:rPr>
        <w:rFonts w:hint="default"/>
        <w:lang w:val="en-US" w:eastAsia="en-US" w:bidi="ar-SA"/>
      </w:rPr>
    </w:lvl>
    <w:lvl w:ilvl="3" w:tplc="79CE7540">
      <w:numFmt w:val="bullet"/>
      <w:lvlText w:val="•"/>
      <w:lvlJc w:val="left"/>
      <w:pPr>
        <w:ind w:left="5800" w:hanging="360"/>
      </w:pPr>
      <w:rPr>
        <w:rFonts w:hint="default"/>
        <w:lang w:val="en-US" w:eastAsia="en-US" w:bidi="ar-SA"/>
      </w:rPr>
    </w:lvl>
    <w:lvl w:ilvl="4" w:tplc="8C9A6E38">
      <w:numFmt w:val="bullet"/>
      <w:lvlText w:val="•"/>
      <w:lvlJc w:val="left"/>
      <w:pPr>
        <w:ind w:left="7073" w:hanging="360"/>
      </w:pPr>
      <w:rPr>
        <w:rFonts w:hint="default"/>
        <w:lang w:val="en-US" w:eastAsia="en-US" w:bidi="ar-SA"/>
      </w:rPr>
    </w:lvl>
    <w:lvl w:ilvl="5" w:tplc="D43A3F0C">
      <w:numFmt w:val="bullet"/>
      <w:lvlText w:val="•"/>
      <w:lvlJc w:val="left"/>
      <w:pPr>
        <w:ind w:left="8347" w:hanging="360"/>
      </w:pPr>
      <w:rPr>
        <w:rFonts w:hint="default"/>
        <w:lang w:val="en-US" w:eastAsia="en-US" w:bidi="ar-SA"/>
      </w:rPr>
    </w:lvl>
    <w:lvl w:ilvl="6" w:tplc="01846A16">
      <w:numFmt w:val="bullet"/>
      <w:lvlText w:val="•"/>
      <w:lvlJc w:val="left"/>
      <w:pPr>
        <w:ind w:left="9620" w:hanging="360"/>
      </w:pPr>
      <w:rPr>
        <w:rFonts w:hint="default"/>
        <w:lang w:val="en-US" w:eastAsia="en-US" w:bidi="ar-SA"/>
      </w:rPr>
    </w:lvl>
    <w:lvl w:ilvl="7" w:tplc="6BB2F8C8">
      <w:numFmt w:val="bullet"/>
      <w:lvlText w:val="•"/>
      <w:lvlJc w:val="left"/>
      <w:pPr>
        <w:ind w:left="10893" w:hanging="360"/>
      </w:pPr>
      <w:rPr>
        <w:rFonts w:hint="default"/>
        <w:lang w:val="en-US" w:eastAsia="en-US" w:bidi="ar-SA"/>
      </w:rPr>
    </w:lvl>
    <w:lvl w:ilvl="8" w:tplc="D64E035C">
      <w:numFmt w:val="bullet"/>
      <w:lvlText w:val="•"/>
      <w:lvlJc w:val="left"/>
      <w:pPr>
        <w:ind w:left="12167" w:hanging="360"/>
      </w:pPr>
      <w:rPr>
        <w:rFonts w:hint="default"/>
        <w:lang w:val="en-US" w:eastAsia="en-US" w:bidi="ar-SA"/>
      </w:rPr>
    </w:lvl>
  </w:abstractNum>
  <w:abstractNum w:abstractNumId="2" w15:restartNumberingAfterBreak="0">
    <w:nsid w:val="5C237BDB"/>
    <w:multiLevelType w:val="hybridMultilevel"/>
    <w:tmpl w:val="97307052"/>
    <w:lvl w:ilvl="0" w:tplc="82E62DB2">
      <w:start w:val="1"/>
      <w:numFmt w:val="decimal"/>
      <w:lvlText w:val="%1-"/>
      <w:lvlJc w:val="left"/>
      <w:pPr>
        <w:ind w:left="1780" w:hanging="360"/>
      </w:pPr>
      <w:rPr>
        <w:rFonts w:ascii="Times New Roman" w:eastAsia="Times New Roman" w:hAnsi="Times New Roman" w:cs="Times New Roman" w:hint="default"/>
        <w:spacing w:val="0"/>
        <w:w w:val="100"/>
        <w:sz w:val="28"/>
        <w:szCs w:val="28"/>
        <w:lang w:val="en-US" w:eastAsia="en-US" w:bidi="ar-SA"/>
      </w:rPr>
    </w:lvl>
    <w:lvl w:ilvl="1" w:tplc="5F36F868">
      <w:start w:val="1"/>
      <w:numFmt w:val="decimal"/>
      <w:lvlText w:val="%2-"/>
      <w:lvlJc w:val="left"/>
      <w:pPr>
        <w:ind w:left="2140" w:hanging="360"/>
      </w:pPr>
      <w:rPr>
        <w:rFonts w:ascii="Times New Roman" w:eastAsia="Times New Roman" w:hAnsi="Times New Roman" w:cs="Times New Roman" w:hint="default"/>
        <w:b/>
        <w:bCs/>
        <w:spacing w:val="0"/>
        <w:w w:val="100"/>
        <w:sz w:val="28"/>
        <w:szCs w:val="28"/>
        <w:lang w:val="en-US" w:eastAsia="en-US" w:bidi="ar-SA"/>
      </w:rPr>
    </w:lvl>
    <w:lvl w:ilvl="2" w:tplc="6A768F90">
      <w:numFmt w:val="bullet"/>
      <w:lvlText w:val="•"/>
      <w:lvlJc w:val="left"/>
      <w:pPr>
        <w:ind w:left="10620" w:hanging="360"/>
      </w:pPr>
      <w:rPr>
        <w:rFonts w:hint="default"/>
        <w:lang w:val="en-US" w:eastAsia="en-US" w:bidi="ar-SA"/>
      </w:rPr>
    </w:lvl>
    <w:lvl w:ilvl="3" w:tplc="2370DFAE">
      <w:numFmt w:val="bullet"/>
      <w:lvlText w:val="•"/>
      <w:lvlJc w:val="left"/>
      <w:pPr>
        <w:ind w:left="11080" w:hanging="360"/>
      </w:pPr>
      <w:rPr>
        <w:rFonts w:hint="default"/>
        <w:lang w:val="en-US" w:eastAsia="en-US" w:bidi="ar-SA"/>
      </w:rPr>
    </w:lvl>
    <w:lvl w:ilvl="4" w:tplc="9AC29F2A">
      <w:numFmt w:val="bullet"/>
      <w:lvlText w:val="•"/>
      <w:lvlJc w:val="left"/>
      <w:pPr>
        <w:ind w:left="11282" w:hanging="360"/>
      </w:pPr>
      <w:rPr>
        <w:rFonts w:hint="default"/>
        <w:lang w:val="en-US" w:eastAsia="en-US" w:bidi="ar-SA"/>
      </w:rPr>
    </w:lvl>
    <w:lvl w:ilvl="5" w:tplc="B7E667DE">
      <w:numFmt w:val="bullet"/>
      <w:lvlText w:val="•"/>
      <w:lvlJc w:val="left"/>
      <w:pPr>
        <w:ind w:left="11483" w:hanging="360"/>
      </w:pPr>
      <w:rPr>
        <w:rFonts w:hint="default"/>
        <w:lang w:val="en-US" w:eastAsia="en-US" w:bidi="ar-SA"/>
      </w:rPr>
    </w:lvl>
    <w:lvl w:ilvl="6" w:tplc="37ECB422">
      <w:numFmt w:val="bullet"/>
      <w:lvlText w:val="•"/>
      <w:lvlJc w:val="left"/>
      <w:pPr>
        <w:ind w:left="11685" w:hanging="360"/>
      </w:pPr>
      <w:rPr>
        <w:rFonts w:hint="default"/>
        <w:lang w:val="en-US" w:eastAsia="en-US" w:bidi="ar-SA"/>
      </w:rPr>
    </w:lvl>
    <w:lvl w:ilvl="7" w:tplc="092640EC">
      <w:numFmt w:val="bullet"/>
      <w:lvlText w:val="•"/>
      <w:lvlJc w:val="left"/>
      <w:pPr>
        <w:ind w:left="11887" w:hanging="360"/>
      </w:pPr>
      <w:rPr>
        <w:rFonts w:hint="default"/>
        <w:lang w:val="en-US" w:eastAsia="en-US" w:bidi="ar-SA"/>
      </w:rPr>
    </w:lvl>
    <w:lvl w:ilvl="8" w:tplc="1A3A6E9A">
      <w:numFmt w:val="bullet"/>
      <w:lvlText w:val="•"/>
      <w:lvlJc w:val="left"/>
      <w:pPr>
        <w:ind w:left="12089" w:hanging="360"/>
      </w:pPr>
      <w:rPr>
        <w:rFonts w:hint="default"/>
        <w:lang w:val="en-US" w:eastAsia="en-US" w:bidi="ar-SA"/>
      </w:rPr>
    </w:lvl>
  </w:abstractNum>
  <w:abstractNum w:abstractNumId="3" w15:restartNumberingAfterBreak="0">
    <w:nsid w:val="6C3D37B2"/>
    <w:multiLevelType w:val="hybridMultilevel"/>
    <w:tmpl w:val="B352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5364165">
    <w:abstractNumId w:val="1"/>
  </w:num>
  <w:num w:numId="2" w16cid:durableId="482114951">
    <w:abstractNumId w:val="2"/>
  </w:num>
  <w:num w:numId="3" w16cid:durableId="909389468">
    <w:abstractNumId w:val="0"/>
  </w:num>
  <w:num w:numId="4" w16cid:durableId="12570604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03"/>
    <w:rsid w:val="0000717C"/>
    <w:rsid w:val="00013E85"/>
    <w:rsid w:val="000409F6"/>
    <w:rsid w:val="00072535"/>
    <w:rsid w:val="000A714B"/>
    <w:rsid w:val="00127A6F"/>
    <w:rsid w:val="00146910"/>
    <w:rsid w:val="001D1BE9"/>
    <w:rsid w:val="001D7ED1"/>
    <w:rsid w:val="001F6270"/>
    <w:rsid w:val="00212E42"/>
    <w:rsid w:val="0022203B"/>
    <w:rsid w:val="00263508"/>
    <w:rsid w:val="00292A0B"/>
    <w:rsid w:val="00325891"/>
    <w:rsid w:val="003308AE"/>
    <w:rsid w:val="004608B2"/>
    <w:rsid w:val="004A4CDB"/>
    <w:rsid w:val="004B17CC"/>
    <w:rsid w:val="004B656B"/>
    <w:rsid w:val="00524E18"/>
    <w:rsid w:val="0059218F"/>
    <w:rsid w:val="005A04AA"/>
    <w:rsid w:val="005B4361"/>
    <w:rsid w:val="006F7BB7"/>
    <w:rsid w:val="00710DE1"/>
    <w:rsid w:val="007220E4"/>
    <w:rsid w:val="007612A1"/>
    <w:rsid w:val="007C5835"/>
    <w:rsid w:val="00803BBD"/>
    <w:rsid w:val="0080735C"/>
    <w:rsid w:val="00853085"/>
    <w:rsid w:val="008D375C"/>
    <w:rsid w:val="00932F50"/>
    <w:rsid w:val="00977450"/>
    <w:rsid w:val="009A4543"/>
    <w:rsid w:val="009C5888"/>
    <w:rsid w:val="009D4932"/>
    <w:rsid w:val="00A461B9"/>
    <w:rsid w:val="00A57DFE"/>
    <w:rsid w:val="00A75C31"/>
    <w:rsid w:val="00A82F9C"/>
    <w:rsid w:val="00AD728B"/>
    <w:rsid w:val="00B57E2B"/>
    <w:rsid w:val="00C05EAF"/>
    <w:rsid w:val="00C47EB9"/>
    <w:rsid w:val="00C52F1E"/>
    <w:rsid w:val="00C62027"/>
    <w:rsid w:val="00CB7B74"/>
    <w:rsid w:val="00CD2026"/>
    <w:rsid w:val="00CE223D"/>
    <w:rsid w:val="00D35490"/>
    <w:rsid w:val="00DB6CBD"/>
    <w:rsid w:val="00DD6AAA"/>
    <w:rsid w:val="00DE4221"/>
    <w:rsid w:val="00E05EDB"/>
    <w:rsid w:val="00E4627E"/>
    <w:rsid w:val="00E5233F"/>
    <w:rsid w:val="00ED1458"/>
    <w:rsid w:val="00EF3C31"/>
    <w:rsid w:val="00F00BB6"/>
    <w:rsid w:val="00F07B81"/>
    <w:rsid w:val="00F54036"/>
    <w:rsid w:val="00F72403"/>
    <w:rsid w:val="00F841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5499C56B"/>
  <w15:docId w15:val="{ED847058-4AC2-4D5F-A3F5-4BC0FDA0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9"/>
      <w:ind w:left="1060"/>
      <w:outlineLvl w:val="0"/>
    </w:pPr>
    <w:rPr>
      <w:b/>
      <w:bCs/>
      <w:sz w:val="28"/>
      <w:szCs w:val="28"/>
    </w:rPr>
  </w:style>
  <w:style w:type="paragraph" w:styleId="Heading3">
    <w:name w:val="heading 3"/>
    <w:basedOn w:val="Normal"/>
    <w:next w:val="Normal"/>
    <w:link w:val="Heading3Char"/>
    <w:uiPriority w:val="9"/>
    <w:semiHidden/>
    <w:unhideWhenUsed/>
    <w:qFormat/>
    <w:rsid w:val="000A714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1780" w:hanging="360"/>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0A714B"/>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DE4221"/>
    <w:rPr>
      <w:b/>
      <w:bCs/>
    </w:rPr>
  </w:style>
  <w:style w:type="character" w:styleId="Hyperlink">
    <w:name w:val="Hyperlink"/>
    <w:basedOn w:val="DefaultParagraphFont"/>
    <w:uiPriority w:val="99"/>
    <w:unhideWhenUsed/>
    <w:rsid w:val="00146910"/>
    <w:rPr>
      <w:color w:val="0000FF" w:themeColor="hyperlink"/>
      <w:u w:val="single"/>
    </w:rPr>
  </w:style>
  <w:style w:type="character" w:styleId="UnresolvedMention">
    <w:name w:val="Unresolved Mention"/>
    <w:basedOn w:val="DefaultParagraphFont"/>
    <w:uiPriority w:val="99"/>
    <w:semiHidden/>
    <w:unhideWhenUsed/>
    <w:rsid w:val="00146910"/>
    <w:rPr>
      <w:color w:val="605E5C"/>
      <w:shd w:val="clear" w:color="auto" w:fill="E1DFDD"/>
    </w:rPr>
  </w:style>
  <w:style w:type="character" w:styleId="FollowedHyperlink">
    <w:name w:val="FollowedHyperlink"/>
    <w:basedOn w:val="DefaultParagraphFont"/>
    <w:uiPriority w:val="99"/>
    <w:semiHidden/>
    <w:unhideWhenUsed/>
    <w:rsid w:val="009774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65739">
      <w:bodyDiv w:val="1"/>
      <w:marLeft w:val="0"/>
      <w:marRight w:val="0"/>
      <w:marTop w:val="0"/>
      <w:marBottom w:val="0"/>
      <w:divBdr>
        <w:top w:val="none" w:sz="0" w:space="0" w:color="auto"/>
        <w:left w:val="none" w:sz="0" w:space="0" w:color="auto"/>
        <w:bottom w:val="none" w:sz="0" w:space="0" w:color="auto"/>
        <w:right w:val="none" w:sz="0" w:space="0" w:color="auto"/>
      </w:divBdr>
    </w:div>
    <w:div w:id="50229205">
      <w:bodyDiv w:val="1"/>
      <w:marLeft w:val="0"/>
      <w:marRight w:val="0"/>
      <w:marTop w:val="0"/>
      <w:marBottom w:val="0"/>
      <w:divBdr>
        <w:top w:val="none" w:sz="0" w:space="0" w:color="auto"/>
        <w:left w:val="none" w:sz="0" w:space="0" w:color="auto"/>
        <w:bottom w:val="none" w:sz="0" w:space="0" w:color="auto"/>
        <w:right w:val="none" w:sz="0" w:space="0" w:color="auto"/>
      </w:divBdr>
    </w:div>
    <w:div w:id="184025109">
      <w:bodyDiv w:val="1"/>
      <w:marLeft w:val="0"/>
      <w:marRight w:val="0"/>
      <w:marTop w:val="0"/>
      <w:marBottom w:val="0"/>
      <w:divBdr>
        <w:top w:val="none" w:sz="0" w:space="0" w:color="auto"/>
        <w:left w:val="none" w:sz="0" w:space="0" w:color="auto"/>
        <w:bottom w:val="none" w:sz="0" w:space="0" w:color="auto"/>
        <w:right w:val="none" w:sz="0" w:space="0" w:color="auto"/>
      </w:divBdr>
    </w:div>
    <w:div w:id="420025820">
      <w:bodyDiv w:val="1"/>
      <w:marLeft w:val="0"/>
      <w:marRight w:val="0"/>
      <w:marTop w:val="0"/>
      <w:marBottom w:val="0"/>
      <w:divBdr>
        <w:top w:val="none" w:sz="0" w:space="0" w:color="auto"/>
        <w:left w:val="none" w:sz="0" w:space="0" w:color="auto"/>
        <w:bottom w:val="none" w:sz="0" w:space="0" w:color="auto"/>
        <w:right w:val="none" w:sz="0" w:space="0" w:color="auto"/>
      </w:divBdr>
    </w:div>
    <w:div w:id="423067093">
      <w:bodyDiv w:val="1"/>
      <w:marLeft w:val="0"/>
      <w:marRight w:val="0"/>
      <w:marTop w:val="0"/>
      <w:marBottom w:val="0"/>
      <w:divBdr>
        <w:top w:val="none" w:sz="0" w:space="0" w:color="auto"/>
        <w:left w:val="none" w:sz="0" w:space="0" w:color="auto"/>
        <w:bottom w:val="none" w:sz="0" w:space="0" w:color="auto"/>
        <w:right w:val="none" w:sz="0" w:space="0" w:color="auto"/>
      </w:divBdr>
    </w:div>
    <w:div w:id="602566309">
      <w:bodyDiv w:val="1"/>
      <w:marLeft w:val="0"/>
      <w:marRight w:val="0"/>
      <w:marTop w:val="0"/>
      <w:marBottom w:val="0"/>
      <w:divBdr>
        <w:top w:val="none" w:sz="0" w:space="0" w:color="auto"/>
        <w:left w:val="none" w:sz="0" w:space="0" w:color="auto"/>
        <w:bottom w:val="none" w:sz="0" w:space="0" w:color="auto"/>
        <w:right w:val="none" w:sz="0" w:space="0" w:color="auto"/>
      </w:divBdr>
    </w:div>
    <w:div w:id="704134493">
      <w:bodyDiv w:val="1"/>
      <w:marLeft w:val="0"/>
      <w:marRight w:val="0"/>
      <w:marTop w:val="0"/>
      <w:marBottom w:val="0"/>
      <w:divBdr>
        <w:top w:val="none" w:sz="0" w:space="0" w:color="auto"/>
        <w:left w:val="none" w:sz="0" w:space="0" w:color="auto"/>
        <w:bottom w:val="none" w:sz="0" w:space="0" w:color="auto"/>
        <w:right w:val="none" w:sz="0" w:space="0" w:color="auto"/>
      </w:divBdr>
    </w:div>
    <w:div w:id="826019388">
      <w:bodyDiv w:val="1"/>
      <w:marLeft w:val="0"/>
      <w:marRight w:val="0"/>
      <w:marTop w:val="0"/>
      <w:marBottom w:val="0"/>
      <w:divBdr>
        <w:top w:val="none" w:sz="0" w:space="0" w:color="auto"/>
        <w:left w:val="none" w:sz="0" w:space="0" w:color="auto"/>
        <w:bottom w:val="none" w:sz="0" w:space="0" w:color="auto"/>
        <w:right w:val="none" w:sz="0" w:space="0" w:color="auto"/>
      </w:divBdr>
    </w:div>
    <w:div w:id="886720681">
      <w:bodyDiv w:val="1"/>
      <w:marLeft w:val="0"/>
      <w:marRight w:val="0"/>
      <w:marTop w:val="0"/>
      <w:marBottom w:val="0"/>
      <w:divBdr>
        <w:top w:val="none" w:sz="0" w:space="0" w:color="auto"/>
        <w:left w:val="none" w:sz="0" w:space="0" w:color="auto"/>
        <w:bottom w:val="none" w:sz="0" w:space="0" w:color="auto"/>
        <w:right w:val="none" w:sz="0" w:space="0" w:color="auto"/>
      </w:divBdr>
    </w:div>
    <w:div w:id="945694557">
      <w:bodyDiv w:val="1"/>
      <w:marLeft w:val="0"/>
      <w:marRight w:val="0"/>
      <w:marTop w:val="0"/>
      <w:marBottom w:val="0"/>
      <w:divBdr>
        <w:top w:val="none" w:sz="0" w:space="0" w:color="auto"/>
        <w:left w:val="none" w:sz="0" w:space="0" w:color="auto"/>
        <w:bottom w:val="none" w:sz="0" w:space="0" w:color="auto"/>
        <w:right w:val="none" w:sz="0" w:space="0" w:color="auto"/>
      </w:divBdr>
    </w:div>
    <w:div w:id="1317566476">
      <w:bodyDiv w:val="1"/>
      <w:marLeft w:val="0"/>
      <w:marRight w:val="0"/>
      <w:marTop w:val="0"/>
      <w:marBottom w:val="0"/>
      <w:divBdr>
        <w:top w:val="none" w:sz="0" w:space="0" w:color="auto"/>
        <w:left w:val="none" w:sz="0" w:space="0" w:color="auto"/>
        <w:bottom w:val="none" w:sz="0" w:space="0" w:color="auto"/>
        <w:right w:val="none" w:sz="0" w:space="0" w:color="auto"/>
      </w:divBdr>
    </w:div>
    <w:div w:id="1402484521">
      <w:bodyDiv w:val="1"/>
      <w:marLeft w:val="0"/>
      <w:marRight w:val="0"/>
      <w:marTop w:val="0"/>
      <w:marBottom w:val="0"/>
      <w:divBdr>
        <w:top w:val="none" w:sz="0" w:space="0" w:color="auto"/>
        <w:left w:val="none" w:sz="0" w:space="0" w:color="auto"/>
        <w:bottom w:val="none" w:sz="0" w:space="0" w:color="auto"/>
        <w:right w:val="none" w:sz="0" w:space="0" w:color="auto"/>
      </w:divBdr>
    </w:div>
    <w:div w:id="1533617668">
      <w:bodyDiv w:val="1"/>
      <w:marLeft w:val="0"/>
      <w:marRight w:val="0"/>
      <w:marTop w:val="0"/>
      <w:marBottom w:val="0"/>
      <w:divBdr>
        <w:top w:val="none" w:sz="0" w:space="0" w:color="auto"/>
        <w:left w:val="none" w:sz="0" w:space="0" w:color="auto"/>
        <w:bottom w:val="none" w:sz="0" w:space="0" w:color="auto"/>
        <w:right w:val="none" w:sz="0" w:space="0" w:color="auto"/>
      </w:divBdr>
    </w:div>
    <w:div w:id="1760785236">
      <w:bodyDiv w:val="1"/>
      <w:marLeft w:val="0"/>
      <w:marRight w:val="0"/>
      <w:marTop w:val="0"/>
      <w:marBottom w:val="0"/>
      <w:divBdr>
        <w:top w:val="none" w:sz="0" w:space="0" w:color="auto"/>
        <w:left w:val="none" w:sz="0" w:space="0" w:color="auto"/>
        <w:bottom w:val="none" w:sz="0" w:space="0" w:color="auto"/>
        <w:right w:val="none" w:sz="0" w:space="0" w:color="auto"/>
      </w:divBdr>
    </w:div>
    <w:div w:id="2014914191">
      <w:bodyDiv w:val="1"/>
      <w:marLeft w:val="0"/>
      <w:marRight w:val="0"/>
      <w:marTop w:val="0"/>
      <w:marBottom w:val="0"/>
      <w:divBdr>
        <w:top w:val="none" w:sz="0" w:space="0" w:color="auto"/>
        <w:left w:val="none" w:sz="0" w:space="0" w:color="auto"/>
        <w:bottom w:val="none" w:sz="0" w:space="0" w:color="auto"/>
        <w:right w:val="none" w:sz="0" w:space="0" w:color="auto"/>
      </w:divBdr>
    </w:div>
    <w:div w:id="2103137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dltechjournal.org/article/2021/scalability-iot-blockchain" TargetMode="External"/><Relationship Id="rId3" Type="http://schemas.openxmlformats.org/officeDocument/2006/relationships/settings" Target="settings.xml"/><Relationship Id="rId7" Type="http://schemas.openxmlformats.org/officeDocument/2006/relationships/hyperlink" Target="https://www.supplychainreview.org/article/2022/blockchain-iot-supply-chai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techjournal.org/article/2021/blockchain-healthcare-iot" TargetMode="External"/><Relationship Id="rId11" Type="http://schemas.openxmlformats.org/officeDocument/2006/relationships/fontTable" Target="fontTable.xml"/><Relationship Id="rId5" Type="http://schemas.openxmlformats.org/officeDocument/2006/relationships/hyperlink" Target="https://www.jitsecurjournal.org/article/2020/blockchain-iot-security" TargetMode="External"/><Relationship Id="rId10" Type="http://schemas.openxmlformats.org/officeDocument/2006/relationships/hyperlink" Target="%20https:/www.urbantechinnovation.org/article/2023/blockchain-iot-smart-city" TargetMode="External"/><Relationship Id="rId4" Type="http://schemas.openxmlformats.org/officeDocument/2006/relationships/webSettings" Target="webSettings.xml"/><Relationship Id="rId9" Type="http://schemas.openxmlformats.org/officeDocument/2006/relationships/hyperlink" Target="https://www.sustcomputingjournal.org/article/2020/energy-efficiency-blockchain-i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2652</Words>
  <Characters>15117</Characters>
  <Application>Microsoft Office Word</Application>
  <DocSecurity>0</DocSecurity>
  <Lines>125</Lines>
  <Paragraphs>35</Paragraphs>
  <ScaleCrop>false</ScaleCrop>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Rami Zain</cp:lastModifiedBy>
  <cp:revision>6</cp:revision>
  <dcterms:created xsi:type="dcterms:W3CDTF">2024-11-07T20:32:00Z</dcterms:created>
  <dcterms:modified xsi:type="dcterms:W3CDTF">2024-11-07T20:34:00Z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2024-07-20T00:00:00Z</vt:filetime>
  </property>
  <property fmtid="{D5CDD505-2E9C-101B-9397-08002B2CF9AE}" pid="3" name="Creator">
    <vt:lpwstr>Microsoft® Word LTSC</vt:lpwstr>
  </property>
  <property fmtid="{D5CDD505-2E9C-101B-9397-08002B2CF9AE}" pid="4" name="LastSaved">
    <vt:filetime>2024-11-05T00:00:00Z</vt:filetime>
  </property>
</Properties>
</file>