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CC180C" w:rsidRDefault="009125CE" w:rsidP="00CC180C">
      <w:pPr>
        <w:spacing w:line="276" w:lineRule="auto"/>
        <w:jc w:val="both"/>
        <w:rPr>
          <w:rFonts w:ascii="Simplified Arabic" w:hAnsi="Simplified Arabic" w:cs="Simplified Arabic"/>
          <w:sz w:val="28"/>
          <w:szCs w:val="28"/>
          <w:lang w:bidi="ar-EG"/>
        </w:rPr>
      </w:pPr>
      <w:r w:rsidRPr="00CC180C">
        <w:rPr>
          <w:rFonts w:ascii="Simplified Arabic" w:hAnsi="Simplified Arabic" w:cs="Simplified Arabic" w:hint="cs"/>
          <w:sz w:val="28"/>
          <w:szCs w:val="28"/>
          <w:rtl/>
          <w:lang w:bidi="ar-EG"/>
        </w:rPr>
        <w:t xml:space="preserve">جامعة ميدأوشن </w:t>
      </w:r>
    </w:p>
    <w:p w14:paraId="1E957002" w14:textId="3465A7EA" w:rsidR="00F546CE" w:rsidRPr="00CC180C" w:rsidRDefault="009125CE" w:rsidP="00CC180C">
      <w:pPr>
        <w:spacing w:line="276" w:lineRule="auto"/>
        <w:jc w:val="both"/>
        <w:rPr>
          <w:rFonts w:ascii="Simplified Arabic" w:hAnsi="Simplified Arabic" w:cs="Simplified Arabic"/>
          <w:sz w:val="28"/>
          <w:szCs w:val="28"/>
          <w:rtl/>
          <w:lang w:bidi="ar-EG"/>
        </w:rPr>
      </w:pPr>
      <w:r w:rsidRPr="00CC180C">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180C">
        <w:rPr>
          <w:rFonts w:ascii="Simplified Arabic" w:hAnsi="Simplified Arabic" w:cs="Simplified Arabic" w:hint="cs"/>
          <w:sz w:val="28"/>
          <w:szCs w:val="28"/>
          <w:lang w:bidi="ar-EG"/>
        </w:rPr>
        <w:t xml:space="preserve">    </w:t>
      </w:r>
      <w:r w:rsidRPr="00CC180C">
        <w:rPr>
          <w:rFonts w:ascii="Simplified Arabic" w:hAnsi="Simplified Arabic" w:cs="Simplified Arabic" w:hint="cs"/>
          <w:sz w:val="28"/>
          <w:szCs w:val="28"/>
          <w:rtl/>
          <w:lang w:bidi="ar-EG"/>
        </w:rPr>
        <w:t xml:space="preserve">كلية </w:t>
      </w:r>
      <w:r w:rsidR="008C42C1" w:rsidRPr="00CC180C">
        <w:rPr>
          <w:rFonts w:ascii="Simplified Arabic" w:hAnsi="Simplified Arabic" w:cs="Simplified Arabic" w:hint="cs"/>
          <w:sz w:val="28"/>
          <w:szCs w:val="28"/>
          <w:rtl/>
          <w:lang w:bidi="ar-EG"/>
        </w:rPr>
        <w:t>الإ</w:t>
      </w:r>
      <w:r w:rsidR="00D40E84" w:rsidRPr="00CC180C">
        <w:rPr>
          <w:rFonts w:ascii="Simplified Arabic" w:hAnsi="Simplified Arabic" w:cs="Simplified Arabic" w:hint="cs"/>
          <w:sz w:val="28"/>
          <w:szCs w:val="28"/>
          <w:rtl/>
          <w:lang w:bidi="ar-EG"/>
        </w:rPr>
        <w:t>علام</w:t>
      </w:r>
      <w:r w:rsidRPr="00CC180C">
        <w:rPr>
          <w:rFonts w:ascii="Simplified Arabic" w:hAnsi="Simplified Arabic" w:cs="Simplified Arabic" w:hint="cs"/>
          <w:sz w:val="28"/>
          <w:szCs w:val="28"/>
          <w:rtl/>
          <w:lang w:bidi="ar-EG"/>
        </w:rPr>
        <w:t xml:space="preserve"> </w:t>
      </w:r>
    </w:p>
    <w:p w14:paraId="0217C513" w14:textId="232A7290" w:rsidR="009125CE" w:rsidRPr="00CC180C" w:rsidRDefault="009125CE" w:rsidP="00CC180C">
      <w:pPr>
        <w:spacing w:line="276" w:lineRule="auto"/>
        <w:jc w:val="both"/>
        <w:rPr>
          <w:rFonts w:ascii="Simplified Arabic" w:hAnsi="Simplified Arabic" w:cs="Simplified Arabic"/>
          <w:sz w:val="28"/>
          <w:szCs w:val="28"/>
          <w:rtl/>
          <w:lang w:bidi="ar-EG"/>
        </w:rPr>
      </w:pPr>
      <w:r w:rsidRPr="00CC180C">
        <w:rPr>
          <w:rFonts w:ascii="Simplified Arabic" w:hAnsi="Simplified Arabic" w:cs="Simplified Arabic" w:hint="cs"/>
          <w:sz w:val="28"/>
          <w:szCs w:val="28"/>
          <w:rtl/>
          <w:lang w:bidi="ar-EG"/>
        </w:rPr>
        <w:t>تخصص</w:t>
      </w:r>
      <w:r w:rsidR="00B15A9E" w:rsidRPr="00CC180C">
        <w:rPr>
          <w:rFonts w:ascii="Simplified Arabic" w:hAnsi="Simplified Arabic" w:cs="Simplified Arabic" w:hint="cs"/>
          <w:sz w:val="28"/>
          <w:szCs w:val="28"/>
          <w:rtl/>
          <w:lang w:bidi="ar-EG"/>
        </w:rPr>
        <w:t xml:space="preserve"> </w:t>
      </w:r>
      <w:r w:rsidR="00AF58FE">
        <w:rPr>
          <w:rFonts w:ascii="Simplified Arabic" w:hAnsi="Simplified Arabic" w:cs="Simplified Arabic" w:hint="cs"/>
          <w:sz w:val="28"/>
          <w:szCs w:val="28"/>
          <w:rtl/>
          <w:lang w:bidi="ar-EG"/>
        </w:rPr>
        <w:t xml:space="preserve">تسويق رقمي </w:t>
      </w:r>
      <w:r w:rsidR="00D40E84" w:rsidRPr="00CC180C">
        <w:rPr>
          <w:rFonts w:ascii="Simplified Arabic" w:hAnsi="Simplified Arabic" w:cs="Simplified Arabic" w:hint="cs"/>
          <w:sz w:val="28"/>
          <w:szCs w:val="28"/>
          <w:rtl/>
          <w:lang w:bidi="ar-EG"/>
        </w:rPr>
        <w:t xml:space="preserve"> </w:t>
      </w:r>
    </w:p>
    <w:p w14:paraId="0A25F43C" w14:textId="77777777" w:rsidR="008C7BB4" w:rsidRPr="00CC180C" w:rsidRDefault="008C7BB4" w:rsidP="00CC180C">
      <w:pPr>
        <w:spacing w:line="276" w:lineRule="auto"/>
        <w:jc w:val="both"/>
        <w:rPr>
          <w:rFonts w:ascii="Simplified Arabic" w:hAnsi="Simplified Arabic" w:cs="Simplified Arabic"/>
          <w:sz w:val="28"/>
          <w:szCs w:val="28"/>
          <w:rtl/>
          <w:lang w:bidi="ar-EG"/>
        </w:rPr>
      </w:pPr>
    </w:p>
    <w:p w14:paraId="5F6542BF" w14:textId="77777777" w:rsidR="009125CE" w:rsidRPr="00CC180C" w:rsidRDefault="009125CE" w:rsidP="00CC180C">
      <w:pPr>
        <w:spacing w:line="276" w:lineRule="auto"/>
        <w:jc w:val="both"/>
        <w:rPr>
          <w:rFonts w:ascii="Simplified Arabic" w:hAnsi="Simplified Arabic" w:cs="Simplified Arabic"/>
          <w:sz w:val="28"/>
          <w:szCs w:val="28"/>
          <w:rtl/>
          <w:lang w:bidi="ar-EG"/>
        </w:rPr>
      </w:pPr>
    </w:p>
    <w:p w14:paraId="5A9570D1" w14:textId="58C1EB2D" w:rsidR="00F4755E" w:rsidRPr="00CC180C" w:rsidRDefault="00F4755E" w:rsidP="00CC180C">
      <w:pPr>
        <w:spacing w:line="276" w:lineRule="auto"/>
        <w:jc w:val="center"/>
        <w:rPr>
          <w:rFonts w:ascii="Simplified Arabic" w:hAnsi="Simplified Arabic" w:cs="Simplified Arabic"/>
          <w:b/>
          <w:bCs/>
          <w:sz w:val="32"/>
          <w:szCs w:val="32"/>
          <w:rtl/>
        </w:rPr>
      </w:pPr>
      <w:r w:rsidRPr="00CC180C">
        <w:rPr>
          <w:rFonts w:ascii="Simplified Arabic" w:hAnsi="Simplified Arabic" w:cs="Simplified Arabic" w:hint="cs"/>
          <w:b/>
          <w:bCs/>
          <w:sz w:val="32"/>
          <w:szCs w:val="32"/>
          <w:rtl/>
        </w:rPr>
        <w:t>دور المحتوى الرقمي الحكومي في الترويج لل</w:t>
      </w:r>
      <w:r w:rsidR="00AF58FE">
        <w:rPr>
          <w:rFonts w:ascii="Simplified Arabic" w:hAnsi="Simplified Arabic" w:cs="Simplified Arabic" w:hint="cs"/>
          <w:b/>
          <w:bCs/>
          <w:sz w:val="32"/>
          <w:szCs w:val="32"/>
          <w:rtl/>
        </w:rPr>
        <w:t>موروث</w:t>
      </w:r>
      <w:r w:rsidRPr="00CC180C">
        <w:rPr>
          <w:rFonts w:ascii="Simplified Arabic" w:hAnsi="Simplified Arabic" w:cs="Simplified Arabic" w:hint="cs"/>
          <w:b/>
          <w:bCs/>
          <w:sz w:val="32"/>
          <w:szCs w:val="32"/>
          <w:rtl/>
        </w:rPr>
        <w:t xml:space="preserve"> السعودي ضمن رؤية ٢٠٣٠</w:t>
      </w:r>
    </w:p>
    <w:p w14:paraId="77A055AC" w14:textId="10EADE6D" w:rsidR="00F4755E" w:rsidRPr="00CC180C" w:rsidRDefault="00F4755E" w:rsidP="00CC180C">
      <w:pPr>
        <w:spacing w:line="276" w:lineRule="auto"/>
        <w:jc w:val="center"/>
        <w:rPr>
          <w:rFonts w:ascii="Simplified Arabic" w:hAnsi="Simplified Arabic" w:cs="Simplified Arabic"/>
          <w:b/>
          <w:bCs/>
          <w:sz w:val="32"/>
          <w:szCs w:val="32"/>
          <w:rtl/>
        </w:rPr>
      </w:pPr>
      <w:r w:rsidRPr="00CC180C">
        <w:rPr>
          <w:rFonts w:ascii="Simplified Arabic" w:hAnsi="Simplified Arabic" w:cs="Simplified Arabic" w:hint="cs"/>
          <w:b/>
          <w:bCs/>
          <w:sz w:val="32"/>
          <w:szCs w:val="32"/>
          <w:rtl/>
        </w:rPr>
        <w:t xml:space="preserve">دراسة </w:t>
      </w:r>
      <w:r w:rsidR="00AF58FE" w:rsidRPr="00CC180C">
        <w:rPr>
          <w:rFonts w:ascii="Simplified Arabic" w:hAnsi="Simplified Arabic" w:cs="Times New Roman" w:hint="cs"/>
          <w:b/>
          <w:bCs/>
          <w:sz w:val="32"/>
          <w:szCs w:val="32"/>
          <w:rtl/>
        </w:rPr>
        <w:t>تحليلية حملات</w:t>
      </w:r>
      <w:r w:rsidRPr="00CC180C">
        <w:rPr>
          <w:rFonts w:ascii="Simplified Arabic" w:hAnsi="Simplified Arabic" w:cs="Simplified Arabic" w:hint="cs"/>
          <w:b/>
          <w:bCs/>
          <w:sz w:val="32"/>
          <w:szCs w:val="32"/>
          <w:rtl/>
        </w:rPr>
        <w:t xml:space="preserve"> أعوام الثقافة</w:t>
      </w:r>
    </w:p>
    <w:p w14:paraId="751A7E65" w14:textId="0ECD5E1E" w:rsidR="009125CE" w:rsidRPr="00CC180C" w:rsidRDefault="009125CE" w:rsidP="00CC180C">
      <w:pPr>
        <w:spacing w:line="276" w:lineRule="auto"/>
        <w:jc w:val="center"/>
        <w:rPr>
          <w:rFonts w:ascii="Simplified Arabic" w:hAnsi="Simplified Arabic" w:cs="Simplified Arabic"/>
          <w:b/>
          <w:bCs/>
          <w:sz w:val="32"/>
          <w:szCs w:val="32"/>
          <w:rtl/>
          <w:lang w:bidi="ar-EG"/>
        </w:rPr>
      </w:pPr>
      <w:r w:rsidRPr="00CC180C">
        <w:rPr>
          <w:rFonts w:ascii="Simplified Arabic" w:hAnsi="Simplified Arabic" w:cs="Simplified Arabic" w:hint="cs"/>
          <w:b/>
          <w:bCs/>
          <w:sz w:val="32"/>
          <w:szCs w:val="32"/>
          <w:rtl/>
          <w:lang w:bidi="ar-EG"/>
        </w:rPr>
        <w:t>إعداد الطالب/</w:t>
      </w:r>
    </w:p>
    <w:p w14:paraId="10DBE1E7" w14:textId="16DD5B8A" w:rsidR="00854B0B" w:rsidRPr="00CC180C" w:rsidRDefault="00AF58FE" w:rsidP="00CC180C">
      <w:pPr>
        <w:spacing w:line="276" w:lineRule="auto"/>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نوره حسن القحطاني</w:t>
      </w:r>
    </w:p>
    <w:p w14:paraId="0D93EC76" w14:textId="77777777" w:rsidR="00F4755E" w:rsidRPr="00CC180C" w:rsidRDefault="00F4755E" w:rsidP="00CC180C">
      <w:pPr>
        <w:spacing w:line="276" w:lineRule="auto"/>
        <w:jc w:val="center"/>
        <w:rPr>
          <w:rFonts w:ascii="Simplified Arabic" w:hAnsi="Simplified Arabic" w:cs="Simplified Arabic"/>
          <w:sz w:val="32"/>
          <w:szCs w:val="32"/>
          <w:rtl/>
        </w:rPr>
      </w:pPr>
    </w:p>
    <w:p w14:paraId="72AE4360" w14:textId="77777777" w:rsidR="00854B0B" w:rsidRPr="00CC180C" w:rsidRDefault="00854B0B" w:rsidP="00CC180C">
      <w:pPr>
        <w:spacing w:line="276" w:lineRule="auto"/>
        <w:jc w:val="center"/>
        <w:rPr>
          <w:rFonts w:ascii="Simplified Arabic" w:hAnsi="Simplified Arabic" w:cs="Simplified Arabic"/>
          <w:sz w:val="32"/>
          <w:szCs w:val="32"/>
          <w:rtl/>
        </w:rPr>
      </w:pPr>
    </w:p>
    <w:p w14:paraId="5F4EE2DE" w14:textId="43BBE41A" w:rsidR="009125CE" w:rsidRPr="00CC180C" w:rsidRDefault="009125CE" w:rsidP="00CC180C">
      <w:pPr>
        <w:spacing w:line="276" w:lineRule="auto"/>
        <w:jc w:val="center"/>
        <w:rPr>
          <w:rFonts w:ascii="Simplified Arabic" w:hAnsi="Simplified Arabic" w:cs="Simplified Arabic"/>
          <w:sz w:val="32"/>
          <w:szCs w:val="32"/>
          <w:rtl/>
          <w:lang w:bidi="ar-EG"/>
        </w:rPr>
      </w:pPr>
      <w:r w:rsidRPr="00CC180C">
        <w:rPr>
          <w:rFonts w:ascii="Simplified Arabic" w:hAnsi="Simplified Arabic" w:cs="Simplified Arabic" w:hint="cs"/>
          <w:sz w:val="32"/>
          <w:szCs w:val="32"/>
          <w:rtl/>
          <w:lang w:bidi="ar-EG"/>
        </w:rPr>
        <w:t>إشراف/</w:t>
      </w:r>
    </w:p>
    <w:p w14:paraId="425D9CC5" w14:textId="32A83003" w:rsidR="000A06E6" w:rsidRPr="00CC180C" w:rsidRDefault="00BA5817" w:rsidP="00CC180C">
      <w:pPr>
        <w:spacing w:line="276" w:lineRule="auto"/>
        <w:ind w:firstLine="720"/>
        <w:jc w:val="center"/>
        <w:rPr>
          <w:rFonts w:ascii="Simplified Arabic" w:eastAsia="Calibri" w:hAnsi="Simplified Arabic" w:cs="Simplified Arabic"/>
          <w:kern w:val="0"/>
          <w:sz w:val="32"/>
          <w:szCs w:val="32"/>
          <w:rtl/>
          <w:lang w:bidi="ar-EG"/>
          <w14:ligatures w14:val="none"/>
        </w:rPr>
      </w:pPr>
      <w:r w:rsidRPr="00CC180C">
        <w:rPr>
          <w:rFonts w:ascii="Simplified Arabic" w:eastAsia="Calibri" w:hAnsi="Simplified Arabic" w:cs="Simplified Arabic" w:hint="cs"/>
          <w:kern w:val="0"/>
          <w:sz w:val="32"/>
          <w:szCs w:val="32"/>
          <w:rtl/>
          <w:lang w:bidi="ar-EG"/>
          <w14:ligatures w14:val="none"/>
        </w:rPr>
        <w:t>د.</w:t>
      </w:r>
      <w:r w:rsidR="002705BD" w:rsidRPr="00CC180C">
        <w:rPr>
          <w:rFonts w:ascii="Simplified Arabic" w:hAnsi="Simplified Arabic" w:cs="Simplified Arabic" w:hint="cs"/>
          <w:sz w:val="32"/>
          <w:szCs w:val="32"/>
          <w:rtl/>
        </w:rPr>
        <w:t xml:space="preserve"> </w:t>
      </w:r>
      <w:r w:rsidR="00AF58FE">
        <w:rPr>
          <w:rFonts w:ascii="Simplified Arabic" w:eastAsia="Calibri" w:hAnsi="Simplified Arabic" w:cs="Simplified Arabic" w:hint="cs"/>
          <w:kern w:val="0"/>
          <w:sz w:val="32"/>
          <w:szCs w:val="32"/>
          <w:rtl/>
          <w:lang w:bidi="ar-EG"/>
          <w14:ligatures w14:val="none"/>
        </w:rPr>
        <w:t>محمد عويس</w:t>
      </w:r>
    </w:p>
    <w:p w14:paraId="310094A9" w14:textId="77777777" w:rsidR="004B118D" w:rsidRPr="00CC180C" w:rsidRDefault="004B118D" w:rsidP="00CC180C">
      <w:pPr>
        <w:spacing w:line="276" w:lineRule="auto"/>
        <w:ind w:firstLine="720"/>
        <w:jc w:val="center"/>
        <w:rPr>
          <w:rFonts w:ascii="Simplified Arabic" w:eastAsia="Calibri" w:hAnsi="Simplified Arabic" w:cs="Simplified Arabic"/>
          <w:kern w:val="0"/>
          <w:sz w:val="32"/>
          <w:szCs w:val="32"/>
          <w:rtl/>
          <w:lang w:bidi="ar-EG"/>
          <w14:ligatures w14:val="none"/>
        </w:rPr>
      </w:pPr>
    </w:p>
    <w:p w14:paraId="75185671" w14:textId="77777777" w:rsidR="004B118D" w:rsidRPr="00CC180C" w:rsidRDefault="004B118D" w:rsidP="00CC180C">
      <w:pPr>
        <w:spacing w:line="276" w:lineRule="auto"/>
        <w:ind w:firstLine="720"/>
        <w:jc w:val="center"/>
        <w:rPr>
          <w:rFonts w:ascii="Simplified Arabic" w:eastAsia="Calibri" w:hAnsi="Simplified Arabic" w:cs="Simplified Arabic"/>
          <w:kern w:val="0"/>
          <w:sz w:val="32"/>
          <w:szCs w:val="32"/>
          <w:rtl/>
          <w:lang w:bidi="ar-EG"/>
          <w14:ligatures w14:val="none"/>
        </w:rPr>
      </w:pPr>
    </w:p>
    <w:p w14:paraId="05DD91B1" w14:textId="652B334B" w:rsidR="00377D51" w:rsidRPr="00CC180C" w:rsidRDefault="009125CE" w:rsidP="00CC180C">
      <w:pPr>
        <w:spacing w:line="276" w:lineRule="auto"/>
        <w:jc w:val="center"/>
        <w:rPr>
          <w:rFonts w:ascii="Simplified Arabic" w:hAnsi="Simplified Arabic" w:cs="Simplified Arabic"/>
          <w:sz w:val="32"/>
          <w:szCs w:val="32"/>
          <w:rtl/>
        </w:rPr>
      </w:pPr>
      <w:r w:rsidRPr="00CC180C">
        <w:rPr>
          <w:rFonts w:ascii="Simplified Arabic" w:hAnsi="Simplified Arabic" w:cs="Simplified Arabic" w:hint="cs"/>
          <w:sz w:val="32"/>
          <w:szCs w:val="32"/>
          <w:rtl/>
          <w:lang w:bidi="ar-EG"/>
        </w:rPr>
        <w:t>العام الدراسي:</w:t>
      </w:r>
      <w:r w:rsidR="00F30BD7" w:rsidRPr="00CC180C">
        <w:rPr>
          <w:rFonts w:ascii="Simplified Arabic" w:hAnsi="Simplified Arabic" w:cs="Simplified Arabic" w:hint="cs"/>
          <w:sz w:val="32"/>
          <w:szCs w:val="32"/>
          <w:lang w:bidi="ar-EG"/>
        </w:rPr>
        <w:t>202</w:t>
      </w:r>
      <w:r w:rsidR="00E27D3B" w:rsidRPr="00CC180C">
        <w:rPr>
          <w:rFonts w:ascii="Simplified Arabic" w:hAnsi="Simplified Arabic" w:cs="Simplified Arabic" w:hint="cs"/>
          <w:sz w:val="32"/>
          <w:szCs w:val="32"/>
          <w:lang w:bidi="ar-EG"/>
        </w:rPr>
        <w:t>6</w:t>
      </w:r>
    </w:p>
    <w:p w14:paraId="6A446C3A" w14:textId="77777777" w:rsidR="00470A2D" w:rsidRPr="00CC180C" w:rsidRDefault="00470A2D" w:rsidP="00CC180C">
      <w:pPr>
        <w:spacing w:line="276" w:lineRule="auto"/>
        <w:jc w:val="center"/>
        <w:rPr>
          <w:rFonts w:ascii="Simplified Arabic" w:hAnsi="Simplified Arabic" w:cs="Simplified Arabic"/>
          <w:sz w:val="32"/>
          <w:szCs w:val="32"/>
          <w:rtl/>
        </w:rPr>
      </w:pP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b/>
          <w:bCs/>
          <w:noProof/>
        </w:rPr>
      </w:sdtEndPr>
      <w:sdtContent>
        <w:p w14:paraId="202ADDF0" w14:textId="695E1567" w:rsidR="00377D51" w:rsidRPr="00CC180C" w:rsidRDefault="00377D51" w:rsidP="00DC5A70">
          <w:pPr>
            <w:pStyle w:val="1"/>
            <w:jc w:val="both"/>
            <w:rPr>
              <w:sz w:val="28"/>
              <w:szCs w:val="28"/>
              <w:rtl/>
            </w:rPr>
          </w:pPr>
        </w:p>
        <w:p w14:paraId="68346D73" w14:textId="108AA74D" w:rsidR="00DC5A70" w:rsidRDefault="00377D51" w:rsidP="001F6343">
          <w:pPr>
            <w:pStyle w:val="10"/>
            <w:numPr>
              <w:ilvl w:val="3"/>
              <w:numId w:val="5"/>
            </w:numPr>
            <w:tabs>
              <w:tab w:val="right" w:leader="dot" w:pos="8822"/>
            </w:tabs>
            <w:rPr>
              <w:rFonts w:eastAsiaTheme="minorEastAsia"/>
              <w:noProof/>
              <w:sz w:val="24"/>
              <w:szCs w:val="24"/>
              <w:rtl/>
            </w:rPr>
          </w:pPr>
          <w:r w:rsidRPr="00CC180C">
            <w:rPr>
              <w:rFonts w:ascii="Simplified Arabic" w:hAnsi="Simplified Arabic" w:cs="Simplified Arabic" w:hint="cs"/>
              <w:b/>
              <w:bCs/>
              <w:sz w:val="28"/>
              <w:szCs w:val="28"/>
            </w:rPr>
            <w:fldChar w:fldCharType="begin"/>
          </w:r>
          <w:r w:rsidRPr="00CC180C">
            <w:rPr>
              <w:rFonts w:ascii="Simplified Arabic" w:hAnsi="Simplified Arabic" w:cs="Simplified Arabic" w:hint="cs"/>
              <w:b/>
              <w:bCs/>
              <w:sz w:val="28"/>
              <w:szCs w:val="28"/>
            </w:rPr>
            <w:instrText xml:space="preserve"> TOC \o "1-3" \h \z \u </w:instrText>
          </w:r>
          <w:r w:rsidRPr="00CC180C">
            <w:rPr>
              <w:rFonts w:ascii="Simplified Arabic" w:hAnsi="Simplified Arabic" w:cs="Simplified Arabic" w:hint="cs"/>
              <w:b/>
              <w:bCs/>
              <w:sz w:val="28"/>
              <w:szCs w:val="28"/>
            </w:rPr>
            <w:fldChar w:fldCharType="separate"/>
          </w:r>
          <w:hyperlink w:anchor="_Toc225935159" w:history="1">
            <w:r w:rsidR="00DC5A70" w:rsidRPr="005953E3">
              <w:rPr>
                <w:rStyle w:val="Hyperlink"/>
                <w:noProof/>
                <w:rtl/>
              </w:rPr>
              <w:t>مقدمة: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Toc225935159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3</w:t>
            </w:r>
            <w:r w:rsidR="00DC5A70">
              <w:rPr>
                <w:rStyle w:val="Hyperlink"/>
                <w:noProof/>
                <w:rtl/>
              </w:rPr>
              <w:fldChar w:fldCharType="end"/>
            </w:r>
          </w:hyperlink>
        </w:p>
        <w:p w14:paraId="3E57C758" w14:textId="00478843" w:rsidR="00DC5A70" w:rsidRDefault="007B6649" w:rsidP="001F6343">
          <w:pPr>
            <w:pStyle w:val="10"/>
            <w:numPr>
              <w:ilvl w:val="3"/>
              <w:numId w:val="5"/>
            </w:numPr>
            <w:tabs>
              <w:tab w:val="right" w:leader="dot" w:pos="8822"/>
            </w:tabs>
            <w:rPr>
              <w:rFonts w:eastAsiaTheme="minorEastAsia"/>
              <w:noProof/>
              <w:sz w:val="24"/>
              <w:szCs w:val="24"/>
              <w:rtl/>
            </w:rPr>
          </w:pPr>
          <w:hyperlink w:anchor="_Toc225935160" w:history="1">
            <w:r w:rsidR="00DC5A70" w:rsidRPr="005953E3">
              <w:rPr>
                <w:rStyle w:val="Hyperlink"/>
                <w:noProof/>
                <w:rtl/>
              </w:rPr>
              <w:t>مشكلة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Toc225935160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4</w:t>
            </w:r>
            <w:r w:rsidR="00DC5A70">
              <w:rPr>
                <w:rStyle w:val="Hyperlink"/>
                <w:noProof/>
                <w:rtl/>
              </w:rPr>
              <w:fldChar w:fldCharType="end"/>
            </w:r>
          </w:hyperlink>
        </w:p>
        <w:p w14:paraId="48874A64" w14:textId="523C9287" w:rsidR="00DC5A70" w:rsidRDefault="007B6649" w:rsidP="001F6343">
          <w:pPr>
            <w:pStyle w:val="10"/>
            <w:numPr>
              <w:ilvl w:val="3"/>
              <w:numId w:val="5"/>
            </w:numPr>
            <w:tabs>
              <w:tab w:val="right" w:leader="dot" w:pos="8822"/>
            </w:tabs>
            <w:rPr>
              <w:rFonts w:eastAsiaTheme="minorEastAsia"/>
              <w:noProof/>
              <w:sz w:val="24"/>
              <w:szCs w:val="24"/>
              <w:rtl/>
            </w:rPr>
          </w:pPr>
          <w:hyperlink w:anchor="_Toc225935161" w:history="1">
            <w:r w:rsidR="00DC5A70" w:rsidRPr="005953E3">
              <w:rPr>
                <w:rStyle w:val="Hyperlink"/>
                <w:noProof/>
                <w:rtl/>
              </w:rPr>
              <w:t>أهداف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Toc225935161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6</w:t>
            </w:r>
            <w:r w:rsidR="00DC5A70">
              <w:rPr>
                <w:rStyle w:val="Hyperlink"/>
                <w:noProof/>
                <w:rtl/>
              </w:rPr>
              <w:fldChar w:fldCharType="end"/>
            </w:r>
          </w:hyperlink>
        </w:p>
        <w:p w14:paraId="093DCCDA" w14:textId="1A382B19" w:rsidR="00DC5A70" w:rsidRDefault="007B6649" w:rsidP="001F6343">
          <w:pPr>
            <w:pStyle w:val="10"/>
            <w:numPr>
              <w:ilvl w:val="3"/>
              <w:numId w:val="5"/>
            </w:numPr>
            <w:tabs>
              <w:tab w:val="right" w:leader="dot" w:pos="8822"/>
            </w:tabs>
            <w:rPr>
              <w:rFonts w:eastAsiaTheme="minorEastAsia"/>
              <w:noProof/>
              <w:sz w:val="24"/>
              <w:szCs w:val="24"/>
              <w:rtl/>
            </w:rPr>
          </w:pPr>
          <w:hyperlink w:anchor="_Toc225935162" w:history="1">
            <w:r w:rsidR="00DC5A70" w:rsidRPr="005953E3">
              <w:rPr>
                <w:rStyle w:val="Hyperlink"/>
                <w:rFonts w:ascii="Simplified Arabic" w:eastAsia="Times New Roman" w:hAnsi="Simplified Arabic" w:cs="Simplified Arabic"/>
                <w:b/>
                <w:bCs/>
                <w:noProof/>
                <w:kern w:val="36"/>
                <w:rtl/>
                <w14:ligatures w14:val="none"/>
              </w:rPr>
              <w:t>تساؤلات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Toc225935162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7</w:t>
            </w:r>
            <w:r w:rsidR="00DC5A70">
              <w:rPr>
                <w:rStyle w:val="Hyperlink"/>
                <w:noProof/>
                <w:rtl/>
              </w:rPr>
              <w:fldChar w:fldCharType="end"/>
            </w:r>
          </w:hyperlink>
        </w:p>
        <w:p w14:paraId="22E8779A" w14:textId="06F9C8EE" w:rsidR="00DC5A70" w:rsidRDefault="007B6649" w:rsidP="001F6343">
          <w:pPr>
            <w:pStyle w:val="20"/>
            <w:numPr>
              <w:ilvl w:val="3"/>
              <w:numId w:val="5"/>
            </w:numPr>
            <w:tabs>
              <w:tab w:val="right" w:leader="dot" w:pos="8822"/>
            </w:tabs>
            <w:rPr>
              <w:rFonts w:eastAsiaTheme="minorEastAsia"/>
              <w:noProof/>
              <w:sz w:val="24"/>
              <w:szCs w:val="24"/>
              <w:rtl/>
            </w:rPr>
          </w:pPr>
          <w:hyperlink w:anchor="_Toc225935163" w:history="1">
            <w:r w:rsidR="00DC5A70" w:rsidRPr="005953E3">
              <w:rPr>
                <w:rStyle w:val="Hyperlink"/>
                <w:rFonts w:ascii="Simplified Arabic" w:eastAsia="Times New Roman" w:hAnsi="Simplified Arabic" w:cs="Simplified Arabic"/>
                <w:b/>
                <w:bCs/>
                <w:noProof/>
                <w:kern w:val="0"/>
                <w:rtl/>
                <w14:ligatures w14:val="none"/>
              </w:rPr>
              <w:t>التساؤل الرئيسي</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Toc225935163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7</w:t>
            </w:r>
            <w:r w:rsidR="00DC5A70">
              <w:rPr>
                <w:rStyle w:val="Hyperlink"/>
                <w:noProof/>
                <w:rtl/>
              </w:rPr>
              <w:fldChar w:fldCharType="end"/>
            </w:r>
          </w:hyperlink>
        </w:p>
        <w:p w14:paraId="4B410F75" w14:textId="46508319" w:rsidR="00DC5A70" w:rsidRDefault="007B6649" w:rsidP="001F6343">
          <w:pPr>
            <w:pStyle w:val="30"/>
            <w:numPr>
              <w:ilvl w:val="3"/>
              <w:numId w:val="5"/>
            </w:numPr>
            <w:tabs>
              <w:tab w:val="right" w:leader="dot" w:pos="8822"/>
            </w:tabs>
            <w:rPr>
              <w:rFonts w:eastAsiaTheme="minorEastAsia"/>
              <w:noProof/>
              <w:sz w:val="24"/>
              <w:szCs w:val="24"/>
              <w:rtl/>
            </w:rPr>
          </w:pPr>
          <w:hyperlink w:anchor="_Toc225935164" w:history="1">
            <w:r w:rsidR="00DC5A70" w:rsidRPr="005953E3">
              <w:rPr>
                <w:rStyle w:val="Hyperlink"/>
                <w:rFonts w:ascii="Simplified Arabic" w:eastAsia="Times New Roman" w:hAnsi="Simplified Arabic" w:cs="Simplified Arabic"/>
                <w:b/>
                <w:bCs/>
                <w:noProof/>
                <w:kern w:val="0"/>
                <w:rtl/>
                <w14:ligatures w14:val="none"/>
              </w:rPr>
              <w:t>المحور الأول: تساؤلات البنية الشكلية للمحتوى</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Toc225935164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8</w:t>
            </w:r>
            <w:r w:rsidR="00DC5A70">
              <w:rPr>
                <w:rStyle w:val="Hyperlink"/>
                <w:noProof/>
                <w:rtl/>
              </w:rPr>
              <w:fldChar w:fldCharType="end"/>
            </w:r>
          </w:hyperlink>
        </w:p>
        <w:p w14:paraId="19FAE468" w14:textId="4A2DFCF9" w:rsidR="00DC5A70" w:rsidRDefault="007B6649" w:rsidP="001F6343">
          <w:pPr>
            <w:pStyle w:val="10"/>
            <w:numPr>
              <w:ilvl w:val="3"/>
              <w:numId w:val="5"/>
            </w:numPr>
            <w:tabs>
              <w:tab w:val="right" w:leader="dot" w:pos="8822"/>
            </w:tabs>
            <w:rPr>
              <w:rFonts w:eastAsiaTheme="minorEastAsia"/>
              <w:noProof/>
              <w:sz w:val="24"/>
              <w:szCs w:val="24"/>
              <w:rtl/>
            </w:rPr>
          </w:pPr>
          <w:hyperlink w:anchor="_Toc225935165" w:history="1">
            <w:r w:rsidR="00DC5A70" w:rsidRPr="005953E3">
              <w:rPr>
                <w:rStyle w:val="Hyperlink"/>
                <w:rFonts w:ascii="Simplified Arabic" w:eastAsia="Times New Roman" w:hAnsi="Simplified Arabic" w:cs="Simplified Arabic"/>
                <w:b/>
                <w:bCs/>
                <w:noProof/>
                <w:kern w:val="36"/>
                <w:rtl/>
                <w14:ligatures w14:val="none"/>
              </w:rPr>
              <w:t>فروض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Toc225935165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8</w:t>
            </w:r>
            <w:r w:rsidR="00DC5A70">
              <w:rPr>
                <w:rStyle w:val="Hyperlink"/>
                <w:noProof/>
                <w:rtl/>
              </w:rPr>
              <w:fldChar w:fldCharType="end"/>
            </w:r>
          </w:hyperlink>
        </w:p>
        <w:p w14:paraId="491928A5" w14:textId="2671B3BA" w:rsidR="00DC5A70" w:rsidRDefault="007B6649" w:rsidP="001F6343">
          <w:pPr>
            <w:pStyle w:val="10"/>
            <w:numPr>
              <w:ilvl w:val="3"/>
              <w:numId w:val="5"/>
            </w:numPr>
            <w:tabs>
              <w:tab w:val="right" w:leader="dot" w:pos="8822"/>
            </w:tabs>
            <w:rPr>
              <w:rFonts w:eastAsiaTheme="minorEastAsia"/>
              <w:noProof/>
              <w:sz w:val="24"/>
              <w:szCs w:val="24"/>
              <w:rtl/>
            </w:rPr>
          </w:pPr>
          <w:hyperlink w:anchor="_Toc225935166" w:history="1">
            <w:r w:rsidR="00DC5A70" w:rsidRPr="005953E3">
              <w:rPr>
                <w:rStyle w:val="Hyperlink"/>
                <w:rFonts w:ascii="Simplified Arabic" w:eastAsia="Times New Roman" w:hAnsi="Simplified Arabic" w:cs="Simplified Arabic"/>
                <w:b/>
                <w:bCs/>
                <w:noProof/>
                <w:kern w:val="36"/>
                <w:rtl/>
                <w14:ligatures w14:val="none"/>
              </w:rPr>
              <w:t>أهمية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Toc225935166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10</w:t>
            </w:r>
            <w:r w:rsidR="00DC5A70">
              <w:rPr>
                <w:rStyle w:val="Hyperlink"/>
                <w:noProof/>
                <w:rtl/>
              </w:rPr>
              <w:fldChar w:fldCharType="end"/>
            </w:r>
          </w:hyperlink>
        </w:p>
        <w:p w14:paraId="65392AFD" w14:textId="30829C90" w:rsidR="00DC5A70" w:rsidRDefault="007B6649" w:rsidP="001F6343">
          <w:pPr>
            <w:pStyle w:val="20"/>
            <w:numPr>
              <w:ilvl w:val="3"/>
              <w:numId w:val="5"/>
            </w:numPr>
            <w:tabs>
              <w:tab w:val="right" w:leader="dot" w:pos="8822"/>
            </w:tabs>
            <w:rPr>
              <w:rFonts w:eastAsiaTheme="minorEastAsia"/>
              <w:noProof/>
              <w:sz w:val="24"/>
              <w:szCs w:val="24"/>
              <w:rtl/>
            </w:rPr>
          </w:pPr>
          <w:hyperlink w:anchor="_Toc225935167" w:history="1">
            <w:r w:rsidR="00DC5A70" w:rsidRPr="005953E3">
              <w:rPr>
                <w:rStyle w:val="Hyperlink"/>
                <w:rFonts w:ascii="Simplified Arabic" w:eastAsia="Times New Roman" w:hAnsi="Simplified Arabic" w:cs="Simplified Arabic"/>
                <w:b/>
                <w:bCs/>
                <w:noProof/>
                <w:kern w:val="0"/>
                <w:rtl/>
                <w14:ligatures w14:val="none"/>
              </w:rPr>
              <w:t>أولاً: الأهمية العلمية (النظرية)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Toc225935167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10</w:t>
            </w:r>
            <w:r w:rsidR="00DC5A70">
              <w:rPr>
                <w:rStyle w:val="Hyperlink"/>
                <w:noProof/>
                <w:rtl/>
              </w:rPr>
              <w:fldChar w:fldCharType="end"/>
            </w:r>
          </w:hyperlink>
        </w:p>
        <w:p w14:paraId="5D331F13" w14:textId="763A4E88" w:rsidR="00DC5A70" w:rsidRDefault="007B6649" w:rsidP="001F6343">
          <w:pPr>
            <w:pStyle w:val="20"/>
            <w:numPr>
              <w:ilvl w:val="3"/>
              <w:numId w:val="5"/>
            </w:numPr>
            <w:tabs>
              <w:tab w:val="right" w:leader="dot" w:pos="8822"/>
            </w:tabs>
            <w:rPr>
              <w:rFonts w:eastAsiaTheme="minorEastAsia"/>
              <w:noProof/>
              <w:sz w:val="24"/>
              <w:szCs w:val="24"/>
              <w:rtl/>
            </w:rPr>
          </w:pPr>
          <w:hyperlink w:anchor="_Toc225935168" w:history="1">
            <w:r w:rsidR="00DC5A70" w:rsidRPr="005953E3">
              <w:rPr>
                <w:rStyle w:val="Hyperlink"/>
                <w:rFonts w:ascii="Simplified Arabic" w:eastAsia="Times New Roman" w:hAnsi="Simplified Arabic" w:cs="Simplified Arabic"/>
                <w:b/>
                <w:bCs/>
                <w:noProof/>
                <w:kern w:val="0"/>
                <w:rtl/>
                <w14:ligatures w14:val="none"/>
              </w:rPr>
              <w:t>ثانياً: الأهمية العملية (التطبيقية)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Toc225935168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10</w:t>
            </w:r>
            <w:r w:rsidR="00DC5A70">
              <w:rPr>
                <w:rStyle w:val="Hyperlink"/>
                <w:noProof/>
                <w:rtl/>
              </w:rPr>
              <w:fldChar w:fldCharType="end"/>
            </w:r>
          </w:hyperlink>
        </w:p>
        <w:p w14:paraId="0D3BFCB7" w14:textId="7C9766F3" w:rsidR="00DC5A70" w:rsidRDefault="007B6649" w:rsidP="001F6343">
          <w:pPr>
            <w:pStyle w:val="10"/>
            <w:numPr>
              <w:ilvl w:val="3"/>
              <w:numId w:val="5"/>
            </w:numPr>
            <w:tabs>
              <w:tab w:val="right" w:leader="dot" w:pos="8822"/>
            </w:tabs>
            <w:rPr>
              <w:rFonts w:eastAsiaTheme="minorEastAsia"/>
              <w:noProof/>
              <w:sz w:val="24"/>
              <w:szCs w:val="24"/>
              <w:rtl/>
            </w:rPr>
          </w:pPr>
          <w:hyperlink w:anchor="_Toc225935169" w:history="1">
            <w:r w:rsidR="00DC5A70" w:rsidRPr="005953E3">
              <w:rPr>
                <w:rStyle w:val="Hyperlink"/>
                <w:noProof/>
                <w:rtl/>
              </w:rPr>
              <w:t>الدراسات السابقة: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Toc225935169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11</w:t>
            </w:r>
            <w:r w:rsidR="00DC5A70">
              <w:rPr>
                <w:rStyle w:val="Hyperlink"/>
                <w:noProof/>
                <w:rtl/>
              </w:rPr>
              <w:fldChar w:fldCharType="end"/>
            </w:r>
          </w:hyperlink>
        </w:p>
        <w:p w14:paraId="05BDA761" w14:textId="03D3C5AE" w:rsidR="00DC5A70" w:rsidRDefault="007B6649" w:rsidP="001F6343">
          <w:pPr>
            <w:pStyle w:val="10"/>
            <w:numPr>
              <w:ilvl w:val="3"/>
              <w:numId w:val="5"/>
            </w:numPr>
            <w:tabs>
              <w:tab w:val="right" w:leader="dot" w:pos="8822"/>
            </w:tabs>
            <w:rPr>
              <w:rFonts w:eastAsiaTheme="minorEastAsia"/>
              <w:noProof/>
              <w:sz w:val="24"/>
              <w:szCs w:val="24"/>
              <w:rtl/>
            </w:rPr>
          </w:pPr>
          <w:hyperlink w:anchor="_Toc225935195" w:history="1">
            <w:r w:rsidR="00DC5A70" w:rsidRPr="005953E3">
              <w:rPr>
                <w:rStyle w:val="Hyperlink"/>
                <w:rFonts w:ascii="Simplified Arabic" w:eastAsia="Times New Roman" w:hAnsi="Simplified Arabic" w:cs="Simplified Arabic"/>
                <w:b/>
                <w:bCs/>
                <w:noProof/>
                <w:kern w:val="36"/>
                <w:rtl/>
                <w14:ligatures w14:val="none"/>
              </w:rPr>
              <w:t>الفجوة البحثية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Toc225935195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22</w:t>
            </w:r>
            <w:r w:rsidR="00DC5A70">
              <w:rPr>
                <w:rStyle w:val="Hyperlink"/>
                <w:noProof/>
                <w:rtl/>
              </w:rPr>
              <w:fldChar w:fldCharType="end"/>
            </w:r>
          </w:hyperlink>
        </w:p>
        <w:p w14:paraId="57CAF054" w14:textId="0EA5691F" w:rsidR="00DC5A70" w:rsidRDefault="007B6649" w:rsidP="001F6343">
          <w:pPr>
            <w:pStyle w:val="10"/>
            <w:numPr>
              <w:ilvl w:val="3"/>
              <w:numId w:val="5"/>
            </w:numPr>
            <w:tabs>
              <w:tab w:val="right" w:leader="dot" w:pos="8822"/>
            </w:tabs>
            <w:rPr>
              <w:rFonts w:eastAsiaTheme="minorEastAsia"/>
              <w:noProof/>
              <w:sz w:val="24"/>
              <w:szCs w:val="24"/>
              <w:rtl/>
            </w:rPr>
          </w:pPr>
          <w:hyperlink w:anchor="_Toc225935196" w:history="1">
            <w:r w:rsidR="00DC5A70" w:rsidRPr="005953E3">
              <w:rPr>
                <w:rStyle w:val="Hyperlink"/>
                <w:noProof/>
                <w:rtl/>
              </w:rPr>
              <w:t>المنطلقات النظرية للدراسة: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Toc225935196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22</w:t>
            </w:r>
            <w:r w:rsidR="00DC5A70">
              <w:rPr>
                <w:rStyle w:val="Hyperlink"/>
                <w:noProof/>
                <w:rtl/>
              </w:rPr>
              <w:fldChar w:fldCharType="end"/>
            </w:r>
          </w:hyperlink>
        </w:p>
        <w:p w14:paraId="1F72BA48" w14:textId="796EC761" w:rsidR="00DC5A70" w:rsidRDefault="007B6649" w:rsidP="001F6343">
          <w:pPr>
            <w:pStyle w:val="10"/>
            <w:numPr>
              <w:ilvl w:val="3"/>
              <w:numId w:val="5"/>
            </w:numPr>
            <w:tabs>
              <w:tab w:val="right" w:leader="dot" w:pos="8822"/>
            </w:tabs>
            <w:rPr>
              <w:rFonts w:eastAsiaTheme="minorEastAsia"/>
              <w:noProof/>
              <w:sz w:val="24"/>
              <w:szCs w:val="24"/>
              <w:rtl/>
            </w:rPr>
          </w:pPr>
          <w:hyperlink w:anchor="_Toc225935197" w:history="1">
            <w:r w:rsidR="00DC5A70" w:rsidRPr="005953E3">
              <w:rPr>
                <w:rStyle w:val="Hyperlink"/>
                <w:noProof/>
                <w:rtl/>
              </w:rPr>
              <w:t>المنهجية وطرق البحث:</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Toc225935197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26</w:t>
            </w:r>
            <w:r w:rsidR="00DC5A70">
              <w:rPr>
                <w:rStyle w:val="Hyperlink"/>
                <w:noProof/>
                <w:rtl/>
              </w:rPr>
              <w:fldChar w:fldCharType="end"/>
            </w:r>
          </w:hyperlink>
        </w:p>
        <w:p w14:paraId="0F6127FD" w14:textId="249EC1B2" w:rsidR="00DC5A70" w:rsidRDefault="007B6649" w:rsidP="001F6343">
          <w:pPr>
            <w:pStyle w:val="20"/>
            <w:numPr>
              <w:ilvl w:val="3"/>
              <w:numId w:val="5"/>
            </w:numPr>
            <w:tabs>
              <w:tab w:val="right" w:leader="dot" w:pos="8822"/>
            </w:tabs>
            <w:rPr>
              <w:rFonts w:eastAsiaTheme="minorEastAsia"/>
              <w:noProof/>
              <w:sz w:val="24"/>
              <w:szCs w:val="24"/>
              <w:rtl/>
            </w:rPr>
          </w:pPr>
          <w:hyperlink w:anchor="_Toc225935198" w:history="1">
            <w:r w:rsidR="00DC5A70" w:rsidRPr="005953E3">
              <w:rPr>
                <w:rStyle w:val="Hyperlink"/>
                <w:rFonts w:ascii="Simplified Arabic" w:eastAsia="Times New Roman" w:hAnsi="Simplified Arabic" w:cs="Simplified Arabic"/>
                <w:b/>
                <w:bCs/>
                <w:noProof/>
                <w:kern w:val="0"/>
                <w:rtl/>
                <w14:ligatures w14:val="none"/>
              </w:rPr>
              <w:t>مجتمع الدراسة وعينتها</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Toc225935198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26</w:t>
            </w:r>
            <w:r w:rsidR="00DC5A70">
              <w:rPr>
                <w:rStyle w:val="Hyperlink"/>
                <w:noProof/>
                <w:rtl/>
              </w:rPr>
              <w:fldChar w:fldCharType="end"/>
            </w:r>
          </w:hyperlink>
        </w:p>
        <w:p w14:paraId="1D47C17F" w14:textId="48299890" w:rsidR="00DC5A70" w:rsidRDefault="007B6649" w:rsidP="001F6343">
          <w:pPr>
            <w:pStyle w:val="20"/>
            <w:numPr>
              <w:ilvl w:val="3"/>
              <w:numId w:val="5"/>
            </w:numPr>
            <w:tabs>
              <w:tab w:val="right" w:leader="dot" w:pos="8822"/>
            </w:tabs>
            <w:rPr>
              <w:rFonts w:eastAsiaTheme="minorEastAsia"/>
              <w:noProof/>
              <w:sz w:val="24"/>
              <w:szCs w:val="24"/>
              <w:rtl/>
            </w:rPr>
          </w:pPr>
          <w:hyperlink w:anchor="_Toc225935199" w:history="1">
            <w:r w:rsidR="00DC5A70" w:rsidRPr="005953E3">
              <w:rPr>
                <w:rStyle w:val="Hyperlink"/>
                <w:rFonts w:ascii="Simplified Arabic" w:eastAsia="Times New Roman" w:hAnsi="Simplified Arabic" w:cs="Simplified Arabic"/>
                <w:b/>
                <w:bCs/>
                <w:noProof/>
                <w:kern w:val="0"/>
                <w:rtl/>
                <w14:ligatures w14:val="none"/>
              </w:rPr>
              <w:t>مصادر جمع البيانات</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Toc225935199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27</w:t>
            </w:r>
            <w:r w:rsidR="00DC5A70">
              <w:rPr>
                <w:rStyle w:val="Hyperlink"/>
                <w:noProof/>
                <w:rtl/>
              </w:rPr>
              <w:fldChar w:fldCharType="end"/>
            </w:r>
          </w:hyperlink>
        </w:p>
        <w:p w14:paraId="64D6DB88" w14:textId="5B529A9C" w:rsidR="00DC5A70" w:rsidRDefault="007B6649" w:rsidP="001F6343">
          <w:pPr>
            <w:pStyle w:val="20"/>
            <w:numPr>
              <w:ilvl w:val="3"/>
              <w:numId w:val="5"/>
            </w:numPr>
            <w:tabs>
              <w:tab w:val="right" w:leader="dot" w:pos="8822"/>
            </w:tabs>
            <w:rPr>
              <w:rFonts w:eastAsiaTheme="minorEastAsia"/>
              <w:noProof/>
              <w:sz w:val="24"/>
              <w:szCs w:val="24"/>
              <w:rtl/>
            </w:rPr>
          </w:pPr>
          <w:hyperlink w:anchor="_Toc225935200" w:history="1">
            <w:r w:rsidR="00DC5A70" w:rsidRPr="005953E3">
              <w:rPr>
                <w:rStyle w:val="Hyperlink"/>
                <w:rFonts w:ascii="Simplified Arabic" w:eastAsia="Times New Roman" w:hAnsi="Simplified Arabic" w:cs="Simplified Arabic"/>
                <w:b/>
                <w:bCs/>
                <w:noProof/>
                <w:kern w:val="0"/>
                <w:rtl/>
                <w14:ligatures w14:val="none"/>
              </w:rPr>
              <w:t>أداة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Toc225935200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27</w:t>
            </w:r>
            <w:r w:rsidR="00DC5A70">
              <w:rPr>
                <w:rStyle w:val="Hyperlink"/>
                <w:noProof/>
                <w:rtl/>
              </w:rPr>
              <w:fldChar w:fldCharType="end"/>
            </w:r>
          </w:hyperlink>
        </w:p>
        <w:p w14:paraId="21B0EBAA" w14:textId="7188C02F" w:rsidR="00DC5A70" w:rsidRDefault="007B6649" w:rsidP="001F6343">
          <w:pPr>
            <w:pStyle w:val="20"/>
            <w:numPr>
              <w:ilvl w:val="3"/>
              <w:numId w:val="5"/>
            </w:numPr>
            <w:tabs>
              <w:tab w:val="right" w:leader="dot" w:pos="8822"/>
            </w:tabs>
            <w:rPr>
              <w:rFonts w:eastAsiaTheme="minorEastAsia"/>
              <w:noProof/>
              <w:sz w:val="24"/>
              <w:szCs w:val="24"/>
              <w:rtl/>
            </w:rPr>
          </w:pPr>
          <w:hyperlink w:anchor="_Toc225935201" w:history="1">
            <w:r w:rsidR="00DC5A70" w:rsidRPr="005953E3">
              <w:rPr>
                <w:rStyle w:val="Hyperlink"/>
                <w:rFonts w:ascii="Simplified Arabic" w:eastAsia="Times New Roman" w:hAnsi="Simplified Arabic" w:cs="Simplified Arabic"/>
                <w:b/>
                <w:bCs/>
                <w:noProof/>
                <w:kern w:val="0"/>
                <w:rtl/>
                <w14:ligatures w14:val="none"/>
              </w:rPr>
              <w:t>الأساليب الإحصائية المستخدمة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Toc225935201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28</w:t>
            </w:r>
            <w:r w:rsidR="00DC5A70">
              <w:rPr>
                <w:rStyle w:val="Hyperlink"/>
                <w:noProof/>
                <w:rtl/>
              </w:rPr>
              <w:fldChar w:fldCharType="end"/>
            </w:r>
          </w:hyperlink>
        </w:p>
        <w:p w14:paraId="1B4DAAE2" w14:textId="44797C0A" w:rsidR="00DC5A70" w:rsidRDefault="007B6649" w:rsidP="001F6343">
          <w:pPr>
            <w:pStyle w:val="20"/>
            <w:numPr>
              <w:ilvl w:val="3"/>
              <w:numId w:val="5"/>
            </w:numPr>
            <w:tabs>
              <w:tab w:val="right" w:leader="dot" w:pos="8822"/>
            </w:tabs>
            <w:rPr>
              <w:rFonts w:eastAsiaTheme="minorEastAsia"/>
              <w:noProof/>
              <w:sz w:val="24"/>
              <w:szCs w:val="24"/>
              <w:rtl/>
            </w:rPr>
          </w:pPr>
          <w:hyperlink w:anchor="_Toc225935202" w:history="1">
            <w:r w:rsidR="00DC5A70" w:rsidRPr="005953E3">
              <w:rPr>
                <w:rStyle w:val="Hyperlink"/>
                <w:rFonts w:ascii="Simplified Arabic" w:eastAsia="Times New Roman" w:hAnsi="Simplified Arabic" w:cs="Simplified Arabic"/>
                <w:b/>
                <w:bCs/>
                <w:noProof/>
                <w:kern w:val="0"/>
                <w:rtl/>
                <w14:ligatures w14:val="none"/>
              </w:rPr>
              <w:t>حدود الدراسة</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Toc225935202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29</w:t>
            </w:r>
            <w:r w:rsidR="00DC5A70">
              <w:rPr>
                <w:rStyle w:val="Hyperlink"/>
                <w:noProof/>
                <w:rtl/>
              </w:rPr>
              <w:fldChar w:fldCharType="end"/>
            </w:r>
          </w:hyperlink>
        </w:p>
        <w:p w14:paraId="0DA15694" w14:textId="0AC6EA1F" w:rsidR="00DC5A70" w:rsidRDefault="007B6649" w:rsidP="001F6343">
          <w:pPr>
            <w:pStyle w:val="10"/>
            <w:numPr>
              <w:ilvl w:val="3"/>
              <w:numId w:val="5"/>
            </w:numPr>
            <w:tabs>
              <w:tab w:val="right" w:leader="dot" w:pos="8822"/>
            </w:tabs>
            <w:rPr>
              <w:rFonts w:eastAsiaTheme="minorEastAsia"/>
              <w:noProof/>
              <w:sz w:val="24"/>
              <w:szCs w:val="24"/>
              <w:rtl/>
            </w:rPr>
          </w:pPr>
          <w:hyperlink w:anchor="_Toc225935203" w:history="1">
            <w:r w:rsidR="00DC5A70" w:rsidRPr="005953E3">
              <w:rPr>
                <w:rStyle w:val="Hyperlink"/>
                <w:noProof/>
                <w:rtl/>
              </w:rPr>
              <w:t>المراجع:</w:t>
            </w:r>
            <w:r w:rsidR="00DC5A70">
              <w:rPr>
                <w:noProof/>
                <w:webHidden/>
                <w:rtl/>
              </w:rPr>
              <w:tab/>
            </w:r>
            <w:r w:rsidR="00DC5A70">
              <w:rPr>
                <w:rStyle w:val="Hyperlink"/>
                <w:noProof/>
                <w:rtl/>
              </w:rPr>
              <w:fldChar w:fldCharType="begin"/>
            </w:r>
            <w:r w:rsidR="00DC5A70">
              <w:rPr>
                <w:noProof/>
                <w:webHidden/>
                <w:rtl/>
              </w:rPr>
              <w:instrText xml:space="preserve"> </w:instrText>
            </w:r>
            <w:r w:rsidR="00DC5A70">
              <w:rPr>
                <w:noProof/>
                <w:webHidden/>
              </w:rPr>
              <w:instrText>PAGEREF</w:instrText>
            </w:r>
            <w:r w:rsidR="00DC5A70">
              <w:rPr>
                <w:noProof/>
                <w:webHidden/>
                <w:rtl/>
              </w:rPr>
              <w:instrText xml:space="preserve"> _</w:instrText>
            </w:r>
            <w:r w:rsidR="00DC5A70">
              <w:rPr>
                <w:noProof/>
                <w:webHidden/>
              </w:rPr>
              <w:instrText>Toc225935203 \h</w:instrText>
            </w:r>
            <w:r w:rsidR="00DC5A70">
              <w:rPr>
                <w:noProof/>
                <w:webHidden/>
                <w:rtl/>
              </w:rPr>
              <w:instrText xml:space="preserve"> </w:instrText>
            </w:r>
            <w:r w:rsidR="00DC5A70">
              <w:rPr>
                <w:rStyle w:val="Hyperlink"/>
                <w:noProof/>
                <w:rtl/>
              </w:rPr>
            </w:r>
            <w:r w:rsidR="00DC5A70">
              <w:rPr>
                <w:rStyle w:val="Hyperlink"/>
                <w:noProof/>
                <w:rtl/>
              </w:rPr>
              <w:fldChar w:fldCharType="separate"/>
            </w:r>
            <w:r w:rsidR="00DC5A70">
              <w:rPr>
                <w:noProof/>
                <w:webHidden/>
                <w:rtl/>
              </w:rPr>
              <w:t>30</w:t>
            </w:r>
            <w:r w:rsidR="00DC5A70">
              <w:rPr>
                <w:rStyle w:val="Hyperlink"/>
                <w:noProof/>
                <w:rtl/>
              </w:rPr>
              <w:fldChar w:fldCharType="end"/>
            </w:r>
          </w:hyperlink>
        </w:p>
        <w:p w14:paraId="0C89541C" w14:textId="1E9FFBB5" w:rsidR="00D75AD3" w:rsidRPr="00CC180C" w:rsidRDefault="00377D51" w:rsidP="00DC5A70">
          <w:pPr>
            <w:spacing w:line="276" w:lineRule="auto"/>
            <w:jc w:val="both"/>
            <w:rPr>
              <w:rFonts w:ascii="Simplified Arabic" w:hAnsi="Simplified Arabic" w:cs="Simplified Arabic"/>
              <w:b/>
              <w:bCs/>
              <w:noProof/>
              <w:sz w:val="28"/>
              <w:szCs w:val="28"/>
              <w:rtl/>
            </w:rPr>
          </w:pPr>
          <w:r w:rsidRPr="00CC180C">
            <w:rPr>
              <w:rFonts w:ascii="Simplified Arabic" w:hAnsi="Simplified Arabic" w:cs="Simplified Arabic" w:hint="cs"/>
              <w:b/>
              <w:bCs/>
              <w:noProof/>
              <w:sz w:val="28"/>
              <w:szCs w:val="28"/>
            </w:rPr>
            <w:fldChar w:fldCharType="end"/>
          </w:r>
        </w:p>
      </w:sdtContent>
    </w:sdt>
    <w:bookmarkStart w:id="0" w:name="_Toc169790487" w:displacedByCustomXml="prev"/>
    <w:p w14:paraId="62D436CF" w14:textId="01003CB2" w:rsidR="004666B3" w:rsidRPr="00CC180C" w:rsidRDefault="004666B3" w:rsidP="00CC180C">
      <w:pPr>
        <w:spacing w:line="276" w:lineRule="auto"/>
        <w:jc w:val="both"/>
        <w:rPr>
          <w:rFonts w:ascii="Simplified Arabic" w:eastAsiaTheme="majorEastAsia" w:hAnsi="Simplified Arabic" w:cs="Simplified Arabic"/>
          <w:b/>
          <w:bCs/>
          <w:sz w:val="28"/>
          <w:szCs w:val="28"/>
          <w:rtl/>
        </w:rPr>
      </w:pPr>
      <w:r w:rsidRPr="00CC180C">
        <w:rPr>
          <w:rFonts w:ascii="Simplified Arabic" w:hAnsi="Simplified Arabic" w:cs="Simplified Arabic" w:hint="cs"/>
          <w:sz w:val="28"/>
          <w:szCs w:val="28"/>
          <w:rtl/>
        </w:rPr>
        <w:br w:type="page"/>
      </w:r>
    </w:p>
    <w:p w14:paraId="035BF540" w14:textId="2FA18767" w:rsidR="009125CE" w:rsidRPr="00CC180C" w:rsidRDefault="00A74F76" w:rsidP="00CC180C">
      <w:pPr>
        <w:pStyle w:val="1"/>
        <w:jc w:val="both"/>
        <w:rPr>
          <w:sz w:val="28"/>
          <w:szCs w:val="28"/>
          <w:rtl/>
        </w:rPr>
      </w:pPr>
      <w:bookmarkStart w:id="1" w:name="_Toc225935159"/>
      <w:r w:rsidRPr="00CC180C">
        <w:rPr>
          <w:rFonts w:hint="cs"/>
          <w:sz w:val="28"/>
          <w:szCs w:val="28"/>
          <w:rtl/>
        </w:rPr>
        <w:lastRenderedPageBreak/>
        <w:t>مقدمة</w:t>
      </w:r>
      <w:r w:rsidR="009125CE" w:rsidRPr="00CC180C">
        <w:rPr>
          <w:rFonts w:hint="cs"/>
          <w:sz w:val="28"/>
          <w:szCs w:val="28"/>
          <w:rtl/>
        </w:rPr>
        <w:t>:</w:t>
      </w:r>
      <w:bookmarkEnd w:id="0"/>
      <w:bookmarkEnd w:id="1"/>
    </w:p>
    <w:p w14:paraId="3953AD5F" w14:textId="77777777" w:rsidR="00CC180C" w:rsidRPr="00CC180C" w:rsidRDefault="00CC180C" w:rsidP="00CC180C">
      <w:pPr>
        <w:pStyle w:val="a9"/>
        <w:bidi/>
        <w:spacing w:line="276" w:lineRule="auto"/>
        <w:jc w:val="both"/>
        <w:rPr>
          <w:rFonts w:ascii="Simplified Arabic" w:hAnsi="Simplified Arabic" w:cs="Simplified Arabic"/>
          <w:sz w:val="28"/>
          <w:szCs w:val="28"/>
        </w:rPr>
      </w:pPr>
      <w:bookmarkStart w:id="2" w:name="_Hlk172151144"/>
      <w:bookmarkStart w:id="3" w:name="_Toc169790489"/>
      <w:r w:rsidRPr="00CC180C">
        <w:rPr>
          <w:rFonts w:ascii="Simplified Arabic" w:hAnsi="Simplified Arabic" w:cs="Simplified Arabic" w:hint="cs"/>
          <w:sz w:val="28"/>
          <w:szCs w:val="28"/>
          <w:rtl/>
        </w:rPr>
        <w:t>يُمثّل المحتوى الرقمي أحد أبرز أدوات الاتصال المعاصر التي أعادت تشكيل العلاقة بين المؤسسات وجمهورها، إذ لم يعد مجرد وسيلة لنقل المعلومات بل أصبح منظومة متكاملة تجمع بين النص والصورة والفيديو والرسوم التفاعلية بهدف إنتاج قيمة معرفية وبناء علاقة مستدامة مع المتلقّي. وقد أكّدت الأدبيات أن المحتوى الرقمي يقوم على إنشاء مضامين ذات صلة وجاذبية وقيمة مضافة تتيح مشاركة المستخدمين وتفاعلهم، مما يجعله ركيزةً استراتيجيةً للمؤسسات الحكومية وغير الحكومية على حدٍّ سواء</w:t>
      </w:r>
      <w:r w:rsidRPr="00CC180C">
        <w:rPr>
          <w:rFonts w:ascii="Simplified Arabic" w:hAnsi="Simplified Arabic" w:cs="Simplified Arabic" w:hint="cs"/>
          <w:sz w:val="28"/>
          <w:szCs w:val="28"/>
        </w:rPr>
        <w:t xml:space="preserve"> (Lopes &amp; Casais, 2022).</w:t>
      </w:r>
    </w:p>
    <w:p w14:paraId="5A2ED726" w14:textId="3478BE0A" w:rsidR="00CC180C" w:rsidRPr="00CC180C" w:rsidRDefault="00CC180C" w:rsidP="00CC180C">
      <w:pPr>
        <w:pStyle w:val="a9"/>
        <w:bidi/>
        <w:spacing w:line="276" w:lineRule="auto"/>
        <w:jc w:val="both"/>
        <w:rPr>
          <w:rFonts w:ascii="Simplified Arabic" w:hAnsi="Simplified Arabic" w:cs="Simplified Arabic"/>
          <w:sz w:val="28"/>
          <w:szCs w:val="28"/>
          <w:rtl/>
        </w:rPr>
      </w:pPr>
      <w:r w:rsidRPr="00CC180C">
        <w:rPr>
          <w:rFonts w:ascii="Simplified Arabic" w:hAnsi="Simplified Arabic" w:cs="Simplified Arabic" w:hint="cs"/>
          <w:sz w:val="28"/>
          <w:szCs w:val="28"/>
          <w:rtl/>
        </w:rPr>
        <w:t xml:space="preserve">وتتباين فاعلية المحتوى الرقمي بحسب عوامل عدة منها القالب الإنتاجي المستخدم والمنصة التي يُنشر عليها وطبيعة الجمهور المستهدف؛ فقد أظهرت الدراسات أن الشكل الذي يُقدَّم به المحتوى — سواء أكان </w:t>
      </w:r>
      <w:r w:rsidR="00AF58FE" w:rsidRPr="00CC180C">
        <w:rPr>
          <w:rFonts w:ascii="Simplified Arabic" w:hAnsi="Simplified Arabic" w:hint="cs"/>
          <w:sz w:val="28"/>
          <w:szCs w:val="28"/>
          <w:rtl/>
        </w:rPr>
        <w:t>نصًا</w:t>
      </w:r>
      <w:r w:rsidR="00AF58FE" w:rsidRPr="00CC180C">
        <w:rPr>
          <w:rFonts w:ascii="Simplified Arabic" w:hAnsi="Simplified Arabic" w:hint="eastAsia"/>
          <w:sz w:val="28"/>
          <w:szCs w:val="28"/>
          <w:rtl/>
        </w:rPr>
        <w:t>،</w:t>
      </w:r>
      <w:r w:rsidRPr="00CC180C">
        <w:rPr>
          <w:rFonts w:ascii="Simplified Arabic" w:hAnsi="Simplified Arabic" w:cs="Simplified Arabic" w:hint="cs"/>
          <w:sz w:val="28"/>
          <w:szCs w:val="28"/>
          <w:rtl/>
        </w:rPr>
        <w:t xml:space="preserve"> أم صورة أم مقطع </w:t>
      </w:r>
      <w:r w:rsidR="00AF58FE" w:rsidRPr="00CC180C">
        <w:rPr>
          <w:rFonts w:ascii="Simplified Arabic" w:hAnsi="Simplified Arabic" w:hint="cs"/>
          <w:sz w:val="28"/>
          <w:szCs w:val="28"/>
          <w:rtl/>
        </w:rPr>
        <w:t>فيديو يؤثر</w:t>
      </w:r>
      <w:r w:rsidRPr="00CC180C">
        <w:rPr>
          <w:rFonts w:ascii="Simplified Arabic" w:hAnsi="Simplified Arabic" w:cs="Simplified Arabic" w:hint="cs"/>
          <w:sz w:val="28"/>
          <w:szCs w:val="28"/>
          <w:rtl/>
        </w:rPr>
        <w:t xml:space="preserve"> تأثيرًا جوهريًا في مستويات تفاعل المستخدمين من حيث الإعجابات والمشاركات والتعليقات، وأن هذا التأثير يختلف باختلاف طبيعة المنصة الرقمية ذاتها. كما أن صناعة المحتوى الرقمي أضحت تتطلّب من القائمين عليها امتلاك مهارات تقنية وإبداعية متنوعة لضمان استدامة التفاعل وبناء رأس مال اجتماعي حقيقي مع الجمهور</w:t>
      </w:r>
      <w:r w:rsidRPr="00CC180C">
        <w:rPr>
          <w:rFonts w:ascii="Simplified Arabic" w:hAnsi="Simplified Arabic" w:cs="Simplified Arabic" w:hint="cs"/>
          <w:sz w:val="28"/>
          <w:szCs w:val="28"/>
        </w:rPr>
        <w:t xml:space="preserve"> </w:t>
      </w:r>
      <w:r>
        <w:rPr>
          <w:rFonts w:ascii="Simplified Arabic" w:hAnsi="Simplified Arabic" w:cs="Simplified Arabic"/>
          <w:sz w:val="28"/>
          <w:szCs w:val="28"/>
        </w:rPr>
        <w:t>)</w:t>
      </w:r>
      <w:r w:rsidRPr="00CC180C">
        <w:rPr>
          <w:rFonts w:ascii="Simplified Arabic" w:hAnsi="Simplified Arabic" w:cs="Simplified Arabic" w:hint="cs"/>
          <w:sz w:val="28"/>
          <w:szCs w:val="28"/>
        </w:rPr>
        <w:t xml:space="preserve"> </w:t>
      </w:r>
      <w:r w:rsidRPr="00CC180C">
        <w:rPr>
          <w:rFonts w:ascii="Simplified Arabic" w:hAnsi="Simplified Arabic" w:cs="Simplified Arabic" w:hint="cs"/>
          <w:sz w:val="28"/>
          <w:szCs w:val="28"/>
          <w:rtl/>
        </w:rPr>
        <w:t>قطب، 2025</w:t>
      </w:r>
      <w:r>
        <w:rPr>
          <w:rFonts w:ascii="Simplified Arabic" w:hAnsi="Simplified Arabic" w:cs="Simplified Arabic"/>
          <w:sz w:val="28"/>
          <w:szCs w:val="28"/>
        </w:rPr>
        <w:t>(</w:t>
      </w:r>
      <w:r>
        <w:rPr>
          <w:rFonts w:ascii="Simplified Arabic" w:hAnsi="Simplified Arabic" w:cs="Simplified Arabic" w:hint="cs"/>
          <w:sz w:val="28"/>
          <w:szCs w:val="28"/>
          <w:rtl/>
        </w:rPr>
        <w:t>.</w:t>
      </w:r>
    </w:p>
    <w:p w14:paraId="5200AB23" w14:textId="08EE2F81" w:rsidR="00CC180C" w:rsidRPr="00CC180C" w:rsidRDefault="00CC180C" w:rsidP="00CC180C">
      <w:pPr>
        <w:pStyle w:val="a9"/>
        <w:bidi/>
        <w:spacing w:line="276" w:lineRule="auto"/>
        <w:jc w:val="both"/>
        <w:rPr>
          <w:rFonts w:ascii="Simplified Arabic" w:hAnsi="Simplified Arabic" w:cs="Simplified Arabic"/>
          <w:sz w:val="28"/>
          <w:szCs w:val="28"/>
          <w:rtl/>
        </w:rPr>
      </w:pPr>
      <w:r w:rsidRPr="00CC180C">
        <w:rPr>
          <w:rFonts w:ascii="Simplified Arabic" w:hAnsi="Simplified Arabic" w:cs="Simplified Arabic" w:hint="cs"/>
          <w:sz w:val="28"/>
          <w:szCs w:val="28"/>
          <w:rtl/>
        </w:rPr>
        <w:t xml:space="preserve">وعلى صعيد الترويج للتراث الثقافي، باتت منصات التواصل الاجتماعي تؤدّي دورًا محوريًا في تقديم المواقع الأثرية والموروثات الحضارية إلى شرائح واسعة من الجمهور بأساليب بصرية وتفاعلية تتجاوز القنوات التقليدية. وتتعدد أدوات المزيج الترويجي الرقمي من إعلان وعلاقات عامة وتسويق إلكتروني، وتعمل مجتمعة على تعريف المتلقّي بخصائص المنتج التراثي وتحفيز رغبته في استكشافه، مما يجعل عملية ترويج المعالم الأثرية والتراثية عملية مستمرة تستوجب التجديد والمواكبة الدائمة (بخيت، </w:t>
      </w:r>
      <w:r w:rsidRPr="00CC180C">
        <w:rPr>
          <w:rFonts w:ascii="Simplified Arabic" w:hAnsi="Simplified Arabic" w:cs="Simplified Arabic" w:hint="cs"/>
          <w:sz w:val="28"/>
          <w:szCs w:val="28"/>
        </w:rPr>
        <w:t>2025</w:t>
      </w:r>
      <w:r>
        <w:rPr>
          <w:rFonts w:ascii="Simplified Arabic" w:hAnsi="Simplified Arabic" w:cs="Simplified Arabic" w:hint="cs"/>
          <w:sz w:val="28"/>
          <w:szCs w:val="28"/>
          <w:rtl/>
        </w:rPr>
        <w:t>).</w:t>
      </w:r>
    </w:p>
    <w:p w14:paraId="7EB251DA" w14:textId="5EBCEA1E"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t>وقد تعاظم هذا الدور في سياق المشروعات الوطنية الكبرى التي تسعى إلى توظيف التراث رافعةً للتنمية الاقتصادية والاجتماعية؛ فالحفاظ على الموروث الثقافي وتعزيز الوعي به لدى الأجيال الشابة لم يعد مقتصرًا على الجهود الميدانية التقليدية بل امتدّ إلى الفضاء الرقمي عبر أدوات متقدمة كالسرد الرقمي والتجارب الافتراضية التي أثبتت فاعليتها في إثارة الاهتمام بالهوية الثقافية وترسيخها. وتبرز التجربة السعودية في هذا الإطار نموذجًا لافتًا، حيث تضطلع</w:t>
      </w:r>
      <w:r w:rsidR="00AF58FE">
        <w:rPr>
          <w:rFonts w:ascii="Simplified Arabic" w:hAnsi="Simplified Arabic" w:cs="Simplified Arabic" w:hint="cs"/>
          <w:sz w:val="28"/>
          <w:szCs w:val="28"/>
          <w:rtl/>
        </w:rPr>
        <w:t xml:space="preserve"> وزارة الثقافة السعودية ممثلةً بهيئاتها المختلفة </w:t>
      </w:r>
      <w:r w:rsidRPr="00CC180C">
        <w:rPr>
          <w:rFonts w:ascii="Simplified Arabic" w:hAnsi="Simplified Arabic" w:cs="Simplified Arabic" w:hint="cs"/>
          <w:sz w:val="28"/>
          <w:szCs w:val="28"/>
          <w:rtl/>
        </w:rPr>
        <w:t>بدور محوري في حفظ الموروث وترويجه وطنيًا ودوليًا في إطار رؤية 2030</w:t>
      </w:r>
      <w:r w:rsidRPr="00CC180C">
        <w:rPr>
          <w:rFonts w:ascii="Simplified Arabic" w:hAnsi="Simplified Arabic" w:cs="Simplified Arabic" w:hint="cs"/>
          <w:sz w:val="28"/>
          <w:szCs w:val="28"/>
        </w:rPr>
        <w:t xml:space="preserve"> (Almakaty, 2025).</w:t>
      </w:r>
    </w:p>
    <w:p w14:paraId="19FB06DE" w14:textId="77777777"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lastRenderedPageBreak/>
        <w:t>وفي هذا السياق، أطلقت وزارة الثقافة السعودية مبادرة "الأعوام الثقافية" التي تربط بين المتغيرين — المحتوى الرقمي الحكومي والترويج للتراث — ربطًا عمليًا مباشرًا؛ إذ تُخصّص كل عام لموضوعٍ ثقافيٍ تراثي يُصاحبه نشاطٌ اتصاليٌ رقمي مكثف على منصة</w:t>
      </w:r>
      <w:r w:rsidRPr="00CC180C">
        <w:rPr>
          <w:rFonts w:ascii="Simplified Arabic" w:hAnsi="Simplified Arabic" w:cs="Simplified Arabic" w:hint="cs"/>
          <w:sz w:val="28"/>
          <w:szCs w:val="28"/>
        </w:rPr>
        <w:t xml:space="preserve"> X</w:t>
      </w:r>
      <w:r w:rsidRPr="00CC180C">
        <w:rPr>
          <w:rFonts w:ascii="Simplified Arabic" w:hAnsi="Simplified Arabic" w:cs="Simplified Arabic" w:hint="cs"/>
          <w:sz w:val="28"/>
          <w:szCs w:val="28"/>
          <w:rtl/>
        </w:rPr>
        <w:t>، بدءًا من عام الخط العربي (2020–2021) ومرورًا بعام القهوة السعودية (2022) وعام الشعر العربي (2023). وتطرح هذه الحملات تساؤلات بحثية حول كيفية توظيف الوزارة لأشكال المحتوى واستراتيجياته التفاعلية في تقديم التراث السعودي وتعزيز الهوية الوطنية ضمن أهداف الرؤية (مسلم، 2022)</w:t>
      </w:r>
      <w:r w:rsidRPr="00CC180C">
        <w:rPr>
          <w:rFonts w:ascii="Simplified Arabic" w:hAnsi="Simplified Arabic" w:cs="Simplified Arabic" w:hint="cs"/>
          <w:sz w:val="28"/>
          <w:szCs w:val="28"/>
        </w:rPr>
        <w:t>.</w:t>
      </w:r>
    </w:p>
    <w:p w14:paraId="4E433110" w14:textId="1DCB9022"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t>وانطلاقًا مما سبق، تأتي هذه الدراسة لتحلّل المحتوى الرقمي لحساب وزارة الثقافة السعودية على منصة</w:t>
      </w:r>
      <w:r w:rsidRPr="00CC180C">
        <w:rPr>
          <w:rFonts w:ascii="Simplified Arabic" w:hAnsi="Simplified Arabic" w:cs="Simplified Arabic" w:hint="cs"/>
          <w:sz w:val="28"/>
          <w:szCs w:val="28"/>
        </w:rPr>
        <w:t xml:space="preserve"> </w:t>
      </w:r>
      <w:r w:rsidR="00AF58FE" w:rsidRPr="00CC180C">
        <w:rPr>
          <w:rFonts w:ascii="Simplified Arabic" w:hAnsi="Simplified Arabic" w:cs="Simplified Arabic"/>
          <w:sz w:val="28"/>
          <w:szCs w:val="28"/>
        </w:rPr>
        <w:t xml:space="preserve">X </w:t>
      </w:r>
      <w:r w:rsidR="00AF58FE">
        <w:rPr>
          <w:rFonts w:ascii="Simplified Arabic" w:hAnsi="Simplified Arabic" w:hint="cs"/>
          <w:sz w:val="28"/>
          <w:szCs w:val="28"/>
          <w:rtl/>
        </w:rPr>
        <w:t>خلال</w:t>
      </w:r>
      <w:r w:rsidRPr="00CC180C">
        <w:rPr>
          <w:rFonts w:ascii="Simplified Arabic" w:hAnsi="Simplified Arabic" w:cs="Simplified Arabic" w:hint="cs"/>
          <w:sz w:val="28"/>
          <w:szCs w:val="28"/>
          <w:rtl/>
        </w:rPr>
        <w:t xml:space="preserve"> حملات أعوام الثقافة الثلاث، ساعيةً إلى الكشف عن أنماطه الشكلية ومضامينه التراثية ومستويات التفاعل الرقمي معه، ومقارنة ديناميكيات النشر والتفاعل عبر الحملات والمراحل الزمنية المختلفة، بما يُسهم في سدّ الفجوة البحثية القائمة وتقديم رؤية تحليلية تخدم تطوير الاتصال الرقمي الحكومي في مجال ترويج التراث الثقافي السعودي</w:t>
      </w:r>
      <w:r w:rsidRPr="00CC180C">
        <w:rPr>
          <w:rFonts w:ascii="Simplified Arabic" w:hAnsi="Simplified Arabic" w:cs="Simplified Arabic" w:hint="cs"/>
          <w:sz w:val="28"/>
          <w:szCs w:val="28"/>
        </w:rPr>
        <w:t>.</w:t>
      </w:r>
    </w:p>
    <w:p w14:paraId="287BEB69" w14:textId="2AD5EDBF" w:rsidR="00EE0BB8" w:rsidRPr="00CC180C" w:rsidRDefault="00EE0BB8" w:rsidP="00CC180C">
      <w:pPr>
        <w:pStyle w:val="1"/>
        <w:jc w:val="both"/>
        <w:rPr>
          <w:sz w:val="28"/>
          <w:szCs w:val="28"/>
          <w:rtl/>
        </w:rPr>
      </w:pPr>
      <w:bookmarkStart w:id="4" w:name="_Toc225935160"/>
      <w:r w:rsidRPr="00CC180C">
        <w:rPr>
          <w:rFonts w:hint="cs"/>
          <w:sz w:val="28"/>
          <w:szCs w:val="28"/>
          <w:rtl/>
        </w:rPr>
        <w:t>مشكلة الدراسة</w:t>
      </w:r>
      <w:bookmarkEnd w:id="4"/>
    </w:p>
    <w:bookmarkEnd w:id="2"/>
    <w:p w14:paraId="188DCAEE" w14:textId="77777777"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t>تشهد المملكة العربية السعودية تحوّلًا ثقافيًا واسع النطاق في إطار رؤية 2030 التي وضعت الثقافة والتراث في صميم مشروعها التنموي؛ فقد أُنشئت وزارة الثقافة عام 2018 مستقلةً عن وزارة الإعلام، واندرجت تحت مظلتها إحدى عشرة هيئةً ثقافيةً متخصصة، وبلغ عدد العاملين في القطاع الثقافي أكثر من 234 ألف موظف، فيما نُظّم خلال عام 2024 وحده ما يزيد على 7,753 فعالية ثقافية. وعلى صعيد التراث، سجّلت المملكة ثمانية مواقع على قائمة التراث العالمي لدى اليونسكو محقّقةً مستهدف رؤية 2030 قبل موعده، وأدرجت أكثر من خمسة عشر عنصرًا ضمن القائمة التمثيلية للتراث الثقافي غير المادي للإنسانية تشمل الخط العربي والقهوة السعودية والعرضة النجدية والحناء وورد الطائف وغيرها، كما رصدت هيئة التراث أكثر من خمسة وعشرين ألف موقع أثري وأهّلت نحو تسعة آلاف حرفي. يعكس هذا الزخم التزامًا مؤسسيًا عميقًا بحفظ الموروث الوطني وإبرازه محليًا ودوليًا، غير أنه يطرح في الوقت ذاته تساؤلات جوهرية حول فاعلية الأدوات الاتصالية الرقمية التي تُوظَّف لترويج هذا التراث للجمهور العريض وتعزيز ارتباطه بالهوية الوطنية</w:t>
      </w:r>
      <w:r w:rsidRPr="00CC180C">
        <w:rPr>
          <w:rFonts w:ascii="Simplified Arabic" w:hAnsi="Simplified Arabic" w:cs="Simplified Arabic" w:hint="cs"/>
          <w:sz w:val="28"/>
          <w:szCs w:val="28"/>
        </w:rPr>
        <w:t>.</w:t>
      </w:r>
    </w:p>
    <w:p w14:paraId="12AEC5C9" w14:textId="77777777"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lastRenderedPageBreak/>
        <w:t xml:space="preserve">وقد أدركت وزارة الثقافة أهمية البُعد الرقمي في استراتيجيتها الاتصالية، فأطلقت مبادرة "الأعوام الثقافية" التي تُخصّص كل عام لموضوعٍ ثقافيٍ محوريٍ بدءًا من عام الخط العربي (2020–2021)، مرورًا بعام القهوة السعودية (2022)، وعام الشعر العربي (2023)، ثم عام الإبل </w:t>
      </w:r>
      <w:r w:rsidRPr="00CC180C">
        <w:rPr>
          <w:rFonts w:ascii="Simplified Arabic" w:hAnsi="Simplified Arabic" w:cs="Simplified Arabic" w:hint="cs"/>
          <w:sz w:val="28"/>
          <w:szCs w:val="28"/>
        </w:rPr>
        <w:t>(2024)</w:t>
      </w:r>
      <w:r w:rsidRPr="00CC180C">
        <w:rPr>
          <w:rFonts w:ascii="Simplified Arabic" w:hAnsi="Simplified Arabic" w:cs="Simplified Arabic" w:hint="cs"/>
          <w:sz w:val="28"/>
          <w:szCs w:val="28"/>
          <w:rtl/>
        </w:rPr>
        <w:t xml:space="preserve">، وعام الحرف اليدوية (2025)، وصولًا إلى عام الذكاء الاصطناعي </w:t>
      </w:r>
      <w:r w:rsidRPr="00CC180C">
        <w:rPr>
          <w:rFonts w:ascii="Simplified Arabic" w:hAnsi="Simplified Arabic" w:cs="Simplified Arabic" w:hint="cs"/>
          <w:sz w:val="28"/>
          <w:szCs w:val="28"/>
        </w:rPr>
        <w:t xml:space="preserve">(2026). </w:t>
      </w:r>
      <w:r w:rsidRPr="00CC180C">
        <w:rPr>
          <w:rFonts w:ascii="Simplified Arabic" w:hAnsi="Simplified Arabic" w:cs="Simplified Arabic" w:hint="cs"/>
          <w:sz w:val="28"/>
          <w:szCs w:val="28"/>
          <w:rtl/>
        </w:rPr>
        <w:t>وتُصاحب كل حملة أنشطةٌ رقمية مكثفة على منصات التواصل الاجتماعي، لا سيما منصة</w:t>
      </w:r>
      <w:r w:rsidRPr="00CC180C">
        <w:rPr>
          <w:rFonts w:ascii="Simplified Arabic" w:hAnsi="Simplified Arabic" w:cs="Simplified Arabic" w:hint="cs"/>
          <w:sz w:val="28"/>
          <w:szCs w:val="28"/>
        </w:rPr>
        <w:t xml:space="preserve"> X </w:t>
      </w:r>
      <w:r w:rsidRPr="00CC180C">
        <w:rPr>
          <w:rFonts w:ascii="Simplified Arabic" w:hAnsi="Simplified Arabic" w:cs="Simplified Arabic" w:hint="cs"/>
          <w:sz w:val="28"/>
          <w:szCs w:val="28"/>
          <w:rtl/>
        </w:rPr>
        <w:t>(تويتر سابقًا) التي تمثّل إحدى أبرز الفضاءات الرقمية في السعودية ذات نسبة اختراق إنترنت تبلغ نحو 99% ونسبة انتشار لوسائل التواصل الاجتماعي تصل إلى 94.3% من إجمالي السكان وفقًا لتقرير</w:t>
      </w:r>
      <w:r w:rsidRPr="00CC180C">
        <w:rPr>
          <w:rFonts w:ascii="Simplified Arabic" w:hAnsi="Simplified Arabic" w:cs="Simplified Arabic" w:hint="cs"/>
          <w:sz w:val="28"/>
          <w:szCs w:val="28"/>
        </w:rPr>
        <w:t xml:space="preserve"> DataReportal </w:t>
      </w:r>
      <w:r w:rsidRPr="00CC180C">
        <w:rPr>
          <w:rFonts w:ascii="Simplified Arabic" w:hAnsi="Simplified Arabic" w:cs="Simplified Arabic" w:hint="cs"/>
          <w:sz w:val="28"/>
          <w:szCs w:val="28"/>
          <w:rtl/>
        </w:rPr>
        <w:t xml:space="preserve">لعام </w:t>
      </w:r>
      <w:r w:rsidRPr="00CC180C">
        <w:rPr>
          <w:rFonts w:ascii="Simplified Arabic" w:hAnsi="Simplified Arabic" w:cs="Simplified Arabic" w:hint="cs"/>
          <w:sz w:val="28"/>
          <w:szCs w:val="28"/>
        </w:rPr>
        <w:t xml:space="preserve">2024. </w:t>
      </w:r>
      <w:r w:rsidRPr="00CC180C">
        <w:rPr>
          <w:rFonts w:ascii="Simplified Arabic" w:hAnsi="Simplified Arabic" w:cs="Simplified Arabic" w:hint="cs"/>
          <w:sz w:val="28"/>
          <w:szCs w:val="28"/>
          <w:rtl/>
        </w:rPr>
        <w:t>إلّا أن هذا الحضور الرقمي المكثّف يظلّ بحاجة إلى تقييم علمي منهجي يكشف مدى توظيف المحتوى الرقمي الحكومي توظيفًا استراتيجيًا فعّالًا في خدمة أهداف الترويج للتراث، وليس مجرد نشاط تواصلي روتيني</w:t>
      </w:r>
      <w:r w:rsidRPr="00CC180C">
        <w:rPr>
          <w:rFonts w:ascii="Simplified Arabic" w:hAnsi="Simplified Arabic" w:cs="Simplified Arabic" w:hint="cs"/>
          <w:sz w:val="28"/>
          <w:szCs w:val="28"/>
        </w:rPr>
        <w:t>.</w:t>
      </w:r>
    </w:p>
    <w:p w14:paraId="55E661C5" w14:textId="77777777"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t>وباستقراء الأدبيات العلمية العربية والأجنبية يتّضح وجود فجوة بحثية واضحة المعالم؛ فمعظم الدراسات التي تناولت الترويج للتراث عبر المنصات الرقمية ركّزت إمّا على دور وسائل التواصل الاجتماعي في السياحة عمومًا كدراسة مسلم (2022) ودراسة غنيمات وعلاونة (2024)، أو على تقنيات محددة كالواقع الافتراضي</w:t>
      </w:r>
      <w:r w:rsidRPr="00CC180C">
        <w:rPr>
          <w:rFonts w:ascii="Simplified Arabic" w:hAnsi="Simplified Arabic" w:cs="Simplified Arabic" w:hint="cs"/>
          <w:sz w:val="28"/>
          <w:szCs w:val="28"/>
        </w:rPr>
        <w:t xml:space="preserve"> (Ali, 2024) </w:t>
      </w:r>
      <w:r w:rsidRPr="00CC180C">
        <w:rPr>
          <w:rFonts w:ascii="Simplified Arabic" w:hAnsi="Simplified Arabic" w:cs="Simplified Arabic" w:hint="cs"/>
          <w:sz w:val="28"/>
          <w:szCs w:val="28"/>
          <w:rtl/>
        </w:rPr>
        <w:t>والسرد الرقمي</w:t>
      </w:r>
      <w:r w:rsidRPr="00CC180C">
        <w:rPr>
          <w:rFonts w:ascii="Simplified Arabic" w:hAnsi="Simplified Arabic" w:cs="Simplified Arabic" w:hint="cs"/>
          <w:sz w:val="28"/>
          <w:szCs w:val="28"/>
        </w:rPr>
        <w:t xml:space="preserve"> (Yehia &amp; Alkhashil, 2025)</w:t>
      </w:r>
      <w:r w:rsidRPr="00CC180C">
        <w:rPr>
          <w:rFonts w:ascii="Simplified Arabic" w:hAnsi="Simplified Arabic" w:cs="Simplified Arabic" w:hint="cs"/>
          <w:sz w:val="28"/>
          <w:szCs w:val="28"/>
          <w:rtl/>
        </w:rPr>
        <w:t>، أو على المحتوى الرقمي بمعزل عن السياق التراثي كدراسات صناعة المحتوى الرقمي (قطب، 2025؛</w:t>
      </w:r>
      <w:r w:rsidRPr="00CC180C">
        <w:rPr>
          <w:rFonts w:ascii="Simplified Arabic" w:hAnsi="Simplified Arabic" w:cs="Simplified Arabic" w:hint="cs"/>
          <w:sz w:val="28"/>
          <w:szCs w:val="28"/>
        </w:rPr>
        <w:t xml:space="preserve"> Lou &amp; Xie, 2021</w:t>
      </w:r>
      <w:r w:rsidRPr="00CC180C">
        <w:rPr>
          <w:rFonts w:ascii="Simplified Arabic" w:hAnsi="Simplified Arabic" w:cs="Simplified Arabic" w:hint="cs"/>
          <w:sz w:val="28"/>
          <w:szCs w:val="28"/>
          <w:rtl/>
        </w:rPr>
        <w:t xml:space="preserve">؛ </w:t>
      </w:r>
      <w:r w:rsidRPr="00CC180C">
        <w:rPr>
          <w:rFonts w:ascii="Simplified Arabic" w:hAnsi="Simplified Arabic" w:cs="Simplified Arabic" w:hint="cs"/>
          <w:sz w:val="28"/>
          <w:szCs w:val="28"/>
        </w:rPr>
        <w:t xml:space="preserve">Shahbaznezhad et al., 2021). </w:t>
      </w:r>
      <w:r w:rsidRPr="00CC180C">
        <w:rPr>
          <w:rFonts w:ascii="Simplified Arabic" w:hAnsi="Simplified Arabic" w:cs="Simplified Arabic" w:hint="cs"/>
          <w:sz w:val="28"/>
          <w:szCs w:val="28"/>
          <w:rtl/>
        </w:rPr>
        <w:t>بيد أن أيًا من هذه الدراسات لم يتصدَّ بتحليل معمّق ومنهجي للمحتوى الرقمي الذي تنتجه جهة حكومية سعودية بعينها</w:t>
      </w:r>
      <w:r w:rsidRPr="00CC180C">
        <w:rPr>
          <w:rFonts w:ascii="Simplified Arabic" w:hAnsi="Simplified Arabic" w:cs="Simplified Arabic" w:hint="cs"/>
          <w:sz w:val="28"/>
          <w:szCs w:val="28"/>
        </w:rPr>
        <w:t xml:space="preserve"> — </w:t>
      </w:r>
      <w:r w:rsidRPr="00CC180C">
        <w:rPr>
          <w:rFonts w:ascii="Simplified Arabic" w:hAnsi="Simplified Arabic" w:cs="Simplified Arabic" w:hint="cs"/>
          <w:sz w:val="28"/>
          <w:szCs w:val="28"/>
          <w:rtl/>
        </w:rPr>
        <w:t>بأبعاده الشكلية والمضمونية والتفاعلية — في سياق حملات ترويجية للتراث الثقافي مرتبطة برؤية وطنية شاملة كرؤية 2030. كما أن دراسة هذا المحتوى عبر ثلاث حملات متتالية تمتد على أربع سنوات (2020–2023) تتيح فرصة فريدة لرصد تطوّر الاستراتيجيات الاتصالية ومقارنة فاعليتها، وهو ما لم تتناوله الأدبيات السابقة</w:t>
      </w:r>
      <w:r w:rsidRPr="00CC180C">
        <w:rPr>
          <w:rFonts w:ascii="Simplified Arabic" w:hAnsi="Simplified Arabic" w:cs="Simplified Arabic" w:hint="cs"/>
          <w:sz w:val="28"/>
          <w:szCs w:val="28"/>
        </w:rPr>
        <w:t>.</w:t>
      </w:r>
    </w:p>
    <w:p w14:paraId="0241B3CA" w14:textId="66A0DD7F" w:rsidR="00CC180C" w:rsidRPr="00CC180C" w:rsidRDefault="00CC180C" w:rsidP="00CC180C">
      <w:pPr>
        <w:pStyle w:val="a9"/>
        <w:bidi/>
        <w:spacing w:line="276" w:lineRule="auto"/>
        <w:jc w:val="both"/>
        <w:rPr>
          <w:rFonts w:ascii="Simplified Arabic" w:hAnsi="Simplified Arabic" w:cs="Simplified Arabic"/>
          <w:sz w:val="28"/>
          <w:szCs w:val="28"/>
        </w:rPr>
      </w:pPr>
      <w:r w:rsidRPr="00CC180C">
        <w:rPr>
          <w:rFonts w:ascii="Simplified Arabic" w:hAnsi="Simplified Arabic" w:cs="Simplified Arabic" w:hint="cs"/>
          <w:sz w:val="28"/>
          <w:szCs w:val="28"/>
          <w:rtl/>
        </w:rPr>
        <w:t>وتتبلور مشكلة هذه الدراسة تحديدًا في غياب تحليل علمي شامل للمحتوى الرقمي الحكومي المنشور على حساب وزارة الثقافة السعودية بمنصة</w:t>
      </w:r>
      <w:r w:rsidRPr="00CC180C">
        <w:rPr>
          <w:rFonts w:ascii="Simplified Arabic" w:hAnsi="Simplified Arabic" w:cs="Simplified Arabic" w:hint="cs"/>
          <w:sz w:val="28"/>
          <w:szCs w:val="28"/>
        </w:rPr>
        <w:t xml:space="preserve"> X </w:t>
      </w:r>
      <w:r w:rsidRPr="00CC180C">
        <w:rPr>
          <w:rFonts w:ascii="Simplified Arabic" w:hAnsi="Simplified Arabic" w:cs="Simplified Arabic" w:hint="cs"/>
          <w:sz w:val="28"/>
          <w:szCs w:val="28"/>
          <w:rtl/>
        </w:rPr>
        <w:t xml:space="preserve">خلال حملات أعوام الثقافة  عام الخط العربي، وعام القهوة السعودية، وعام الشعر العربي من حيث أنماطه الإنتاجية واستراتيجياته الخطابية وأدواته التفاعلية ومضامينه التراثية، وقياس مستويات التفاعل الرقمي معه، ومقارنة ديناميكيات النشر والتفاعل عبر مراحل كل حملة (قبلها وأثناءها وبعدها) وعبر الحملات الثلاث ذاتها. إنّ عدم وجود مثل هذا التحليل يحول دون فهم كيفية توظيف وزارة الثقافة لأدواتها الرقمية في ترجمة رؤية </w:t>
      </w:r>
      <w:r w:rsidRPr="00CC180C">
        <w:rPr>
          <w:rFonts w:ascii="Simplified Arabic" w:hAnsi="Simplified Arabic" w:cs="Simplified Arabic" w:hint="cs"/>
          <w:sz w:val="28"/>
          <w:szCs w:val="28"/>
        </w:rPr>
        <w:t xml:space="preserve">2030 </w:t>
      </w:r>
      <w:r w:rsidRPr="00CC180C">
        <w:rPr>
          <w:rFonts w:ascii="Simplified Arabic" w:hAnsi="Simplified Arabic" w:cs="Simplified Arabic" w:hint="cs"/>
          <w:sz w:val="28"/>
          <w:szCs w:val="28"/>
          <w:rtl/>
        </w:rPr>
        <w:t xml:space="preserve">الثقافية إلى خطاب رقمي </w:t>
      </w:r>
      <w:r w:rsidRPr="00CC180C">
        <w:rPr>
          <w:rFonts w:ascii="Simplified Arabic" w:hAnsi="Simplified Arabic" w:cs="Simplified Arabic" w:hint="cs"/>
          <w:sz w:val="28"/>
          <w:szCs w:val="28"/>
          <w:rtl/>
        </w:rPr>
        <w:lastRenderedPageBreak/>
        <w:t>مؤثر، ويُفقد صانعي القرار الثقافي قاعدةً معرفيةً تستند إلى بيانات واقعية لتقييم التجربة الراهنة وتطوير الحملات المستقبلية. ومن ثمّ تسعى هذه الدراسة إلى سدّ هذه الفجوة عبر تطبيق تحليل محتوى كمّي وكيفي منظّم يُقدّم صورة شاملة ودقيقة عن واقع المحتوى الرقمي الحكومي في مجال ترويج التراث السعودي</w:t>
      </w:r>
      <w:r w:rsidRPr="00CC180C">
        <w:rPr>
          <w:rFonts w:ascii="Simplified Arabic" w:hAnsi="Simplified Arabic" w:cs="Simplified Arabic" w:hint="cs"/>
          <w:sz w:val="28"/>
          <w:szCs w:val="28"/>
        </w:rPr>
        <w:t>.</w:t>
      </w:r>
    </w:p>
    <w:p w14:paraId="1817352F" w14:textId="1C380B3A" w:rsidR="009125CE" w:rsidRPr="00CC180C" w:rsidRDefault="00A74F76" w:rsidP="00CC180C">
      <w:pPr>
        <w:pStyle w:val="1"/>
        <w:jc w:val="both"/>
        <w:rPr>
          <w:sz w:val="28"/>
          <w:szCs w:val="28"/>
          <w:rtl/>
        </w:rPr>
      </w:pPr>
      <w:bookmarkStart w:id="5" w:name="_Toc169790490"/>
      <w:bookmarkStart w:id="6" w:name="_Toc225935161"/>
      <w:bookmarkEnd w:id="3"/>
      <w:r w:rsidRPr="00CC180C">
        <w:rPr>
          <w:rFonts w:hint="cs"/>
          <w:sz w:val="28"/>
          <w:szCs w:val="28"/>
          <w:rtl/>
        </w:rPr>
        <w:t>أهداف الدراسة</w:t>
      </w:r>
      <w:r w:rsidR="009125CE" w:rsidRPr="00CC180C">
        <w:rPr>
          <w:rFonts w:hint="cs"/>
          <w:sz w:val="28"/>
          <w:szCs w:val="28"/>
          <w:rtl/>
        </w:rPr>
        <w:t>:</w:t>
      </w:r>
      <w:bookmarkEnd w:id="5"/>
      <w:bookmarkEnd w:id="6"/>
    </w:p>
    <w:p w14:paraId="0885F681"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7" w:name="_Toc169790500"/>
      <w:r w:rsidRPr="00CC180C">
        <w:rPr>
          <w:rFonts w:ascii="Simplified Arabic" w:eastAsia="Times New Roman" w:hAnsi="Simplified Arabic" w:cs="Simplified Arabic" w:hint="cs"/>
          <w:kern w:val="0"/>
          <w:sz w:val="28"/>
          <w:szCs w:val="28"/>
          <w:rtl/>
          <w14:ligatures w14:val="none"/>
        </w:rPr>
        <w:t>تسعى الدراسة الحالية إلى تحليل المحتوى الرقمي الحكومي المنشور عبر الحساب الرسمي لوزارة الثقافة السعودية على منصة</w:t>
      </w:r>
      <w:r w:rsidRPr="00CC180C">
        <w:rPr>
          <w:rFonts w:ascii="Simplified Arabic" w:eastAsia="Times New Roman" w:hAnsi="Simplified Arabic" w:cs="Simplified Arabic" w:hint="cs"/>
          <w:kern w:val="0"/>
          <w:sz w:val="28"/>
          <w:szCs w:val="28"/>
          <w14:ligatures w14:val="none"/>
        </w:rPr>
        <w:t xml:space="preserve"> X</w:t>
      </w:r>
      <w:r w:rsidRPr="00CC180C">
        <w:rPr>
          <w:rFonts w:ascii="Simplified Arabic" w:eastAsia="Times New Roman" w:hAnsi="Simplified Arabic" w:cs="Simplified Arabic" w:hint="cs"/>
          <w:kern w:val="0"/>
          <w:sz w:val="28"/>
          <w:szCs w:val="28"/>
          <w:rtl/>
          <w14:ligatures w14:val="none"/>
        </w:rPr>
        <w:t xml:space="preserve">، والكشف عن دوره في الترويج للتراث السعودي ضمن رؤية 2030، من خلال التحليل المنهجي الشامل لثلاث حملات ثقافية وطنية هي: حملة عام الخط العربي </w:t>
      </w:r>
      <w:r w:rsidRPr="00CC180C">
        <w:rPr>
          <w:rFonts w:ascii="Simplified Arabic" w:eastAsia="Times New Roman" w:hAnsi="Simplified Arabic" w:cs="Simplified Arabic" w:hint="cs"/>
          <w:kern w:val="0"/>
          <w:sz w:val="28"/>
          <w:szCs w:val="28"/>
          <w14:ligatures w14:val="none"/>
        </w:rPr>
        <w:t>(2020-2021)</w:t>
      </w:r>
      <w:r w:rsidRPr="00CC180C">
        <w:rPr>
          <w:rFonts w:ascii="Simplified Arabic" w:eastAsia="Times New Roman" w:hAnsi="Simplified Arabic" w:cs="Simplified Arabic" w:hint="cs"/>
          <w:kern w:val="0"/>
          <w:sz w:val="28"/>
          <w:szCs w:val="28"/>
          <w:rtl/>
          <w14:ligatures w14:val="none"/>
        </w:rPr>
        <w:t xml:space="preserve">، وحملة عام القهوة السعودية (2022)، وحملة عام الشعر العربي </w:t>
      </w:r>
      <w:r w:rsidRPr="00CC180C">
        <w:rPr>
          <w:rFonts w:ascii="Simplified Arabic" w:eastAsia="Times New Roman" w:hAnsi="Simplified Arabic" w:cs="Simplified Arabic" w:hint="cs"/>
          <w:kern w:val="0"/>
          <w:sz w:val="28"/>
          <w:szCs w:val="28"/>
          <w14:ligatures w14:val="none"/>
        </w:rPr>
        <w:t>(2023)</w:t>
      </w:r>
      <w:r w:rsidRPr="00CC180C">
        <w:rPr>
          <w:rFonts w:ascii="Simplified Arabic" w:eastAsia="Times New Roman" w:hAnsi="Simplified Arabic" w:cs="Simplified Arabic" w:hint="cs"/>
          <w:kern w:val="0"/>
          <w:sz w:val="28"/>
          <w:szCs w:val="28"/>
          <w:rtl/>
          <w14:ligatures w14:val="none"/>
        </w:rPr>
        <w:t>، بما يشمل فترات ما قبل كل حملة وأثناءها وما بعدها</w:t>
      </w:r>
      <w:r w:rsidRPr="00CC180C">
        <w:rPr>
          <w:rFonts w:ascii="Simplified Arabic" w:eastAsia="Times New Roman" w:hAnsi="Simplified Arabic" w:cs="Simplified Arabic" w:hint="cs"/>
          <w:kern w:val="0"/>
          <w:sz w:val="28"/>
          <w:szCs w:val="28"/>
          <w14:ligatures w14:val="none"/>
        </w:rPr>
        <w:t>.</w:t>
      </w:r>
    </w:p>
    <w:p w14:paraId="5BAA076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ويتفرع من هذا الهدف الرئيسي الأهداف الفرعية التالية</w:t>
      </w:r>
      <w:r w:rsidRPr="00CC180C">
        <w:rPr>
          <w:rFonts w:ascii="Simplified Arabic" w:eastAsia="Times New Roman" w:hAnsi="Simplified Arabic" w:cs="Simplified Arabic" w:hint="cs"/>
          <w:kern w:val="0"/>
          <w:sz w:val="28"/>
          <w:szCs w:val="28"/>
          <w14:ligatures w14:val="none"/>
        </w:rPr>
        <w:t>:</w:t>
      </w:r>
    </w:p>
    <w:p w14:paraId="24EA818A"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رصد حجم المحتوى الرقمي وكثافة النشر عبر الحساب الرسمي لوزارة الثقافة على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خلال الحملات الثلاث، وتحديد معدلات النشر اليومية والأسبوعية في كل مرحلة من المراحل الزمنية الثلاث (أسبوعان قبل الحملة، وفترة الحملة، وأسبوعان بعد الحملة) لكل حملة على حدة</w:t>
      </w:r>
      <w:r w:rsidRPr="00CC180C">
        <w:rPr>
          <w:rFonts w:ascii="Simplified Arabic" w:eastAsia="Times New Roman" w:hAnsi="Simplified Arabic" w:cs="Simplified Arabic" w:hint="cs"/>
          <w:kern w:val="0"/>
          <w:sz w:val="28"/>
          <w:szCs w:val="28"/>
          <w14:ligatures w14:val="none"/>
        </w:rPr>
        <w:t>.</w:t>
      </w:r>
    </w:p>
    <w:p w14:paraId="5378486C"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تحديد الأشكال والقوالب الإنتاجية التي وظّفتها وزارة الثقافة في تقديم محتواها الرقمي (نص فقط، نص مصحوب بصورة ثابتة، نص مصحوب بصور متعددة، نص مصحوب بفيديو، نص مصحوب بإنفوجرافيك، نص مصحوب برابط، بث مباشر، استطلاع رأي، إعادة نشر)، والكشف عن القالب السائد والأكثر توظيفاً في كل حملة</w:t>
      </w:r>
      <w:r w:rsidRPr="00CC180C">
        <w:rPr>
          <w:rFonts w:ascii="Simplified Arabic" w:eastAsia="Times New Roman" w:hAnsi="Simplified Arabic" w:cs="Simplified Arabic" w:hint="cs"/>
          <w:kern w:val="0"/>
          <w:sz w:val="28"/>
          <w:szCs w:val="28"/>
          <w14:ligatures w14:val="none"/>
        </w:rPr>
        <w:t>.</w:t>
      </w:r>
    </w:p>
    <w:p w14:paraId="487F4767"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تحليل المضامين الموضوعية للمنشورات والكشف عن البنية الموضوعية لكل حملة من خلال تصنيف المحتوى إلى فئات موضوعية (تعريف بعنصر التراث، تاريخ وأصالة، فعاليات وأنشطة، مسابقات وتحديات، شراكات ومبادرات، شخصيات وروّاد، إنجازات ومحطات، توثيق وأرشفة، ربط بالهوية الوطنية، ربط برؤية 2030) وتحديد الفئات الأكثر حضوراً والأقل تمثيلاً</w:t>
      </w:r>
      <w:r w:rsidRPr="00CC180C">
        <w:rPr>
          <w:rFonts w:ascii="Simplified Arabic" w:eastAsia="Times New Roman" w:hAnsi="Simplified Arabic" w:cs="Simplified Arabic" w:hint="cs"/>
          <w:kern w:val="0"/>
          <w:sz w:val="28"/>
          <w:szCs w:val="28"/>
          <w14:ligatures w14:val="none"/>
        </w:rPr>
        <w:t>.</w:t>
      </w:r>
    </w:p>
    <w:p w14:paraId="55E31109"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lastRenderedPageBreak/>
        <w:t>الكشف عن الوظائف الاتصالية التي أدّاها المحتوى الرقمي في كل حملة، والتمييز بين الوظيفة الإخبارية والتثقيفية والتوعوية والترويجية والتفاعلية والاحتفائية والتوثيقية، وتحديد الوظيفة المهيمنة والتحولات في توظيفها عبر الحملات الثلاث</w:t>
      </w:r>
      <w:r w:rsidRPr="00CC180C">
        <w:rPr>
          <w:rFonts w:ascii="Simplified Arabic" w:eastAsia="Times New Roman" w:hAnsi="Simplified Arabic" w:cs="Simplified Arabic" w:hint="cs"/>
          <w:kern w:val="0"/>
          <w:sz w:val="28"/>
          <w:szCs w:val="28"/>
          <w14:ligatures w14:val="none"/>
        </w:rPr>
        <w:t>.</w:t>
      </w:r>
    </w:p>
    <w:p w14:paraId="03115F37"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تحليل استراتيجيات توظيف الهاشتاقات في منشورات الحملات الثلاث من حيث عددها وتنوعها وتصنيفها (هاشتاق رسمي خاص بالحملة، هاشتاق مؤسسي خاص بالوزارة، هاشتاق عام مرتبط بالثقافة، هاشتاق موسمي أو مناسباتي، هاشتاق تفاعلي خاص بمسابقة أو تحدٍّ) ومدى اتساقها مع الأهداف الترويجية لكل حملة</w:t>
      </w:r>
      <w:r w:rsidRPr="00CC180C">
        <w:rPr>
          <w:rFonts w:ascii="Simplified Arabic" w:eastAsia="Times New Roman" w:hAnsi="Simplified Arabic" w:cs="Simplified Arabic" w:hint="cs"/>
          <w:kern w:val="0"/>
          <w:sz w:val="28"/>
          <w:szCs w:val="28"/>
          <w14:ligatures w14:val="none"/>
        </w:rPr>
        <w:t>.</w:t>
      </w:r>
    </w:p>
    <w:p w14:paraId="4C7E6565"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فحص طبيعة الروابط المضمّنة في المنشورات وتصنيفها (روابط الموقع الرسمي للوزارة، روابط منصات تسجيل وتفاعل، روابط فعاليات ومناسبات، روابط وسائط إضافية، روابط شركاء ورعاة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والكشف عن وظائفها في تعميق تجربة المتلقي وتوسيع نطاق الحملة</w:t>
      </w:r>
      <w:r w:rsidRPr="00CC180C">
        <w:rPr>
          <w:rFonts w:ascii="Simplified Arabic" w:eastAsia="Times New Roman" w:hAnsi="Simplified Arabic" w:cs="Simplified Arabic" w:hint="cs"/>
          <w:kern w:val="0"/>
          <w:sz w:val="28"/>
          <w:szCs w:val="28"/>
          <w14:ligatures w14:val="none"/>
        </w:rPr>
        <w:t>.</w:t>
      </w:r>
    </w:p>
    <w:p w14:paraId="2804B82D"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قياس مؤشرات التفاعل الرقمي الكمية </w:t>
      </w:r>
      <w:r w:rsidRPr="00CC180C">
        <w:rPr>
          <w:rFonts w:ascii="Simplified Arabic" w:eastAsia="Times New Roman" w:hAnsi="Simplified Arabic" w:cs="Simplified Arabic" w:hint="cs"/>
          <w:kern w:val="0"/>
          <w:sz w:val="28"/>
          <w:szCs w:val="28"/>
          <w14:ligatures w14:val="none"/>
        </w:rPr>
        <w:t>(</w:t>
      </w:r>
      <w:r w:rsidRPr="00CC180C">
        <w:rPr>
          <w:rFonts w:ascii="Simplified Arabic" w:eastAsia="Times New Roman" w:hAnsi="Simplified Arabic" w:cs="Simplified Arabic" w:hint="cs"/>
          <w:kern w:val="0"/>
          <w:sz w:val="28"/>
          <w:szCs w:val="28"/>
          <w:rtl/>
          <w14:ligatures w14:val="none"/>
        </w:rPr>
        <w:t>عدد الإعجابات، عدد إعادة التغريد، عدد الردود، عدد المشاهدات، عدد الاقتباسات) لمنشورات كل حملة، وتحديد المنشورات الأعلى والأدنى تفاعلاً، واستخلاص السمات المشتركة للمحتوى الأكثر تفاعلاً</w:t>
      </w:r>
      <w:r w:rsidRPr="00CC180C">
        <w:rPr>
          <w:rFonts w:ascii="Simplified Arabic" w:eastAsia="Times New Roman" w:hAnsi="Simplified Arabic" w:cs="Simplified Arabic" w:hint="cs"/>
          <w:kern w:val="0"/>
          <w:sz w:val="28"/>
          <w:szCs w:val="28"/>
          <w14:ligatures w14:val="none"/>
        </w:rPr>
        <w:t>.</w:t>
      </w:r>
    </w:p>
    <w:p w14:paraId="581A50B7"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المقارنة المنهجية بين الحملات الثلاث من حيث كثافة النشر وأنماط المحتوى والمضامين الموضوعية والوظائف الاتصالية واستراتيجيات الهاشتاقات والروابط ومستويات التفاعل الجماهيري، والكشف عن مسار التطور والنضج في استراتيجيات المحتوى الرقمي الحكومي الثقافي عبر السنوات الثلاث</w:t>
      </w:r>
      <w:r w:rsidRPr="00CC180C">
        <w:rPr>
          <w:rFonts w:ascii="Simplified Arabic" w:eastAsia="Times New Roman" w:hAnsi="Simplified Arabic" w:cs="Simplified Arabic" w:hint="cs"/>
          <w:kern w:val="0"/>
          <w:sz w:val="28"/>
          <w:szCs w:val="28"/>
          <w14:ligatures w14:val="none"/>
        </w:rPr>
        <w:t>.</w:t>
      </w:r>
    </w:p>
    <w:p w14:paraId="0497696E"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الكشف عن أبعاد الترويج للتراث السعودي المتضمّنة في المحتوى الرقمي لكل حملة، ومدى نجاح المحتوى في إبراز عناصر الهوية الثقافية السعودية وربطها بمستهدفات رؤية 2030 الثقافية</w:t>
      </w:r>
      <w:r w:rsidRPr="00CC180C">
        <w:rPr>
          <w:rFonts w:ascii="Simplified Arabic" w:eastAsia="Times New Roman" w:hAnsi="Simplified Arabic" w:cs="Simplified Arabic" w:hint="cs"/>
          <w:kern w:val="0"/>
          <w:sz w:val="28"/>
          <w:szCs w:val="28"/>
          <w14:ligatures w14:val="none"/>
        </w:rPr>
        <w:t>.</w:t>
      </w:r>
    </w:p>
    <w:p w14:paraId="3FB4587C" w14:textId="77777777" w:rsidR="00CC180C" w:rsidRPr="00CC180C" w:rsidRDefault="00CC180C" w:rsidP="001F6343">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بناء نموذج تحليلي مقترح يمكن أن تسترشد به الجهات الحكومية الثقافية في تخطيط وتقييم حملاتها الرقمية للترويج للتراث الثقافي الوطني عبر منصات التواصل الاجتماعي</w:t>
      </w:r>
      <w:r w:rsidRPr="00CC180C">
        <w:rPr>
          <w:rFonts w:ascii="Simplified Arabic" w:eastAsia="Times New Roman" w:hAnsi="Simplified Arabic" w:cs="Simplified Arabic" w:hint="cs"/>
          <w:kern w:val="0"/>
          <w:sz w:val="28"/>
          <w:szCs w:val="28"/>
          <w14:ligatures w14:val="none"/>
        </w:rPr>
        <w:t>.</w:t>
      </w:r>
    </w:p>
    <w:p w14:paraId="6F2BDEE8" w14:textId="77777777" w:rsidR="00CC180C" w:rsidRPr="00CC180C" w:rsidRDefault="00CC180C" w:rsidP="00CC180C">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8" w:name="_Toc225935162"/>
      <w:r w:rsidRPr="00CC180C">
        <w:rPr>
          <w:rFonts w:ascii="Simplified Arabic" w:eastAsia="Times New Roman" w:hAnsi="Simplified Arabic" w:cs="Simplified Arabic" w:hint="cs"/>
          <w:b/>
          <w:bCs/>
          <w:kern w:val="36"/>
          <w:sz w:val="28"/>
          <w:szCs w:val="28"/>
          <w:rtl/>
          <w14:ligatures w14:val="none"/>
        </w:rPr>
        <w:t>تساؤلات الدراسة</w:t>
      </w:r>
      <w:bookmarkEnd w:id="8"/>
    </w:p>
    <w:p w14:paraId="01134CBE" w14:textId="77777777"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9" w:name="_Toc225935163"/>
      <w:r w:rsidRPr="00CC180C">
        <w:rPr>
          <w:rFonts w:ascii="Simplified Arabic" w:eastAsia="Times New Roman" w:hAnsi="Simplified Arabic" w:cs="Simplified Arabic" w:hint="cs"/>
          <w:b/>
          <w:bCs/>
          <w:kern w:val="0"/>
          <w:sz w:val="28"/>
          <w:szCs w:val="28"/>
          <w:rtl/>
          <w14:ligatures w14:val="none"/>
        </w:rPr>
        <w:t>التساؤل الرئيسي</w:t>
      </w:r>
      <w:bookmarkEnd w:id="9"/>
    </w:p>
    <w:p w14:paraId="5C73BC3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lastRenderedPageBreak/>
        <w:t>كيف وظّفت وزارة الثقافة السعودية المحتوى الرقمي المنشور عبر حسابها الرسمي على منصة</w:t>
      </w:r>
      <w:r w:rsidRPr="00CC180C">
        <w:rPr>
          <w:rFonts w:ascii="Simplified Arabic" w:eastAsia="Times New Roman" w:hAnsi="Simplified Arabic" w:cs="Simplified Arabic" w:hint="cs"/>
          <w:b/>
          <w:bCs/>
          <w:kern w:val="0"/>
          <w:sz w:val="28"/>
          <w:szCs w:val="28"/>
          <w14:ligatures w14:val="none"/>
        </w:rPr>
        <w:t xml:space="preserve"> X </w:t>
      </w:r>
      <w:r w:rsidRPr="00CC180C">
        <w:rPr>
          <w:rFonts w:ascii="Simplified Arabic" w:eastAsia="Times New Roman" w:hAnsi="Simplified Arabic" w:cs="Simplified Arabic" w:hint="cs"/>
          <w:b/>
          <w:bCs/>
          <w:kern w:val="0"/>
          <w:sz w:val="28"/>
          <w:szCs w:val="28"/>
          <w:rtl/>
          <w14:ligatures w14:val="none"/>
        </w:rPr>
        <w:t>في الترويج للتراث السعودي ضمن رؤية 2030 من خلال حملات أعوام الثقافة الثلاث (عام الخط العربي 2020-2021، عام القهوة السعودية 2022، عام الشعر العربي 2023)؟</w:t>
      </w:r>
    </w:p>
    <w:p w14:paraId="5A27AEC5"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10" w:name="_Toc225935164"/>
      <w:r w:rsidRPr="00CC180C">
        <w:rPr>
          <w:rFonts w:ascii="Simplified Arabic" w:eastAsia="Times New Roman" w:hAnsi="Simplified Arabic" w:cs="Simplified Arabic" w:hint="cs"/>
          <w:b/>
          <w:bCs/>
          <w:kern w:val="0"/>
          <w:sz w:val="28"/>
          <w:szCs w:val="28"/>
          <w:rtl/>
          <w14:ligatures w14:val="none"/>
        </w:rPr>
        <w:t>المحور الأول: تساؤلات البنية الشكلية للمحتوى</w:t>
      </w:r>
      <w:bookmarkEnd w:id="10"/>
    </w:p>
    <w:p w14:paraId="3F68910F"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س1</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ما حجم المحتوى الرقمي المنشور وما معدلات كثافة النشر عبر الحساب الرسمي لوزارة الثقافة على منصة </w:t>
      </w:r>
      <w:r w:rsidRPr="00CC180C">
        <w:rPr>
          <w:rFonts w:ascii="Simplified Arabic" w:eastAsia="Times New Roman" w:hAnsi="Simplified Arabic" w:cs="Simplified Arabic" w:hint="cs"/>
          <w:kern w:val="0"/>
          <w:sz w:val="28"/>
          <w:szCs w:val="28"/>
          <w14:ligatures w14:val="none"/>
        </w:rPr>
        <w:t xml:space="preserve">X </w:t>
      </w:r>
      <w:r w:rsidRPr="00CC180C">
        <w:rPr>
          <w:rFonts w:ascii="Simplified Arabic" w:eastAsia="Times New Roman" w:hAnsi="Simplified Arabic" w:cs="Simplified Arabic" w:hint="cs"/>
          <w:kern w:val="0"/>
          <w:sz w:val="28"/>
          <w:szCs w:val="28"/>
          <w:rtl/>
          <w14:ligatures w14:val="none"/>
        </w:rPr>
        <w:t>خلال كل حملة من الحملات الثلاث، وكيف توزّعت كثافة النشر عبر المراحل الزمنية الثلاث (أسبوعان قبل الحملة، فترة الحملة، أسبوعان بعد الحملة)؟</w:t>
      </w:r>
    </w:p>
    <w:p w14:paraId="19625534" w14:textId="250D9878"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س</w:t>
      </w:r>
      <w:r>
        <w:rPr>
          <w:rFonts w:ascii="Simplified Arabic" w:eastAsia="Times New Roman" w:hAnsi="Simplified Arabic" w:cs="Simplified Arabic" w:hint="cs"/>
          <w:b/>
          <w:bCs/>
          <w:kern w:val="0"/>
          <w:sz w:val="28"/>
          <w:szCs w:val="28"/>
          <w:rtl/>
          <w14:ligatures w14:val="none"/>
        </w:rPr>
        <w:t>2</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ما الموضوعات والمضامين الرئيسية التي تناولها المحتوى الرقمي لوزارة الثقافة خلال كل حملة من الحملات الثلاث، وما الفئات الموضوعية الأكثر تكراراً والأقل حضوراً؟</w:t>
      </w:r>
    </w:p>
    <w:p w14:paraId="2CD9FEA5" w14:textId="0E2FD6E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س</w:t>
      </w:r>
      <w:r>
        <w:rPr>
          <w:rFonts w:ascii="Simplified Arabic" w:eastAsia="Times New Roman" w:hAnsi="Simplified Arabic" w:cs="Simplified Arabic" w:hint="cs"/>
          <w:b/>
          <w:bCs/>
          <w:kern w:val="0"/>
          <w:sz w:val="28"/>
          <w:szCs w:val="28"/>
          <w:rtl/>
          <w14:ligatures w14:val="none"/>
        </w:rPr>
        <w:t>3</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ما الهاشتاقات التي وظّفتها وزارة الثقافة في منشورات كل حملة، وما تصنيفاتها (رسمية، مؤسسية، عامة، موسمية، تفاعلية) ومعدلات تكرارها ومدى اتساقها مع أهداف الحملة؟</w:t>
      </w:r>
    </w:p>
    <w:p w14:paraId="420ADA3B" w14:textId="1EAEB513"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س</w:t>
      </w:r>
      <w:r>
        <w:rPr>
          <w:rFonts w:ascii="Simplified Arabic" w:eastAsia="Times New Roman" w:hAnsi="Simplified Arabic" w:cs="Simplified Arabic" w:hint="cs"/>
          <w:b/>
          <w:bCs/>
          <w:kern w:val="0"/>
          <w:sz w:val="28"/>
          <w:szCs w:val="28"/>
          <w:rtl/>
          <w14:ligatures w14:val="none"/>
        </w:rPr>
        <w:t>4</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ما أنواع الروابط المضمّنة في منشورات الحملات الثلاث (روابط الموقع الرسمي، منصات تفاعلية، فعاليات، وسائط إضافية)، وما وظائفها في توسيع نطاق الحملة وتعميق تجربة المتلقي؟</w:t>
      </w:r>
    </w:p>
    <w:p w14:paraId="2D00AE40" w14:textId="5E7E3B14"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س</w:t>
      </w:r>
      <w:r>
        <w:rPr>
          <w:rFonts w:ascii="Simplified Arabic" w:eastAsia="Times New Roman" w:hAnsi="Simplified Arabic" w:cs="Simplified Arabic" w:hint="cs"/>
          <w:b/>
          <w:bCs/>
          <w:kern w:val="0"/>
          <w:sz w:val="28"/>
          <w:szCs w:val="28"/>
          <w:rtl/>
          <w14:ligatures w14:val="none"/>
        </w:rPr>
        <w:t>5</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ما مستويات التفاعل الرقمي (الإعجابات، إعادة التغريد، الردود، المشاهدات، الاقتباسات) التي حققتها منشورات وزارة الثقافة خلال كل حملة من الحملات الثلاث، وما المنشورات الأعلى والأدنى تفاعلاً وما سماتها المشتركة؟</w:t>
      </w:r>
    </w:p>
    <w:p w14:paraId="5DBEA013" w14:textId="77777777" w:rsidR="00CC180C" w:rsidRPr="00CC180C" w:rsidRDefault="00CC180C" w:rsidP="00CC180C">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1" w:name="_Toc225935165"/>
      <w:r w:rsidRPr="00CC180C">
        <w:rPr>
          <w:rFonts w:ascii="Simplified Arabic" w:eastAsia="Times New Roman" w:hAnsi="Simplified Arabic" w:cs="Simplified Arabic" w:hint="cs"/>
          <w:b/>
          <w:bCs/>
          <w:kern w:val="36"/>
          <w:sz w:val="28"/>
          <w:szCs w:val="28"/>
          <w:rtl/>
          <w14:ligatures w14:val="none"/>
        </w:rPr>
        <w:t>فروض الدراسة</w:t>
      </w:r>
      <w:bookmarkEnd w:id="11"/>
    </w:p>
    <w:p w14:paraId="750FDC1B"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نظراً لأن الدراسة الحالية تجمع بين البُعد الوصفي التحليلي الذي يُجاب عنه من خلال الرصد والوصف والتحليل الكيفي والكمي لنتائج تحليل المحتوى (التساؤلات من س1 إلى س10 وس15)، والبُعد الاستدلالي الذي يتطلب اختباراً إحصائياً (التساؤلات من س11 إلى س14)، فإن فروض الدراسة تُصاغ على النحو التالي</w:t>
      </w:r>
      <w:r w:rsidRPr="00CC180C">
        <w:rPr>
          <w:rFonts w:ascii="Simplified Arabic" w:eastAsia="Times New Roman" w:hAnsi="Simplified Arabic" w:cs="Simplified Arabic" w:hint="cs"/>
          <w:kern w:val="0"/>
          <w:sz w:val="28"/>
          <w:szCs w:val="28"/>
          <w14:ligatures w14:val="none"/>
        </w:rPr>
        <w:t>:</w:t>
      </w:r>
    </w:p>
    <w:p w14:paraId="7C7BE487"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lastRenderedPageBreak/>
        <w:t>الفرض الأول</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توجد فروق ذات دلالة إحصائية في متوسطات مؤشرات التفاعل الرقمي (الإعجابات، إعادة التغريد، الردود، المشاهدات) بين حملات أعوام الثقافة الثلاث (عام الخط العربي 2020-2021، عام القهوة السعودية 2022، عام الشعر العربي 2023</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على الحساب الرسمي لوزارة الثقافة على منصة</w:t>
      </w:r>
      <w:r w:rsidRPr="00CC180C">
        <w:rPr>
          <w:rFonts w:ascii="Simplified Arabic" w:eastAsia="Times New Roman" w:hAnsi="Simplified Arabic" w:cs="Simplified Arabic" w:hint="cs"/>
          <w:kern w:val="0"/>
          <w:sz w:val="28"/>
          <w:szCs w:val="28"/>
          <w14:ligatures w14:val="none"/>
        </w:rPr>
        <w:t xml:space="preserve"> X.</w:t>
      </w:r>
    </w:p>
    <w:p w14:paraId="37FAFE7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الفرض الثاني</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توجد فروق ذات دلالة إحصائية في كثافة النشر ومتوسطات مؤشرات التفاعل الرقمي بين المراحل الزمنية الثلاث (مرحلة ما قبل الحملة بأسبوعين، مرحلة الحملة ذاتها، مرحلة ما بعد الحملة بأسبوعين) لكل حملة من حملات أعوام الثقافة</w:t>
      </w:r>
      <w:r w:rsidRPr="00CC180C">
        <w:rPr>
          <w:rFonts w:ascii="Simplified Arabic" w:eastAsia="Times New Roman" w:hAnsi="Simplified Arabic" w:cs="Simplified Arabic" w:hint="cs"/>
          <w:kern w:val="0"/>
          <w:sz w:val="28"/>
          <w:szCs w:val="28"/>
          <w14:ligatures w14:val="none"/>
        </w:rPr>
        <w:t>.</w:t>
      </w:r>
    </w:p>
    <w:p w14:paraId="3300D29B"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الفرض الثالث</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توجد فروق ذات دلالة إحصائية في متوسطات مؤشرات التفاعل الرقمي تُعزى إلى الشكل الإنتاجي للمحتوى المنشور (نص فقط، نص مع صورة، نص مع فيديو، نص مع إنفوجرافيك) في منشورات وزارة الثقافة خلال الحملات الثلاث</w:t>
      </w:r>
      <w:r w:rsidRPr="00CC180C">
        <w:rPr>
          <w:rFonts w:ascii="Simplified Arabic" w:eastAsia="Times New Roman" w:hAnsi="Simplified Arabic" w:cs="Simplified Arabic" w:hint="cs"/>
          <w:kern w:val="0"/>
          <w:sz w:val="28"/>
          <w:szCs w:val="28"/>
          <w14:ligatures w14:val="none"/>
        </w:rPr>
        <w:t>.</w:t>
      </w:r>
    </w:p>
    <w:p w14:paraId="419C40B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الفرض الرابع</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توجد علاقة ارتباطية ذات دلالة إحصائية بين عدد الهاشتاقات المستخدمة في المنشور ومتوسطات مؤشرات التفاعل الرقمي (الإعجابات، إعادة التغريد، الردود، المشاهدات) خلال حملات أعوام الثقافة الثلاث</w:t>
      </w:r>
      <w:r w:rsidRPr="00CC180C">
        <w:rPr>
          <w:rFonts w:ascii="Simplified Arabic" w:eastAsia="Times New Roman" w:hAnsi="Simplified Arabic" w:cs="Simplified Arabic" w:hint="cs"/>
          <w:kern w:val="0"/>
          <w:sz w:val="28"/>
          <w:szCs w:val="28"/>
          <w14:ligatures w14:val="none"/>
        </w:rPr>
        <w:t>.</w:t>
      </w:r>
    </w:p>
    <w:p w14:paraId="226AFC4E"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الفرض الخامس</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توجد فروق ذات دلالة إحصائية في متوسطات مؤشرات التفاعل الرقمي بين المنشورات المتضمّنة لروابط خارجية والمنشورات غير المتضمّنة لروابط خلال حملات أعوام الثقافة الثلاث</w:t>
      </w:r>
      <w:r w:rsidRPr="00CC180C">
        <w:rPr>
          <w:rFonts w:ascii="Simplified Arabic" w:eastAsia="Times New Roman" w:hAnsi="Simplified Arabic" w:cs="Simplified Arabic" w:hint="cs"/>
          <w:kern w:val="0"/>
          <w:sz w:val="28"/>
          <w:szCs w:val="28"/>
          <w14:ligatures w14:val="none"/>
        </w:rPr>
        <w:t>.</w:t>
      </w:r>
    </w:p>
    <w:p w14:paraId="7D5DF7AD"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الفرض السادس</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توجد فروق ذات دلالة إحصائية في متوسطات مؤشرات التفاعل الرقمي تُعزى إلى الوظيفة الاتصالية للمنشور (إخبارية، تثقيفية، ترويجية، تفاعلية، احتفائية، توثيقية) خلال الحملات الثلاث</w:t>
      </w:r>
      <w:r w:rsidRPr="00CC180C">
        <w:rPr>
          <w:rFonts w:ascii="Simplified Arabic" w:eastAsia="Times New Roman" w:hAnsi="Simplified Arabic" w:cs="Simplified Arabic" w:hint="cs"/>
          <w:kern w:val="0"/>
          <w:sz w:val="28"/>
          <w:szCs w:val="28"/>
          <w14:ligatures w14:val="none"/>
        </w:rPr>
        <w:t>.</w:t>
      </w:r>
    </w:p>
    <w:p w14:paraId="18F3A2A8"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الفرض السابع</w:t>
      </w:r>
      <w:r w:rsidRPr="00CC180C">
        <w:rPr>
          <w:rFonts w:ascii="Simplified Arabic" w:eastAsia="Times New Roman" w:hAnsi="Simplified Arabic" w:cs="Simplified Arabic" w:hint="cs"/>
          <w:b/>
          <w:bCs/>
          <w:kern w:val="0"/>
          <w:sz w:val="28"/>
          <w:szCs w:val="28"/>
          <w14:ligatures w14:val="none"/>
        </w:rPr>
        <w: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توجد فروق ذات دلالة إحصائية في متوسطات مؤشرات التفاعل الرقمي تُعزى إلى نوع المضمون التراثي المقدّم في المنشور (تعريف بعنصر التراث، تاريخ وأصالة، فعاليات وأنشطة، شخصيات وروّاد، ربط بالهوية الوطنية، ربط برؤية </w:t>
      </w:r>
      <w:r w:rsidRPr="00CC180C">
        <w:rPr>
          <w:rFonts w:ascii="Simplified Arabic" w:eastAsia="Times New Roman" w:hAnsi="Simplified Arabic" w:cs="Simplified Arabic" w:hint="cs"/>
          <w:kern w:val="0"/>
          <w:sz w:val="28"/>
          <w:szCs w:val="28"/>
          <w14:ligatures w14:val="none"/>
        </w:rPr>
        <w:t xml:space="preserve">2030) </w:t>
      </w:r>
      <w:r w:rsidRPr="00CC180C">
        <w:rPr>
          <w:rFonts w:ascii="Simplified Arabic" w:eastAsia="Times New Roman" w:hAnsi="Simplified Arabic" w:cs="Simplified Arabic" w:hint="cs"/>
          <w:kern w:val="0"/>
          <w:sz w:val="28"/>
          <w:szCs w:val="28"/>
          <w:rtl/>
          <w14:ligatures w14:val="none"/>
        </w:rPr>
        <w:t>خلال الحملات الثلاث</w:t>
      </w:r>
      <w:r w:rsidRPr="00CC180C">
        <w:rPr>
          <w:rFonts w:ascii="Simplified Arabic" w:eastAsia="Times New Roman" w:hAnsi="Simplified Arabic" w:cs="Simplified Arabic" w:hint="cs"/>
          <w:kern w:val="0"/>
          <w:sz w:val="28"/>
          <w:szCs w:val="28"/>
          <w14:ligatures w14:val="none"/>
        </w:rPr>
        <w:t>.</w:t>
      </w:r>
    </w:p>
    <w:p w14:paraId="55B3D5C8" w14:textId="2BAD560B" w:rsidR="00CC180C" w:rsidRPr="00CC180C" w:rsidRDefault="00CC180C" w:rsidP="00CC180C">
      <w:pPr>
        <w:spacing w:after="0" w:line="276" w:lineRule="auto"/>
        <w:jc w:val="both"/>
        <w:rPr>
          <w:rFonts w:ascii="Simplified Arabic" w:eastAsia="Times New Roman" w:hAnsi="Simplified Arabic" w:cs="Simplified Arabic"/>
          <w:kern w:val="0"/>
          <w:sz w:val="28"/>
          <w:szCs w:val="28"/>
          <w14:ligatures w14:val="none"/>
        </w:rPr>
      </w:pPr>
    </w:p>
    <w:p w14:paraId="6F1D2FD2" w14:textId="77777777" w:rsidR="00CC180C" w:rsidRPr="00CC180C" w:rsidRDefault="00CC180C" w:rsidP="00CC180C">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2" w:name="_Toc225935166"/>
      <w:r w:rsidRPr="00CC180C">
        <w:rPr>
          <w:rFonts w:ascii="Simplified Arabic" w:eastAsia="Times New Roman" w:hAnsi="Simplified Arabic" w:cs="Simplified Arabic" w:hint="cs"/>
          <w:b/>
          <w:bCs/>
          <w:kern w:val="36"/>
          <w:sz w:val="28"/>
          <w:szCs w:val="28"/>
          <w:rtl/>
          <w14:ligatures w14:val="none"/>
        </w:rPr>
        <w:lastRenderedPageBreak/>
        <w:t>أهمية الدراسة</w:t>
      </w:r>
      <w:bookmarkEnd w:id="12"/>
    </w:p>
    <w:p w14:paraId="4DC08725" w14:textId="77777777"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3" w:name="_Toc225935167"/>
      <w:r w:rsidRPr="00CC180C">
        <w:rPr>
          <w:rFonts w:ascii="Simplified Arabic" w:eastAsia="Times New Roman" w:hAnsi="Simplified Arabic" w:cs="Simplified Arabic" w:hint="cs"/>
          <w:b/>
          <w:bCs/>
          <w:kern w:val="0"/>
          <w:sz w:val="28"/>
          <w:szCs w:val="28"/>
          <w:rtl/>
          <w14:ligatures w14:val="none"/>
        </w:rPr>
        <w:t>أولاً: الأهمية العلمية (النظرية)</w:t>
      </w:r>
      <w:bookmarkEnd w:id="13"/>
    </w:p>
    <w:p w14:paraId="6E0D7A05" w14:textId="33CAAD6D" w:rsidR="00CC180C" w:rsidRPr="00CC180C" w:rsidRDefault="00CC180C" w:rsidP="001F6343">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تُعدّ هذه الدراسة من الدراسات الأولى على المستوى العربي التي تتناول بالتحليل المنهجي المعمّق المحتوى الرقمي الحكومي السعودي في مجال الترويج للتراث الثقافي عبر منصات التواصل الاجتماعي، مما يمنحها قيمة علمية استكشافية تُؤسّس لحقل بحثي ناشئ يقع عند تقاطع دراسات الاتصال الرقمي الحكومي ودراسات الترويج الثقافي والتراثي ودراسات السياسات الثقافية</w:t>
      </w:r>
      <w:r w:rsidRPr="00CC180C">
        <w:rPr>
          <w:rFonts w:ascii="Simplified Arabic" w:eastAsia="Times New Roman" w:hAnsi="Simplified Arabic" w:cs="Simplified Arabic" w:hint="cs"/>
          <w:kern w:val="0"/>
          <w:sz w:val="28"/>
          <w:szCs w:val="28"/>
          <w14:ligatures w14:val="none"/>
        </w:rPr>
        <w:t>.</w:t>
      </w:r>
    </w:p>
    <w:p w14:paraId="160EFB05" w14:textId="407EDC82" w:rsidR="00CC180C" w:rsidRPr="00CC180C" w:rsidRDefault="00CC180C" w:rsidP="001F6343">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تسدّ الدراسة فجوة واضحة في الأدبيات العلمية العربية المتعلقة بتحليل الحملات الثقافية الرقمية الحكومية، إذ ركّزت الدراسات السابقة في معظمها إما على المحتوى الرقمي في سياقات تجارية وتسويقية وتعليمية، أو على الترويج السياحي بمعزل عن البُعد الثقافي التراثي الحكومي، بينما ظلّ المحتوى الرقمي الحكومي الموجّه للترويج للتراث حقلاً بحثياً شبه خالٍ يحتاج إلى إثراء أكاديمي منهجي</w:t>
      </w:r>
      <w:r w:rsidRPr="00CC180C">
        <w:rPr>
          <w:rFonts w:ascii="Simplified Arabic" w:eastAsia="Times New Roman" w:hAnsi="Simplified Arabic" w:cs="Simplified Arabic" w:hint="cs"/>
          <w:kern w:val="0"/>
          <w:sz w:val="28"/>
          <w:szCs w:val="28"/>
          <w14:ligatures w14:val="none"/>
        </w:rPr>
        <w:t>.</w:t>
      </w:r>
    </w:p>
    <w:p w14:paraId="1441675E" w14:textId="5DDE3B85" w:rsidR="00CC180C" w:rsidRPr="00CC180C" w:rsidRDefault="00CC180C" w:rsidP="001F6343">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تُسهم الدراسة في بناء إطار نظري يربط بين عدة حقول معرفية تشمل نظريات تحليل المحتوى الإعلامي ونظريات الاتصال الحكومي الرقمي ونظريات التسويق والترويج الثقافي ومقاربات إدارة التراث في العصر الرقمي، مما يُثري الأدبيات الأكاديمية ويُتيح فهماً أعمق للتداخل بين هذه الحقول في السياق السعودي المعاصر</w:t>
      </w:r>
      <w:r w:rsidRPr="00CC180C">
        <w:rPr>
          <w:rFonts w:ascii="Simplified Arabic" w:eastAsia="Times New Roman" w:hAnsi="Simplified Arabic" w:cs="Simplified Arabic" w:hint="cs"/>
          <w:kern w:val="0"/>
          <w:sz w:val="28"/>
          <w:szCs w:val="28"/>
          <w14:ligatures w14:val="none"/>
        </w:rPr>
        <w:t>.</w:t>
      </w:r>
    </w:p>
    <w:p w14:paraId="7B1FC17F" w14:textId="474D99ED" w:rsidR="00CC180C" w:rsidRPr="00CC180C" w:rsidRDefault="00CC180C" w:rsidP="001F6343">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تُسهم الدراسة في تطوير مؤشرات علمية متعددة الأبعاد لقياس فاعلية المحتوى الرقمي الحكومي في الترويج للتراث الثقافي، تجمع بين المؤشرات الشكلية (أنماط المحتوى وقوالبه) والمؤشرات المضمونية (الموضوعات والوظائف الاتصالية والأبعاد التراثية) والمؤشرات التفاعلية (مقاييس الاستجابة الجماهيرية الرقمية)، وهي مؤشرات قابلة للتعميم والتطبيق في سياقات ثقافية متنوعة</w:t>
      </w:r>
      <w:r w:rsidRPr="00CC180C">
        <w:rPr>
          <w:rFonts w:ascii="Simplified Arabic" w:eastAsia="Times New Roman" w:hAnsi="Simplified Arabic" w:cs="Simplified Arabic" w:hint="cs"/>
          <w:kern w:val="0"/>
          <w:sz w:val="28"/>
          <w:szCs w:val="28"/>
          <w14:ligatures w14:val="none"/>
        </w:rPr>
        <w:t>.</w:t>
      </w:r>
    </w:p>
    <w:p w14:paraId="0C4F135C" w14:textId="07170346" w:rsidR="00CC180C" w:rsidRPr="00CC180C" w:rsidRDefault="00CC180C" w:rsidP="001F6343">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تُضيف الدراسة بُعداً تحليلياً جديداً إلى الأدبيات الأكاديمية المتنامية حول رؤية المملكة 2030، وذلك من الزاوية الثقافية والاتصالية الرقمية، حيث تكشف عن كيفية ترجمة المستهدفات الاستراتيجية للرؤية في مجال تعزيز الهوية الثقافية والترويج للتراث إلى ممارسات اتصالية رقمية ملموسة عبر الحملات الثقافية الحكومية</w:t>
      </w:r>
      <w:r w:rsidRPr="00CC180C">
        <w:rPr>
          <w:rFonts w:ascii="Simplified Arabic" w:eastAsia="Times New Roman" w:hAnsi="Simplified Arabic" w:cs="Simplified Arabic" w:hint="cs"/>
          <w:kern w:val="0"/>
          <w:sz w:val="28"/>
          <w:szCs w:val="28"/>
          <w14:ligatures w14:val="none"/>
        </w:rPr>
        <w:t>.</w:t>
      </w:r>
    </w:p>
    <w:p w14:paraId="1B72B34C" w14:textId="77777777"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4" w:name="_Toc225935168"/>
      <w:r w:rsidRPr="00CC180C">
        <w:rPr>
          <w:rFonts w:ascii="Simplified Arabic" w:eastAsia="Times New Roman" w:hAnsi="Simplified Arabic" w:cs="Simplified Arabic" w:hint="cs"/>
          <w:b/>
          <w:bCs/>
          <w:kern w:val="0"/>
          <w:sz w:val="28"/>
          <w:szCs w:val="28"/>
          <w:rtl/>
          <w14:ligatures w14:val="none"/>
        </w:rPr>
        <w:t>ثانياً: الأهمية العملية (التطبيقية)</w:t>
      </w:r>
      <w:bookmarkEnd w:id="14"/>
    </w:p>
    <w:p w14:paraId="1A552787" w14:textId="313AA77A" w:rsidR="00CC180C" w:rsidRPr="00CC180C" w:rsidRDefault="00CC180C" w:rsidP="001F6343">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14:ligatures w14:val="none"/>
        </w:rPr>
        <w:lastRenderedPageBreak/>
        <w:t xml:space="preserve"> </w:t>
      </w:r>
      <w:r w:rsidRPr="00CC180C">
        <w:rPr>
          <w:rFonts w:ascii="Simplified Arabic" w:eastAsia="Times New Roman" w:hAnsi="Simplified Arabic" w:cs="Simplified Arabic" w:hint="cs"/>
          <w:kern w:val="0"/>
          <w:sz w:val="28"/>
          <w:szCs w:val="28"/>
          <w:rtl/>
          <w14:ligatures w14:val="none"/>
        </w:rPr>
        <w:t>تُقدّم الدراسة لإدارة الاتصال المؤسسي والرقمي في وزارة الثقافة السعودية تقريراً تحليلياً مفصّلاً ومبنياً على بيانات فعلية حول أداء المحتوى الرقمي في ثلاث حملات متتالية، يتضمن تشخيصاً دقيقاً لنقاط القوة التي ينبغي تعزيزها ونقاط الضعف التي تستدعي المعالجة والفرص التي يمكن استثمارها في الحملات المستقبلية</w:t>
      </w:r>
      <w:r w:rsidRPr="00CC180C">
        <w:rPr>
          <w:rFonts w:ascii="Simplified Arabic" w:eastAsia="Times New Roman" w:hAnsi="Simplified Arabic" w:cs="Simplified Arabic" w:hint="cs"/>
          <w:kern w:val="0"/>
          <w:sz w:val="28"/>
          <w:szCs w:val="28"/>
          <w14:ligatures w14:val="none"/>
        </w:rPr>
        <w:t>.</w:t>
      </w:r>
    </w:p>
    <w:p w14:paraId="7FD6B926" w14:textId="3237C67E" w:rsidR="00CC180C" w:rsidRPr="00CC180C" w:rsidRDefault="00CC180C" w:rsidP="001F6343">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تتجاوز فائدة الدراسة حدود وزارة الثقافة لتشمل منظومة الهيئات الثقافية الست عشرة التابعة لها (هيئة التراث، هيئة الأدب والنشر والترجمة، هيئة فنون الطهي، هيئة الأزياء، هيئة المتاحف، هيئة المسرح والفنون الأدائية، هيئة الأفلام، هيئة الموسيقى، هيئة الفنون البصرية، وغيرها)، حيث يمكن لكل هيئة الاستفادة من الدروس المستخلصة في تصميم حملاتها الرقمية الخاصة بقطاعها الثقافي</w:t>
      </w:r>
      <w:r w:rsidRPr="00CC180C">
        <w:rPr>
          <w:rFonts w:ascii="Simplified Arabic" w:eastAsia="Times New Roman" w:hAnsi="Simplified Arabic" w:cs="Simplified Arabic" w:hint="cs"/>
          <w:kern w:val="0"/>
          <w:sz w:val="28"/>
          <w:szCs w:val="28"/>
          <w14:ligatures w14:val="none"/>
        </w:rPr>
        <w:t>.</w:t>
      </w:r>
    </w:p>
    <w:p w14:paraId="6B89F10C" w14:textId="20C69B14" w:rsidR="00CC180C" w:rsidRPr="00CC180C" w:rsidRDefault="00CC180C" w:rsidP="001F6343">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تُعزّز الدراسة ثقافة اتخاذ القرار المبني على الأدلة التحليلية في القطاع الثقافي السعودي، من خلال تقديم نموذج عملي لكيفية توظيف نتائج تحليل المحتوى في تطوير السياسات والاستراتيجيات الاتصالية الرقمية بدلاً من الاعتماد على الحدس والتجربة والخطأ</w:t>
      </w:r>
      <w:r w:rsidRPr="00CC180C">
        <w:rPr>
          <w:rFonts w:ascii="Simplified Arabic" w:eastAsia="Times New Roman" w:hAnsi="Simplified Arabic" w:cs="Simplified Arabic" w:hint="cs"/>
          <w:kern w:val="0"/>
          <w:sz w:val="28"/>
          <w:szCs w:val="28"/>
          <w14:ligatures w14:val="none"/>
        </w:rPr>
        <w:t>.</w:t>
      </w:r>
    </w:p>
    <w:p w14:paraId="25F13825" w14:textId="7E3816CB" w:rsidR="00CC180C" w:rsidRPr="00CC180C" w:rsidRDefault="00CC180C" w:rsidP="001F6343">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تدعم الدراسة جهود برنامج جودة الحياة أحد برامج رؤية 2030 في محوره المتعلق بتعزيز مشاركة المجتمع في الأنشطة الثقافية وتفعيل الحضور الثقافي الرقمي، من خلال تقديم رؤية تقييمية مبنية على تحليل منهجي لأحد أبرز مخرجات هذا البرنامج وهي حملات أعوام الثقافة</w:t>
      </w:r>
      <w:r w:rsidRPr="00CC180C">
        <w:rPr>
          <w:rFonts w:ascii="Simplified Arabic" w:eastAsia="Times New Roman" w:hAnsi="Simplified Arabic" w:cs="Simplified Arabic" w:hint="cs"/>
          <w:kern w:val="0"/>
          <w:sz w:val="28"/>
          <w:szCs w:val="28"/>
          <w14:ligatures w14:val="none"/>
        </w:rPr>
        <w:t>.</w:t>
      </w:r>
    </w:p>
    <w:p w14:paraId="3203B4BD" w14:textId="57236C67" w:rsidR="00CC180C" w:rsidRPr="00CC180C" w:rsidRDefault="00CC180C" w:rsidP="001F6343">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تُتيح الدراسة للمؤسسات الثقافية والتراثية في العالم العربي والمنطقة التي تسعى لتوظيف المحتوى الرقمي في الترويج لتراثها الاستفادة من التجربة السعودية الرائدة في هذا المجال، من خلال الاطلاع على النموذج التحليلي والنتائج والتوصيات المستخلصة والتي يمكن تكييفها مع سياقاتها الثقافية الخاصة</w:t>
      </w:r>
      <w:r w:rsidRPr="00CC180C">
        <w:rPr>
          <w:rFonts w:ascii="Simplified Arabic" w:eastAsia="Times New Roman" w:hAnsi="Simplified Arabic" w:cs="Simplified Arabic" w:hint="cs"/>
          <w:kern w:val="0"/>
          <w:sz w:val="28"/>
          <w:szCs w:val="28"/>
          <w14:ligatures w14:val="none"/>
        </w:rPr>
        <w:t>.</w:t>
      </w:r>
    </w:p>
    <w:p w14:paraId="2376397F" w14:textId="55E7E5EB" w:rsidR="001C42F9" w:rsidRPr="00CC180C" w:rsidRDefault="00D22171" w:rsidP="00CC180C">
      <w:pPr>
        <w:pStyle w:val="1"/>
        <w:jc w:val="both"/>
        <w:rPr>
          <w:sz w:val="28"/>
          <w:szCs w:val="28"/>
          <w:rtl/>
        </w:rPr>
      </w:pPr>
      <w:bookmarkStart w:id="15" w:name="_Toc225935169"/>
      <w:r w:rsidRPr="00CC180C">
        <w:rPr>
          <w:rFonts w:hint="cs"/>
          <w:sz w:val="28"/>
          <w:szCs w:val="28"/>
          <w:rtl/>
        </w:rPr>
        <w:t>الدراسات السابقة</w:t>
      </w:r>
      <w:r w:rsidR="00A74F76" w:rsidRPr="00CC180C">
        <w:rPr>
          <w:rFonts w:hint="cs"/>
          <w:sz w:val="28"/>
          <w:szCs w:val="28"/>
          <w:rtl/>
        </w:rPr>
        <w:t>:</w:t>
      </w:r>
      <w:bookmarkStart w:id="16" w:name="_Toc170243312"/>
      <w:bookmarkEnd w:id="7"/>
      <w:bookmarkEnd w:id="15"/>
    </w:p>
    <w:p w14:paraId="78707DEE"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17" w:name="_Toc169790501"/>
      <w:bookmarkEnd w:id="16"/>
      <w:r w:rsidRPr="00CC180C">
        <w:rPr>
          <w:rFonts w:ascii="Simplified Arabic" w:eastAsia="Times New Roman" w:hAnsi="Simplified Arabic" w:cs="Simplified Arabic" w:hint="cs"/>
          <w:kern w:val="0"/>
          <w:sz w:val="28"/>
          <w:szCs w:val="28"/>
          <w:rtl/>
          <w14:ligatures w14:val="none"/>
        </w:rPr>
        <w:t xml:space="preserve">يُعدّ استعراض الدراسات السابقة ركيزةً أساسيةً في البناء المعرفي لأي بحث علمي، إذ يتيح للباحث الاطلاع على الجهود العلمية التي سبقته في مجال دراسته، والوقوف على المناهج والأدوات والنتائج التي توصّل إليها الباحثون السابقون، فضلاً عن تحديد الفجوات البحثية التي تسهم الدراسة الحالية في سدّها. وفي إطار الدراسة الحالية الموسومة بـ </w:t>
      </w:r>
      <w:r w:rsidRPr="00CC180C">
        <w:rPr>
          <w:rFonts w:ascii="Simplified Arabic" w:eastAsia="Times New Roman" w:hAnsi="Simplified Arabic" w:cs="Simplified Arabic" w:hint="cs"/>
          <w:kern w:val="0"/>
          <w:sz w:val="28"/>
          <w:szCs w:val="28"/>
          <w14:ligatures w14:val="none"/>
        </w:rPr>
        <w:t>"</w:t>
      </w:r>
      <w:r w:rsidRPr="00CC180C">
        <w:rPr>
          <w:rFonts w:ascii="Simplified Arabic" w:eastAsia="Times New Roman" w:hAnsi="Simplified Arabic" w:cs="Simplified Arabic" w:hint="cs"/>
          <w:kern w:val="0"/>
          <w:sz w:val="28"/>
          <w:szCs w:val="28"/>
          <w:rtl/>
          <w14:ligatures w14:val="none"/>
        </w:rPr>
        <w:t xml:space="preserve">دور المحتوى الرقمي الحكومي في الترويج للتراث السعودي ضمن </w:t>
      </w:r>
      <w:r w:rsidRPr="00CC180C">
        <w:rPr>
          <w:rFonts w:ascii="Simplified Arabic" w:eastAsia="Times New Roman" w:hAnsi="Simplified Arabic" w:cs="Simplified Arabic" w:hint="cs"/>
          <w:kern w:val="0"/>
          <w:sz w:val="28"/>
          <w:szCs w:val="28"/>
          <w:rtl/>
          <w14:ligatures w14:val="none"/>
        </w:rPr>
        <w:lastRenderedPageBreak/>
        <w:t>رؤية 2030</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دراسة تحليلية لحملات أعوام الثقافة"، فإن متغيرات البحث تتمحور حول متغيرين رئيسين: المتغير المستقل وهو </w:t>
      </w:r>
      <w:r w:rsidRPr="00CC180C">
        <w:rPr>
          <w:rFonts w:ascii="Simplified Arabic" w:eastAsia="Times New Roman" w:hAnsi="Simplified Arabic" w:cs="Simplified Arabic" w:hint="cs"/>
          <w:b/>
          <w:bCs/>
          <w:kern w:val="0"/>
          <w:sz w:val="28"/>
          <w:szCs w:val="28"/>
          <w:rtl/>
          <w14:ligatures w14:val="none"/>
        </w:rPr>
        <w:t>المحتوى الرقمي</w:t>
      </w:r>
      <w:r w:rsidRPr="00CC180C">
        <w:rPr>
          <w:rFonts w:ascii="Simplified Arabic" w:eastAsia="Times New Roman" w:hAnsi="Simplified Arabic" w:cs="Simplified Arabic" w:hint="cs"/>
          <w:kern w:val="0"/>
          <w:sz w:val="28"/>
          <w:szCs w:val="28"/>
          <w:rtl/>
          <w14:ligatures w14:val="none"/>
        </w:rPr>
        <w:t xml:space="preserve">، والمتغير التابع وهو </w:t>
      </w:r>
      <w:r w:rsidRPr="00CC180C">
        <w:rPr>
          <w:rFonts w:ascii="Simplified Arabic" w:eastAsia="Times New Roman" w:hAnsi="Simplified Arabic" w:cs="Simplified Arabic" w:hint="cs"/>
          <w:b/>
          <w:bCs/>
          <w:kern w:val="0"/>
          <w:sz w:val="28"/>
          <w:szCs w:val="28"/>
          <w:rtl/>
          <w14:ligatures w14:val="none"/>
        </w:rPr>
        <w:t>الترويج للتراث</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وقد حرص الباحث على تقسيم هذا الفصل إلى محورين أساسيين: يتناول المحور الأول الدراسات المتعلقة بالمحتوى الرقمي وعلاقته بمتغيرات أخرى، بينما يتناول المحور الثاني الدراسات المتعلقة بالترويج للتراث وعلاقته بمتغيرات أخرى، ثم يُختتم الفصل بتعقيب شامل على الدراسات السابقة يُبرز أوجه الاتفاق والاختلاف بينها وبين الدراسة الحالية</w:t>
      </w:r>
      <w:r w:rsidRPr="00CC180C">
        <w:rPr>
          <w:rFonts w:ascii="Simplified Arabic" w:eastAsia="Times New Roman" w:hAnsi="Simplified Arabic" w:cs="Simplified Arabic" w:hint="cs"/>
          <w:kern w:val="0"/>
          <w:sz w:val="28"/>
          <w:szCs w:val="28"/>
          <w14:ligatures w14:val="none"/>
        </w:rPr>
        <w:t>.</w:t>
      </w:r>
    </w:p>
    <w:p w14:paraId="15F003D2" w14:textId="77777777"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8" w:name="_Toc225935170"/>
      <w:r w:rsidRPr="00CC180C">
        <w:rPr>
          <w:rFonts w:ascii="Simplified Arabic" w:eastAsia="Times New Roman" w:hAnsi="Simplified Arabic" w:cs="Simplified Arabic" w:hint="cs"/>
          <w:b/>
          <w:bCs/>
          <w:kern w:val="0"/>
          <w:sz w:val="28"/>
          <w:szCs w:val="28"/>
          <w:rtl/>
          <w14:ligatures w14:val="none"/>
        </w:rPr>
        <w:t>المحور الأول: دراسات تناولت المتغير المستقل (المحتوى الرقمي) وعلاقته بمتغيرات أخرى</w:t>
      </w:r>
      <w:bookmarkEnd w:id="18"/>
    </w:p>
    <w:p w14:paraId="33CF3CFF"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19" w:name="_Toc225935171"/>
      <w:r w:rsidRPr="00CC180C">
        <w:rPr>
          <w:rFonts w:ascii="Simplified Arabic" w:eastAsia="Times New Roman" w:hAnsi="Simplified Arabic" w:cs="Simplified Arabic" w:hint="cs"/>
          <w:b/>
          <w:bCs/>
          <w:kern w:val="0"/>
          <w:sz w:val="28"/>
          <w:szCs w:val="28"/>
          <w:rtl/>
          <w14:ligatures w14:val="none"/>
        </w:rPr>
        <w:t>دراسة الشاعر (2025) بعنوان: "الذكاء الاصطناعي والمحتوى الرقمي</w:t>
      </w:r>
      <w:r w:rsidRPr="00CC180C">
        <w:rPr>
          <w:rFonts w:ascii="Simplified Arabic" w:eastAsia="Times New Roman" w:hAnsi="Simplified Arabic" w:cs="Simplified Arabic" w:hint="cs"/>
          <w:b/>
          <w:bCs/>
          <w:kern w:val="0"/>
          <w:sz w:val="28"/>
          <w:szCs w:val="28"/>
          <w14:ligatures w14:val="none"/>
        </w:rPr>
        <w:t>"</w:t>
      </w:r>
      <w:bookmarkEnd w:id="19"/>
    </w:p>
    <w:p w14:paraId="3063D4D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الدور المتنامي لتقنيات الذكاء الاصطناعي في تصميم المحتوى الرقمي وتطوير التعليم الإلكتروني، وتوضيح كيفية إسهام الذكاء الاصطناعي في تجاوز قيود نقل المعلومات من خلال تحليل البيانات التعليمية وتقديم محتوى متكيّف مع احتياجات المتعلم عبر أنظمة التدريس الذكية. واستخدمت الدراسة المنهج الوصفي التحليلي. وتوصّلت نتائج الدراسة إلى أن الاستخدام الفعّال للذكاء الاصطناعي في صناعة المحتوى الرقمي يتطلب رؤية واضحة ومهارات تفكير متقدمة ومنهجية تعليمية تتسم بالتكامل والمرونة في ضوء المتغيرات المعاصرة. كما أكدت أن الذكاء الاصطناعي أسهم في تعديل السلوك الإنساني وتعزيز التفكير النقدي والإبداعي. وأوصت الدراسة بأهمية التخطيط الاستراتيجي لتوظيف الذكاء الاصطناعي ضمن منظومات تعليمية متكاملة تراعي الأبعاد المعرفية والوجدانية والاجتماعية</w:t>
      </w:r>
      <w:r w:rsidRPr="00CC180C">
        <w:rPr>
          <w:rFonts w:ascii="Simplified Arabic" w:eastAsia="Times New Roman" w:hAnsi="Simplified Arabic" w:cs="Simplified Arabic" w:hint="cs"/>
          <w:kern w:val="0"/>
          <w:sz w:val="28"/>
          <w:szCs w:val="28"/>
          <w14:ligatures w14:val="none"/>
        </w:rPr>
        <w:t>.</w:t>
      </w:r>
    </w:p>
    <w:p w14:paraId="7EFA89D0"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0" w:name="_Toc225935172"/>
      <w:r w:rsidRPr="00CC180C">
        <w:rPr>
          <w:rFonts w:ascii="Simplified Arabic" w:eastAsia="Times New Roman" w:hAnsi="Simplified Arabic" w:cs="Simplified Arabic" w:hint="cs"/>
          <w:b/>
          <w:bCs/>
          <w:kern w:val="0"/>
          <w:sz w:val="28"/>
          <w:szCs w:val="28"/>
          <w:rtl/>
          <w14:ligatures w14:val="none"/>
        </w:rPr>
        <w:t>دراسة الرابغي (2016) بعنوان: "دور المحتوى الرقمي العربي في الوصول إلى مجتمع المعرفة: دراسة حالة لمبادرة الملك عبدالله للمحتوى العربي</w:t>
      </w:r>
      <w:r w:rsidRPr="00CC180C">
        <w:rPr>
          <w:rFonts w:ascii="Simplified Arabic" w:eastAsia="Times New Roman" w:hAnsi="Simplified Arabic" w:cs="Simplified Arabic" w:hint="cs"/>
          <w:b/>
          <w:bCs/>
          <w:kern w:val="0"/>
          <w:sz w:val="28"/>
          <w:szCs w:val="28"/>
          <w14:ligatures w14:val="none"/>
        </w:rPr>
        <w:t>"</w:t>
      </w:r>
      <w:bookmarkEnd w:id="20"/>
    </w:p>
    <w:p w14:paraId="6C1AAC85" w14:textId="76AD064A" w:rsidR="00CC180C" w:rsidRPr="00CC180C" w:rsidRDefault="00CC180C" w:rsidP="00DC5A7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هدفت الدراسة إلى التعرف على دور المحتوى الرقمي العربي في تعزيز الحضور الفاعل في مجتمع المعرفة، وتسليط الضوء على مبادرة الملك عبدالله للمحتوى العربي من حيث مفهومها وإنجازاتها وخططها المستقبلية. واستخدمت الدراسة أسلوب دراسة الحالة، وتم التواصل مع المسؤولين في المبادرة لاستقصاء معلومات موثقة. وتوصّلت نتائج الدراسة إلى أن المجتمع المعرفي القائم على اقتصاد المعرفة يتطلب </w:t>
      </w:r>
      <w:r w:rsidRPr="00CC180C">
        <w:rPr>
          <w:rFonts w:ascii="Simplified Arabic" w:eastAsia="Times New Roman" w:hAnsi="Simplified Arabic" w:cs="Simplified Arabic" w:hint="cs"/>
          <w:kern w:val="0"/>
          <w:sz w:val="28"/>
          <w:szCs w:val="28"/>
          <w:rtl/>
          <w14:ligatures w14:val="none"/>
        </w:rPr>
        <w:lastRenderedPageBreak/>
        <w:t>توافر محتوى رقمي غني ومتنوع، وأن مبادرة الملك عبدالله ساهمت في رفع نسبة المحتوى العربي على الإنترنت من 0.3% إلى 3%، كما أن هناك جهوداً تعاونية عديدة بين المبادرة والجهات ذات العلاقة على المستويات المحلية والإقليمية والعالمية. وأوصت الدراسة بضرورة تفعيل المبادرة بشكل أكبر من خلال تنظيم عمل تعاوني يجمع كل الجهود منعاً للتكرار والازدواجية، وتبني الطاقات الشابة وتحفيز قدراتهم في تكوين محتوى عربي يُضاف للرصيد المعرفي</w:t>
      </w:r>
      <w:r w:rsidRPr="00CC180C">
        <w:rPr>
          <w:rFonts w:ascii="Simplified Arabic" w:eastAsia="Times New Roman" w:hAnsi="Simplified Arabic" w:cs="Simplified Arabic" w:hint="cs"/>
          <w:kern w:val="0"/>
          <w:sz w:val="28"/>
          <w:szCs w:val="28"/>
          <w14:ligatures w14:val="none"/>
        </w:rPr>
        <w:t>.</w:t>
      </w:r>
    </w:p>
    <w:p w14:paraId="56596C8A"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1" w:name="_Toc225935173"/>
      <w:r w:rsidRPr="00CC180C">
        <w:rPr>
          <w:rFonts w:ascii="Simplified Arabic" w:eastAsia="Times New Roman" w:hAnsi="Simplified Arabic" w:cs="Simplified Arabic" w:hint="cs"/>
          <w:b/>
          <w:bCs/>
          <w:kern w:val="0"/>
          <w:sz w:val="28"/>
          <w:szCs w:val="28"/>
          <w:rtl/>
          <w14:ligatures w14:val="none"/>
        </w:rPr>
        <w:t>دراسة الطيبي وسرحان (2021) بعنوان: "دور العلاقات العامة في صناعة المحتوى الرقمي لتعزيز الثقة المؤسسية: بنك فلسطين نموذجاً</w:t>
      </w:r>
      <w:r w:rsidRPr="00CC180C">
        <w:rPr>
          <w:rFonts w:ascii="Simplified Arabic" w:eastAsia="Times New Roman" w:hAnsi="Simplified Arabic" w:cs="Simplified Arabic" w:hint="cs"/>
          <w:b/>
          <w:bCs/>
          <w:kern w:val="0"/>
          <w:sz w:val="28"/>
          <w:szCs w:val="28"/>
          <w14:ligatures w14:val="none"/>
        </w:rPr>
        <w:t>"</w:t>
      </w:r>
      <w:bookmarkEnd w:id="21"/>
    </w:p>
    <w:p w14:paraId="3FA5DEA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العلاقات العامة في صناعة المحتوى الرقمي وأثره في تعزيز الثقة المؤسسية، وذلك بالتطبيق على بنك فلسطين كنموذج. وهي رسالة ماجستير غير منشورة من جامعة النجاح الوطنية بنابلس. واستخدمت الدراسة المنهج الوصفي التحليلي. وتناولت أبعاد العلاقات العامة الرقمية وآليات صناعة المحتوى وأثرها على بناء ثقة الجمهور بالمؤسسة. وتوصّلت إلى أن صناعة المحتوى الرقمي عبر أقسام العلاقات العامة تُسهم بشكل فاعل في تعزيز صورة المؤسسة وترسيخ ثقة الجمهور بها</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وأوصت بضرورة تطوير استراتيجيات المحتوى الرقمي في المؤسسات لتعزيز الثقة المؤسسية</w:t>
      </w:r>
      <w:r w:rsidRPr="00CC180C">
        <w:rPr>
          <w:rFonts w:ascii="Simplified Arabic" w:eastAsia="Times New Roman" w:hAnsi="Simplified Arabic" w:cs="Simplified Arabic" w:hint="cs"/>
          <w:kern w:val="0"/>
          <w:sz w:val="28"/>
          <w:szCs w:val="28"/>
          <w14:ligatures w14:val="none"/>
        </w:rPr>
        <w:t>.</w:t>
      </w:r>
    </w:p>
    <w:p w14:paraId="1E5C8175"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2" w:name="_Toc225935174"/>
      <w:r w:rsidRPr="00CC180C">
        <w:rPr>
          <w:rFonts w:ascii="Simplified Arabic" w:eastAsia="Times New Roman" w:hAnsi="Simplified Arabic" w:cs="Simplified Arabic" w:hint="cs"/>
          <w:b/>
          <w:bCs/>
          <w:kern w:val="0"/>
          <w:sz w:val="28"/>
          <w:szCs w:val="28"/>
          <w:rtl/>
          <w14:ligatures w14:val="none"/>
        </w:rPr>
        <w:t>دراسة قطب (2025) بعنوان: "استدامة صناع المحتوى الرقمي في بيئة التواصل الاجتماعي: دراسة إثنوغرافية حول دور رأس المال الاجتماعي</w:t>
      </w:r>
      <w:r w:rsidRPr="00CC180C">
        <w:rPr>
          <w:rFonts w:ascii="Simplified Arabic" w:eastAsia="Times New Roman" w:hAnsi="Simplified Arabic" w:cs="Simplified Arabic" w:hint="cs"/>
          <w:b/>
          <w:bCs/>
          <w:kern w:val="0"/>
          <w:sz w:val="28"/>
          <w:szCs w:val="28"/>
          <w14:ligatures w14:val="none"/>
        </w:rPr>
        <w:t>"</w:t>
      </w:r>
      <w:bookmarkEnd w:id="22"/>
    </w:p>
    <w:p w14:paraId="5DDF1FA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هدفت الدراسة إلى التعرف على العوامل التي تؤثر على استدامة صناع المحتوى الرقمي في بيئة التواصل الاجتماعي، بأبعاده المتمثلة في (التفاعل مع الجمهور، الاستراتيجيات الاقتصادية، التكيف مع التكنولوجيا، بناء رأس المال الاجتماعي). واستخدمت الدراسة المنهجية الإثنوغرافية التي تضمنت تحليلاً كيفياً وميدانياً، من خلال مقابلات مع صناع محتوى بارزين، إلى جانب استبيان استهدف الجمهور المصري. وتكونت العينة من مجموعة من صناع المحتوى البارزين والجمهور المصري. وتوصّلت نتائج الدراسة إلى أن التنوع في استراتيجيات التوزيع والتفاعل المستمر مع الجمهور وتطوير مصادر دخل متعددة تُعدّ من العوامل الأساسية في تعزيز الاستدامة، كما أن رأس المال الاجتماعي المتمثل في العلاقات القوية مع الجمهور يلعب دوراً حاسماً في نجاح واستمرارية صناع المحتوى. وأوصت الدراسة </w:t>
      </w:r>
      <w:r w:rsidRPr="00CC180C">
        <w:rPr>
          <w:rFonts w:ascii="Simplified Arabic" w:eastAsia="Times New Roman" w:hAnsi="Simplified Arabic" w:cs="Simplified Arabic" w:hint="cs"/>
          <w:kern w:val="0"/>
          <w:sz w:val="28"/>
          <w:szCs w:val="28"/>
          <w:rtl/>
          <w14:ligatures w14:val="none"/>
        </w:rPr>
        <w:lastRenderedPageBreak/>
        <w:t>بضرورة توفير دعم من المنصات الرقمية من خلال سياسات أكثر شفافية، وتعزيز الوعي بأهمية تنويع مصادر الدخل والتكيف مع المتغيرات التقنية</w:t>
      </w:r>
      <w:r w:rsidRPr="00CC180C">
        <w:rPr>
          <w:rFonts w:ascii="Simplified Arabic" w:eastAsia="Times New Roman" w:hAnsi="Simplified Arabic" w:cs="Simplified Arabic" w:hint="cs"/>
          <w:kern w:val="0"/>
          <w:sz w:val="28"/>
          <w:szCs w:val="28"/>
          <w14:ligatures w14:val="none"/>
        </w:rPr>
        <w:t>.</w:t>
      </w:r>
    </w:p>
    <w:p w14:paraId="20304938"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3" w:name="_Toc225935175"/>
      <w:r w:rsidRPr="00CC180C">
        <w:rPr>
          <w:rFonts w:ascii="Simplified Arabic" w:eastAsia="Times New Roman" w:hAnsi="Simplified Arabic" w:cs="Simplified Arabic" w:hint="cs"/>
          <w:b/>
          <w:bCs/>
          <w:kern w:val="0"/>
          <w:sz w:val="28"/>
          <w:szCs w:val="28"/>
          <w:rtl/>
          <w14:ligatures w14:val="none"/>
        </w:rPr>
        <w:t>دراسة القحطاني (2021) بعنوان: "دور صناعة المحتوى الرقمي لمنصة إثرائي في رفع الوعي المعرفي لدى موظفي الدولة بالمملكة العربية السعودية: دراسة استطلاعية</w:t>
      </w:r>
      <w:r w:rsidRPr="00CC180C">
        <w:rPr>
          <w:rFonts w:ascii="Simplified Arabic" w:eastAsia="Times New Roman" w:hAnsi="Simplified Arabic" w:cs="Simplified Arabic" w:hint="cs"/>
          <w:b/>
          <w:bCs/>
          <w:kern w:val="0"/>
          <w:sz w:val="28"/>
          <w:szCs w:val="28"/>
          <w14:ligatures w14:val="none"/>
        </w:rPr>
        <w:t>"</w:t>
      </w:r>
      <w:bookmarkEnd w:id="23"/>
    </w:p>
    <w:p w14:paraId="7775B28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صناعة المحتوى الرقمي لمنصة "إثرائي" في رفع الوعي المعرفي لدى موظفي الدولة بالمملكة العربية السعودية. وقُدّمت الدراسة ضمن الملتقى الافتراضي الأول لجمعية المكتبات المتخصصة فرع الخليج العربي. واستخدمت الدراسة المنهج الوصفي الاستطلاعي. وتناولت أبعاد المحتوى الرقمي من حيث تصميمه وإتاحته عبر المنصات الإلكترونية ودوره في بناء المعرفة المؤسسية. وأكدت الدراسة على أهمية المنصات الرقمية الحكومية في تعزيز الوعي المعرفي وبناء القدرات المهنية لموظفي القطاع الحكومي في ضوء التحولات الرقمية المعاصرة</w:t>
      </w:r>
      <w:r w:rsidRPr="00CC180C">
        <w:rPr>
          <w:rFonts w:ascii="Simplified Arabic" w:eastAsia="Times New Roman" w:hAnsi="Simplified Arabic" w:cs="Simplified Arabic" w:hint="cs"/>
          <w:kern w:val="0"/>
          <w:sz w:val="28"/>
          <w:szCs w:val="28"/>
          <w14:ligatures w14:val="none"/>
        </w:rPr>
        <w:t>.</w:t>
      </w:r>
    </w:p>
    <w:p w14:paraId="7C65AC0C"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4" w:name="_Toc225935176"/>
      <w:r w:rsidRPr="00CC180C">
        <w:rPr>
          <w:rFonts w:ascii="Simplified Arabic" w:eastAsia="Times New Roman" w:hAnsi="Simplified Arabic" w:cs="Simplified Arabic" w:hint="cs"/>
          <w:b/>
          <w:bCs/>
          <w:kern w:val="0"/>
          <w:sz w:val="28"/>
          <w:szCs w:val="28"/>
          <w:rtl/>
          <w14:ligatures w14:val="none"/>
        </w:rPr>
        <w:t>دراسة عبدالله والهنائي والحسيني (2024) بعنوان: "ذاكرة عمان الرقمية وجهودها في تعزيز المحتوى الرقمي العماني والعربي</w:t>
      </w:r>
      <w:r w:rsidRPr="00CC180C">
        <w:rPr>
          <w:rFonts w:ascii="Simplified Arabic" w:eastAsia="Times New Roman" w:hAnsi="Simplified Arabic" w:cs="Simplified Arabic" w:hint="cs"/>
          <w:b/>
          <w:bCs/>
          <w:kern w:val="0"/>
          <w:sz w:val="28"/>
          <w:szCs w:val="28"/>
          <w14:ligatures w14:val="none"/>
        </w:rPr>
        <w:t>"</w:t>
      </w:r>
      <w:bookmarkEnd w:id="24"/>
    </w:p>
    <w:p w14:paraId="6386369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جهود ذاكرة عُمان الرقمية في تعزيز المحتوى الرقمي العماني والعربي، والإسهام في إثراء المحتوى الرقمي من خلال حفظ التراث الفكري العماني وإتاحته رقمياً</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واستخدمت الدراسة المنهج الوصفي. وتوصّلت النتائج إلى أن ذاكرة عمان الرقمية ساهمت بشكل فاعل في التعريف بالتراث الفكري العماني كتراث جدير بالحفظ، وتمكين المهتمين من الوصول والاطلاع عليه عبر المكتبة الرقمية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وأوصت الدراسة بتفعيل دور القطاع الخاص في دعم الجهود المبذولة في الحفاظ على التراث الثقافي الرقمي</w:t>
      </w:r>
      <w:r w:rsidRPr="00CC180C">
        <w:rPr>
          <w:rFonts w:ascii="Simplified Arabic" w:eastAsia="Times New Roman" w:hAnsi="Simplified Arabic" w:cs="Simplified Arabic" w:hint="cs"/>
          <w:kern w:val="0"/>
          <w:sz w:val="28"/>
          <w:szCs w:val="28"/>
          <w14:ligatures w14:val="none"/>
        </w:rPr>
        <w:t>.</w:t>
      </w:r>
    </w:p>
    <w:p w14:paraId="2F45700D"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5" w:name="_Toc225935177"/>
      <w:r w:rsidRPr="00CC180C">
        <w:rPr>
          <w:rFonts w:ascii="Simplified Arabic" w:eastAsia="Times New Roman" w:hAnsi="Simplified Arabic" w:cs="Simplified Arabic" w:hint="cs"/>
          <w:b/>
          <w:bCs/>
          <w:kern w:val="0"/>
          <w:sz w:val="28"/>
          <w:szCs w:val="28"/>
          <w:rtl/>
          <w14:ligatures w14:val="none"/>
        </w:rPr>
        <w:t>دراسة بادي وبادي (2020) بعنوان: "إثراء المحتوى الرقمي العربي من خلال المنصات الإلكترونية العربية</w:t>
      </w:r>
      <w:r w:rsidRPr="00CC180C">
        <w:rPr>
          <w:rFonts w:ascii="Simplified Arabic" w:eastAsia="Times New Roman" w:hAnsi="Simplified Arabic" w:cs="Simplified Arabic" w:hint="cs"/>
          <w:b/>
          <w:bCs/>
          <w:kern w:val="0"/>
          <w:sz w:val="28"/>
          <w:szCs w:val="28"/>
          <w14:ligatures w14:val="none"/>
        </w:rPr>
        <w:t>"</w:t>
      </w:r>
      <w:bookmarkEnd w:id="25"/>
    </w:p>
    <w:p w14:paraId="15E85FA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المنصات الإلكترونية العربية في إثراء المحتوى الرقمي العربي على شبكة الإنترنت</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واستخدمت الدراسة المنهج الوصفي التوثيقي التحليلي بهدف جمع البيانات من الأدبيات والدراسات السابقة والمراجع العلمية ذات الصلة. وتوصّلت النتائج إلى أن صناعة المحتوى الرقمي العربي </w:t>
      </w:r>
      <w:r w:rsidRPr="00CC180C">
        <w:rPr>
          <w:rFonts w:ascii="Simplified Arabic" w:eastAsia="Times New Roman" w:hAnsi="Simplified Arabic" w:cs="Simplified Arabic" w:hint="cs"/>
          <w:kern w:val="0"/>
          <w:sz w:val="28"/>
          <w:szCs w:val="28"/>
          <w:rtl/>
          <w14:ligatures w14:val="none"/>
        </w:rPr>
        <w:lastRenderedPageBreak/>
        <w:t>تواجه معوقات كبيرة منها غياب الاستراتيجية الواضحة وانعدام الاهتمام بالبحث والتطوير وضعف البيئة التمكينية، وأن المنصات الإلكترونية العربية أصبحت غير محصورة بفئة دون أخرى وتسهم في تقليص الفجوة الرقمية. وأوصت بضرورة تطوير محركات بحث عربية أصيلة وتعزيز الاستثمار في المحتوى الرقمي العربي</w:t>
      </w:r>
      <w:r w:rsidRPr="00CC180C">
        <w:rPr>
          <w:rFonts w:ascii="Simplified Arabic" w:eastAsia="Times New Roman" w:hAnsi="Simplified Arabic" w:cs="Simplified Arabic" w:hint="cs"/>
          <w:kern w:val="0"/>
          <w:sz w:val="28"/>
          <w:szCs w:val="28"/>
          <w14:ligatures w14:val="none"/>
        </w:rPr>
        <w:t>.</w:t>
      </w:r>
    </w:p>
    <w:p w14:paraId="26990024"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6" w:name="_Toc225935178"/>
      <w:r w:rsidRPr="00CC180C">
        <w:rPr>
          <w:rFonts w:ascii="Simplified Arabic" w:eastAsia="Times New Roman" w:hAnsi="Simplified Arabic" w:cs="Simplified Arabic" w:hint="cs"/>
          <w:b/>
          <w:bCs/>
          <w:kern w:val="0"/>
          <w:sz w:val="28"/>
          <w:szCs w:val="28"/>
          <w:rtl/>
          <w14:ligatures w14:val="none"/>
        </w:rPr>
        <w:t>دراسة مجاهد (2025) بعنوان: "تأثير صناع المحتوى الرقمي على الحياة اليومية للمرأة العاملة: دراسة سوسيولوجية على عينة من العاملات بجامعة المنصورة</w:t>
      </w:r>
      <w:r w:rsidRPr="00CC180C">
        <w:rPr>
          <w:rFonts w:ascii="Simplified Arabic" w:eastAsia="Times New Roman" w:hAnsi="Simplified Arabic" w:cs="Simplified Arabic" w:hint="cs"/>
          <w:b/>
          <w:bCs/>
          <w:kern w:val="0"/>
          <w:sz w:val="28"/>
          <w:szCs w:val="28"/>
          <w14:ligatures w14:val="none"/>
        </w:rPr>
        <w:t>"</w:t>
      </w:r>
      <w:bookmarkEnd w:id="26"/>
    </w:p>
    <w:p w14:paraId="56A73C25"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صناع المحتوى الرقمي (المؤثرين الاجتماعيين) وتأثيرهم على الحياة اليومية للمرأة العاملة، بأبعاده المتمثلة في (أسباب الانتشار، القضايا والموضوعات المفضلة، الانعكاسات الاجتماعية). واستخدمت الدراسة المنهج الوصفي التحليلي. وتكونت العينة من (250) سيدة عاملة بجامعة المنصورة من حملة المؤهلات المتوسطة والجامعية والتعليم فوق الجامعي. واعتمدت الدراسة على نظرية الفعل التواصلي لهابرماس ونظرية الاستخدامات والإشباعات كإطار نظري</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وتوصّلت نتائج الدراسة إلى تنوع دوافع متابعة السيدات العاملات لمواقع صناع المحتوى الرقمي بين دوافع طقوسية كالتسلية والترفيه، ودوافع نفعية كالحصول على معلومات جديدة واكتساب خبرات حياتية. كما كشفت أن أكثر صناع المحتوى متابعة هم العاملون في مجال الطبخ والاهتمامات الأسرية ثم الأمور الدينية ثم الصحية. وأوصت بتعزيز المحتوى الرقمي الهادف الذي يُسهم في بناء المعارف وتطوير المهارات</w:t>
      </w:r>
      <w:r w:rsidRPr="00CC180C">
        <w:rPr>
          <w:rFonts w:ascii="Simplified Arabic" w:eastAsia="Times New Roman" w:hAnsi="Simplified Arabic" w:cs="Simplified Arabic" w:hint="cs"/>
          <w:kern w:val="0"/>
          <w:sz w:val="28"/>
          <w:szCs w:val="28"/>
          <w14:ligatures w14:val="none"/>
        </w:rPr>
        <w:t>.</w:t>
      </w:r>
    </w:p>
    <w:p w14:paraId="70C0246E"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7" w:name="_Toc225935179"/>
      <w:r w:rsidRPr="00CC180C">
        <w:rPr>
          <w:rFonts w:ascii="Simplified Arabic" w:eastAsia="Times New Roman" w:hAnsi="Simplified Arabic" w:cs="Simplified Arabic" w:hint="cs"/>
          <w:b/>
          <w:bCs/>
          <w:kern w:val="0"/>
          <w:sz w:val="28"/>
          <w:szCs w:val="28"/>
          <w:rtl/>
          <w14:ligatures w14:val="none"/>
        </w:rPr>
        <w:t>دراسة محمد (2023) بعنوان: "دور المحتوى الرقمي للصحف المصرية في تشكيل تصورات الجمهور حول قضايا التغيرات المناخية: دراسة ميدانية</w:t>
      </w:r>
      <w:r w:rsidRPr="00CC180C">
        <w:rPr>
          <w:rFonts w:ascii="Simplified Arabic" w:eastAsia="Times New Roman" w:hAnsi="Simplified Arabic" w:cs="Simplified Arabic" w:hint="cs"/>
          <w:b/>
          <w:bCs/>
          <w:kern w:val="0"/>
          <w:sz w:val="28"/>
          <w:szCs w:val="28"/>
          <w14:ligatures w14:val="none"/>
        </w:rPr>
        <w:t>"</w:t>
      </w:r>
      <w:bookmarkEnd w:id="27"/>
    </w:p>
    <w:p w14:paraId="164276B1"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هدفت الدراسة إلى التعرف على دور المحتوى الرقمي للصحف المصرية في تشكيل تصورات الجمهور حول قضايا التغيرات المناخية. واستخدمت الدراسة منهج المسح الميداني من خلال استبيانات طُبّقت على عينة من القراء، إضافة إلى التحليل الكيفي للمضامين المنشورة في عدد من الصحف المصرية الإلكترونية. وتوصّلت النتائج إلى أن معظم القراء يتابعون بانتظام التغطيات الخاصة بالتغيرات المناخية، وأن هناك علاقة مباشرة بين كثافة التغطية الرقمية وارتفاع مستوى وعي القراء خاصة حين تُقدَّم البيانات العلمية والأرقام الدقيقة، كما أن الصحف الرقمية غالباً ما تركز على الأبعاد السياسية والاقتصادية أكثر </w:t>
      </w:r>
      <w:r w:rsidRPr="00CC180C">
        <w:rPr>
          <w:rFonts w:ascii="Simplified Arabic" w:eastAsia="Times New Roman" w:hAnsi="Simplified Arabic" w:cs="Simplified Arabic" w:hint="cs"/>
          <w:kern w:val="0"/>
          <w:sz w:val="28"/>
          <w:szCs w:val="28"/>
          <w:rtl/>
          <w14:ligatures w14:val="none"/>
        </w:rPr>
        <w:lastRenderedPageBreak/>
        <w:t>من البُعد العلمي والتقني. وأوصت الدراسة بضرورة تطوير استراتيجيات إعلامية متخصصة تُعزز من حضور البُعد العلمي في الخطاب الإعلامي وتشجّع على تقديم حلول عملية</w:t>
      </w:r>
      <w:r w:rsidRPr="00CC180C">
        <w:rPr>
          <w:rFonts w:ascii="Simplified Arabic" w:eastAsia="Times New Roman" w:hAnsi="Simplified Arabic" w:cs="Simplified Arabic" w:hint="cs"/>
          <w:kern w:val="0"/>
          <w:sz w:val="28"/>
          <w:szCs w:val="28"/>
          <w14:ligatures w14:val="none"/>
        </w:rPr>
        <w:t>.</w:t>
      </w:r>
    </w:p>
    <w:p w14:paraId="605AFCE5"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8" w:name="_Toc225935180"/>
      <w:r w:rsidRPr="00CC180C">
        <w:rPr>
          <w:rFonts w:ascii="Simplified Arabic" w:eastAsia="Times New Roman" w:hAnsi="Simplified Arabic" w:cs="Simplified Arabic" w:hint="cs"/>
          <w:b/>
          <w:bCs/>
          <w:kern w:val="0"/>
          <w:sz w:val="28"/>
          <w:szCs w:val="28"/>
          <w:rtl/>
          <w14:ligatures w14:val="none"/>
        </w:rPr>
        <w:t xml:space="preserve">دراسة </w:t>
      </w:r>
      <w:r w:rsidRPr="00CC180C">
        <w:rPr>
          <w:rFonts w:ascii="Simplified Arabic" w:eastAsia="Times New Roman" w:hAnsi="Simplified Arabic" w:cs="Simplified Arabic" w:hint="cs"/>
          <w:b/>
          <w:bCs/>
          <w:kern w:val="0"/>
          <w:sz w:val="28"/>
          <w:szCs w:val="28"/>
          <w14:ligatures w14:val="none"/>
        </w:rPr>
        <w:t xml:space="preserve">Lou &amp; Xie (2021)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"Something Social, Something Entertaining? How Digital Content Marketing Augments Consumer Experience and Brand Loyalty"</w:t>
      </w:r>
      <w:bookmarkEnd w:id="28"/>
    </w:p>
    <w:p w14:paraId="1DA4C15F"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كيفية تعزيز تسويق المحتوى الرقمي لتجربة المستهلك وولائه للعلامة التجارية، بأبعاده المتمثلة في (المحتوى الاجتماعي، المحتوى الترفيهي، تجربة المستهلك)</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ونُشرت في مجلة</w:t>
      </w:r>
      <w:r w:rsidRPr="00CC180C">
        <w:rPr>
          <w:rFonts w:ascii="Simplified Arabic" w:eastAsia="Times New Roman" w:hAnsi="Simplified Arabic" w:cs="Simplified Arabic" w:hint="cs"/>
          <w:kern w:val="0"/>
          <w:sz w:val="28"/>
          <w:szCs w:val="28"/>
          <w14:ligatures w14:val="none"/>
        </w:rPr>
        <w:t xml:space="preserve"> International Journal of Advertising. </w:t>
      </w:r>
      <w:r w:rsidRPr="00CC180C">
        <w:rPr>
          <w:rFonts w:ascii="Simplified Arabic" w:eastAsia="Times New Roman" w:hAnsi="Simplified Arabic" w:cs="Simplified Arabic" w:hint="cs"/>
          <w:kern w:val="0"/>
          <w:sz w:val="28"/>
          <w:szCs w:val="28"/>
          <w:rtl/>
          <w14:ligatures w14:val="none"/>
        </w:rPr>
        <w:t>واستخدمت الدراسة المنهج الكمي التحليلي. وتوصّلت النتائج إلى أن المحتوى الرقمي التسويقي الذي يجمع بين العناصر الاجتماعية والترفيهية يُعزز بشكل ملحوظ من تجربة المستهلك ويزيد من ولائه للعلامة التجارية. وأوصت بضرورة تصميم المحتوى الرقمي بطريقة تجمع بين القيمة المعلوماتية والترفيهية لتحقيق أقصى درجات التفاعل والولاء</w:t>
      </w:r>
      <w:r w:rsidRPr="00CC180C">
        <w:rPr>
          <w:rFonts w:ascii="Simplified Arabic" w:eastAsia="Times New Roman" w:hAnsi="Simplified Arabic" w:cs="Simplified Arabic" w:hint="cs"/>
          <w:kern w:val="0"/>
          <w:sz w:val="28"/>
          <w:szCs w:val="28"/>
          <w14:ligatures w14:val="none"/>
        </w:rPr>
        <w:t>.</w:t>
      </w:r>
    </w:p>
    <w:p w14:paraId="60363F11"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9" w:name="_Toc225935181"/>
      <w:r w:rsidRPr="00CC180C">
        <w:rPr>
          <w:rFonts w:ascii="Simplified Arabic" w:eastAsia="Times New Roman" w:hAnsi="Simplified Arabic" w:cs="Simplified Arabic" w:hint="cs"/>
          <w:b/>
          <w:bCs/>
          <w:kern w:val="0"/>
          <w:sz w:val="28"/>
          <w:szCs w:val="28"/>
          <w:rtl/>
          <w14:ligatures w14:val="none"/>
        </w:rPr>
        <w:t xml:space="preserve">دراسة </w:t>
      </w:r>
      <w:r w:rsidRPr="00CC180C">
        <w:rPr>
          <w:rFonts w:ascii="Simplified Arabic" w:eastAsia="Times New Roman" w:hAnsi="Simplified Arabic" w:cs="Simplified Arabic" w:hint="cs"/>
          <w:b/>
          <w:bCs/>
          <w:kern w:val="0"/>
          <w:sz w:val="28"/>
          <w:szCs w:val="28"/>
          <w14:ligatures w14:val="none"/>
        </w:rPr>
        <w:t xml:space="preserve">Shahbaznezhad, Dolan &amp; Rashidirad (2021)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"The Role of Social Media Content Format and Platform in Users' Engagement Behavior"</w:t>
      </w:r>
      <w:bookmarkEnd w:id="29"/>
    </w:p>
    <w:p w14:paraId="1C1E4ABE"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تنسيق المحتوى الرقمي على وسائل التواصل الاجتماعي ونوع المنصة في سلوك تفاعل المستخدمين. ونُشرت في مجلة</w:t>
      </w:r>
      <w:r w:rsidRPr="00CC180C">
        <w:rPr>
          <w:rFonts w:ascii="Simplified Arabic" w:eastAsia="Times New Roman" w:hAnsi="Simplified Arabic" w:cs="Simplified Arabic" w:hint="cs"/>
          <w:kern w:val="0"/>
          <w:sz w:val="28"/>
          <w:szCs w:val="28"/>
          <w14:ligatures w14:val="none"/>
        </w:rPr>
        <w:t xml:space="preserve"> Journal of Interactive Marketing. </w:t>
      </w:r>
      <w:r w:rsidRPr="00CC180C">
        <w:rPr>
          <w:rFonts w:ascii="Simplified Arabic" w:eastAsia="Times New Roman" w:hAnsi="Simplified Arabic" w:cs="Simplified Arabic" w:hint="cs"/>
          <w:kern w:val="0"/>
          <w:sz w:val="28"/>
          <w:szCs w:val="28"/>
          <w:rtl/>
          <w14:ligatures w14:val="none"/>
        </w:rPr>
        <w:t>واستخدمت الدراسة المنهج التحليلي الكمي لبيانات التفاعل عبر المنصات المختلفة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وتوصّلت النتائج إلى أن تنسيق المحتوى (نصي، مرئي، فيديو) ونوع المنصة يؤثران بشكل كبير على مستوى تفاعل المستخدمين، وأن المحتوى المرئي والفيديو يحققان أعلى معدلات التفاعل مقارنة بالمحتوى النصي. وأوصت بضرورة مراعاة خصائص كل منصة عند تصميم المحتوى الرقمي لتحقيق أقصى درجات التفاعل</w:t>
      </w:r>
      <w:r w:rsidRPr="00CC180C">
        <w:rPr>
          <w:rFonts w:ascii="Simplified Arabic" w:eastAsia="Times New Roman" w:hAnsi="Simplified Arabic" w:cs="Simplified Arabic" w:hint="cs"/>
          <w:kern w:val="0"/>
          <w:sz w:val="28"/>
          <w:szCs w:val="28"/>
          <w14:ligatures w14:val="none"/>
        </w:rPr>
        <w:t>.</w:t>
      </w:r>
    </w:p>
    <w:p w14:paraId="3BD35880"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0" w:name="_Toc225935182"/>
      <w:r w:rsidRPr="00CC180C">
        <w:rPr>
          <w:rFonts w:ascii="Simplified Arabic" w:eastAsia="Times New Roman" w:hAnsi="Simplified Arabic" w:cs="Simplified Arabic" w:hint="cs"/>
          <w:b/>
          <w:bCs/>
          <w:kern w:val="0"/>
          <w:sz w:val="28"/>
          <w:szCs w:val="28"/>
          <w:rtl/>
          <w14:ligatures w14:val="none"/>
        </w:rPr>
        <w:t>دراسة</w:t>
      </w:r>
      <w:r w:rsidRPr="00CC180C">
        <w:rPr>
          <w:rFonts w:ascii="Simplified Arabic" w:eastAsia="Times New Roman" w:hAnsi="Simplified Arabic" w:cs="Simplified Arabic" w:hint="cs"/>
          <w:b/>
          <w:bCs/>
          <w:kern w:val="0"/>
          <w:sz w:val="28"/>
          <w:szCs w:val="28"/>
          <w14:ligatures w14:val="none"/>
        </w:rPr>
        <w:t xml:space="preserve"> Okuonghae (2021)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"Digital Content Creation: An Emerging Role for Librarians"</w:t>
      </w:r>
      <w:bookmarkEnd w:id="30"/>
    </w:p>
    <w:p w14:paraId="35F6FD58"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lastRenderedPageBreak/>
        <w:t>هدفت الدراسة إلى التعرف على الدور الناشئ لأمناء المكتبات في صناعة المحتوى الرقمي باعتباره امتداداً طبيعياً لدورهم التحويلي في مجتمع المعرفة. ونُشرت في مجلة</w:t>
      </w:r>
      <w:r w:rsidRPr="00CC180C">
        <w:rPr>
          <w:rFonts w:ascii="Simplified Arabic" w:eastAsia="Times New Roman" w:hAnsi="Simplified Arabic" w:cs="Simplified Arabic" w:hint="cs"/>
          <w:kern w:val="0"/>
          <w:sz w:val="28"/>
          <w:szCs w:val="28"/>
          <w14:ligatures w14:val="none"/>
        </w:rPr>
        <w:t xml:space="preserve"> Library Hi Tech News. </w:t>
      </w:r>
      <w:r w:rsidRPr="00CC180C">
        <w:rPr>
          <w:rFonts w:ascii="Simplified Arabic" w:eastAsia="Times New Roman" w:hAnsi="Simplified Arabic" w:cs="Simplified Arabic" w:hint="cs"/>
          <w:kern w:val="0"/>
          <w:sz w:val="28"/>
          <w:szCs w:val="28"/>
          <w:rtl/>
          <w14:ligatures w14:val="none"/>
        </w:rPr>
        <w:t>واستخدمت الدراسة المنهج الوصفي التحليلي. وتوصّلت النتائج إلى أن المكتبات بوصفها عوامل تحويلية قد أسهمت بشكل كبير في إنشاء المحتوى الرقمي، وأن أمناء المكتبات أصبحوا يؤدون دوراً محورياً في صناعة المحتوى الرقمي وإتاحته. وأوصت بتعزيز مهارات أمناء المكتبات في مجال صناعة المحتوى الرقمي ومواكبة التحولات التقنية</w:t>
      </w:r>
      <w:r w:rsidRPr="00CC180C">
        <w:rPr>
          <w:rFonts w:ascii="Simplified Arabic" w:eastAsia="Times New Roman" w:hAnsi="Simplified Arabic" w:cs="Simplified Arabic" w:hint="cs"/>
          <w:kern w:val="0"/>
          <w:sz w:val="28"/>
          <w:szCs w:val="28"/>
          <w14:ligatures w14:val="none"/>
        </w:rPr>
        <w:t>.</w:t>
      </w:r>
    </w:p>
    <w:p w14:paraId="48EC808E"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1" w:name="_Toc225935183"/>
      <w:r w:rsidRPr="00CC180C">
        <w:rPr>
          <w:rFonts w:ascii="Simplified Arabic" w:eastAsia="Times New Roman" w:hAnsi="Simplified Arabic" w:cs="Simplified Arabic" w:hint="cs"/>
          <w:b/>
          <w:bCs/>
          <w:kern w:val="0"/>
          <w:sz w:val="28"/>
          <w:szCs w:val="28"/>
          <w:rtl/>
          <w14:ligatures w14:val="none"/>
        </w:rPr>
        <w:t>دراسة</w:t>
      </w:r>
      <w:r w:rsidRPr="00CC180C">
        <w:rPr>
          <w:rFonts w:ascii="Simplified Arabic" w:eastAsia="Times New Roman" w:hAnsi="Simplified Arabic" w:cs="Simplified Arabic" w:hint="cs"/>
          <w:b/>
          <w:bCs/>
          <w:kern w:val="0"/>
          <w:sz w:val="28"/>
          <w:szCs w:val="28"/>
          <w14:ligatures w14:val="none"/>
        </w:rPr>
        <w:t xml:space="preserve"> Lopes &amp; Casais (2022)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"Digital Content Marketing: Conceptual Review and Recommendations for Practitioners"</w:t>
      </w:r>
      <w:bookmarkEnd w:id="31"/>
    </w:p>
    <w:p w14:paraId="340CAD31"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مفهوم تسويق المحتوى الرقمي من خلال مراجعة مفاهيمية شاملة، وتقديم توصيات عملية للممارسين. ونُشرت في مجلة</w:t>
      </w:r>
      <w:r w:rsidRPr="00CC180C">
        <w:rPr>
          <w:rFonts w:ascii="Simplified Arabic" w:eastAsia="Times New Roman" w:hAnsi="Simplified Arabic" w:cs="Simplified Arabic" w:hint="cs"/>
          <w:kern w:val="0"/>
          <w:sz w:val="28"/>
          <w:szCs w:val="28"/>
          <w14:ligatures w14:val="none"/>
        </w:rPr>
        <w:t xml:space="preserve"> Academy of Strategic Management Journal. </w:t>
      </w:r>
      <w:r w:rsidRPr="00CC180C">
        <w:rPr>
          <w:rFonts w:ascii="Simplified Arabic" w:eastAsia="Times New Roman" w:hAnsi="Simplified Arabic" w:cs="Simplified Arabic" w:hint="cs"/>
          <w:kern w:val="0"/>
          <w:sz w:val="28"/>
          <w:szCs w:val="28"/>
          <w:rtl/>
          <w14:ligatures w14:val="none"/>
        </w:rPr>
        <w:t>واستخدمت الدراسة منهج المراجعة المفاهيمية المنهجية للأدبيات العلمية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وتوصّلت النتائج إلى أن تسويق المحتوى الرقمي يمثل نهجاً استراتيجياً يتجاوز مجرد الإعلان التقليدي ويركز على تقديم قيمة حقيقية للجمهور المستهدف، وأن نجاحه يعتمد على الفهم العميق لاحتياجات الجمهور واختيار القنوات الملائمة. وأوصت الدراسة بضرورة تبني استراتيجيات محتوى رقمي متكاملة تراعي خصوصية الجمهور المستهدف والمنصات المستخدمة</w:t>
      </w:r>
      <w:r w:rsidRPr="00CC180C">
        <w:rPr>
          <w:rFonts w:ascii="Simplified Arabic" w:eastAsia="Times New Roman" w:hAnsi="Simplified Arabic" w:cs="Simplified Arabic" w:hint="cs"/>
          <w:kern w:val="0"/>
          <w:sz w:val="28"/>
          <w:szCs w:val="28"/>
          <w14:ligatures w14:val="none"/>
        </w:rPr>
        <w:t>.</w:t>
      </w:r>
    </w:p>
    <w:p w14:paraId="396EB54A"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2" w:name="_Toc225935184"/>
      <w:r w:rsidRPr="00CC180C">
        <w:rPr>
          <w:rFonts w:ascii="Simplified Arabic" w:eastAsia="Times New Roman" w:hAnsi="Simplified Arabic" w:cs="Simplified Arabic" w:hint="cs"/>
          <w:b/>
          <w:bCs/>
          <w:kern w:val="0"/>
          <w:sz w:val="28"/>
          <w:szCs w:val="28"/>
          <w:rtl/>
          <w14:ligatures w14:val="none"/>
        </w:rPr>
        <w:t>دراسة</w:t>
      </w:r>
      <w:r w:rsidRPr="00CC180C">
        <w:rPr>
          <w:rFonts w:ascii="Simplified Arabic" w:eastAsia="Times New Roman" w:hAnsi="Simplified Arabic" w:cs="Simplified Arabic" w:hint="cs"/>
          <w:b/>
          <w:bCs/>
          <w:kern w:val="0"/>
          <w:sz w:val="28"/>
          <w:szCs w:val="28"/>
          <w14:ligatures w14:val="none"/>
        </w:rPr>
        <w:t xml:space="preserve"> Kuntari (2023)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"Pemanfaatan Media Digital dalam Pembelajaran" (</w:t>
      </w:r>
      <w:r w:rsidRPr="00CC180C">
        <w:rPr>
          <w:rFonts w:ascii="Simplified Arabic" w:eastAsia="Times New Roman" w:hAnsi="Simplified Arabic" w:cs="Simplified Arabic" w:hint="cs"/>
          <w:b/>
          <w:bCs/>
          <w:kern w:val="0"/>
          <w:sz w:val="28"/>
          <w:szCs w:val="28"/>
          <w:rtl/>
          <w14:ligatures w14:val="none"/>
        </w:rPr>
        <w:t>توظيف الوسائط الرقمية في التعلم</w:t>
      </w:r>
      <w:r w:rsidRPr="00CC180C">
        <w:rPr>
          <w:rFonts w:ascii="Simplified Arabic" w:eastAsia="Times New Roman" w:hAnsi="Simplified Arabic" w:cs="Simplified Arabic" w:hint="cs"/>
          <w:b/>
          <w:bCs/>
          <w:kern w:val="0"/>
          <w:sz w:val="28"/>
          <w:szCs w:val="28"/>
          <w14:ligatures w14:val="none"/>
        </w:rPr>
        <w:t>)</w:t>
      </w:r>
      <w:bookmarkEnd w:id="32"/>
    </w:p>
    <w:p w14:paraId="672DBA90"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كيفية توظيف الوسائط الرقمية في عمليات التعلم وأثرها على العملية التعليمية. وقُدّمت ضمن أعمال المؤتمر الوطني لكلية التربية وعلوم التدريس بالمعهد الإسلامي بسينجاي في إندونيسيا. واستخدمت الدراسة المنهج الوصفي التحليلي. وتوصّلت النتائج إلى أن الوسائط الرقمية تُعزز من فاعلية التعلم وتُسهم في تقديم المحتوى بطرق تفاعلية وجذابة تتناسب مع احتياجات المتعلمين المعاصرين</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وأوصت بضرورة دمج الوسائط الرقمية بشكل منهجي في المناهج التعليمية</w:t>
      </w:r>
      <w:r w:rsidRPr="00CC180C">
        <w:rPr>
          <w:rFonts w:ascii="Simplified Arabic" w:eastAsia="Times New Roman" w:hAnsi="Simplified Arabic" w:cs="Simplified Arabic" w:hint="cs"/>
          <w:kern w:val="0"/>
          <w:sz w:val="28"/>
          <w:szCs w:val="28"/>
          <w14:ligatures w14:val="none"/>
        </w:rPr>
        <w:t>.</w:t>
      </w:r>
    </w:p>
    <w:p w14:paraId="605B089E" w14:textId="32C85597" w:rsidR="00CC180C" w:rsidRPr="00CC180C" w:rsidRDefault="00CC180C" w:rsidP="00CC180C">
      <w:pPr>
        <w:spacing w:after="0" w:line="276" w:lineRule="auto"/>
        <w:jc w:val="both"/>
        <w:rPr>
          <w:rFonts w:ascii="Simplified Arabic" w:eastAsia="Times New Roman" w:hAnsi="Simplified Arabic" w:cs="Simplified Arabic"/>
          <w:kern w:val="0"/>
          <w:sz w:val="28"/>
          <w:szCs w:val="28"/>
          <w14:ligatures w14:val="none"/>
        </w:rPr>
      </w:pPr>
    </w:p>
    <w:p w14:paraId="1F667B3A" w14:textId="77777777"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3" w:name="_Toc225935185"/>
      <w:r w:rsidRPr="00CC180C">
        <w:rPr>
          <w:rFonts w:ascii="Simplified Arabic" w:eastAsia="Times New Roman" w:hAnsi="Simplified Arabic" w:cs="Simplified Arabic" w:hint="cs"/>
          <w:b/>
          <w:bCs/>
          <w:kern w:val="0"/>
          <w:sz w:val="28"/>
          <w:szCs w:val="28"/>
          <w:rtl/>
          <w14:ligatures w14:val="none"/>
        </w:rPr>
        <w:lastRenderedPageBreak/>
        <w:t>المحور الثاني: دراسات تناولت المتغير التابع (الترويج للتراث) وعلاقته بمتغيرات أخرى</w:t>
      </w:r>
      <w:bookmarkEnd w:id="33"/>
    </w:p>
    <w:p w14:paraId="39923424"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4" w:name="_Toc225935186"/>
      <w:r w:rsidRPr="00CC180C">
        <w:rPr>
          <w:rFonts w:ascii="Simplified Arabic" w:eastAsia="Times New Roman" w:hAnsi="Simplified Arabic" w:cs="Simplified Arabic" w:hint="cs"/>
          <w:b/>
          <w:bCs/>
          <w:kern w:val="0"/>
          <w:sz w:val="28"/>
          <w:szCs w:val="28"/>
          <w:rtl/>
          <w14:ligatures w14:val="none"/>
        </w:rPr>
        <w:t>دراسة بخيت (2025) بعنوان: "السياحة والترويج الآثاري: تعريف المنتج وتعزيز كفاءة الاتصال: دراسة تحليلية</w:t>
      </w:r>
      <w:r w:rsidRPr="00CC180C">
        <w:rPr>
          <w:rFonts w:ascii="Simplified Arabic" w:eastAsia="Times New Roman" w:hAnsi="Simplified Arabic" w:cs="Simplified Arabic" w:hint="cs"/>
          <w:b/>
          <w:bCs/>
          <w:kern w:val="0"/>
          <w:sz w:val="28"/>
          <w:szCs w:val="28"/>
          <w14:ligatures w14:val="none"/>
        </w:rPr>
        <w:t>"</w:t>
      </w:r>
      <w:bookmarkEnd w:id="34"/>
    </w:p>
    <w:p w14:paraId="38E71B4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العلاقة بين التسويق والترويج كمفهوم وفلسفة وأثرهما في الممارسة والتطبيق لتسويق وترويج المواقع الأثرية كمنتج سياحي، بأبعاده المتمثلة في (الإعلان، العلاقات العامة، ترويج المبيعات، البيع الشخصي، التسويق والترويج الإلكتروني). واستخدمت الدراسة المنهج الوصفي التحليلي للمعارف السابقة المرتبطة بإدارة التسويق والترويج السياحي. وتوصّلت نتائج الدراسة إلى أن الترويج يلعب دوراً أساسياً في تحديد رغبات كل من السائح والموقع الأثري، وأن الاستعانة بالترويج الإلكتروني الفعال يُعزز من عملية الاتصال والتفاعل الفردي ويوفر الجهد والمال والزمن، كما أن عملية الترويج السياحي للمواقع الأثرية عملية مستمرة تخضع للتجديد والمواكبة. وأوصت الدراسة بحث إدارات المواقع السياحية الأثرية على تفعيل عمليات الترويج وتفعيل أدوات المزيج الترويجي، إضافة إلى حث الجهات الرسمية على تصميم مواقع إلكترونية جاذبة تحتوي على معلومات متجددة عن المواقع السياحية الأثرية</w:t>
      </w:r>
      <w:r w:rsidRPr="00CC180C">
        <w:rPr>
          <w:rFonts w:ascii="Simplified Arabic" w:eastAsia="Times New Roman" w:hAnsi="Simplified Arabic" w:cs="Simplified Arabic" w:hint="cs"/>
          <w:kern w:val="0"/>
          <w:sz w:val="28"/>
          <w:szCs w:val="28"/>
          <w14:ligatures w14:val="none"/>
        </w:rPr>
        <w:t>.</w:t>
      </w:r>
    </w:p>
    <w:p w14:paraId="5C5D4589"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5" w:name="_Toc225935187"/>
      <w:r w:rsidRPr="00CC180C">
        <w:rPr>
          <w:rFonts w:ascii="Simplified Arabic" w:eastAsia="Times New Roman" w:hAnsi="Simplified Arabic" w:cs="Simplified Arabic" w:hint="cs"/>
          <w:b/>
          <w:bCs/>
          <w:kern w:val="0"/>
          <w:sz w:val="28"/>
          <w:szCs w:val="28"/>
          <w:rtl/>
          <w14:ligatures w14:val="none"/>
        </w:rPr>
        <w:t>دراسة عبدالعزيز والكارب (2021) بعنوان: "الترويج الإعلامي للسياحة بالسودان</w:t>
      </w:r>
      <w:r w:rsidRPr="00CC180C">
        <w:rPr>
          <w:rFonts w:ascii="Simplified Arabic" w:eastAsia="Times New Roman" w:hAnsi="Simplified Arabic" w:cs="Simplified Arabic" w:hint="cs"/>
          <w:b/>
          <w:bCs/>
          <w:kern w:val="0"/>
          <w:sz w:val="28"/>
          <w:szCs w:val="28"/>
          <w14:ligatures w14:val="none"/>
        </w:rPr>
        <w:t>"</w:t>
      </w:r>
      <w:bookmarkEnd w:id="35"/>
    </w:p>
    <w:p w14:paraId="01418D8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أهمية الترويج الإعلامي للسياحة بالسودان في الفترة من 2016-2018م، ومعرفة دور وسائل الإعلام في الترويج للسياحة ومدى كفاءة الترويج السياحي والأشكال التي يستخدمها الإعلام. واستخدمت الدراسة المنهج التاريخي والوصفي. وتوصّلت نتائج الدراسة إلى أن هناك نقصاً في الكوادر المؤهلة في مجال الإعلام السياحي لتطبيق استراتيجية النهوض بالسياحة، وأنه لا يوجد إعلام سياحي متخصص بل يندرج ضمن إطار الإعلام الجماهيري، كما أن القنوات الإعلامية لا توفر العرض الكافي للترويج للسياحة. وأوصت الدراسة بإعداد برامج تدريبية للترويج السياحي في القنوات الإعلامية الحديثة، وتدريب الكوادر الإعلامية في مجال الإعلام السياحي، وضرورة تطوير الوسائل الإعلامية من حيث المحتوى والتصميم</w:t>
      </w:r>
      <w:r w:rsidRPr="00CC180C">
        <w:rPr>
          <w:rFonts w:ascii="Simplified Arabic" w:eastAsia="Times New Roman" w:hAnsi="Simplified Arabic" w:cs="Simplified Arabic" w:hint="cs"/>
          <w:kern w:val="0"/>
          <w:sz w:val="28"/>
          <w:szCs w:val="28"/>
          <w14:ligatures w14:val="none"/>
        </w:rPr>
        <w:t>.</w:t>
      </w:r>
    </w:p>
    <w:p w14:paraId="56F7341B"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6" w:name="_Toc225935188"/>
      <w:r w:rsidRPr="00CC180C">
        <w:rPr>
          <w:rFonts w:ascii="Simplified Arabic" w:eastAsia="Times New Roman" w:hAnsi="Simplified Arabic" w:cs="Simplified Arabic" w:hint="cs"/>
          <w:b/>
          <w:bCs/>
          <w:kern w:val="0"/>
          <w:sz w:val="28"/>
          <w:szCs w:val="28"/>
          <w:rtl/>
          <w14:ligatures w14:val="none"/>
        </w:rPr>
        <w:lastRenderedPageBreak/>
        <w:t>دراسة غنيمات وعلاونة (2024) بعنوان: "دور الإعلام في الترويج السياحي: حالة الدراسة موقع التراث العالمي السلط: دراسة وصفية تحليلية</w:t>
      </w:r>
      <w:r w:rsidRPr="00CC180C">
        <w:rPr>
          <w:rFonts w:ascii="Simplified Arabic" w:eastAsia="Times New Roman" w:hAnsi="Simplified Arabic" w:cs="Simplified Arabic" w:hint="cs"/>
          <w:b/>
          <w:bCs/>
          <w:kern w:val="0"/>
          <w:sz w:val="28"/>
          <w:szCs w:val="28"/>
          <w14:ligatures w14:val="none"/>
        </w:rPr>
        <w:t>"</w:t>
      </w:r>
      <w:bookmarkEnd w:id="36"/>
    </w:p>
    <w:p w14:paraId="6496DCE7"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الإعلام ووسائله المختلفة بما فيها منصات التواصل الاجتماعي والترويج الإلكتروني في الترويج السياحي لموقع التراث العالمي مدينة السلط في الأردن. وهي رسالة ماجستير من الجامعة الهاشمية بالزرقاء. واستخدمت الدراسة المنهج الوصفي التحليلي. وتناولت أبعاد الإعلام السياحي ومنصات التواصل الاجتماعي والترويج الإلكتروني ودورها في تعزيز الترويج لمواقع التراث العالمي</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وتوصّلت إلى أن وسائل الإعلام الرقمية تلعب دوراً محورياً في التعريف بمواقع التراث وجذب الزوار إليها. وأوصت بتكثيف الجهود الإعلامية الرقمية للترويج لمواقع التراث العالمي</w:t>
      </w:r>
      <w:r w:rsidRPr="00CC180C">
        <w:rPr>
          <w:rFonts w:ascii="Simplified Arabic" w:eastAsia="Times New Roman" w:hAnsi="Simplified Arabic" w:cs="Simplified Arabic" w:hint="cs"/>
          <w:kern w:val="0"/>
          <w:sz w:val="28"/>
          <w:szCs w:val="28"/>
          <w14:ligatures w14:val="none"/>
        </w:rPr>
        <w:t>.</w:t>
      </w:r>
    </w:p>
    <w:p w14:paraId="08A2BC1D"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7" w:name="_Toc225935189"/>
      <w:r w:rsidRPr="00CC180C">
        <w:rPr>
          <w:rFonts w:ascii="Simplified Arabic" w:eastAsia="Times New Roman" w:hAnsi="Simplified Arabic" w:cs="Simplified Arabic" w:hint="cs"/>
          <w:b/>
          <w:bCs/>
          <w:kern w:val="0"/>
          <w:sz w:val="28"/>
          <w:szCs w:val="28"/>
          <w:rtl/>
          <w14:ligatures w14:val="none"/>
        </w:rPr>
        <w:t>دراسة طيبي وحمادي (2025) بعنوان: "الترويج السياحي عبر التدوين المرئي: تمثلات مدينة وهران في صور إنستغرام: دراسة سيميولوجية</w:t>
      </w:r>
      <w:r w:rsidRPr="00CC180C">
        <w:rPr>
          <w:rFonts w:ascii="Simplified Arabic" w:eastAsia="Times New Roman" w:hAnsi="Simplified Arabic" w:cs="Simplified Arabic" w:hint="cs"/>
          <w:b/>
          <w:bCs/>
          <w:kern w:val="0"/>
          <w:sz w:val="28"/>
          <w:szCs w:val="28"/>
          <w14:ligatures w14:val="none"/>
        </w:rPr>
        <w:t>"</w:t>
      </w:r>
      <w:bookmarkEnd w:id="37"/>
    </w:p>
    <w:p w14:paraId="66175FF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التدوين المرئي عبر منصة إنستغرام في الترويج السياحي لمدينة وهران بالجزائر، وتحليل تمثلات المدينة في الصور المنشورة سيميولوجياً. واستخدمت الدراسة المنهج السيميولوجي (تحليل العلامات) لتحليل الصور المرئية المنشورة على إنستغرام. وتناولت أبعاد التسويق السياحي عبر المنصات الرقمية والصور المرئية ودورها في تشكيل الصورة الذهنية للوجهات السياحية. وتوصّلت إلى أن التدوين المرئي عبر إنستغرام يُسهم بشكل فاعل في تشكيل صورة جاذبة للوجهات السياحية وترويجها لدى الجمهور المستهدف. وأوصت بتوظيف المحتوى المرئي الرقمي بشكل استراتيجي في حملات الترويج السياحي</w:t>
      </w:r>
      <w:r w:rsidRPr="00CC180C">
        <w:rPr>
          <w:rFonts w:ascii="Simplified Arabic" w:eastAsia="Times New Roman" w:hAnsi="Simplified Arabic" w:cs="Simplified Arabic" w:hint="cs"/>
          <w:kern w:val="0"/>
          <w:sz w:val="28"/>
          <w:szCs w:val="28"/>
          <w14:ligatures w14:val="none"/>
        </w:rPr>
        <w:t>.</w:t>
      </w:r>
    </w:p>
    <w:p w14:paraId="1C87B6A4"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8" w:name="_Toc225935190"/>
      <w:r w:rsidRPr="00CC180C">
        <w:rPr>
          <w:rFonts w:ascii="Simplified Arabic" w:eastAsia="Times New Roman" w:hAnsi="Simplified Arabic" w:cs="Simplified Arabic" w:hint="cs"/>
          <w:b/>
          <w:bCs/>
          <w:kern w:val="0"/>
          <w:sz w:val="28"/>
          <w:szCs w:val="28"/>
          <w:rtl/>
          <w14:ligatures w14:val="none"/>
        </w:rPr>
        <w:t>دراسة مسلم (2022) بعنوان: "دور وسائل التواصل الاجتماعي في الترويج السياحي</w:t>
      </w:r>
      <w:r w:rsidRPr="00CC180C">
        <w:rPr>
          <w:rFonts w:ascii="Simplified Arabic" w:eastAsia="Times New Roman" w:hAnsi="Simplified Arabic" w:cs="Simplified Arabic" w:hint="cs"/>
          <w:b/>
          <w:bCs/>
          <w:kern w:val="0"/>
          <w:sz w:val="28"/>
          <w:szCs w:val="28"/>
          <w14:ligatures w14:val="none"/>
        </w:rPr>
        <w:t xml:space="preserve">: </w:t>
      </w:r>
      <w:r w:rsidRPr="00CC180C">
        <w:rPr>
          <w:rFonts w:ascii="Simplified Arabic" w:eastAsia="Times New Roman" w:hAnsi="Simplified Arabic" w:cs="Simplified Arabic" w:hint="cs"/>
          <w:b/>
          <w:bCs/>
          <w:kern w:val="0"/>
          <w:sz w:val="28"/>
          <w:szCs w:val="28"/>
          <w:rtl/>
          <w14:ligatures w14:val="none"/>
        </w:rPr>
        <w:t>المتحف القومي للحضارة المصرية وطريق الكباش في مصر نموذجاً</w:t>
      </w:r>
      <w:r w:rsidRPr="00CC180C">
        <w:rPr>
          <w:rFonts w:ascii="Simplified Arabic" w:eastAsia="Times New Roman" w:hAnsi="Simplified Arabic" w:cs="Simplified Arabic" w:hint="cs"/>
          <w:b/>
          <w:bCs/>
          <w:kern w:val="0"/>
          <w:sz w:val="28"/>
          <w:szCs w:val="28"/>
          <w14:ligatures w14:val="none"/>
        </w:rPr>
        <w:t>"</w:t>
      </w:r>
      <w:bookmarkEnd w:id="38"/>
    </w:p>
    <w:p w14:paraId="1D768128"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هدفت الدراسة إلى التعرف على دور وسائل التواصل الاجتماعي (فيسبوك، تيك توك، إنستغرام) في الترويج السياحي، بالتطبيق على المتحف القومي للحضارة المصرية وطريق الكباش. واستخدمت الدراسة المنهج الوصفي التحليلي. وتناولت أبعاد الترويج السياحي عبر وسائل التواصل الاجتماعي من حيث المصداقية والفاعلية والتأثير. وتوصّلت نتائج الدراسة إلى أن وسائل التواصل الاجتماعي تُعدّ من أهم </w:t>
      </w:r>
      <w:r w:rsidRPr="00CC180C">
        <w:rPr>
          <w:rFonts w:ascii="Simplified Arabic" w:eastAsia="Times New Roman" w:hAnsi="Simplified Arabic" w:cs="Simplified Arabic" w:hint="cs"/>
          <w:kern w:val="0"/>
          <w:sz w:val="28"/>
          <w:szCs w:val="28"/>
          <w:rtl/>
          <w14:ligatures w14:val="none"/>
        </w:rPr>
        <w:lastRenderedPageBreak/>
        <w:t>وأنجح وسائل الترويج السياحي لما تحظى به من مصداقية وانتشار واسع بين مختلف شرائح المجتمع، وأنها تحقق زيادة سريعة في عرض الصور والعروض السياحية بطريقة أكثر إثارة وفاعلية. وأوصت بتكثيف الاستثمار في المحتوى الرقمي السياحي عبر منصات التواصل الاجتماعي</w:t>
      </w:r>
      <w:r w:rsidRPr="00CC180C">
        <w:rPr>
          <w:rFonts w:ascii="Simplified Arabic" w:eastAsia="Times New Roman" w:hAnsi="Simplified Arabic" w:cs="Simplified Arabic" w:hint="cs"/>
          <w:kern w:val="0"/>
          <w:sz w:val="28"/>
          <w:szCs w:val="28"/>
          <w14:ligatures w14:val="none"/>
        </w:rPr>
        <w:t>.</w:t>
      </w:r>
    </w:p>
    <w:p w14:paraId="14FC57DE"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39" w:name="_Toc225935191"/>
      <w:r w:rsidRPr="00CC180C">
        <w:rPr>
          <w:rFonts w:ascii="Simplified Arabic" w:eastAsia="Times New Roman" w:hAnsi="Simplified Arabic" w:cs="Simplified Arabic" w:hint="cs"/>
          <w:b/>
          <w:bCs/>
          <w:kern w:val="0"/>
          <w:sz w:val="28"/>
          <w:szCs w:val="28"/>
          <w:rtl/>
          <w14:ligatures w14:val="none"/>
        </w:rPr>
        <w:t xml:space="preserve">دراسة </w:t>
      </w:r>
      <w:r w:rsidRPr="00CC180C">
        <w:rPr>
          <w:rFonts w:ascii="Simplified Arabic" w:eastAsia="Times New Roman" w:hAnsi="Simplified Arabic" w:cs="Simplified Arabic" w:hint="cs"/>
          <w:b/>
          <w:bCs/>
          <w:kern w:val="0"/>
          <w:sz w:val="28"/>
          <w:szCs w:val="28"/>
          <w14:ligatures w14:val="none"/>
        </w:rPr>
        <w:t xml:space="preserve">Almakaty (2025)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"Preserving and Promoting Saudi Heritage Nationally and Globally: The Role of the Saudi Heritage Commission"</w:t>
      </w:r>
      <w:bookmarkEnd w:id="39"/>
    </w:p>
    <w:p w14:paraId="2FC3A0EA"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جهود هيئة التراث السعودية في الحفاظ على التراث السعودي والترويج له محلياً ودولياً</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ونُشرت في مجلة</w:t>
      </w:r>
      <w:r w:rsidRPr="00CC180C">
        <w:rPr>
          <w:rFonts w:ascii="Simplified Arabic" w:eastAsia="Times New Roman" w:hAnsi="Simplified Arabic" w:cs="Simplified Arabic" w:hint="cs"/>
          <w:kern w:val="0"/>
          <w:sz w:val="28"/>
          <w:szCs w:val="28"/>
          <w14:ligatures w14:val="none"/>
        </w:rPr>
        <w:t xml:space="preserve"> Journal of Ecohumanism. </w:t>
      </w:r>
      <w:r w:rsidRPr="00CC180C">
        <w:rPr>
          <w:rFonts w:ascii="Simplified Arabic" w:eastAsia="Times New Roman" w:hAnsi="Simplified Arabic" w:cs="Simplified Arabic" w:hint="cs"/>
          <w:kern w:val="0"/>
          <w:sz w:val="28"/>
          <w:szCs w:val="28"/>
          <w:rtl/>
          <w14:ligatures w14:val="none"/>
        </w:rPr>
        <w:t>واستخدمت الدراسة المنهج الوصفي التحليلي لتقييم سياسات وبرامج هيئة التراث السعودية. وتناولت أبعاد الحفظ والترويج للتراث الوطني على المستويين المحلي والعالمي في إطار رؤية المملكة 2030. وتوصّلت النتائج إلى أن هيئة التراث السعودية تؤدي دوراً محورياً في حفظ التراث السعودي والترويج له عالمياً، وأن جهودها تتكامل مع مستهدفات رؤية 2030 في تعزيز الهوية الثقافية وتنشيط السياحة التراثية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وأوصت بتعزيز الشراكات الدولية وتوظيف التقنيات الحديثة في حفظ التراث والترويج له</w:t>
      </w:r>
      <w:r w:rsidRPr="00CC180C">
        <w:rPr>
          <w:rFonts w:ascii="Simplified Arabic" w:eastAsia="Times New Roman" w:hAnsi="Simplified Arabic" w:cs="Simplified Arabic" w:hint="cs"/>
          <w:kern w:val="0"/>
          <w:sz w:val="28"/>
          <w:szCs w:val="28"/>
          <w14:ligatures w14:val="none"/>
        </w:rPr>
        <w:t>.</w:t>
      </w:r>
    </w:p>
    <w:p w14:paraId="617DCCE1"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40" w:name="_Toc225935192"/>
      <w:r w:rsidRPr="00CC180C">
        <w:rPr>
          <w:rFonts w:ascii="Simplified Arabic" w:eastAsia="Times New Roman" w:hAnsi="Simplified Arabic" w:cs="Simplified Arabic" w:hint="cs"/>
          <w:b/>
          <w:bCs/>
          <w:kern w:val="0"/>
          <w:sz w:val="28"/>
          <w:szCs w:val="28"/>
          <w:rtl/>
          <w14:ligatures w14:val="none"/>
        </w:rPr>
        <w:t xml:space="preserve">دراسة </w:t>
      </w:r>
      <w:r w:rsidRPr="00CC180C">
        <w:rPr>
          <w:rFonts w:ascii="Simplified Arabic" w:eastAsia="Times New Roman" w:hAnsi="Simplified Arabic" w:cs="Simplified Arabic" w:hint="cs"/>
          <w:b/>
          <w:bCs/>
          <w:kern w:val="0"/>
          <w:sz w:val="28"/>
          <w:szCs w:val="28"/>
          <w14:ligatures w14:val="none"/>
        </w:rPr>
        <w:t xml:space="preserve">Ali (2024)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"Fostering Cultural Heritage Awareness through VR Serious Gaming: A Study on Promoting Saudi Heritage among the Younger Generation"</w:t>
      </w:r>
      <w:bookmarkEnd w:id="40"/>
    </w:p>
    <w:p w14:paraId="3229C09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دور ألعاب الواقع الافتراضي الجادة في تعزيز الوعي بالتراث الثقافي السعودي لدى جيل الشباب، من خلال إنشاء مبانٍ تراثية ثلاثية الأبعاد تغمر اللاعبين في مشاهد ثقافية تعزز التقدير الدائم لتاريخ الفن والعمارة. ونُشرت في مجلة</w:t>
      </w:r>
      <w:r w:rsidRPr="00CC180C">
        <w:rPr>
          <w:rFonts w:ascii="Simplified Arabic" w:eastAsia="Times New Roman" w:hAnsi="Simplified Arabic" w:cs="Simplified Arabic" w:hint="cs"/>
          <w:kern w:val="0"/>
          <w:sz w:val="28"/>
          <w:szCs w:val="28"/>
          <w14:ligatures w14:val="none"/>
        </w:rPr>
        <w:t xml:space="preserve"> Journal of Infrastructure, Policy and Development. </w:t>
      </w:r>
      <w:r w:rsidRPr="00CC180C">
        <w:rPr>
          <w:rFonts w:ascii="Simplified Arabic" w:eastAsia="Times New Roman" w:hAnsi="Simplified Arabic" w:cs="Simplified Arabic" w:hint="cs"/>
          <w:kern w:val="0"/>
          <w:sz w:val="28"/>
          <w:szCs w:val="28"/>
          <w:rtl/>
          <w14:ligatures w14:val="none"/>
        </w:rPr>
        <w:t>واستخدمت الدراسة المنهج التجريبي. وتكونت العينة من (59) مشاركاً تم إغراقهم في بيئة مبانٍ تراثية باستخدام لعبة واقع افتراضي ثم استطلاع تجربتهم عبر استبيان. وتوصّلت النتائج إلى تجارب إيجابية للمشاركين وزيادة اهتمامهم بالتراث الثقافي السعودي وتقديرهم لتقنية الواقع الافتراضي، مما يُظهر إمكانية ألعاب الواقع الافتراضي في جعل التراث أكثر سهولة ومتعة للأجيال الشابة. وأوصت باستخدام تقنيات الواقع الافتراضي والألعاب الجادة كأداة فعالة للترويج للتراث الثقافي وتعزيز الوعي به</w:t>
      </w:r>
      <w:r w:rsidRPr="00CC180C">
        <w:rPr>
          <w:rFonts w:ascii="Simplified Arabic" w:eastAsia="Times New Roman" w:hAnsi="Simplified Arabic" w:cs="Simplified Arabic" w:hint="cs"/>
          <w:kern w:val="0"/>
          <w:sz w:val="28"/>
          <w:szCs w:val="28"/>
          <w14:ligatures w14:val="none"/>
        </w:rPr>
        <w:t>.</w:t>
      </w:r>
    </w:p>
    <w:p w14:paraId="4CFD2A4E"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41" w:name="_Toc225935193"/>
      <w:r w:rsidRPr="00CC180C">
        <w:rPr>
          <w:rFonts w:ascii="Simplified Arabic" w:eastAsia="Times New Roman" w:hAnsi="Simplified Arabic" w:cs="Simplified Arabic" w:hint="cs"/>
          <w:b/>
          <w:bCs/>
          <w:kern w:val="0"/>
          <w:sz w:val="28"/>
          <w:szCs w:val="28"/>
          <w:rtl/>
          <w14:ligatures w14:val="none"/>
        </w:rPr>
        <w:lastRenderedPageBreak/>
        <w:t xml:space="preserve">دراسة </w:t>
      </w:r>
      <w:r w:rsidRPr="00CC180C">
        <w:rPr>
          <w:rFonts w:ascii="Simplified Arabic" w:eastAsia="Times New Roman" w:hAnsi="Simplified Arabic" w:cs="Simplified Arabic" w:hint="cs"/>
          <w:b/>
          <w:bCs/>
          <w:kern w:val="0"/>
          <w:sz w:val="28"/>
          <w:szCs w:val="28"/>
          <w14:ligatures w14:val="none"/>
        </w:rPr>
        <w:t xml:space="preserve">Yehia &amp; Ali Amer Alkhashil (2025)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"The Power of Digital Storytelling in Preserving Saudi Cultural Heritage and Fostering National Identity"</w:t>
      </w:r>
      <w:bookmarkEnd w:id="41"/>
    </w:p>
    <w:p w14:paraId="274CD2FF"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قوة السرد القصصي الرقمي في الحفاظ على التراث الثقافي السعودي وتعزيز الهوية الوطنية، في سياق استدامة التراث الثقافي. ونُشرت في مجلة</w:t>
      </w:r>
      <w:r w:rsidRPr="00CC180C">
        <w:rPr>
          <w:rFonts w:ascii="Simplified Arabic" w:eastAsia="Times New Roman" w:hAnsi="Simplified Arabic" w:cs="Simplified Arabic" w:hint="cs"/>
          <w:kern w:val="0"/>
          <w:sz w:val="28"/>
          <w:szCs w:val="28"/>
          <w14:ligatures w14:val="none"/>
        </w:rPr>
        <w:t xml:space="preserve"> Heritage &amp; Society. </w:t>
      </w:r>
      <w:r w:rsidRPr="00CC180C">
        <w:rPr>
          <w:rFonts w:ascii="Simplified Arabic" w:eastAsia="Times New Roman" w:hAnsi="Simplified Arabic" w:cs="Simplified Arabic" w:hint="cs"/>
          <w:kern w:val="0"/>
          <w:sz w:val="28"/>
          <w:szCs w:val="28"/>
          <w:rtl/>
          <w14:ligatures w14:val="none"/>
        </w:rPr>
        <w:t>واستخدمت الدراسة المنهج التحليلي. وتناولت أبعاد السرد الرقمي وتوظيفه في حفظ التراث وتعزيز الانتماء الوطني. وتوصّلت النتائج إلى أن السرد القصصي الرقمي يمثل أداة قوية وفعالة للحفاظ على التراث الثقافي السعودي وتوثيقه ونقله للأجيال القادمة، كما يُسهم في تعزيز الهوية الوطنية والشعور بالانتماء. وأوصت بتوظيف السرد القصصي الرقمي بشكل مؤسسي ومنهجي في برامج حفظ التراث والترويج له</w:t>
      </w:r>
      <w:r w:rsidRPr="00CC180C">
        <w:rPr>
          <w:rFonts w:ascii="Simplified Arabic" w:eastAsia="Times New Roman" w:hAnsi="Simplified Arabic" w:cs="Simplified Arabic" w:hint="cs"/>
          <w:kern w:val="0"/>
          <w:sz w:val="28"/>
          <w:szCs w:val="28"/>
          <w14:ligatures w14:val="none"/>
        </w:rPr>
        <w:t>.</w:t>
      </w:r>
    </w:p>
    <w:p w14:paraId="4D78B941" w14:textId="77777777" w:rsidR="00CC180C" w:rsidRPr="00CC180C" w:rsidRDefault="00CC180C" w:rsidP="00CC180C">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42" w:name="_Toc225935194"/>
      <w:r w:rsidRPr="00CC180C">
        <w:rPr>
          <w:rFonts w:ascii="Simplified Arabic" w:eastAsia="Times New Roman" w:hAnsi="Simplified Arabic" w:cs="Simplified Arabic" w:hint="cs"/>
          <w:b/>
          <w:bCs/>
          <w:kern w:val="0"/>
          <w:sz w:val="28"/>
          <w:szCs w:val="28"/>
          <w:rtl/>
          <w14:ligatures w14:val="none"/>
        </w:rPr>
        <w:t xml:space="preserve">دراسة </w:t>
      </w:r>
      <w:r w:rsidRPr="00CC180C">
        <w:rPr>
          <w:rFonts w:ascii="Simplified Arabic" w:eastAsia="Times New Roman" w:hAnsi="Simplified Arabic" w:cs="Simplified Arabic" w:hint="cs"/>
          <w:b/>
          <w:bCs/>
          <w:kern w:val="0"/>
          <w:sz w:val="28"/>
          <w:szCs w:val="28"/>
          <w14:ligatures w14:val="none"/>
        </w:rPr>
        <w:t xml:space="preserve">Bay, Alnaim, Albaqawy &amp; Noaime (2022) </w:t>
      </w:r>
      <w:r w:rsidRPr="00CC180C">
        <w:rPr>
          <w:rFonts w:ascii="Simplified Arabic" w:eastAsia="Times New Roman" w:hAnsi="Simplified Arabic" w:cs="Simplified Arabic" w:hint="cs"/>
          <w:b/>
          <w:bCs/>
          <w:kern w:val="0"/>
          <w:sz w:val="28"/>
          <w:szCs w:val="28"/>
          <w:rtl/>
          <w14:ligatures w14:val="none"/>
        </w:rPr>
        <w:t>بعنوان</w:t>
      </w:r>
      <w:r w:rsidRPr="00CC180C">
        <w:rPr>
          <w:rFonts w:ascii="Simplified Arabic" w:eastAsia="Times New Roman" w:hAnsi="Simplified Arabic" w:cs="Simplified Arabic" w:hint="cs"/>
          <w:b/>
          <w:bCs/>
          <w:kern w:val="0"/>
          <w:sz w:val="28"/>
          <w:szCs w:val="28"/>
          <w14:ligatures w14:val="none"/>
        </w:rPr>
        <w:t>: "The Heritage Jewel of Saudi Arabia: A Descriptive Analysis of the Heritage Management and Development Activities in the At-Turaif District in Ad-Dir'iyah, a World Heritage Site (WHS)"</w:t>
      </w:r>
      <w:bookmarkEnd w:id="42"/>
    </w:p>
    <w:p w14:paraId="2B67E2EF"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هدفت الدراسة إلى التعرف على أنشطة إدارة التراث والتطوير في حي الطريف بالدرعية كموقع تراث عالمي لليونسكو، وتحليل التغيرات التي طرأت على ممارسات إدارة التراث عبر الزمن وأثرها على مجال التراث في المملكة العربية السعودية. ونُشرت في مجلة</w:t>
      </w:r>
      <w:r w:rsidRPr="00CC180C">
        <w:rPr>
          <w:rFonts w:ascii="Simplified Arabic" w:eastAsia="Times New Roman" w:hAnsi="Simplified Arabic" w:cs="Simplified Arabic" w:hint="cs"/>
          <w:kern w:val="0"/>
          <w:sz w:val="28"/>
          <w:szCs w:val="28"/>
          <w14:ligatures w14:val="none"/>
        </w:rPr>
        <w:t xml:space="preserve"> Sustainability. </w:t>
      </w:r>
      <w:r w:rsidRPr="00CC180C">
        <w:rPr>
          <w:rFonts w:ascii="Simplified Arabic" w:eastAsia="Times New Roman" w:hAnsi="Simplified Arabic" w:cs="Simplified Arabic" w:hint="cs"/>
          <w:kern w:val="0"/>
          <w:sz w:val="28"/>
          <w:szCs w:val="28"/>
          <w:rtl/>
          <w14:ligatures w14:val="none"/>
        </w:rPr>
        <w:t>واستخدمت الدراسة منهجاً تاريخياً (دياكرونياً) مع مناهج مختلطة تضمنت زيارات ميدانية، وتحليل وثائق عامة، وصور تاريخية وخرائط، ومقابلات مع مخبرين رئيسيين. وتناولت ثلاث فترات تاريخية: ما قبل إدراج الموقع في قائمة اليونسكو (1986-2010)، وبعد الإدراج حتى 2017، وبعد تأسيس هيئة تطوير بوابة الدرعية (2017 حتى الآن). وتوصّلت النتائج إلى أن حي الطريف شهد تحولاً جوهرياً من مجرد حماية الأطلال إلى مشروع وجهة سياحية دولية بميزانية ضخمة تبلغ 18.5 مليار دولار، مع وجود تحديات تتعلق بالحفاظ على الأصالة والسلامة في ظل التطوير الضخم. وأوصت الدراسة بضرورة تبني تدخلات ترميمية أكثر استدامة وحذراً، والتوازن بين أهداف التطوير السياحي ومتطلبات الحفاظ على التراث</w:t>
      </w:r>
      <w:r w:rsidRPr="00CC180C">
        <w:rPr>
          <w:rFonts w:ascii="Simplified Arabic" w:eastAsia="Times New Roman" w:hAnsi="Simplified Arabic" w:cs="Simplified Arabic" w:hint="cs"/>
          <w:kern w:val="0"/>
          <w:sz w:val="28"/>
          <w:szCs w:val="28"/>
          <w14:ligatures w14:val="none"/>
        </w:rPr>
        <w:t>.</w:t>
      </w:r>
    </w:p>
    <w:p w14:paraId="3BBA5019" w14:textId="77777777" w:rsidR="00DC5A70" w:rsidRDefault="00DC5A70" w:rsidP="00CC180C">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rtl/>
          <w14:ligatures w14:val="none"/>
        </w:rPr>
      </w:pPr>
    </w:p>
    <w:p w14:paraId="1CB860E1" w14:textId="691DEA81" w:rsidR="0002547A" w:rsidRPr="00CC180C" w:rsidRDefault="00CC6261" w:rsidP="00CC180C">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bookmarkStart w:id="43" w:name="_Toc225935195"/>
      <w:r w:rsidRPr="00CC180C">
        <w:rPr>
          <w:rFonts w:ascii="Simplified Arabic" w:eastAsia="Times New Roman" w:hAnsi="Simplified Arabic" w:cs="Simplified Arabic" w:hint="cs"/>
          <w:b/>
          <w:bCs/>
          <w:kern w:val="36"/>
          <w:sz w:val="28"/>
          <w:szCs w:val="28"/>
          <w:rtl/>
          <w14:ligatures w14:val="none"/>
        </w:rPr>
        <w:lastRenderedPageBreak/>
        <w:t>الفجوة البحثية</w:t>
      </w:r>
      <w:bookmarkEnd w:id="43"/>
    </w:p>
    <w:p w14:paraId="275BB10C" w14:textId="3727F4CE"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باستقراء الدراسات السابقة في </w:t>
      </w:r>
      <w:r w:rsidR="00AF58FE" w:rsidRPr="00CC180C">
        <w:rPr>
          <w:rFonts w:ascii="Simplified Arabic" w:eastAsia="Times New Roman" w:hAnsi="Simplified Arabic" w:cs="Times New Roman" w:hint="cs"/>
          <w:kern w:val="0"/>
          <w:sz w:val="28"/>
          <w:szCs w:val="28"/>
          <w:rtl/>
          <w14:ligatures w14:val="none"/>
        </w:rPr>
        <w:t>محوريها المحتوى</w:t>
      </w:r>
      <w:r w:rsidRPr="00CC180C">
        <w:rPr>
          <w:rFonts w:ascii="Simplified Arabic" w:eastAsia="Times New Roman" w:hAnsi="Simplified Arabic" w:cs="Simplified Arabic" w:hint="cs"/>
          <w:kern w:val="0"/>
          <w:sz w:val="28"/>
          <w:szCs w:val="28"/>
          <w:rtl/>
          <w14:ligatures w14:val="none"/>
        </w:rPr>
        <w:t xml:space="preserve"> الرقمي والترويج للتراث يتبيّن أن الأدبيات العربية والأجنبية أسهمت إسهامًا ملموسًا في تأصيل كلا المفهومين كلٌّ على حِدة، إلا أنها أغفلت التقاطع البحثي الجوهري بينهما في السياق الحكومي السعودي تحديدًا. فعلى صعيد المحتوى الرقمي، انشغلت الدراسات بقضايا إثراء المحتوى العربي على الإنترنت (الرابغي، 2016؛ بادي وبادي، 2020)، وصناعة المحتوى في المنصات المؤسسية (القحطاني، 2021؛ الطيبي وسرحان، 2021)، واستدامة صناع المحتوى (قطب، 2025)، وتأثير المحتوى على سلوك المستهلك</w:t>
      </w:r>
      <w:r w:rsidRPr="00CC180C">
        <w:rPr>
          <w:rFonts w:ascii="Simplified Arabic" w:eastAsia="Times New Roman" w:hAnsi="Simplified Arabic" w:cs="Simplified Arabic" w:hint="cs"/>
          <w:kern w:val="0"/>
          <w:sz w:val="28"/>
          <w:szCs w:val="28"/>
          <w14:ligatures w14:val="none"/>
        </w:rPr>
        <w:t xml:space="preserve"> (Lou &amp; Xie, 2021)</w:t>
      </w:r>
      <w:r w:rsidRPr="00CC180C">
        <w:rPr>
          <w:rFonts w:ascii="Simplified Arabic" w:eastAsia="Times New Roman" w:hAnsi="Simplified Arabic" w:cs="Simplified Arabic" w:hint="cs"/>
          <w:kern w:val="0"/>
          <w:sz w:val="28"/>
          <w:szCs w:val="28"/>
          <w:rtl/>
          <w14:ligatures w14:val="none"/>
        </w:rPr>
        <w:t xml:space="preserve">، ودور شكل المحتوى والمنصة في التفاعل </w:t>
      </w:r>
      <w:r w:rsidRPr="00CC180C">
        <w:rPr>
          <w:rFonts w:ascii="Simplified Arabic" w:eastAsia="Times New Roman" w:hAnsi="Simplified Arabic" w:cs="Simplified Arabic" w:hint="cs"/>
          <w:kern w:val="0"/>
          <w:sz w:val="28"/>
          <w:szCs w:val="28"/>
          <w14:ligatures w14:val="none"/>
        </w:rPr>
        <w:t>(Shahbaznezhad et al., 2021)</w:t>
      </w:r>
      <w:r w:rsidRPr="00CC180C">
        <w:rPr>
          <w:rFonts w:ascii="Simplified Arabic" w:eastAsia="Times New Roman" w:hAnsi="Simplified Arabic" w:cs="Simplified Arabic" w:hint="cs"/>
          <w:kern w:val="0"/>
          <w:sz w:val="28"/>
          <w:szCs w:val="28"/>
          <w:rtl/>
          <w14:ligatures w14:val="none"/>
        </w:rPr>
        <w:t>، لكنها لم تتناول المحتوى الرقمي الصادر عن جهة حكومية ثقافية سعودية بأداة تحليل المحتوى المنهجي. وعلى صعيد الترويج للتراث، ركّزت الدراسات على الترويج السياحي عبر وسائل التواصل الاجتماعي عمومًا (مسلم، 2022؛ غنيمات وعلاونة، 2024)، والترويج الإعلامي للسياحة في سياقات غير سعودية (عبدالعزيز والكارب، 2021؛ طيبي وحمادي، 2025)، وحفظ التراث السعودي عبر تقنيات الواقع الافتراضي</w:t>
      </w:r>
      <w:r w:rsidRPr="00CC180C">
        <w:rPr>
          <w:rFonts w:ascii="Simplified Arabic" w:eastAsia="Times New Roman" w:hAnsi="Simplified Arabic" w:cs="Simplified Arabic" w:hint="cs"/>
          <w:kern w:val="0"/>
          <w:sz w:val="28"/>
          <w:szCs w:val="28"/>
          <w14:ligatures w14:val="none"/>
        </w:rPr>
        <w:t xml:space="preserve"> (Ali, 2024) </w:t>
      </w:r>
      <w:r w:rsidRPr="00CC180C">
        <w:rPr>
          <w:rFonts w:ascii="Simplified Arabic" w:eastAsia="Times New Roman" w:hAnsi="Simplified Arabic" w:cs="Simplified Arabic" w:hint="cs"/>
          <w:kern w:val="0"/>
          <w:sz w:val="28"/>
          <w:szCs w:val="28"/>
          <w:rtl/>
          <w14:ligatures w14:val="none"/>
        </w:rPr>
        <w:t xml:space="preserve">أو السرد الرقمي </w:t>
      </w:r>
      <w:r w:rsidRPr="00CC180C">
        <w:rPr>
          <w:rFonts w:ascii="Simplified Arabic" w:eastAsia="Times New Roman" w:hAnsi="Simplified Arabic" w:cs="Simplified Arabic" w:hint="cs"/>
          <w:kern w:val="0"/>
          <w:sz w:val="28"/>
          <w:szCs w:val="28"/>
          <w14:ligatures w14:val="none"/>
        </w:rPr>
        <w:t xml:space="preserve">(Yehia &amp; Alkhashil, 2025) </w:t>
      </w:r>
      <w:r w:rsidRPr="00CC180C">
        <w:rPr>
          <w:rFonts w:ascii="Simplified Arabic" w:eastAsia="Times New Roman" w:hAnsi="Simplified Arabic" w:cs="Simplified Arabic" w:hint="cs"/>
          <w:kern w:val="0"/>
          <w:sz w:val="28"/>
          <w:szCs w:val="28"/>
          <w:rtl/>
          <w14:ligatures w14:val="none"/>
        </w:rPr>
        <w:t>أو إدارة المواقع التراثية</w:t>
      </w:r>
      <w:r w:rsidRPr="00CC180C">
        <w:rPr>
          <w:rFonts w:ascii="Simplified Arabic" w:eastAsia="Times New Roman" w:hAnsi="Simplified Arabic" w:cs="Simplified Arabic" w:hint="cs"/>
          <w:kern w:val="0"/>
          <w:sz w:val="28"/>
          <w:szCs w:val="28"/>
          <w14:ligatures w14:val="none"/>
        </w:rPr>
        <w:t xml:space="preserve"> (Bay et al., 2022; Almakaty, 2025)</w:t>
      </w:r>
      <w:r w:rsidRPr="00CC180C">
        <w:rPr>
          <w:rFonts w:ascii="Simplified Arabic" w:eastAsia="Times New Roman" w:hAnsi="Simplified Arabic" w:cs="Simplified Arabic" w:hint="cs"/>
          <w:kern w:val="0"/>
          <w:sz w:val="28"/>
          <w:szCs w:val="28"/>
          <w:rtl/>
          <w14:ligatures w14:val="none"/>
        </w:rPr>
        <w:t>، دون أن تتصدّى أيٌّ منها لتحليل المحتوى الرقمي الفعلي الذي تنشره وزارة الثقافة على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من حيث بنيته الشكلية ومضامينه التراثية ووظائفه الاتصالية ومؤشرات تفاعله الرقمي، ولم تربط بين هذا المحتوى وحملات وطنية ممتدة زمنيًا كأعوام الثقافة، ولم تُجرِ مقارنة بين عدة حملات متتالية لرصد تطوّر الاستراتيجيات الاتصالية وتباين فاعليتها عبر مراحل زمنية مختلفة (قبل الحملة وأثناءها وبعدها)؛ وهو ما تسعى الدراسة الحالية إلى سدّه من خلال تقديم تحليل محتوى كمّي وكيفي شامل يدمج المتغيرين — المحتوى الرقمي الحكومي والترويج للتراث — في إطار تحليلي واحد مرتبط برؤية 2030</w:t>
      </w:r>
      <w:r w:rsidRPr="00CC180C">
        <w:rPr>
          <w:rFonts w:ascii="Simplified Arabic" w:eastAsia="Times New Roman" w:hAnsi="Simplified Arabic" w:cs="Simplified Arabic" w:hint="cs"/>
          <w:kern w:val="0"/>
          <w:sz w:val="28"/>
          <w:szCs w:val="28"/>
          <w14:ligatures w14:val="none"/>
        </w:rPr>
        <w:t>.</w:t>
      </w:r>
    </w:p>
    <w:p w14:paraId="0F731D52" w14:textId="4670AB8C" w:rsidR="00A74F76" w:rsidRPr="00CC180C" w:rsidRDefault="00A74F76" w:rsidP="00CC180C">
      <w:pPr>
        <w:pStyle w:val="1"/>
        <w:jc w:val="both"/>
        <w:rPr>
          <w:sz w:val="28"/>
          <w:szCs w:val="28"/>
          <w:rtl/>
          <w:lang w:bidi="ar-EG"/>
        </w:rPr>
      </w:pPr>
      <w:bookmarkStart w:id="44" w:name="_Toc225935196"/>
      <w:r w:rsidRPr="00CC180C">
        <w:rPr>
          <w:rFonts w:hint="cs"/>
          <w:sz w:val="28"/>
          <w:szCs w:val="28"/>
          <w:rtl/>
        </w:rPr>
        <w:t>المنطلقات النظرية للدراسة:</w:t>
      </w:r>
      <w:bookmarkEnd w:id="17"/>
      <w:bookmarkEnd w:id="44"/>
    </w:p>
    <w:p w14:paraId="4E96C9E5"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45" w:name="_Toc169790502"/>
      <w:bookmarkStart w:id="46" w:name="_Toc222622903"/>
      <w:r w:rsidRPr="00CC180C">
        <w:rPr>
          <w:rFonts w:ascii="Simplified Arabic" w:eastAsia="Times New Roman" w:hAnsi="Simplified Arabic" w:cs="Simplified Arabic" w:hint="cs"/>
          <w:b/>
          <w:bCs/>
          <w:kern w:val="0"/>
          <w:sz w:val="28"/>
          <w:szCs w:val="28"/>
          <w:rtl/>
          <w14:ligatures w14:val="none"/>
        </w:rPr>
        <w:t>أولًا: الإطار النظري الموجِّه</w:t>
      </w:r>
    </w:p>
    <w:p w14:paraId="09CC44F0"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تستند هذه الدراسة إلى مدخلين نظريين متكاملين يُشكّلان معًا الإطار التفسيري لتحليل المحتوى الرقمي الحكومي وعلاقته بالترويج للتراث الثقافي</w:t>
      </w:r>
      <w:r w:rsidRPr="00CC180C">
        <w:rPr>
          <w:rFonts w:ascii="Simplified Arabic" w:eastAsia="Times New Roman" w:hAnsi="Simplified Arabic" w:cs="Simplified Arabic" w:hint="cs"/>
          <w:kern w:val="0"/>
          <w:sz w:val="28"/>
          <w:szCs w:val="28"/>
          <w14:ligatures w14:val="none"/>
        </w:rPr>
        <w:t>.</w:t>
      </w:r>
    </w:p>
    <w:p w14:paraId="7C7D707E"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lastRenderedPageBreak/>
        <w:t xml:space="preserve">يتمثّل المدخل الأول في </w:t>
      </w:r>
      <w:r w:rsidRPr="00CC180C">
        <w:rPr>
          <w:rFonts w:ascii="Simplified Arabic" w:eastAsia="Times New Roman" w:hAnsi="Simplified Arabic" w:cs="Simplified Arabic" w:hint="cs"/>
          <w:b/>
          <w:bCs/>
          <w:kern w:val="0"/>
          <w:sz w:val="28"/>
          <w:szCs w:val="28"/>
          <w:rtl/>
          <w14:ligatures w14:val="none"/>
        </w:rPr>
        <w:t>نظرية التأطير الإعلامي</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(Framing Theory) </w:t>
      </w:r>
      <w:r w:rsidRPr="00CC180C">
        <w:rPr>
          <w:rFonts w:ascii="Simplified Arabic" w:eastAsia="Times New Roman" w:hAnsi="Simplified Arabic" w:cs="Simplified Arabic" w:hint="cs"/>
          <w:kern w:val="0"/>
          <w:sz w:val="28"/>
          <w:szCs w:val="28"/>
          <w:rtl/>
          <w14:ligatures w14:val="none"/>
        </w:rPr>
        <w:t>التي تقوم على أن وسائل الإعلام لا تكتفي بنقل الأحداث والمعلومات بل تُعيد تنظيمها وتقديمها ضمن أُطُر خطابية محددة تُبرز جوانب معينة وتُخفي أخرى، مما يؤثر في كيفية إدراك الجمهور لهذه الأحداث وتفسيره لها. وقد طوّر</w:t>
      </w:r>
      <w:r w:rsidRPr="00CC180C">
        <w:rPr>
          <w:rFonts w:ascii="Simplified Arabic" w:eastAsia="Times New Roman" w:hAnsi="Simplified Arabic" w:cs="Simplified Arabic" w:hint="cs"/>
          <w:kern w:val="0"/>
          <w:sz w:val="28"/>
          <w:szCs w:val="28"/>
          <w14:ligatures w14:val="none"/>
        </w:rPr>
        <w:t xml:space="preserve"> Entman (1993) </w:t>
      </w:r>
      <w:r w:rsidRPr="00CC180C">
        <w:rPr>
          <w:rFonts w:ascii="Simplified Arabic" w:eastAsia="Times New Roman" w:hAnsi="Simplified Arabic" w:cs="Simplified Arabic" w:hint="cs"/>
          <w:kern w:val="0"/>
          <w:sz w:val="28"/>
          <w:szCs w:val="28"/>
          <w:rtl/>
          <w14:ligatures w14:val="none"/>
        </w:rPr>
        <w:t>هذا المفهوم بتعريف التأطير بوصفه عملية انتقاء لبعض جوانب الواقع المُدرَك وإبرازها في النص الاتصالي بما يعزّز تعريفًا معينًا للمشكلة أو تفسيرًا سببيًا أو تقييمًا أخلاقيًا أو توصية علاجية. وتُوظَّف هذه النظرية في الدراسة الحالية لفهم كيف تُؤطّر وزارة الثقافة السعودية التراث الوطني في محتواها الرقمي على منصة</w:t>
      </w:r>
      <w:r w:rsidRPr="00CC180C">
        <w:rPr>
          <w:rFonts w:ascii="Simplified Arabic" w:eastAsia="Times New Roman" w:hAnsi="Simplified Arabic" w:cs="Simplified Arabic" w:hint="cs"/>
          <w:kern w:val="0"/>
          <w:sz w:val="28"/>
          <w:szCs w:val="28"/>
          <w14:ligatures w14:val="none"/>
        </w:rPr>
        <w:t xml:space="preserve"> X</w:t>
      </w:r>
      <w:r w:rsidRPr="00CC180C">
        <w:rPr>
          <w:rFonts w:ascii="Simplified Arabic" w:eastAsia="Times New Roman" w:hAnsi="Simplified Arabic" w:cs="Simplified Arabic" w:hint="cs"/>
          <w:kern w:val="0"/>
          <w:sz w:val="28"/>
          <w:szCs w:val="28"/>
          <w:rtl/>
          <w14:ligatures w14:val="none"/>
        </w:rPr>
        <w:t>؛ أي الأُطُر التي تختارها لتقديم الخط العربي والقهوة السعودية والشعر العربي، وما الأبعاد التراثية والهويّاتية التي تُبرزها في خطابها الرقمي، وكيف تربط هذه العناصر بمستهدفات رؤية 2030. فتحليل الإطار يكشف عن الخيارات الاستراتيجية الكامنة وراء المحتوى المنشور ويتجاوز الوصف السطحي إلى استخلاص البنية الدلالية العميقة للرسائل الاتصالية</w:t>
      </w:r>
      <w:r w:rsidRPr="00CC180C">
        <w:rPr>
          <w:rFonts w:ascii="Simplified Arabic" w:eastAsia="Times New Roman" w:hAnsi="Simplified Arabic" w:cs="Simplified Arabic" w:hint="cs"/>
          <w:kern w:val="0"/>
          <w:sz w:val="28"/>
          <w:szCs w:val="28"/>
          <w14:ligatures w14:val="none"/>
        </w:rPr>
        <w:t>.</w:t>
      </w:r>
    </w:p>
    <w:p w14:paraId="735192A6"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أما المدخل الثاني فيتمثّل في </w:t>
      </w:r>
      <w:r w:rsidRPr="00CC180C">
        <w:rPr>
          <w:rFonts w:ascii="Simplified Arabic" w:eastAsia="Times New Roman" w:hAnsi="Simplified Arabic" w:cs="Simplified Arabic" w:hint="cs"/>
          <w:b/>
          <w:bCs/>
          <w:kern w:val="0"/>
          <w:sz w:val="28"/>
          <w:szCs w:val="28"/>
          <w:rtl/>
          <w14:ligatures w14:val="none"/>
        </w:rPr>
        <w:t>نظرية ثراء الوسيلة الإعلامية</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(Media Richness Theory) </w:t>
      </w:r>
      <w:r w:rsidRPr="00CC180C">
        <w:rPr>
          <w:rFonts w:ascii="Simplified Arabic" w:eastAsia="Times New Roman" w:hAnsi="Simplified Arabic" w:cs="Simplified Arabic" w:hint="cs"/>
          <w:kern w:val="0"/>
          <w:sz w:val="28"/>
          <w:szCs w:val="28"/>
          <w:rtl/>
          <w14:ligatures w14:val="none"/>
        </w:rPr>
        <w:t>التي طرحها</w:t>
      </w:r>
      <w:r w:rsidRPr="00CC180C">
        <w:rPr>
          <w:rFonts w:ascii="Simplified Arabic" w:eastAsia="Times New Roman" w:hAnsi="Simplified Arabic" w:cs="Simplified Arabic" w:hint="cs"/>
          <w:kern w:val="0"/>
          <w:sz w:val="28"/>
          <w:szCs w:val="28"/>
          <w14:ligatures w14:val="none"/>
        </w:rPr>
        <w:t xml:space="preserve"> Daft </w:t>
      </w:r>
      <w:r w:rsidRPr="00CC180C">
        <w:rPr>
          <w:rFonts w:ascii="Simplified Arabic" w:eastAsia="Times New Roman" w:hAnsi="Simplified Arabic" w:cs="Simplified Arabic" w:hint="cs"/>
          <w:kern w:val="0"/>
          <w:sz w:val="28"/>
          <w:szCs w:val="28"/>
          <w:rtl/>
          <w14:ligatures w14:val="none"/>
        </w:rPr>
        <w:t>و</w:t>
      </w:r>
      <w:r w:rsidRPr="00CC180C">
        <w:rPr>
          <w:rFonts w:ascii="Simplified Arabic" w:eastAsia="Times New Roman" w:hAnsi="Simplified Arabic" w:cs="Simplified Arabic" w:hint="cs"/>
          <w:kern w:val="0"/>
          <w:sz w:val="28"/>
          <w:szCs w:val="28"/>
          <w14:ligatures w14:val="none"/>
        </w:rPr>
        <w:t>Lengel (1986)</w:t>
      </w:r>
      <w:r w:rsidRPr="00CC180C">
        <w:rPr>
          <w:rFonts w:ascii="Simplified Arabic" w:eastAsia="Times New Roman" w:hAnsi="Simplified Arabic" w:cs="Simplified Arabic" w:hint="cs"/>
          <w:kern w:val="0"/>
          <w:sz w:val="28"/>
          <w:szCs w:val="28"/>
          <w:rtl/>
          <w14:ligatures w14:val="none"/>
        </w:rPr>
        <w:t>، وتنصّ على أن وسائل الاتصال تتفاوت في قدرتها على نقل المعلومات وتقليل الغموض وفقًا لعدة معايير منها القدرة على التغذية الراجعة الفورية وتعدد الإشارات (نصية، بصرية، سمعية) وتنوع اللغة والطابع الشخصي للرسالة. وتُوظَّف هذه النظرية في الدراسة لتفسير العلاقة بين القالب الإنتاجي للمحتوى الرقمي</w:t>
      </w:r>
      <w:r w:rsidRPr="00CC180C">
        <w:rPr>
          <w:rFonts w:ascii="Simplified Arabic" w:eastAsia="Times New Roman" w:hAnsi="Simplified Arabic" w:cs="Simplified Arabic" w:hint="cs"/>
          <w:kern w:val="0"/>
          <w:sz w:val="28"/>
          <w:szCs w:val="28"/>
          <w14:ligatures w14:val="none"/>
        </w:rPr>
        <w:t xml:space="preserve"> — </w:t>
      </w:r>
      <w:r w:rsidRPr="00CC180C">
        <w:rPr>
          <w:rFonts w:ascii="Simplified Arabic" w:eastAsia="Times New Roman" w:hAnsi="Simplified Arabic" w:cs="Simplified Arabic" w:hint="cs"/>
          <w:kern w:val="0"/>
          <w:sz w:val="28"/>
          <w:szCs w:val="28"/>
          <w:rtl/>
          <w14:ligatures w14:val="none"/>
        </w:rPr>
        <w:t>نص فقط أو نص مع صورة أو فيديو أو إنفوجرافيك — ومستويات التفاعل الرقمي معه، إذ يُفترض أن المحتوى الأكثر ثراءً في عناصره البصرية والسمعية يولّد تفاعلًا أعلى من المحتوى النصي المجرّد. كما تُساعد هذه النظرية في تحليل مدى توظيف وزارة الثقافة للإمكانات المتعددة التي تتيحها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من نصوص وصور ومقاطع فيديو وروابط وهاشتاقات لتقديم محتوى تراثي ثريّ وجاذب. وقد أكد</w:t>
      </w:r>
      <w:r w:rsidRPr="00CC180C">
        <w:rPr>
          <w:rFonts w:ascii="Simplified Arabic" w:eastAsia="Times New Roman" w:hAnsi="Simplified Arabic" w:cs="Simplified Arabic" w:hint="cs"/>
          <w:kern w:val="0"/>
          <w:sz w:val="28"/>
          <w:szCs w:val="28"/>
          <w14:ligatures w14:val="none"/>
        </w:rPr>
        <w:t xml:space="preserve"> Shahbaznezhad </w:t>
      </w:r>
      <w:r w:rsidRPr="00CC180C">
        <w:rPr>
          <w:rFonts w:ascii="Simplified Arabic" w:eastAsia="Times New Roman" w:hAnsi="Simplified Arabic" w:cs="Simplified Arabic" w:hint="cs"/>
          <w:kern w:val="0"/>
          <w:sz w:val="28"/>
          <w:szCs w:val="28"/>
          <w:rtl/>
          <w14:ligatures w14:val="none"/>
        </w:rPr>
        <w:t>و</w:t>
      </w:r>
      <w:r w:rsidRPr="00CC180C">
        <w:rPr>
          <w:rFonts w:ascii="Simplified Arabic" w:eastAsia="Times New Roman" w:hAnsi="Simplified Arabic" w:cs="Simplified Arabic" w:hint="cs"/>
          <w:kern w:val="0"/>
          <w:sz w:val="28"/>
          <w:szCs w:val="28"/>
          <w14:ligatures w14:val="none"/>
        </w:rPr>
        <w:t xml:space="preserve">Dolan </w:t>
      </w:r>
      <w:r w:rsidRPr="00CC180C">
        <w:rPr>
          <w:rFonts w:ascii="Simplified Arabic" w:eastAsia="Times New Roman" w:hAnsi="Simplified Arabic" w:cs="Simplified Arabic" w:hint="cs"/>
          <w:kern w:val="0"/>
          <w:sz w:val="28"/>
          <w:szCs w:val="28"/>
          <w:rtl/>
          <w14:ligatures w14:val="none"/>
        </w:rPr>
        <w:t>و</w:t>
      </w:r>
      <w:r w:rsidRPr="00CC180C">
        <w:rPr>
          <w:rFonts w:ascii="Simplified Arabic" w:eastAsia="Times New Roman" w:hAnsi="Simplified Arabic" w:cs="Simplified Arabic" w:hint="cs"/>
          <w:kern w:val="0"/>
          <w:sz w:val="28"/>
          <w:szCs w:val="28"/>
          <w14:ligatures w14:val="none"/>
        </w:rPr>
        <w:t xml:space="preserve">Rashidirad (2021) </w:t>
      </w:r>
      <w:r w:rsidRPr="00CC180C">
        <w:rPr>
          <w:rFonts w:ascii="Simplified Arabic" w:eastAsia="Times New Roman" w:hAnsi="Simplified Arabic" w:cs="Simplified Arabic" w:hint="cs"/>
          <w:kern w:val="0"/>
          <w:sz w:val="28"/>
          <w:szCs w:val="28"/>
          <w:rtl/>
          <w14:ligatures w14:val="none"/>
        </w:rPr>
        <w:t>أن شكل المحتوى ونوع المنصة يؤثران تأثيرًا مباشرًا في سلوك التفاعل لدى المستخدمين، مما يدعم توظيف هذه النظرية في تفسير نتائج الدراسة</w:t>
      </w:r>
      <w:r w:rsidRPr="00CC180C">
        <w:rPr>
          <w:rFonts w:ascii="Simplified Arabic" w:eastAsia="Times New Roman" w:hAnsi="Simplified Arabic" w:cs="Simplified Arabic" w:hint="cs"/>
          <w:kern w:val="0"/>
          <w:sz w:val="28"/>
          <w:szCs w:val="28"/>
          <w14:ligatures w14:val="none"/>
        </w:rPr>
        <w:t>.</w:t>
      </w:r>
    </w:p>
    <w:p w14:paraId="1B73D455"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ويتكامل المدخلان في إطار واحد؛ فنظرية التأطير تُوجّه تحليل مضمون الرسالة (ماذا قيل؟ ولماذا؟)، بينما تُوجّه نظرية ثراء الوسيلة تحليل شكل الرسالة (كيف قيل؟)، وكلتاهما تُسهمان في تفسير مؤشرات التفاعل الرقمي باعتبارها انعكاسًا لتلقّي الجمهور للمحتوى من حيث مضمونه وشكله معًا</w:t>
      </w:r>
      <w:r w:rsidRPr="00CC180C">
        <w:rPr>
          <w:rFonts w:ascii="Simplified Arabic" w:eastAsia="Times New Roman" w:hAnsi="Simplified Arabic" w:cs="Simplified Arabic" w:hint="cs"/>
          <w:kern w:val="0"/>
          <w:sz w:val="28"/>
          <w:szCs w:val="28"/>
          <w14:ligatures w14:val="none"/>
        </w:rPr>
        <w:t>.</w:t>
      </w:r>
    </w:p>
    <w:p w14:paraId="7790172D"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lastRenderedPageBreak/>
        <w:t>ثانيًا: مصطلحات الدراسة</w:t>
      </w:r>
    </w:p>
    <w:p w14:paraId="6DD60E02"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المحتوى الرقمي</w:t>
      </w:r>
      <w:r w:rsidRPr="00CC180C">
        <w:rPr>
          <w:rFonts w:ascii="Simplified Arabic" w:eastAsia="Times New Roman" w:hAnsi="Simplified Arabic" w:cs="Simplified Arabic" w:hint="cs"/>
          <w:b/>
          <w:bCs/>
          <w:kern w:val="0"/>
          <w:sz w:val="28"/>
          <w:szCs w:val="28"/>
          <w14:ligatures w14:val="none"/>
        </w:rPr>
        <w:t xml:space="preserve"> (Digital Content):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يُعرَّف المحتوى الرقمي بأنه كل ما يُنتَج ويُنشَر في بيئة رقمية من نصوص وصور ومقاطع فيديو ورسوم بيانية وروابط تفاعلية بهدف إيصال رسالة معرفية أو اتصالية إلى جمهور مستهدف عبر المنصات الإلكترونية. وقد عرّفته الإسكوا بأنه أي محتوى يرد بشكل رقمي على الإنترنت أو على وسائط إلكترونية أخرى ويتضمن النصوص والبيانات والصوت والصور والبرمجيات (الرابغي، 2016). كما وصفه</w:t>
      </w:r>
      <w:r w:rsidRPr="00CC180C">
        <w:rPr>
          <w:rFonts w:ascii="Simplified Arabic" w:eastAsia="Times New Roman" w:hAnsi="Simplified Arabic" w:cs="Simplified Arabic" w:hint="cs"/>
          <w:kern w:val="0"/>
          <w:sz w:val="28"/>
          <w:szCs w:val="28"/>
          <w14:ligatures w14:val="none"/>
        </w:rPr>
        <w:t xml:space="preserve"> Lopes </w:t>
      </w:r>
      <w:r w:rsidRPr="00CC180C">
        <w:rPr>
          <w:rFonts w:ascii="Simplified Arabic" w:eastAsia="Times New Roman" w:hAnsi="Simplified Arabic" w:cs="Simplified Arabic" w:hint="cs"/>
          <w:kern w:val="0"/>
          <w:sz w:val="28"/>
          <w:szCs w:val="28"/>
          <w:rtl/>
          <w14:ligatures w14:val="none"/>
        </w:rPr>
        <w:t>و</w:t>
      </w:r>
      <w:r w:rsidRPr="00CC180C">
        <w:rPr>
          <w:rFonts w:ascii="Simplified Arabic" w:eastAsia="Times New Roman" w:hAnsi="Simplified Arabic" w:cs="Simplified Arabic" w:hint="cs"/>
          <w:kern w:val="0"/>
          <w:sz w:val="28"/>
          <w:szCs w:val="28"/>
          <w14:ligatures w14:val="none"/>
        </w:rPr>
        <w:t xml:space="preserve">Casais (2022) </w:t>
      </w:r>
      <w:r w:rsidRPr="00CC180C">
        <w:rPr>
          <w:rFonts w:ascii="Simplified Arabic" w:eastAsia="Times New Roman" w:hAnsi="Simplified Arabic" w:cs="Simplified Arabic" w:hint="cs"/>
          <w:kern w:val="0"/>
          <w:sz w:val="28"/>
          <w:szCs w:val="28"/>
          <w:rtl/>
          <w14:ligatures w14:val="none"/>
        </w:rPr>
        <w:t>بأنه عملية إنشاء وتوزيع مضامين ذات صلة وقيمة مضافة وجاذبية تتيح مشاركة المستخدمين وتفاعلهم ضمن استراتيجية تواصلية متكاملة. وتتبنّى هذه الدراسة تعريفًا إجرائيًا للمحتوى الرقمي بوصفه جميع المنشورات (التغريدات) — بعناصرها النصية والبصرية والسمعية والتفاعلية</w:t>
      </w:r>
      <w:r w:rsidRPr="00CC180C">
        <w:rPr>
          <w:rFonts w:ascii="Simplified Arabic" w:eastAsia="Times New Roman" w:hAnsi="Simplified Arabic" w:cs="Simplified Arabic" w:hint="cs"/>
          <w:kern w:val="0"/>
          <w:sz w:val="28"/>
          <w:szCs w:val="28"/>
          <w14:ligatures w14:val="none"/>
        </w:rPr>
        <w:t xml:space="preserve"> — </w:t>
      </w:r>
      <w:r w:rsidRPr="00CC180C">
        <w:rPr>
          <w:rFonts w:ascii="Simplified Arabic" w:eastAsia="Times New Roman" w:hAnsi="Simplified Arabic" w:cs="Simplified Arabic" w:hint="cs"/>
          <w:kern w:val="0"/>
          <w:sz w:val="28"/>
          <w:szCs w:val="28"/>
          <w:rtl/>
          <w14:ligatures w14:val="none"/>
        </w:rPr>
        <w:t>التي يُصدرها الحساب الرسمي لوزارة الثقافة السعودية على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والمرتبطة بحملات أعوام الثقافة الثلاث</w:t>
      </w:r>
      <w:r w:rsidRPr="00CC180C">
        <w:rPr>
          <w:rFonts w:ascii="Simplified Arabic" w:eastAsia="Times New Roman" w:hAnsi="Simplified Arabic" w:cs="Simplified Arabic" w:hint="cs"/>
          <w:kern w:val="0"/>
          <w:sz w:val="28"/>
          <w:szCs w:val="28"/>
          <w14:ligatures w14:val="none"/>
        </w:rPr>
        <w:t>.</w:t>
      </w:r>
    </w:p>
    <w:p w14:paraId="47E45BE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المحتوى الرقمي الحكومي</w:t>
      </w:r>
      <w:r w:rsidRPr="00CC180C">
        <w:rPr>
          <w:rFonts w:ascii="Simplified Arabic" w:eastAsia="Times New Roman" w:hAnsi="Simplified Arabic" w:cs="Simplified Arabic" w:hint="cs"/>
          <w:b/>
          <w:bCs/>
          <w:kern w:val="0"/>
          <w:sz w:val="28"/>
          <w:szCs w:val="28"/>
          <w14:ligatures w14:val="none"/>
        </w:rPr>
        <w:t xml:space="preserve"> (Government Digital Content):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هو المحتوى الرقمي الذي تُنتجه وتنشره الجهات الحكومية الرسمية عبر منصاتها الإلكترونية ومواقع التواصل الاجتماعي بهدف إعلام الجمهور أو تثقيفه أو إشراكه في قضايا السياسات العامة والخدمات والمبادرات الوطنية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ويتميّز هذا المحتوى بطابعه المؤسسي الرسمي وارتباطه بأهداف استراتيجية محددة وخضوعه لمعايير اتصالية تعكس هوية الدولة وتوجّهاتها. وإجرائيًا يُقصد به في هذه الدراسة المحتوى الصادر حصرًا عن حساب وزارة الثقافة السعودية</w:t>
      </w:r>
      <w:r w:rsidRPr="00CC180C">
        <w:rPr>
          <w:rFonts w:ascii="Simplified Arabic" w:eastAsia="Times New Roman" w:hAnsi="Simplified Arabic" w:cs="Simplified Arabic" w:hint="cs"/>
          <w:kern w:val="0"/>
          <w:sz w:val="28"/>
          <w:szCs w:val="28"/>
          <w14:ligatures w14:val="none"/>
        </w:rPr>
        <w:t xml:space="preserve"> (@MOCSaudi) </w:t>
      </w:r>
      <w:r w:rsidRPr="00CC180C">
        <w:rPr>
          <w:rFonts w:ascii="Simplified Arabic" w:eastAsia="Times New Roman" w:hAnsi="Simplified Arabic" w:cs="Simplified Arabic" w:hint="cs"/>
          <w:kern w:val="0"/>
          <w:sz w:val="28"/>
          <w:szCs w:val="28"/>
          <w:rtl/>
          <w14:ligatures w14:val="none"/>
        </w:rPr>
        <w:t>على منصة</w:t>
      </w:r>
      <w:r w:rsidRPr="00CC180C">
        <w:rPr>
          <w:rFonts w:ascii="Simplified Arabic" w:eastAsia="Times New Roman" w:hAnsi="Simplified Arabic" w:cs="Simplified Arabic" w:hint="cs"/>
          <w:kern w:val="0"/>
          <w:sz w:val="28"/>
          <w:szCs w:val="28"/>
          <w14:ligatures w14:val="none"/>
        </w:rPr>
        <w:t xml:space="preserve"> X.</w:t>
      </w:r>
    </w:p>
    <w:p w14:paraId="1EA5E25E"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الترويج للتراث الثقافي</w:t>
      </w:r>
      <w:r w:rsidRPr="00CC180C">
        <w:rPr>
          <w:rFonts w:ascii="Simplified Arabic" w:eastAsia="Times New Roman" w:hAnsi="Simplified Arabic" w:cs="Simplified Arabic" w:hint="cs"/>
          <w:b/>
          <w:bCs/>
          <w:kern w:val="0"/>
          <w:sz w:val="28"/>
          <w:szCs w:val="28"/>
          <w14:ligatures w14:val="none"/>
        </w:rPr>
        <w:t xml:space="preserve"> (Cultural Heritage Promotion):</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يشير إلى مجموع الأنشطة والاستراتيجيات الاتصالية والتسويقية التي تهدف إلى التعريف بعناصر التراث الثقافي — مادية كانت أو غير مادية — وإبراز قيمتها لدى الجمهور المحلي والدولي وتعزيز ارتباطه بها. ويتضمّن هذا المفهوم توظيف أدوات المزيج الترويجي من إعلان وعلاقات عامة وتسويق إلكتروني وترويج مبيعات في تقديم المنتج التراثي بصورة جاذبة ومؤثرة (بخيت، </w:t>
      </w:r>
      <w:r w:rsidRPr="00CC180C">
        <w:rPr>
          <w:rFonts w:ascii="Simplified Arabic" w:eastAsia="Times New Roman" w:hAnsi="Simplified Arabic" w:cs="Simplified Arabic" w:hint="cs"/>
          <w:kern w:val="0"/>
          <w:sz w:val="28"/>
          <w:szCs w:val="28"/>
          <w14:ligatures w14:val="none"/>
        </w:rPr>
        <w:t xml:space="preserve">2025). </w:t>
      </w:r>
      <w:r w:rsidRPr="00CC180C">
        <w:rPr>
          <w:rFonts w:ascii="Simplified Arabic" w:eastAsia="Times New Roman" w:hAnsi="Simplified Arabic" w:cs="Simplified Arabic" w:hint="cs"/>
          <w:kern w:val="0"/>
          <w:sz w:val="28"/>
          <w:szCs w:val="28"/>
          <w:rtl/>
          <w14:ligatures w14:val="none"/>
        </w:rPr>
        <w:t>وإجرائيًا يُقصد به في هذه الدراسة الجهود الاتصالية الرقمية التي تبذلها وزارة الثقافة على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لتقديم عناصر التراث السعودي المرتبطة بحملات أعوام الثقافة وتعزيز الوعي بها والاعتزاز بالهوية الوطنية</w:t>
      </w:r>
      <w:r w:rsidRPr="00CC180C">
        <w:rPr>
          <w:rFonts w:ascii="Simplified Arabic" w:eastAsia="Times New Roman" w:hAnsi="Simplified Arabic" w:cs="Simplified Arabic" w:hint="cs"/>
          <w:kern w:val="0"/>
          <w:sz w:val="28"/>
          <w:szCs w:val="28"/>
          <w14:ligatures w14:val="none"/>
        </w:rPr>
        <w:t>.</w:t>
      </w:r>
    </w:p>
    <w:p w14:paraId="5CE9EDE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lastRenderedPageBreak/>
        <w:t>التراث السعودي</w:t>
      </w:r>
      <w:r w:rsidRPr="00CC180C">
        <w:rPr>
          <w:rFonts w:ascii="Simplified Arabic" w:eastAsia="Times New Roman" w:hAnsi="Simplified Arabic" w:cs="Simplified Arabic" w:hint="cs"/>
          <w:b/>
          <w:bCs/>
          <w:kern w:val="0"/>
          <w:sz w:val="28"/>
          <w:szCs w:val="28"/>
          <w14:ligatures w14:val="none"/>
        </w:rPr>
        <w:t xml:space="preserve"> (Saudi Heritage):</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يشمل مجمل الموروثات الثقافية المادية وغير المادية في المملكة العربية السعودية، من مواقع أثرية ومبانٍ تاريخية وفنون وحِرَف يدوية وممارسات اجتماعية وتقاليد شفهية وفنون أدائية وموروثات غذائية. وقد سجّلت المملكة ثمانية مواقع على قائمة التراث العالمي لليونسكو، فضلًا عن أكثر من خمسة عشر عنصرًا على القائمة التمثيلية للتراث الثقافي غير المادي تشمل الخط العربي والقهوة العربية والعرضة النجدية والسدو وغيرها</w:t>
      </w:r>
      <w:r w:rsidRPr="00CC180C">
        <w:rPr>
          <w:rFonts w:ascii="Simplified Arabic" w:eastAsia="Times New Roman" w:hAnsi="Simplified Arabic" w:cs="Simplified Arabic" w:hint="cs"/>
          <w:kern w:val="0"/>
          <w:sz w:val="28"/>
          <w:szCs w:val="28"/>
          <w14:ligatures w14:val="none"/>
        </w:rPr>
        <w:t xml:space="preserve"> (Almakaty, 2025). </w:t>
      </w:r>
      <w:r w:rsidRPr="00CC180C">
        <w:rPr>
          <w:rFonts w:ascii="Simplified Arabic" w:eastAsia="Times New Roman" w:hAnsi="Simplified Arabic" w:cs="Simplified Arabic" w:hint="cs"/>
          <w:kern w:val="0"/>
          <w:sz w:val="28"/>
          <w:szCs w:val="28"/>
          <w:rtl/>
          <w14:ligatures w14:val="none"/>
        </w:rPr>
        <w:t>وإجرائيًا يُقصد به في هذه الدراسة عناصر التراث الثقافي التي تُروَّج لها عبر الحملات الثلاث: الخط العربي والقهوة السعودية والشعر العربي</w:t>
      </w:r>
      <w:r w:rsidRPr="00CC180C">
        <w:rPr>
          <w:rFonts w:ascii="Simplified Arabic" w:eastAsia="Times New Roman" w:hAnsi="Simplified Arabic" w:cs="Simplified Arabic" w:hint="cs"/>
          <w:kern w:val="0"/>
          <w:sz w:val="28"/>
          <w:szCs w:val="28"/>
          <w14:ligatures w14:val="none"/>
        </w:rPr>
        <w:t>.</w:t>
      </w:r>
    </w:p>
    <w:p w14:paraId="15581115"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حملات أعوام الثقافة</w:t>
      </w:r>
      <w:r w:rsidRPr="00CC180C">
        <w:rPr>
          <w:rFonts w:ascii="Simplified Arabic" w:eastAsia="Times New Roman" w:hAnsi="Simplified Arabic" w:cs="Simplified Arabic" w:hint="cs"/>
          <w:b/>
          <w:bCs/>
          <w:kern w:val="0"/>
          <w:sz w:val="28"/>
          <w:szCs w:val="28"/>
          <w14:ligatures w14:val="none"/>
        </w:rPr>
        <w:t xml:space="preserve"> (Cultural Years Campaigns):</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هي مبادرة حكومية أطلقتها وزارة الثقافة السعودية تتضمّن تخصيص كل عام لعنصر ثقافي مميّز من عناصر الثقافة والتراث السعودي، بهدف تركيز الاهتمام المجتمعي والمؤسسي تجاه هذا العنصر وتعزيز الوعي به وإبراز قيمته محليًا وعالميًا. وتشمل الحملات المعنية بهذه الدراسة: عام الخط العربي </w:t>
      </w:r>
      <w:r w:rsidRPr="00CC180C">
        <w:rPr>
          <w:rFonts w:ascii="Simplified Arabic" w:eastAsia="Times New Roman" w:hAnsi="Simplified Arabic" w:cs="Simplified Arabic" w:hint="cs"/>
          <w:kern w:val="0"/>
          <w:sz w:val="28"/>
          <w:szCs w:val="28"/>
          <w14:ligatures w14:val="none"/>
        </w:rPr>
        <w:t>(2020–2021)</w:t>
      </w:r>
      <w:r w:rsidRPr="00CC180C">
        <w:rPr>
          <w:rFonts w:ascii="Simplified Arabic" w:eastAsia="Times New Roman" w:hAnsi="Simplified Arabic" w:cs="Simplified Arabic" w:hint="cs"/>
          <w:kern w:val="0"/>
          <w:sz w:val="28"/>
          <w:szCs w:val="28"/>
          <w:rtl/>
          <w14:ligatures w14:val="none"/>
        </w:rPr>
        <w:t>، وعام القهوة السعودية (2022)، وعام الشعر العربي</w:t>
      </w:r>
      <w:r w:rsidRPr="00CC180C">
        <w:rPr>
          <w:rFonts w:ascii="Simplified Arabic" w:eastAsia="Times New Roman" w:hAnsi="Simplified Arabic" w:cs="Simplified Arabic" w:hint="cs"/>
          <w:kern w:val="0"/>
          <w:sz w:val="28"/>
          <w:szCs w:val="28"/>
          <w14:ligatures w14:val="none"/>
        </w:rPr>
        <w:t xml:space="preserve"> (2023).</w:t>
      </w:r>
    </w:p>
    <w:p w14:paraId="6E94108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التفاعل الرقمي</w:t>
      </w:r>
      <w:r w:rsidRPr="00CC180C">
        <w:rPr>
          <w:rFonts w:ascii="Simplified Arabic" w:eastAsia="Times New Roman" w:hAnsi="Simplified Arabic" w:cs="Simplified Arabic" w:hint="cs"/>
          <w:b/>
          <w:bCs/>
          <w:kern w:val="0"/>
          <w:sz w:val="28"/>
          <w:szCs w:val="28"/>
          <w14:ligatures w14:val="none"/>
        </w:rPr>
        <w:t xml:space="preserve"> (Digital Engagement):</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يُعرَّف بأنه مجموع الاستجابات القابلة للقياس التي يُبديها مستخدمو المنصات الرقمية تجاه المحتوى المنشور، وتشمل الإعجابات وإعادة النشر (الريتويت) والردود والاقتباسات والمشاهدات. ويُعدّ التفاعل الرقمي مؤشرًا أساسيًا على مدى وصول المحتوى إلى الجمهور وقدرته على استثارة اهتمامه ودفعه إلى المشاركة</w:t>
      </w:r>
      <w:r w:rsidRPr="00CC180C">
        <w:rPr>
          <w:rFonts w:ascii="Simplified Arabic" w:eastAsia="Times New Roman" w:hAnsi="Simplified Arabic" w:cs="Simplified Arabic" w:hint="cs"/>
          <w:kern w:val="0"/>
          <w:sz w:val="28"/>
          <w:szCs w:val="28"/>
          <w14:ligatures w14:val="none"/>
        </w:rPr>
        <w:t xml:space="preserve"> (Shahbaznezhad, Dolan &amp; Rashidirad, 2021). </w:t>
      </w:r>
      <w:r w:rsidRPr="00CC180C">
        <w:rPr>
          <w:rFonts w:ascii="Simplified Arabic" w:eastAsia="Times New Roman" w:hAnsi="Simplified Arabic" w:cs="Simplified Arabic" w:hint="cs"/>
          <w:kern w:val="0"/>
          <w:sz w:val="28"/>
          <w:szCs w:val="28"/>
          <w:rtl/>
          <w14:ligatures w14:val="none"/>
        </w:rPr>
        <w:t>وإجرائيًا تقيسه هذه الدراسة من خلال المؤشرات الكمّية المتاحة على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لكل منشور ضمن عينة التحليل</w:t>
      </w:r>
      <w:r w:rsidRPr="00CC180C">
        <w:rPr>
          <w:rFonts w:ascii="Simplified Arabic" w:eastAsia="Times New Roman" w:hAnsi="Simplified Arabic" w:cs="Simplified Arabic" w:hint="cs"/>
          <w:kern w:val="0"/>
          <w:sz w:val="28"/>
          <w:szCs w:val="28"/>
          <w14:ligatures w14:val="none"/>
        </w:rPr>
        <w:t>.</w:t>
      </w:r>
    </w:p>
    <w:p w14:paraId="414A9981"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رؤية المملكة العربية السعودية 2030</w:t>
      </w:r>
      <w:r w:rsidRPr="00CC180C">
        <w:rPr>
          <w:rFonts w:ascii="Simplified Arabic" w:eastAsia="Times New Roman" w:hAnsi="Simplified Arabic" w:cs="Simplified Arabic" w:hint="cs"/>
          <w:b/>
          <w:bCs/>
          <w:kern w:val="0"/>
          <w:sz w:val="28"/>
          <w:szCs w:val="28"/>
          <w14:ligatures w14:val="none"/>
        </w:rPr>
        <w:t xml:space="preserve"> (Saudi Vision 2030):</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هي الإطار الاستراتيجي الشامل للتحول الوطني الذي أُطلق عام 2016 ويرتكز على ثلاثة محاور: مجتمع حيوي واقتصاد مزدهر ووطن طموح. وتضع الرؤية الثقافة والتراث في صميم محور المجتمع الحيوي، إذ تسعى إلى تعزيز اعتزاز المواطنين بتاريخهم وتراثهم وترسيخ الهوية الوطنية ورفع مساهمة القطاع الثقافي في الناتج المحلي الإجمالي إلى 3% بحلول عام 2030. وتُشكّل هذه الرؤية الإطار السياسي والمؤسسي الذي تنطلق منه حملات أعوام الثقافة وتعمل هذه الدراسة على تقييم المحتوى الرقمي في ضوئه</w:t>
      </w:r>
      <w:r w:rsidRPr="00CC180C">
        <w:rPr>
          <w:rFonts w:ascii="Simplified Arabic" w:eastAsia="Times New Roman" w:hAnsi="Simplified Arabic" w:cs="Simplified Arabic" w:hint="cs"/>
          <w:kern w:val="0"/>
          <w:sz w:val="28"/>
          <w:szCs w:val="28"/>
          <w14:ligatures w14:val="none"/>
        </w:rPr>
        <w:t>.</w:t>
      </w:r>
    </w:p>
    <w:p w14:paraId="65EFC5F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lastRenderedPageBreak/>
        <w:t>منصة</w:t>
      </w:r>
      <w:r w:rsidRPr="00CC180C">
        <w:rPr>
          <w:rFonts w:ascii="Simplified Arabic" w:eastAsia="Times New Roman" w:hAnsi="Simplified Arabic" w:cs="Simplified Arabic" w:hint="cs"/>
          <w:b/>
          <w:bCs/>
          <w:kern w:val="0"/>
          <w:sz w:val="28"/>
          <w:szCs w:val="28"/>
          <w14:ligatures w14:val="none"/>
        </w:rPr>
        <w:t xml:space="preserve"> X:</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هي منصة التدوين المصغّر</w:t>
      </w:r>
      <w:r w:rsidRPr="00CC180C">
        <w:rPr>
          <w:rFonts w:ascii="Simplified Arabic" w:eastAsia="Times New Roman" w:hAnsi="Simplified Arabic" w:cs="Simplified Arabic" w:hint="cs"/>
          <w:kern w:val="0"/>
          <w:sz w:val="28"/>
          <w:szCs w:val="28"/>
          <w14:ligatures w14:val="none"/>
        </w:rPr>
        <w:t xml:space="preserve"> (Microblogging) </w:t>
      </w:r>
      <w:r w:rsidRPr="00CC180C">
        <w:rPr>
          <w:rFonts w:ascii="Simplified Arabic" w:eastAsia="Times New Roman" w:hAnsi="Simplified Arabic" w:cs="Simplified Arabic" w:hint="cs"/>
          <w:kern w:val="0"/>
          <w:sz w:val="28"/>
          <w:szCs w:val="28"/>
          <w:rtl/>
          <w14:ligatures w14:val="none"/>
        </w:rPr>
        <w:t>المعروفة سابقًا باسم "تويتر"، والتي أعاد مالكها تسميتها عام 2023. وتُتيح المنصة نشر منشورات قصيرة (تغريدات) مصحوبة بوسائط متعددة وهاشتاقات وروابط، وتوفّر مؤشرات تفاعل كمّية متعددة. وتُعدّ من أبرز المنصات الرقمية في المملكة العربية السعودية وأكثرها استخدامًا في الاتصال الحكومي والنقاش العام</w:t>
      </w:r>
      <w:r w:rsidRPr="00CC180C">
        <w:rPr>
          <w:rFonts w:ascii="Simplified Arabic" w:eastAsia="Times New Roman" w:hAnsi="Simplified Arabic" w:cs="Simplified Arabic" w:hint="cs"/>
          <w:kern w:val="0"/>
          <w:sz w:val="28"/>
          <w:szCs w:val="28"/>
          <w14:ligatures w14:val="none"/>
        </w:rPr>
        <w:t>.</w:t>
      </w:r>
    </w:p>
    <w:p w14:paraId="2E715580" w14:textId="0E6BB174" w:rsidR="00D22171" w:rsidRPr="00CC180C" w:rsidRDefault="00304304" w:rsidP="00CC180C">
      <w:pPr>
        <w:pStyle w:val="1"/>
        <w:jc w:val="both"/>
        <w:rPr>
          <w:sz w:val="28"/>
          <w:szCs w:val="28"/>
          <w:rtl/>
        </w:rPr>
      </w:pPr>
      <w:bookmarkStart w:id="47" w:name="_Toc225935197"/>
      <w:r w:rsidRPr="00CC180C">
        <w:rPr>
          <w:rFonts w:hint="cs"/>
          <w:sz w:val="28"/>
          <w:szCs w:val="28"/>
          <w:rtl/>
        </w:rPr>
        <w:t>ا</w:t>
      </w:r>
      <w:r w:rsidR="00D22171" w:rsidRPr="00CC180C">
        <w:rPr>
          <w:rFonts w:hint="cs"/>
          <w:sz w:val="28"/>
          <w:szCs w:val="28"/>
          <w:rtl/>
        </w:rPr>
        <w:t>لمنهجية وطرق البحث</w:t>
      </w:r>
      <w:r w:rsidR="00A74F76" w:rsidRPr="00CC180C">
        <w:rPr>
          <w:rFonts w:hint="cs"/>
          <w:sz w:val="28"/>
          <w:szCs w:val="28"/>
          <w:rtl/>
        </w:rPr>
        <w:t>:</w:t>
      </w:r>
      <w:bookmarkEnd w:id="45"/>
      <w:bookmarkEnd w:id="46"/>
      <w:bookmarkEnd w:id="47"/>
    </w:p>
    <w:p w14:paraId="481A0201"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48" w:name="_Toc169790506"/>
      <w:r w:rsidRPr="00CC180C">
        <w:rPr>
          <w:rFonts w:ascii="Simplified Arabic" w:eastAsia="Times New Roman" w:hAnsi="Simplified Arabic" w:cs="Simplified Arabic" w:hint="cs"/>
          <w:kern w:val="0"/>
          <w:sz w:val="28"/>
          <w:szCs w:val="28"/>
          <w:rtl/>
          <w14:ligatures w14:val="none"/>
        </w:rPr>
        <w:t xml:space="preserve">ستعتمد هذه الدراسة على منهج المسح بأسلوب تحليل المحتوى </w:t>
      </w:r>
      <w:r w:rsidRPr="00CC180C">
        <w:rPr>
          <w:rFonts w:ascii="Simplified Arabic" w:eastAsia="Times New Roman" w:hAnsi="Simplified Arabic" w:cs="Simplified Arabic" w:hint="cs"/>
          <w:kern w:val="0"/>
          <w:sz w:val="28"/>
          <w:szCs w:val="28"/>
          <w14:ligatures w14:val="none"/>
        </w:rPr>
        <w:t xml:space="preserve">(Content Analysis) </w:t>
      </w:r>
      <w:r w:rsidRPr="00CC180C">
        <w:rPr>
          <w:rFonts w:ascii="Simplified Arabic" w:eastAsia="Times New Roman" w:hAnsi="Simplified Arabic" w:cs="Simplified Arabic" w:hint="cs"/>
          <w:kern w:val="0"/>
          <w:sz w:val="28"/>
          <w:szCs w:val="28"/>
          <w:rtl/>
          <w14:ligatures w14:val="none"/>
        </w:rPr>
        <w:t>باعتباره المنهج الأنسب للدراسات الوصفية التحليلية التي تسعى إلى الوصف المنظّم والموضوعي والكمّي للمادة الاتصالية الظاهرة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وسيُوظَّف تحليل المحتوى بشقّيه الكمّي والكيفي؛ إذ سيتولّى الشقّ الكمّي رصد التكرارات والنسب المئوية لفئات التحليل المختلفة (الشكل، المضمون، التفاعل)، وقياس مؤشرات التفاعل الرقمي (الإعجابات، إعادة التغريد، الردود، المشاهدات)، بينما سيتكفّل الشقّ الكيفي بالغوص في السياقات الخطابية والبلاغية والبصرية للمنشورات وتفسير دلالاتها في ضوء أهداف الترويج للتراث السعودي ورؤية 2030</w:t>
      </w:r>
      <w:r w:rsidRPr="00CC180C">
        <w:rPr>
          <w:rFonts w:ascii="Simplified Arabic" w:eastAsia="Times New Roman" w:hAnsi="Simplified Arabic" w:cs="Simplified Arabic" w:hint="cs"/>
          <w:kern w:val="0"/>
          <w:sz w:val="28"/>
          <w:szCs w:val="28"/>
          <w14:ligatures w14:val="none"/>
        </w:rPr>
        <w:t>.</w:t>
      </w:r>
    </w:p>
    <w:p w14:paraId="28CBC8E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وسيُطبَّق هذا المنهج وفق إجراءات منهجية صارمة تشمل: تحديد وحدات التحليل (المنشور المفرد "التغريدة" كوحدة أساسية)، وبناء استمارة تحليل محتوى مُحكَّمة تضمّ فئات تحليل واضحة التعريف ومانعة للتداخل، وإجراء اختبار الثبات بين المحلِّلين</w:t>
      </w:r>
      <w:r w:rsidRPr="00CC180C">
        <w:rPr>
          <w:rFonts w:ascii="Simplified Arabic" w:eastAsia="Times New Roman" w:hAnsi="Simplified Arabic" w:cs="Simplified Arabic" w:hint="cs"/>
          <w:kern w:val="0"/>
          <w:sz w:val="28"/>
          <w:szCs w:val="28"/>
          <w14:ligatures w14:val="none"/>
        </w:rPr>
        <w:t xml:space="preserve"> (Inter-coder Reliability) </w:t>
      </w:r>
      <w:r w:rsidRPr="00CC180C">
        <w:rPr>
          <w:rFonts w:ascii="Simplified Arabic" w:eastAsia="Times New Roman" w:hAnsi="Simplified Arabic" w:cs="Simplified Arabic" w:hint="cs"/>
          <w:kern w:val="0"/>
          <w:sz w:val="28"/>
          <w:szCs w:val="28"/>
          <w:rtl/>
          <w14:ligatures w14:val="none"/>
        </w:rPr>
        <w:t>لضمان موضوعية النتائج وقابليتها للتكرار؛ مما يكفل الدقة العلمية والمنهجية المطلوبة في البحوث الإعلامية</w:t>
      </w:r>
      <w:r w:rsidRPr="00CC180C">
        <w:rPr>
          <w:rFonts w:ascii="Simplified Arabic" w:eastAsia="Times New Roman" w:hAnsi="Simplified Arabic" w:cs="Simplified Arabic" w:hint="cs"/>
          <w:kern w:val="0"/>
          <w:sz w:val="28"/>
          <w:szCs w:val="28"/>
          <w14:ligatures w14:val="none"/>
        </w:rPr>
        <w:t>.</w:t>
      </w:r>
    </w:p>
    <w:p w14:paraId="24F73646" w14:textId="3236BD98"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49" w:name="_Toc225935198"/>
      <w:r w:rsidRPr="00CC180C">
        <w:rPr>
          <w:rFonts w:ascii="Simplified Arabic" w:eastAsia="Times New Roman" w:hAnsi="Simplified Arabic" w:cs="Simplified Arabic" w:hint="cs"/>
          <w:b/>
          <w:bCs/>
          <w:kern w:val="0"/>
          <w:sz w:val="28"/>
          <w:szCs w:val="28"/>
          <w:rtl/>
          <w14:ligatures w14:val="none"/>
        </w:rPr>
        <w:t>مجتمع الدراسة وعينتها</w:t>
      </w:r>
      <w:bookmarkEnd w:id="49"/>
    </w:p>
    <w:p w14:paraId="3AE9E65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سيتألّف مجتمع الدراسة من </w:t>
      </w:r>
      <w:r w:rsidRPr="00CC180C">
        <w:rPr>
          <w:rFonts w:ascii="Simplified Arabic" w:eastAsia="Times New Roman" w:hAnsi="Simplified Arabic" w:cs="Simplified Arabic" w:hint="cs"/>
          <w:b/>
          <w:bCs/>
          <w:kern w:val="0"/>
          <w:sz w:val="28"/>
          <w:szCs w:val="28"/>
          <w:rtl/>
          <w14:ligatures w14:val="none"/>
        </w:rPr>
        <w:t>جميع المنشورات</w:t>
      </w:r>
      <w:r w:rsidRPr="00CC180C">
        <w:rPr>
          <w:rFonts w:ascii="Simplified Arabic" w:eastAsia="Times New Roman" w:hAnsi="Simplified Arabic" w:cs="Simplified Arabic" w:hint="cs"/>
          <w:kern w:val="0"/>
          <w:sz w:val="28"/>
          <w:szCs w:val="28"/>
          <w:rtl/>
          <w14:ligatures w14:val="none"/>
        </w:rPr>
        <w:t xml:space="preserve"> (التغريدات) التي نشرها الحساب الرسمي لوزارة الثقافة السعودية على منصة</w:t>
      </w:r>
      <w:r w:rsidRPr="00CC180C">
        <w:rPr>
          <w:rFonts w:ascii="Simplified Arabic" w:eastAsia="Times New Roman" w:hAnsi="Simplified Arabic" w:cs="Simplified Arabic" w:hint="cs"/>
          <w:kern w:val="0"/>
          <w:sz w:val="28"/>
          <w:szCs w:val="28"/>
          <w14:ligatures w14:val="none"/>
        </w:rPr>
        <w:t xml:space="preserve"> X (@MOaborCulture) </w:t>
      </w:r>
      <w:r w:rsidRPr="00CC180C">
        <w:rPr>
          <w:rFonts w:ascii="Simplified Arabic" w:eastAsia="Times New Roman" w:hAnsi="Simplified Arabic" w:cs="Simplified Arabic" w:hint="cs"/>
          <w:kern w:val="0"/>
          <w:sz w:val="28"/>
          <w:szCs w:val="28"/>
          <w:rtl/>
          <w14:ligatures w14:val="none"/>
        </w:rPr>
        <w:t>والمرتبطة بحملات أعوام الثقافة الثلاث</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b/>
          <w:bCs/>
          <w:kern w:val="0"/>
          <w:sz w:val="28"/>
          <w:szCs w:val="28"/>
          <w:rtl/>
          <w14:ligatures w14:val="none"/>
        </w:rPr>
        <w:t>عام الخط العربي</w:t>
      </w:r>
      <w:r w:rsidRPr="00CC180C">
        <w:rPr>
          <w:rFonts w:ascii="Simplified Arabic" w:eastAsia="Times New Roman" w:hAnsi="Simplified Arabic" w:cs="Simplified Arabic" w:hint="cs"/>
          <w:kern w:val="0"/>
          <w:sz w:val="28"/>
          <w:szCs w:val="28"/>
          <w:rtl/>
          <w14:ligatures w14:val="none"/>
        </w:rPr>
        <w:t xml:space="preserve"> (الذي أُطلق مطلع عام 2020 وامتدّ حتى نهاية 2021)، و</w:t>
      </w:r>
      <w:r w:rsidRPr="00CC180C">
        <w:rPr>
          <w:rFonts w:ascii="Simplified Arabic" w:eastAsia="Times New Roman" w:hAnsi="Simplified Arabic" w:cs="Simplified Arabic" w:hint="cs"/>
          <w:b/>
          <w:bCs/>
          <w:kern w:val="0"/>
          <w:sz w:val="28"/>
          <w:szCs w:val="28"/>
          <w:rtl/>
          <w14:ligatures w14:val="none"/>
        </w:rPr>
        <w:t>عام القهوة السعودية</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(2022)</w:t>
      </w:r>
      <w:r w:rsidRPr="00CC180C">
        <w:rPr>
          <w:rFonts w:ascii="Simplified Arabic" w:eastAsia="Times New Roman" w:hAnsi="Simplified Arabic" w:cs="Simplified Arabic" w:hint="cs"/>
          <w:kern w:val="0"/>
          <w:sz w:val="28"/>
          <w:szCs w:val="28"/>
          <w:rtl/>
          <w14:ligatures w14:val="none"/>
        </w:rPr>
        <w:t>، و</w:t>
      </w:r>
      <w:r w:rsidRPr="00CC180C">
        <w:rPr>
          <w:rFonts w:ascii="Simplified Arabic" w:eastAsia="Times New Roman" w:hAnsi="Simplified Arabic" w:cs="Simplified Arabic" w:hint="cs"/>
          <w:b/>
          <w:bCs/>
          <w:kern w:val="0"/>
          <w:sz w:val="28"/>
          <w:szCs w:val="28"/>
          <w:rtl/>
          <w14:ligatures w14:val="none"/>
        </w:rPr>
        <w:t>عام الشعر العربي</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(2023). </w:t>
      </w:r>
      <w:r w:rsidRPr="00CC180C">
        <w:rPr>
          <w:rFonts w:ascii="Simplified Arabic" w:eastAsia="Times New Roman" w:hAnsi="Simplified Arabic" w:cs="Simplified Arabic" w:hint="cs"/>
          <w:kern w:val="0"/>
          <w:sz w:val="28"/>
          <w:szCs w:val="28"/>
          <w:rtl/>
          <w14:ligatures w14:val="none"/>
        </w:rPr>
        <w:t>ويشمل المجتمع كافة أشكال المنشورات سواء أكانت نصوصًا مكتوبة أم صورًا أم مقاطع فيديو أم رسومًا بيانية (إنفوجرافيك)، فضلًا عن الهاشتاقات والروابط المرفقة بها</w:t>
      </w:r>
      <w:r w:rsidRPr="00CC180C">
        <w:rPr>
          <w:rFonts w:ascii="Simplified Arabic" w:eastAsia="Times New Roman" w:hAnsi="Simplified Arabic" w:cs="Simplified Arabic" w:hint="cs"/>
          <w:kern w:val="0"/>
          <w:sz w:val="28"/>
          <w:szCs w:val="28"/>
          <w14:ligatures w14:val="none"/>
        </w:rPr>
        <w:t>.</w:t>
      </w:r>
    </w:p>
    <w:p w14:paraId="3A37237A"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lastRenderedPageBreak/>
        <w:t xml:space="preserve">وستُسحَب عينة الدراسة بأسلوب </w:t>
      </w:r>
      <w:r w:rsidRPr="00CC180C">
        <w:rPr>
          <w:rFonts w:ascii="Simplified Arabic" w:eastAsia="Times New Roman" w:hAnsi="Simplified Arabic" w:cs="Simplified Arabic" w:hint="cs"/>
          <w:b/>
          <w:bCs/>
          <w:kern w:val="0"/>
          <w:sz w:val="28"/>
          <w:szCs w:val="28"/>
          <w:rtl/>
          <w14:ligatures w14:val="none"/>
        </w:rPr>
        <w:t>العينة القصدية</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(Purposive Sampling)</w:t>
      </w:r>
      <w:r w:rsidRPr="00CC180C">
        <w:rPr>
          <w:rFonts w:ascii="Simplified Arabic" w:eastAsia="Times New Roman" w:hAnsi="Simplified Arabic" w:cs="Simplified Arabic" w:hint="cs"/>
          <w:kern w:val="0"/>
          <w:sz w:val="28"/>
          <w:szCs w:val="28"/>
          <w:rtl/>
          <w14:ligatures w14:val="none"/>
        </w:rPr>
        <w:t>؛ إذ ستشمل جميع المنشورات ذات الصلة المباشرة بكل حملة من الحملات الثلاث خلال ثلاث مراحل زمنية لكل حملة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b/>
          <w:bCs/>
          <w:kern w:val="0"/>
          <w:sz w:val="28"/>
          <w:szCs w:val="28"/>
          <w:rtl/>
          <w14:ligatures w14:val="none"/>
        </w:rPr>
        <w:t>أسبوعان قبل</w:t>
      </w:r>
      <w:r w:rsidRPr="00CC180C">
        <w:rPr>
          <w:rFonts w:ascii="Simplified Arabic" w:eastAsia="Times New Roman" w:hAnsi="Simplified Arabic" w:cs="Simplified Arabic" w:hint="cs"/>
          <w:kern w:val="0"/>
          <w:sz w:val="28"/>
          <w:szCs w:val="28"/>
          <w:rtl/>
          <w14:ligatures w14:val="none"/>
        </w:rPr>
        <w:t xml:space="preserve"> الإطلاق الرسمي للحملة (مرحلة التمهيد)، و</w:t>
      </w:r>
      <w:r w:rsidRPr="00CC180C">
        <w:rPr>
          <w:rFonts w:ascii="Simplified Arabic" w:eastAsia="Times New Roman" w:hAnsi="Simplified Arabic" w:cs="Simplified Arabic" w:hint="cs"/>
          <w:b/>
          <w:bCs/>
          <w:kern w:val="0"/>
          <w:sz w:val="28"/>
          <w:szCs w:val="28"/>
          <w:rtl/>
          <w14:ligatures w14:val="none"/>
        </w:rPr>
        <w:t>فترة الحملة الفعلية</w:t>
      </w:r>
      <w:r w:rsidRPr="00CC180C">
        <w:rPr>
          <w:rFonts w:ascii="Simplified Arabic" w:eastAsia="Times New Roman" w:hAnsi="Simplified Arabic" w:cs="Simplified Arabic" w:hint="cs"/>
          <w:kern w:val="0"/>
          <w:sz w:val="28"/>
          <w:szCs w:val="28"/>
          <w:rtl/>
          <w14:ligatures w14:val="none"/>
        </w:rPr>
        <w:t xml:space="preserve"> كاملة (مرحلة التنفيذ)، و</w:t>
      </w:r>
      <w:r w:rsidRPr="00CC180C">
        <w:rPr>
          <w:rFonts w:ascii="Simplified Arabic" w:eastAsia="Times New Roman" w:hAnsi="Simplified Arabic" w:cs="Simplified Arabic" w:hint="cs"/>
          <w:b/>
          <w:bCs/>
          <w:kern w:val="0"/>
          <w:sz w:val="28"/>
          <w:szCs w:val="28"/>
          <w:rtl/>
          <w14:ligatures w14:val="none"/>
        </w:rPr>
        <w:t>أسبوعان بعد</w:t>
      </w:r>
      <w:r w:rsidRPr="00CC180C">
        <w:rPr>
          <w:rFonts w:ascii="Simplified Arabic" w:eastAsia="Times New Roman" w:hAnsi="Simplified Arabic" w:cs="Simplified Arabic" w:hint="cs"/>
          <w:kern w:val="0"/>
          <w:sz w:val="28"/>
          <w:szCs w:val="28"/>
          <w:rtl/>
          <w14:ligatures w14:val="none"/>
        </w:rPr>
        <w:t xml:space="preserve"> انتهاء الحملة رسميًا (مرحلة ما بعد الحملة). وسيُعتمَد في تحديد المنشورات ذات الصلة على معايير واضحة تتضمّن: احتواء المنشور على الهاشتاق الرسمي للحملة (مثل #عام_الخط_العربي، #عام_القهوة_السعودية، </w:t>
      </w:r>
      <w:r w:rsidRPr="00CC180C">
        <w:rPr>
          <w:rFonts w:ascii="Simplified Arabic" w:eastAsia="Times New Roman" w:hAnsi="Simplified Arabic" w:cs="Simplified Arabic" w:hint="cs"/>
          <w:kern w:val="0"/>
          <w:sz w:val="28"/>
          <w:szCs w:val="28"/>
          <w14:ligatures w14:val="none"/>
        </w:rPr>
        <w:t>#</w:t>
      </w:r>
      <w:r w:rsidRPr="00CC180C">
        <w:rPr>
          <w:rFonts w:ascii="Simplified Arabic" w:eastAsia="Times New Roman" w:hAnsi="Simplified Arabic" w:cs="Simplified Arabic" w:hint="cs"/>
          <w:kern w:val="0"/>
          <w:sz w:val="28"/>
          <w:szCs w:val="28"/>
          <w:rtl/>
          <w14:ligatures w14:val="none"/>
        </w:rPr>
        <w:t>عام_الشعر_العربي)، أو تناوله صراحةً لموضوع الحملة حتى في غياب الهاشتاق</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وسيُحدَّد الحجم النهائي للعينة بعد عملية الحصر الشامل للمنشورات المطابقة لهذه المعايير</w:t>
      </w:r>
      <w:r w:rsidRPr="00CC180C">
        <w:rPr>
          <w:rFonts w:ascii="Simplified Arabic" w:eastAsia="Times New Roman" w:hAnsi="Simplified Arabic" w:cs="Simplified Arabic" w:hint="cs"/>
          <w:kern w:val="0"/>
          <w:sz w:val="28"/>
          <w:szCs w:val="28"/>
          <w14:ligatures w14:val="none"/>
        </w:rPr>
        <w:t>.</w:t>
      </w:r>
    </w:p>
    <w:p w14:paraId="17E9959A" w14:textId="1A75729B"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50" w:name="_Toc225935199"/>
      <w:r w:rsidRPr="00CC180C">
        <w:rPr>
          <w:rFonts w:ascii="Simplified Arabic" w:eastAsia="Times New Roman" w:hAnsi="Simplified Arabic" w:cs="Simplified Arabic" w:hint="cs"/>
          <w:b/>
          <w:bCs/>
          <w:kern w:val="0"/>
          <w:sz w:val="28"/>
          <w:szCs w:val="28"/>
          <w:rtl/>
          <w14:ligatures w14:val="none"/>
        </w:rPr>
        <w:t>مصادر جمع البيانات</w:t>
      </w:r>
      <w:bookmarkEnd w:id="50"/>
    </w:p>
    <w:p w14:paraId="771CE4A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ستُجمَع بيانات الدراسة من </w:t>
      </w:r>
      <w:r w:rsidRPr="00CC180C">
        <w:rPr>
          <w:rFonts w:ascii="Simplified Arabic" w:eastAsia="Times New Roman" w:hAnsi="Simplified Arabic" w:cs="Simplified Arabic" w:hint="cs"/>
          <w:b/>
          <w:bCs/>
          <w:kern w:val="0"/>
          <w:sz w:val="28"/>
          <w:szCs w:val="28"/>
          <w:rtl/>
          <w14:ligatures w14:val="none"/>
        </w:rPr>
        <w:t>مصدرين رئيسين</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الأول مصدر أولي يتمثّل في المنشورات المنشورة على الحساب الرسمي لوزارة الثقافة على منصة</w:t>
      </w:r>
      <w:r w:rsidRPr="00CC180C">
        <w:rPr>
          <w:rFonts w:ascii="Simplified Arabic" w:eastAsia="Times New Roman" w:hAnsi="Simplified Arabic" w:cs="Simplified Arabic" w:hint="cs"/>
          <w:kern w:val="0"/>
          <w:sz w:val="28"/>
          <w:szCs w:val="28"/>
          <w14:ligatures w14:val="none"/>
        </w:rPr>
        <w:t xml:space="preserve"> X</w:t>
      </w:r>
      <w:r w:rsidRPr="00CC180C">
        <w:rPr>
          <w:rFonts w:ascii="Simplified Arabic" w:eastAsia="Times New Roman" w:hAnsi="Simplified Arabic" w:cs="Simplified Arabic" w:hint="cs"/>
          <w:kern w:val="0"/>
          <w:sz w:val="28"/>
          <w:szCs w:val="28"/>
          <w:rtl/>
          <w14:ligatures w14:val="none"/>
        </w:rPr>
        <w:t>، وسيُستعان في جمعها بأدوات الأرشفة الرقمية وواجهة البرمجة</w:t>
      </w:r>
      <w:r w:rsidRPr="00CC180C">
        <w:rPr>
          <w:rFonts w:ascii="Simplified Arabic" w:eastAsia="Times New Roman" w:hAnsi="Simplified Arabic" w:cs="Simplified Arabic" w:hint="cs"/>
          <w:kern w:val="0"/>
          <w:sz w:val="28"/>
          <w:szCs w:val="28"/>
          <w14:ligatures w14:val="none"/>
        </w:rPr>
        <w:t xml:space="preserve"> (API) </w:t>
      </w:r>
      <w:r w:rsidRPr="00CC180C">
        <w:rPr>
          <w:rFonts w:ascii="Simplified Arabic" w:eastAsia="Times New Roman" w:hAnsi="Simplified Arabic" w:cs="Simplified Arabic" w:hint="cs"/>
          <w:kern w:val="0"/>
          <w:sz w:val="28"/>
          <w:szCs w:val="28"/>
          <w:rtl/>
          <w14:ligatures w14:val="none"/>
        </w:rPr>
        <w:t>الخاصة بمنصة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لضمان الحصول على بيانات التفاعل الدقيقة (الإعجابات، إعادة التغريد، الردود، المشاهدات، الاقتباسات) مع طوابعها الزمنية. والمصدر الثاني مصادر ثانوية تشمل الأدبيات العلمية والدراسات السابقة العربية والأجنبية، والوثائق الرسمية الصادرة عن وزارة الثقافة وهيئة التراث، والتقارير المتعلقة برؤية 2030 في شقّها الثقافي</w:t>
      </w:r>
      <w:r w:rsidRPr="00CC180C">
        <w:rPr>
          <w:rFonts w:ascii="Simplified Arabic" w:eastAsia="Times New Roman" w:hAnsi="Simplified Arabic" w:cs="Simplified Arabic" w:hint="cs"/>
          <w:kern w:val="0"/>
          <w:sz w:val="28"/>
          <w:szCs w:val="28"/>
          <w14:ligatures w14:val="none"/>
        </w:rPr>
        <w:t>.</w:t>
      </w:r>
    </w:p>
    <w:p w14:paraId="2DF21724" w14:textId="59026672"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51" w:name="_Toc225935200"/>
      <w:r w:rsidRPr="00CC180C">
        <w:rPr>
          <w:rFonts w:ascii="Simplified Arabic" w:eastAsia="Times New Roman" w:hAnsi="Simplified Arabic" w:cs="Simplified Arabic" w:hint="cs"/>
          <w:b/>
          <w:bCs/>
          <w:kern w:val="0"/>
          <w:sz w:val="28"/>
          <w:szCs w:val="28"/>
          <w:rtl/>
          <w14:ligatures w14:val="none"/>
        </w:rPr>
        <w:t>أداة الدراسة</w:t>
      </w:r>
      <w:bookmarkEnd w:id="51"/>
    </w:p>
    <w:p w14:paraId="3B6E7B92"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ستكون الأداة الرئيسة لهذه الدراسة </w:t>
      </w:r>
      <w:r w:rsidRPr="00CC180C">
        <w:rPr>
          <w:rFonts w:ascii="Simplified Arabic" w:eastAsia="Times New Roman" w:hAnsi="Simplified Arabic" w:cs="Simplified Arabic" w:hint="cs"/>
          <w:b/>
          <w:bCs/>
          <w:kern w:val="0"/>
          <w:sz w:val="28"/>
          <w:szCs w:val="28"/>
          <w:rtl/>
          <w14:ligatures w14:val="none"/>
        </w:rPr>
        <w:t>استمارة تحليل المحتوى</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(Content Analysis Coding Sheet) </w:t>
      </w:r>
      <w:r w:rsidRPr="00CC180C">
        <w:rPr>
          <w:rFonts w:ascii="Simplified Arabic" w:eastAsia="Times New Roman" w:hAnsi="Simplified Arabic" w:cs="Simplified Arabic" w:hint="cs"/>
          <w:kern w:val="0"/>
          <w:sz w:val="28"/>
          <w:szCs w:val="28"/>
          <w:rtl/>
          <w14:ligatures w14:val="none"/>
        </w:rPr>
        <w:t>التي ستُصمَّم خصيصًا لأغراض هذا البحث، وستتضمّن المحاور التالية</w:t>
      </w:r>
      <w:r w:rsidRPr="00CC180C">
        <w:rPr>
          <w:rFonts w:ascii="Simplified Arabic" w:eastAsia="Times New Roman" w:hAnsi="Simplified Arabic" w:cs="Simplified Arabic" w:hint="cs"/>
          <w:kern w:val="0"/>
          <w:sz w:val="28"/>
          <w:szCs w:val="28"/>
          <w14:ligatures w14:val="none"/>
        </w:rPr>
        <w:t>:</w:t>
      </w:r>
    </w:p>
    <w:p w14:paraId="1887726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المحور الأول – البيانات التعريفية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رقم المنشور التسلسلي، تاريخ النشر (اليوم/الشهر/السنة)، الحملة التابع لها (خط عربي/قهوة سعودية/شعر عربي)، المرحلة الزمنية (قبل/أثناء/بعد)، يوم النشر من الأسبوع، وفترة النشر (صباحية/مسائية)</w:t>
      </w:r>
      <w:r w:rsidRPr="00CC180C">
        <w:rPr>
          <w:rFonts w:ascii="Simplified Arabic" w:eastAsia="Times New Roman" w:hAnsi="Simplified Arabic" w:cs="Simplified Arabic" w:hint="cs"/>
          <w:kern w:val="0"/>
          <w:sz w:val="28"/>
          <w:szCs w:val="28"/>
          <w14:ligatures w14:val="none"/>
        </w:rPr>
        <w:t>.</w:t>
      </w:r>
    </w:p>
    <w:p w14:paraId="1F3D5FAB"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المحور الثاني – فئات الشكل (كيف قيل؟)</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القالب الإنتاجي للمنشور (نص فقط، نص مع صورة، نص مع فيديو، نص مع إنفوجرافيك، نص مع رابط، سلسلة تغريدات)، عدد الكلمات، اللغة المستخدمة (عربية، </w:t>
      </w:r>
      <w:r w:rsidRPr="00CC180C">
        <w:rPr>
          <w:rFonts w:ascii="Simplified Arabic" w:eastAsia="Times New Roman" w:hAnsi="Simplified Arabic" w:cs="Simplified Arabic" w:hint="cs"/>
          <w:kern w:val="0"/>
          <w:sz w:val="28"/>
          <w:szCs w:val="28"/>
          <w:rtl/>
          <w14:ligatures w14:val="none"/>
        </w:rPr>
        <w:lastRenderedPageBreak/>
        <w:t>إنجليزية، ثنائية)، عدد الهاشتاقات ونوعها (رسمي للحملة، عام ثقافي، مرتبط برؤية 2030، ترندي عام)، وجود روابط خارجية ووجهتها (موقع الوزارة، منصة إلكترونية، وسائل إعلام أخرى</w:t>
      </w:r>
      <w:r w:rsidRPr="00CC180C">
        <w:rPr>
          <w:rFonts w:ascii="Simplified Arabic" w:eastAsia="Times New Roman" w:hAnsi="Simplified Arabic" w:cs="Simplified Arabic" w:hint="cs"/>
          <w:kern w:val="0"/>
          <w:sz w:val="28"/>
          <w:szCs w:val="28"/>
          <w14:ligatures w14:val="none"/>
        </w:rPr>
        <w:t>).</w:t>
      </w:r>
    </w:p>
    <w:p w14:paraId="108BF31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المحور الثالث – فئات المضمون (ماذا قيل؟)</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الموضوع الرئيسي للمنشور (تعريف بالتراث، فعالية/حدث، إنجاز/إحصائية، شخصية ثقافية، مبادرة/برنامج، مسابقة/تحدّي، تغطية إعلامية)، الوظيفة الاتصالية (إخبارية، تثقيفية، ترويجية، تفاعلية/تشاركية، احتفائية/توثيقية)، بُعد التراث الثقافي (مادي، غير مادي، هوية وطنية، تراث حيّ)، والربط الصريح أو الضمني برؤية 2030</w:t>
      </w:r>
      <w:r w:rsidRPr="00CC180C">
        <w:rPr>
          <w:rFonts w:ascii="Simplified Arabic" w:eastAsia="Times New Roman" w:hAnsi="Simplified Arabic" w:cs="Simplified Arabic" w:hint="cs"/>
          <w:kern w:val="0"/>
          <w:sz w:val="28"/>
          <w:szCs w:val="28"/>
          <w14:ligatures w14:val="none"/>
        </w:rPr>
        <w:t>.</w:t>
      </w:r>
    </w:p>
    <w:p w14:paraId="63F8CC1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المحور الرابع – فئات التفاعل الرقمي</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عدد الإعجابات، عدد إعادة التغريد، عدد الردود، عدد المشاهدات، عدد الاقتباسات، ومعدّل التفاعل الإجمالي</w:t>
      </w:r>
      <w:r w:rsidRPr="00CC180C">
        <w:rPr>
          <w:rFonts w:ascii="Simplified Arabic" w:eastAsia="Times New Roman" w:hAnsi="Simplified Arabic" w:cs="Simplified Arabic" w:hint="cs"/>
          <w:kern w:val="0"/>
          <w:sz w:val="28"/>
          <w:szCs w:val="28"/>
          <w14:ligatures w14:val="none"/>
        </w:rPr>
        <w:t>.</w:t>
      </w:r>
    </w:p>
    <w:p w14:paraId="5ABB2E74"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وستُعرَض الاستمارة على مجموعة من المحكِّمين المتخصصين في الإعلام الرقمي والدراسات الثقافية للتحقق من </w:t>
      </w:r>
      <w:r w:rsidRPr="00CC180C">
        <w:rPr>
          <w:rFonts w:ascii="Simplified Arabic" w:eastAsia="Times New Roman" w:hAnsi="Simplified Arabic" w:cs="Simplified Arabic" w:hint="cs"/>
          <w:b/>
          <w:bCs/>
          <w:kern w:val="0"/>
          <w:sz w:val="28"/>
          <w:szCs w:val="28"/>
          <w:rtl/>
          <w14:ligatures w14:val="none"/>
        </w:rPr>
        <w:t>صدقها الظاهري</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(Face Validity) </w:t>
      </w:r>
      <w:r w:rsidRPr="00CC180C">
        <w:rPr>
          <w:rFonts w:ascii="Simplified Arabic" w:eastAsia="Times New Roman" w:hAnsi="Simplified Arabic" w:cs="Simplified Arabic" w:hint="cs"/>
          <w:kern w:val="0"/>
          <w:sz w:val="28"/>
          <w:szCs w:val="28"/>
          <w:rtl/>
          <w14:ligatures w14:val="none"/>
        </w:rPr>
        <w:t xml:space="preserve">وصدق المحتوى، وستُجرى تعديلات في ضوء ملاحظاتهم. كما سيُجرى اختبار </w:t>
      </w:r>
      <w:r w:rsidRPr="00CC180C">
        <w:rPr>
          <w:rFonts w:ascii="Simplified Arabic" w:eastAsia="Times New Roman" w:hAnsi="Simplified Arabic" w:cs="Simplified Arabic" w:hint="cs"/>
          <w:b/>
          <w:bCs/>
          <w:kern w:val="0"/>
          <w:sz w:val="28"/>
          <w:szCs w:val="28"/>
          <w:rtl/>
          <w14:ligatures w14:val="none"/>
        </w:rPr>
        <w:t>الثبات</w:t>
      </w:r>
      <w:r w:rsidRPr="00CC180C">
        <w:rPr>
          <w:rFonts w:ascii="Simplified Arabic" w:eastAsia="Times New Roman" w:hAnsi="Simplified Arabic" w:cs="Simplified Arabic" w:hint="cs"/>
          <w:kern w:val="0"/>
          <w:sz w:val="28"/>
          <w:szCs w:val="28"/>
          <w:rtl/>
          <w14:ligatures w14:val="none"/>
        </w:rPr>
        <w:t xml:space="preserve"> عبر أسلوب إعادة الاختبار</w:t>
      </w:r>
      <w:r w:rsidRPr="00CC180C">
        <w:rPr>
          <w:rFonts w:ascii="Simplified Arabic" w:eastAsia="Times New Roman" w:hAnsi="Simplified Arabic" w:cs="Simplified Arabic" w:hint="cs"/>
          <w:kern w:val="0"/>
          <w:sz w:val="28"/>
          <w:szCs w:val="28"/>
          <w14:ligatures w14:val="none"/>
        </w:rPr>
        <w:t xml:space="preserve"> (Test-Retest) </w:t>
      </w:r>
      <w:r w:rsidRPr="00CC180C">
        <w:rPr>
          <w:rFonts w:ascii="Simplified Arabic" w:eastAsia="Times New Roman" w:hAnsi="Simplified Arabic" w:cs="Simplified Arabic" w:hint="cs"/>
          <w:kern w:val="0"/>
          <w:sz w:val="28"/>
          <w:szCs w:val="28"/>
          <w:rtl/>
          <w14:ligatures w14:val="none"/>
        </w:rPr>
        <w:t xml:space="preserve">وأسلوب الاتفاق بين المحلِّلين باستخدام معادلة </w:t>
      </w:r>
      <w:r w:rsidRPr="00CC180C">
        <w:rPr>
          <w:rFonts w:ascii="Simplified Arabic" w:eastAsia="Times New Roman" w:hAnsi="Simplified Arabic" w:cs="Simplified Arabic" w:hint="cs"/>
          <w:b/>
          <w:bCs/>
          <w:kern w:val="0"/>
          <w:sz w:val="28"/>
          <w:szCs w:val="28"/>
          <w:rtl/>
          <w14:ligatures w14:val="none"/>
        </w:rPr>
        <w:t>هولستي</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(Holsti) </w:t>
      </w:r>
      <w:r w:rsidRPr="00CC180C">
        <w:rPr>
          <w:rFonts w:ascii="Simplified Arabic" w:eastAsia="Times New Roman" w:hAnsi="Simplified Arabic" w:cs="Simplified Arabic" w:hint="cs"/>
          <w:kern w:val="0"/>
          <w:sz w:val="28"/>
          <w:szCs w:val="28"/>
          <w:rtl/>
          <w14:ligatures w14:val="none"/>
        </w:rPr>
        <w:t xml:space="preserve">أو معامل </w:t>
      </w:r>
      <w:r w:rsidRPr="00CC180C">
        <w:rPr>
          <w:rFonts w:ascii="Simplified Arabic" w:eastAsia="Times New Roman" w:hAnsi="Simplified Arabic" w:cs="Simplified Arabic" w:hint="cs"/>
          <w:b/>
          <w:bCs/>
          <w:kern w:val="0"/>
          <w:sz w:val="28"/>
          <w:szCs w:val="28"/>
          <w:rtl/>
          <w14:ligatures w14:val="none"/>
        </w:rPr>
        <w:t>سكوت</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(Scott's Pi)</w:t>
      </w:r>
      <w:r w:rsidRPr="00CC180C">
        <w:rPr>
          <w:rFonts w:ascii="Simplified Arabic" w:eastAsia="Times New Roman" w:hAnsi="Simplified Arabic" w:cs="Simplified Arabic" w:hint="cs"/>
          <w:kern w:val="0"/>
          <w:sz w:val="28"/>
          <w:szCs w:val="28"/>
          <w:rtl/>
          <w14:ligatures w14:val="none"/>
        </w:rPr>
        <w:t>، وسيُقبَل معامل ثبات لا يقلّ عن</w:t>
      </w:r>
      <w:r w:rsidRPr="00CC180C">
        <w:rPr>
          <w:rFonts w:ascii="Simplified Arabic" w:eastAsia="Times New Roman" w:hAnsi="Simplified Arabic" w:cs="Simplified Arabic" w:hint="cs"/>
          <w:kern w:val="0"/>
          <w:sz w:val="28"/>
          <w:szCs w:val="28"/>
          <w14:ligatures w14:val="none"/>
        </w:rPr>
        <w:t xml:space="preserve"> (0.85).</w:t>
      </w:r>
    </w:p>
    <w:p w14:paraId="3435C0D4" w14:textId="28EB34ED"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52" w:name="_Toc225935201"/>
      <w:r w:rsidRPr="00CC180C">
        <w:rPr>
          <w:rFonts w:ascii="Simplified Arabic" w:eastAsia="Times New Roman" w:hAnsi="Simplified Arabic" w:cs="Simplified Arabic" w:hint="cs"/>
          <w:b/>
          <w:bCs/>
          <w:kern w:val="0"/>
          <w:sz w:val="28"/>
          <w:szCs w:val="28"/>
          <w:rtl/>
          <w14:ligatures w14:val="none"/>
        </w:rPr>
        <w:t>الأساليب الإحصائية المستخدمة</w:t>
      </w:r>
      <w:bookmarkEnd w:id="52"/>
    </w:p>
    <w:p w14:paraId="0D334D1A"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 xml:space="preserve">ستُعالَج البيانات باستخدام برنامج الحزمة الإحصائية للعلوم الاجتماعية </w:t>
      </w:r>
      <w:r w:rsidRPr="00CC180C">
        <w:rPr>
          <w:rFonts w:ascii="Simplified Arabic" w:eastAsia="Times New Roman" w:hAnsi="Simplified Arabic" w:cs="Simplified Arabic" w:hint="cs"/>
          <w:b/>
          <w:bCs/>
          <w:kern w:val="0"/>
          <w:sz w:val="28"/>
          <w:szCs w:val="28"/>
          <w14:ligatures w14:val="none"/>
        </w:rPr>
        <w:t>SPSS</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وبرنامج </w:t>
      </w:r>
      <w:r w:rsidRPr="00CC180C">
        <w:rPr>
          <w:rFonts w:ascii="Simplified Arabic" w:eastAsia="Times New Roman" w:hAnsi="Simplified Arabic" w:cs="Simplified Arabic" w:hint="cs"/>
          <w:b/>
          <w:bCs/>
          <w:kern w:val="0"/>
          <w:sz w:val="28"/>
          <w:szCs w:val="28"/>
          <w14:ligatures w14:val="none"/>
        </w:rPr>
        <w:t>Excel</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 xml:space="preserve">للمعالجة الأولية، وستُوظَّف الأساليب الإحصائية التالية: التكرارات والنسب المئوية لوصف خصائص المحتوى وتوزيع الفئات، والمتوسطات الحسابية والانحرافات المعيارية لوصف مؤشرات التفاعل، واختبار </w:t>
      </w:r>
      <w:r w:rsidRPr="00CC180C">
        <w:rPr>
          <w:rFonts w:ascii="Simplified Arabic" w:eastAsia="Times New Roman" w:hAnsi="Simplified Arabic" w:cs="Simplified Arabic" w:hint="cs"/>
          <w:b/>
          <w:bCs/>
          <w:kern w:val="0"/>
          <w:sz w:val="28"/>
          <w:szCs w:val="28"/>
          <w:rtl/>
          <w14:ligatures w14:val="none"/>
        </w:rPr>
        <w:t>كروسكال-واليس</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(Kruskal-Wallis H Test) </w:t>
      </w:r>
      <w:r w:rsidRPr="00CC180C">
        <w:rPr>
          <w:rFonts w:ascii="Simplified Arabic" w:eastAsia="Times New Roman" w:hAnsi="Simplified Arabic" w:cs="Simplified Arabic" w:hint="cs"/>
          <w:kern w:val="0"/>
          <w:sz w:val="28"/>
          <w:szCs w:val="28"/>
          <w:rtl/>
          <w14:ligatures w14:val="none"/>
        </w:rPr>
        <w:t xml:space="preserve">للمقارنة بين الحملات الثلاث والمراحل الزمنية وأنماط المحتوى (نظرًا للطبيعة اللامعلمية المتوقعة لبيانات التفاعل)، واختبار </w:t>
      </w:r>
      <w:r w:rsidRPr="00CC180C">
        <w:rPr>
          <w:rFonts w:ascii="Simplified Arabic" w:eastAsia="Times New Roman" w:hAnsi="Simplified Arabic" w:cs="Simplified Arabic" w:hint="cs"/>
          <w:b/>
          <w:bCs/>
          <w:kern w:val="0"/>
          <w:sz w:val="28"/>
          <w:szCs w:val="28"/>
          <w:rtl/>
          <w14:ligatures w14:val="none"/>
        </w:rPr>
        <w:t>مان-ويتني</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(Mann-Whitney U) </w:t>
      </w:r>
      <w:r w:rsidRPr="00CC180C">
        <w:rPr>
          <w:rFonts w:ascii="Simplified Arabic" w:eastAsia="Times New Roman" w:hAnsi="Simplified Arabic" w:cs="Simplified Arabic" w:hint="cs"/>
          <w:kern w:val="0"/>
          <w:sz w:val="28"/>
          <w:szCs w:val="28"/>
          <w:rtl/>
          <w14:ligatures w14:val="none"/>
        </w:rPr>
        <w:t xml:space="preserve">للمقارنات الثنائية البعدية، ومعامل ارتباط </w:t>
      </w:r>
      <w:r w:rsidRPr="00CC180C">
        <w:rPr>
          <w:rFonts w:ascii="Simplified Arabic" w:eastAsia="Times New Roman" w:hAnsi="Simplified Arabic" w:cs="Simplified Arabic" w:hint="cs"/>
          <w:b/>
          <w:bCs/>
          <w:kern w:val="0"/>
          <w:sz w:val="28"/>
          <w:szCs w:val="28"/>
          <w:rtl/>
          <w14:ligatures w14:val="none"/>
        </w:rPr>
        <w:t>سبيرمان</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(Spearman's rho) </w:t>
      </w:r>
      <w:r w:rsidRPr="00CC180C">
        <w:rPr>
          <w:rFonts w:ascii="Simplified Arabic" w:eastAsia="Times New Roman" w:hAnsi="Simplified Arabic" w:cs="Simplified Arabic" w:hint="cs"/>
          <w:kern w:val="0"/>
          <w:sz w:val="28"/>
          <w:szCs w:val="28"/>
          <w:rtl/>
          <w14:ligatures w14:val="none"/>
        </w:rPr>
        <w:t xml:space="preserve">لاختبار العلاقات الارتباطية بين عدد الهاشتاقات ومؤشرات التفاعل وبين وجود الروابط ومستويات التفاعل، واختبار </w:t>
      </w:r>
      <w:r w:rsidRPr="00CC180C">
        <w:rPr>
          <w:rFonts w:ascii="Simplified Arabic" w:eastAsia="Times New Roman" w:hAnsi="Simplified Arabic" w:cs="Simplified Arabic" w:hint="cs"/>
          <w:b/>
          <w:bCs/>
          <w:kern w:val="0"/>
          <w:sz w:val="28"/>
          <w:szCs w:val="28"/>
          <w:rtl/>
          <w14:ligatures w14:val="none"/>
        </w:rPr>
        <w:t>كاي تربيع</w:t>
      </w:r>
      <w:r w:rsidRPr="00CC180C">
        <w:rPr>
          <w:rFonts w:ascii="Simplified Arabic" w:eastAsia="Times New Roman" w:hAnsi="Simplified Arabic" w:cs="Simplified Arabic" w:hint="cs"/>
          <w:kern w:val="0"/>
          <w:sz w:val="28"/>
          <w:szCs w:val="28"/>
          <w:rtl/>
          <w14:ligatures w14:val="none"/>
        </w:rPr>
        <w:t xml:space="preserve"> </w:t>
      </w:r>
      <w:r w:rsidRPr="00CC180C">
        <w:rPr>
          <w:rFonts w:ascii="Simplified Arabic" w:eastAsia="Times New Roman" w:hAnsi="Simplified Arabic" w:cs="Simplified Arabic" w:hint="cs"/>
          <w:kern w:val="0"/>
          <w:sz w:val="28"/>
          <w:szCs w:val="28"/>
          <w14:ligatures w14:val="none"/>
        </w:rPr>
        <w:t xml:space="preserve">(Chi-Square) </w:t>
      </w:r>
      <w:r w:rsidRPr="00CC180C">
        <w:rPr>
          <w:rFonts w:ascii="Simplified Arabic" w:eastAsia="Times New Roman" w:hAnsi="Simplified Arabic" w:cs="Simplified Arabic" w:hint="cs"/>
          <w:kern w:val="0"/>
          <w:sz w:val="28"/>
          <w:szCs w:val="28"/>
          <w:rtl/>
          <w14:ligatures w14:val="none"/>
        </w:rPr>
        <w:t>لدراسة العلاقة بين المتغيرات التصنيفية، فضلًا عن الرسوم البيانية والتمثيلات المرئية لعرض النتائج</w:t>
      </w:r>
      <w:r w:rsidRPr="00CC180C">
        <w:rPr>
          <w:rFonts w:ascii="Simplified Arabic" w:eastAsia="Times New Roman" w:hAnsi="Simplified Arabic" w:cs="Simplified Arabic" w:hint="cs"/>
          <w:kern w:val="0"/>
          <w:sz w:val="28"/>
          <w:szCs w:val="28"/>
          <w14:ligatures w14:val="none"/>
        </w:rPr>
        <w:t>.</w:t>
      </w:r>
    </w:p>
    <w:p w14:paraId="1566ADBD" w14:textId="625A2311" w:rsidR="00CC180C" w:rsidRPr="00CC180C" w:rsidRDefault="00CC180C" w:rsidP="00CC180C">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53" w:name="_Toc225935202"/>
      <w:r w:rsidRPr="00CC180C">
        <w:rPr>
          <w:rFonts w:ascii="Simplified Arabic" w:eastAsia="Times New Roman" w:hAnsi="Simplified Arabic" w:cs="Simplified Arabic" w:hint="cs"/>
          <w:b/>
          <w:bCs/>
          <w:kern w:val="0"/>
          <w:sz w:val="28"/>
          <w:szCs w:val="28"/>
          <w:rtl/>
          <w14:ligatures w14:val="none"/>
        </w:rPr>
        <w:lastRenderedPageBreak/>
        <w:t>حدود الدراسة</w:t>
      </w:r>
      <w:bookmarkEnd w:id="53"/>
    </w:p>
    <w:p w14:paraId="1F23EDD3"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الحدود الموضوعية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ستقتصر الدراسة على تحليل المحتوى الرقمي المرتبط بحملات أعوام الثقافة الثلاث (عام الخط العربي، عام القهوة السعودية، عام الشعر العربي) ودوره في ترويج التراث السعودي ضمن رؤية 2030</w:t>
      </w:r>
      <w:r w:rsidRPr="00CC180C">
        <w:rPr>
          <w:rFonts w:ascii="Simplified Arabic" w:eastAsia="Times New Roman" w:hAnsi="Simplified Arabic" w:cs="Simplified Arabic" w:hint="cs"/>
          <w:kern w:val="0"/>
          <w:sz w:val="28"/>
          <w:szCs w:val="28"/>
          <w14:ligatures w14:val="none"/>
        </w:rPr>
        <w:t>.</w:t>
      </w:r>
    </w:p>
    <w:p w14:paraId="40677A0A"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الحدود المكانية (المنصّة)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ستُحلَّل المنشورات المنشورة على منصة</w:t>
      </w:r>
      <w:r w:rsidRPr="00CC180C">
        <w:rPr>
          <w:rFonts w:ascii="Simplified Arabic" w:eastAsia="Times New Roman" w:hAnsi="Simplified Arabic" w:cs="Simplified Arabic" w:hint="cs"/>
          <w:kern w:val="0"/>
          <w:sz w:val="28"/>
          <w:szCs w:val="28"/>
          <w14:ligatures w14:val="none"/>
        </w:rPr>
        <w:t xml:space="preserve"> X </w:t>
      </w:r>
      <w:r w:rsidRPr="00CC180C">
        <w:rPr>
          <w:rFonts w:ascii="Simplified Arabic" w:eastAsia="Times New Roman" w:hAnsi="Simplified Arabic" w:cs="Simplified Arabic" w:hint="cs"/>
          <w:kern w:val="0"/>
          <w:sz w:val="28"/>
          <w:szCs w:val="28"/>
          <w:rtl/>
          <w14:ligatures w14:val="none"/>
        </w:rPr>
        <w:t>حصرًا من خلال الحساب الرسمي لوزارة الثقافة السعودية</w:t>
      </w:r>
      <w:r w:rsidRPr="00CC180C">
        <w:rPr>
          <w:rFonts w:ascii="Simplified Arabic" w:eastAsia="Times New Roman" w:hAnsi="Simplified Arabic" w:cs="Simplified Arabic" w:hint="cs"/>
          <w:kern w:val="0"/>
          <w:sz w:val="28"/>
          <w:szCs w:val="28"/>
          <w14:ligatures w14:val="none"/>
        </w:rPr>
        <w:t xml:space="preserve"> (@MOCulture)</w:t>
      </w:r>
      <w:r w:rsidRPr="00CC180C">
        <w:rPr>
          <w:rFonts w:ascii="Simplified Arabic" w:eastAsia="Times New Roman" w:hAnsi="Simplified Arabic" w:cs="Simplified Arabic" w:hint="cs"/>
          <w:kern w:val="0"/>
          <w:sz w:val="28"/>
          <w:szCs w:val="28"/>
          <w:rtl/>
          <w14:ligatures w14:val="none"/>
        </w:rPr>
        <w:t>، دون التوسّع في منصّات أخرى كإنستغرام أو يوتيوب أو سناب شات</w:t>
      </w:r>
      <w:r w:rsidRPr="00CC180C">
        <w:rPr>
          <w:rFonts w:ascii="Simplified Arabic" w:eastAsia="Times New Roman" w:hAnsi="Simplified Arabic" w:cs="Simplified Arabic" w:hint="cs"/>
          <w:kern w:val="0"/>
          <w:sz w:val="28"/>
          <w:szCs w:val="28"/>
          <w14:ligatures w14:val="none"/>
        </w:rPr>
        <w:t>.</w:t>
      </w:r>
    </w:p>
    <w:p w14:paraId="5CC1A8EC" w14:textId="77777777" w:rsidR="00CC180C" w:rsidRPr="00CC180C" w:rsidRDefault="00CC180C" w:rsidP="00CC180C">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b/>
          <w:bCs/>
          <w:kern w:val="0"/>
          <w:sz w:val="28"/>
          <w:szCs w:val="28"/>
          <w:rtl/>
          <w14:ligatures w14:val="none"/>
        </w:rPr>
        <w:t>الحدود الزمنية</w:t>
      </w:r>
      <w:r w:rsidRPr="00CC180C">
        <w:rPr>
          <w:rFonts w:ascii="Simplified Arabic" w:eastAsia="Times New Roman" w:hAnsi="Simplified Arabic" w:cs="Simplified Arabic" w:hint="cs"/>
          <w:kern w:val="0"/>
          <w:sz w:val="28"/>
          <w:szCs w:val="28"/>
          <w14:ligatures w14:val="none"/>
        </w:rPr>
        <w:t xml:space="preserve">: </w:t>
      </w:r>
      <w:r w:rsidRPr="00CC180C">
        <w:rPr>
          <w:rFonts w:ascii="Simplified Arabic" w:eastAsia="Times New Roman" w:hAnsi="Simplified Arabic" w:cs="Simplified Arabic" w:hint="cs"/>
          <w:kern w:val="0"/>
          <w:sz w:val="28"/>
          <w:szCs w:val="28"/>
          <w:rtl/>
          <w14:ligatures w14:val="none"/>
        </w:rPr>
        <w:t>ستمتدّ فترة التحليل لتشمل ثلاث فترات لكل حملة — أسبوعان قبل الإطلاق الرسمي، والمدة الكاملة للحملة، وأسبوعان بعد انتهائها — وذلك على النحو التالي: عام الخط العربي (2020–2021)، عام القهوة السعودية (يناير–ديسمبر 2022)، عام الشعر العربي (يناير–ديسمبر 2023)</w:t>
      </w:r>
      <w:r w:rsidRPr="00CC180C">
        <w:rPr>
          <w:rFonts w:ascii="Simplified Arabic" w:eastAsia="Times New Roman" w:hAnsi="Simplified Arabic" w:cs="Simplified Arabic" w:hint="cs"/>
          <w:kern w:val="0"/>
          <w:sz w:val="28"/>
          <w:szCs w:val="28"/>
          <w14:ligatures w14:val="none"/>
        </w:rPr>
        <w:t>.</w:t>
      </w:r>
    </w:p>
    <w:p w14:paraId="73484324" w14:textId="77777777" w:rsidR="004666B3" w:rsidRPr="00CC180C" w:rsidRDefault="004666B3" w:rsidP="00CC180C">
      <w:pPr>
        <w:spacing w:line="276" w:lineRule="auto"/>
        <w:jc w:val="both"/>
        <w:rPr>
          <w:rFonts w:ascii="Simplified Arabic" w:eastAsiaTheme="majorEastAsia" w:hAnsi="Simplified Arabic" w:cs="Simplified Arabic"/>
          <w:b/>
          <w:bCs/>
          <w:sz w:val="28"/>
          <w:szCs w:val="28"/>
          <w:rtl/>
        </w:rPr>
      </w:pPr>
      <w:r w:rsidRPr="00CC180C">
        <w:rPr>
          <w:rFonts w:ascii="Simplified Arabic" w:hAnsi="Simplified Arabic" w:cs="Simplified Arabic" w:hint="cs"/>
          <w:sz w:val="28"/>
          <w:szCs w:val="28"/>
          <w:rtl/>
        </w:rPr>
        <w:br w:type="page"/>
      </w:r>
    </w:p>
    <w:p w14:paraId="37EB1868" w14:textId="1A8B765B" w:rsidR="003E0E80" w:rsidRPr="00CC180C" w:rsidRDefault="00A74F76" w:rsidP="00CC180C">
      <w:pPr>
        <w:pStyle w:val="1"/>
        <w:jc w:val="both"/>
        <w:rPr>
          <w:sz w:val="28"/>
          <w:szCs w:val="28"/>
          <w:rtl/>
        </w:rPr>
      </w:pPr>
      <w:bookmarkStart w:id="54" w:name="_Toc225935203"/>
      <w:r w:rsidRPr="00CC180C">
        <w:rPr>
          <w:rFonts w:hint="cs"/>
          <w:sz w:val="28"/>
          <w:szCs w:val="28"/>
          <w:rtl/>
        </w:rPr>
        <w:lastRenderedPageBreak/>
        <w:t>المراجع:</w:t>
      </w:r>
      <w:bookmarkEnd w:id="48"/>
      <w:bookmarkEnd w:id="54"/>
      <w:r w:rsidRPr="00CC180C">
        <w:rPr>
          <w:rFonts w:hint="cs"/>
          <w:sz w:val="28"/>
          <w:szCs w:val="28"/>
          <w:rtl/>
        </w:rPr>
        <w:t xml:space="preserve"> </w:t>
      </w:r>
    </w:p>
    <w:p w14:paraId="6028641D" w14:textId="77777777" w:rsidR="00D40E84" w:rsidRPr="00CC180C" w:rsidRDefault="00D40E84" w:rsidP="00CC180C">
      <w:pPr>
        <w:pStyle w:val="1"/>
        <w:jc w:val="both"/>
        <w:rPr>
          <w:rFonts w:eastAsia="Times New Roman"/>
          <w:kern w:val="0"/>
          <w:sz w:val="28"/>
          <w:szCs w:val="28"/>
          <w14:ligatures w14:val="none"/>
        </w:rPr>
      </w:pPr>
      <w:bookmarkStart w:id="55" w:name="_Toc225698079"/>
      <w:bookmarkStart w:id="56" w:name="_Toc225935204"/>
      <w:r w:rsidRPr="00CC180C">
        <w:rPr>
          <w:rFonts w:eastAsia="Times New Roman" w:hint="cs"/>
          <w:kern w:val="0"/>
          <w:sz w:val="28"/>
          <w:szCs w:val="28"/>
          <w:rtl/>
          <w14:ligatures w14:val="none"/>
        </w:rPr>
        <w:t>أولاً: المراجع العربية</w:t>
      </w:r>
      <w:bookmarkEnd w:id="55"/>
      <w:bookmarkEnd w:id="56"/>
    </w:p>
    <w:p w14:paraId="43521470" w14:textId="3841178C" w:rsidR="00F4755E" w:rsidRPr="00DC5A70" w:rsidRDefault="00F4755E" w:rsidP="001F6343">
      <w:pPr>
        <w:pStyle w:val="a6"/>
        <w:numPr>
          <w:ilvl w:val="0"/>
          <w:numId w:val="4"/>
        </w:numPr>
        <w:spacing w:line="276" w:lineRule="auto"/>
        <w:jc w:val="both"/>
        <w:rPr>
          <w:rFonts w:ascii="Simplified Arabic" w:hAnsi="Simplified Arabic" w:cs="Simplified Arabic"/>
          <w:sz w:val="28"/>
          <w:szCs w:val="28"/>
          <w:rtl/>
        </w:rPr>
      </w:pPr>
      <w:r w:rsidRPr="00DC5A70">
        <w:rPr>
          <w:rFonts w:ascii="Simplified Arabic" w:hAnsi="Simplified Arabic" w:cs="Simplified Arabic" w:hint="cs"/>
          <w:sz w:val="28"/>
          <w:szCs w:val="28"/>
          <w:rtl/>
        </w:rPr>
        <w:t xml:space="preserve">بخيت، هاشم عوض فضل السيد. (2025). السياحة والترويج الآثاري: تعريف المنتج وتعزيز كفاءة الإتصال : دراسة تحليلية. مجلة القلزم للدراسات الآثارية والسياحية، ع22 ، 141 - 154. مسترجع من </w:t>
      </w:r>
      <w:hyperlink r:id="rId9" w:history="1">
        <w:r w:rsidRPr="00DC5A70">
          <w:rPr>
            <w:rStyle w:val="Hyperlink"/>
            <w:rFonts w:ascii="Simplified Arabic" w:hAnsi="Simplified Arabic" w:cs="Simplified Arabic" w:hint="cs"/>
            <w:sz w:val="28"/>
            <w:szCs w:val="28"/>
          </w:rPr>
          <w:t>http://search.mandumah.com/Record/1533648</w:t>
        </w:r>
      </w:hyperlink>
    </w:p>
    <w:p w14:paraId="1AC228A5" w14:textId="014E60A3"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عبدالعزيز، ناجي عادل، و الكارب، سلمى يوسف. (2021). الترويج الإعلامي للسياحة بالسودان. مجلة الدراسات العليا، ع5 ، 81 - 95. مسترجع من </w:t>
      </w:r>
      <w:hyperlink r:id="rId10" w:history="1">
        <w:r w:rsidRPr="00DC5A70">
          <w:rPr>
            <w:rStyle w:val="Hyperlink"/>
            <w:rFonts w:ascii="Simplified Arabic" w:eastAsia="Times New Roman" w:hAnsi="Simplified Arabic" w:cs="Simplified Arabic" w:hint="cs"/>
            <w:kern w:val="0"/>
            <w:sz w:val="28"/>
            <w:szCs w:val="28"/>
            <w14:ligatures w14:val="none"/>
          </w:rPr>
          <w:t>http://search.mandumah.com/Record/1275499</w:t>
        </w:r>
      </w:hyperlink>
    </w:p>
    <w:p w14:paraId="1E44EB41" w14:textId="31B022FD"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غنيمات، تسنيم راتب موسى، و علاونة، فراس محمد. (2024). دور الإعلام في الترويج السياحي: حالة الدراسة موقع التراث العالمي السلط: دراسة وصفية تحليلية (رسالة ماجستير غير منشورة). الجامعة الهاشمية، الزرقاء. مسترجع من </w:t>
      </w:r>
      <w:hyperlink r:id="rId11" w:history="1">
        <w:r w:rsidRPr="00DC5A70">
          <w:rPr>
            <w:rStyle w:val="Hyperlink"/>
            <w:rFonts w:ascii="Simplified Arabic" w:eastAsia="Times New Roman" w:hAnsi="Simplified Arabic" w:cs="Simplified Arabic" w:hint="cs"/>
            <w:kern w:val="0"/>
            <w:sz w:val="28"/>
            <w:szCs w:val="28"/>
            <w14:ligatures w14:val="none"/>
          </w:rPr>
          <w:t>http://search.mandumah.com/Record/1530060</w:t>
        </w:r>
      </w:hyperlink>
    </w:p>
    <w:p w14:paraId="3F20D140" w14:textId="0FF7C4CB"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طيبي، أمال، و حمادي، محمد. (2025). الترويج السياحي عبر التدوين المرئي: تمثلات مدينة وهران في صور إنستغرام: دراسة سيميولوجية. مجلة العلوم القانونية والاجتماعية، مج10, ع4 ، 409 - 424. مسترجع من </w:t>
      </w:r>
      <w:hyperlink r:id="rId12" w:history="1">
        <w:r w:rsidRPr="00DC5A70">
          <w:rPr>
            <w:rStyle w:val="Hyperlink"/>
            <w:rFonts w:ascii="Simplified Arabic" w:eastAsia="Times New Roman" w:hAnsi="Simplified Arabic" w:cs="Simplified Arabic" w:hint="cs"/>
            <w:kern w:val="0"/>
            <w:sz w:val="28"/>
            <w:szCs w:val="28"/>
            <w14:ligatures w14:val="none"/>
          </w:rPr>
          <w:t>http://search.mandumah.com/Record/1644995</w:t>
        </w:r>
      </w:hyperlink>
    </w:p>
    <w:p w14:paraId="228780D8" w14:textId="438C9CA8"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مسلم، ياسمين حسين. (2022). دور وسائل التواصل الاجتماعي في الترويج السياحي: المتحف القومي للحضارة المصرية وطريق الكباش في مصر نموذجا. مجلة العمارة والفنون والعلوم الإنسانية، عدد خاص ، 1119 - 1133. مسترجع من </w:t>
      </w:r>
      <w:hyperlink r:id="rId13" w:history="1">
        <w:r w:rsidRPr="00DC5A70">
          <w:rPr>
            <w:rStyle w:val="Hyperlink"/>
            <w:rFonts w:ascii="Simplified Arabic" w:eastAsia="Times New Roman" w:hAnsi="Simplified Arabic" w:cs="Simplified Arabic" w:hint="cs"/>
            <w:kern w:val="0"/>
            <w:sz w:val="28"/>
            <w:szCs w:val="28"/>
            <w14:ligatures w14:val="none"/>
          </w:rPr>
          <w:t>http://search.mandumah.com/Record/1390552</w:t>
        </w:r>
      </w:hyperlink>
    </w:p>
    <w:p w14:paraId="2E28E81D" w14:textId="46C4DF29"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الشاعر، عبدالرحمن بن إبراهيم. (2025). الذكاء الاصطناعي والمحتوى الرقمي. مجلة العلوم التربوية، مج12, ع1 ، 365 - 381. مسترجع من </w:t>
      </w:r>
      <w:hyperlink r:id="rId14" w:history="1">
        <w:r w:rsidRPr="00DC5A70">
          <w:rPr>
            <w:rStyle w:val="Hyperlink"/>
            <w:rFonts w:ascii="Simplified Arabic" w:eastAsia="Times New Roman" w:hAnsi="Simplified Arabic" w:cs="Simplified Arabic" w:hint="cs"/>
            <w:kern w:val="0"/>
            <w:sz w:val="28"/>
            <w:szCs w:val="28"/>
            <w14:ligatures w14:val="none"/>
          </w:rPr>
          <w:t>http://search.mandumah.com/Record/1573921</w:t>
        </w:r>
      </w:hyperlink>
    </w:p>
    <w:p w14:paraId="79CAFA6F" w14:textId="733CEFFF"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lastRenderedPageBreak/>
        <w:t xml:space="preserve">الرابغي، ريم علي محمد. (2016). دور المحتوى الرقمي العربي في الوصول إلى مجتمع المعرفة: دراسة حالة لمبادرة الملك عبدالله للمحتوى العربي. المجلة الأردنية للمكتبات والمعلومات، مج51, ع3 ، 75 - 118. مسترجع من </w:t>
      </w:r>
      <w:hyperlink r:id="rId15" w:history="1">
        <w:r w:rsidRPr="00DC5A70">
          <w:rPr>
            <w:rStyle w:val="Hyperlink"/>
            <w:rFonts w:ascii="Simplified Arabic" w:eastAsia="Times New Roman" w:hAnsi="Simplified Arabic" w:cs="Simplified Arabic" w:hint="cs"/>
            <w:kern w:val="0"/>
            <w:sz w:val="28"/>
            <w:szCs w:val="28"/>
            <w14:ligatures w14:val="none"/>
          </w:rPr>
          <w:t>http://search.mandumah.com/Record/804136</w:t>
        </w:r>
      </w:hyperlink>
    </w:p>
    <w:p w14:paraId="2AB79F4E" w14:textId="39A3D233"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rtl/>
          <w14:ligatures w14:val="none"/>
        </w:rPr>
        <w:t xml:space="preserve">شاهين، شريف كامل محمود. (2010). دور الجامعات في إثراء المحتوى الرقمي على الإنترنت: نحو إستراتيجية لجامعة القاهرة. مؤتمر المحتوى العربي في الانترنت - التحديات والطموح، مج 1 ، الرياض: جامعة الإمام محمد بن سعود الإسلامية، 455 - 515. مسترجع من </w:t>
      </w:r>
      <w:hyperlink r:id="rId16" w:history="1">
        <w:r w:rsidRPr="00DC5A70">
          <w:rPr>
            <w:rStyle w:val="Hyperlink"/>
            <w:rFonts w:ascii="Simplified Arabic" w:eastAsia="Times New Roman" w:hAnsi="Simplified Arabic" w:cs="Simplified Arabic" w:hint="cs"/>
            <w:kern w:val="0"/>
            <w:sz w:val="28"/>
            <w:szCs w:val="28"/>
            <w14:ligatures w14:val="none"/>
          </w:rPr>
          <w:t>http://search.mandumah.com/Record/101299</w:t>
        </w:r>
      </w:hyperlink>
    </w:p>
    <w:p w14:paraId="7CB557D0" w14:textId="74D4B44E"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الطيبي، دعاء إياد، و سرحان، عبدالكريم. (2021). دور العلاقات العامة في صناعة المحتوى الرقمي لتعزيز الثقة المؤسسية: بنك فلسطين نموذجا (رسالة ماجستير غير منشورة). جامعة النجاح الوطنية، نابلس. مسترجع من </w:t>
      </w:r>
      <w:hyperlink r:id="rId17" w:history="1">
        <w:r w:rsidRPr="00DC5A70">
          <w:rPr>
            <w:rStyle w:val="Hyperlink"/>
            <w:rFonts w:ascii="Simplified Arabic" w:eastAsia="Times New Roman" w:hAnsi="Simplified Arabic" w:cs="Simplified Arabic" w:hint="cs"/>
            <w:kern w:val="0"/>
            <w:sz w:val="28"/>
            <w:szCs w:val="28"/>
            <w14:ligatures w14:val="none"/>
          </w:rPr>
          <w:t>http://search.mandumah.com/Record/1330873</w:t>
        </w:r>
      </w:hyperlink>
    </w:p>
    <w:p w14:paraId="612E4C67" w14:textId="6C0D6243"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قطب، فاطمة فايز عبده. (2025). استدامة صناع المحتوى الرقمي في بيئة التواصل الاجتماعي: دراسة إثنوغرافية حول دور رأس المال الاجتماعي. المجلة المصرية لبحوث الاتصال الجماهيري، مج8, ع2 ، 421 - 515. مسترجع من </w:t>
      </w:r>
      <w:hyperlink r:id="rId18" w:history="1">
        <w:r w:rsidRPr="00DC5A70">
          <w:rPr>
            <w:rStyle w:val="Hyperlink"/>
            <w:rFonts w:ascii="Simplified Arabic" w:eastAsia="Times New Roman" w:hAnsi="Simplified Arabic" w:cs="Simplified Arabic" w:hint="cs"/>
            <w:kern w:val="0"/>
            <w:sz w:val="28"/>
            <w:szCs w:val="28"/>
            <w14:ligatures w14:val="none"/>
          </w:rPr>
          <w:t>http://search.mandumah.com/Record/1602273</w:t>
        </w:r>
      </w:hyperlink>
    </w:p>
    <w:p w14:paraId="0619CC80" w14:textId="322E5205"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القحطاني، عبدالله بن إبراهيم بن عبدالرحمن. (2021). دور صناعة المحتوى الرقمي لمنصة إثرائي في رفع الوعي المعرفي لدى موظفي الدولة بالمملكة العربية السعودية: دراسة استطلاعية. كتاب أعمال الملتقى الإفتراضي الأول لجمعية المكتبات المتخصصة فرع الخليج العربي : الثورة الصناعية الرابعة ومؤسسات المعلومات الخليجية - الفرص والتحديات والممارسات، جمعية المكتبات المتخصصة فرع الخليج العربي، 451 - 482. مسترجع من </w:t>
      </w:r>
      <w:hyperlink r:id="rId19" w:history="1">
        <w:r w:rsidRPr="00DC5A70">
          <w:rPr>
            <w:rStyle w:val="Hyperlink"/>
            <w:rFonts w:ascii="Simplified Arabic" w:eastAsia="Times New Roman" w:hAnsi="Simplified Arabic" w:cs="Simplified Arabic" w:hint="cs"/>
            <w:kern w:val="0"/>
            <w:sz w:val="28"/>
            <w:szCs w:val="28"/>
            <w14:ligatures w14:val="none"/>
          </w:rPr>
          <w:t>http://search.mandumah.com/Record/1654242</w:t>
        </w:r>
      </w:hyperlink>
    </w:p>
    <w:p w14:paraId="623B5406" w14:textId="1356118D"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عبدالله، خالد عتيق سعيد، الهنائي، عبدالله بن سالم بن سعيد، و الحسيني، محمد بن عبدالله. (2024). ذاكرة عمان الرقمية وجهودها في تعزيز المحتوى الرقمي العماني والعربي. مجلة المركز العربي للبحوث والدراسات في علوم المكتبات والمعلومات، مج11, ع21 ، 84 - 91. مسترجع من </w:t>
      </w:r>
      <w:hyperlink r:id="rId20" w:history="1">
        <w:r w:rsidRPr="00DC5A70">
          <w:rPr>
            <w:rStyle w:val="Hyperlink"/>
            <w:rFonts w:ascii="Simplified Arabic" w:eastAsia="Times New Roman" w:hAnsi="Simplified Arabic" w:cs="Simplified Arabic" w:hint="cs"/>
            <w:kern w:val="0"/>
            <w:sz w:val="28"/>
            <w:szCs w:val="28"/>
            <w14:ligatures w14:val="none"/>
          </w:rPr>
          <w:t>http://search.mandumah.com/Record/1444640</w:t>
        </w:r>
      </w:hyperlink>
    </w:p>
    <w:p w14:paraId="0B9E2F46" w14:textId="2EEAB14E"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lastRenderedPageBreak/>
        <w:t xml:space="preserve">بادي، سوهام، و بادي، سامية. (2020). إثراء المحتوى الرقمي العربي من خلال المنصات الإلكترونية العربية. اللغة العربية، ع49 ، 133 - 160. مسترجع من </w:t>
      </w:r>
      <w:hyperlink r:id="rId21" w:history="1">
        <w:r w:rsidRPr="00DC5A70">
          <w:rPr>
            <w:rStyle w:val="Hyperlink"/>
            <w:rFonts w:ascii="Simplified Arabic" w:eastAsia="Times New Roman" w:hAnsi="Simplified Arabic" w:cs="Simplified Arabic" w:hint="cs"/>
            <w:kern w:val="0"/>
            <w:sz w:val="28"/>
            <w:szCs w:val="28"/>
            <w14:ligatures w14:val="none"/>
          </w:rPr>
          <w:t>http://search.mandumah.com/Record/1054978</w:t>
        </w:r>
      </w:hyperlink>
    </w:p>
    <w:p w14:paraId="4233ADB0" w14:textId="25BE3FCE"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مجاهد، رباب أحمد أحمد. (2025). تأثير صناع المحتوى الرقمي على الحياة اليومية للمرأة العاملة: دراسة سوسيولوجية على عينة من العاملات بجامعة المنصورة. مجلة بحوث كلية الآداب، ع140, ج3 ، 209 - 246. مسترجع من </w:t>
      </w:r>
      <w:hyperlink r:id="rId22" w:history="1">
        <w:r w:rsidRPr="00DC5A70">
          <w:rPr>
            <w:rStyle w:val="Hyperlink"/>
            <w:rFonts w:ascii="Simplified Arabic" w:eastAsia="Times New Roman" w:hAnsi="Simplified Arabic" w:cs="Simplified Arabic" w:hint="cs"/>
            <w:kern w:val="0"/>
            <w:sz w:val="28"/>
            <w:szCs w:val="28"/>
            <w14:ligatures w14:val="none"/>
          </w:rPr>
          <w:t>http://search.mandumah.com/Record/1557679</w:t>
        </w:r>
      </w:hyperlink>
    </w:p>
    <w:p w14:paraId="62296F9A" w14:textId="0E01A02B" w:rsidR="00F4755E" w:rsidRPr="00DC5A70" w:rsidRDefault="00F4755E" w:rsidP="001F6343">
      <w:pPr>
        <w:pStyle w:val="a6"/>
        <w:numPr>
          <w:ilvl w:val="0"/>
          <w:numId w:val="4"/>
        </w:numPr>
        <w:spacing w:line="276" w:lineRule="auto"/>
        <w:jc w:val="both"/>
        <w:rPr>
          <w:rFonts w:ascii="Simplified Arabic" w:eastAsia="Times New Roman" w:hAnsi="Simplified Arabic" w:cs="Simplified Arabic"/>
          <w:kern w:val="0"/>
          <w:sz w:val="28"/>
          <w:szCs w:val="28"/>
          <w:rtl/>
          <w14:ligatures w14:val="none"/>
        </w:rPr>
      </w:pPr>
      <w:r w:rsidRPr="00DC5A70">
        <w:rPr>
          <w:rFonts w:ascii="Simplified Arabic" w:eastAsia="Times New Roman" w:hAnsi="Simplified Arabic" w:cs="Simplified Arabic" w:hint="cs"/>
          <w:kern w:val="0"/>
          <w:sz w:val="28"/>
          <w:szCs w:val="28"/>
          <w:rtl/>
          <w14:ligatures w14:val="none"/>
        </w:rPr>
        <w:t xml:space="preserve">محمد، عبدالله عبدالرحيم. (2023). دور المحتوى الرقمي للصحف المصرية في تشكيل تصورات الجمهور حول قضايا التغيرات المناخية: دراسة ميدانية. المجلة العلمية لبحوث الإعلام وتكنولوجيا الاتصال، ع14 ، 256 - 289. مسترجع من </w:t>
      </w:r>
      <w:hyperlink r:id="rId23" w:history="1">
        <w:r w:rsidRPr="00DC5A70">
          <w:rPr>
            <w:rStyle w:val="Hyperlink"/>
            <w:rFonts w:ascii="Simplified Arabic" w:eastAsia="Times New Roman" w:hAnsi="Simplified Arabic" w:cs="Simplified Arabic" w:hint="cs"/>
            <w:kern w:val="0"/>
            <w:sz w:val="28"/>
            <w:szCs w:val="28"/>
            <w14:ligatures w14:val="none"/>
          </w:rPr>
          <w:t>http://search.mandumah.com/Record/1511201</w:t>
        </w:r>
      </w:hyperlink>
    </w:p>
    <w:p w14:paraId="7E1C2082" w14:textId="77777777" w:rsidR="00F4755E" w:rsidRPr="00CC180C" w:rsidRDefault="00F4755E" w:rsidP="00CC180C">
      <w:pPr>
        <w:spacing w:line="276" w:lineRule="auto"/>
        <w:ind w:left="360"/>
        <w:jc w:val="both"/>
        <w:rPr>
          <w:rFonts w:ascii="Simplified Arabic" w:eastAsia="Times New Roman" w:hAnsi="Simplified Arabic" w:cs="Simplified Arabic"/>
          <w:kern w:val="0"/>
          <w:sz w:val="28"/>
          <w:szCs w:val="28"/>
          <w:rtl/>
          <w14:ligatures w14:val="none"/>
        </w:rPr>
      </w:pPr>
    </w:p>
    <w:p w14:paraId="0F114585" w14:textId="5B81B9CF" w:rsidR="00D40E84" w:rsidRPr="00CC180C" w:rsidRDefault="00D40E84" w:rsidP="00CC180C">
      <w:pPr>
        <w:spacing w:line="276" w:lineRule="auto"/>
        <w:ind w:left="360"/>
        <w:jc w:val="both"/>
        <w:rPr>
          <w:rFonts w:ascii="Simplified Arabic" w:eastAsia="Times New Roman" w:hAnsi="Simplified Arabic" w:cs="Simplified Arabic"/>
          <w:kern w:val="0"/>
          <w:sz w:val="28"/>
          <w:szCs w:val="28"/>
          <w14:ligatures w14:val="none"/>
        </w:rPr>
      </w:pPr>
      <w:r w:rsidRPr="00CC180C">
        <w:rPr>
          <w:rFonts w:ascii="Simplified Arabic" w:eastAsia="Times New Roman" w:hAnsi="Simplified Arabic" w:cs="Simplified Arabic" w:hint="cs"/>
          <w:kern w:val="0"/>
          <w:sz w:val="28"/>
          <w:szCs w:val="28"/>
          <w:rtl/>
          <w14:ligatures w14:val="none"/>
        </w:rPr>
        <w:t>ثانياً: المراجع الأجنبية</w:t>
      </w:r>
    </w:p>
    <w:p w14:paraId="0ABB269E" w14:textId="40313FF5" w:rsidR="00AA0461"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hAnsi="Simplified Arabic" w:cs="Simplified Arabic" w:hint="cs"/>
          <w:sz w:val="28"/>
          <w:szCs w:val="28"/>
        </w:rPr>
        <w:t>Almakaty, S. S. (2025). Preserving and promoting saudi heritage nationally and globally: the role of the saudi heritage commission. Journal of Ecohumanism, 4(1), 1207-1230.</w:t>
      </w:r>
      <w:r w:rsidRPr="00DC5A70">
        <w:rPr>
          <w:rFonts w:ascii="Simplified Arabic" w:hAnsi="Simplified Arabic" w:cs="Simplified Arabic" w:hint="cs"/>
          <w:sz w:val="28"/>
          <w:szCs w:val="28"/>
          <w:rtl/>
        </w:rPr>
        <w:t>‏</w:t>
      </w:r>
    </w:p>
    <w:p w14:paraId="19E180F9" w14:textId="42367523" w:rsidR="007A3E9B"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Lou, C., &amp; Xie, Q. (2021). Something social, something entertaining? How digital content marketing augments consumer experience and brand loyalty. International Journal of Advertising, 40(3), 376-402.</w:t>
      </w:r>
    </w:p>
    <w:p w14:paraId="1E44D8CB" w14:textId="3E7689F2" w:rsidR="007A3E9B"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Shahbaznezhad, H., Dolan, R., &amp; Rashidirad, M. (2021). The role of social media content format and platform in users’ engagement behavior. Journal of Interactive Marketing, 53(1), 47-65.</w:t>
      </w:r>
      <w:r w:rsidRPr="00DC5A70">
        <w:rPr>
          <w:rFonts w:ascii="Simplified Arabic" w:eastAsia="Times New Roman" w:hAnsi="Simplified Arabic" w:cs="Simplified Arabic" w:hint="cs"/>
          <w:kern w:val="0"/>
          <w:sz w:val="28"/>
          <w:szCs w:val="28"/>
          <w:rtl/>
          <w14:ligatures w14:val="none"/>
        </w:rPr>
        <w:t>‏</w:t>
      </w:r>
    </w:p>
    <w:p w14:paraId="0CD348C9" w14:textId="60D01EF0" w:rsidR="007A3E9B"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Okuonghae, O. (2021). Digital content creation: an emerging role for librarians. Library Hi Tech News, 38(3), 16-17.</w:t>
      </w:r>
      <w:r w:rsidRPr="00DC5A70">
        <w:rPr>
          <w:rFonts w:ascii="Simplified Arabic" w:eastAsia="Times New Roman" w:hAnsi="Simplified Arabic" w:cs="Simplified Arabic" w:hint="cs"/>
          <w:kern w:val="0"/>
          <w:sz w:val="28"/>
          <w:szCs w:val="28"/>
          <w:rtl/>
          <w14:ligatures w14:val="none"/>
        </w:rPr>
        <w:t>‏</w:t>
      </w:r>
    </w:p>
    <w:p w14:paraId="48939FBD" w14:textId="02342FDE" w:rsidR="007A3E9B"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lastRenderedPageBreak/>
        <w:t>Lopes, A. R., &amp; Casais, B. (2022). Digital content marketing: Conceptual review and recommendations for practitioners. Academy of Strategic Management Journal, 21(2), 1-17.</w:t>
      </w:r>
    </w:p>
    <w:p w14:paraId="21B64B7D" w14:textId="2328D02C" w:rsidR="007A3E9B"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Kuntari, S. (2023, May). Pemanfaatan media digital dalam pembelajaran. In Prosiding Seminar Nasional Fakultas Tarbiyah Dan Ilmu Keguruan IAIM Sinjai (Vol. 2, pp. 90-94)</w:t>
      </w:r>
    </w:p>
    <w:p w14:paraId="402DB25E" w14:textId="3F5AA2D7" w:rsidR="007A3E9B" w:rsidRPr="00DC5A70" w:rsidRDefault="007A3E9B"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Ali, M. (2024). Fostering cultural heritage awareness through VR serious gaming: A study on promoting Saudi heritage among the younger generation. Journal of Infrastructure, Policy and Development, 8(3), 1-21.</w:t>
      </w:r>
      <w:r w:rsidRPr="00DC5A70">
        <w:rPr>
          <w:rFonts w:ascii="Simplified Arabic" w:eastAsia="Times New Roman" w:hAnsi="Simplified Arabic" w:cs="Simplified Arabic" w:hint="cs"/>
          <w:kern w:val="0"/>
          <w:sz w:val="28"/>
          <w:szCs w:val="28"/>
          <w:rtl/>
          <w14:ligatures w14:val="none"/>
        </w:rPr>
        <w:t>‏</w:t>
      </w:r>
    </w:p>
    <w:p w14:paraId="302A1C7A" w14:textId="119BBD61" w:rsidR="007A3E9B" w:rsidRPr="00DC5A70" w:rsidRDefault="004C3D30"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Yehia, E. F., &amp; Ali Amer Alkhashil, M. (2025). The power of digital storytelling in preserving Saudi cultural heritage and fostering national identity. Heritage &amp; Society, 1-29</w:t>
      </w:r>
    </w:p>
    <w:p w14:paraId="4ECB5A67" w14:textId="11564A54" w:rsidR="004C3D30" w:rsidRPr="00DC5A70" w:rsidRDefault="004C3D30" w:rsidP="001F6343">
      <w:pPr>
        <w:pStyle w:val="a6"/>
        <w:numPr>
          <w:ilvl w:val="0"/>
          <w:numId w:val="4"/>
        </w:numPr>
        <w:bidi w:val="0"/>
        <w:spacing w:line="276" w:lineRule="auto"/>
        <w:jc w:val="both"/>
        <w:rPr>
          <w:rFonts w:ascii="Simplified Arabic" w:eastAsia="Times New Roman" w:hAnsi="Simplified Arabic" w:cs="Simplified Arabic"/>
          <w:kern w:val="0"/>
          <w:sz w:val="28"/>
          <w:szCs w:val="28"/>
          <w14:ligatures w14:val="none"/>
        </w:rPr>
      </w:pPr>
      <w:r w:rsidRPr="00DC5A70">
        <w:rPr>
          <w:rFonts w:ascii="Simplified Arabic" w:eastAsia="Times New Roman" w:hAnsi="Simplified Arabic" w:cs="Simplified Arabic" w:hint="cs"/>
          <w:kern w:val="0"/>
          <w:sz w:val="28"/>
          <w:szCs w:val="28"/>
          <w14:ligatures w14:val="none"/>
        </w:rPr>
        <w:t>Bay, M. A., Alnaim, M. M., Albaqawy, G. A., &amp; Noaime, E. (2022). The heritage jewel of Saudi Arabia: a descriptive analysis of the heritage management and development activities in the At-Turaif district in Ad-Dir’iyah, a World Heritage Site (WHS). Sustainability, 14(17), 10718.</w:t>
      </w:r>
    </w:p>
    <w:p w14:paraId="3E4F41C7" w14:textId="77777777" w:rsidR="004C3D30" w:rsidRPr="00CC180C" w:rsidRDefault="004C3D30" w:rsidP="00DC5A70">
      <w:pPr>
        <w:bidi w:val="0"/>
        <w:spacing w:line="276" w:lineRule="auto"/>
        <w:jc w:val="both"/>
        <w:rPr>
          <w:rFonts w:ascii="Simplified Arabic" w:eastAsia="Times New Roman" w:hAnsi="Simplified Arabic" w:cs="Simplified Arabic"/>
          <w:kern w:val="0"/>
          <w:sz w:val="28"/>
          <w:szCs w:val="28"/>
          <w14:ligatures w14:val="none"/>
        </w:rPr>
      </w:pPr>
    </w:p>
    <w:p w14:paraId="653FE2B2" w14:textId="77777777" w:rsidR="007A3E9B" w:rsidRPr="00CC180C" w:rsidRDefault="007A3E9B" w:rsidP="00DC5A70">
      <w:pPr>
        <w:bidi w:val="0"/>
        <w:spacing w:line="276" w:lineRule="auto"/>
        <w:jc w:val="both"/>
        <w:rPr>
          <w:rFonts w:ascii="Simplified Arabic" w:eastAsia="Times New Roman" w:hAnsi="Simplified Arabic" w:cs="Simplified Arabic"/>
          <w:kern w:val="0"/>
          <w:sz w:val="28"/>
          <w:szCs w:val="28"/>
          <w14:ligatures w14:val="none"/>
        </w:rPr>
      </w:pPr>
    </w:p>
    <w:p w14:paraId="1E1FFE01" w14:textId="77777777" w:rsidR="007A3E9B" w:rsidRPr="00CC180C" w:rsidRDefault="007A3E9B" w:rsidP="00CC180C">
      <w:pPr>
        <w:spacing w:line="276" w:lineRule="auto"/>
        <w:jc w:val="both"/>
        <w:rPr>
          <w:rFonts w:ascii="Simplified Arabic" w:eastAsia="Times New Roman" w:hAnsi="Simplified Arabic" w:cs="Simplified Arabic"/>
          <w:kern w:val="0"/>
          <w:sz w:val="28"/>
          <w:szCs w:val="28"/>
          <w14:ligatures w14:val="none"/>
        </w:rPr>
      </w:pPr>
    </w:p>
    <w:p w14:paraId="1E1CD381" w14:textId="77777777" w:rsidR="007A3E9B" w:rsidRPr="00CC180C" w:rsidRDefault="007A3E9B" w:rsidP="00CC180C">
      <w:pPr>
        <w:spacing w:line="276" w:lineRule="auto"/>
        <w:jc w:val="both"/>
        <w:rPr>
          <w:rFonts w:ascii="Simplified Arabic" w:eastAsia="Times New Roman" w:hAnsi="Simplified Arabic" w:cs="Simplified Arabic"/>
          <w:kern w:val="0"/>
          <w:sz w:val="28"/>
          <w:szCs w:val="28"/>
          <w14:ligatures w14:val="none"/>
        </w:rPr>
      </w:pPr>
    </w:p>
    <w:p w14:paraId="13A28842" w14:textId="77777777" w:rsidR="007A3E9B" w:rsidRPr="00CC180C" w:rsidRDefault="007A3E9B" w:rsidP="00CC180C">
      <w:pPr>
        <w:spacing w:line="276" w:lineRule="auto"/>
        <w:jc w:val="both"/>
        <w:rPr>
          <w:rFonts w:ascii="Simplified Arabic" w:eastAsia="Times New Roman" w:hAnsi="Simplified Arabic" w:cs="Simplified Arabic"/>
          <w:kern w:val="0"/>
          <w:sz w:val="28"/>
          <w:szCs w:val="28"/>
          <w14:ligatures w14:val="none"/>
        </w:rPr>
      </w:pPr>
    </w:p>
    <w:p w14:paraId="3017BBEA" w14:textId="77777777" w:rsidR="007A3E9B" w:rsidRPr="00CC180C" w:rsidRDefault="007A3E9B" w:rsidP="00CC180C">
      <w:pPr>
        <w:spacing w:line="276" w:lineRule="auto"/>
        <w:jc w:val="both"/>
        <w:rPr>
          <w:rFonts w:ascii="Simplified Arabic" w:eastAsia="Times New Roman" w:hAnsi="Simplified Arabic" w:cs="Simplified Arabic"/>
          <w:kern w:val="0"/>
          <w:sz w:val="28"/>
          <w:szCs w:val="28"/>
          <w14:ligatures w14:val="none"/>
        </w:rPr>
      </w:pPr>
    </w:p>
    <w:p w14:paraId="62F7030A" w14:textId="77777777" w:rsidR="007A3E9B" w:rsidRPr="00CC180C" w:rsidRDefault="007A3E9B" w:rsidP="00CC180C">
      <w:pPr>
        <w:spacing w:line="276" w:lineRule="auto"/>
        <w:jc w:val="both"/>
        <w:rPr>
          <w:rFonts w:ascii="Simplified Arabic" w:eastAsia="Times New Roman" w:hAnsi="Simplified Arabic" w:cs="Simplified Arabic"/>
          <w:kern w:val="0"/>
          <w:sz w:val="28"/>
          <w:szCs w:val="28"/>
          <w14:ligatures w14:val="none"/>
        </w:rPr>
      </w:pPr>
    </w:p>
    <w:p w14:paraId="29D4231B" w14:textId="0FDE737D" w:rsidR="0081623B" w:rsidRPr="00CC180C" w:rsidRDefault="00246C3F" w:rsidP="00DC5A70">
      <w:pPr>
        <w:bidi w:val="0"/>
        <w:spacing w:line="276" w:lineRule="auto"/>
        <w:jc w:val="both"/>
        <w:rPr>
          <w:rFonts w:ascii="Simplified Arabic" w:eastAsia="Calibri" w:hAnsi="Simplified Arabic" w:cs="Simplified Arabic"/>
          <w:kern w:val="0"/>
          <w:sz w:val="28"/>
          <w:szCs w:val="28"/>
          <w:lang w:bidi="ar-EG"/>
          <w14:ligatures w14:val="none"/>
        </w:rPr>
      </w:pPr>
      <w:r w:rsidRPr="00CC180C">
        <w:rPr>
          <w:rFonts w:ascii="Simplified Arabic" w:hAnsi="Simplified Arabic" w:cs="Simplified Arabic" w:hint="cs"/>
          <w:noProof/>
          <w:sz w:val="28"/>
          <w:szCs w:val="28"/>
        </w:rPr>
        <w:lastRenderedPageBreak/>
        <w:drawing>
          <wp:anchor distT="0" distB="0" distL="114300" distR="114300" simplePos="0" relativeHeight="251658240" behindDoc="1" locked="0" layoutInCell="1" allowOverlap="1" wp14:anchorId="76B23884" wp14:editId="0B4F17D3">
            <wp:simplePos x="0" y="0"/>
            <wp:positionH relativeFrom="column">
              <wp:posOffset>3802380</wp:posOffset>
            </wp:positionH>
            <wp:positionV relativeFrom="paragraph">
              <wp:posOffset>0</wp:posOffset>
            </wp:positionV>
            <wp:extent cx="2005965" cy="1859280"/>
            <wp:effectExtent l="0" t="0" r="0" b="7620"/>
            <wp:wrapTight wrapText="bothSides">
              <wp:wrapPolygon edited="0">
                <wp:start x="0" y="0"/>
                <wp:lineTo x="0" y="21467"/>
                <wp:lineTo x="21333" y="21467"/>
                <wp:lineTo x="21333"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5965" cy="1859280"/>
                    </a:xfrm>
                    <a:prstGeom prst="rect">
                      <a:avLst/>
                    </a:prstGeom>
                    <a:noFill/>
                  </pic:spPr>
                </pic:pic>
              </a:graphicData>
            </a:graphic>
          </wp:anchor>
        </w:drawing>
      </w:r>
      <w:r w:rsidRPr="00CC180C">
        <w:rPr>
          <w:rFonts w:ascii="Simplified Arabic" w:eastAsia="Calibri" w:hAnsi="Simplified Arabic" w:cs="Simplified Arabic" w:hint="cs"/>
          <w:kern w:val="0"/>
          <w:sz w:val="28"/>
          <w:szCs w:val="28"/>
          <w:lang w:bidi="ar-EG"/>
          <w14:ligatures w14:val="none"/>
        </w:rPr>
        <w:t xml:space="preserve">Mid </w:t>
      </w:r>
      <w:r w:rsidR="0081623B" w:rsidRPr="00CC180C">
        <w:rPr>
          <w:rFonts w:ascii="Simplified Arabic" w:eastAsia="Calibri" w:hAnsi="Simplified Arabic" w:cs="Simplified Arabic" w:hint="cs"/>
          <w:kern w:val="0"/>
          <w:sz w:val="28"/>
          <w:szCs w:val="28"/>
          <w:lang w:bidi="ar-EG"/>
          <w14:ligatures w14:val="none"/>
        </w:rPr>
        <w:t>Ocean University</w:t>
      </w:r>
    </w:p>
    <w:p w14:paraId="1D1FD38A" w14:textId="77777777" w:rsidR="00895915" w:rsidRPr="00CC180C" w:rsidRDefault="00895915" w:rsidP="00DC5A70">
      <w:pPr>
        <w:bidi w:val="0"/>
        <w:spacing w:line="276" w:lineRule="auto"/>
        <w:jc w:val="both"/>
        <w:rPr>
          <w:rFonts w:ascii="Simplified Arabic" w:eastAsia="Calibri" w:hAnsi="Simplified Arabic" w:cs="Simplified Arabic"/>
          <w:kern w:val="0"/>
          <w:sz w:val="28"/>
          <w:szCs w:val="28"/>
          <w:lang w:bidi="ar-EG"/>
          <w14:ligatures w14:val="none"/>
        </w:rPr>
      </w:pPr>
      <w:r w:rsidRPr="00CC180C">
        <w:rPr>
          <w:rFonts w:ascii="Simplified Arabic" w:eastAsia="Calibri" w:hAnsi="Simplified Arabic" w:cs="Simplified Arabic" w:hint="cs"/>
          <w:kern w:val="0"/>
          <w:sz w:val="28"/>
          <w:szCs w:val="28"/>
          <w:lang w:bidi="ar-EG"/>
          <w14:ligatures w14:val="none"/>
        </w:rPr>
        <w:t>Faculty of Mass Communication</w:t>
      </w:r>
    </w:p>
    <w:p w14:paraId="69030ADB" w14:textId="60011643" w:rsidR="00895915" w:rsidRPr="00CC180C" w:rsidRDefault="00895915" w:rsidP="00DC5A70">
      <w:pPr>
        <w:bidi w:val="0"/>
        <w:spacing w:line="276" w:lineRule="auto"/>
        <w:jc w:val="both"/>
        <w:rPr>
          <w:rFonts w:ascii="Simplified Arabic" w:eastAsia="Calibri" w:hAnsi="Simplified Arabic" w:cs="Simplified Arabic"/>
          <w:kern w:val="0"/>
          <w:sz w:val="28"/>
          <w:szCs w:val="28"/>
          <w:lang w:bidi="ar-EG"/>
          <w14:ligatures w14:val="none"/>
        </w:rPr>
      </w:pPr>
      <w:r w:rsidRPr="00CC180C">
        <w:rPr>
          <w:rFonts w:ascii="Simplified Arabic" w:eastAsia="Calibri" w:hAnsi="Simplified Arabic" w:cs="Simplified Arabic" w:hint="cs"/>
          <w:kern w:val="0"/>
          <w:sz w:val="28"/>
          <w:szCs w:val="28"/>
          <w:lang w:bidi="ar-EG"/>
          <w14:ligatures w14:val="none"/>
        </w:rPr>
        <w:t xml:space="preserve">Major: Digital </w:t>
      </w:r>
      <w:r w:rsidR="00AF58FE" w:rsidRPr="00CC180C">
        <w:rPr>
          <w:rFonts w:ascii="Simplified Arabic" w:eastAsia="Calibri" w:hAnsi="Simplified Arabic" w:cs="Simplified Arabic"/>
          <w:kern w:val="0"/>
          <w:sz w:val="28"/>
          <w:szCs w:val="28"/>
          <w:lang w:bidi="ar-EG"/>
          <w14:ligatures w14:val="none"/>
        </w:rPr>
        <w:t>M</w:t>
      </w:r>
      <w:r w:rsidR="00AF58FE">
        <w:rPr>
          <w:rFonts w:ascii="Simplified Arabic" w:eastAsia="Calibri" w:hAnsi="Simplified Arabic" w:cs="Simplified Arabic"/>
          <w:kern w:val="0"/>
          <w:sz w:val="28"/>
          <w:szCs w:val="28"/>
          <w:lang w:bidi="ar-EG"/>
          <w14:ligatures w14:val="none"/>
        </w:rPr>
        <w:t>arketing</w:t>
      </w:r>
    </w:p>
    <w:p w14:paraId="04411127" w14:textId="77777777" w:rsidR="00E27D3B" w:rsidRPr="00CC180C" w:rsidRDefault="00E27D3B" w:rsidP="00DC5A70">
      <w:pPr>
        <w:bidi w:val="0"/>
        <w:spacing w:line="276" w:lineRule="auto"/>
        <w:jc w:val="both"/>
        <w:rPr>
          <w:rFonts w:ascii="Simplified Arabic" w:eastAsia="Calibri" w:hAnsi="Simplified Arabic" w:cs="Simplified Arabic"/>
          <w:kern w:val="0"/>
          <w:sz w:val="28"/>
          <w:szCs w:val="28"/>
          <w14:ligatures w14:val="none"/>
        </w:rPr>
      </w:pPr>
    </w:p>
    <w:p w14:paraId="7F1106F3" w14:textId="77777777" w:rsidR="00E27D3B" w:rsidRPr="00CC180C" w:rsidRDefault="00E27D3B" w:rsidP="00DC5A70">
      <w:pPr>
        <w:bidi w:val="0"/>
        <w:spacing w:line="276" w:lineRule="auto"/>
        <w:jc w:val="both"/>
        <w:rPr>
          <w:rFonts w:ascii="Simplified Arabic" w:eastAsia="Calibri" w:hAnsi="Simplified Arabic" w:cs="Simplified Arabic"/>
          <w:kern w:val="0"/>
          <w:sz w:val="28"/>
          <w:szCs w:val="28"/>
          <w14:ligatures w14:val="none"/>
        </w:rPr>
      </w:pPr>
    </w:p>
    <w:p w14:paraId="0CBE22B0" w14:textId="77777777" w:rsidR="00CC6261" w:rsidRPr="00CC180C" w:rsidRDefault="00CC6261" w:rsidP="00DC5A70">
      <w:pPr>
        <w:bidi w:val="0"/>
        <w:spacing w:line="276" w:lineRule="auto"/>
        <w:jc w:val="center"/>
        <w:rPr>
          <w:rFonts w:ascii="Simplified Arabic" w:eastAsia="Calibri" w:hAnsi="Simplified Arabic" w:cs="Simplified Arabic"/>
          <w:b/>
          <w:bCs/>
          <w:kern w:val="0"/>
          <w:sz w:val="28"/>
          <w:szCs w:val="28"/>
          <w:lang w:bidi="ar-EG"/>
          <w14:ligatures w14:val="none"/>
        </w:rPr>
      </w:pPr>
    </w:p>
    <w:p w14:paraId="77D039C5" w14:textId="4355AE62" w:rsidR="00DC5A70" w:rsidRPr="00DC5A70" w:rsidRDefault="00DC5A70" w:rsidP="00DC5A70">
      <w:pPr>
        <w:bidi w:val="0"/>
        <w:spacing w:line="276" w:lineRule="auto"/>
        <w:jc w:val="center"/>
        <w:rPr>
          <w:rFonts w:ascii="Simplified Arabic" w:eastAsia="Calibri" w:hAnsi="Simplified Arabic" w:cs="Simplified Arabic"/>
          <w:b/>
          <w:bCs/>
          <w:kern w:val="0"/>
          <w:sz w:val="28"/>
          <w:szCs w:val="28"/>
          <w:lang w:bidi="ar-EG"/>
          <w14:ligatures w14:val="none"/>
        </w:rPr>
      </w:pPr>
      <w:r w:rsidRPr="00DC5A70">
        <w:rPr>
          <w:rFonts w:ascii="Simplified Arabic" w:eastAsia="Calibri" w:hAnsi="Simplified Arabic" w:cs="Simplified Arabic"/>
          <w:b/>
          <w:bCs/>
          <w:kern w:val="0"/>
          <w:sz w:val="28"/>
          <w:szCs w:val="28"/>
          <w:lang w:bidi="ar-EG"/>
          <w14:ligatures w14:val="none"/>
        </w:rPr>
        <w:t xml:space="preserve">The Role of Government Digital Content in Promoting Saudi </w:t>
      </w:r>
      <w:r w:rsidR="00AF58FE">
        <w:rPr>
          <w:rFonts w:ascii="Simplified Arabic" w:eastAsia="Calibri" w:hAnsi="Simplified Arabic" w:cs="Simplified Arabic"/>
          <w:b/>
          <w:bCs/>
          <w:kern w:val="0"/>
          <w:sz w:val="28"/>
          <w:szCs w:val="28"/>
          <w:lang w:bidi="ar-EG"/>
          <w14:ligatures w14:val="none"/>
        </w:rPr>
        <w:t>inherited</w:t>
      </w:r>
      <w:r w:rsidRPr="00DC5A70">
        <w:rPr>
          <w:rFonts w:ascii="Simplified Arabic" w:eastAsia="Calibri" w:hAnsi="Simplified Arabic" w:cs="Simplified Arabic"/>
          <w:b/>
          <w:bCs/>
          <w:kern w:val="0"/>
          <w:sz w:val="28"/>
          <w:szCs w:val="28"/>
          <w:lang w:bidi="ar-EG"/>
          <w14:ligatures w14:val="none"/>
        </w:rPr>
        <w:t xml:space="preserve"> within Vision 2030: An Analytical Study of the "Years of Culture" Campaigns</w:t>
      </w:r>
    </w:p>
    <w:p w14:paraId="150F6153" w14:textId="72F851FD" w:rsidR="00DC5A70" w:rsidRDefault="000D353F" w:rsidP="00AF58FE">
      <w:pPr>
        <w:bidi w:val="0"/>
        <w:spacing w:line="276" w:lineRule="auto"/>
        <w:jc w:val="center"/>
        <w:rPr>
          <w:rFonts w:ascii="Simplified Arabic" w:eastAsia="Calibri" w:hAnsi="Simplified Arabic" w:cs="Simplified Arabic"/>
          <w:kern w:val="0"/>
          <w:sz w:val="28"/>
          <w:szCs w:val="28"/>
          <w:lang w:bidi="ar-EG"/>
          <w14:ligatures w14:val="none"/>
        </w:rPr>
      </w:pPr>
      <w:r w:rsidRPr="00CC180C">
        <w:rPr>
          <w:rFonts w:ascii="Simplified Arabic" w:eastAsia="Calibri" w:hAnsi="Simplified Arabic" w:cs="Simplified Arabic" w:hint="cs"/>
          <w:kern w:val="0"/>
          <w:sz w:val="28"/>
          <w:szCs w:val="28"/>
          <w:lang w:bidi="ar-EG"/>
          <w14:ligatures w14:val="none"/>
        </w:rPr>
        <w:t>Prepared by:</w:t>
      </w:r>
    </w:p>
    <w:p w14:paraId="3B6E4D4C" w14:textId="5B1C0D17" w:rsidR="00AF58FE" w:rsidRDefault="00AF58FE" w:rsidP="00AF58FE">
      <w:pPr>
        <w:bidi w:val="0"/>
        <w:spacing w:line="276" w:lineRule="auto"/>
        <w:jc w:val="center"/>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lang w:bidi="ar-EG"/>
          <w14:ligatures w14:val="none"/>
        </w:rPr>
        <w:t>Norah Hassan ALQahtani</w:t>
      </w:r>
    </w:p>
    <w:p w14:paraId="720EC7D0" w14:textId="3FABD9B5" w:rsidR="00DC5A70" w:rsidRPr="00CC180C" w:rsidRDefault="00DC5A70" w:rsidP="00AF58FE">
      <w:pPr>
        <w:bidi w:val="0"/>
        <w:spacing w:line="276" w:lineRule="auto"/>
        <w:rPr>
          <w:rFonts w:ascii="Simplified Arabic" w:eastAsia="Calibri" w:hAnsi="Simplified Arabic" w:cs="Simplified Arabic"/>
          <w:kern w:val="0"/>
          <w:sz w:val="28"/>
          <w:szCs w:val="28"/>
          <w:lang w:bidi="ar-EG"/>
          <w14:ligatures w14:val="none"/>
        </w:rPr>
      </w:pPr>
    </w:p>
    <w:p w14:paraId="68287F43" w14:textId="77777777" w:rsidR="00E27D3B" w:rsidRPr="00CC180C" w:rsidRDefault="00E27D3B" w:rsidP="00DC5A70">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CC180C" w:rsidRDefault="0081623B" w:rsidP="00DC5A70">
      <w:pPr>
        <w:bidi w:val="0"/>
        <w:spacing w:line="276" w:lineRule="auto"/>
        <w:jc w:val="center"/>
        <w:rPr>
          <w:rFonts w:ascii="Simplified Arabic" w:eastAsia="Calibri" w:hAnsi="Simplified Arabic" w:cs="Simplified Arabic"/>
          <w:kern w:val="0"/>
          <w:sz w:val="28"/>
          <w:szCs w:val="28"/>
          <w:lang w:bidi="ar-EG"/>
          <w14:ligatures w14:val="none"/>
        </w:rPr>
      </w:pPr>
      <w:r w:rsidRPr="00CC180C">
        <w:rPr>
          <w:rFonts w:ascii="Simplified Arabic" w:eastAsia="Calibri" w:hAnsi="Simplified Arabic" w:cs="Simplified Arabic" w:hint="cs"/>
          <w:kern w:val="0"/>
          <w:sz w:val="28"/>
          <w:szCs w:val="28"/>
          <w:lang w:bidi="ar-EG"/>
          <w14:ligatures w14:val="none"/>
        </w:rPr>
        <w:t>Supervision:</w:t>
      </w:r>
    </w:p>
    <w:p w14:paraId="0AA4BDE1" w14:textId="0A08C85D" w:rsidR="00DC5A70" w:rsidRDefault="00BA5817" w:rsidP="00DC5A70">
      <w:pPr>
        <w:bidi w:val="0"/>
        <w:spacing w:line="276" w:lineRule="auto"/>
        <w:jc w:val="center"/>
        <w:rPr>
          <w:rFonts w:ascii="Simplified Arabic" w:eastAsia="Calibri" w:hAnsi="Simplified Arabic" w:cs="Simplified Arabic"/>
          <w:kern w:val="0"/>
          <w:sz w:val="28"/>
          <w:szCs w:val="28"/>
          <w:lang w:bidi="ar-EG"/>
          <w14:ligatures w14:val="none"/>
        </w:rPr>
      </w:pPr>
      <w:r w:rsidRPr="00CC180C">
        <w:rPr>
          <w:rFonts w:ascii="Simplified Arabic" w:eastAsia="Calibri" w:hAnsi="Simplified Arabic" w:cs="Simplified Arabic" w:hint="cs"/>
          <w:kern w:val="0"/>
          <w:sz w:val="28"/>
          <w:szCs w:val="28"/>
          <w:lang w:bidi="ar-EG"/>
          <w14:ligatures w14:val="none"/>
        </w:rPr>
        <w:t xml:space="preserve">Dr. </w:t>
      </w:r>
      <w:r w:rsidR="00AF58FE">
        <w:rPr>
          <w:rFonts w:ascii="Simplified Arabic" w:eastAsia="Calibri" w:hAnsi="Simplified Arabic" w:cs="Simplified Arabic"/>
          <w:kern w:val="0"/>
          <w:sz w:val="28"/>
          <w:szCs w:val="28"/>
          <w:lang w:bidi="ar-EG"/>
          <w14:ligatures w14:val="none"/>
        </w:rPr>
        <w:t>Mohammed Awais</w:t>
      </w:r>
    </w:p>
    <w:p w14:paraId="6E52896B" w14:textId="1197E123" w:rsidR="009125CE" w:rsidRPr="00CC180C" w:rsidRDefault="0081623B" w:rsidP="00DC5A70">
      <w:pPr>
        <w:bidi w:val="0"/>
        <w:spacing w:line="276" w:lineRule="auto"/>
        <w:jc w:val="center"/>
        <w:rPr>
          <w:rFonts w:ascii="Simplified Arabic" w:hAnsi="Simplified Arabic" w:cs="Simplified Arabic"/>
          <w:sz w:val="28"/>
          <w:szCs w:val="28"/>
          <w:rtl/>
        </w:rPr>
      </w:pPr>
      <w:r w:rsidRPr="00CC180C">
        <w:rPr>
          <w:rFonts w:ascii="Simplified Arabic" w:eastAsia="Calibri" w:hAnsi="Simplified Arabic" w:cs="Simplified Arabic" w:hint="cs"/>
          <w:kern w:val="0"/>
          <w:sz w:val="28"/>
          <w:szCs w:val="28"/>
          <w:lang w:bidi="ar-EG"/>
          <w14:ligatures w14:val="none"/>
        </w:rPr>
        <w:t>144</w:t>
      </w:r>
      <w:r w:rsidR="008C300E" w:rsidRPr="00CC180C">
        <w:rPr>
          <w:rFonts w:ascii="Simplified Arabic" w:eastAsia="Calibri" w:hAnsi="Simplified Arabic" w:cs="Simplified Arabic" w:hint="cs"/>
          <w:kern w:val="0"/>
          <w:sz w:val="28"/>
          <w:szCs w:val="28"/>
          <w:lang w:bidi="ar-EG"/>
          <w14:ligatures w14:val="none"/>
        </w:rPr>
        <w:t>7</w:t>
      </w:r>
      <w:r w:rsidRPr="00CC180C">
        <w:rPr>
          <w:rFonts w:ascii="Simplified Arabic" w:eastAsia="Calibri" w:hAnsi="Simplified Arabic" w:cs="Simplified Arabic" w:hint="cs"/>
          <w:kern w:val="0"/>
          <w:sz w:val="28"/>
          <w:szCs w:val="28"/>
          <w:lang w:bidi="ar-EG"/>
          <w14:ligatures w14:val="none"/>
        </w:rPr>
        <w:t>-202</w:t>
      </w:r>
      <w:r w:rsidR="00E27D3B" w:rsidRPr="00CC180C">
        <w:rPr>
          <w:rFonts w:ascii="Simplified Arabic" w:eastAsia="Calibri" w:hAnsi="Simplified Arabic" w:cs="Simplified Arabic" w:hint="cs"/>
          <w:kern w:val="0"/>
          <w:sz w:val="28"/>
          <w:szCs w:val="28"/>
          <w:lang w:bidi="ar-EG"/>
          <w14:ligatures w14:val="none"/>
        </w:rPr>
        <w:t>6</w:t>
      </w:r>
    </w:p>
    <w:sectPr w:rsidR="009125CE" w:rsidRPr="00CC180C" w:rsidSect="00E27D3B">
      <w:footerReference w:type="default" r:id="rId25"/>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57CEC" w14:textId="77777777" w:rsidR="007B6649" w:rsidRDefault="007B6649" w:rsidP="009125CE">
      <w:pPr>
        <w:spacing w:after="0" w:line="240" w:lineRule="auto"/>
      </w:pPr>
      <w:r>
        <w:separator/>
      </w:r>
    </w:p>
  </w:endnote>
  <w:endnote w:type="continuationSeparator" w:id="0">
    <w:p w14:paraId="1C45CB9B" w14:textId="77777777" w:rsidR="007B6649" w:rsidRDefault="007B66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0E6CE" w14:textId="77777777" w:rsidR="007B6649" w:rsidRDefault="007B6649" w:rsidP="009125CE">
      <w:pPr>
        <w:spacing w:after="0" w:line="240" w:lineRule="auto"/>
      </w:pPr>
      <w:r>
        <w:separator/>
      </w:r>
    </w:p>
  </w:footnote>
  <w:footnote w:type="continuationSeparator" w:id="0">
    <w:p w14:paraId="32A1730B" w14:textId="77777777" w:rsidR="007B6649" w:rsidRDefault="007B66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414EA"/>
    <w:multiLevelType w:val="hybridMultilevel"/>
    <w:tmpl w:val="AA620B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15F47B4"/>
    <w:multiLevelType w:val="multilevel"/>
    <w:tmpl w:val="2C82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A0243"/>
    <w:multiLevelType w:val="multilevel"/>
    <w:tmpl w:val="FE32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A543B2"/>
    <w:multiLevelType w:val="hybridMultilevel"/>
    <w:tmpl w:val="866E9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BC27E5"/>
    <w:multiLevelType w:val="multilevel"/>
    <w:tmpl w:val="4A80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2547A"/>
    <w:rsid w:val="00042FFC"/>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5183"/>
    <w:rsid w:val="000D7A52"/>
    <w:rsid w:val="000E0212"/>
    <w:rsid w:val="000E2A00"/>
    <w:rsid w:val="000E3680"/>
    <w:rsid w:val="000E503B"/>
    <w:rsid w:val="000F44B4"/>
    <w:rsid w:val="00105749"/>
    <w:rsid w:val="00110487"/>
    <w:rsid w:val="0012342D"/>
    <w:rsid w:val="0012574F"/>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6343"/>
    <w:rsid w:val="00207629"/>
    <w:rsid w:val="002078EF"/>
    <w:rsid w:val="0021718D"/>
    <w:rsid w:val="00217ADA"/>
    <w:rsid w:val="00223AE0"/>
    <w:rsid w:val="002304C2"/>
    <w:rsid w:val="00234450"/>
    <w:rsid w:val="00234633"/>
    <w:rsid w:val="00246C3F"/>
    <w:rsid w:val="00250D99"/>
    <w:rsid w:val="00251BCA"/>
    <w:rsid w:val="00256363"/>
    <w:rsid w:val="00260558"/>
    <w:rsid w:val="0026283D"/>
    <w:rsid w:val="0027026C"/>
    <w:rsid w:val="002705BD"/>
    <w:rsid w:val="00270FB5"/>
    <w:rsid w:val="00274BDE"/>
    <w:rsid w:val="002766BC"/>
    <w:rsid w:val="00277FA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D67EF"/>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160"/>
    <w:rsid w:val="00396510"/>
    <w:rsid w:val="003A4ABE"/>
    <w:rsid w:val="003A5312"/>
    <w:rsid w:val="003A757C"/>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17A47"/>
    <w:rsid w:val="004215C5"/>
    <w:rsid w:val="004260FE"/>
    <w:rsid w:val="00433FD4"/>
    <w:rsid w:val="0043649D"/>
    <w:rsid w:val="00446ED1"/>
    <w:rsid w:val="004475C8"/>
    <w:rsid w:val="004613E8"/>
    <w:rsid w:val="00461DB2"/>
    <w:rsid w:val="00464637"/>
    <w:rsid w:val="00464AF1"/>
    <w:rsid w:val="004666B3"/>
    <w:rsid w:val="00467E69"/>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3D30"/>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8591B"/>
    <w:rsid w:val="00586F13"/>
    <w:rsid w:val="00590B27"/>
    <w:rsid w:val="005979A0"/>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1599"/>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CCF"/>
    <w:rsid w:val="00791E1F"/>
    <w:rsid w:val="00792A28"/>
    <w:rsid w:val="007A3E9B"/>
    <w:rsid w:val="007A7A94"/>
    <w:rsid w:val="007A7CF1"/>
    <w:rsid w:val="007B0AEC"/>
    <w:rsid w:val="007B0E54"/>
    <w:rsid w:val="007B2139"/>
    <w:rsid w:val="007B3150"/>
    <w:rsid w:val="007B51D9"/>
    <w:rsid w:val="007B6649"/>
    <w:rsid w:val="007C06CD"/>
    <w:rsid w:val="007C170D"/>
    <w:rsid w:val="007C3859"/>
    <w:rsid w:val="007C3D97"/>
    <w:rsid w:val="007C6908"/>
    <w:rsid w:val="007D2C05"/>
    <w:rsid w:val="007D443E"/>
    <w:rsid w:val="007E0AD8"/>
    <w:rsid w:val="007E1EBB"/>
    <w:rsid w:val="007E3A20"/>
    <w:rsid w:val="007E4485"/>
    <w:rsid w:val="007E6564"/>
    <w:rsid w:val="007F1674"/>
    <w:rsid w:val="007F1855"/>
    <w:rsid w:val="007F2AAC"/>
    <w:rsid w:val="007F6F3A"/>
    <w:rsid w:val="008048D1"/>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5915"/>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94C17"/>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E32"/>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413"/>
    <w:rsid w:val="00A40ADE"/>
    <w:rsid w:val="00A44EBE"/>
    <w:rsid w:val="00A4659A"/>
    <w:rsid w:val="00A50745"/>
    <w:rsid w:val="00A55EF3"/>
    <w:rsid w:val="00A57461"/>
    <w:rsid w:val="00A71BCE"/>
    <w:rsid w:val="00A74F76"/>
    <w:rsid w:val="00A75115"/>
    <w:rsid w:val="00A823EC"/>
    <w:rsid w:val="00A840CF"/>
    <w:rsid w:val="00A86E11"/>
    <w:rsid w:val="00A97576"/>
    <w:rsid w:val="00AA005F"/>
    <w:rsid w:val="00AA0461"/>
    <w:rsid w:val="00AA79E9"/>
    <w:rsid w:val="00AB0A70"/>
    <w:rsid w:val="00AB3E18"/>
    <w:rsid w:val="00AB41F1"/>
    <w:rsid w:val="00AB5A3B"/>
    <w:rsid w:val="00AB6A7C"/>
    <w:rsid w:val="00AC0939"/>
    <w:rsid w:val="00AD0E94"/>
    <w:rsid w:val="00AD45DC"/>
    <w:rsid w:val="00AD722B"/>
    <w:rsid w:val="00AE3C7A"/>
    <w:rsid w:val="00AF20BD"/>
    <w:rsid w:val="00AF24F6"/>
    <w:rsid w:val="00AF31BE"/>
    <w:rsid w:val="00AF46DF"/>
    <w:rsid w:val="00AF49EF"/>
    <w:rsid w:val="00AF58FE"/>
    <w:rsid w:val="00B00108"/>
    <w:rsid w:val="00B04BD9"/>
    <w:rsid w:val="00B05F9C"/>
    <w:rsid w:val="00B134E7"/>
    <w:rsid w:val="00B15A9E"/>
    <w:rsid w:val="00B16D15"/>
    <w:rsid w:val="00B31E1F"/>
    <w:rsid w:val="00B346DF"/>
    <w:rsid w:val="00B36FBC"/>
    <w:rsid w:val="00B421F7"/>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0FD7"/>
    <w:rsid w:val="00B9286F"/>
    <w:rsid w:val="00BA0E1B"/>
    <w:rsid w:val="00BA1572"/>
    <w:rsid w:val="00BA1B67"/>
    <w:rsid w:val="00BA2874"/>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2ECA"/>
    <w:rsid w:val="00C16713"/>
    <w:rsid w:val="00C16D65"/>
    <w:rsid w:val="00C20A1C"/>
    <w:rsid w:val="00C23616"/>
    <w:rsid w:val="00C23A70"/>
    <w:rsid w:val="00C30F93"/>
    <w:rsid w:val="00C31CA5"/>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180C"/>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0E84"/>
    <w:rsid w:val="00D417B5"/>
    <w:rsid w:val="00D5653F"/>
    <w:rsid w:val="00D60743"/>
    <w:rsid w:val="00D75AD3"/>
    <w:rsid w:val="00D92BC0"/>
    <w:rsid w:val="00D92F77"/>
    <w:rsid w:val="00D965B5"/>
    <w:rsid w:val="00DA0EBA"/>
    <w:rsid w:val="00DA1C1B"/>
    <w:rsid w:val="00DA3C05"/>
    <w:rsid w:val="00DA4EAA"/>
    <w:rsid w:val="00DA61E2"/>
    <w:rsid w:val="00DB1F25"/>
    <w:rsid w:val="00DB43B3"/>
    <w:rsid w:val="00DC10F4"/>
    <w:rsid w:val="00DC40DA"/>
    <w:rsid w:val="00DC5A70"/>
    <w:rsid w:val="00DC6851"/>
    <w:rsid w:val="00DC7F13"/>
    <w:rsid w:val="00DD0EB8"/>
    <w:rsid w:val="00DD0F8E"/>
    <w:rsid w:val="00DD227E"/>
    <w:rsid w:val="00DD2F23"/>
    <w:rsid w:val="00DD3562"/>
    <w:rsid w:val="00DD6BEA"/>
    <w:rsid w:val="00DD7707"/>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25B7"/>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179E"/>
    <w:rsid w:val="00F450D5"/>
    <w:rsid w:val="00F4755E"/>
    <w:rsid w:val="00F540A1"/>
    <w:rsid w:val="00F546CE"/>
    <w:rsid w:val="00F563E2"/>
    <w:rsid w:val="00F60BB7"/>
    <w:rsid w:val="00F66109"/>
    <w:rsid w:val="00F72CBB"/>
    <w:rsid w:val="00F733B2"/>
    <w:rsid w:val="00F91846"/>
    <w:rsid w:val="00F95872"/>
    <w:rsid w:val="00F971C1"/>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A3F7B87-2042-433F-B39C-35CE05DBB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335D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172891">
      <w:bodyDiv w:val="1"/>
      <w:marLeft w:val="0"/>
      <w:marRight w:val="0"/>
      <w:marTop w:val="0"/>
      <w:marBottom w:val="0"/>
      <w:divBdr>
        <w:top w:val="none" w:sz="0" w:space="0" w:color="auto"/>
        <w:left w:val="none" w:sz="0" w:space="0" w:color="auto"/>
        <w:bottom w:val="none" w:sz="0" w:space="0" w:color="auto"/>
        <w:right w:val="none" w:sz="0" w:space="0" w:color="auto"/>
      </w:divBdr>
    </w:div>
    <w:div w:id="113016546">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983510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278736">
      <w:bodyDiv w:val="1"/>
      <w:marLeft w:val="0"/>
      <w:marRight w:val="0"/>
      <w:marTop w:val="0"/>
      <w:marBottom w:val="0"/>
      <w:divBdr>
        <w:top w:val="none" w:sz="0" w:space="0" w:color="auto"/>
        <w:left w:val="none" w:sz="0" w:space="0" w:color="auto"/>
        <w:bottom w:val="none" w:sz="0" w:space="0" w:color="auto"/>
        <w:right w:val="none" w:sz="0" w:space="0" w:color="auto"/>
      </w:divBdr>
    </w:div>
    <w:div w:id="159930674">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75193015">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5744798">
      <w:bodyDiv w:val="1"/>
      <w:marLeft w:val="0"/>
      <w:marRight w:val="0"/>
      <w:marTop w:val="0"/>
      <w:marBottom w:val="0"/>
      <w:divBdr>
        <w:top w:val="none" w:sz="0" w:space="0" w:color="auto"/>
        <w:left w:val="none" w:sz="0" w:space="0" w:color="auto"/>
        <w:bottom w:val="none" w:sz="0" w:space="0" w:color="auto"/>
        <w:right w:val="none" w:sz="0" w:space="0" w:color="auto"/>
      </w:divBdr>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18247695">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619618">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522381">
      <w:bodyDiv w:val="1"/>
      <w:marLeft w:val="0"/>
      <w:marRight w:val="0"/>
      <w:marTop w:val="0"/>
      <w:marBottom w:val="0"/>
      <w:divBdr>
        <w:top w:val="none" w:sz="0" w:space="0" w:color="auto"/>
        <w:left w:val="none" w:sz="0" w:space="0" w:color="auto"/>
        <w:bottom w:val="none" w:sz="0" w:space="0" w:color="auto"/>
        <w:right w:val="none" w:sz="0" w:space="0" w:color="auto"/>
      </w:divBdr>
      <w:divsChild>
        <w:div w:id="892304810">
          <w:marLeft w:val="0"/>
          <w:marRight w:val="0"/>
          <w:marTop w:val="0"/>
          <w:marBottom w:val="0"/>
          <w:divBdr>
            <w:top w:val="none" w:sz="0" w:space="0" w:color="auto"/>
            <w:left w:val="none" w:sz="0" w:space="0" w:color="auto"/>
            <w:bottom w:val="none" w:sz="0" w:space="0" w:color="auto"/>
            <w:right w:val="none" w:sz="0" w:space="0" w:color="auto"/>
          </w:divBdr>
          <w:divsChild>
            <w:div w:id="276641777">
              <w:marLeft w:val="0"/>
              <w:marRight w:val="0"/>
              <w:marTop w:val="0"/>
              <w:marBottom w:val="0"/>
              <w:divBdr>
                <w:top w:val="none" w:sz="0" w:space="0" w:color="auto"/>
                <w:left w:val="none" w:sz="0" w:space="0" w:color="auto"/>
                <w:bottom w:val="none" w:sz="0" w:space="0" w:color="auto"/>
                <w:right w:val="none" w:sz="0" w:space="0" w:color="auto"/>
              </w:divBdr>
              <w:divsChild>
                <w:div w:id="645739611">
                  <w:marLeft w:val="0"/>
                  <w:marRight w:val="0"/>
                  <w:marTop w:val="0"/>
                  <w:marBottom w:val="0"/>
                  <w:divBdr>
                    <w:top w:val="none" w:sz="0" w:space="0" w:color="auto"/>
                    <w:left w:val="none" w:sz="0" w:space="0" w:color="auto"/>
                    <w:bottom w:val="none" w:sz="0" w:space="0" w:color="auto"/>
                    <w:right w:val="none" w:sz="0" w:space="0" w:color="auto"/>
                  </w:divBdr>
                  <w:divsChild>
                    <w:div w:id="54133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610268">
      <w:bodyDiv w:val="1"/>
      <w:marLeft w:val="0"/>
      <w:marRight w:val="0"/>
      <w:marTop w:val="0"/>
      <w:marBottom w:val="0"/>
      <w:divBdr>
        <w:top w:val="none" w:sz="0" w:space="0" w:color="auto"/>
        <w:left w:val="none" w:sz="0" w:space="0" w:color="auto"/>
        <w:bottom w:val="none" w:sz="0" w:space="0" w:color="auto"/>
        <w:right w:val="none" w:sz="0" w:space="0" w:color="auto"/>
      </w:divBdr>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453511">
      <w:bodyDiv w:val="1"/>
      <w:marLeft w:val="0"/>
      <w:marRight w:val="0"/>
      <w:marTop w:val="0"/>
      <w:marBottom w:val="0"/>
      <w:divBdr>
        <w:top w:val="none" w:sz="0" w:space="0" w:color="auto"/>
        <w:left w:val="none" w:sz="0" w:space="0" w:color="auto"/>
        <w:bottom w:val="none" w:sz="0" w:space="0" w:color="auto"/>
        <w:right w:val="none" w:sz="0" w:space="0" w:color="auto"/>
      </w:divBdr>
    </w:div>
    <w:div w:id="41983955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5834739">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63698617">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479792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59038376">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9723413">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56092985">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78088254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562663">
      <w:bodyDiv w:val="1"/>
      <w:marLeft w:val="0"/>
      <w:marRight w:val="0"/>
      <w:marTop w:val="0"/>
      <w:marBottom w:val="0"/>
      <w:divBdr>
        <w:top w:val="none" w:sz="0" w:space="0" w:color="auto"/>
        <w:left w:val="none" w:sz="0" w:space="0" w:color="auto"/>
        <w:bottom w:val="none" w:sz="0" w:space="0" w:color="auto"/>
        <w:right w:val="none" w:sz="0" w:space="0" w:color="auto"/>
      </w:divBdr>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71387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099032">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74360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764347">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5267337">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409718">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83599409">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857374">
      <w:bodyDiv w:val="1"/>
      <w:marLeft w:val="0"/>
      <w:marRight w:val="0"/>
      <w:marTop w:val="0"/>
      <w:marBottom w:val="0"/>
      <w:divBdr>
        <w:top w:val="none" w:sz="0" w:space="0" w:color="auto"/>
        <w:left w:val="none" w:sz="0" w:space="0" w:color="auto"/>
        <w:bottom w:val="none" w:sz="0" w:space="0" w:color="auto"/>
        <w:right w:val="none" w:sz="0" w:space="0" w:color="auto"/>
      </w:divBdr>
    </w:div>
    <w:div w:id="1418943693">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063709">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9585301">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3924407">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748753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918422">
      <w:bodyDiv w:val="1"/>
      <w:marLeft w:val="0"/>
      <w:marRight w:val="0"/>
      <w:marTop w:val="0"/>
      <w:marBottom w:val="0"/>
      <w:divBdr>
        <w:top w:val="none" w:sz="0" w:space="0" w:color="auto"/>
        <w:left w:val="none" w:sz="0" w:space="0" w:color="auto"/>
        <w:bottom w:val="none" w:sz="0" w:space="0" w:color="auto"/>
        <w:right w:val="none" w:sz="0" w:space="0" w:color="auto"/>
      </w:divBdr>
    </w:div>
    <w:div w:id="1713308191">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781489">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16591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75536272">
      <w:bodyDiv w:val="1"/>
      <w:marLeft w:val="0"/>
      <w:marRight w:val="0"/>
      <w:marTop w:val="0"/>
      <w:marBottom w:val="0"/>
      <w:divBdr>
        <w:top w:val="none" w:sz="0" w:space="0" w:color="auto"/>
        <w:left w:val="none" w:sz="0" w:space="0" w:color="auto"/>
        <w:bottom w:val="none" w:sz="0" w:space="0" w:color="auto"/>
        <w:right w:val="none" w:sz="0" w:space="0" w:color="auto"/>
      </w:divBdr>
    </w:div>
    <w:div w:id="18779342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359956">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35712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135267">
      <w:bodyDiv w:val="1"/>
      <w:marLeft w:val="0"/>
      <w:marRight w:val="0"/>
      <w:marTop w:val="0"/>
      <w:marBottom w:val="0"/>
      <w:divBdr>
        <w:top w:val="none" w:sz="0" w:space="0" w:color="auto"/>
        <w:left w:val="none" w:sz="0" w:space="0" w:color="auto"/>
        <w:bottom w:val="none" w:sz="0" w:space="0" w:color="auto"/>
        <w:right w:val="none" w:sz="0" w:space="0" w:color="auto"/>
      </w:divBdr>
    </w:div>
    <w:div w:id="2099713651">
      <w:bodyDiv w:val="1"/>
      <w:marLeft w:val="0"/>
      <w:marRight w:val="0"/>
      <w:marTop w:val="0"/>
      <w:marBottom w:val="0"/>
      <w:divBdr>
        <w:top w:val="none" w:sz="0" w:space="0" w:color="auto"/>
        <w:left w:val="none" w:sz="0" w:space="0" w:color="auto"/>
        <w:bottom w:val="none" w:sz="0" w:space="0" w:color="auto"/>
        <w:right w:val="none" w:sz="0" w:space="0" w:color="auto"/>
      </w:divBdr>
      <w:divsChild>
        <w:div w:id="52168551">
          <w:marLeft w:val="0"/>
          <w:marRight w:val="0"/>
          <w:marTop w:val="0"/>
          <w:marBottom w:val="0"/>
          <w:divBdr>
            <w:top w:val="none" w:sz="0" w:space="0" w:color="auto"/>
            <w:left w:val="none" w:sz="0" w:space="0" w:color="auto"/>
            <w:bottom w:val="none" w:sz="0" w:space="0" w:color="auto"/>
            <w:right w:val="none" w:sz="0" w:space="0" w:color="auto"/>
          </w:divBdr>
          <w:divsChild>
            <w:div w:id="1389692762">
              <w:marLeft w:val="0"/>
              <w:marRight w:val="0"/>
              <w:marTop w:val="0"/>
              <w:marBottom w:val="0"/>
              <w:divBdr>
                <w:top w:val="none" w:sz="0" w:space="0" w:color="auto"/>
                <w:left w:val="none" w:sz="0" w:space="0" w:color="auto"/>
                <w:bottom w:val="none" w:sz="0" w:space="0" w:color="auto"/>
                <w:right w:val="none" w:sz="0" w:space="0" w:color="auto"/>
              </w:divBdr>
              <w:divsChild>
                <w:div w:id="427846332">
                  <w:marLeft w:val="0"/>
                  <w:marRight w:val="0"/>
                  <w:marTop w:val="0"/>
                  <w:marBottom w:val="0"/>
                  <w:divBdr>
                    <w:top w:val="none" w:sz="0" w:space="0" w:color="auto"/>
                    <w:left w:val="none" w:sz="0" w:space="0" w:color="auto"/>
                    <w:bottom w:val="none" w:sz="0" w:space="0" w:color="auto"/>
                    <w:right w:val="none" w:sz="0" w:space="0" w:color="auto"/>
                  </w:divBdr>
                  <w:divsChild>
                    <w:div w:id="12952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4885641">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90552" TargetMode="External"/><Relationship Id="rId18" Type="http://schemas.openxmlformats.org/officeDocument/2006/relationships/hyperlink" Target="http://search.mandumah.com/Record/160227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arch.mandumah.com/Record/1054978" TargetMode="External"/><Relationship Id="rId7" Type="http://schemas.openxmlformats.org/officeDocument/2006/relationships/endnotes" Target="endnotes.xml"/><Relationship Id="rId12" Type="http://schemas.openxmlformats.org/officeDocument/2006/relationships/hyperlink" Target="http://search.mandumah.com/Record/1644995" TargetMode="External"/><Relationship Id="rId17" Type="http://schemas.openxmlformats.org/officeDocument/2006/relationships/hyperlink" Target="http://search.mandumah.com/Record/133087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arch.mandumah.com/Record/101299" TargetMode="External"/><Relationship Id="rId20" Type="http://schemas.openxmlformats.org/officeDocument/2006/relationships/hyperlink" Target="http://search.mandumah.com/Record/144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30060"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earch.mandumah.com/Record/804136" TargetMode="External"/><Relationship Id="rId23" Type="http://schemas.openxmlformats.org/officeDocument/2006/relationships/hyperlink" Target="http://search.mandumah.com/Record/1511201" TargetMode="External"/><Relationship Id="rId10" Type="http://schemas.openxmlformats.org/officeDocument/2006/relationships/hyperlink" Target="http://search.mandumah.com/Record/1275499" TargetMode="External"/><Relationship Id="rId19" Type="http://schemas.openxmlformats.org/officeDocument/2006/relationships/hyperlink" Target="http://search.mandumah.com/Record/1654242" TargetMode="External"/><Relationship Id="rId4" Type="http://schemas.openxmlformats.org/officeDocument/2006/relationships/settings" Target="settings.xml"/><Relationship Id="rId9" Type="http://schemas.openxmlformats.org/officeDocument/2006/relationships/hyperlink" Target="http://search.mandumah.com/Record/1533648" TargetMode="External"/><Relationship Id="rId14" Type="http://schemas.openxmlformats.org/officeDocument/2006/relationships/hyperlink" Target="http://search.mandumah.com/Record/1573921" TargetMode="External"/><Relationship Id="rId22" Type="http://schemas.openxmlformats.org/officeDocument/2006/relationships/hyperlink" Target="http://search.mandumah.com/Record/155767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8480</Words>
  <Characters>48338</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Norah ..</cp:lastModifiedBy>
  <cp:revision>2</cp:revision>
  <cp:lastPrinted>2026-03-29T17:54:00Z</cp:lastPrinted>
  <dcterms:created xsi:type="dcterms:W3CDTF">2026-04-01T11:46:00Z</dcterms:created>
  <dcterms:modified xsi:type="dcterms:W3CDTF">2026-04-01T11:46:00Z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