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53A4" w14:textId="0B8A2DAB" w:rsidR="008473BD" w:rsidRDefault="00C274E4" w:rsidP="00EA2966">
      <w:pPr>
        <w:tabs>
          <w:tab w:val="left" w:pos="1016"/>
          <w:tab w:val="left" w:pos="1586"/>
          <w:tab w:val="center" w:pos="4513"/>
        </w:tabs>
        <w:bidi/>
        <w:spacing w:line="240" w:lineRule="auto"/>
        <w:rPr>
          <w:rFonts w:asciiTheme="minorBidi" w:hAnsiTheme="minorBidi" w:cs="PT Bold Broken"/>
          <w:b/>
          <w:bCs/>
          <w:noProof/>
          <w:sz w:val="36"/>
          <w:szCs w:val="36"/>
          <w:rtl/>
          <w:lang w:bidi="ar-EG"/>
        </w:rPr>
      </w:pPr>
      <w:r>
        <w:rPr>
          <w:rFonts w:ascii="Times New Roman"/>
          <w:b/>
          <w:noProof/>
          <w:sz w:val="20"/>
        </w:rPr>
        <w:drawing>
          <wp:anchor distT="0" distB="0" distL="114300" distR="114300" simplePos="0" relativeHeight="251659264" behindDoc="0" locked="0" layoutInCell="1" allowOverlap="1" wp14:anchorId="1EC37CE8" wp14:editId="5748B5E7">
            <wp:simplePos x="0" y="0"/>
            <wp:positionH relativeFrom="margin">
              <wp:posOffset>1895302</wp:posOffset>
            </wp:positionH>
            <wp:positionV relativeFrom="margin">
              <wp:posOffset>-138026</wp:posOffset>
            </wp:positionV>
            <wp:extent cx="1897380" cy="976630"/>
            <wp:effectExtent l="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r w:rsidR="00AC6725">
        <w:rPr>
          <w:rFonts w:asciiTheme="minorBidi" w:hAnsiTheme="minorBidi" w:cs="PT Bold Broken" w:hint="cs"/>
          <w:b/>
          <w:bCs/>
          <w:noProof/>
          <w:sz w:val="36"/>
          <w:szCs w:val="36"/>
          <w:rtl/>
          <w:lang w:bidi="ar-EG"/>
        </w:rPr>
        <w:t xml:space="preserve">    </w:t>
      </w:r>
      <w:r w:rsidR="00EA2966">
        <w:rPr>
          <w:rFonts w:asciiTheme="minorBidi" w:hAnsiTheme="minorBidi" w:cs="PT Bold Broken" w:hint="cs"/>
          <w:b/>
          <w:bCs/>
          <w:noProof/>
          <w:sz w:val="36"/>
          <w:szCs w:val="36"/>
          <w:rtl/>
          <w:lang w:bidi="ar-EG"/>
        </w:rPr>
        <w:t xml:space="preserve"> </w:t>
      </w:r>
      <w:r w:rsidR="00AC6725">
        <w:rPr>
          <w:rFonts w:asciiTheme="minorBidi" w:hAnsiTheme="minorBidi" w:cs="PT Bold Broken" w:hint="cs"/>
          <w:b/>
          <w:bCs/>
          <w:noProof/>
          <w:sz w:val="36"/>
          <w:szCs w:val="36"/>
          <w:rtl/>
          <w:lang w:bidi="ar-EG"/>
        </w:rPr>
        <w:t xml:space="preserve"> </w:t>
      </w:r>
    </w:p>
    <w:p w14:paraId="02134A7B" w14:textId="41DA1719" w:rsidR="008473BD" w:rsidRDefault="008473BD" w:rsidP="008473BD">
      <w:pPr>
        <w:tabs>
          <w:tab w:val="left" w:pos="1016"/>
          <w:tab w:val="left" w:pos="1586"/>
          <w:tab w:val="center" w:pos="4513"/>
        </w:tabs>
        <w:bidi/>
        <w:spacing w:line="240" w:lineRule="auto"/>
        <w:rPr>
          <w:rFonts w:asciiTheme="minorBidi" w:hAnsiTheme="minorBidi" w:cs="PT Bold Broken"/>
          <w:b/>
          <w:bCs/>
          <w:noProof/>
          <w:sz w:val="36"/>
          <w:szCs w:val="36"/>
          <w:rtl/>
          <w:lang w:bidi="ar-EG"/>
        </w:rPr>
      </w:pPr>
    </w:p>
    <w:p w14:paraId="65F0B726" w14:textId="77777777" w:rsidR="00B40D1C" w:rsidRDefault="00B40D1C" w:rsidP="002156AB">
      <w:pPr>
        <w:tabs>
          <w:tab w:val="left" w:pos="1016"/>
          <w:tab w:val="left" w:pos="1586"/>
          <w:tab w:val="center" w:pos="4513"/>
        </w:tabs>
        <w:bidi/>
        <w:spacing w:line="240" w:lineRule="auto"/>
        <w:jc w:val="center"/>
        <w:rPr>
          <w:rFonts w:asciiTheme="minorBidi" w:hAnsiTheme="minorBidi" w:cs="PT Bold Broken"/>
          <w:b/>
          <w:bCs/>
          <w:noProof/>
          <w:sz w:val="40"/>
          <w:szCs w:val="40"/>
          <w:lang w:bidi="ar-EG"/>
        </w:rPr>
      </w:pPr>
    </w:p>
    <w:p w14:paraId="464133E6" w14:textId="77777777" w:rsidR="00792378" w:rsidRDefault="00792378" w:rsidP="00733102">
      <w:pPr>
        <w:tabs>
          <w:tab w:val="left" w:pos="1016"/>
          <w:tab w:val="left" w:pos="1586"/>
          <w:tab w:val="center" w:pos="4513"/>
        </w:tabs>
        <w:bidi/>
        <w:spacing w:line="240" w:lineRule="auto"/>
        <w:jc w:val="center"/>
        <w:rPr>
          <w:rFonts w:asciiTheme="majorBidi" w:hAnsiTheme="majorBidi" w:cstheme="majorBidi"/>
          <w:b/>
          <w:bCs/>
          <w:color w:val="002060"/>
          <w:sz w:val="36"/>
          <w:szCs w:val="36"/>
          <w:rtl/>
        </w:rPr>
      </w:pPr>
    </w:p>
    <w:p w14:paraId="1475D59C" w14:textId="61A65CC1" w:rsidR="0087037B" w:rsidRPr="00792378" w:rsidRDefault="008473BD" w:rsidP="00792378">
      <w:pPr>
        <w:tabs>
          <w:tab w:val="left" w:pos="1016"/>
          <w:tab w:val="left" w:pos="1586"/>
          <w:tab w:val="center" w:pos="4513"/>
        </w:tabs>
        <w:bidi/>
        <w:spacing w:line="240" w:lineRule="auto"/>
        <w:jc w:val="center"/>
        <w:rPr>
          <w:rFonts w:asciiTheme="majorBidi" w:hAnsiTheme="majorBidi" w:cstheme="majorBidi"/>
          <w:b/>
          <w:bCs/>
          <w:color w:val="002060"/>
          <w:sz w:val="48"/>
          <w:szCs w:val="48"/>
        </w:rPr>
      </w:pPr>
      <w:r w:rsidRPr="00792378">
        <w:rPr>
          <w:rFonts w:asciiTheme="majorBidi" w:hAnsiTheme="majorBidi" w:cstheme="majorBidi"/>
          <w:b/>
          <w:bCs/>
          <w:color w:val="002060"/>
          <w:sz w:val="48"/>
          <w:szCs w:val="48"/>
          <w:rtl/>
        </w:rPr>
        <w:t>"</w:t>
      </w:r>
      <w:r w:rsidR="00D976D0" w:rsidRPr="00792378">
        <w:rPr>
          <w:rFonts w:asciiTheme="majorBidi" w:hAnsiTheme="majorBidi" w:cstheme="majorBidi"/>
          <w:b/>
          <w:bCs/>
          <w:color w:val="002060"/>
          <w:sz w:val="48"/>
          <w:szCs w:val="48"/>
          <w:rtl/>
        </w:rPr>
        <w:t>دور التحول الرقمي في تعزيز الأمن وت</w:t>
      </w:r>
      <w:r w:rsidR="00A9676E" w:rsidRPr="00792378">
        <w:rPr>
          <w:rFonts w:asciiTheme="majorBidi" w:hAnsiTheme="majorBidi" w:cstheme="majorBidi"/>
          <w:b/>
          <w:bCs/>
          <w:color w:val="002060"/>
          <w:sz w:val="48"/>
          <w:szCs w:val="48"/>
          <w:rtl/>
        </w:rPr>
        <w:t xml:space="preserve">يسير </w:t>
      </w:r>
      <w:r w:rsidR="00D976D0" w:rsidRPr="00792378">
        <w:rPr>
          <w:rFonts w:asciiTheme="majorBidi" w:hAnsiTheme="majorBidi" w:cstheme="majorBidi"/>
          <w:b/>
          <w:bCs/>
          <w:color w:val="002060"/>
          <w:sz w:val="48"/>
          <w:szCs w:val="48"/>
          <w:rtl/>
        </w:rPr>
        <w:t>التجارة</w:t>
      </w:r>
      <w:r w:rsidR="0087037B" w:rsidRPr="00792378">
        <w:rPr>
          <w:rFonts w:asciiTheme="majorBidi" w:hAnsiTheme="majorBidi" w:cstheme="majorBidi"/>
          <w:b/>
          <w:bCs/>
          <w:color w:val="002060"/>
          <w:sz w:val="48"/>
          <w:szCs w:val="48"/>
          <w:rtl/>
        </w:rPr>
        <w:t>"</w:t>
      </w:r>
    </w:p>
    <w:p w14:paraId="322036FF" w14:textId="2FA63501" w:rsidR="00733102" w:rsidRPr="00792378" w:rsidRDefault="00733102" w:rsidP="00E53C12">
      <w:pPr>
        <w:tabs>
          <w:tab w:val="left" w:pos="1016"/>
          <w:tab w:val="left" w:pos="1586"/>
          <w:tab w:val="center" w:pos="4513"/>
        </w:tabs>
        <w:bidi/>
        <w:spacing w:line="240" w:lineRule="auto"/>
        <w:jc w:val="center"/>
        <w:rPr>
          <w:rFonts w:asciiTheme="majorBidi" w:hAnsiTheme="majorBidi" w:cstheme="majorBidi"/>
          <w:b/>
          <w:bCs/>
          <w:color w:val="002060"/>
          <w:sz w:val="32"/>
          <w:szCs w:val="32"/>
          <w:u w:val="single"/>
          <w:lang w:bidi="ar-EG"/>
        </w:rPr>
      </w:pPr>
      <w:r w:rsidRPr="00792378">
        <w:rPr>
          <w:rFonts w:asciiTheme="majorBidi" w:hAnsiTheme="majorBidi" w:cstheme="majorBidi"/>
          <w:b/>
          <w:bCs/>
          <w:color w:val="002060"/>
          <w:sz w:val="32"/>
          <w:szCs w:val="32"/>
          <w:u w:val="single"/>
          <w:rtl/>
          <w:lang w:bidi="ar-EG"/>
        </w:rPr>
        <w:t xml:space="preserve">دراسة على هيئة الزكاة والضريبة </w:t>
      </w:r>
      <w:r w:rsidR="00E53C12" w:rsidRPr="00792378">
        <w:rPr>
          <w:rFonts w:asciiTheme="majorBidi" w:hAnsiTheme="majorBidi" w:cstheme="majorBidi"/>
          <w:b/>
          <w:bCs/>
          <w:color w:val="002060"/>
          <w:sz w:val="32"/>
          <w:szCs w:val="32"/>
          <w:u w:val="single"/>
          <w:rtl/>
          <w:lang w:bidi="ar-EG"/>
        </w:rPr>
        <w:t>والجمارك</w:t>
      </w:r>
      <w:r w:rsidR="00E53C12" w:rsidRPr="00792378">
        <w:rPr>
          <w:rFonts w:asciiTheme="majorBidi" w:hAnsiTheme="majorBidi" w:cstheme="majorBidi"/>
          <w:b/>
          <w:bCs/>
          <w:color w:val="002060"/>
          <w:sz w:val="32"/>
          <w:szCs w:val="32"/>
          <w:u w:val="single"/>
          <w:lang w:bidi="ar-EG"/>
        </w:rPr>
        <w:t xml:space="preserve"> </w:t>
      </w:r>
    </w:p>
    <w:p w14:paraId="1B5B616F" w14:textId="77777777" w:rsidR="00923041" w:rsidRDefault="00923041" w:rsidP="00CC6D2A">
      <w:pPr>
        <w:bidi/>
        <w:spacing w:line="240" w:lineRule="auto"/>
        <w:ind w:left="360"/>
        <w:outlineLvl w:val="0"/>
        <w:rPr>
          <w:rFonts w:asciiTheme="majorBidi" w:hAnsiTheme="majorBidi" w:cstheme="majorBidi"/>
          <w:b/>
          <w:bCs/>
          <w:sz w:val="36"/>
          <w:szCs w:val="36"/>
          <w:rtl/>
          <w:lang w:bidi="ar-EG"/>
        </w:rPr>
      </w:pPr>
    </w:p>
    <w:p w14:paraId="25232E7E" w14:textId="77777777" w:rsidR="00792378" w:rsidRDefault="00792378" w:rsidP="00792378">
      <w:pPr>
        <w:bidi/>
        <w:spacing w:line="240" w:lineRule="auto"/>
        <w:ind w:left="360"/>
        <w:outlineLvl w:val="0"/>
        <w:rPr>
          <w:rFonts w:asciiTheme="majorBidi" w:hAnsiTheme="majorBidi" w:cstheme="majorBidi"/>
          <w:b/>
          <w:bCs/>
          <w:sz w:val="36"/>
          <w:szCs w:val="36"/>
          <w:rtl/>
          <w:lang w:bidi="ar-EG"/>
        </w:rPr>
      </w:pPr>
    </w:p>
    <w:p w14:paraId="6F6E9662" w14:textId="4A14CF23" w:rsidR="00E2033B" w:rsidRPr="00792378" w:rsidRDefault="00E2033B" w:rsidP="00090ECA">
      <w:pPr>
        <w:bidi/>
        <w:spacing w:line="360" w:lineRule="auto"/>
        <w:ind w:left="360"/>
        <w:outlineLvl w:val="0"/>
        <w:rPr>
          <w:rFonts w:asciiTheme="majorBidi" w:hAnsiTheme="majorBidi" w:cstheme="majorBidi"/>
          <w:b/>
          <w:bCs/>
          <w:sz w:val="32"/>
          <w:szCs w:val="32"/>
          <w:rtl/>
        </w:rPr>
      </w:pPr>
      <w:r w:rsidRPr="00792378">
        <w:rPr>
          <w:rFonts w:asciiTheme="majorBidi" w:hAnsiTheme="majorBidi" w:cstheme="majorBidi"/>
          <w:b/>
          <w:bCs/>
          <w:sz w:val="32"/>
          <w:szCs w:val="32"/>
          <w:rtl/>
          <w:lang w:bidi="ar-EG"/>
        </w:rPr>
        <w:t xml:space="preserve">أسم </w:t>
      </w:r>
      <w:r w:rsidR="004E1F96" w:rsidRPr="00792378">
        <w:rPr>
          <w:rFonts w:asciiTheme="majorBidi" w:hAnsiTheme="majorBidi" w:cstheme="majorBidi"/>
          <w:b/>
          <w:bCs/>
          <w:sz w:val="32"/>
          <w:szCs w:val="32"/>
          <w:rtl/>
          <w:lang w:bidi="ar-EG"/>
        </w:rPr>
        <w:t>الباحث:</w:t>
      </w:r>
      <w:r w:rsidRPr="00792378">
        <w:rPr>
          <w:rFonts w:asciiTheme="majorBidi" w:hAnsiTheme="majorBidi" w:cstheme="majorBidi"/>
          <w:b/>
          <w:bCs/>
          <w:sz w:val="32"/>
          <w:szCs w:val="32"/>
          <w:rtl/>
          <w:lang w:bidi="ar-EG"/>
        </w:rPr>
        <w:t xml:space="preserve"> </w:t>
      </w:r>
      <w:r w:rsidRPr="00792378">
        <w:rPr>
          <w:rFonts w:asciiTheme="majorBidi" w:hAnsiTheme="majorBidi" w:cstheme="majorBidi"/>
          <w:b/>
          <w:bCs/>
          <w:sz w:val="32"/>
          <w:szCs w:val="32"/>
          <w:rtl/>
        </w:rPr>
        <w:t>عبد الإله سعيد آل محيا</w:t>
      </w:r>
    </w:p>
    <w:p w14:paraId="5F0C637B" w14:textId="536D46F9" w:rsidR="00E2033B" w:rsidRPr="00792378" w:rsidRDefault="00E2033B" w:rsidP="00090ECA">
      <w:pPr>
        <w:bidi/>
        <w:spacing w:line="360" w:lineRule="auto"/>
        <w:ind w:left="360"/>
        <w:outlineLvl w:val="0"/>
        <w:rPr>
          <w:rFonts w:asciiTheme="majorBidi" w:hAnsiTheme="majorBidi" w:cstheme="majorBidi"/>
          <w:b/>
          <w:bCs/>
          <w:color w:val="000000" w:themeColor="text1"/>
          <w:sz w:val="32"/>
          <w:szCs w:val="32"/>
          <w:rtl/>
          <w:lang w:bidi="ar-EG"/>
        </w:rPr>
      </w:pPr>
      <w:r w:rsidRPr="00792378">
        <w:rPr>
          <w:rFonts w:asciiTheme="majorBidi" w:hAnsiTheme="majorBidi" w:cstheme="majorBidi"/>
          <w:b/>
          <w:bCs/>
          <w:color w:val="000000" w:themeColor="text1"/>
          <w:sz w:val="32"/>
          <w:szCs w:val="32"/>
          <w:rtl/>
        </w:rPr>
        <w:t xml:space="preserve">الرقم </w:t>
      </w:r>
      <w:r w:rsidR="004E1F96" w:rsidRPr="00792378">
        <w:rPr>
          <w:rFonts w:asciiTheme="majorBidi" w:hAnsiTheme="majorBidi" w:cstheme="majorBidi"/>
          <w:b/>
          <w:bCs/>
          <w:color w:val="000000" w:themeColor="text1"/>
          <w:sz w:val="32"/>
          <w:szCs w:val="32"/>
          <w:rtl/>
        </w:rPr>
        <w:t>الأكاديمي:</w:t>
      </w:r>
      <w:r w:rsidR="004E40F6" w:rsidRPr="00792378">
        <w:rPr>
          <w:rFonts w:asciiTheme="majorBidi" w:hAnsiTheme="majorBidi" w:cstheme="majorBidi"/>
          <w:b/>
          <w:bCs/>
          <w:color w:val="000000" w:themeColor="text1"/>
          <w:sz w:val="32"/>
          <w:szCs w:val="32"/>
        </w:rPr>
        <w:t xml:space="preserve"> </w:t>
      </w:r>
      <w:r w:rsidR="004E40F6" w:rsidRPr="00792378">
        <w:rPr>
          <w:rFonts w:asciiTheme="majorBidi" w:hAnsiTheme="majorBidi" w:cstheme="majorBidi"/>
          <w:b/>
          <w:bCs/>
          <w:color w:val="000000" w:themeColor="text1"/>
          <w:sz w:val="32"/>
          <w:szCs w:val="32"/>
          <w:rtl/>
          <w:lang w:bidi="ar-EG"/>
        </w:rPr>
        <w:t xml:space="preserve"> </w:t>
      </w:r>
      <w:r w:rsidR="00810178" w:rsidRPr="00792378">
        <w:rPr>
          <w:rFonts w:asciiTheme="majorBidi" w:hAnsiTheme="majorBidi" w:cstheme="majorBidi"/>
          <w:b/>
          <w:bCs/>
          <w:color w:val="000000" w:themeColor="text1"/>
          <w:sz w:val="32"/>
          <w:szCs w:val="32"/>
          <w:lang w:bidi="ar-EG"/>
        </w:rPr>
        <w:t>222001144</w:t>
      </w:r>
    </w:p>
    <w:p w14:paraId="6DF88A1C" w14:textId="6A8935B1" w:rsidR="00E2033B" w:rsidRPr="00792378" w:rsidRDefault="00E2033B" w:rsidP="00090ECA">
      <w:pPr>
        <w:bidi/>
        <w:spacing w:line="360" w:lineRule="auto"/>
        <w:ind w:left="360"/>
        <w:outlineLvl w:val="0"/>
        <w:rPr>
          <w:rFonts w:asciiTheme="majorBidi" w:hAnsiTheme="majorBidi" w:cstheme="majorBidi"/>
          <w:b/>
          <w:bCs/>
          <w:color w:val="000000" w:themeColor="text1"/>
          <w:sz w:val="32"/>
          <w:szCs w:val="32"/>
          <w:rtl/>
        </w:rPr>
      </w:pPr>
      <w:r w:rsidRPr="00792378">
        <w:rPr>
          <w:rFonts w:asciiTheme="majorBidi" w:hAnsiTheme="majorBidi" w:cstheme="majorBidi"/>
          <w:b/>
          <w:bCs/>
          <w:color w:val="000000" w:themeColor="text1"/>
          <w:sz w:val="32"/>
          <w:szCs w:val="32"/>
          <w:rtl/>
        </w:rPr>
        <w:t>الكلية:</w:t>
      </w:r>
      <w:r w:rsidR="00CF3429" w:rsidRPr="00792378">
        <w:rPr>
          <w:rFonts w:asciiTheme="majorBidi" w:hAnsiTheme="majorBidi" w:cstheme="majorBidi"/>
          <w:b/>
          <w:bCs/>
          <w:color w:val="000000" w:themeColor="text1"/>
          <w:sz w:val="32"/>
          <w:szCs w:val="32"/>
          <w:rtl/>
        </w:rPr>
        <w:t xml:space="preserve"> الإدارة</w:t>
      </w:r>
      <w:r w:rsidR="00923041" w:rsidRPr="00792378">
        <w:rPr>
          <w:rFonts w:asciiTheme="majorBidi" w:hAnsiTheme="majorBidi" w:cstheme="majorBidi" w:hint="cs"/>
          <w:b/>
          <w:bCs/>
          <w:color w:val="000000" w:themeColor="text1"/>
          <w:sz w:val="32"/>
          <w:szCs w:val="32"/>
          <w:rtl/>
        </w:rPr>
        <w:t xml:space="preserve"> الأعمال</w:t>
      </w:r>
    </w:p>
    <w:p w14:paraId="52AE97DF" w14:textId="76B7CC89" w:rsidR="00923041" w:rsidRPr="00792378" w:rsidRDefault="00923041" w:rsidP="00090ECA">
      <w:pPr>
        <w:bidi/>
        <w:spacing w:line="360" w:lineRule="auto"/>
        <w:ind w:left="360"/>
        <w:outlineLvl w:val="0"/>
        <w:rPr>
          <w:rFonts w:asciiTheme="majorBidi" w:hAnsiTheme="majorBidi" w:cstheme="majorBidi"/>
          <w:b/>
          <w:bCs/>
          <w:sz w:val="32"/>
          <w:szCs w:val="32"/>
          <w:rtl/>
          <w:lang w:bidi="ar-EG"/>
        </w:rPr>
      </w:pPr>
      <w:r w:rsidRPr="00792378">
        <w:rPr>
          <w:rFonts w:asciiTheme="majorBidi" w:hAnsiTheme="majorBidi" w:cstheme="majorBidi" w:hint="cs"/>
          <w:b/>
          <w:bCs/>
          <w:color w:val="000000" w:themeColor="text1"/>
          <w:sz w:val="32"/>
          <w:szCs w:val="32"/>
          <w:rtl/>
        </w:rPr>
        <w:t>الجامعة: جامعة ميدأوشن</w:t>
      </w:r>
    </w:p>
    <w:p w14:paraId="38CE693F" w14:textId="77777777" w:rsidR="00E2033B" w:rsidRDefault="00E2033B" w:rsidP="00E2033B">
      <w:pPr>
        <w:spacing w:line="240" w:lineRule="auto"/>
        <w:rPr>
          <w:rFonts w:asciiTheme="majorBidi" w:hAnsiTheme="majorBidi" w:cstheme="majorBidi"/>
          <w:noProof/>
          <w:rtl/>
          <w:lang w:bidi="ar-JO"/>
        </w:rPr>
      </w:pPr>
    </w:p>
    <w:p w14:paraId="19CCA1B8" w14:textId="77777777" w:rsidR="00792378" w:rsidRPr="00923041" w:rsidRDefault="00792378" w:rsidP="00E2033B">
      <w:pPr>
        <w:spacing w:line="240" w:lineRule="auto"/>
        <w:rPr>
          <w:rFonts w:asciiTheme="majorBidi" w:hAnsiTheme="majorBidi" w:cstheme="majorBidi"/>
          <w:noProof/>
          <w:rtl/>
          <w:lang w:bidi="ar-JO"/>
        </w:rPr>
      </w:pPr>
    </w:p>
    <w:p w14:paraId="61A866A8" w14:textId="1443310B" w:rsidR="00E2033B" w:rsidRPr="00923041" w:rsidRDefault="00E2033B" w:rsidP="00E2033B">
      <w:pPr>
        <w:jc w:val="center"/>
        <w:rPr>
          <w:rFonts w:asciiTheme="majorBidi" w:hAnsiTheme="majorBidi" w:cstheme="majorBidi"/>
          <w:b/>
          <w:bCs/>
          <w:sz w:val="24"/>
          <w:szCs w:val="24"/>
          <w:rtl/>
        </w:rPr>
      </w:pPr>
      <w:r w:rsidRPr="00923041">
        <w:rPr>
          <w:rFonts w:asciiTheme="majorBidi" w:hAnsiTheme="majorBidi" w:cstheme="majorBidi"/>
          <w:b/>
          <w:bCs/>
          <w:sz w:val="24"/>
          <w:szCs w:val="24"/>
          <w:rtl/>
        </w:rPr>
        <w:t xml:space="preserve"> </w:t>
      </w:r>
      <w:r w:rsidR="00792378">
        <w:rPr>
          <w:rFonts w:asciiTheme="majorBidi" w:hAnsiTheme="majorBidi" w:cstheme="majorBidi" w:hint="cs"/>
          <w:b/>
          <w:bCs/>
          <w:sz w:val="24"/>
          <w:szCs w:val="24"/>
          <w:rtl/>
          <w:lang w:bidi="ar-EG"/>
        </w:rPr>
        <w:t>هـ</w:t>
      </w:r>
      <w:r w:rsidRPr="00923041">
        <w:rPr>
          <w:rFonts w:asciiTheme="majorBidi" w:hAnsiTheme="majorBidi" w:cstheme="majorBidi"/>
          <w:b/>
          <w:bCs/>
          <w:sz w:val="24"/>
          <w:szCs w:val="24"/>
          <w:rtl/>
        </w:rPr>
        <w:t xml:space="preserve">       </w:t>
      </w:r>
      <w:r w:rsidR="001A6BFB" w:rsidRPr="00923041">
        <w:rPr>
          <w:rFonts w:asciiTheme="majorBidi" w:hAnsiTheme="majorBidi" w:cstheme="majorBidi"/>
          <w:b/>
          <w:bCs/>
          <w:sz w:val="24"/>
          <w:szCs w:val="24"/>
        </w:rPr>
        <w:t xml:space="preserve">1446 </w:t>
      </w:r>
    </w:p>
    <w:p w14:paraId="0D953E3E" w14:textId="59E98A61" w:rsidR="008A25E1" w:rsidRPr="00923041" w:rsidRDefault="008A25E1" w:rsidP="008473BD">
      <w:pPr>
        <w:bidi/>
        <w:spacing w:line="240" w:lineRule="auto"/>
        <w:outlineLvl w:val="0"/>
        <w:rPr>
          <w:rFonts w:asciiTheme="majorBidi" w:hAnsiTheme="majorBidi" w:cstheme="majorBidi"/>
          <w:b/>
          <w:bCs/>
          <w:sz w:val="36"/>
          <w:szCs w:val="36"/>
        </w:rPr>
      </w:pPr>
    </w:p>
    <w:p w14:paraId="6CF91175" w14:textId="77777777" w:rsidR="00B40D1C" w:rsidRPr="00923041" w:rsidRDefault="00B40D1C" w:rsidP="00B40D1C">
      <w:pPr>
        <w:bidi/>
        <w:spacing w:line="240" w:lineRule="auto"/>
        <w:outlineLvl w:val="0"/>
        <w:rPr>
          <w:rFonts w:asciiTheme="majorBidi" w:hAnsiTheme="majorBidi" w:cstheme="majorBidi"/>
          <w:b/>
          <w:bCs/>
          <w:sz w:val="36"/>
          <w:szCs w:val="36"/>
          <w:rtl/>
        </w:rPr>
      </w:pPr>
    </w:p>
    <w:p w14:paraId="3DD070A8" w14:textId="77777777" w:rsidR="00B531E8" w:rsidRDefault="00B531E8" w:rsidP="00B531E8">
      <w:pPr>
        <w:bidi/>
        <w:spacing w:line="240" w:lineRule="auto"/>
        <w:outlineLvl w:val="0"/>
        <w:rPr>
          <w:rFonts w:asciiTheme="majorBidi" w:hAnsiTheme="majorBidi" w:cstheme="majorBidi"/>
          <w:b/>
          <w:bCs/>
          <w:sz w:val="36"/>
          <w:szCs w:val="36"/>
          <w:rtl/>
        </w:rPr>
      </w:pPr>
    </w:p>
    <w:p w14:paraId="0C489B6C" w14:textId="77777777" w:rsidR="00923041" w:rsidRPr="00923041" w:rsidRDefault="00923041" w:rsidP="00923041">
      <w:pPr>
        <w:bidi/>
        <w:spacing w:line="240" w:lineRule="auto"/>
        <w:outlineLvl w:val="0"/>
        <w:rPr>
          <w:rFonts w:asciiTheme="majorBidi" w:hAnsiTheme="majorBidi" w:cstheme="majorBidi"/>
          <w:b/>
          <w:bCs/>
          <w:sz w:val="36"/>
          <w:szCs w:val="36"/>
          <w:rtl/>
        </w:rPr>
      </w:pPr>
    </w:p>
    <w:p w14:paraId="189096CE" w14:textId="77777777" w:rsidR="00B531E8" w:rsidRDefault="00B531E8" w:rsidP="00B531E8">
      <w:pPr>
        <w:bidi/>
        <w:spacing w:line="240" w:lineRule="auto"/>
        <w:outlineLvl w:val="0"/>
        <w:rPr>
          <w:rFonts w:ascii="Sakkal Majalla" w:hAnsi="Sakkal Majalla" w:cs="Sakkal Majalla"/>
          <w:b/>
          <w:bCs/>
          <w:sz w:val="36"/>
          <w:szCs w:val="36"/>
          <w:rtl/>
        </w:rPr>
      </w:pPr>
    </w:p>
    <w:p w14:paraId="6843778A" w14:textId="77777777" w:rsidR="00B531E8" w:rsidRDefault="00B531E8" w:rsidP="00B531E8">
      <w:pPr>
        <w:bidi/>
        <w:spacing w:line="240" w:lineRule="auto"/>
        <w:outlineLvl w:val="0"/>
        <w:rPr>
          <w:rFonts w:ascii="Sakkal Majalla" w:hAnsi="Sakkal Majalla" w:cs="Sakkal Majalla"/>
          <w:b/>
          <w:bCs/>
          <w:sz w:val="36"/>
          <w:szCs w:val="36"/>
          <w:rtl/>
        </w:rPr>
      </w:pPr>
    </w:p>
    <w:p w14:paraId="2D808A0B" w14:textId="77777777" w:rsidR="0019590B" w:rsidRDefault="0019590B" w:rsidP="0019590B">
      <w:pPr>
        <w:bidi/>
        <w:spacing w:line="240" w:lineRule="auto"/>
        <w:outlineLvl w:val="0"/>
        <w:rPr>
          <w:rFonts w:ascii="Sakkal Majalla" w:hAnsi="Sakkal Majalla" w:cs="Sakkal Majalla"/>
          <w:b/>
          <w:bCs/>
          <w:sz w:val="36"/>
          <w:szCs w:val="36"/>
        </w:rPr>
      </w:pPr>
    </w:p>
    <w:p w14:paraId="080A10A5" w14:textId="77777777" w:rsidR="00D2377F" w:rsidRDefault="00D2377F" w:rsidP="007C444D">
      <w:pPr>
        <w:bidi/>
        <w:spacing w:line="240" w:lineRule="auto"/>
        <w:ind w:firstLine="720"/>
        <w:jc w:val="center"/>
        <w:rPr>
          <w:rFonts w:asciiTheme="majorBidi" w:hAnsiTheme="majorBidi" w:cs="PT Bold Heading"/>
          <w:b/>
          <w:bCs/>
          <w:color w:val="002060"/>
          <w:sz w:val="36"/>
          <w:szCs w:val="36"/>
          <w:lang w:bidi="ar-EG"/>
        </w:rPr>
      </w:pPr>
    </w:p>
    <w:p w14:paraId="319A5A90" w14:textId="3246BE28"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73F7DFB7" w14:textId="15A6BEE9"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6433FFF2" w14:textId="38F69C07" w:rsidR="00D2377F" w:rsidRDefault="00792378" w:rsidP="00D2377F">
      <w:pPr>
        <w:bidi/>
        <w:spacing w:line="240" w:lineRule="auto"/>
        <w:ind w:firstLine="720"/>
        <w:jc w:val="center"/>
        <w:rPr>
          <w:rFonts w:asciiTheme="majorBidi" w:hAnsiTheme="majorBidi" w:cs="PT Bold Heading"/>
          <w:b/>
          <w:bCs/>
          <w:color w:val="002060"/>
          <w:sz w:val="36"/>
          <w:szCs w:val="36"/>
          <w:lang w:bidi="ar-EG"/>
        </w:rPr>
      </w:pPr>
      <w:r>
        <w:rPr>
          <w:rFonts w:ascii="Times New Roman"/>
          <w:b/>
          <w:noProof/>
          <w:sz w:val="20"/>
        </w:rPr>
        <w:drawing>
          <wp:anchor distT="0" distB="0" distL="114300" distR="114300" simplePos="0" relativeHeight="251661312" behindDoc="0" locked="0" layoutInCell="1" allowOverlap="1" wp14:anchorId="33F42741" wp14:editId="67CC98E6">
            <wp:simplePos x="0" y="0"/>
            <wp:positionH relativeFrom="margin">
              <wp:align>center</wp:align>
            </wp:positionH>
            <wp:positionV relativeFrom="margin">
              <wp:posOffset>509954</wp:posOffset>
            </wp:positionV>
            <wp:extent cx="1897380" cy="976630"/>
            <wp:effectExtent l="0" t="0" r="7620" b="0"/>
            <wp:wrapSquare wrapText="bothSides"/>
            <wp:docPr id="7202786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p>
    <w:p w14:paraId="17F81731" w14:textId="4DC2B84D"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1E97CE1A" w14:textId="2C9F0E77" w:rsidR="00D2377F" w:rsidRPr="00792378" w:rsidRDefault="00D2377F" w:rsidP="00D2377F">
      <w:pPr>
        <w:spacing w:line="240" w:lineRule="auto"/>
        <w:ind w:left="360"/>
        <w:jc w:val="center"/>
        <w:outlineLvl w:val="0"/>
        <w:rPr>
          <w:rFonts w:asciiTheme="majorBidi" w:hAnsiTheme="majorBidi" w:cstheme="majorBidi"/>
          <w:b/>
          <w:bCs/>
          <w:sz w:val="44"/>
          <w:szCs w:val="44"/>
          <w:rtl/>
        </w:rPr>
      </w:pPr>
      <w:r w:rsidRPr="00792378">
        <w:rPr>
          <w:rFonts w:asciiTheme="majorBidi" w:hAnsiTheme="majorBidi" w:cstheme="majorBidi"/>
          <w:b/>
          <w:bCs/>
          <w:sz w:val="44"/>
          <w:szCs w:val="44"/>
        </w:rPr>
        <w:t>"</w:t>
      </w:r>
      <w:r w:rsidRPr="00792378">
        <w:rPr>
          <w:rFonts w:asciiTheme="majorBidi" w:hAnsiTheme="majorBidi" w:cstheme="majorBidi"/>
          <w:sz w:val="44"/>
          <w:szCs w:val="44"/>
        </w:rPr>
        <w:t xml:space="preserve"> </w:t>
      </w:r>
      <w:r w:rsidRPr="00792378">
        <w:rPr>
          <w:rFonts w:asciiTheme="majorBidi" w:hAnsiTheme="majorBidi" w:cstheme="majorBidi"/>
          <w:b/>
          <w:bCs/>
          <w:sz w:val="44"/>
          <w:szCs w:val="44"/>
        </w:rPr>
        <w:t>The Role of Digital Transformation in Enhancing Security and Facilitating Trade "</w:t>
      </w:r>
    </w:p>
    <w:p w14:paraId="40CA870C" w14:textId="77777777" w:rsidR="00D2377F" w:rsidRPr="00923041" w:rsidRDefault="00D2377F" w:rsidP="00D2377F">
      <w:pPr>
        <w:bidi/>
        <w:jc w:val="center"/>
        <w:rPr>
          <w:rFonts w:asciiTheme="majorBidi" w:hAnsiTheme="majorBidi" w:cstheme="majorBidi"/>
          <w:b/>
          <w:bCs/>
          <w:sz w:val="28"/>
          <w:szCs w:val="28"/>
          <w:u w:val="single"/>
        </w:rPr>
      </w:pPr>
      <w:r w:rsidRPr="00923041">
        <w:rPr>
          <w:rFonts w:asciiTheme="majorBidi" w:hAnsiTheme="majorBidi" w:cstheme="majorBidi"/>
          <w:b/>
          <w:bCs/>
          <w:sz w:val="28"/>
          <w:szCs w:val="28"/>
          <w:u w:val="single"/>
        </w:rPr>
        <w:t xml:space="preserve">A Study on the Zakat, Tax and Customs Authority </w:t>
      </w:r>
    </w:p>
    <w:p w14:paraId="34ABBBC4" w14:textId="77777777" w:rsidR="00D2377F" w:rsidRDefault="00D2377F" w:rsidP="00D2377F">
      <w:pPr>
        <w:bidi/>
        <w:spacing w:line="240" w:lineRule="auto"/>
        <w:ind w:left="360"/>
        <w:outlineLvl w:val="0"/>
        <w:rPr>
          <w:rFonts w:asciiTheme="majorBidi" w:hAnsiTheme="majorBidi" w:cstheme="majorBidi"/>
          <w:b/>
          <w:bCs/>
          <w:sz w:val="36"/>
          <w:szCs w:val="36"/>
          <w:rtl/>
          <w:lang w:bidi="ar-EG"/>
        </w:rPr>
      </w:pPr>
    </w:p>
    <w:p w14:paraId="65AEBD95" w14:textId="77777777" w:rsidR="00792378" w:rsidRDefault="00792378" w:rsidP="00090ECA">
      <w:pPr>
        <w:bidi/>
        <w:spacing w:line="240" w:lineRule="auto"/>
        <w:ind w:left="360"/>
        <w:outlineLvl w:val="0"/>
        <w:rPr>
          <w:rFonts w:asciiTheme="majorBidi" w:hAnsiTheme="majorBidi" w:cstheme="majorBidi"/>
          <w:b/>
          <w:bCs/>
          <w:sz w:val="36"/>
          <w:szCs w:val="36"/>
          <w:rtl/>
          <w:lang w:bidi="ar-EG"/>
        </w:rPr>
      </w:pPr>
    </w:p>
    <w:p w14:paraId="0F4FB93C" w14:textId="4E644E01" w:rsidR="00792378" w:rsidRDefault="00090ECA" w:rsidP="00090ECA">
      <w:pPr>
        <w:spacing w:line="240" w:lineRule="auto"/>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Name: </w:t>
      </w:r>
      <w:r w:rsidR="00792378" w:rsidRPr="00792378">
        <w:rPr>
          <w:rFonts w:asciiTheme="majorBidi" w:hAnsiTheme="majorBidi" w:cstheme="majorBidi"/>
          <w:b/>
          <w:bCs/>
          <w:sz w:val="28"/>
          <w:szCs w:val="28"/>
          <w:lang w:bidi="ar-EG"/>
        </w:rPr>
        <w:t>Abdulilah Saeed Al-Muhaya</w:t>
      </w:r>
    </w:p>
    <w:p w14:paraId="3B58C9DF" w14:textId="77777777" w:rsidR="00090ECA" w:rsidRPr="00792378" w:rsidRDefault="00090ECA" w:rsidP="00090ECA">
      <w:pPr>
        <w:spacing w:line="240" w:lineRule="auto"/>
        <w:rPr>
          <w:rFonts w:asciiTheme="majorBidi" w:hAnsiTheme="majorBidi" w:cstheme="majorBidi"/>
          <w:sz w:val="28"/>
          <w:szCs w:val="28"/>
          <w:lang w:bidi="ar-EG"/>
        </w:rPr>
      </w:pPr>
    </w:p>
    <w:p w14:paraId="2B74FFEC" w14:textId="77777777" w:rsidR="00090ECA"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t>Academic Number: 222001144</w:t>
      </w:r>
    </w:p>
    <w:p w14:paraId="63211462" w14:textId="77777777" w:rsidR="00090ECA"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br/>
        <w:t>College: College of Business Administration</w:t>
      </w:r>
    </w:p>
    <w:p w14:paraId="0081F4AA" w14:textId="428AD52E" w:rsidR="00792378" w:rsidRPr="00792378"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br/>
        <w:t>University: MidOcean University</w:t>
      </w:r>
    </w:p>
    <w:p w14:paraId="7A6D4F06" w14:textId="77777777" w:rsidR="00D2377F" w:rsidRDefault="00D2377F" w:rsidP="00D2377F">
      <w:pPr>
        <w:spacing w:line="240" w:lineRule="auto"/>
        <w:rPr>
          <w:rFonts w:asciiTheme="majorBidi" w:hAnsiTheme="majorBidi" w:cstheme="majorBidi"/>
          <w:noProof/>
          <w:rtl/>
          <w:lang w:bidi="ar-JO"/>
        </w:rPr>
      </w:pPr>
    </w:p>
    <w:p w14:paraId="0BB02AC4" w14:textId="77777777" w:rsidR="00792378" w:rsidRPr="00923041" w:rsidRDefault="00792378" w:rsidP="00D2377F">
      <w:pPr>
        <w:spacing w:line="240" w:lineRule="auto"/>
        <w:rPr>
          <w:rFonts w:asciiTheme="majorBidi" w:hAnsiTheme="majorBidi" w:cstheme="majorBidi"/>
          <w:noProof/>
          <w:rtl/>
          <w:lang w:bidi="ar-JO"/>
        </w:rPr>
      </w:pPr>
    </w:p>
    <w:p w14:paraId="4E7D9C01" w14:textId="5F589A81" w:rsidR="00D2377F" w:rsidRPr="00923041" w:rsidRDefault="00D2377F" w:rsidP="00D2377F">
      <w:pPr>
        <w:jc w:val="center"/>
        <w:rPr>
          <w:rFonts w:asciiTheme="majorBidi" w:hAnsiTheme="majorBidi" w:cstheme="majorBidi"/>
          <w:b/>
          <w:bCs/>
          <w:sz w:val="24"/>
          <w:szCs w:val="24"/>
          <w:rtl/>
        </w:rPr>
      </w:pPr>
      <w:r w:rsidRPr="00923041">
        <w:rPr>
          <w:rFonts w:asciiTheme="majorBidi" w:hAnsiTheme="majorBidi" w:cstheme="majorBidi"/>
          <w:b/>
          <w:bCs/>
          <w:sz w:val="24"/>
          <w:szCs w:val="24"/>
        </w:rPr>
        <w:t xml:space="preserve">2025 </w:t>
      </w:r>
      <w:r w:rsidRPr="00923041">
        <w:rPr>
          <w:rFonts w:asciiTheme="majorBidi" w:hAnsiTheme="majorBidi" w:cstheme="majorBidi"/>
          <w:b/>
          <w:bCs/>
          <w:sz w:val="24"/>
          <w:szCs w:val="24"/>
          <w:rtl/>
        </w:rPr>
        <w:br/>
      </w:r>
    </w:p>
    <w:p w14:paraId="43D6B1E6" w14:textId="77777777" w:rsidR="00D2377F" w:rsidRPr="00923041" w:rsidRDefault="00D2377F" w:rsidP="00D2377F">
      <w:pPr>
        <w:bidi/>
        <w:spacing w:line="240" w:lineRule="auto"/>
        <w:outlineLvl w:val="0"/>
        <w:rPr>
          <w:rFonts w:asciiTheme="majorBidi" w:hAnsiTheme="majorBidi" w:cstheme="majorBidi"/>
          <w:b/>
          <w:bCs/>
          <w:sz w:val="36"/>
          <w:szCs w:val="36"/>
        </w:rPr>
      </w:pPr>
    </w:p>
    <w:p w14:paraId="05A0FF52" w14:textId="77777777"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30F9C729" w14:textId="77777777"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52611129" w14:textId="061EB6BE" w:rsidR="00090ECA" w:rsidRPr="00090ECA" w:rsidRDefault="00090ECA" w:rsidP="00090ECA">
      <w:pPr>
        <w:bidi/>
        <w:spacing w:line="240" w:lineRule="auto"/>
        <w:ind w:firstLine="720"/>
        <w:jc w:val="center"/>
        <w:rPr>
          <w:rFonts w:asciiTheme="majorBidi" w:hAnsiTheme="majorBidi" w:cstheme="majorBidi"/>
          <w:sz w:val="28"/>
          <w:szCs w:val="28"/>
          <w:lang w:bidi="ar-EG"/>
        </w:rPr>
      </w:pPr>
      <w:r w:rsidRPr="00090ECA">
        <w:rPr>
          <w:rFonts w:asciiTheme="majorBidi" w:hAnsiTheme="majorBidi" w:cstheme="majorBidi"/>
          <w:sz w:val="28"/>
          <w:szCs w:val="28"/>
          <w:rtl/>
          <w:lang w:bidi="ar-EG"/>
        </w:rPr>
        <w:lastRenderedPageBreak/>
        <w:t xml:space="preserve">المستخلص </w:t>
      </w:r>
    </w:p>
    <w:p w14:paraId="70DC437C"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تتناول هذه الدراسة موضوع "دور التحول الرقمي في تعزيز الأمن وتيسير التجارة"، من خلال دراسة تطبيقية على هيئة الزكاة والضريبة والجمارك في المملكة العربية السعودية. وتنطلق الدراسة من واقع التحولات المتسارعة التي تشهدها المؤسسات الحكومية السعودية في إطار رؤية 2030، حيث أصبح التحول الرقمي ضرورة استراتيجية لموازنة متطلبات الأمن السيبراني مع متطلبات تيسير حركة التجارة وتدفق السلع عبر الحدود</w:t>
      </w:r>
      <w:r w:rsidRPr="00090ECA">
        <w:rPr>
          <w:rFonts w:asciiTheme="majorBidi" w:hAnsiTheme="majorBidi" w:cstheme="majorBidi"/>
          <w:sz w:val="28"/>
          <w:szCs w:val="28"/>
          <w:lang w:bidi="ar-EG"/>
        </w:rPr>
        <w:t>.</w:t>
      </w:r>
    </w:p>
    <w:p w14:paraId="4D15D3F9"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تكمن مشكلة الدراسة في تحليل فرص وتحديات استراتيجيات التحول الرقمي في ظل الحاجة المتزايدة لتعزيز الأمن وتيسير التجارة، وذلك من خلال دراسة استطلاعية أولية شملت عينة من القيادات العاملة بالهيئة، ساهمت في صياغة تساؤلات الدراسة وفروضها. وتهدف الدراسة بشكل رئيسي إلى التعرف على دور أبعاد التحول الرقمي الثلاثة (الأسس الرقمية، الابتكار الرقمي، الحوكمة الرقمية) في تعزيز الأمن السيبراني من جهة، وفي تيسير التجارة من جهة أخرى</w:t>
      </w:r>
      <w:r w:rsidRPr="00090ECA">
        <w:rPr>
          <w:rFonts w:asciiTheme="majorBidi" w:hAnsiTheme="majorBidi" w:cstheme="majorBidi"/>
          <w:sz w:val="28"/>
          <w:szCs w:val="28"/>
          <w:lang w:bidi="ar-EG"/>
        </w:rPr>
        <w:t>.</w:t>
      </w:r>
    </w:p>
    <w:p w14:paraId="5971CEE6"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اعتمدت الدراسة على منهجية بحثية تجمع بين التحليل الكمي (كالانحدار واختبار الارتباط) والتحليل النوعي (كدراسة الثقافة التنظيمية وتقييم الشراكات)، مسترشدة بنماذج عالمية معتمدة مثل إطار</w:t>
      </w:r>
      <w:r w:rsidRPr="00090ECA">
        <w:rPr>
          <w:rFonts w:asciiTheme="majorBidi" w:hAnsiTheme="majorBidi" w:cstheme="majorBidi"/>
          <w:sz w:val="28"/>
          <w:szCs w:val="28"/>
          <w:lang w:bidi="ar-EG"/>
        </w:rPr>
        <w:t xml:space="preserve"> Westerman &amp; Bonnet </w:t>
      </w:r>
      <w:r w:rsidRPr="00090ECA">
        <w:rPr>
          <w:rFonts w:asciiTheme="majorBidi" w:hAnsiTheme="majorBidi" w:cstheme="majorBidi"/>
          <w:sz w:val="28"/>
          <w:szCs w:val="28"/>
          <w:rtl/>
          <w:lang w:bidi="ar-EG"/>
        </w:rPr>
        <w:t>للتحول الرقمي، ونموذج</w:t>
      </w:r>
      <w:r w:rsidRPr="00090ECA">
        <w:rPr>
          <w:rFonts w:asciiTheme="majorBidi" w:hAnsiTheme="majorBidi" w:cstheme="majorBidi"/>
          <w:sz w:val="28"/>
          <w:szCs w:val="28"/>
          <w:lang w:bidi="ar-EG"/>
        </w:rPr>
        <w:t xml:space="preserve"> NIST </w:t>
      </w:r>
      <w:r w:rsidRPr="00090ECA">
        <w:rPr>
          <w:rFonts w:asciiTheme="majorBidi" w:hAnsiTheme="majorBidi" w:cstheme="majorBidi"/>
          <w:sz w:val="28"/>
          <w:szCs w:val="28"/>
          <w:rtl/>
          <w:lang w:bidi="ar-EG"/>
        </w:rPr>
        <w:t>للأمن السيبراني، إلى جانب مؤشرات دولية كـ</w:t>
      </w:r>
      <w:r w:rsidRPr="00090ECA">
        <w:rPr>
          <w:rFonts w:asciiTheme="majorBidi" w:hAnsiTheme="majorBidi" w:cstheme="majorBidi"/>
          <w:sz w:val="28"/>
          <w:szCs w:val="28"/>
          <w:lang w:bidi="ar-EG"/>
        </w:rPr>
        <w:t xml:space="preserve"> EGDI </w:t>
      </w:r>
      <w:r w:rsidRPr="00090ECA">
        <w:rPr>
          <w:rFonts w:asciiTheme="majorBidi" w:hAnsiTheme="majorBidi" w:cstheme="majorBidi"/>
          <w:sz w:val="28"/>
          <w:szCs w:val="28"/>
          <w:rtl/>
          <w:lang w:bidi="ar-EG"/>
        </w:rPr>
        <w:t>و</w:t>
      </w:r>
      <w:r w:rsidRPr="00090ECA">
        <w:rPr>
          <w:rFonts w:asciiTheme="majorBidi" w:hAnsiTheme="majorBidi" w:cstheme="majorBidi"/>
          <w:sz w:val="28"/>
          <w:szCs w:val="28"/>
          <w:lang w:bidi="ar-EG"/>
        </w:rPr>
        <w:t>LPI</w:t>
      </w:r>
      <w:r w:rsidRPr="00090ECA">
        <w:rPr>
          <w:rFonts w:asciiTheme="majorBidi" w:hAnsiTheme="majorBidi" w:cstheme="majorBidi"/>
          <w:sz w:val="28"/>
          <w:szCs w:val="28"/>
          <w:rtl/>
          <w:lang w:bidi="ar-EG"/>
        </w:rPr>
        <w:t>، بما يضمن ربط النتائج بمؤشرات أداء ملموسة كنسب التهرب الضريبي وزمن الإجراءات الجمركية</w:t>
      </w:r>
      <w:r w:rsidRPr="00090ECA">
        <w:rPr>
          <w:rFonts w:asciiTheme="majorBidi" w:hAnsiTheme="majorBidi" w:cstheme="majorBidi"/>
          <w:sz w:val="28"/>
          <w:szCs w:val="28"/>
          <w:lang w:bidi="ar-EG"/>
        </w:rPr>
        <w:t>.</w:t>
      </w:r>
    </w:p>
    <w:p w14:paraId="7E1B266B"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توصلت الدراسة إلى مجموعة من النتائج أبرزها أن التحول الرقمي نجح في تحقيق توازن استراتيجي بين متطلبات الأمن الجمركي وتيسير التجارة، من خلال الانتقال من الفحص الشامل إلى الفحص الانتقائي القائم على تحليل المخاطر، بما أدى إلى خفض زمن الإفراج عن الشحنات منخفضة المخاطر مع رفع كفاءة اكتشاف الشحنات عالية الخطورة. كما بيّنت النتائج أن البنية الرقمية المتكاملة عززت مرونة الهيئة في مواجهة الأزمات، وأن البيانات أصبحت مورداً استراتيجياً في صناعة القرار الجمركي، وأن بناء القدرات البشرية يمثل عاملاً حاسماً في استدامة التحول الرقمي، وأن الحوكمة الرقمية تمثل الضمان الحقيقي لاستمرارية هذا التحول</w:t>
      </w:r>
      <w:r w:rsidRPr="00090ECA">
        <w:rPr>
          <w:rFonts w:asciiTheme="majorBidi" w:hAnsiTheme="majorBidi" w:cstheme="majorBidi"/>
          <w:sz w:val="28"/>
          <w:szCs w:val="28"/>
          <w:lang w:bidi="ar-EG"/>
        </w:rPr>
        <w:t>.</w:t>
      </w:r>
    </w:p>
    <w:p w14:paraId="729DC10B"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خلصت الدراسة إلى مجموعة من التوصيات الموجهة لمستويات متعددة (الهيئة، الجهات الحكومية، القطاع الخاص، الجامعات ومراكز البحث)، من أبرزها إصدار استراتيجية وطنية للجمارك الرقمية، وإنشاء مجلس أعلى للبيانات الجمركية، وتعزيز السيادة الرقمية عبر توطين التقنيات، إلى جانب تصميم لوحة مؤشرات أداء استراتيجية</w:t>
      </w:r>
      <w:r w:rsidRPr="00090ECA">
        <w:rPr>
          <w:rFonts w:asciiTheme="majorBidi" w:hAnsiTheme="majorBidi" w:cstheme="majorBidi"/>
          <w:sz w:val="28"/>
          <w:szCs w:val="28"/>
          <w:lang w:bidi="ar-EG"/>
        </w:rPr>
        <w:t xml:space="preserve"> (KPIs) </w:t>
      </w:r>
      <w:r w:rsidRPr="00090ECA">
        <w:rPr>
          <w:rFonts w:asciiTheme="majorBidi" w:hAnsiTheme="majorBidi" w:cstheme="majorBidi"/>
          <w:sz w:val="28"/>
          <w:szCs w:val="28"/>
          <w:rtl/>
          <w:lang w:bidi="ar-EG"/>
        </w:rPr>
        <w:t>تغطي الفترة (2024-2030) لقياس مدى تقدم عملية التحول الرقمي بشكل قابل للقياس والمتابعة</w:t>
      </w:r>
      <w:r w:rsidRPr="00090ECA">
        <w:rPr>
          <w:rFonts w:asciiTheme="majorBidi" w:hAnsiTheme="majorBidi" w:cstheme="majorBidi"/>
          <w:sz w:val="28"/>
          <w:szCs w:val="28"/>
          <w:lang w:bidi="ar-EG"/>
        </w:rPr>
        <w:t>.</w:t>
      </w:r>
    </w:p>
    <w:p w14:paraId="1BF2024E"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p>
    <w:p w14:paraId="2903ABAC"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b/>
          <w:bCs/>
          <w:sz w:val="28"/>
          <w:szCs w:val="28"/>
          <w:rtl/>
          <w:lang w:bidi="ar-EG"/>
        </w:rPr>
        <w:t>الكلمات المفتاحية</w:t>
      </w:r>
      <w:r w:rsidRPr="00090ECA">
        <w:rPr>
          <w:rFonts w:asciiTheme="majorBidi" w:hAnsiTheme="majorBidi" w:cstheme="majorBidi"/>
          <w:b/>
          <w:bCs/>
          <w:sz w:val="28"/>
          <w:szCs w:val="28"/>
          <w:lang w:bidi="ar-EG"/>
        </w:rPr>
        <w:t>:</w:t>
      </w:r>
      <w:r w:rsidRPr="00090ECA">
        <w:rPr>
          <w:rFonts w:asciiTheme="majorBidi" w:hAnsiTheme="majorBidi" w:cstheme="majorBidi"/>
          <w:sz w:val="28"/>
          <w:szCs w:val="28"/>
          <w:lang w:bidi="ar-EG"/>
        </w:rPr>
        <w:t xml:space="preserve"> </w:t>
      </w:r>
      <w:r w:rsidRPr="00090ECA">
        <w:rPr>
          <w:rFonts w:asciiTheme="majorBidi" w:hAnsiTheme="majorBidi" w:cstheme="majorBidi"/>
          <w:sz w:val="28"/>
          <w:szCs w:val="28"/>
          <w:rtl/>
          <w:lang w:bidi="ar-EG"/>
        </w:rPr>
        <w:t>التحول الرقمي، تعزيز الأمن السيبراني، تيسير التجارة، هيئة الزكاة والضريبة والجمارك، الحوكمة الرقمية، الابتكار الرقمي، إدارة المخاطر الجمركية، رؤية المملكة 2030، مؤشرات الأداء الاستراتيجية</w:t>
      </w:r>
      <w:r w:rsidRPr="00090ECA">
        <w:rPr>
          <w:rFonts w:asciiTheme="majorBidi" w:hAnsiTheme="majorBidi" w:cstheme="majorBidi"/>
          <w:sz w:val="28"/>
          <w:szCs w:val="28"/>
          <w:lang w:bidi="ar-EG"/>
        </w:rPr>
        <w:t xml:space="preserve"> (KPIs).</w:t>
      </w:r>
    </w:p>
    <w:p w14:paraId="0CDDB5E3" w14:textId="635539B7" w:rsidR="00090ECA" w:rsidRDefault="00090ECA" w:rsidP="00090ECA">
      <w:pPr>
        <w:bidi/>
        <w:spacing w:line="240" w:lineRule="auto"/>
        <w:ind w:firstLine="720"/>
        <w:jc w:val="center"/>
        <w:rPr>
          <w:rFonts w:asciiTheme="majorBidi" w:hAnsiTheme="majorBidi" w:cstheme="majorBidi"/>
          <w:sz w:val="26"/>
          <w:szCs w:val="26"/>
          <w:lang w:bidi="ar-EG"/>
        </w:rPr>
      </w:pPr>
    </w:p>
    <w:p w14:paraId="63AFE3DD" w14:textId="77777777" w:rsidR="00090ECA" w:rsidRDefault="00090ECA" w:rsidP="00090ECA">
      <w:pPr>
        <w:bidi/>
        <w:spacing w:line="240" w:lineRule="auto"/>
        <w:ind w:firstLine="720"/>
        <w:jc w:val="center"/>
        <w:rPr>
          <w:rFonts w:asciiTheme="majorBidi" w:hAnsiTheme="majorBidi" w:cstheme="majorBidi"/>
          <w:sz w:val="26"/>
          <w:szCs w:val="26"/>
          <w:lang w:bidi="ar-EG"/>
        </w:rPr>
      </w:pPr>
    </w:p>
    <w:p w14:paraId="4D332E8B" w14:textId="77777777" w:rsidR="00090ECA" w:rsidRDefault="00090ECA" w:rsidP="00090ECA">
      <w:pPr>
        <w:bidi/>
        <w:spacing w:line="240" w:lineRule="auto"/>
        <w:ind w:firstLine="720"/>
        <w:jc w:val="center"/>
        <w:rPr>
          <w:rFonts w:asciiTheme="majorBidi" w:hAnsiTheme="majorBidi" w:cstheme="majorBidi"/>
          <w:sz w:val="26"/>
          <w:szCs w:val="26"/>
          <w:lang w:bidi="ar-EG"/>
        </w:rPr>
      </w:pPr>
    </w:p>
    <w:p w14:paraId="3097751F" w14:textId="4C84FEDE" w:rsidR="00090ECA" w:rsidRPr="00090ECA" w:rsidRDefault="00090ECA" w:rsidP="00090ECA">
      <w:pPr>
        <w:spacing w:line="240" w:lineRule="auto"/>
        <w:ind w:firstLine="720"/>
        <w:jc w:val="center"/>
        <w:rPr>
          <w:rFonts w:asciiTheme="majorBidi" w:hAnsiTheme="majorBidi" w:cstheme="majorBidi"/>
          <w:b/>
          <w:bCs/>
          <w:sz w:val="28"/>
          <w:szCs w:val="28"/>
          <w:lang w:bidi="ar-EG"/>
        </w:rPr>
      </w:pPr>
      <w:r w:rsidRPr="00090ECA">
        <w:rPr>
          <w:rFonts w:asciiTheme="majorBidi" w:hAnsiTheme="majorBidi" w:cstheme="majorBidi"/>
          <w:b/>
          <w:bCs/>
          <w:sz w:val="28"/>
          <w:szCs w:val="28"/>
          <w:lang w:bidi="ar-EG"/>
        </w:rPr>
        <w:lastRenderedPageBreak/>
        <w:t>Abstract</w:t>
      </w:r>
    </w:p>
    <w:p w14:paraId="3D74EDD2"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This study addresses "The Role of Digital Transformation in Enhancing Security and Facilitating Trade," through an applied investigation of Saudi Arabia's Zakat, Tax and Customs Authority (ZATCA). It stems from the accelerating institutional transformation underway in Saudi government bodies under Vision 2030, where digital transformation has become a strategic necessity for balancing cybersecurity requirements against the demands of facilitating cross-border trade and goods flow.</w:t>
      </w:r>
    </w:p>
    <w:p w14:paraId="49D456AC" w14:textId="1BE974AE"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The research problem centers on analyzing the opportunities and challenges of digital transformation strategies amid the growing need to strengthen security while easing trade, informed by an exploratory survey of ZATCA leadership that shaped the study's questions and hypotheses. The study's core objective is to identify the role of digital transformation's three dimensions digital foundations, digital innovation, and digital governance</w:t>
      </w:r>
      <w:r>
        <w:rPr>
          <w:rFonts w:asciiTheme="majorBidi" w:hAnsiTheme="majorBidi" w:cstheme="majorBidi"/>
          <w:sz w:val="26"/>
          <w:szCs w:val="26"/>
          <w:lang w:bidi="ar-EG"/>
        </w:rPr>
        <w:t xml:space="preserve"> </w:t>
      </w:r>
      <w:r w:rsidRPr="00090ECA">
        <w:rPr>
          <w:rFonts w:asciiTheme="majorBidi" w:hAnsiTheme="majorBidi" w:cstheme="majorBidi"/>
          <w:sz w:val="26"/>
          <w:szCs w:val="26"/>
          <w:lang w:bidi="ar-EG"/>
        </w:rPr>
        <w:t>in enhancing cybersecurity on one hand and facilitating trade on the other.</w:t>
      </w:r>
    </w:p>
    <w:p w14:paraId="720DE5F7"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Methodologically, the study combines quantitative analysis (regression and correlation testing) with qualitative analysis (organizational culture assessment and partnership evaluation), guided by internationally recognized frameworks such as the Westerman &amp; Bonnet digital transformation model and the NIST cybersecurity framework, alongside global indices such as the EGDI and LPI, ensuring findings are anchored to measurable performance indicators such as tax evasion rates and customs clearance times.</w:t>
      </w:r>
    </w:p>
    <w:p w14:paraId="1A3C1AA3" w14:textId="0E400932"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Findings show that digital transformation succeeded in achieving a strategic balance between customs security requirements and trade facilitation, through a shift from comprehensive inspection to risk-based selective inspection reducing clearance times for low-risk shipments while improving detection efficiency for high-risk ones. Results further indicate that an integrated digital infrastructure strengthened the Authority's resilience in crisis situations, that data has become a strategic resource in customs decision-making, that human capacity building is a decisive factor in sustaining digital transformation, and that digital governance represents the true guarantee of its continuity.</w:t>
      </w:r>
    </w:p>
    <w:p w14:paraId="0ED693E5" w14:textId="24DD3342"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The study concludes with recommendations directed at multiple stakeholders the Authority itself, government entities, the private sector, and universities/research centers most notably issuing a national strategy for digital customs, establishing a supreme council for customs data, strengthening digital sovereignty through technology localization, and designing a strategic KPI dashboard covering 2024–2030 to enable measurable, trackable progress in the digital transformation process.</w:t>
      </w:r>
    </w:p>
    <w:p w14:paraId="58F45FE7"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b/>
          <w:bCs/>
          <w:sz w:val="26"/>
          <w:szCs w:val="26"/>
          <w:lang w:bidi="ar-EG"/>
        </w:rPr>
        <w:t>Keywords:</w:t>
      </w:r>
      <w:r w:rsidRPr="00090ECA">
        <w:rPr>
          <w:rFonts w:asciiTheme="majorBidi" w:hAnsiTheme="majorBidi" w:cstheme="majorBidi"/>
          <w:sz w:val="26"/>
          <w:szCs w:val="26"/>
          <w:lang w:bidi="ar-EG"/>
        </w:rPr>
        <w:t xml:space="preserve"> Digital Transformation, Cybersecurity Enhancement, Trade Facilitation, Zakat Tax and Customs Authority (ZATCA), Digital Governance, Digital Innovation, Customs Risk Management, Saudi Vision 2030, Strategic Performance Indicators (KPIs).</w:t>
      </w:r>
    </w:p>
    <w:p w14:paraId="1794E56E" w14:textId="77777777" w:rsidR="00D2377F" w:rsidRPr="00090ECA"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21583184" w14:textId="753F7175" w:rsidR="00A315C6" w:rsidRPr="00D04085" w:rsidRDefault="006F31BE" w:rsidP="00E65128">
      <w:pPr>
        <w:bidi/>
        <w:spacing w:line="240" w:lineRule="auto"/>
        <w:ind w:firstLine="720"/>
        <w:jc w:val="center"/>
        <w:rPr>
          <w:rFonts w:asciiTheme="majorBidi" w:hAnsiTheme="majorBidi" w:cs="PT Bold Heading"/>
          <w:b/>
          <w:bCs/>
          <w:color w:val="002060"/>
          <w:sz w:val="36"/>
          <w:szCs w:val="36"/>
          <w:rtl/>
          <w:lang w:bidi="ar-EG"/>
        </w:rPr>
      </w:pPr>
      <w:r w:rsidRPr="00D04085">
        <w:rPr>
          <w:rFonts w:asciiTheme="majorBidi" w:hAnsiTheme="majorBidi" w:cs="PT Bold Heading"/>
          <w:b/>
          <w:bCs/>
          <w:color w:val="002060"/>
          <w:sz w:val="36"/>
          <w:szCs w:val="36"/>
          <w:rtl/>
          <w:lang w:bidi="ar-EG"/>
        </w:rPr>
        <w:lastRenderedPageBreak/>
        <w:t>الإطار العام للدراسة</w:t>
      </w:r>
    </w:p>
    <w:p w14:paraId="27051C13" w14:textId="5A6D4704" w:rsidR="0051001C" w:rsidRPr="00D04085" w:rsidRDefault="00202E2A" w:rsidP="00D04085">
      <w:pPr>
        <w:bidi/>
        <w:spacing w:line="240" w:lineRule="auto"/>
        <w:rPr>
          <w:rFonts w:asciiTheme="majorBidi" w:hAnsiTheme="majorBidi" w:cs="PT Bold Heading"/>
          <w:b/>
          <w:bCs/>
          <w:color w:val="000000" w:themeColor="text1"/>
          <w:sz w:val="28"/>
          <w:szCs w:val="28"/>
          <w:rtl/>
          <w:lang w:bidi="ar-EG"/>
        </w:rPr>
      </w:pPr>
      <w:r w:rsidRPr="00D04085">
        <w:rPr>
          <w:rFonts w:asciiTheme="majorBidi" w:hAnsiTheme="majorBidi" w:cs="PT Bold Heading" w:hint="cs"/>
          <w:b/>
          <w:bCs/>
          <w:color w:val="000000" w:themeColor="text1"/>
          <w:sz w:val="28"/>
          <w:szCs w:val="28"/>
          <w:rtl/>
          <w:lang w:bidi="ar-EG"/>
        </w:rPr>
        <w:t>الفصل الأول</w:t>
      </w:r>
    </w:p>
    <w:p w14:paraId="0E6D1B30" w14:textId="77E2CF08" w:rsidR="006F31BE"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001C78BA" w:rsidRPr="00202E2A">
        <w:rPr>
          <w:rFonts w:asciiTheme="majorBidi" w:hAnsiTheme="majorBidi" w:cstheme="majorBidi"/>
          <w:color w:val="000000" w:themeColor="text1"/>
          <w:sz w:val="26"/>
          <w:szCs w:val="26"/>
          <w:rtl/>
          <w:lang w:bidi="ar-EG"/>
        </w:rPr>
        <w:t xml:space="preserve"> </w:t>
      </w:r>
      <w:r w:rsidR="006F31BE" w:rsidRPr="00202E2A">
        <w:rPr>
          <w:rFonts w:asciiTheme="majorBidi" w:hAnsiTheme="majorBidi" w:cstheme="majorBidi"/>
          <w:color w:val="000000" w:themeColor="text1"/>
          <w:sz w:val="26"/>
          <w:szCs w:val="26"/>
          <w:rtl/>
          <w:lang w:bidi="ar-EG"/>
        </w:rPr>
        <w:t xml:space="preserve">المقدمة </w:t>
      </w:r>
    </w:p>
    <w:p w14:paraId="3132801C" w14:textId="10B5C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2</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مشكلة الدراسة</w:t>
      </w:r>
      <w:r w:rsidR="001C78BA" w:rsidRPr="00202E2A">
        <w:rPr>
          <w:rFonts w:asciiTheme="majorBidi" w:hAnsiTheme="majorBidi" w:cstheme="majorBidi"/>
          <w:color w:val="000000" w:themeColor="text1"/>
          <w:sz w:val="26"/>
          <w:szCs w:val="26"/>
          <w:lang w:bidi="ar-EG"/>
        </w:rPr>
        <w:t xml:space="preserve"> </w:t>
      </w:r>
    </w:p>
    <w:p w14:paraId="5ED17BEB" w14:textId="7E04B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3</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أهمية الدراسة </w:t>
      </w:r>
    </w:p>
    <w:p w14:paraId="73E21C61" w14:textId="32FC6A07"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4</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أهداف الدراسة </w:t>
      </w:r>
    </w:p>
    <w:p w14:paraId="5B915834" w14:textId="745090B7"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5</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فروض الدراسة </w:t>
      </w:r>
    </w:p>
    <w:p w14:paraId="749E16B5" w14:textId="350247AC"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6</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مفاهيم الدراسة </w:t>
      </w:r>
    </w:p>
    <w:p w14:paraId="6EE0B4CC" w14:textId="35ADF5E6"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7</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الإجراءات </w:t>
      </w:r>
      <w:r w:rsidR="004B4A0D" w:rsidRPr="00202E2A">
        <w:rPr>
          <w:rFonts w:asciiTheme="majorBidi" w:hAnsiTheme="majorBidi" w:cstheme="majorBidi" w:hint="cs"/>
          <w:color w:val="000000" w:themeColor="text1"/>
          <w:sz w:val="26"/>
          <w:szCs w:val="26"/>
          <w:rtl/>
          <w:lang w:bidi="ar-EG"/>
        </w:rPr>
        <w:t>و</w:t>
      </w:r>
      <w:r w:rsidR="004B4A0D" w:rsidRPr="00202E2A">
        <w:rPr>
          <w:rFonts w:asciiTheme="majorBidi" w:hAnsiTheme="majorBidi" w:cstheme="majorBidi"/>
          <w:color w:val="000000" w:themeColor="text1"/>
          <w:sz w:val="26"/>
          <w:szCs w:val="26"/>
          <w:rtl/>
          <w:lang w:bidi="ar-EG"/>
        </w:rPr>
        <w:t xml:space="preserve">منهجية </w:t>
      </w:r>
      <w:r w:rsidR="004B4A0D" w:rsidRPr="00202E2A">
        <w:rPr>
          <w:rFonts w:asciiTheme="majorBidi" w:hAnsiTheme="majorBidi" w:cstheme="majorBidi" w:hint="cs"/>
          <w:color w:val="000000" w:themeColor="text1"/>
          <w:sz w:val="26"/>
          <w:szCs w:val="26"/>
          <w:rtl/>
          <w:lang w:bidi="ar-EG"/>
        </w:rPr>
        <w:t>ا</w:t>
      </w:r>
      <w:r w:rsidR="004B4A0D" w:rsidRPr="00202E2A">
        <w:rPr>
          <w:rFonts w:asciiTheme="majorBidi" w:hAnsiTheme="majorBidi" w:cstheme="majorBidi"/>
          <w:color w:val="000000" w:themeColor="text1"/>
          <w:sz w:val="26"/>
          <w:szCs w:val="26"/>
          <w:rtl/>
          <w:lang w:bidi="ar-EG"/>
        </w:rPr>
        <w:t xml:space="preserve">لدراسة </w:t>
      </w:r>
    </w:p>
    <w:p w14:paraId="5A971676" w14:textId="7ADBCD9E" w:rsidR="004B4A0D" w:rsidRPr="00202E2A" w:rsidRDefault="00202E2A" w:rsidP="007C444D">
      <w:pPr>
        <w:bidi/>
        <w:spacing w:line="240" w:lineRule="auto"/>
        <w:ind w:left="720"/>
        <w:jc w:val="lowKashida"/>
        <w:rPr>
          <w:rFonts w:asciiTheme="majorBidi" w:hAnsiTheme="majorBidi" w:cstheme="majorBidi"/>
          <w:color w:val="000000" w:themeColor="text1"/>
          <w:sz w:val="26"/>
          <w:szCs w:val="26"/>
          <w:rtl/>
          <w:lang w:bidi="ar-EG"/>
        </w:rPr>
      </w:pPr>
      <w:r w:rsidRPr="00202E2A">
        <w:rPr>
          <w:rFonts w:asciiTheme="majorBidi" w:hAnsiTheme="majorBidi" w:cstheme="majorBidi" w:hint="cs"/>
          <w:color w:val="000000" w:themeColor="text1"/>
          <w:sz w:val="26"/>
          <w:szCs w:val="26"/>
          <w:rtl/>
          <w:lang w:bidi="ar-EG"/>
        </w:rPr>
        <w:t>8</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حدود الدراسة </w:t>
      </w:r>
    </w:p>
    <w:p w14:paraId="165EC55F" w14:textId="52C2163C" w:rsidR="00750E60"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9</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hint="cs"/>
          <w:color w:val="000000" w:themeColor="text1"/>
          <w:sz w:val="26"/>
          <w:szCs w:val="26"/>
          <w:rtl/>
          <w:lang w:bidi="ar-EG"/>
        </w:rPr>
        <w:t xml:space="preserve">نموذج الدراسة </w:t>
      </w:r>
    </w:p>
    <w:p w14:paraId="2DD68E3C" w14:textId="58AC05F4" w:rsidR="003804AC" w:rsidRPr="00D04085" w:rsidRDefault="00202E2A" w:rsidP="00D04085">
      <w:pPr>
        <w:bidi/>
        <w:spacing w:line="240" w:lineRule="auto"/>
        <w:rPr>
          <w:rFonts w:asciiTheme="majorBidi" w:hAnsiTheme="majorBidi" w:cs="PT Bold Heading"/>
          <w:b/>
          <w:bCs/>
          <w:sz w:val="28"/>
          <w:szCs w:val="28"/>
          <w:rtl/>
          <w:lang w:bidi="ar-EG"/>
        </w:rPr>
      </w:pPr>
      <w:r w:rsidRPr="00D04085">
        <w:rPr>
          <w:rFonts w:asciiTheme="majorBidi" w:hAnsiTheme="majorBidi" w:cs="PT Bold Heading" w:hint="cs"/>
          <w:b/>
          <w:bCs/>
          <w:sz w:val="28"/>
          <w:szCs w:val="28"/>
          <w:rtl/>
          <w:lang w:bidi="ar-EG"/>
        </w:rPr>
        <w:t>الفصل الثاني</w:t>
      </w:r>
    </w:p>
    <w:p w14:paraId="2022B39F" w14:textId="7A5153A1"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00202E2A" w:rsidRPr="00202E2A">
        <w:rPr>
          <w:rFonts w:asciiTheme="majorBidi" w:hAnsiTheme="majorBidi" w:cstheme="majorBidi"/>
          <w:b/>
          <w:bCs/>
          <w:sz w:val="26"/>
          <w:szCs w:val="26"/>
          <w:rtl/>
          <w:lang w:bidi="ar-EG"/>
        </w:rPr>
        <w:t xml:space="preserve"> الأول: الإطار المفاهيمي والمنهجي للتحول الرقمي</w:t>
      </w:r>
    </w:p>
    <w:p w14:paraId="6E518C2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2.1.1 تطور مفهوم التحول الرقمي من الحكومة الإلكترونية إلى الاقتصاد الذكي</w:t>
      </w:r>
    </w:p>
    <w:p w14:paraId="497A0F7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2.1.2 الفروق المفاهيمية بين التحول الرقمي، التحول التقني، والابتكار المؤسسي</w:t>
      </w:r>
    </w:p>
    <w:p w14:paraId="6AAFAEF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2.1.3 الأسس النظرية الداعمة للتحول الرقمي (النظرية المؤسسية – نظرية النظم – نظرية الكفاءة الديناميكية)</w:t>
      </w:r>
    </w:p>
    <w:p w14:paraId="70D8A4D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2.1.4</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النماذج العالمية للتحول الرقمي (نموذج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Gartner</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OECD</w:t>
      </w:r>
      <w:r w:rsidRPr="00202E2A">
        <w:rPr>
          <w:rFonts w:asciiTheme="majorBidi" w:hAnsiTheme="majorBidi" w:cstheme="majorBidi"/>
          <w:sz w:val="26"/>
          <w:szCs w:val="26"/>
          <w:rtl/>
          <w:lang w:bidi="ar-EG"/>
        </w:rPr>
        <w:t>)</w:t>
      </w:r>
    </w:p>
    <w:p w14:paraId="42393EF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2.1.5 محددات نجاح التحول الرقمي في القطاع العام (البنية التحتية، رأس المال البشري، الثقافة التنظيمية)</w:t>
      </w:r>
    </w:p>
    <w:p w14:paraId="2930BE9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2.1.6 التحول الرقمي في السياق السعودي: من الرؤية الوطنية 2030 إلى المبادرات الحكومية الرقمية</w:t>
      </w:r>
    </w:p>
    <w:p w14:paraId="4E0C067C"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2.1.7</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التجارب الدولية المقارنة (كوريا الجنوبية، إستونيا، الصين، سنغافورة)</w:t>
      </w:r>
    </w:p>
    <w:p w14:paraId="3E61B14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2.1.8 تقييم جاهزية المملكة للتحول الرقمي وفق مؤشرات الأمم المتحدة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NRI</w:t>
      </w:r>
      <w:r w:rsidRPr="00202E2A">
        <w:rPr>
          <w:rFonts w:asciiTheme="majorBidi" w:hAnsiTheme="majorBidi" w:cstheme="majorBidi"/>
          <w:sz w:val="26"/>
          <w:szCs w:val="26"/>
          <w:rtl/>
          <w:lang w:bidi="ar-EG"/>
        </w:rPr>
        <w:t>)</w:t>
      </w:r>
    </w:p>
    <w:p w14:paraId="44DA5EF6" w14:textId="0704CF50"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الثاني: الأبعاد المكونة للتحول الرقمي في المؤسسات الحكومية</w:t>
      </w:r>
    </w:p>
    <w:p w14:paraId="0879D45E"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 البعد الأول: الأسس الرقمية</w:t>
      </w:r>
    </w:p>
    <w:p w14:paraId="44D4DB30"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2.2.1.1 البنية التحتية التكنولوجية والأمن السيبراني</w:t>
      </w:r>
    </w:p>
    <w:p w14:paraId="34E98D64"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2.2.1.2 إدارة البيانات الضخمة والتحليلات المتقدمة</w:t>
      </w:r>
    </w:p>
    <w:p w14:paraId="7EE1FDB5"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2.2.1.3 تطوير الكفاءات الرقمية للموظفين</w:t>
      </w:r>
    </w:p>
    <w:p w14:paraId="3ECEF46D"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2.2.2 البعد الثاني: الابتكار الرقمي</w:t>
      </w:r>
    </w:p>
    <w:p w14:paraId="2483D43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2.2.2.1 الذكاء الاصطناعي وإنترنت الأشياء في العمل الحكومي</w:t>
      </w:r>
    </w:p>
    <w:p w14:paraId="707000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2.2.2.2 المنصات الرقمية والتفاعل مع المستفيدين</w:t>
      </w:r>
    </w:p>
    <w:p w14:paraId="13BF62B9"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2.2.2.3 الابتكار المفتوح والتكامل مع القطاع الخاص</w:t>
      </w:r>
    </w:p>
    <w:p w14:paraId="303AFEE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2.2.3 البعد الثالث: الحوكمة الرقمية</w:t>
      </w:r>
    </w:p>
    <w:p w14:paraId="625146B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2.2.3.1 السياسات الوطنية للتنظيم الرقمي</w:t>
      </w:r>
    </w:p>
    <w:p w14:paraId="6311FAA5"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2.2.3.2 معايير الجودة والشفافية والمساءلة</w:t>
      </w:r>
    </w:p>
    <w:p w14:paraId="43C97FEE"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2.2.3.3 أخلاقيات البيانات والتشريعات الرقمية</w:t>
      </w:r>
    </w:p>
    <w:p w14:paraId="243DAE32"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2.2.4 التفاعل بين الأبعاد الثلاثة وتأثيرها في الأداء الحكومي</w:t>
      </w:r>
    </w:p>
    <w:p w14:paraId="6D507ABE" w14:textId="1BA54FE5"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الثالث: تعزيز الأمن في بيئة التحول الرقمي</w:t>
      </w:r>
    </w:p>
    <w:p w14:paraId="4381CF4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2.3.1 الإطار النظري للأمن السيبراني في المؤسسات العامة</w:t>
      </w:r>
    </w:p>
    <w:p w14:paraId="65F97AD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2.3.2 العلاقة بين الأمن الرقمي واستدامة العمليات الحكومية</w:t>
      </w:r>
    </w:p>
    <w:p w14:paraId="2EEA256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2.3.3 نماذج تقييم النضج الأمني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Cyber Maturity Models</w:t>
      </w:r>
      <w:r w:rsidRPr="00202E2A">
        <w:rPr>
          <w:rFonts w:asciiTheme="majorBidi" w:hAnsiTheme="majorBidi" w:cstheme="majorBidi"/>
          <w:sz w:val="26"/>
          <w:szCs w:val="26"/>
          <w:rtl/>
          <w:lang w:bidi="ar-EG"/>
        </w:rPr>
        <w:t>)</w:t>
      </w:r>
    </w:p>
    <w:p w14:paraId="67A8D89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2.3.4 البنية الدفاعية المتعددة الطبقات: من التشفير إلى الذكاء الاصطناعي الوقائي</w:t>
      </w:r>
    </w:p>
    <w:p w14:paraId="53894D2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2.3.5 الأمن المعلوماتي وحماية الخصوصية في المنصات الجمركية والضريبية</w:t>
      </w:r>
    </w:p>
    <w:p w14:paraId="5562A60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2.3.6 بناء ثقافة الوعي الأمني لدى العاملين والمستفيدين</w:t>
      </w:r>
    </w:p>
    <w:p w14:paraId="4487CC28"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2.3.7 التحديات السيبرانية في المملكة (الاختراقات، الفدية الرقمية، التجسس الصناعي)</w:t>
      </w:r>
    </w:p>
    <w:p w14:paraId="28AFF92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2.3.8 التعاون الدولي والإقليمي في مواجهة التهديدات السيبرانية</w:t>
      </w:r>
    </w:p>
    <w:p w14:paraId="01F6A9E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2.3.9 التكامل بين الأمن الاقتصادي والأمن الرقمي في تحقيق التنمية المستدامة</w:t>
      </w:r>
    </w:p>
    <w:p w14:paraId="6EE10777" w14:textId="2BB3B5F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الرابع: تيسير التجارة والتحول الرقمي في الاقتصاد العالمي</w:t>
      </w:r>
    </w:p>
    <w:p w14:paraId="49E8466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2.4.1 الإطار المفاهيمي لتيسير التجارة وأبعاده المتعددة</w:t>
      </w:r>
    </w:p>
    <w:p w14:paraId="6EE2F7F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2.4.2 اتفاقية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كأساس قانوني عالمي لتيسير التجارة</w:t>
      </w:r>
    </w:p>
    <w:p w14:paraId="144F072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2.4.3 التحول من الجمرك الورقي إلى الجمرك الذكي</w:t>
      </w:r>
    </w:p>
    <w:p w14:paraId="36D185E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2.4.4 التحول الرقمي في سلاسل التوريد العالمية (اللوجستيات الذكية،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w:t>
      </w:r>
    </w:p>
    <w:p w14:paraId="1F0A037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2.4.5 الأبعاد الاقتصادية لتيسير التجارة (خفض التكاليف – تسريع التدفقات التجارية – رفع الكفاءة الإنتاجية)</w:t>
      </w:r>
    </w:p>
    <w:p w14:paraId="5E3400A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2.4.6 الأبعاد القانونية والسياسية لتيسير التجارة الرقمية</w:t>
      </w:r>
    </w:p>
    <w:p w14:paraId="0C0A4D1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2.4.7 الأبعاد البيئية والاجتماعية للتجارة الخضراء</w:t>
      </w:r>
    </w:p>
    <w:p w14:paraId="023BD18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2.4.8 أثر التحول الرقمي في تعزيز التنافسية التجارية للمملكة</w:t>
      </w:r>
    </w:p>
    <w:p w14:paraId="4BE128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2.4.9 نماذج دولية لتيسير التجارة الرقمية (سنغافورة، الإمارات، الاتحاد الأوروبي)</w:t>
      </w:r>
    </w:p>
    <w:p w14:paraId="17DC23F4" w14:textId="61D23FE9"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الخامس: التكامل بين التحول الرقمي وتعزيز الأمن وتيسير التجارة</w:t>
      </w:r>
    </w:p>
    <w:p w14:paraId="735C038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2.5.1 الإطار النظري للتكامل الثلاثي بين الأمن – الرقمنة – التجارة</w:t>
      </w:r>
    </w:p>
    <w:p w14:paraId="2BFF711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2.5.2 الترابط الديناميكي بين الأبعاد التكنولوجية والأمنية والاقتصادية</w:t>
      </w:r>
    </w:p>
    <w:p w14:paraId="01A231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2.5.3 دور التحول الرقمي في إدارة المخاطر التجارية والأمنية</w:t>
      </w:r>
    </w:p>
    <w:p w14:paraId="464B69A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2.5.4 التوازن بين أمن المعلومات وسرعة انسياب البضائع والخدمات</w:t>
      </w:r>
    </w:p>
    <w:p w14:paraId="5620714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2.5.5 نماذج الربط المؤسسي بين الجهات الأمنية والجمركية والاقتصادية</w:t>
      </w:r>
    </w:p>
    <w:p w14:paraId="35A7692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2.5.6 أثر التكامل على تحقيق أهداف رؤية 2030 ومحاور الاقتصاد المزدهر</w:t>
      </w:r>
    </w:p>
    <w:p w14:paraId="727A7A6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2.5.7 دور الذكاء الاصطناعي التحليلي في الكشف المبكر عن الأنشطة التجارية غير المشروعة</w:t>
      </w:r>
    </w:p>
    <w:p w14:paraId="5FB77F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2.5.8 تطبيقات هيئة الزكاة والضريبة والجمارك في الدمج بين الأمن والتجارة الرقمية</w:t>
      </w:r>
    </w:p>
    <w:p w14:paraId="1D9CFB0F" w14:textId="1E3E62A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السادس: التحديات والفرص في تطبيق التحول الرقمي</w:t>
      </w:r>
    </w:p>
    <w:p w14:paraId="2A5828B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2.6.1 التحديات التقنية (التكامل، الصيانة، الفجوة التكنولوجية)</w:t>
      </w:r>
    </w:p>
    <w:p w14:paraId="131FE70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2.6.2 التحديات البشرية (ضعف المهارات الرقمية، مقاومة التغيير)</w:t>
      </w:r>
    </w:p>
    <w:p w14:paraId="49EDCD0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2.6.3 التحديات التشريعية والتنظيمية (القوانين، حماية البيانات، التوافق الدولي)</w:t>
      </w:r>
    </w:p>
    <w:p w14:paraId="42DE8FA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2.6.4 التحديات الاقتصادية والمالية (تكلفة البنية الرقمية، عائد الاستثمار)</w:t>
      </w:r>
    </w:p>
    <w:p w14:paraId="6F3AEAC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2.6.5 الفرص الناشئة (الذكاء الاصطناعي، التحليل التنبئي، السحابة الحكومية)</w:t>
      </w:r>
    </w:p>
    <w:p w14:paraId="424D31E7"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2.6.6 مبادرات التحول الرقمي في رؤية السعودية 2030 كفرص استراتيجية</w:t>
      </w:r>
    </w:p>
    <w:p w14:paraId="2680368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2.6.7 مقاربة </w:t>
      </w:r>
      <w:r w:rsidRPr="00202E2A">
        <w:rPr>
          <w:rFonts w:asciiTheme="majorBidi" w:hAnsiTheme="majorBidi" w:cstheme="majorBidi"/>
          <w:sz w:val="26"/>
          <w:szCs w:val="26"/>
          <w:lang w:bidi="ar-EG"/>
        </w:rPr>
        <w:t>SWOT</w:t>
      </w:r>
      <w:r w:rsidRPr="00202E2A">
        <w:rPr>
          <w:rFonts w:asciiTheme="majorBidi" w:hAnsiTheme="majorBidi" w:cstheme="majorBidi"/>
          <w:sz w:val="26"/>
          <w:szCs w:val="26"/>
          <w:rtl/>
          <w:lang w:bidi="ar-EG"/>
        </w:rPr>
        <w:t xml:space="preserve"> لتقييم الواقع الرقمي في هيئة الزكاة والضريبة والجمارك</w:t>
      </w:r>
    </w:p>
    <w:p w14:paraId="1FB870B9" w14:textId="76516AD3"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السابع: المخاطر المستقبلية للتحول الرقمي وإدارة الأزمات</w:t>
      </w:r>
    </w:p>
    <w:p w14:paraId="01C92B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2.7.1 تصنيف المخاطر الرقمية (تقنية، قانونية، اجتماعية، بيئية)</w:t>
      </w:r>
    </w:p>
    <w:p w14:paraId="1DA89CD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2.7.2 الأمن السيبراني كعنصر لإدارة الأزمات الاقتصادية والتجارية</w:t>
      </w:r>
    </w:p>
    <w:p w14:paraId="6896A6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2.7.3 المخاطر المرتبطة بالذكاء الاصطناعي والأنظمة ذاتية القرار</w:t>
      </w:r>
    </w:p>
    <w:p w14:paraId="7690836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2.7.4 الفجوة الرقمية العالمية وتأثيرها على التنافسية التجارية</w:t>
      </w:r>
    </w:p>
    <w:p w14:paraId="210D3A2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2.7.5</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آليات التكيف المؤسسي مع التحولات التكنولوجية المفاجئة</w:t>
      </w:r>
    </w:p>
    <w:p w14:paraId="137C54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2.7.6 بناء نظام استشراف رقمي للتنبؤ بالمخاطر المستقبلية</w:t>
      </w:r>
    </w:p>
    <w:p w14:paraId="23C312D6" w14:textId="324734D2"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 xml:space="preserve">الثامن: </w:t>
      </w:r>
      <w:r w:rsidR="00202E2A" w:rsidRPr="00202E2A">
        <w:rPr>
          <w:rFonts w:asciiTheme="majorBidi" w:hAnsiTheme="majorBidi" w:cs="Times New Roman"/>
          <w:b/>
          <w:bCs/>
          <w:sz w:val="26"/>
          <w:szCs w:val="26"/>
          <w:rtl/>
          <w:lang w:bidi="ar-EG"/>
        </w:rPr>
        <w:t xml:space="preserve">مراجعة الدراسات السابقة واستخلاص الفجوة البحثية النظرية  </w:t>
      </w:r>
    </w:p>
    <w:p w14:paraId="0DB66F2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lastRenderedPageBreak/>
        <w:t xml:space="preserve">2.8.1 الدراسات السابقة المتعلقة بـ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xml:space="preserve"> والتحول الرقمي في تيسير التجارة وتعزيز الأمن  </w:t>
      </w:r>
    </w:p>
    <w:p w14:paraId="2AD271E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 التعليق على الدراسات السابقة  </w:t>
      </w:r>
    </w:p>
    <w:p w14:paraId="66694D43"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2.8.2.1 أوجه التشابه  </w:t>
      </w:r>
    </w:p>
    <w:p w14:paraId="70C5FE1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2.8.2.2 أوجه الاختلاف والمقارنات الدولية المباشرة  </w:t>
      </w:r>
    </w:p>
    <w:p w14:paraId="76B0E69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2.8.3 مقارنة بين هيئة الزكاة والضريبة والجمارك بالمملكة العربية السعودية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والهيئة الاتحادية للضرائب بالإمارات العربية المتحدة (</w:t>
      </w:r>
      <w:r w:rsidRPr="00202E2A">
        <w:rPr>
          <w:rFonts w:asciiTheme="majorBidi" w:hAnsiTheme="majorBidi" w:cstheme="majorBidi"/>
          <w:sz w:val="26"/>
          <w:szCs w:val="26"/>
          <w:lang w:bidi="ar-EG"/>
        </w:rPr>
        <w:t>FTA</w:t>
      </w:r>
      <w:r w:rsidRPr="00202E2A">
        <w:rPr>
          <w:rFonts w:asciiTheme="majorBidi" w:hAnsiTheme="majorBidi" w:cs="Times New Roman"/>
          <w:sz w:val="26"/>
          <w:szCs w:val="26"/>
          <w:rtl/>
          <w:lang w:bidi="ar-EG"/>
        </w:rPr>
        <w:t xml:space="preserve">) في تطبيق التحول الرقمي على تعزيز الأمن وتيسير التجارة  </w:t>
      </w:r>
    </w:p>
    <w:p w14:paraId="7B8BC2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2.8.3.1 التشابهات  </w:t>
      </w:r>
    </w:p>
    <w:p w14:paraId="3BA0E676"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2.8.3.2 الاختلافات في تعزيز الأمن  </w:t>
      </w:r>
    </w:p>
    <w:p w14:paraId="26B60014"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2.8.3.3 الاختلافات في تيسير التجارة  </w:t>
      </w:r>
    </w:p>
    <w:p w14:paraId="2F2DD67C"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2.8.3.4 التقييم العام والمقارنة الاستراتيجية </w:t>
      </w:r>
    </w:p>
    <w:p w14:paraId="0C8A1703" w14:textId="77777777" w:rsidR="00202E2A" w:rsidRPr="00202E2A" w:rsidRDefault="00202E2A" w:rsidP="005F301F">
      <w:pPr>
        <w:bidi/>
        <w:spacing w:line="240" w:lineRule="auto"/>
        <w:ind w:firstLine="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2.8.4 الفجوة البحثية  </w:t>
      </w:r>
    </w:p>
    <w:p w14:paraId="62E8C98E" w14:textId="2F49D2D7" w:rsidR="005F301F" w:rsidRDefault="005F301F" w:rsidP="005F301F">
      <w:pPr>
        <w:bidi/>
        <w:spacing w:line="240" w:lineRule="auto"/>
        <w:rPr>
          <w:rFonts w:asciiTheme="majorBidi" w:hAnsiTheme="majorBidi" w:cs="Times New Roman"/>
          <w:b/>
          <w:bCs/>
          <w:sz w:val="26"/>
          <w:szCs w:val="26"/>
          <w:rtl/>
        </w:rPr>
      </w:pPr>
      <w:r w:rsidRPr="005F301F">
        <w:rPr>
          <w:rFonts w:asciiTheme="majorBidi" w:hAnsiTheme="majorBidi" w:cs="Times New Roman"/>
          <w:b/>
          <w:bCs/>
          <w:sz w:val="26"/>
          <w:szCs w:val="26"/>
          <w:rtl/>
        </w:rPr>
        <w:t>الفصل الثالث: منهجية البحث</w:t>
      </w:r>
    </w:p>
    <w:p w14:paraId="6FD5974A" w14:textId="107FDC60"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تمهيد</w:t>
      </w:r>
    </w:p>
    <w:p w14:paraId="223BBCF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3.1.1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مقدمة الفصل</w:t>
      </w:r>
    </w:p>
    <w:p w14:paraId="2F7659CE" w14:textId="1C692585" w:rsidR="005F301F" w:rsidRPr="005F301F" w:rsidRDefault="005F301F" w:rsidP="005F301F">
      <w:pPr>
        <w:bidi/>
        <w:spacing w:line="240" w:lineRule="auto"/>
        <w:rPr>
          <w:rFonts w:asciiTheme="majorBidi" w:hAnsiTheme="majorBidi" w:cstheme="majorBidi"/>
          <w:b/>
          <w:bCs/>
          <w:sz w:val="26"/>
          <w:szCs w:val="26"/>
          <w:rtl/>
        </w:rPr>
      </w:pPr>
      <w:r>
        <w:rPr>
          <w:rFonts w:asciiTheme="majorBidi" w:hAnsiTheme="majorBidi" w:cstheme="majorBidi" w:hint="cs"/>
          <w:b/>
          <w:bCs/>
          <w:sz w:val="26"/>
          <w:szCs w:val="26"/>
          <w:rtl/>
          <w:lang w:bidi="ar-EG"/>
        </w:rPr>
        <w:t>3,2</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منهجية الدراسة وإجراءاتها الميدانية</w:t>
      </w:r>
    </w:p>
    <w:p w14:paraId="6A60070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نوع الدراسة (المسح الوصفي التحليلي)</w:t>
      </w:r>
    </w:p>
    <w:p w14:paraId="00F9A30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منهج الدراسة (المنهج الاستنباطي والمناهج المتكاملة)</w:t>
      </w:r>
    </w:p>
    <w:p w14:paraId="03F0327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مجتمع وعينة الدراسة</w:t>
      </w:r>
    </w:p>
    <w:p w14:paraId="30CBC5E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صدق المقياس (المتغيرات التابعة: تعزيز الأمن، تيسير التجارة)</w:t>
      </w:r>
    </w:p>
    <w:p w14:paraId="14753F9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نتائج التحليل العاملي للأبعاد الثمانية</w:t>
      </w:r>
    </w:p>
    <w:p w14:paraId="711575A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استخلاص الاستنتاجات الرئيسية والخلاصة الاستراتيجية</w:t>
      </w:r>
    </w:p>
    <w:p w14:paraId="5F4EAE0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ثبات المقياس بطريقة التجزئة النصفية</w:t>
      </w:r>
    </w:p>
    <w:p w14:paraId="2C40A8CC" w14:textId="3D983476"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w:t>
      </w:r>
      <w:r>
        <w:rPr>
          <w:rFonts w:asciiTheme="majorBidi" w:hAnsiTheme="majorBidi" w:cstheme="majorBidi" w:hint="cs"/>
          <w:b/>
          <w:bCs/>
          <w:sz w:val="26"/>
          <w:szCs w:val="26"/>
          <w:rtl/>
          <w:lang w:bidi="ar-EG"/>
        </w:rPr>
        <w:t>3</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 xml:space="preserve">التحليل الوصفي ونتائج </w:t>
      </w:r>
      <w:r w:rsidRPr="005F301F">
        <w:rPr>
          <w:rFonts w:asciiTheme="majorBidi" w:hAnsiTheme="majorBidi" w:cs="Times New Roman" w:hint="cs"/>
          <w:b/>
          <w:bCs/>
          <w:sz w:val="26"/>
          <w:szCs w:val="26"/>
          <w:rtl/>
        </w:rPr>
        <w:t>الاستبيا</w:t>
      </w:r>
      <w:r w:rsidRPr="005F301F">
        <w:rPr>
          <w:rFonts w:asciiTheme="majorBidi" w:hAnsiTheme="majorBidi" w:cs="Times New Roman" w:hint="eastAsia"/>
          <w:b/>
          <w:bCs/>
          <w:sz w:val="26"/>
          <w:szCs w:val="26"/>
          <w:rtl/>
        </w:rPr>
        <w:t>ن</w:t>
      </w:r>
    </w:p>
    <w:p w14:paraId="47986A5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وصف عينة الدراسة (النوع، السن، المستوى التعليمي، سنوات الخبرة، المستوى الوظيفي، القطاع)</w:t>
      </w:r>
    </w:p>
    <w:p w14:paraId="3D35138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عرض نتائج أسئلة الدراسة التسعة</w:t>
      </w:r>
    </w:p>
    <w:p w14:paraId="383A0BA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تعليق الباحث الختامي على مجمل الأسئلة</w:t>
      </w:r>
    </w:p>
    <w:p w14:paraId="59E60DDA" w14:textId="059504B1"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3,4</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اختبار الفروض والتحليل الإحصائي</w:t>
      </w:r>
    </w:p>
    <w:p w14:paraId="69AE4CF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تحليل مصفوفة الارتباط بين متغيرات الدراسة</w:t>
      </w:r>
    </w:p>
    <w:p w14:paraId="5ECAB73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lastRenderedPageBreak/>
        <w:t>3.4.2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الأول: الأمن السيبراني وحماية البيانات</w:t>
      </w:r>
    </w:p>
    <w:p w14:paraId="21E3372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الثاني: تكامل الشراكات الاستراتيجية</w:t>
      </w:r>
    </w:p>
    <w:p w14:paraId="24C8D22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الثالث: البعد القانوني والسياسي</w:t>
      </w:r>
    </w:p>
    <w:p w14:paraId="4731FD7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الرابع: البعد الاجتماعي والثقافي</w:t>
      </w:r>
    </w:p>
    <w:p w14:paraId="63D601B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الخامس: البعد الاقتصادي</w:t>
      </w:r>
    </w:p>
    <w:p w14:paraId="240CC5D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السادس: البعد التكنولوجي</w:t>
      </w:r>
    </w:p>
    <w:p w14:paraId="190F76D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3.4.8</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السابع: البعد البيئي</w:t>
      </w:r>
    </w:p>
    <w:p w14:paraId="014F01D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3.4.9</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خلاصة نتائج اختبار الفروض</w:t>
      </w:r>
    </w:p>
    <w:p w14:paraId="4D716EAC" w14:textId="40E1AF46"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imes New Roman"/>
          <w:b/>
          <w:bCs/>
          <w:sz w:val="26"/>
          <w:szCs w:val="26"/>
          <w:rtl/>
        </w:rPr>
        <w:t>الفصل الرابع: مناقشة النتائج والتوصيات</w:t>
      </w:r>
    </w:p>
    <w:p w14:paraId="51326AD1" w14:textId="6F48B7DA"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تمهيد</w:t>
      </w:r>
    </w:p>
    <w:p w14:paraId="1638B25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4.1.1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الفصل الرابع في سياقه المنهجي والعلمي</w:t>
      </w:r>
    </w:p>
    <w:p w14:paraId="60A1EB18" w14:textId="53FCE76D"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مناقشة النتائج</w:t>
      </w:r>
    </w:p>
    <w:p w14:paraId="3EC4DCC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عرض النتائج الرئيسية (النتائج 1–13)</w:t>
      </w:r>
    </w:p>
    <w:p w14:paraId="2157593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رأي الباحث الأكاديمي على كل نتيجة</w:t>
      </w:r>
    </w:p>
    <w:p w14:paraId="2F06B4C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مراجعة الفرضيات التسع في ضوء النتائج الإجمالية</w:t>
      </w:r>
    </w:p>
    <w:p w14:paraId="52F21ECB" w14:textId="6CB29504"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4,3</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تحليل المخاطر الجيوسياسية</w:t>
      </w:r>
    </w:p>
    <w:p w14:paraId="2D942E5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الأرقام التي تعيد كتابة التاريخ التجاري</w:t>
      </w:r>
    </w:p>
    <w:p w14:paraId="28C3466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مراحل تطور الأزمة: من الانفجار إلى الهدنة المتوترة</w:t>
      </w:r>
    </w:p>
    <w:p w14:paraId="666FD19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بناء شبكة الممرات التجارية البديلة رقمياً</w:t>
      </w:r>
    </w:p>
    <w:p w14:paraId="6AC8DD0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التكيف الجمركي مع نماذج الشحن الجديدة</w:t>
      </w:r>
    </w:p>
    <w:p w14:paraId="0C46226A" w14:textId="7DB7C96D"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4,4</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الأبعاد الخفية للتحول الرقمي الجمركي</w:t>
      </w:r>
    </w:p>
    <w:p w14:paraId="79A2EF9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التحول الرقمي الجمركي وسيادة البيانات الوطنية</w:t>
      </w:r>
    </w:p>
    <w:p w14:paraId="7ACF08D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الجمارك الإنسانية الرقمية: مفهوم مقترح</w:t>
      </w:r>
    </w:p>
    <w:p w14:paraId="7393F45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الاقتصاد غير الرسمي وتأثيرات التحول الرقمي الجمركي</w:t>
      </w:r>
    </w:p>
    <w:p w14:paraId="0E121A75"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جمارك الميتافيرس والاقتصاد الافتراضي</w:t>
      </w:r>
    </w:p>
    <w:p w14:paraId="678DB46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قراءة تحليلية في المقارنة الدولية</w:t>
      </w:r>
    </w:p>
    <w:p w14:paraId="7E71088B" w14:textId="6D3A4B38"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4,5</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القراءة النقدية</w:t>
      </w:r>
    </w:p>
    <w:p w14:paraId="5161AAF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4.5.1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التحديات التي لا يُقال عنها</w:t>
      </w:r>
    </w:p>
    <w:p w14:paraId="15449413" w14:textId="7B08A925"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lastRenderedPageBreak/>
        <w:t>4,6</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توصيات الدراسة (منظومة شاملة ومصنّفة)</w:t>
      </w:r>
    </w:p>
    <w:p w14:paraId="02F156D3"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الأولوية القصوى (تنفيذ فوري)</w:t>
      </w:r>
    </w:p>
    <w:p w14:paraId="7F9C9FC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متوسطة المدى</w:t>
      </w:r>
      <w:r w:rsidRPr="005F301F">
        <w:rPr>
          <w:rFonts w:asciiTheme="majorBidi" w:hAnsiTheme="majorBidi" w:cstheme="majorBidi"/>
          <w:sz w:val="26"/>
          <w:szCs w:val="26"/>
        </w:rPr>
        <w:t xml:space="preserve"> (2026–2028)</w:t>
      </w:r>
    </w:p>
    <w:p w14:paraId="36AAD8A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للمنطقة العربية والمنظمات الإقليمية</w:t>
      </w:r>
    </w:p>
    <w:p w14:paraId="53459DE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للقطاع الخاص والشركات</w:t>
      </w:r>
    </w:p>
    <w:p w14:paraId="21841132" w14:textId="2D974103"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Pr>
          <w:rFonts w:asciiTheme="majorBidi" w:hAnsiTheme="majorBidi" w:cstheme="majorBidi" w:hint="cs"/>
          <w:b/>
          <w:bCs/>
          <w:sz w:val="26"/>
          <w:szCs w:val="26"/>
          <w:rtl/>
          <w:lang w:bidi="ar-EG"/>
        </w:rPr>
        <w:t>7</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خطط العمل الاستراتيجية الشاملة</w:t>
      </w:r>
    </w:p>
    <w:p w14:paraId="62946D40"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الإطار الاستراتيجي العام للخطة</w:t>
      </w:r>
    </w:p>
    <w:p w14:paraId="7330120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الأسس الفكرية والمبادئ الحاكمة الخمسة</w:t>
      </w:r>
    </w:p>
    <w:p w14:paraId="1630985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الأولى (2025–2026): التأسيس المتقدم</w:t>
      </w:r>
    </w:p>
    <w:p w14:paraId="61504C5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الثانية (2026–2027): التحول الذكي</w:t>
      </w:r>
    </w:p>
    <w:p w14:paraId="608D9B8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الثالثة (2027–2030): الريادة العالمية</w:t>
      </w:r>
    </w:p>
    <w:p w14:paraId="3394F99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حوكمة تنفيذ الخطة (الهيكل التنفيذي، خارطة الطريق، إدارة التغيير)</w:t>
      </w:r>
    </w:p>
    <w:p w14:paraId="7537E46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التحليل الاقتصادي (المنافع، العائد على الاستثمار، القيمة المضافة)</w:t>
      </w:r>
    </w:p>
    <w:p w14:paraId="7C4144D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4.7.8</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السيناريوهات الاستراتيجية المستقبلية حتى 2035</w:t>
      </w:r>
    </w:p>
    <w:p w14:paraId="6EFBB43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4.7.9</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لوحة القيادة التنفيذية ومؤشرات الأداء</w:t>
      </w:r>
    </w:p>
    <w:p w14:paraId="5919DE23" w14:textId="5092DD2A"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Pr>
          <w:rFonts w:asciiTheme="majorBidi" w:hAnsiTheme="majorBidi" w:cstheme="majorBidi" w:hint="cs"/>
          <w:b/>
          <w:bCs/>
          <w:sz w:val="26"/>
          <w:szCs w:val="26"/>
          <w:rtl/>
          <w:lang w:bidi="ar-EG"/>
        </w:rPr>
        <w:t>8</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النتائج والاستنتاجات والتوصيات الختامية</w:t>
      </w:r>
    </w:p>
    <w:p w14:paraId="506BB7E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النتائج الرئيسة والاستنتاجات العامة</w:t>
      </w:r>
    </w:p>
    <w:p w14:paraId="4F7A4AC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التوصيات الموجهة (الحكومة، القطاع الخاص، الجامعات، المنظمات الدولية)</w:t>
      </w:r>
    </w:p>
    <w:p w14:paraId="2193301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خارطة الطريق التنفيذية لتطبيق التوصيات</w:t>
      </w:r>
    </w:p>
    <w:p w14:paraId="26A9025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إسهامات الدراسة العلمية والتطبيقية</w:t>
      </w:r>
    </w:p>
    <w:p w14:paraId="3CCB22C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محددات الدراسة</w:t>
      </w:r>
    </w:p>
    <w:p w14:paraId="580263C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الأجندة البحثية المستقبلية</w:t>
      </w:r>
    </w:p>
    <w:p w14:paraId="6EBB365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الخاتمة العامة للرسالة والكلمة الختامية للباحث</w:t>
      </w:r>
    </w:p>
    <w:p w14:paraId="04640DBF" w14:textId="77777777" w:rsidR="003804AC" w:rsidRPr="0019590B" w:rsidRDefault="003804AC" w:rsidP="005F301F">
      <w:pPr>
        <w:bidi/>
        <w:spacing w:line="240" w:lineRule="auto"/>
        <w:jc w:val="lowKashida"/>
        <w:rPr>
          <w:rFonts w:asciiTheme="majorBidi" w:hAnsiTheme="majorBidi" w:cstheme="majorBidi"/>
          <w:b/>
          <w:bCs/>
          <w:color w:val="002060"/>
          <w:sz w:val="28"/>
          <w:szCs w:val="28"/>
          <w:rtl/>
        </w:rPr>
      </w:pPr>
    </w:p>
    <w:p w14:paraId="1F55C585" w14:textId="77777777" w:rsidR="003804AC" w:rsidRPr="0019590B" w:rsidRDefault="003804AC" w:rsidP="0019590B">
      <w:pPr>
        <w:bidi/>
        <w:spacing w:line="276" w:lineRule="auto"/>
        <w:jc w:val="lowKashida"/>
        <w:rPr>
          <w:rFonts w:asciiTheme="majorBidi" w:hAnsiTheme="majorBidi" w:cstheme="majorBidi"/>
          <w:b/>
          <w:bCs/>
          <w:color w:val="002060"/>
          <w:sz w:val="28"/>
          <w:szCs w:val="28"/>
          <w:lang w:bidi="ar-EG"/>
        </w:rPr>
      </w:pPr>
    </w:p>
    <w:p w14:paraId="1D4C21C3" w14:textId="77777777" w:rsidR="00B40D1C" w:rsidRDefault="00B40D1C" w:rsidP="0019590B">
      <w:pPr>
        <w:bidi/>
        <w:spacing w:line="276" w:lineRule="auto"/>
        <w:jc w:val="lowKashida"/>
        <w:rPr>
          <w:rFonts w:asciiTheme="majorBidi" w:hAnsiTheme="majorBidi" w:cstheme="majorBidi"/>
          <w:b/>
          <w:bCs/>
          <w:color w:val="002060"/>
          <w:sz w:val="28"/>
          <w:szCs w:val="28"/>
          <w:rtl/>
          <w:lang w:bidi="ar-EG"/>
        </w:rPr>
      </w:pPr>
    </w:p>
    <w:p w14:paraId="1588CCB1" w14:textId="77777777" w:rsidR="0019590B" w:rsidRDefault="0019590B" w:rsidP="0019590B">
      <w:pPr>
        <w:bidi/>
        <w:spacing w:line="276" w:lineRule="auto"/>
        <w:jc w:val="lowKashida"/>
        <w:rPr>
          <w:rFonts w:asciiTheme="majorBidi" w:hAnsiTheme="majorBidi" w:cstheme="majorBidi"/>
          <w:b/>
          <w:bCs/>
          <w:color w:val="002060"/>
          <w:sz w:val="28"/>
          <w:szCs w:val="28"/>
          <w:rtl/>
          <w:lang w:bidi="ar-EG"/>
        </w:rPr>
      </w:pPr>
    </w:p>
    <w:p w14:paraId="6914EE9A" w14:textId="77777777" w:rsidR="0019590B" w:rsidRDefault="0019590B" w:rsidP="0019590B">
      <w:pPr>
        <w:bidi/>
        <w:spacing w:line="276" w:lineRule="auto"/>
        <w:jc w:val="lowKashida"/>
        <w:rPr>
          <w:rFonts w:asciiTheme="majorBidi" w:hAnsiTheme="majorBidi" w:cstheme="majorBidi"/>
          <w:b/>
          <w:bCs/>
          <w:color w:val="002060"/>
          <w:sz w:val="28"/>
          <w:szCs w:val="28"/>
          <w:lang w:bidi="ar-EG"/>
        </w:rPr>
      </w:pPr>
    </w:p>
    <w:p w14:paraId="0D60E1D5"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5C4EE301" w14:textId="77777777" w:rsidR="005F301F" w:rsidRDefault="005F301F" w:rsidP="00E65128">
      <w:pPr>
        <w:bidi/>
        <w:spacing w:line="276" w:lineRule="auto"/>
        <w:jc w:val="center"/>
        <w:rPr>
          <w:rFonts w:asciiTheme="majorBidi" w:hAnsiTheme="majorBidi" w:cstheme="majorBidi"/>
          <w:b/>
          <w:bCs/>
          <w:sz w:val="144"/>
          <w:szCs w:val="144"/>
          <w:rtl/>
          <w:lang w:bidi="ar-EG"/>
        </w:rPr>
      </w:pPr>
    </w:p>
    <w:p w14:paraId="5E83FD17" w14:textId="2D3B7045" w:rsidR="007C444D" w:rsidRPr="007C444D" w:rsidRDefault="007C444D" w:rsidP="005F301F">
      <w:pPr>
        <w:bidi/>
        <w:spacing w:line="276" w:lineRule="auto"/>
        <w:jc w:val="center"/>
        <w:rPr>
          <w:rFonts w:asciiTheme="majorBidi" w:hAnsiTheme="majorBidi" w:cstheme="majorBidi"/>
          <w:b/>
          <w:bCs/>
          <w:sz w:val="144"/>
          <w:szCs w:val="144"/>
          <w:rtl/>
          <w:lang w:bidi="ar-EG"/>
        </w:rPr>
      </w:pPr>
      <w:r w:rsidRPr="007C444D">
        <w:rPr>
          <w:rFonts w:asciiTheme="majorBidi" w:hAnsiTheme="majorBidi" w:cstheme="majorBidi" w:hint="cs"/>
          <w:b/>
          <w:bCs/>
          <w:sz w:val="144"/>
          <w:szCs w:val="144"/>
          <w:rtl/>
          <w:lang w:bidi="ar-EG"/>
        </w:rPr>
        <w:t>الفصل الأول:</w:t>
      </w:r>
      <w:r w:rsidRPr="007C444D">
        <w:rPr>
          <w:rFonts w:asciiTheme="majorBidi" w:hAnsiTheme="majorBidi" w:cstheme="majorBidi"/>
          <w:b/>
          <w:bCs/>
          <w:sz w:val="144"/>
          <w:szCs w:val="144"/>
          <w:rtl/>
          <w:lang w:bidi="ar-EG"/>
        </w:rPr>
        <w:br/>
      </w:r>
      <w:r w:rsidRPr="007C444D">
        <w:rPr>
          <w:rFonts w:asciiTheme="majorBidi" w:hAnsiTheme="majorBidi" w:cstheme="majorBidi" w:hint="cs"/>
          <w:b/>
          <w:bCs/>
          <w:sz w:val="144"/>
          <w:szCs w:val="144"/>
          <w:rtl/>
          <w:lang w:bidi="ar-EG"/>
        </w:rPr>
        <w:t>الإطار الفكري للدراسة</w:t>
      </w:r>
    </w:p>
    <w:p w14:paraId="265AAE9B" w14:textId="77777777" w:rsidR="004B4A0D" w:rsidRDefault="004B4A0D" w:rsidP="004B4A0D">
      <w:pPr>
        <w:bidi/>
        <w:spacing w:line="276" w:lineRule="auto"/>
        <w:jc w:val="lowKashida"/>
        <w:rPr>
          <w:rFonts w:asciiTheme="majorBidi" w:hAnsiTheme="majorBidi" w:cstheme="majorBidi"/>
          <w:b/>
          <w:bCs/>
          <w:color w:val="002060"/>
          <w:sz w:val="28"/>
          <w:szCs w:val="28"/>
          <w:lang w:bidi="ar-EG"/>
        </w:rPr>
      </w:pPr>
    </w:p>
    <w:p w14:paraId="30928AB9" w14:textId="77777777" w:rsidR="004B4A0D" w:rsidRDefault="004B4A0D" w:rsidP="004B4A0D">
      <w:pPr>
        <w:bidi/>
        <w:spacing w:line="276" w:lineRule="auto"/>
        <w:jc w:val="lowKashida"/>
        <w:rPr>
          <w:rFonts w:asciiTheme="majorBidi" w:hAnsiTheme="majorBidi" w:cstheme="majorBidi"/>
          <w:b/>
          <w:bCs/>
          <w:color w:val="002060"/>
          <w:sz w:val="28"/>
          <w:szCs w:val="28"/>
          <w:rtl/>
          <w:lang w:bidi="ar-EG"/>
        </w:rPr>
      </w:pPr>
    </w:p>
    <w:p w14:paraId="645554DE"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46099F10"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6DDD7C9C"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28C722BF"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5F4B7C37" w14:textId="77777777" w:rsidR="00E65128" w:rsidRDefault="00E65128" w:rsidP="00E65128">
      <w:pPr>
        <w:bidi/>
        <w:spacing w:line="276" w:lineRule="auto"/>
        <w:jc w:val="lowKashida"/>
        <w:rPr>
          <w:rFonts w:asciiTheme="majorBidi" w:hAnsiTheme="majorBidi" w:cstheme="majorBidi"/>
          <w:b/>
          <w:bCs/>
          <w:color w:val="002060"/>
          <w:sz w:val="28"/>
          <w:szCs w:val="28"/>
          <w:rtl/>
          <w:lang w:bidi="ar-EG"/>
        </w:rPr>
      </w:pPr>
    </w:p>
    <w:p w14:paraId="26B0A2B3" w14:textId="77777777" w:rsidR="00E65128" w:rsidRDefault="00E65128" w:rsidP="00E65128">
      <w:pPr>
        <w:bidi/>
        <w:spacing w:line="276" w:lineRule="auto"/>
        <w:jc w:val="lowKashida"/>
        <w:rPr>
          <w:rFonts w:asciiTheme="majorBidi" w:hAnsiTheme="majorBidi" w:cstheme="majorBidi"/>
          <w:b/>
          <w:bCs/>
          <w:color w:val="002060"/>
          <w:sz w:val="28"/>
          <w:szCs w:val="28"/>
          <w:rtl/>
          <w:lang w:bidi="ar-EG"/>
        </w:rPr>
      </w:pPr>
    </w:p>
    <w:p w14:paraId="02D60031"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7E0ED3AA" w14:textId="3304A15C" w:rsidR="003A6425" w:rsidRPr="00202E2A" w:rsidRDefault="00AC7FA4"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أولاً: </w:t>
      </w:r>
      <w:r w:rsidR="0000289E" w:rsidRPr="00202E2A">
        <w:rPr>
          <w:rFonts w:asciiTheme="majorBidi" w:hAnsiTheme="majorBidi" w:cstheme="majorBidi"/>
          <w:b/>
          <w:bCs/>
          <w:color w:val="002060"/>
          <w:sz w:val="26"/>
          <w:szCs w:val="26"/>
          <w:rtl/>
          <w:lang w:bidi="ar-EG"/>
        </w:rPr>
        <w:t>المقدمة</w:t>
      </w:r>
    </w:p>
    <w:p w14:paraId="662AC8E1" w14:textId="461E9CD0" w:rsidR="00E3655D" w:rsidRPr="00202E2A" w:rsidRDefault="00E3655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تشكل الظروف المحيطة بالجهات الحكومية في المملكة العربية السعودية عنصراً محورياً في نجاح مبادرات التحول الرقمي، خاصةً في ظل رؤية </w:t>
      </w:r>
      <w:r w:rsidR="001A6BFB"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تهدف إلى تحقيق تحول شامل يواكب التطورات التكنولوجية العالمية، ويتضمن هذا الإطار الخارجي مجموعة من العوامل السياسية والثقافية والاجتماعية التي تؤثر على تبني التقنيات الحديثة واستخدامها في تحسين الخدمات الحكومية، حيث يُعتبر الارتفاع المتزايد في معدلات استخدام تكنولوجيا المعلومات والاتصالات من قبل الشركات والأفراد والجهات الحكومية دافعاً أساسياً نحو تعزيز التفاعل الرقمي وتبادل المعرفة، وفي هذا السياق تُعد حملات التوعية الرقمية خطوة استراتيجية لتعزيز الوعي بأهمية الرقمنة وتشجيع المجتمع على اعتماد الخدمات الإلكترونية، مما يسهم في بناء ثقافة مؤسسية قائمة على الابتكار والتجديد</w:t>
      </w:r>
      <w:r w:rsidR="00373C73" w:rsidRPr="00202E2A">
        <w:rPr>
          <w:rFonts w:asciiTheme="majorBidi" w:hAnsiTheme="majorBidi" w:cstheme="majorBidi" w:hint="cs"/>
          <w:sz w:val="26"/>
          <w:szCs w:val="26"/>
          <w:rtl/>
          <w:lang w:bidi="ar-EG"/>
        </w:rPr>
        <w:t xml:space="preserve"> </w:t>
      </w:r>
      <w:r w:rsidR="00373C73" w:rsidRPr="00202E2A">
        <w:rPr>
          <w:rFonts w:hint="cs"/>
          <w:sz w:val="26"/>
          <w:szCs w:val="26"/>
          <w:rtl/>
        </w:rPr>
        <w:t>(</w:t>
      </w:r>
      <w:r w:rsidR="00680C4A" w:rsidRPr="00202E2A">
        <w:rPr>
          <w:rFonts w:asciiTheme="majorBidi" w:hAnsiTheme="majorBidi" w:cs="Times New Roman"/>
          <w:sz w:val="26"/>
          <w:szCs w:val="26"/>
          <w:lang w:bidi="ar-EG"/>
        </w:rPr>
        <w:t>SDAIA</w:t>
      </w:r>
      <w:r w:rsidR="00680C4A" w:rsidRPr="00202E2A">
        <w:rPr>
          <w:rFonts w:asciiTheme="majorBidi" w:hAnsiTheme="majorBidi" w:cs="Times New Roman" w:hint="cs"/>
          <w:sz w:val="26"/>
          <w:szCs w:val="26"/>
          <w:rtl/>
          <w:lang w:bidi="ar-EG"/>
        </w:rPr>
        <w:t xml:space="preserve"> </w:t>
      </w:r>
      <w:r w:rsidR="00373C73" w:rsidRPr="00202E2A">
        <w:rPr>
          <w:rFonts w:asciiTheme="majorBidi" w:hAnsiTheme="majorBidi" w:cs="Times New Roman" w:hint="cs"/>
          <w:sz w:val="26"/>
          <w:szCs w:val="26"/>
          <w:rtl/>
          <w:lang w:bidi="ar-EG"/>
        </w:rPr>
        <w:t>،</w:t>
      </w:r>
      <w:r w:rsidR="00373C73" w:rsidRPr="00202E2A">
        <w:rPr>
          <w:rFonts w:asciiTheme="majorBidi" w:hAnsiTheme="majorBidi" w:cs="Times New Roman"/>
          <w:sz w:val="26"/>
          <w:szCs w:val="26"/>
          <w:rtl/>
          <w:lang w:bidi="ar-EG"/>
        </w:rPr>
        <w:t xml:space="preserve"> </w:t>
      </w:r>
      <w:r w:rsidR="00373C73" w:rsidRPr="00202E2A">
        <w:rPr>
          <w:rFonts w:asciiTheme="majorBidi" w:hAnsiTheme="majorBidi" w:cs="Times New Roman"/>
          <w:sz w:val="26"/>
          <w:szCs w:val="26"/>
          <w:lang w:bidi="ar-EG"/>
        </w:rPr>
        <w:t>2023</w:t>
      </w:r>
      <w:r w:rsidR="00373C73" w:rsidRPr="00202E2A">
        <w:rPr>
          <w:rFonts w:asciiTheme="majorBidi" w:hAnsiTheme="majorBidi" w:cs="Times New Roman"/>
          <w:sz w:val="26"/>
          <w:szCs w:val="26"/>
          <w:rtl/>
          <w:lang w:bidi="ar-EG"/>
        </w:rPr>
        <w:t>)</w:t>
      </w:r>
      <w:r w:rsidR="00373C73" w:rsidRPr="00202E2A">
        <w:rPr>
          <w:rFonts w:asciiTheme="majorBidi" w:hAnsiTheme="majorBidi" w:cs="Times New Roman" w:hint="cs"/>
          <w:sz w:val="26"/>
          <w:szCs w:val="26"/>
          <w:rtl/>
          <w:lang w:bidi="ar-EG"/>
        </w:rPr>
        <w:t>.</w:t>
      </w:r>
    </w:p>
    <w:p w14:paraId="189FC952" w14:textId="58BA9AA5" w:rsidR="00E3655D" w:rsidRPr="00202E2A" w:rsidRDefault="00400D65"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w:t>
      </w:r>
      <w:r w:rsidR="009876CD" w:rsidRPr="00202E2A">
        <w:rPr>
          <w:rFonts w:asciiTheme="majorBidi" w:hAnsiTheme="majorBidi" w:cstheme="majorBidi"/>
          <w:sz w:val="26"/>
          <w:szCs w:val="26"/>
          <w:rtl/>
          <w:lang w:bidi="ar-EG"/>
        </w:rPr>
        <w:t xml:space="preserve"> تقرير</w:t>
      </w:r>
      <w:r w:rsidR="009876CD" w:rsidRPr="00202E2A">
        <w:rPr>
          <w:rFonts w:asciiTheme="majorBidi" w:hAnsiTheme="majorBidi" w:cstheme="majorBidi"/>
          <w:sz w:val="26"/>
          <w:szCs w:val="26"/>
          <w:lang w:bidi="ar-EG"/>
        </w:rPr>
        <w:t xml:space="preserve"> (United Nations. ,</w:t>
      </w:r>
      <w:r w:rsidR="0087067E" w:rsidRPr="00202E2A">
        <w:rPr>
          <w:rFonts w:asciiTheme="majorBidi" w:hAnsiTheme="majorBidi" w:cstheme="majorBidi"/>
          <w:sz w:val="26"/>
          <w:szCs w:val="26"/>
          <w:lang w:bidi="ar-EG"/>
        </w:rPr>
        <w:t>2021</w:t>
      </w:r>
      <w:r w:rsidR="00C441F9" w:rsidRPr="00202E2A">
        <w:rPr>
          <w:rFonts w:asciiTheme="majorBidi" w:hAnsiTheme="majorBidi" w:cstheme="majorBidi"/>
          <w:sz w:val="26"/>
          <w:szCs w:val="26"/>
          <w:lang w:bidi="ar-EG"/>
        </w:rPr>
        <w:t>)</w:t>
      </w:r>
      <w:r w:rsidR="00C441F9" w:rsidRPr="00202E2A">
        <w:rPr>
          <w:rFonts w:asciiTheme="majorBidi" w:hAnsiTheme="majorBidi" w:cstheme="majorBidi"/>
          <w:sz w:val="26"/>
          <w:szCs w:val="26"/>
          <w:rtl/>
          <w:lang w:bidi="ar-EG"/>
        </w:rPr>
        <w:t xml:space="preserve"> حيث</w:t>
      </w:r>
      <w:r w:rsidR="009876CD" w:rsidRPr="00202E2A">
        <w:rPr>
          <w:rFonts w:asciiTheme="majorBidi" w:hAnsiTheme="majorBidi" w:cstheme="majorBidi"/>
          <w:sz w:val="26"/>
          <w:szCs w:val="26"/>
          <w:rtl/>
          <w:lang w:bidi="ar-EG"/>
        </w:rPr>
        <w:t xml:space="preserve"> يُظهر الجهود العالمية لتحقيق التنمية الشاملة والرقمية ضمن إطار رؤية الأمم المتحدة لعام </w:t>
      </w:r>
      <w:r w:rsidR="009876CD" w:rsidRPr="00202E2A">
        <w:rPr>
          <w:rFonts w:asciiTheme="majorBidi" w:hAnsiTheme="majorBidi" w:cstheme="majorBidi"/>
          <w:sz w:val="26"/>
          <w:szCs w:val="26"/>
          <w:lang w:bidi="ar-EG"/>
        </w:rPr>
        <w:t>2030</w:t>
      </w:r>
      <w:r w:rsidR="009876CD" w:rsidRPr="00202E2A">
        <w:rPr>
          <w:rFonts w:asciiTheme="majorBidi" w:hAnsiTheme="majorBidi" w:cstheme="majorBidi"/>
          <w:sz w:val="26"/>
          <w:szCs w:val="26"/>
          <w:rtl/>
          <w:lang w:bidi="ar-EG"/>
        </w:rPr>
        <w:t xml:space="preserve">، مما يعكس أهمية الإطار الخارجي في دعم التحول الرقمي وتعزيز الأمن وتيسير التجارة وتقديم الخدمات الحكومية المبتكرة، حيث </w:t>
      </w:r>
      <w:r w:rsidR="00E3655D" w:rsidRPr="00202E2A">
        <w:rPr>
          <w:rFonts w:asciiTheme="majorBidi" w:hAnsiTheme="majorBidi" w:cstheme="majorBidi"/>
          <w:sz w:val="26"/>
          <w:szCs w:val="26"/>
          <w:rtl/>
          <w:lang w:bidi="ar-EG"/>
        </w:rPr>
        <w:t>يتطلب تحقيق التحول الرقمي منح الهيئات الحكومية السلطة الكاملة لإعداد القوانين واللوائح التنظيمية الداعمة لتطبيق الخدمات الإلكترونية، مع ضمان حماية البيانات والخصوصية والأمن السيبراني، وهو ما يساهم في تقديم الخدمات عبر قنوات متعددة وبشكل دائم</w:t>
      </w:r>
      <w:r w:rsidR="000C25AB" w:rsidRPr="00202E2A">
        <w:rPr>
          <w:rFonts w:asciiTheme="majorBidi" w:hAnsiTheme="majorBidi" w:cstheme="majorBidi"/>
          <w:sz w:val="26"/>
          <w:szCs w:val="26"/>
          <w:rtl/>
          <w:lang w:bidi="ar-EG"/>
        </w:rPr>
        <w:t>، حيث</w:t>
      </w:r>
      <w:r w:rsidR="00E3655D" w:rsidRPr="00202E2A">
        <w:rPr>
          <w:rFonts w:asciiTheme="majorBidi" w:hAnsiTheme="majorBidi" w:cstheme="majorBidi"/>
          <w:sz w:val="26"/>
          <w:szCs w:val="26"/>
          <w:rtl/>
          <w:lang w:bidi="ar-EG"/>
        </w:rPr>
        <w:t xml:space="preserve"> يعمل التكامل بين السياسات الحكومية والتقنيات الحديثة على تحسين الكفاءة التشغيلية وتقليل الإجراءات الإدارية التقليدية، مما يعزز من القدرة التنافسية الوطنية ويسهم في جذب الاستثمارات الأجنبية وتحفيز النمو الاقتصادي</w:t>
      </w:r>
      <w:r w:rsidR="000C25AB"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وفي الختام، يُعتبر الإطار الخارجي المحيط عاملاً رئيسياً يضمن تحقيق التحول الرقمي الشامل بما يتماشى مع أهداف رؤية</w:t>
      </w:r>
      <w:r w:rsidR="002C0D21" w:rsidRPr="00202E2A">
        <w:rPr>
          <w:rFonts w:asciiTheme="majorBidi" w:hAnsiTheme="majorBidi" w:cstheme="majorBidi"/>
          <w:sz w:val="26"/>
          <w:szCs w:val="26"/>
          <w:rtl/>
          <w:lang w:bidi="ar-EG"/>
        </w:rPr>
        <w:t xml:space="preserve"> الأمم المتحدة</w:t>
      </w:r>
      <w:r w:rsidR="00E3655D" w:rsidRPr="00202E2A">
        <w:rPr>
          <w:rFonts w:asciiTheme="majorBidi" w:hAnsiTheme="majorBidi" w:cstheme="majorBidi"/>
          <w:sz w:val="26"/>
          <w:szCs w:val="26"/>
          <w:rtl/>
          <w:lang w:bidi="ar-EG"/>
        </w:rPr>
        <w:t xml:space="preserve"> </w:t>
      </w:r>
      <w:r w:rsidR="001A6BFB" w:rsidRPr="00202E2A">
        <w:rPr>
          <w:rFonts w:asciiTheme="majorBidi" w:hAnsiTheme="majorBidi" w:cstheme="majorBidi"/>
          <w:sz w:val="26"/>
          <w:szCs w:val="26"/>
          <w:lang w:bidi="ar-EG"/>
        </w:rPr>
        <w:t>2030</w:t>
      </w:r>
      <w:r w:rsidR="00E3655D" w:rsidRPr="00202E2A">
        <w:rPr>
          <w:rFonts w:asciiTheme="majorBidi" w:hAnsiTheme="majorBidi" w:cstheme="majorBidi"/>
          <w:sz w:val="26"/>
          <w:szCs w:val="26"/>
          <w:rtl/>
          <w:lang w:bidi="ar-EG"/>
        </w:rPr>
        <w:t>، مما يؤدي إلى تعزيز الأمن، ت</w:t>
      </w:r>
      <w:r w:rsidR="004B4A0D" w:rsidRPr="00202E2A">
        <w:rPr>
          <w:rFonts w:asciiTheme="majorBidi" w:hAnsiTheme="majorBidi" w:cstheme="majorBidi" w:hint="cs"/>
          <w:sz w:val="26"/>
          <w:szCs w:val="26"/>
          <w:rtl/>
          <w:lang w:bidi="ar-EG"/>
        </w:rPr>
        <w:t>ي</w:t>
      </w:r>
      <w:r w:rsidR="00E3655D"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00E3655D" w:rsidRPr="00202E2A">
        <w:rPr>
          <w:rFonts w:asciiTheme="majorBidi" w:hAnsiTheme="majorBidi" w:cstheme="majorBidi"/>
          <w:sz w:val="26"/>
          <w:szCs w:val="26"/>
          <w:rtl/>
          <w:lang w:bidi="ar-EG"/>
        </w:rPr>
        <w:t xml:space="preserve"> التجارة، وتقديم خدمات حكومية مبتكرة وفعالة على مستوى الدولة.</w:t>
      </w:r>
    </w:p>
    <w:p w14:paraId="0CFB7997" w14:textId="450F85C0" w:rsidR="0044433A"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ويشير تقرير (</w:t>
      </w:r>
      <w:r w:rsidRPr="00202E2A">
        <w:rPr>
          <w:rFonts w:asciiTheme="majorBidi" w:hAnsiTheme="majorBidi" w:cstheme="majorBidi"/>
          <w:sz w:val="26"/>
          <w:szCs w:val="26"/>
          <w:lang w:bidi="ar-EG"/>
        </w:rPr>
        <w:t>World Development Report,2020</w:t>
      </w:r>
      <w:r w:rsidRPr="00202E2A">
        <w:rPr>
          <w:rFonts w:asciiTheme="majorBidi" w:hAnsiTheme="majorBidi" w:cstheme="majorBidi"/>
          <w:sz w:val="26"/>
          <w:szCs w:val="26"/>
          <w:rtl/>
          <w:lang w:bidi="ar-EG"/>
        </w:rPr>
        <w:t xml:space="preserve">) </w:t>
      </w:r>
      <w:r w:rsidR="0029518D" w:rsidRPr="00202E2A">
        <w:rPr>
          <w:rFonts w:asciiTheme="majorBidi" w:hAnsiTheme="majorBidi" w:cstheme="majorBidi"/>
          <w:sz w:val="26"/>
          <w:szCs w:val="26"/>
          <w:rtl/>
          <w:lang w:bidi="ar-EG"/>
        </w:rPr>
        <w:t xml:space="preserve">أنه </w:t>
      </w:r>
      <w:r w:rsidR="00660D6E"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عتبر </w:t>
      </w:r>
      <w:r w:rsidR="00660D6E" w:rsidRPr="00202E2A">
        <w:rPr>
          <w:rFonts w:asciiTheme="majorBidi" w:hAnsiTheme="majorBidi" w:cstheme="majorBidi"/>
          <w:sz w:val="26"/>
          <w:szCs w:val="26"/>
          <w:rtl/>
          <w:lang w:bidi="ar-EG"/>
        </w:rPr>
        <w:t>التحول الرقمي ل</w:t>
      </w:r>
      <w:r w:rsidR="0044433A" w:rsidRPr="00202E2A">
        <w:rPr>
          <w:rFonts w:asciiTheme="majorBidi" w:hAnsiTheme="majorBidi" w:cstheme="majorBidi"/>
          <w:sz w:val="26"/>
          <w:szCs w:val="26"/>
          <w:rtl/>
          <w:lang w:bidi="ar-EG"/>
        </w:rPr>
        <w:t xml:space="preserve">تكنولوجيا الاتصالات والمعلومات </w:t>
      </w:r>
      <w:r w:rsidR="00660D6E" w:rsidRPr="00202E2A">
        <w:rPr>
          <w:rFonts w:asciiTheme="majorBidi" w:hAnsiTheme="majorBidi" w:cstheme="majorBidi"/>
          <w:sz w:val="26"/>
          <w:szCs w:val="26"/>
          <w:rtl/>
          <w:lang w:bidi="ar-EG"/>
        </w:rPr>
        <w:t xml:space="preserve">هو </w:t>
      </w:r>
      <w:r w:rsidR="0044433A" w:rsidRPr="00202E2A">
        <w:rPr>
          <w:rFonts w:asciiTheme="majorBidi" w:hAnsiTheme="majorBidi" w:cstheme="majorBidi"/>
          <w:sz w:val="26"/>
          <w:szCs w:val="26"/>
          <w:rtl/>
          <w:lang w:bidi="ar-EG"/>
        </w:rPr>
        <w:t>المحرك الرئيسي للتغيير في المجتمعات في العصر الحاضر؛ حيث أن تطور تكنولوجيا الاتصالات والمعلومات وتعزيز استخدامها يُعتبر من أهم أهداف تحقيق التنمية المستدامة</w:t>
      </w:r>
      <w:r w:rsidR="00660D6E" w:rsidRPr="00202E2A">
        <w:rPr>
          <w:rFonts w:asciiTheme="majorBidi" w:hAnsiTheme="majorBidi" w:cstheme="majorBidi"/>
          <w:sz w:val="26"/>
          <w:szCs w:val="26"/>
          <w:rtl/>
          <w:lang w:bidi="ar-EG"/>
        </w:rPr>
        <w:t xml:space="preserve"> و</w:t>
      </w:r>
      <w:r w:rsidR="0044433A" w:rsidRPr="00202E2A">
        <w:rPr>
          <w:rFonts w:asciiTheme="majorBidi" w:hAnsiTheme="majorBidi" w:cstheme="majorBidi"/>
          <w:sz w:val="26"/>
          <w:szCs w:val="26"/>
          <w:rtl/>
          <w:lang w:bidi="ar-EG"/>
        </w:rPr>
        <w:t>تقنية المعلومات والاتصالات والخدمات الإلكترونية تلعب دوراً بارزاً في مفهوم التحول الرقمي، لكونها تعزز من أنشطة البحث والتطوير لتحسين أداء المؤسسات الحكومية والخاصة، وتقودهم إلى استحداث أنماط قيادية ومؤسسية جديدة</w:t>
      </w:r>
      <w:r w:rsidR="00660D6E"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660D6E" w:rsidRPr="00202E2A">
        <w:rPr>
          <w:rFonts w:asciiTheme="majorBidi" w:hAnsiTheme="majorBidi" w:cstheme="majorBidi"/>
          <w:sz w:val="26"/>
          <w:szCs w:val="26"/>
          <w:rtl/>
          <w:lang w:bidi="ar-EG"/>
        </w:rPr>
        <w:t>و</w:t>
      </w:r>
      <w:r w:rsidR="0044433A" w:rsidRPr="00202E2A">
        <w:rPr>
          <w:rFonts w:asciiTheme="majorBidi" w:hAnsiTheme="majorBidi" w:cstheme="majorBidi"/>
          <w:sz w:val="26"/>
          <w:szCs w:val="26"/>
          <w:rtl/>
          <w:lang w:bidi="ar-EG"/>
        </w:rPr>
        <w:t xml:space="preserve">كما تسهم في وضع الخطط والبرامج التي تهدف إلى تحسين </w:t>
      </w:r>
      <w:r w:rsidR="00660D6E" w:rsidRPr="00202E2A">
        <w:rPr>
          <w:rFonts w:asciiTheme="majorBidi" w:hAnsiTheme="majorBidi" w:cstheme="majorBidi"/>
          <w:sz w:val="26"/>
          <w:szCs w:val="26"/>
          <w:rtl/>
          <w:lang w:bidi="ar-EG"/>
        </w:rPr>
        <w:t>أبعاد تعزيز الأمن</w:t>
      </w:r>
      <w:r w:rsidR="0044433A" w:rsidRPr="00202E2A">
        <w:rPr>
          <w:rFonts w:asciiTheme="majorBidi" w:hAnsiTheme="majorBidi" w:cstheme="majorBidi"/>
          <w:sz w:val="26"/>
          <w:szCs w:val="26"/>
          <w:rtl/>
          <w:lang w:bidi="ar-EG"/>
        </w:rPr>
        <w:t xml:space="preserve"> وأثرها على </w:t>
      </w:r>
      <w:r w:rsidR="00660D6E" w:rsidRPr="00202E2A">
        <w:rPr>
          <w:rFonts w:asciiTheme="majorBidi" w:hAnsiTheme="majorBidi" w:cstheme="majorBidi"/>
          <w:sz w:val="26"/>
          <w:szCs w:val="26"/>
          <w:rtl/>
          <w:lang w:bidi="ar-EG"/>
        </w:rPr>
        <w:t>تيسير التجارة</w:t>
      </w:r>
      <w:r w:rsidR="0044433A" w:rsidRPr="00202E2A">
        <w:rPr>
          <w:rFonts w:asciiTheme="majorBidi" w:hAnsiTheme="majorBidi" w:cstheme="majorBidi"/>
          <w:sz w:val="26"/>
          <w:szCs w:val="26"/>
          <w:rtl/>
          <w:lang w:bidi="ar-EG"/>
        </w:rPr>
        <w:t xml:space="preserve"> نحو إعداد مجتمع معلوماتي جيد، والعمل على تحقيق أهداف التحول الرقمي</w:t>
      </w:r>
      <w:r w:rsidR="00AA0DC5" w:rsidRPr="00202E2A">
        <w:rPr>
          <w:rFonts w:asciiTheme="majorBidi" w:hAnsiTheme="majorBidi" w:cstheme="majorBidi"/>
          <w:sz w:val="26"/>
          <w:szCs w:val="26"/>
          <w:rtl/>
          <w:lang w:bidi="ar-EG"/>
        </w:rPr>
        <w:t xml:space="preserve">.  </w:t>
      </w:r>
    </w:p>
    <w:p w14:paraId="377475C8" w14:textId="0B2F22E1" w:rsidR="009B6A68"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ويؤكد</w:t>
      </w:r>
      <w:r w:rsidRPr="00202E2A">
        <w:rPr>
          <w:rFonts w:asciiTheme="majorBidi" w:hAnsiTheme="majorBidi" w:cstheme="majorBidi"/>
          <w:sz w:val="26"/>
          <w:szCs w:val="26"/>
          <w:lang w:bidi="ar-EG"/>
        </w:rPr>
        <w:t xml:space="preserve">2016)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(Schwab, K. ,.</w:t>
      </w:r>
      <w:r w:rsidRPr="00202E2A">
        <w:rPr>
          <w:rFonts w:asciiTheme="majorBidi" w:hAnsiTheme="majorBidi" w:cstheme="majorBidi"/>
          <w:sz w:val="26"/>
          <w:szCs w:val="26"/>
          <w:rtl/>
          <w:lang w:bidi="ar-EG"/>
        </w:rPr>
        <w:t xml:space="preserve"> </w:t>
      </w:r>
      <w:r w:rsidR="009B6A68" w:rsidRPr="00202E2A">
        <w:rPr>
          <w:rFonts w:asciiTheme="majorBidi" w:hAnsiTheme="majorBidi" w:cstheme="majorBidi"/>
          <w:sz w:val="26"/>
          <w:szCs w:val="26"/>
          <w:rtl/>
          <w:lang w:bidi="ar-EG"/>
        </w:rPr>
        <w:t>تيسير التجارة أصبح ضرورةً تفرضها تطورات تكنولوجيا المعلومات على المؤسسات الحكومية لتحسين كفاءة العمليات التجارية، مما يحقق مزايا عديدة، أبرزها تبسيط الإجراءات عبر أنظمة رقمية ذكية، وزيادة الشفافية في المعاملات، وتقليل التعقيدات البيروقراطية التي تعوق تدفق السلع والخدمات، ويُعرف تيسير التجارة هنا بالتحول الجذري في تطبيق التكنولوجيا الرقمية لدمج القطاعات التجارية واللوجستية، وهو ضرورةٌ حتمية لمواكبة التسارع العالمي في تحسين البنى التحتية التجارية. كما يُسهم هذا التيسير في الانتقال من التعاملات الورقية المُعقدة إلى أنظمة رقمية متكاملة، مما يجعله محركاً رئيسياً لتنمية الاقتصاد عبر تمكين الدول من تبني حلول مبتكرة مثل المنصات الإلكترونية الموحدة، وآليات الدفع الذكية، وتقنيات تتبع الشحنات</w:t>
      </w:r>
      <w:r w:rsidR="009B6A68" w:rsidRPr="00202E2A">
        <w:rPr>
          <w:rFonts w:asciiTheme="majorBidi" w:hAnsiTheme="majorBidi" w:cstheme="majorBidi"/>
          <w:sz w:val="26"/>
          <w:szCs w:val="26"/>
          <w:lang w:bidi="ar-EG"/>
        </w:rPr>
        <w:t>.</w:t>
      </w:r>
    </w:p>
    <w:p w14:paraId="09D74DA8" w14:textId="77777777" w:rsidR="009B6A68" w:rsidRPr="00202E2A" w:rsidRDefault="009B6A68"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ولا شك أن تبسيط الإجراءات التجارية يعزز التنافسية الاقتصادية من خلال خفض التكاليف والوقت، ويدعم التكامل بين الأسواق المحلية والعالمية، مع تعزيز الأمن السيبراني لحماية البيانات المالية وضمان سلامة المعاملات. كما أن تطبيق هذه التقنيات يحد من الفساد المرتبط بالإجراءات اليدوية، ويفتح آفاقاً جديدةً لتحفيز الاستثمارات وبناء شراكات دولية فاعلة</w:t>
      </w:r>
      <w:r w:rsidRPr="00202E2A">
        <w:rPr>
          <w:rFonts w:asciiTheme="majorBidi" w:hAnsiTheme="majorBidi" w:cstheme="majorBidi"/>
          <w:sz w:val="26"/>
          <w:szCs w:val="26"/>
          <w:lang w:bidi="ar-EG"/>
        </w:rPr>
        <w:t xml:space="preserve"> Across All Sectors</w:t>
      </w:r>
      <w:r w:rsidRPr="00202E2A">
        <w:rPr>
          <w:rFonts w:asciiTheme="majorBidi" w:hAnsiTheme="majorBidi" w:cstheme="majorBidi"/>
          <w:sz w:val="26"/>
          <w:szCs w:val="26"/>
          <w:rtl/>
          <w:lang w:bidi="ar-EG"/>
        </w:rPr>
        <w:t>، مما يخلق تحولاتٍ استثنائية في بيئة الأعمال العالمية</w:t>
      </w:r>
      <w:r w:rsidRPr="00202E2A">
        <w:rPr>
          <w:rFonts w:asciiTheme="majorBidi" w:hAnsiTheme="majorBidi" w:cstheme="majorBidi"/>
          <w:sz w:val="26"/>
          <w:szCs w:val="26"/>
          <w:lang w:bidi="ar-EG"/>
        </w:rPr>
        <w:t>.</w:t>
      </w:r>
    </w:p>
    <w:p w14:paraId="511EBB60" w14:textId="4B5A80B2" w:rsidR="0087067E" w:rsidRPr="00202E2A" w:rsidRDefault="0044433A"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في حين </w:t>
      </w:r>
      <w:r w:rsidR="0021505E" w:rsidRPr="00202E2A">
        <w:rPr>
          <w:rFonts w:asciiTheme="majorBidi" w:hAnsiTheme="majorBidi" w:cstheme="majorBidi"/>
          <w:sz w:val="26"/>
          <w:szCs w:val="26"/>
          <w:rtl/>
          <w:lang w:bidi="ar-EG"/>
        </w:rPr>
        <w:t xml:space="preserve">يناقش </w:t>
      </w:r>
      <w:r w:rsidR="0021505E" w:rsidRPr="00202E2A">
        <w:rPr>
          <w:rFonts w:asciiTheme="majorBidi" w:hAnsiTheme="majorBidi" w:cstheme="majorBidi"/>
          <w:sz w:val="26"/>
          <w:szCs w:val="26"/>
          <w:lang w:bidi="ar-EG"/>
        </w:rPr>
        <w:t>Smith, A. ,2020)</w:t>
      </w:r>
      <w:r w:rsidR="0021505E"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دور تعزيز الأمن السيبراني وتيسير التجارة في دعم الكفاءة التشغيلية والعلاقات الدولية بالمؤسسات الحكومية، يُعدّ تعزيز الأمن السيبراني وتيسير التجارة ركيزتين حاسمتين لبناء بيئة تجارية آمنة وفعّالة، حيث يساهمان معًا في تمكين التبادلات الدولية وتعزيز الثقة بين الشركاء العالميين. ففي ظل التهديدات الإلكترونية المتزايدة التي تستهدف سلاسل التوريد والأنظمة المالية، أصبح اعتماد تقنيات حماية متطورة مثل أنظمة التشفير المُحكمة، وبرامج الكشف عن الاختراقات باستخدام الذكاء الاصطناعي، وآليات المراقبة الوقائية، ضرورةً لضمان سلامة البيانات التجارية الحساسة وحماية البنى التحتية اللوجستية</w:t>
      </w:r>
      <w:r w:rsidR="0087067E" w:rsidRPr="00202E2A">
        <w:rPr>
          <w:rFonts w:asciiTheme="majorBidi" w:hAnsiTheme="majorBidi" w:cstheme="majorBidi"/>
          <w:sz w:val="26"/>
          <w:szCs w:val="26"/>
          <w:lang w:bidi="ar-EG"/>
        </w:rPr>
        <w:t>.</w:t>
      </w:r>
    </w:p>
    <w:p w14:paraId="64056A15" w14:textId="6D0FFF1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من ناحية أخرى، يُسهم تيسير التجارة في تبسيط الإجراءات الجمركية وتقليل الحواجز البيروقراطية عبر منصات رقمية موحدة، مما يعزز انسيابية حركة السلع والخدمات عبر الحدود. ويتجلى هذا في اعتماد أنظمة التخليص الجمركي الآلي، وتقنيات تتبع الشحنات الذكية، وآليات الدفع الإلكتروني الموثوقة، والتي تسرع العمليات التجارية وتخفض التكاليف. كما أن تعزيز الأمن السيبراني يُقلل من مخاطر القرصنة الإلكترونية على المعاملات المالية، مما يعزّك ثقة المستثمرين ويدعم الشراكات الدولية</w:t>
      </w:r>
      <w:r w:rsidRPr="00202E2A">
        <w:rPr>
          <w:rFonts w:asciiTheme="majorBidi" w:hAnsiTheme="majorBidi" w:cstheme="majorBidi"/>
          <w:sz w:val="26"/>
          <w:szCs w:val="26"/>
          <w:lang w:bidi="ar-EG"/>
        </w:rPr>
        <w:t>.</w:t>
      </w:r>
    </w:p>
    <w:p w14:paraId="7F2E9438" w14:textId="42F0CFE6"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ولا تنفصل هذه الجهود عن تعزيز العلاقات التجارية الدولية، حيث تتبنى الحكومات معايير موحدة للتوافق مع الاتفاقيات العالمية مثل اتفاقية منظمة التجارة العالمية لتيسير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وتعمل على بناء شبكات تعاون مع المنظمات الدولية لمواءمة التشريعات وتبادل الخبرات الأمنية. هذه التكاملية بين الأمن السيبراني وتيسير التجارة تُرسي أساسًا متينًا لاقتصادٍ عالميٍ أكثر شمولية وقدرة على مواجهة التحديات المشتركة، مما يُحفز النمو الاقتصادي ويُعزز مكانة الدول في الأسواق العالمية.</w:t>
      </w:r>
    </w:p>
    <w:p w14:paraId="48C02A57" w14:textId="217DA1F2"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00A62CCB" w:rsidRPr="00202E2A">
        <w:rPr>
          <w:rFonts w:asciiTheme="majorBidi" w:hAnsiTheme="majorBidi" w:cstheme="majorBidi"/>
          <w:sz w:val="26"/>
          <w:szCs w:val="26"/>
          <w:rtl/>
          <w:lang w:bidi="ar-EG"/>
        </w:rPr>
        <w:t>وعلى صعيد آخر</w:t>
      </w:r>
      <w:r w:rsidR="000A6B81"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يتناول</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 xml:space="preserve">تقرير </w:t>
      </w:r>
      <w:r w:rsidR="0037744D" w:rsidRPr="00202E2A">
        <w:rPr>
          <w:rFonts w:asciiTheme="majorBidi" w:hAnsiTheme="majorBidi" w:cstheme="majorBidi"/>
          <w:sz w:val="26"/>
          <w:szCs w:val="26"/>
          <w:rtl/>
          <w:lang w:bidi="ar-EG"/>
        </w:rPr>
        <w:t xml:space="preserve">(هيئة </w:t>
      </w:r>
      <w:r w:rsidR="00A47741" w:rsidRPr="00202E2A">
        <w:rPr>
          <w:rFonts w:asciiTheme="majorBidi" w:hAnsiTheme="majorBidi" w:cstheme="majorBidi"/>
          <w:sz w:val="26"/>
          <w:szCs w:val="26"/>
          <w:rtl/>
          <w:lang w:bidi="ar-EG"/>
        </w:rPr>
        <w:t>الزكاة والضريبية والجمارك</w:t>
      </w:r>
      <w:r w:rsidR="0037744D" w:rsidRPr="00202E2A">
        <w:rPr>
          <w:rFonts w:asciiTheme="majorBidi" w:hAnsiTheme="majorBidi" w:cstheme="majorBidi"/>
          <w:sz w:val="26"/>
          <w:szCs w:val="26"/>
          <w:rtl/>
          <w:lang w:bidi="ar-EG"/>
        </w:rPr>
        <w:t>،</w:t>
      </w:r>
      <w:r w:rsidR="00810178" w:rsidRPr="00202E2A">
        <w:rPr>
          <w:rFonts w:asciiTheme="majorBidi" w:hAnsiTheme="majorBidi" w:cstheme="majorBidi"/>
          <w:sz w:val="26"/>
          <w:szCs w:val="26"/>
          <w:lang w:bidi="ar-EG"/>
        </w:rPr>
        <w:t>2023</w:t>
      </w:r>
      <w:r w:rsidR="0037744D"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دور تعزيز الأمن السيبراني وتيسير التجارة في تعزيز الاقتصاد الوطني للمملكة العربية السعودية، حيث تسهم مبادرات تعزيز الأمن السيبراني في حماية الركائز الاقتصادية الحيوية للمملكة العربية السعودية، مثل قطاعات الطاقة والتمويل والخدمات اللوجستية. فمن خلال اعتماد تقنيات متطورة كأنظمة التشفير الآمنة، وبرامج الكشف المبكر عن التهديدات باستخدام الذكاء الاصطناعي، تُصان سلامة البيانات المالية والتجارية من الاختراقات، مما يُعزز ثقة المستثمرين المحليين والدوليين. وتُشير تقديرات محلية إلى أن هذه الإجراءات تساهم في توفير مليارات الريالات سنويًّا كانت تُهدر جراء الهجمات الإلكترونية، مما ينعكس إيجابًا على استقرار البيئة الاستثمارية وجاذبيتها</w:t>
      </w:r>
      <w:r w:rsidRPr="00202E2A">
        <w:rPr>
          <w:rFonts w:asciiTheme="majorBidi" w:hAnsiTheme="majorBidi" w:cstheme="majorBidi"/>
          <w:sz w:val="26"/>
          <w:szCs w:val="26"/>
          <w:lang w:bidi="ar-EG"/>
        </w:rPr>
        <w:t xml:space="preserve">.  </w:t>
      </w:r>
    </w:p>
    <w:p w14:paraId="208487CB" w14:textId="4D1E7A0F"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ومن ناحية أخري</w:t>
      </w:r>
      <w:r w:rsidR="0087067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يشير تقرير </w:t>
      </w:r>
      <w:r w:rsidR="004237DD" w:rsidRPr="00202E2A">
        <w:rPr>
          <w:rFonts w:asciiTheme="majorBidi" w:hAnsiTheme="majorBidi" w:cstheme="majorBidi"/>
          <w:sz w:val="26"/>
          <w:szCs w:val="26"/>
          <w:rtl/>
          <w:lang w:bidi="ar-EG"/>
        </w:rPr>
        <w:t xml:space="preserve">(الهيئة العامة للإحصاء، </w:t>
      </w:r>
      <w:r w:rsidR="00810178" w:rsidRPr="00202E2A">
        <w:rPr>
          <w:rFonts w:asciiTheme="majorBidi" w:hAnsiTheme="majorBidi" w:cstheme="majorBidi"/>
          <w:sz w:val="26"/>
          <w:szCs w:val="26"/>
          <w:lang w:bidi="ar-EG"/>
        </w:rPr>
        <w:t>2023</w:t>
      </w:r>
      <w:r w:rsidR="004237D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Pr="00202E2A">
        <w:rPr>
          <w:rFonts w:asciiTheme="majorBidi" w:hAnsiTheme="majorBidi" w:cstheme="majorBidi"/>
          <w:sz w:val="26"/>
          <w:szCs w:val="26"/>
          <w:rtl/>
          <w:lang w:bidi="ar-EG"/>
        </w:rPr>
        <w:t xml:space="preserve">تمثل </w:t>
      </w:r>
      <w:r w:rsidR="0087067E" w:rsidRPr="00202E2A">
        <w:rPr>
          <w:rFonts w:asciiTheme="majorBidi" w:hAnsiTheme="majorBidi" w:cstheme="majorBidi"/>
          <w:sz w:val="26"/>
          <w:szCs w:val="26"/>
          <w:rtl/>
          <w:lang w:bidi="ar-EG"/>
        </w:rPr>
        <w:t xml:space="preserve">نموذجًا رائدًا في تبسيط الإجراءات الجمركية وتقليل التعقيدات البيروقراطية عبر منصات إلكترونية متكاملة، مثل النافذة الجمركية الموحدة التي تربط أكثر من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 xml:space="preserve"> جهة حكومية، مما يختصر الوقت المطلوب للإفراج عن البضائع بنسبة تصل إلى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w:t>
      </w:r>
      <w:r w:rsidRPr="00202E2A">
        <w:rPr>
          <w:rFonts w:asciiTheme="majorBidi" w:hAnsiTheme="majorBidi" w:cstheme="majorBidi"/>
          <w:sz w:val="26"/>
          <w:szCs w:val="26"/>
          <w:rtl/>
          <w:lang w:bidi="ar-EG"/>
        </w:rPr>
        <w:t>،</w:t>
      </w:r>
      <w:r w:rsidR="0087067E" w:rsidRPr="00202E2A">
        <w:rPr>
          <w:rFonts w:asciiTheme="majorBidi" w:hAnsiTheme="majorBidi" w:cstheme="majorBidi"/>
          <w:sz w:val="26"/>
          <w:szCs w:val="26"/>
          <w:rtl/>
          <w:lang w:bidi="ar-EG"/>
        </w:rPr>
        <w:t xml:space="preserve"> كما تدعم مبادرات مثل منصة "معروف" ربط المصدرين السعوديين بأسواق عالمية، مما أسهم في ارتفاع الصادرات غير النفطية بنسبة </w:t>
      </w:r>
      <w:r w:rsidR="00810178" w:rsidRPr="00202E2A">
        <w:rPr>
          <w:rFonts w:asciiTheme="majorBidi" w:hAnsiTheme="majorBidi" w:cstheme="majorBidi"/>
          <w:sz w:val="26"/>
          <w:szCs w:val="26"/>
          <w:lang w:bidi="ar-EG"/>
        </w:rPr>
        <w:t>34</w:t>
      </w:r>
      <w:r w:rsidR="0087067E" w:rsidRPr="00202E2A">
        <w:rPr>
          <w:rFonts w:asciiTheme="majorBidi" w:hAnsiTheme="majorBidi" w:cstheme="majorBidi"/>
          <w:sz w:val="26"/>
          <w:szCs w:val="26"/>
          <w:rtl/>
          <w:lang w:bidi="ar-EG"/>
        </w:rPr>
        <w:t xml:space="preserve">% خلال عام </w:t>
      </w:r>
      <w:r w:rsidR="00810178" w:rsidRPr="00202E2A">
        <w:rPr>
          <w:rFonts w:asciiTheme="majorBidi" w:hAnsiTheme="majorBidi" w:cstheme="majorBidi"/>
          <w:sz w:val="26"/>
          <w:szCs w:val="26"/>
          <w:lang w:bidi="ar-EG"/>
        </w:rPr>
        <w:t>2023</w:t>
      </w:r>
      <w:r w:rsidR="0087067E" w:rsidRPr="00202E2A">
        <w:rPr>
          <w:rFonts w:asciiTheme="majorBidi" w:hAnsiTheme="majorBidi" w:cstheme="majorBidi"/>
          <w:sz w:val="26"/>
          <w:szCs w:val="26"/>
          <w:rtl/>
          <w:lang w:bidi="ar-EG"/>
        </w:rPr>
        <w:t>، وفقًا للهيئة العامة للإحصاء. وتُسهم تقنيات تتبع الشحنات عبر تقنيات مبتكرة في ضمان شفافية سلاسل التوريد، مما يُعزز مكانة المملكة كمركز لوجستي عالمي</w:t>
      </w:r>
      <w:r w:rsidR="0087067E" w:rsidRPr="00202E2A">
        <w:rPr>
          <w:rFonts w:asciiTheme="majorBidi" w:hAnsiTheme="majorBidi" w:cstheme="majorBidi"/>
          <w:sz w:val="26"/>
          <w:szCs w:val="26"/>
          <w:lang w:bidi="ar-EG"/>
        </w:rPr>
        <w:t xml:space="preserve">.  </w:t>
      </w:r>
    </w:p>
    <w:p w14:paraId="4A22BF43" w14:textId="7777777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يخلق التعاون بين الجهات الأمنية والتجارية بيئةً موثوقةً للشراكات الدولية، حيث تُقلل الإجراءات الوقائية من المخاطر الإلكترونية على البنى التحتية التجارية، مثل شبكات النقل والأنظمة المالية. وقد ساهم هذا التكامل في جذب </w:t>
      </w:r>
      <w:r w:rsidRPr="00202E2A">
        <w:rPr>
          <w:rFonts w:asciiTheme="majorBidi" w:hAnsiTheme="majorBidi" w:cstheme="majorBidi"/>
          <w:sz w:val="26"/>
          <w:szCs w:val="26"/>
          <w:rtl/>
          <w:lang w:bidi="ar-EG"/>
        </w:rPr>
        <w:lastRenderedPageBreak/>
        <w:t>شراكات استراتيجية مع كيانات دولية كبرى، وتعزيز التصنيف الائتماني للمملكة كوجهة آمنة للاستثمار، وفقًا لتقارير مؤسسات تصنيف عالمية</w:t>
      </w:r>
      <w:r w:rsidRPr="00202E2A">
        <w:rPr>
          <w:rFonts w:asciiTheme="majorBidi" w:hAnsiTheme="majorBidi" w:cstheme="majorBidi"/>
          <w:sz w:val="26"/>
          <w:szCs w:val="26"/>
          <w:lang w:bidi="ar-EG"/>
        </w:rPr>
        <w:t xml:space="preserve">.  </w:t>
      </w:r>
    </w:p>
    <w:p w14:paraId="6987F3F5" w14:textId="1FFFCB24"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 تقرير</w:t>
      </w:r>
      <w:r w:rsidR="00F55EBD" w:rsidRPr="00202E2A">
        <w:rPr>
          <w:rFonts w:asciiTheme="majorBidi" w:hAnsiTheme="majorBidi" w:cstheme="majorBidi"/>
          <w:sz w:val="26"/>
          <w:szCs w:val="26"/>
          <w:rtl/>
        </w:rPr>
        <w:t xml:space="preserve"> (</w:t>
      </w:r>
      <w:r w:rsidR="00F55EBD" w:rsidRPr="00202E2A">
        <w:rPr>
          <w:rFonts w:asciiTheme="majorBidi" w:hAnsiTheme="majorBidi" w:cstheme="majorBidi"/>
          <w:sz w:val="26"/>
          <w:szCs w:val="26"/>
          <w:rtl/>
          <w:lang w:bidi="ar-EG"/>
        </w:rPr>
        <w:t xml:space="preserve">منظمة التجارة العالمية، </w:t>
      </w:r>
      <w:r w:rsidR="00810178" w:rsidRPr="00202E2A">
        <w:rPr>
          <w:rFonts w:asciiTheme="majorBidi" w:hAnsiTheme="majorBidi" w:cstheme="majorBidi"/>
          <w:sz w:val="26"/>
          <w:szCs w:val="26"/>
          <w:lang w:bidi="ar-EG"/>
        </w:rPr>
        <w:t>2023</w:t>
      </w:r>
      <w:r w:rsidR="00F55EB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00F55EBD" w:rsidRPr="00202E2A">
        <w:rPr>
          <w:rFonts w:asciiTheme="majorBidi" w:hAnsiTheme="majorBidi" w:cstheme="majorBidi"/>
          <w:sz w:val="26"/>
          <w:szCs w:val="26"/>
          <w:rtl/>
          <w:lang w:bidi="ar-EG"/>
        </w:rPr>
        <w:t xml:space="preserve">تعمل </w:t>
      </w:r>
      <w:r w:rsidR="0087067E" w:rsidRPr="00202E2A">
        <w:rPr>
          <w:rFonts w:asciiTheme="majorBidi" w:hAnsiTheme="majorBidi" w:cstheme="majorBidi"/>
          <w:sz w:val="26"/>
          <w:szCs w:val="26"/>
          <w:rtl/>
          <w:lang w:bidi="ar-EG"/>
        </w:rPr>
        <w:t>على توحيد معاييرها التشريعية مع الاتفاقيات العالمية، مثل اتفاقية منظمة التجارة العالمية لتيسير التجارة</w:t>
      </w:r>
      <w:r w:rsidR="0087067E" w:rsidRPr="00202E2A">
        <w:rPr>
          <w:rFonts w:asciiTheme="majorBidi" w:hAnsiTheme="majorBidi" w:cstheme="majorBidi"/>
          <w:sz w:val="26"/>
          <w:szCs w:val="26"/>
          <w:lang w:bidi="ar-EG"/>
        </w:rPr>
        <w:t xml:space="preserve"> (TFA)</w:t>
      </w:r>
      <w:r w:rsidR="004237DD" w:rsidRPr="00202E2A">
        <w:rPr>
          <w:rFonts w:asciiTheme="majorBidi" w:hAnsiTheme="majorBidi" w:cstheme="majorBidi"/>
          <w:sz w:val="26"/>
          <w:szCs w:val="26"/>
          <w:lang w:bidi="ar-EG"/>
        </w:rPr>
        <w:t xml:space="preserve"> </w:t>
      </w:r>
      <w:r w:rsidR="0087067E" w:rsidRPr="00202E2A">
        <w:rPr>
          <w:rFonts w:asciiTheme="majorBidi" w:hAnsiTheme="majorBidi" w:cstheme="majorBidi"/>
          <w:sz w:val="26"/>
          <w:szCs w:val="26"/>
          <w:rtl/>
          <w:lang w:bidi="ar-EG"/>
        </w:rPr>
        <w:t xml:space="preserve">، وتتعاون مع منظمات دولية لتبادل الخبرات في مجالات الحماية الأمنية والتجارية. هذا الانسجام يُعزز اندماج الاقتصاد السعودي في الأسواق العالمية، ويدعم تحقيق مستهدفات رؤية </w:t>
      </w:r>
      <w:r w:rsidR="00364A1E" w:rsidRPr="00202E2A">
        <w:rPr>
          <w:rFonts w:asciiTheme="majorBidi" w:hAnsiTheme="majorBidi" w:cstheme="majorBidi"/>
          <w:sz w:val="26"/>
          <w:szCs w:val="26"/>
          <w:lang w:bidi="ar-EG"/>
        </w:rPr>
        <w:t xml:space="preserve"> 2030 </w:t>
      </w:r>
      <w:r w:rsidR="0087067E" w:rsidRPr="00202E2A">
        <w:rPr>
          <w:rFonts w:asciiTheme="majorBidi" w:hAnsiTheme="majorBidi" w:cstheme="majorBidi"/>
          <w:sz w:val="26"/>
          <w:szCs w:val="26"/>
          <w:rtl/>
          <w:lang w:bidi="ar-EG"/>
        </w:rPr>
        <w:t xml:space="preserve">الطموحة، التي تهدف إلى رفع مساهمة القطاع الخاص في الناتج المحلي إلى </w:t>
      </w:r>
      <w:r w:rsidR="00364A1E" w:rsidRPr="00202E2A">
        <w:rPr>
          <w:rFonts w:asciiTheme="majorBidi" w:hAnsiTheme="majorBidi" w:cstheme="majorBidi"/>
          <w:sz w:val="26"/>
          <w:szCs w:val="26"/>
          <w:lang w:bidi="ar-EG"/>
        </w:rPr>
        <w:t>65</w:t>
      </w:r>
      <w:r w:rsidR="0087067E" w:rsidRPr="00202E2A">
        <w:rPr>
          <w:rFonts w:asciiTheme="majorBidi" w:hAnsiTheme="majorBidi" w:cstheme="majorBidi"/>
          <w:sz w:val="26"/>
          <w:szCs w:val="26"/>
          <w:rtl/>
          <w:lang w:bidi="ar-EG"/>
        </w:rPr>
        <w:t>%، وتنويع مصادر الدخل عبر قطاعات واعدة مثل الصناعة والسياحة</w:t>
      </w:r>
      <w:r w:rsidR="0087067E" w:rsidRPr="00202E2A">
        <w:rPr>
          <w:rFonts w:asciiTheme="majorBidi" w:hAnsiTheme="majorBidi" w:cstheme="majorBidi"/>
          <w:sz w:val="26"/>
          <w:szCs w:val="26"/>
          <w:lang w:bidi="ar-EG"/>
        </w:rPr>
        <w:t xml:space="preserve">.  </w:t>
      </w:r>
    </w:p>
    <w:p w14:paraId="6AF58FCE" w14:textId="6228CDDC" w:rsidR="0037744D"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ويؤكد تقرير </w:t>
      </w:r>
      <w:r w:rsidR="004237DD" w:rsidRPr="00202E2A">
        <w:rPr>
          <w:rFonts w:asciiTheme="majorBidi" w:hAnsiTheme="majorBidi" w:cstheme="majorBidi"/>
          <w:sz w:val="26"/>
          <w:szCs w:val="26"/>
          <w:rtl/>
          <w:lang w:bidi="ar-EG"/>
        </w:rPr>
        <w:t xml:space="preserve">(الهيئة الوطنية للأمن السيبراني، </w:t>
      </w:r>
      <w:r w:rsidR="00810178" w:rsidRPr="00202E2A">
        <w:rPr>
          <w:rFonts w:asciiTheme="majorBidi" w:hAnsiTheme="majorBidi" w:cstheme="majorBidi"/>
          <w:sz w:val="26"/>
          <w:szCs w:val="26"/>
          <w:lang w:bidi="ar-EG"/>
        </w:rPr>
        <w:t>2022</w:t>
      </w:r>
      <w:r w:rsidR="004237DD" w:rsidRPr="00202E2A">
        <w:rPr>
          <w:rFonts w:asciiTheme="majorBidi" w:hAnsiTheme="majorBidi" w:cstheme="majorBidi"/>
          <w:sz w:val="26"/>
          <w:szCs w:val="26"/>
          <w:rtl/>
          <w:lang w:bidi="ar-EG"/>
        </w:rPr>
        <w:t>) تمثل</w:t>
      </w:r>
      <w:r w:rsidR="0087067E" w:rsidRPr="00202E2A">
        <w:rPr>
          <w:rFonts w:asciiTheme="majorBidi" w:hAnsiTheme="majorBidi" w:cstheme="majorBidi"/>
          <w:sz w:val="26"/>
          <w:szCs w:val="26"/>
          <w:rtl/>
          <w:lang w:bidi="ar-EG"/>
        </w:rPr>
        <w:t xml:space="preserve"> الجهود المبذولة في تعزيز الأمن السيبراني وتيسير التجارة استثمارًا نوعيًّا في مستقبل الاقتصاد السعودي، حيث تُسهم هذه الركائز في بناء نموذج اقتصادي مرن قادر على مواجهة التحديات العالمية، وتعزيز موقع المملكة كجسر تجاري آمن بين الأسواق الآسيوية والأوروبية والأفريقية. وبدمج التقنيات الحديثة مع السياسات الاقتصادية الذكية، تُرسي السعودية أساسًا متينًا لاقتصادٍ مزدهرٍ يعتمد على الابتكار والشفافية والانفتاح العالمي.</w:t>
      </w:r>
    </w:p>
    <w:p w14:paraId="1C514AE5" w14:textId="08EF9A0D" w:rsidR="0044433A" w:rsidRPr="00202E2A" w:rsidRDefault="00A62CCB"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ويري الباحث</w:t>
      </w:r>
      <w:r w:rsidRPr="00202E2A">
        <w:rPr>
          <w:rFonts w:asciiTheme="majorBidi" w:hAnsiTheme="majorBidi" w:cstheme="majorBidi"/>
          <w:sz w:val="26"/>
          <w:szCs w:val="26"/>
          <w:rtl/>
          <w:lang w:bidi="ar-EG"/>
        </w:rPr>
        <w:t xml:space="preserve"> أنه بهذا التكامل بين تعزيز الأمن السيبراني وتيسير التجارة، يُحقق التحول الرقمي نقلة نوعية تضمن ليس فقط حماية المعلومات والحفاظ على البنى التحتية، </w:t>
      </w:r>
      <w:r w:rsidR="004854A7" w:rsidRPr="00202E2A">
        <w:rPr>
          <w:rFonts w:asciiTheme="majorBidi" w:hAnsiTheme="majorBidi" w:cstheme="majorBidi"/>
          <w:sz w:val="26"/>
          <w:szCs w:val="26"/>
          <w:rtl/>
          <w:lang w:bidi="ar-EG"/>
        </w:rPr>
        <w:t xml:space="preserve">بالإضافة إلي </w:t>
      </w:r>
      <w:r w:rsidRPr="00202E2A">
        <w:rPr>
          <w:rFonts w:asciiTheme="majorBidi" w:hAnsiTheme="majorBidi" w:cstheme="majorBidi"/>
          <w:sz w:val="26"/>
          <w:szCs w:val="26"/>
          <w:rtl/>
          <w:lang w:bidi="ar-EG"/>
        </w:rPr>
        <w:t>وتوفير بيئة عمل تجارية محفزة للنمو والابتكار.</w:t>
      </w:r>
    </w:p>
    <w:p w14:paraId="60D9C03B" w14:textId="0BE870DD"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w:t>
      </w:r>
      <w:r w:rsidR="00991D09" w:rsidRPr="00202E2A">
        <w:rPr>
          <w:rFonts w:asciiTheme="majorBidi" w:hAnsiTheme="majorBidi" w:cstheme="majorBidi"/>
          <w:sz w:val="26"/>
          <w:szCs w:val="26"/>
          <w:rtl/>
          <w:lang w:bidi="ar-EG"/>
        </w:rPr>
        <w:t>د</w:t>
      </w:r>
      <w:r w:rsidR="00261D58" w:rsidRPr="00202E2A">
        <w:rPr>
          <w:rFonts w:asciiTheme="majorBidi" w:hAnsiTheme="majorBidi" w:cstheme="majorBidi"/>
          <w:sz w:val="26"/>
          <w:szCs w:val="26"/>
          <w:lang w:bidi="ar-EG"/>
        </w:rPr>
        <w:t>Westerman, G., Bonnet, D., &amp; McAfee, A. ,2014)</w:t>
      </w:r>
      <w:r w:rsidR="00261D58"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w:t>
      </w:r>
      <w:r w:rsidR="00C55BA8" w:rsidRPr="00202E2A">
        <w:rPr>
          <w:rFonts w:asciiTheme="majorBidi" w:hAnsiTheme="majorBidi" w:cstheme="majorBidi"/>
          <w:sz w:val="26"/>
          <w:szCs w:val="26"/>
          <w:rtl/>
          <w:lang w:bidi="ar-EG"/>
        </w:rPr>
        <w:t xml:space="preserve">أن الدور المحوري للتحول الرقمي في إدارة التغيير داخل المؤسسات، مؤكدًا على أهمية </w:t>
      </w:r>
      <w:r w:rsidR="00575934" w:rsidRPr="00202E2A">
        <w:rPr>
          <w:rFonts w:asciiTheme="majorBidi" w:hAnsiTheme="majorBidi" w:cstheme="majorBidi"/>
          <w:sz w:val="26"/>
          <w:szCs w:val="26"/>
          <w:rtl/>
          <w:lang w:bidi="ar-EG"/>
        </w:rPr>
        <w:t>تأثير اتجاهات القادة</w:t>
      </w:r>
      <w:r w:rsidR="00C55BA8" w:rsidRPr="00202E2A">
        <w:rPr>
          <w:rFonts w:asciiTheme="majorBidi" w:hAnsiTheme="majorBidi" w:cstheme="majorBidi"/>
          <w:sz w:val="26"/>
          <w:szCs w:val="26"/>
          <w:rtl/>
          <w:lang w:bidi="ar-EG"/>
        </w:rPr>
        <w:t xml:space="preserve"> الملهمة وتمكين العاملين من التكيف مع التقنيات المتقدمة</w:t>
      </w:r>
      <w:r w:rsidR="00575934" w:rsidRPr="00202E2A">
        <w:rPr>
          <w:rFonts w:asciiTheme="majorBidi" w:hAnsiTheme="majorBidi" w:cstheme="majorBidi"/>
          <w:sz w:val="26"/>
          <w:szCs w:val="26"/>
          <w:rtl/>
          <w:lang w:bidi="ar-EG"/>
        </w:rPr>
        <w:t>، ويوضح أيضاً أهمية</w:t>
      </w:r>
      <w:r w:rsidR="00A55F20" w:rsidRPr="00202E2A">
        <w:rPr>
          <w:rFonts w:asciiTheme="majorBidi" w:hAnsiTheme="majorBidi" w:cstheme="majorBidi"/>
          <w:sz w:val="26"/>
          <w:szCs w:val="26"/>
          <w:rtl/>
          <w:lang w:bidi="ar-EG"/>
        </w:rPr>
        <w:t xml:space="preserve"> التحول الرقمي </w:t>
      </w:r>
      <w:r w:rsidR="00575934" w:rsidRPr="00202E2A">
        <w:rPr>
          <w:rFonts w:asciiTheme="majorBidi" w:hAnsiTheme="majorBidi" w:cstheme="majorBidi"/>
          <w:sz w:val="26"/>
          <w:szCs w:val="26"/>
          <w:rtl/>
          <w:lang w:bidi="ar-EG"/>
        </w:rPr>
        <w:t xml:space="preserve">حيث </w:t>
      </w:r>
      <w:r w:rsidR="00A55F20"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لعب دورًا محوريًا في إدارة التغيير داخل المؤسسات، حيث يعتمد نجاح أي عملية تغيير على قدرة </w:t>
      </w:r>
      <w:r w:rsidR="00A55F20" w:rsidRPr="00202E2A">
        <w:rPr>
          <w:rFonts w:asciiTheme="majorBidi" w:hAnsiTheme="majorBidi" w:cstheme="majorBidi"/>
          <w:sz w:val="26"/>
          <w:szCs w:val="26"/>
          <w:rtl/>
          <w:lang w:bidi="ar-EG"/>
        </w:rPr>
        <w:t>المؤسسة</w:t>
      </w:r>
      <w:r w:rsidR="0044433A" w:rsidRPr="00202E2A">
        <w:rPr>
          <w:rFonts w:asciiTheme="majorBidi" w:hAnsiTheme="majorBidi" w:cstheme="majorBidi"/>
          <w:sz w:val="26"/>
          <w:szCs w:val="26"/>
          <w:rtl/>
          <w:lang w:bidi="ar-EG"/>
        </w:rPr>
        <w:t xml:space="preserve"> على إلهام الأفراد وقيادتهم نحو تبني الرؤية الجديدة</w:t>
      </w:r>
      <w:r w:rsidR="00A55F20" w:rsidRPr="00202E2A">
        <w:rPr>
          <w:rFonts w:asciiTheme="majorBidi" w:hAnsiTheme="majorBidi" w:cstheme="majorBidi"/>
          <w:sz w:val="26"/>
          <w:szCs w:val="26"/>
          <w:rtl/>
          <w:lang w:bidi="ar-EG"/>
        </w:rPr>
        <w:t xml:space="preserve"> للتغير نحو التحول الرقمي الفعال،</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ويوضح أن</w:t>
      </w:r>
      <w:r w:rsidR="006D3EE5" w:rsidRPr="00202E2A">
        <w:rPr>
          <w:rFonts w:asciiTheme="majorBidi" w:hAnsiTheme="majorBidi" w:cstheme="majorBidi"/>
          <w:sz w:val="26"/>
          <w:szCs w:val="26"/>
          <w:rtl/>
          <w:lang w:bidi="ar-EG"/>
        </w:rPr>
        <w:t>ه</w:t>
      </w:r>
      <w:r w:rsidR="00A55F20" w:rsidRPr="00202E2A">
        <w:rPr>
          <w:rFonts w:asciiTheme="majorBidi" w:hAnsiTheme="majorBidi" w:cstheme="majorBidi"/>
          <w:sz w:val="26"/>
          <w:szCs w:val="26"/>
          <w:rtl/>
          <w:lang w:bidi="ar-EG"/>
        </w:rPr>
        <w:t xml:space="preserve"> علي المؤسسات أن</w:t>
      </w:r>
      <w:r w:rsidR="0044433A" w:rsidRPr="00202E2A">
        <w:rPr>
          <w:rFonts w:asciiTheme="majorBidi" w:hAnsiTheme="majorBidi" w:cstheme="majorBidi"/>
          <w:sz w:val="26"/>
          <w:szCs w:val="26"/>
          <w:rtl/>
          <w:lang w:bidi="ar-EG"/>
        </w:rPr>
        <w:t xml:space="preserve"> تحفيز </w:t>
      </w:r>
      <w:r w:rsidR="00A55F20" w:rsidRPr="00202E2A">
        <w:rPr>
          <w:rFonts w:asciiTheme="majorBidi" w:hAnsiTheme="majorBidi" w:cstheme="majorBidi"/>
          <w:sz w:val="26"/>
          <w:szCs w:val="26"/>
          <w:rtl/>
          <w:lang w:bidi="ar-EG"/>
        </w:rPr>
        <w:t>العاملين</w:t>
      </w:r>
      <w:r w:rsidR="0044433A" w:rsidRPr="00202E2A">
        <w:rPr>
          <w:rFonts w:asciiTheme="majorBidi" w:hAnsiTheme="majorBidi" w:cstheme="majorBidi"/>
          <w:sz w:val="26"/>
          <w:szCs w:val="26"/>
          <w:rtl/>
          <w:lang w:bidi="ar-EG"/>
        </w:rPr>
        <w:t xml:space="preserve"> وتمكينه</w:t>
      </w:r>
      <w:r w:rsidR="00A55F20" w:rsidRPr="00202E2A">
        <w:rPr>
          <w:rFonts w:asciiTheme="majorBidi" w:hAnsiTheme="majorBidi" w:cstheme="majorBidi"/>
          <w:sz w:val="26"/>
          <w:szCs w:val="26"/>
          <w:rtl/>
          <w:lang w:bidi="ar-EG"/>
        </w:rPr>
        <w:t>م</w:t>
      </w:r>
      <w:r w:rsidR="0044433A" w:rsidRPr="00202E2A">
        <w:rPr>
          <w:rFonts w:asciiTheme="majorBidi" w:hAnsiTheme="majorBidi" w:cstheme="majorBidi"/>
          <w:sz w:val="26"/>
          <w:szCs w:val="26"/>
          <w:rtl/>
          <w:lang w:bidi="ar-EG"/>
        </w:rPr>
        <w:t xml:space="preserve"> من التكيف </w:t>
      </w:r>
      <w:r w:rsidR="00A55F20" w:rsidRPr="00202E2A">
        <w:rPr>
          <w:rFonts w:asciiTheme="majorBidi" w:hAnsiTheme="majorBidi" w:cstheme="majorBidi"/>
          <w:sz w:val="26"/>
          <w:szCs w:val="26"/>
          <w:rtl/>
          <w:lang w:bidi="ar-EG"/>
        </w:rPr>
        <w:t>والتدريب والتعليم علي</w:t>
      </w:r>
      <w:r w:rsidR="0044433A" w:rsidRPr="00202E2A">
        <w:rPr>
          <w:rFonts w:asciiTheme="majorBidi" w:hAnsiTheme="majorBidi" w:cstheme="majorBidi"/>
          <w:sz w:val="26"/>
          <w:szCs w:val="26"/>
          <w:rtl/>
          <w:lang w:bidi="ar-EG"/>
        </w:rPr>
        <w:t xml:space="preserve"> التغييرات</w:t>
      </w:r>
      <w:r w:rsidR="00A55F20" w:rsidRPr="00202E2A">
        <w:rPr>
          <w:rFonts w:asciiTheme="majorBidi" w:hAnsiTheme="majorBidi" w:cstheme="majorBidi"/>
          <w:sz w:val="26"/>
          <w:szCs w:val="26"/>
          <w:rtl/>
          <w:lang w:bidi="ar-EG"/>
        </w:rPr>
        <w:t xml:space="preserve"> التكنولوجيا المتقدمة والمتطورة بشكل مناسب</w:t>
      </w:r>
      <w:r w:rsidR="0044433A" w:rsidRPr="00202E2A">
        <w:rPr>
          <w:rFonts w:asciiTheme="majorBidi" w:hAnsiTheme="majorBidi" w:cstheme="majorBidi"/>
          <w:sz w:val="26"/>
          <w:szCs w:val="26"/>
          <w:rtl/>
          <w:lang w:bidi="ar-EG"/>
        </w:rPr>
        <w:t>، مع الحفاظ على التركيز على الأهداف الاستراتيجية</w:t>
      </w:r>
      <w:r w:rsidR="00A55F20" w:rsidRPr="00202E2A">
        <w:rPr>
          <w:rFonts w:asciiTheme="majorBidi" w:hAnsiTheme="majorBidi" w:cstheme="majorBidi"/>
          <w:sz w:val="26"/>
          <w:szCs w:val="26"/>
          <w:rtl/>
          <w:lang w:bidi="ar-EG"/>
        </w:rPr>
        <w:t xml:space="preserve"> للمؤسسة.</w:t>
      </w:r>
    </w:p>
    <w:p w14:paraId="738DC98A" w14:textId="61174E76"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00A90C06" w:rsidRPr="00202E2A">
        <w:rPr>
          <w:rFonts w:asciiTheme="majorBidi" w:hAnsiTheme="majorBidi" w:cstheme="majorBidi"/>
          <w:sz w:val="26"/>
          <w:szCs w:val="26"/>
          <w:rtl/>
          <w:lang w:bidi="ar-EG"/>
        </w:rPr>
        <w:t xml:space="preserve">تقرير مؤسسة </w:t>
      </w:r>
      <w:r w:rsidR="00A90C06" w:rsidRPr="00202E2A">
        <w:rPr>
          <w:rFonts w:asciiTheme="majorBidi" w:hAnsiTheme="majorBidi" w:cstheme="majorBidi"/>
          <w:sz w:val="26"/>
          <w:szCs w:val="26"/>
          <w:lang w:bidi="ar-EG"/>
        </w:rPr>
        <w:t>(Deloitte., 2020)</w:t>
      </w:r>
      <w:r w:rsidR="00A90C06" w:rsidRPr="00202E2A">
        <w:rPr>
          <w:rFonts w:asciiTheme="majorBidi" w:hAnsiTheme="majorBidi" w:cstheme="majorBidi"/>
          <w:sz w:val="26"/>
          <w:szCs w:val="26"/>
          <w:rtl/>
          <w:lang w:bidi="ar-EG"/>
        </w:rPr>
        <w:t xml:space="preserve"> أن</w:t>
      </w:r>
      <w:r w:rsidR="00326BF2"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تعزيز الأمن السيبراني أو الالكتروني بالمؤسسات يسهم</w:t>
      </w:r>
      <w:r w:rsidR="0044433A" w:rsidRPr="00202E2A">
        <w:rPr>
          <w:rFonts w:asciiTheme="majorBidi" w:hAnsiTheme="majorBidi" w:cstheme="majorBidi"/>
          <w:sz w:val="26"/>
          <w:szCs w:val="26"/>
          <w:rtl/>
          <w:lang w:bidi="ar-EG"/>
        </w:rPr>
        <w:t xml:space="preserve"> في تعزيز الابتكار </w:t>
      </w:r>
      <w:r w:rsidR="00A55F20" w:rsidRPr="00202E2A">
        <w:rPr>
          <w:rFonts w:asciiTheme="majorBidi" w:hAnsiTheme="majorBidi" w:cstheme="majorBidi"/>
          <w:sz w:val="26"/>
          <w:szCs w:val="26"/>
          <w:rtl/>
          <w:lang w:bidi="ar-EG"/>
        </w:rPr>
        <w:t xml:space="preserve">والإنتاج </w:t>
      </w:r>
      <w:r w:rsidR="0044433A" w:rsidRPr="00202E2A">
        <w:rPr>
          <w:rFonts w:asciiTheme="majorBidi" w:hAnsiTheme="majorBidi" w:cstheme="majorBidi"/>
          <w:sz w:val="26"/>
          <w:szCs w:val="26"/>
          <w:rtl/>
          <w:lang w:bidi="ar-EG"/>
        </w:rPr>
        <w:t>داخل المؤسسات من خلال خلق بيئة عمل تشجع على التفكير خارج الصندوق وتقديم أفكار جديدة</w:t>
      </w:r>
      <w:r w:rsidR="00A55F20"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الأمر</w:t>
      </w:r>
      <w:r w:rsidR="0044433A" w:rsidRPr="00202E2A">
        <w:rPr>
          <w:rFonts w:asciiTheme="majorBidi" w:hAnsiTheme="majorBidi" w:cstheme="majorBidi"/>
          <w:sz w:val="26"/>
          <w:szCs w:val="26"/>
          <w:rtl/>
          <w:lang w:bidi="ar-EG"/>
        </w:rPr>
        <w:t xml:space="preserve"> الذي يدعم الابتكار </w:t>
      </w:r>
      <w:r w:rsidR="00A55F20" w:rsidRPr="00202E2A">
        <w:rPr>
          <w:rFonts w:asciiTheme="majorBidi" w:hAnsiTheme="majorBidi" w:cstheme="majorBidi"/>
          <w:sz w:val="26"/>
          <w:szCs w:val="26"/>
          <w:rtl/>
          <w:lang w:bidi="ar-EG"/>
        </w:rPr>
        <w:t xml:space="preserve">الذي </w:t>
      </w:r>
      <w:r w:rsidR="0044433A" w:rsidRPr="00202E2A">
        <w:rPr>
          <w:rFonts w:asciiTheme="majorBidi" w:hAnsiTheme="majorBidi" w:cstheme="majorBidi"/>
          <w:sz w:val="26"/>
          <w:szCs w:val="26"/>
          <w:rtl/>
          <w:lang w:bidi="ar-EG"/>
        </w:rPr>
        <w:t>يعمل على تمكين الموظفين من خلال توفير الموارد اللازمة وتشجيع التجريب والتعلم من الأخطاء</w:t>
      </w:r>
      <w:r w:rsidR="0044433A" w:rsidRPr="00202E2A">
        <w:rPr>
          <w:rFonts w:asciiTheme="majorBidi" w:hAnsiTheme="majorBidi" w:cstheme="majorBidi"/>
          <w:sz w:val="26"/>
          <w:szCs w:val="26"/>
          <w:lang w:bidi="ar-EG"/>
        </w:rPr>
        <w:t xml:space="preserve">. </w:t>
      </w:r>
    </w:p>
    <w:p w14:paraId="5FF8FAF9" w14:textId="3705EF71" w:rsidR="00FB244F" w:rsidRPr="00202E2A" w:rsidRDefault="00A90C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ويعرض تقرير</w:t>
      </w:r>
      <w:r w:rsidRPr="00202E2A">
        <w:rPr>
          <w:rFonts w:asciiTheme="majorBidi" w:hAnsiTheme="majorBidi" w:cstheme="majorBidi"/>
          <w:sz w:val="26"/>
          <w:szCs w:val="26"/>
          <w:lang w:bidi="ar-EG"/>
        </w:rPr>
        <w:t xml:space="preserve">(Zakat, Tax and Customs Authority., 2020) </w:t>
      </w:r>
      <w:r w:rsidR="00E3655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أن الإحصاءات والتطورات في الخدمات الحكومية الإلكترونية بالمملكة، بما في ذلك المبادرات الرقمية في هيئة الزكاة والضريبية والجمارك، ودورها في تحقيق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حيث يشير التقرير إلي أحدث الإحصاءات والتطورات في مجال الخدمات الحكومية الإلكترونية بالمملكة العربية السعودية، مع تسليط الضوء على المبادرات الرقمية التي تطلقها الهيئة، وتشير البيانات إلى تحسن ملحوظ في جودة وعدد الخدمات المقدمة، وهو ما يتوافق مع توجهات المملكة في تعزيز قطاع تكنولوجيا المعلومات والتحول الرقمي. وعلى مستوى المؤسسات الخدمية، وتُعد الهيئة من أوائل الجهات التي شرعت في تطبيق التحول الرقمي عبر جميع خدماتها، مع تحسين أداء فروعها المنتشرة في كافة محافظات المملكة، وقد أسهم هذا التحول في جذب عدد كبير من العملاء وتحقيق أهداف اقتصادية وتقنية واجتماعية، بما يتماشى مع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كما توضح الإحصاءات الدور الحيوي </w:t>
      </w:r>
      <w:r w:rsidR="00FB244F" w:rsidRPr="00202E2A">
        <w:rPr>
          <w:rFonts w:asciiTheme="majorBidi" w:hAnsiTheme="majorBidi" w:cstheme="majorBidi"/>
          <w:sz w:val="26"/>
          <w:szCs w:val="26"/>
          <w:rtl/>
          <w:lang w:bidi="ar-EG"/>
        </w:rPr>
        <w:lastRenderedPageBreak/>
        <w:t>لتطوير تكنولوجيا المعلومات في تعزيز الأمن السيبراني وتيسير التجارة الدولية، مما يدعم الأداء العام للهيئة في خدمة المجتمع والاقتصاد الوطني.</w:t>
      </w:r>
    </w:p>
    <w:p w14:paraId="25ED844B" w14:textId="03315FA5" w:rsidR="00C62406" w:rsidRPr="00202E2A" w:rsidRDefault="005F1539"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w:t>
      </w:r>
      <w:r w:rsidR="002F3516" w:rsidRPr="00202E2A">
        <w:rPr>
          <w:rFonts w:asciiTheme="majorBidi" w:hAnsiTheme="majorBidi" w:cstheme="majorBidi"/>
          <w:sz w:val="26"/>
          <w:szCs w:val="26"/>
          <w:rtl/>
          <w:lang w:bidi="ar-EG"/>
        </w:rPr>
        <w:t>يشير تقرير</w:t>
      </w:r>
      <w:r w:rsidR="00F84FAA" w:rsidRPr="00202E2A">
        <w:rPr>
          <w:rFonts w:asciiTheme="majorBidi" w:hAnsiTheme="majorBidi" w:cstheme="majorBidi"/>
          <w:sz w:val="26"/>
          <w:szCs w:val="26"/>
          <w:rtl/>
          <w:lang w:bidi="ar-EG"/>
        </w:rPr>
        <w:t xml:space="preserve"> </w:t>
      </w:r>
      <w:r w:rsidR="009F319E" w:rsidRPr="00202E2A">
        <w:rPr>
          <w:rFonts w:asciiTheme="majorBidi" w:hAnsiTheme="majorBidi" w:cstheme="majorBidi"/>
          <w:sz w:val="26"/>
          <w:szCs w:val="26"/>
          <w:lang w:bidi="ar-EG"/>
        </w:rPr>
        <w:t>Kingdom of Saudi Arabia. ,2016)</w:t>
      </w:r>
      <w:r w:rsidR="009F319E"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 xml:space="preserve"> </w:t>
      </w:r>
      <w:r w:rsidR="00127696" w:rsidRPr="00202E2A">
        <w:rPr>
          <w:rFonts w:asciiTheme="majorBidi" w:hAnsiTheme="majorBidi" w:cstheme="majorBidi"/>
          <w:sz w:val="26"/>
          <w:szCs w:val="26"/>
          <w:rtl/>
          <w:lang w:bidi="ar-EG"/>
        </w:rPr>
        <w:t xml:space="preserve">أنه </w:t>
      </w:r>
      <w:r w:rsidR="00C62406" w:rsidRPr="00202E2A">
        <w:rPr>
          <w:rFonts w:asciiTheme="majorBidi" w:hAnsiTheme="majorBidi" w:cstheme="majorBidi"/>
          <w:sz w:val="26"/>
          <w:szCs w:val="26"/>
          <w:rtl/>
          <w:lang w:bidi="ar-EG"/>
        </w:rPr>
        <w:t xml:space="preserve">منذ إطلاق </w:t>
      </w:r>
      <w:r w:rsidR="00F84FAA" w:rsidRPr="00202E2A">
        <w:rPr>
          <w:rFonts w:asciiTheme="majorBidi" w:hAnsiTheme="majorBidi" w:cstheme="majorBidi"/>
          <w:sz w:val="26"/>
          <w:szCs w:val="26"/>
          <w:rtl/>
          <w:lang w:bidi="ar-EG"/>
        </w:rPr>
        <w:t xml:space="preserve">المملكة العربية السعودية </w:t>
      </w:r>
      <w:r w:rsidR="00C62406" w:rsidRPr="00202E2A">
        <w:rPr>
          <w:rFonts w:asciiTheme="majorBidi" w:hAnsiTheme="majorBidi" w:cstheme="majorBidi"/>
          <w:sz w:val="26"/>
          <w:szCs w:val="26"/>
          <w:rtl/>
          <w:lang w:bidi="ar-EG"/>
        </w:rPr>
        <w:t xml:space="preserve">إستراتيجية التنمية المستدامة "رؤية </w:t>
      </w:r>
      <w:r w:rsidR="001A6BFB" w:rsidRPr="00202E2A">
        <w:rPr>
          <w:rFonts w:asciiTheme="majorBidi" w:hAnsiTheme="majorBidi" w:cstheme="majorBidi"/>
          <w:sz w:val="26"/>
          <w:szCs w:val="26"/>
          <w:lang w:bidi="ar-EG"/>
        </w:rPr>
        <w:t>2030</w:t>
      </w:r>
      <w:r w:rsidR="00C62406"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w:t>
      </w:r>
      <w:r w:rsidR="00C62406" w:rsidRPr="00202E2A">
        <w:rPr>
          <w:rFonts w:asciiTheme="majorBidi" w:hAnsiTheme="majorBidi" w:cstheme="majorBidi"/>
          <w:sz w:val="26"/>
          <w:szCs w:val="26"/>
          <w:rtl/>
          <w:lang w:bidi="ar-EG"/>
        </w:rPr>
        <w:t xml:space="preserve"> بدأت بتحديث البنية التحتية لتكنولوجيا المعلومات والاتصالات لتطبيق آليات التوجه العالمي لتحقيق أهداف التنمية المستدامة على المستوى الداخلي، والتي من ضمنها الاعتماد على التحول الرقمي في تقديم كافة الأعمال والخدمات على مستوى كافة المؤسسات الحكومية والخدمية</w:t>
      </w:r>
      <w:r w:rsidR="00F84FAA" w:rsidRPr="00202E2A">
        <w:rPr>
          <w:rFonts w:asciiTheme="majorBidi" w:hAnsiTheme="majorBidi" w:cstheme="majorBidi"/>
          <w:sz w:val="26"/>
          <w:szCs w:val="26"/>
          <w:rtl/>
          <w:lang w:bidi="ar-EG"/>
        </w:rPr>
        <w:t xml:space="preserve"> لتعزيز الأمن وتيسير التجارة الدولية.</w:t>
      </w:r>
    </w:p>
    <w:p w14:paraId="7EC93FF5" w14:textId="4E2C7069" w:rsidR="009F319E" w:rsidRPr="00202E2A" w:rsidRDefault="009F319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ويُبرز </w:t>
      </w:r>
      <w:r w:rsidR="00814BF5" w:rsidRPr="00202E2A">
        <w:rPr>
          <w:rFonts w:asciiTheme="majorBidi" w:hAnsiTheme="majorBidi" w:cstheme="majorBidi"/>
          <w:sz w:val="26"/>
          <w:szCs w:val="26"/>
          <w:rtl/>
          <w:lang w:bidi="ar-EG"/>
        </w:rPr>
        <w:t>تقرير</w:t>
      </w:r>
      <w:r w:rsidRPr="00202E2A">
        <w:rPr>
          <w:rFonts w:asciiTheme="majorBidi" w:hAnsiTheme="majorBidi" w:cstheme="majorBidi"/>
          <w:sz w:val="26"/>
          <w:szCs w:val="26"/>
          <w:lang w:bidi="ar-EG"/>
        </w:rPr>
        <w:t xml:space="preserve">(Zakat, Tax and Customs Authority., 2021) </w:t>
      </w:r>
      <w:r w:rsidRPr="00202E2A">
        <w:rPr>
          <w:rFonts w:asciiTheme="majorBidi" w:hAnsiTheme="majorBidi" w:cstheme="majorBidi"/>
          <w:sz w:val="26"/>
          <w:szCs w:val="26"/>
          <w:rtl/>
          <w:lang w:bidi="ar-EG"/>
        </w:rPr>
        <w:t xml:space="preserve"> الإحصائيات التي توضح جهود الهيئة في إعادة هيكلة خدماتها لتلبية احتياجات المواطنين ومواكبة التطورات السريعة في مجال تكنولوجيا المعلومات، وقد تم ذلك استنادًا إلى الخطة القومية للتحول الرقمي التي وضعتها وزارة الاتصالات وتكنولوجيا المعلومات، مما أدى إلى تطوير وميكنة نظم العمل في كافة فروع الهيئة على مستوى المملكة وفقًا للإحصائيات الصادرة لعام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 xml:space="preserve">، وتعكس هذه المبادرات التزام الهيئة بتقديم خدمات حكومية متطورة تتماشى مع متطلبات العصر الرقمي وتدعم تحقيق أهداف التنمية المستدامة ورؤية المملكة </w:t>
      </w:r>
      <w:r w:rsidR="00691C8C"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0C703B9" w14:textId="0E4B6E0A" w:rsidR="00C62406"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w:t>
      </w:r>
      <w:r w:rsidR="00D54006" w:rsidRPr="00202E2A">
        <w:rPr>
          <w:rFonts w:asciiTheme="majorBidi" w:hAnsiTheme="majorBidi" w:cstheme="majorBidi"/>
          <w:b/>
          <w:bCs/>
          <w:sz w:val="26"/>
          <w:szCs w:val="26"/>
          <w:rtl/>
          <w:lang w:bidi="ar-EG"/>
        </w:rPr>
        <w:t>يري الباحث</w:t>
      </w:r>
      <w:r w:rsidR="00D54006"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 xml:space="preserve">أنه </w:t>
      </w:r>
      <w:r w:rsidRPr="00202E2A">
        <w:rPr>
          <w:rFonts w:asciiTheme="majorBidi" w:hAnsiTheme="majorBidi" w:cstheme="majorBidi"/>
          <w:sz w:val="26"/>
          <w:szCs w:val="26"/>
          <w:rtl/>
          <w:lang w:bidi="ar-EG"/>
        </w:rPr>
        <w:t xml:space="preserve">بالفعل قامت هيئة </w:t>
      </w:r>
      <w:r w:rsidR="00CC3249" w:rsidRPr="00202E2A">
        <w:rPr>
          <w:rFonts w:asciiTheme="majorBidi" w:hAnsiTheme="majorBidi" w:cstheme="majorBidi"/>
          <w:sz w:val="26"/>
          <w:szCs w:val="26"/>
          <w:rtl/>
          <w:lang w:bidi="ar-EG"/>
        </w:rPr>
        <w:t xml:space="preserve">الزكاة والضريبية والجمارك </w:t>
      </w:r>
      <w:r w:rsidRPr="00202E2A">
        <w:rPr>
          <w:rFonts w:asciiTheme="majorBidi" w:hAnsiTheme="majorBidi" w:cstheme="majorBidi"/>
          <w:sz w:val="26"/>
          <w:szCs w:val="26"/>
          <w:rtl/>
          <w:lang w:bidi="ar-EG"/>
        </w:rPr>
        <w:t xml:space="preserve">باتخاذ الإجراءات والخطوات التي تكفل تحول منظومة الخدمات التي تقدمها من النظام التقليدي إلى النظام الرقمي من خلال خدمات </w:t>
      </w:r>
      <w:r w:rsidR="004D02B7" w:rsidRPr="00202E2A">
        <w:rPr>
          <w:rFonts w:asciiTheme="majorBidi" w:hAnsiTheme="majorBidi" w:cstheme="majorBidi"/>
          <w:sz w:val="26"/>
          <w:szCs w:val="26"/>
          <w:rtl/>
          <w:lang w:bidi="ar-EG"/>
        </w:rPr>
        <w:t xml:space="preserve">التحول الرقمي </w:t>
      </w:r>
      <w:r w:rsidRPr="00202E2A">
        <w:rPr>
          <w:rFonts w:asciiTheme="majorBidi" w:hAnsiTheme="majorBidi" w:cstheme="majorBidi"/>
          <w:sz w:val="26"/>
          <w:szCs w:val="26"/>
          <w:rtl/>
          <w:lang w:bidi="ar-EG"/>
        </w:rPr>
        <w:t xml:space="preserve">الإلكترونية، وأصبح التحول الرقمي داخل الهيئة يمثل الإستراتيجية الأولى التي تسعى لتطويرها بعد أن تم تطبيقها لمجابهة المنافسة الشديدة بينها وبين القطاع المصرفي </w:t>
      </w:r>
      <w:r w:rsidR="004D02B7" w:rsidRPr="00202E2A">
        <w:rPr>
          <w:rFonts w:asciiTheme="majorBidi" w:hAnsiTheme="majorBidi" w:cstheme="majorBidi"/>
          <w:sz w:val="26"/>
          <w:szCs w:val="26"/>
          <w:rtl/>
          <w:lang w:bidi="ar-EG"/>
        </w:rPr>
        <w:t xml:space="preserve">والصناعي والانتاجي </w:t>
      </w:r>
      <w:r w:rsidRPr="00202E2A">
        <w:rPr>
          <w:rFonts w:asciiTheme="majorBidi" w:hAnsiTheme="majorBidi" w:cstheme="majorBidi"/>
          <w:sz w:val="26"/>
          <w:szCs w:val="26"/>
          <w:rtl/>
          <w:lang w:bidi="ar-EG"/>
        </w:rPr>
        <w:t>من ناحية، وتحقيق الأبعاد الاقتصادية والتكنولوجية والاجتماعية للتنمية المستدامة من ناحية أخرى</w:t>
      </w:r>
      <w:r w:rsidRPr="00202E2A">
        <w:rPr>
          <w:rFonts w:asciiTheme="majorBidi" w:hAnsiTheme="majorBidi" w:cstheme="majorBidi"/>
          <w:sz w:val="26"/>
          <w:szCs w:val="26"/>
          <w:lang w:bidi="ar-EG"/>
        </w:rPr>
        <w:t>.</w:t>
      </w:r>
    </w:p>
    <w:p w14:paraId="43069B54" w14:textId="7D614F67" w:rsidR="00781BA9"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ومن هنا تكمن أهمية الدراسة بقياس أثر </w:t>
      </w:r>
      <w:r w:rsidR="00F5608F"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w:t>
      </w:r>
      <w:r w:rsidR="004854A7"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w:t>
      </w:r>
      <w:r w:rsidR="00F5608F" w:rsidRPr="00202E2A">
        <w:rPr>
          <w:rFonts w:asciiTheme="majorBidi" w:hAnsiTheme="majorBidi" w:cstheme="majorBidi"/>
          <w:sz w:val="26"/>
          <w:szCs w:val="26"/>
          <w:rtl/>
          <w:lang w:bidi="ar-EG"/>
        </w:rPr>
        <w:t xml:space="preserve">تعزيز الأمن وتيسير التجارة </w:t>
      </w:r>
      <w:r w:rsidRPr="00202E2A">
        <w:rPr>
          <w:rFonts w:asciiTheme="majorBidi" w:hAnsiTheme="majorBidi" w:cstheme="majorBidi"/>
          <w:sz w:val="26"/>
          <w:szCs w:val="26"/>
          <w:rtl/>
          <w:lang w:bidi="ar-EG"/>
        </w:rPr>
        <w:t xml:space="preserve">بعد تطبيقه على تطوير أداء هيئة </w:t>
      </w:r>
      <w:r w:rsidR="00F5608F" w:rsidRPr="00202E2A">
        <w:rPr>
          <w:rFonts w:asciiTheme="majorBidi" w:hAnsiTheme="majorBidi" w:cstheme="majorBidi"/>
          <w:sz w:val="26"/>
          <w:szCs w:val="26"/>
          <w:rtl/>
          <w:lang w:bidi="ar-EG"/>
        </w:rPr>
        <w:t>الزكاة والضريبة والجمارك</w:t>
      </w:r>
      <w:r w:rsidRPr="00202E2A">
        <w:rPr>
          <w:rFonts w:asciiTheme="majorBidi" w:hAnsiTheme="majorBidi" w:cstheme="majorBidi"/>
          <w:sz w:val="26"/>
          <w:szCs w:val="26"/>
          <w:rtl/>
          <w:lang w:bidi="ar-EG"/>
        </w:rPr>
        <w:t>، كذلك معرفه مدى فاعليته ودوره في تحقيق أهداف التنمية المستدامة على المستوى الاقتصادي، والتكنولوجي، والاجتماعي؛ ومدى التحسن الملموس في أداء الخدمات المقدمة للجمهور، ومدى الإبداعات والابتكارات التي استفادت منها الهيئة في منظومتها الإدارية والخدمية من جراء تطبيق منظومة التحول الرقمي لزيادة قدراتها التشغيلية والتنافسية.</w:t>
      </w:r>
    </w:p>
    <w:p w14:paraId="654373EF" w14:textId="2E80BB1B" w:rsidR="005F496D"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ثانياً: مشكلة الدراسة</w:t>
      </w:r>
      <w:r w:rsidRPr="00202E2A">
        <w:rPr>
          <w:rFonts w:asciiTheme="majorBidi" w:hAnsiTheme="majorBidi" w:cstheme="majorBidi"/>
          <w:b/>
          <w:bCs/>
          <w:color w:val="002060"/>
          <w:sz w:val="26"/>
          <w:szCs w:val="26"/>
          <w:lang w:bidi="ar-EG"/>
        </w:rPr>
        <w:t xml:space="preserve">Problem Study </w:t>
      </w:r>
      <w:r w:rsidRPr="00202E2A">
        <w:rPr>
          <w:rFonts w:asciiTheme="majorBidi" w:hAnsiTheme="majorBidi" w:cstheme="majorBidi"/>
          <w:b/>
          <w:bCs/>
          <w:color w:val="002060"/>
          <w:sz w:val="26"/>
          <w:szCs w:val="26"/>
          <w:rtl/>
          <w:lang w:bidi="ar-EG"/>
        </w:rPr>
        <w:t xml:space="preserve"> </w:t>
      </w:r>
    </w:p>
    <w:p w14:paraId="67C380CC" w14:textId="6B84FFB7" w:rsidR="005F496D" w:rsidRPr="00202E2A" w:rsidRDefault="005F496D"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اتجهت المؤسسات والهيئات الحكومية في </w:t>
      </w:r>
      <w:r w:rsidR="00A840CC" w:rsidRPr="00202E2A">
        <w:rPr>
          <w:rFonts w:asciiTheme="majorBidi" w:hAnsiTheme="majorBidi" w:cstheme="majorBidi"/>
          <w:sz w:val="26"/>
          <w:szCs w:val="26"/>
          <w:rtl/>
          <w:lang w:bidi="ar-EG"/>
        </w:rPr>
        <w:t>المملكة العربية السعودية</w:t>
      </w:r>
      <w:r w:rsidRPr="00202E2A">
        <w:rPr>
          <w:rFonts w:asciiTheme="majorBidi" w:hAnsiTheme="majorBidi" w:cstheme="majorBidi"/>
          <w:sz w:val="26"/>
          <w:szCs w:val="26"/>
          <w:rtl/>
          <w:lang w:bidi="ar-EG"/>
        </w:rPr>
        <w:t xml:space="preserve"> مؤخراً إلى الاعتماد على التحول الرقمي والاتجاه نحو الميكنة الكاملة، لقدرتها</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على فتح مسارات جديدة وذكية أمام الشركات والمؤسسات والعملاء، ودورها في دعم منظمات الأعمال في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تجاوز العقبات الكثيرة التي تواجهها، سواء في عمليات والإنتاج وخدمات العملاء من البيع والشراء، أو فيما يتعلق بجوانبها الإدارية والفنية</w:t>
      </w:r>
      <w:r w:rsidR="00A840CC" w:rsidRPr="00202E2A">
        <w:rPr>
          <w:rFonts w:asciiTheme="majorBidi" w:hAnsiTheme="majorBidi" w:cstheme="majorBidi"/>
          <w:sz w:val="26"/>
          <w:szCs w:val="26"/>
          <w:rtl/>
          <w:lang w:bidi="ar-EG"/>
        </w:rPr>
        <w:t>.</w:t>
      </w:r>
    </w:p>
    <w:p w14:paraId="70AC9880" w14:textId="3887386A" w:rsidR="004E1FF2"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واستناداً إلى ما تقدم، </w:t>
      </w:r>
      <w:r w:rsidRPr="00202E2A">
        <w:rPr>
          <w:rFonts w:asciiTheme="majorBidi" w:hAnsiTheme="majorBidi" w:cstheme="majorBidi"/>
          <w:b/>
          <w:bCs/>
          <w:sz w:val="26"/>
          <w:szCs w:val="26"/>
          <w:rtl/>
          <w:lang w:bidi="ar-EG"/>
        </w:rPr>
        <w:t xml:space="preserve">تظهر </w:t>
      </w:r>
      <w:r w:rsidR="00196025" w:rsidRPr="00202E2A">
        <w:rPr>
          <w:rFonts w:asciiTheme="majorBidi" w:hAnsiTheme="majorBidi" w:cstheme="majorBidi"/>
          <w:b/>
          <w:bCs/>
          <w:sz w:val="26"/>
          <w:szCs w:val="26"/>
          <w:rtl/>
          <w:lang w:bidi="ar-EG"/>
        </w:rPr>
        <w:t>مشكلة</w:t>
      </w:r>
      <w:r w:rsidRPr="00202E2A">
        <w:rPr>
          <w:rFonts w:asciiTheme="majorBidi" w:hAnsiTheme="majorBidi" w:cstheme="majorBidi"/>
          <w:b/>
          <w:bCs/>
          <w:sz w:val="26"/>
          <w:szCs w:val="26"/>
          <w:rtl/>
          <w:lang w:bidi="ar-EG"/>
        </w:rPr>
        <w:t xml:space="preserve"> الدراسة </w:t>
      </w:r>
      <w:r w:rsidR="004E1FF2" w:rsidRPr="00202E2A">
        <w:rPr>
          <w:rFonts w:asciiTheme="majorBidi" w:hAnsiTheme="majorBidi" w:cstheme="majorBidi"/>
          <w:b/>
          <w:bCs/>
          <w:sz w:val="26"/>
          <w:szCs w:val="26"/>
          <w:rtl/>
          <w:lang w:bidi="ar-EG"/>
        </w:rPr>
        <w:t xml:space="preserve">من </w:t>
      </w:r>
      <w:r w:rsidRPr="00202E2A">
        <w:rPr>
          <w:rFonts w:asciiTheme="majorBidi" w:hAnsiTheme="majorBidi" w:cstheme="majorBidi"/>
          <w:b/>
          <w:bCs/>
          <w:sz w:val="26"/>
          <w:szCs w:val="26"/>
          <w:rtl/>
          <w:lang w:bidi="ar-EG"/>
        </w:rPr>
        <w:t xml:space="preserve">حيث دراسة وتحليل فرص وتحديات </w:t>
      </w:r>
      <w:r w:rsidR="00A840CC" w:rsidRPr="00202E2A">
        <w:rPr>
          <w:rFonts w:asciiTheme="majorBidi" w:hAnsiTheme="majorBidi" w:cstheme="majorBidi"/>
          <w:b/>
          <w:bCs/>
          <w:sz w:val="26"/>
          <w:szCs w:val="26"/>
          <w:rtl/>
          <w:lang w:bidi="ar-EG"/>
        </w:rPr>
        <w:t xml:space="preserve">استراتيجيات التحول </w:t>
      </w:r>
      <w:r w:rsidR="00810178" w:rsidRPr="00202E2A">
        <w:rPr>
          <w:rFonts w:asciiTheme="majorBidi" w:hAnsiTheme="majorBidi" w:cstheme="majorBidi"/>
          <w:b/>
          <w:bCs/>
          <w:sz w:val="26"/>
          <w:szCs w:val="26"/>
          <w:rtl/>
          <w:lang w:bidi="ar-EG"/>
        </w:rPr>
        <w:t>الرقمي في</w:t>
      </w:r>
      <w:r w:rsidRPr="00202E2A">
        <w:rPr>
          <w:rFonts w:asciiTheme="majorBidi" w:hAnsiTheme="majorBidi" w:cstheme="majorBidi"/>
          <w:b/>
          <w:bCs/>
          <w:sz w:val="26"/>
          <w:szCs w:val="26"/>
          <w:rtl/>
          <w:lang w:bidi="ar-EG"/>
        </w:rPr>
        <w:t xml:space="preserve"> ظل وجود </w:t>
      </w:r>
      <w:r w:rsidR="00A840CC" w:rsidRPr="00202E2A">
        <w:rPr>
          <w:rFonts w:asciiTheme="majorBidi" w:hAnsiTheme="majorBidi" w:cstheme="majorBidi"/>
          <w:b/>
          <w:bCs/>
          <w:sz w:val="26"/>
          <w:szCs w:val="26"/>
          <w:rtl/>
          <w:lang w:bidi="ar-EG"/>
        </w:rPr>
        <w:t>تعزيز الأمن وت</w:t>
      </w:r>
      <w:r w:rsidR="003804AC" w:rsidRPr="00202E2A">
        <w:rPr>
          <w:rFonts w:asciiTheme="majorBidi" w:hAnsiTheme="majorBidi" w:cstheme="majorBidi"/>
          <w:b/>
          <w:bCs/>
          <w:sz w:val="26"/>
          <w:szCs w:val="26"/>
          <w:rtl/>
          <w:lang w:bidi="ar-EG"/>
        </w:rPr>
        <w:t>ي</w:t>
      </w:r>
      <w:r w:rsidR="00A840CC"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 xml:space="preserve"> حيث أصبحت ضرورة تستدعيها مجموعة من الاعتبارات المعرفية والثقافية والاقتصادية والتكنولوجية</w:t>
      </w:r>
      <w:r w:rsidRPr="00202E2A">
        <w:rPr>
          <w:rFonts w:asciiTheme="majorBidi" w:hAnsiTheme="majorBidi" w:cstheme="majorBidi"/>
          <w:sz w:val="26"/>
          <w:szCs w:val="26"/>
          <w:rtl/>
          <w:lang w:bidi="ar-EG"/>
        </w:rPr>
        <w:t xml:space="preserve">؛ خاصة في ظل النقلة النوعية في استخدام المعلومات، والتحولات المهمة في الاقتصاد المعاصر الذي يفرض على </w:t>
      </w:r>
      <w:r w:rsidR="00096219"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تغيرات ملحة وظروف تنافسية صعبة</w:t>
      </w:r>
      <w:r w:rsidR="004E1FF2" w:rsidRPr="00202E2A">
        <w:rPr>
          <w:rFonts w:asciiTheme="majorBidi" w:hAnsiTheme="majorBidi" w:cstheme="majorBidi"/>
          <w:sz w:val="26"/>
          <w:szCs w:val="26"/>
          <w:rtl/>
          <w:lang w:bidi="ar-EG"/>
        </w:rPr>
        <w:t>.</w:t>
      </w:r>
    </w:p>
    <w:p w14:paraId="5230FE4E" w14:textId="5D7653D0"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وضمن هذه الاعتبارات </w:t>
      </w:r>
      <w:r w:rsidRPr="00202E2A">
        <w:rPr>
          <w:rFonts w:asciiTheme="majorBidi" w:hAnsiTheme="majorBidi" w:cstheme="majorBidi"/>
          <w:b/>
          <w:bCs/>
          <w:sz w:val="26"/>
          <w:szCs w:val="26"/>
          <w:rtl/>
          <w:lang w:bidi="ar-EG"/>
        </w:rPr>
        <w:t xml:space="preserve">تمحورت فكرة الدراسة الحالية ومشكلتها في إطار رصد مستقبل تأثير </w:t>
      </w:r>
      <w:r w:rsidR="00096219" w:rsidRPr="00202E2A">
        <w:rPr>
          <w:rFonts w:asciiTheme="majorBidi" w:hAnsiTheme="majorBidi" w:cstheme="majorBidi"/>
          <w:b/>
          <w:bCs/>
          <w:sz w:val="26"/>
          <w:szCs w:val="26"/>
          <w:rtl/>
          <w:lang w:bidi="ar-EG"/>
        </w:rPr>
        <w:t xml:space="preserve">أبعاد </w:t>
      </w:r>
      <w:r w:rsidRPr="00202E2A">
        <w:rPr>
          <w:rFonts w:asciiTheme="majorBidi" w:hAnsiTheme="majorBidi" w:cstheme="majorBidi"/>
          <w:b/>
          <w:bCs/>
          <w:sz w:val="26"/>
          <w:szCs w:val="26"/>
          <w:rtl/>
          <w:lang w:bidi="ar-EG"/>
        </w:rPr>
        <w:t>التحول الرقمي</w:t>
      </w:r>
      <w:r w:rsidR="00096219" w:rsidRPr="00202E2A">
        <w:rPr>
          <w:rFonts w:asciiTheme="majorBidi" w:hAnsiTheme="majorBidi" w:cstheme="majorBidi"/>
          <w:b/>
          <w:bCs/>
          <w:sz w:val="26"/>
          <w:szCs w:val="26"/>
          <w:rtl/>
          <w:lang w:bidi="ar-EG"/>
        </w:rPr>
        <w:t xml:space="preserve"> </w:t>
      </w:r>
      <w:r w:rsidR="00810178" w:rsidRPr="00202E2A">
        <w:rPr>
          <w:rFonts w:asciiTheme="majorBidi" w:hAnsiTheme="majorBidi" w:cstheme="majorBidi"/>
          <w:b/>
          <w:bCs/>
          <w:sz w:val="26"/>
          <w:szCs w:val="26"/>
          <w:rtl/>
          <w:lang w:bidi="ar-EG"/>
        </w:rPr>
        <w:t>على</w:t>
      </w:r>
      <w:r w:rsidR="00096219" w:rsidRPr="00202E2A">
        <w:rPr>
          <w:rFonts w:asciiTheme="majorBidi" w:hAnsiTheme="majorBidi" w:cstheme="majorBidi"/>
          <w:b/>
          <w:bCs/>
          <w:sz w:val="26"/>
          <w:szCs w:val="26"/>
          <w:rtl/>
          <w:lang w:bidi="ar-EG"/>
        </w:rPr>
        <w:t xml:space="preserve"> تعزيز الأمن وتيسير التجارة</w:t>
      </w:r>
      <w:r w:rsidRPr="00202E2A">
        <w:rPr>
          <w:rFonts w:asciiTheme="majorBidi" w:hAnsiTheme="majorBidi" w:cstheme="majorBidi"/>
          <w:b/>
          <w:bCs/>
          <w:sz w:val="26"/>
          <w:szCs w:val="26"/>
          <w:rtl/>
          <w:lang w:bidi="ar-EG"/>
        </w:rPr>
        <w:t xml:space="preserve">، وما يحيط بها من فرص وما يحدها من تحديات </w:t>
      </w:r>
      <w:r w:rsidR="00810178" w:rsidRPr="00202E2A">
        <w:rPr>
          <w:rFonts w:asciiTheme="majorBidi" w:hAnsiTheme="majorBidi" w:cstheme="majorBidi"/>
          <w:b/>
          <w:bCs/>
          <w:sz w:val="26"/>
          <w:szCs w:val="26"/>
          <w:rtl/>
          <w:lang w:bidi="ar-EG"/>
        </w:rPr>
        <w:t>وأثرها</w:t>
      </w:r>
      <w:r w:rsidRPr="00202E2A">
        <w:rPr>
          <w:rFonts w:asciiTheme="majorBidi" w:hAnsiTheme="majorBidi" w:cstheme="majorBidi"/>
          <w:b/>
          <w:bCs/>
          <w:sz w:val="26"/>
          <w:szCs w:val="26"/>
          <w:rtl/>
          <w:lang w:bidi="ar-EG"/>
        </w:rPr>
        <w:t xml:space="preserve"> على هيئة </w:t>
      </w:r>
      <w:r w:rsidR="000A12A6" w:rsidRPr="00202E2A">
        <w:rPr>
          <w:rFonts w:asciiTheme="majorBidi" w:hAnsiTheme="majorBidi" w:cstheme="majorBidi"/>
          <w:b/>
          <w:bCs/>
          <w:sz w:val="26"/>
          <w:szCs w:val="26"/>
          <w:rtl/>
          <w:lang w:bidi="ar-EG"/>
        </w:rPr>
        <w:t>الزكاة والضريبية والجمارك</w:t>
      </w:r>
      <w:r w:rsidRPr="00202E2A">
        <w:rPr>
          <w:rFonts w:asciiTheme="majorBidi" w:hAnsiTheme="majorBidi" w:cstheme="majorBidi"/>
          <w:sz w:val="26"/>
          <w:szCs w:val="26"/>
          <w:rtl/>
          <w:lang w:bidi="ar-EG"/>
        </w:rPr>
        <w:t xml:space="preserve"> وذلك من خلال تحليل الواقع ومراجعة الدراسات السابقة الحديثة المنشورة حول الموضوع</w:t>
      </w:r>
      <w:r w:rsidR="00171664" w:rsidRPr="00202E2A">
        <w:rPr>
          <w:rFonts w:asciiTheme="majorBidi" w:hAnsiTheme="majorBidi" w:cstheme="majorBidi"/>
          <w:sz w:val="26"/>
          <w:szCs w:val="26"/>
          <w:rtl/>
          <w:lang w:bidi="ar-EG"/>
        </w:rPr>
        <w:t>.</w:t>
      </w:r>
    </w:p>
    <w:p w14:paraId="2B7CB819" w14:textId="4592D42F" w:rsidR="004E1FF2" w:rsidRPr="00202E2A" w:rsidRDefault="006D7EEA" w:rsidP="0019590B">
      <w:pPr>
        <w:bidi/>
        <w:spacing w:line="276" w:lineRule="auto"/>
        <w:ind w:firstLine="720"/>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الدراسة الاستطلاعية:</w:t>
      </w:r>
    </w:p>
    <w:p w14:paraId="0101D27E" w14:textId="6A1EF1F7"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ق</w:t>
      </w:r>
      <w:r w:rsidR="00FB75E8" w:rsidRPr="00202E2A">
        <w:rPr>
          <w:rFonts w:asciiTheme="majorBidi" w:hAnsiTheme="majorBidi" w:cstheme="majorBidi"/>
          <w:sz w:val="26"/>
          <w:szCs w:val="26"/>
          <w:rtl/>
          <w:lang w:bidi="ar-EG"/>
        </w:rPr>
        <w:t>ا</w:t>
      </w:r>
      <w:r w:rsidRPr="00202E2A">
        <w:rPr>
          <w:rFonts w:asciiTheme="majorBidi" w:hAnsiTheme="majorBidi" w:cstheme="majorBidi"/>
          <w:sz w:val="26"/>
          <w:szCs w:val="26"/>
          <w:rtl/>
          <w:lang w:bidi="ar-EG"/>
        </w:rPr>
        <w:t xml:space="preserve">م الباحث بإجراء دراسة استطلاعية مع بعض العاملين والقيادات </w:t>
      </w:r>
      <w:r w:rsidR="00FB75E8" w:rsidRPr="00202E2A">
        <w:rPr>
          <w:rFonts w:asciiTheme="majorBidi" w:hAnsiTheme="majorBidi" w:cstheme="majorBidi"/>
          <w:sz w:val="26"/>
          <w:szCs w:val="26"/>
          <w:rtl/>
          <w:lang w:bidi="ar-EG"/>
        </w:rPr>
        <w:t>بهيئة الزكاة والضريبية والجمارك</w:t>
      </w:r>
      <w:r w:rsidRPr="00202E2A">
        <w:rPr>
          <w:rFonts w:asciiTheme="majorBidi" w:hAnsiTheme="majorBidi" w:cstheme="majorBidi"/>
          <w:sz w:val="26"/>
          <w:szCs w:val="26"/>
          <w:rtl/>
          <w:lang w:bidi="ar-EG"/>
        </w:rPr>
        <w:t xml:space="preserve">؛ وذلك بهدف التعرف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مدي تأثير </w:t>
      </w:r>
      <w:r w:rsidR="00FB75E8"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ونتائجها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أبعاد </w:t>
      </w:r>
      <w:r w:rsidR="00FB75E8" w:rsidRPr="00202E2A">
        <w:rPr>
          <w:rFonts w:asciiTheme="majorBidi" w:hAnsiTheme="majorBidi" w:cstheme="majorBidi"/>
          <w:sz w:val="26"/>
          <w:szCs w:val="26"/>
          <w:rtl/>
          <w:lang w:bidi="ar-EG"/>
        </w:rPr>
        <w:t>تعزيز الأمن وتيسير التجارة</w:t>
      </w:r>
      <w:r w:rsidRPr="00202E2A">
        <w:rPr>
          <w:rFonts w:asciiTheme="majorBidi" w:hAnsiTheme="majorBidi" w:cstheme="majorBidi"/>
          <w:sz w:val="26"/>
          <w:szCs w:val="26"/>
          <w:rtl/>
          <w:lang w:bidi="ar-EG"/>
        </w:rPr>
        <w:t xml:space="preserve">، وسوف تمثل هذه الدراسة الاستطلاعية في إجراء بعض مقابلات شخصية متعمقة مع عدد من </w:t>
      </w:r>
      <w:r w:rsidR="00FB75E8"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FB75E8" w:rsidRPr="00202E2A">
        <w:rPr>
          <w:rFonts w:asciiTheme="majorBidi" w:hAnsiTheme="majorBidi" w:cstheme="majorBidi"/>
          <w:sz w:val="26"/>
          <w:szCs w:val="26"/>
          <w:rtl/>
          <w:lang w:bidi="ar-EG"/>
        </w:rPr>
        <w:t xml:space="preserve">بهيئة الزكاة والضريبية والجمارك </w:t>
      </w:r>
      <w:r w:rsidRPr="00202E2A">
        <w:rPr>
          <w:rFonts w:asciiTheme="majorBidi" w:hAnsiTheme="majorBidi" w:cstheme="majorBidi"/>
          <w:sz w:val="26"/>
          <w:szCs w:val="26"/>
          <w:rtl/>
          <w:lang w:bidi="ar-EG"/>
        </w:rPr>
        <w:t>ولاستطلاع آرائهم حول متغيرات الدراسة، وسوف تكشف هذه الدراسة الاستطلاعية عن العديد من المؤشرات.</w:t>
      </w:r>
    </w:p>
    <w:p w14:paraId="59BD44F4" w14:textId="368BFDB8" w:rsidR="00EE451E"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قام الباحث بإجراء دراسة استطلاعية لعينة مقدارها </w:t>
      </w:r>
      <w:r w:rsidR="00810178" w:rsidRPr="00202E2A">
        <w:rPr>
          <w:rFonts w:asciiTheme="majorBidi" w:hAnsiTheme="majorBidi" w:cstheme="majorBidi"/>
          <w:sz w:val="26"/>
          <w:szCs w:val="26"/>
          <w:lang w:bidi="ar-EG"/>
        </w:rPr>
        <w:t xml:space="preserve">40 </w:t>
      </w:r>
      <w:r w:rsidR="003804AC"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مفردة</w:t>
      </w:r>
      <w:r w:rsidRPr="00202E2A">
        <w:rPr>
          <w:rFonts w:asciiTheme="majorBidi" w:hAnsiTheme="majorBidi" w:cstheme="majorBidi"/>
          <w:sz w:val="26"/>
          <w:szCs w:val="26"/>
          <w:rtl/>
          <w:lang w:bidi="ar-EG"/>
        </w:rPr>
        <w:t xml:space="preserve"> من </w:t>
      </w:r>
      <w:r w:rsidR="008113E9"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8113E9" w:rsidRPr="00202E2A">
        <w:rPr>
          <w:rFonts w:asciiTheme="majorBidi" w:hAnsiTheme="majorBidi" w:cstheme="majorBidi"/>
          <w:sz w:val="26"/>
          <w:szCs w:val="26"/>
          <w:rtl/>
          <w:lang w:bidi="ar-EG"/>
        </w:rPr>
        <w:t xml:space="preserve">بهيئة الزكاة والضريبية </w:t>
      </w:r>
      <w:r w:rsidR="00FB75E8" w:rsidRPr="00202E2A">
        <w:rPr>
          <w:rFonts w:asciiTheme="majorBidi" w:hAnsiTheme="majorBidi" w:cstheme="majorBidi"/>
          <w:sz w:val="26"/>
          <w:szCs w:val="26"/>
          <w:rtl/>
          <w:lang w:bidi="ar-EG"/>
        </w:rPr>
        <w:t>والجمارك، وذلك</w:t>
      </w:r>
      <w:r w:rsidRPr="00202E2A">
        <w:rPr>
          <w:rFonts w:asciiTheme="majorBidi" w:hAnsiTheme="majorBidi" w:cstheme="majorBidi"/>
          <w:sz w:val="26"/>
          <w:szCs w:val="26"/>
          <w:rtl/>
          <w:lang w:bidi="ar-EG"/>
        </w:rPr>
        <w:t xml:space="preserve"> بهدف التحديد الدقيق لمشكلة الدراسة، وصياغة تساؤلات الدراسة وفروض</w:t>
      </w:r>
      <w:r w:rsidR="00053C55" w:rsidRPr="00202E2A">
        <w:rPr>
          <w:rFonts w:asciiTheme="majorBidi" w:hAnsiTheme="majorBidi" w:cstheme="majorBidi"/>
          <w:sz w:val="26"/>
          <w:szCs w:val="26"/>
          <w:rtl/>
          <w:lang w:bidi="ar-EG"/>
        </w:rPr>
        <w:t>ها</w:t>
      </w:r>
      <w:r w:rsidRPr="00202E2A">
        <w:rPr>
          <w:rFonts w:asciiTheme="majorBidi" w:hAnsiTheme="majorBidi" w:cstheme="majorBidi"/>
          <w:sz w:val="26"/>
          <w:szCs w:val="26"/>
          <w:rtl/>
          <w:lang w:bidi="ar-EG"/>
        </w:rPr>
        <w:t xml:space="preserve">، وتم إجراء مقابلات شخصية مع بعض </w:t>
      </w:r>
      <w:r w:rsidR="00053C55" w:rsidRPr="00202E2A">
        <w:rPr>
          <w:rFonts w:asciiTheme="majorBidi" w:hAnsiTheme="majorBidi" w:cstheme="majorBidi"/>
          <w:sz w:val="26"/>
          <w:szCs w:val="26"/>
          <w:rtl/>
          <w:lang w:bidi="ar-EG"/>
        </w:rPr>
        <w:t>القادة،</w:t>
      </w:r>
      <w:r w:rsidRPr="00202E2A">
        <w:rPr>
          <w:rFonts w:asciiTheme="majorBidi" w:hAnsiTheme="majorBidi" w:cstheme="majorBidi"/>
          <w:sz w:val="26"/>
          <w:szCs w:val="26"/>
          <w:rtl/>
          <w:lang w:bidi="ar-EG"/>
        </w:rPr>
        <w:t xml:space="preserve"> وقد طرح الباحث مجموعة</w:t>
      </w:r>
      <w:r w:rsidR="00EE451E" w:rsidRPr="00202E2A">
        <w:rPr>
          <w:rFonts w:asciiTheme="majorBidi" w:hAnsiTheme="majorBidi" w:cstheme="majorBidi"/>
          <w:sz w:val="26"/>
          <w:szCs w:val="26"/>
          <w:rtl/>
          <w:lang w:bidi="ar-EG"/>
        </w:rPr>
        <w:t xml:space="preserve"> من الأسئلة، على المستقصي منهم وهي فيما يخص التحول الرقمي وتعزيز الأمن وتيسير التجارة، حيث قام الباحث بكتابة عبارات لقياس مدي آراء العينة الدراسة الاستطلاعية حول مفهوم التحول الرقمي وأبعاده وأيضاً مفهوم تعزيز الأمن وأبعاده ومفهوم تيسير التجارة وأبعادها.</w:t>
      </w:r>
    </w:p>
    <w:p w14:paraId="4D0B30C3" w14:textId="7522456A" w:rsidR="00EE451E" w:rsidRPr="00202E2A" w:rsidRDefault="00EE451E"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وفيما يخص التحول الرقمي فسوف قام الباحث بكتابة عبارات لقياس مدي آراء العينة الدراسة الاستطلاعية حول مفهوم التحول الرقمي وأبعاده الثلاثة </w:t>
      </w:r>
      <w:r w:rsidR="003804AC" w:rsidRPr="00202E2A">
        <w:rPr>
          <w:rFonts w:asciiTheme="majorBidi" w:hAnsiTheme="majorBidi" w:cstheme="majorBidi"/>
          <w:sz w:val="26"/>
          <w:szCs w:val="26"/>
          <w:rtl/>
          <w:lang w:bidi="ar-EG"/>
        </w:rPr>
        <w:t>الأسس الرقمية والابتكار الرقمي</w:t>
      </w:r>
      <w:r w:rsidR="003804AC" w:rsidRPr="00202E2A">
        <w:rPr>
          <w:rFonts w:asciiTheme="majorBidi" w:hAnsiTheme="majorBidi" w:cstheme="majorBidi"/>
          <w:sz w:val="26"/>
          <w:szCs w:val="26"/>
          <w:lang w:bidi="ar-EG"/>
        </w:rPr>
        <w:t xml:space="preserve"> </w:t>
      </w:r>
      <w:r w:rsidR="003804AC" w:rsidRPr="00202E2A">
        <w:rPr>
          <w:rFonts w:asciiTheme="majorBidi" w:hAnsiTheme="majorBidi" w:cstheme="majorBidi"/>
          <w:sz w:val="26"/>
          <w:szCs w:val="26"/>
          <w:rtl/>
          <w:lang w:bidi="ar-EG"/>
        </w:rPr>
        <w:t>والحوكمة الرقمية،</w:t>
      </w:r>
      <w:r w:rsidRPr="00202E2A">
        <w:rPr>
          <w:rFonts w:asciiTheme="majorBidi" w:hAnsiTheme="majorBidi" w:cstheme="majorBidi"/>
          <w:sz w:val="26"/>
          <w:szCs w:val="26"/>
          <w:rtl/>
          <w:lang w:bidi="ar-EG"/>
        </w:rPr>
        <w:t xml:space="preserve"> وتم إجراء مقابلات شخصية مع بعض العاملين، وقد طرح الباحث مجموعة من الأسئلة على المستقصي منهم وهي:</w:t>
      </w:r>
    </w:p>
    <w:p w14:paraId="415A86CD" w14:textId="77777777" w:rsidR="00EE451E" w:rsidRPr="00202E2A" w:rsidRDefault="00EE451E" w:rsidP="0019590B">
      <w:pPr>
        <w:bidi/>
        <w:spacing w:line="276" w:lineRule="auto"/>
        <w:ind w:firstLine="720"/>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جدول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w:t>
      </w:r>
    </w:p>
    <w:p w14:paraId="753D9563" w14:textId="4F1B460C" w:rsidR="003E603A" w:rsidRPr="00202E2A" w:rsidRDefault="00EE451E" w:rsidP="0019590B">
      <w:pPr>
        <w:bidi/>
        <w:spacing w:line="276" w:lineRule="auto"/>
        <w:ind w:firstLine="720"/>
        <w:jc w:val="center"/>
        <w:rPr>
          <w:rFonts w:asciiTheme="majorBidi" w:hAnsiTheme="majorBidi" w:cstheme="majorBidi"/>
          <w:sz w:val="26"/>
          <w:szCs w:val="26"/>
          <w:rtl/>
          <w:lang w:bidi="ar-EG"/>
        </w:rPr>
      </w:pPr>
      <w:r w:rsidRPr="00202E2A">
        <w:rPr>
          <w:rFonts w:asciiTheme="majorBidi" w:hAnsiTheme="majorBidi" w:cstheme="majorBidi"/>
          <w:sz w:val="26"/>
          <w:szCs w:val="26"/>
          <w:rtl/>
          <w:lang w:bidi="ar-EG"/>
        </w:rPr>
        <w:t>نتائج تحليل بيانات الدراسة الاستطلاعية على أساس النسبة المئوية</w:t>
      </w:r>
    </w:p>
    <w:tbl>
      <w:tblPr>
        <w:tblStyle w:val="TableGrid"/>
        <w:tblpPr w:leftFromText="180" w:rightFromText="180" w:vertAnchor="text" w:horzAnchor="margin" w:tblpXSpec="center" w:tblpY="47"/>
        <w:bidiVisual/>
        <w:tblW w:w="1026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16"/>
        <w:gridCol w:w="830"/>
        <w:gridCol w:w="1784"/>
        <w:gridCol w:w="3025"/>
        <w:gridCol w:w="783"/>
        <w:gridCol w:w="620"/>
        <w:gridCol w:w="783"/>
        <w:gridCol w:w="620"/>
        <w:gridCol w:w="783"/>
        <w:gridCol w:w="620"/>
      </w:tblGrid>
      <w:tr w:rsidR="003E603A" w:rsidRPr="00202E2A" w14:paraId="3966558B" w14:textId="77777777" w:rsidTr="00C16C3D">
        <w:trPr>
          <w:trHeight w:val="170"/>
        </w:trPr>
        <w:tc>
          <w:tcPr>
            <w:tcW w:w="368" w:type="dxa"/>
            <w:vMerge w:val="restart"/>
            <w:tcBorders>
              <w:right w:val="single" w:sz="4" w:space="0" w:color="auto"/>
            </w:tcBorders>
            <w:vAlign w:val="center"/>
          </w:tcPr>
          <w:p w14:paraId="5698F1E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w:t>
            </w:r>
          </w:p>
        </w:tc>
        <w:tc>
          <w:tcPr>
            <w:tcW w:w="622" w:type="dxa"/>
            <w:vMerge w:val="restart"/>
            <w:tcBorders>
              <w:left w:val="single" w:sz="4" w:space="0" w:color="auto"/>
              <w:right w:val="single" w:sz="4" w:space="0" w:color="auto"/>
            </w:tcBorders>
            <w:vAlign w:val="center"/>
          </w:tcPr>
          <w:p w14:paraId="4485C76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المتغيرات</w:t>
            </w:r>
          </w:p>
          <w:p w14:paraId="5B40482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left w:val="single" w:sz="4" w:space="0" w:color="auto"/>
              <w:right w:val="single" w:sz="4" w:space="0" w:color="auto"/>
            </w:tcBorders>
            <w:vAlign w:val="center"/>
          </w:tcPr>
          <w:p w14:paraId="4C1D232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الأبعاد</w:t>
            </w:r>
          </w:p>
        </w:tc>
        <w:tc>
          <w:tcPr>
            <w:tcW w:w="3655" w:type="dxa"/>
            <w:vMerge w:val="restart"/>
            <w:tcBorders>
              <w:left w:val="single" w:sz="4" w:space="0" w:color="auto"/>
              <w:right w:val="single" w:sz="4" w:space="0" w:color="auto"/>
            </w:tcBorders>
            <w:vAlign w:val="center"/>
          </w:tcPr>
          <w:p w14:paraId="14D9D22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العبارات</w:t>
            </w:r>
          </w:p>
        </w:tc>
        <w:tc>
          <w:tcPr>
            <w:tcW w:w="1152" w:type="dxa"/>
            <w:gridSpan w:val="2"/>
            <w:tcBorders>
              <w:left w:val="single" w:sz="4" w:space="0" w:color="auto"/>
              <w:bottom w:val="single" w:sz="4" w:space="0" w:color="auto"/>
              <w:right w:val="single" w:sz="4" w:space="0" w:color="auto"/>
            </w:tcBorders>
            <w:vAlign w:val="center"/>
          </w:tcPr>
          <w:p w14:paraId="0360E7B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موافق</w:t>
            </w:r>
          </w:p>
        </w:tc>
        <w:tc>
          <w:tcPr>
            <w:tcW w:w="1179" w:type="dxa"/>
            <w:gridSpan w:val="2"/>
            <w:tcBorders>
              <w:left w:val="single" w:sz="4" w:space="0" w:color="auto"/>
              <w:bottom w:val="single" w:sz="4" w:space="0" w:color="auto"/>
              <w:right w:val="single" w:sz="4" w:space="0" w:color="auto"/>
            </w:tcBorders>
          </w:tcPr>
          <w:p w14:paraId="37A6D38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محايد</w:t>
            </w:r>
          </w:p>
        </w:tc>
        <w:tc>
          <w:tcPr>
            <w:tcW w:w="1221" w:type="dxa"/>
            <w:gridSpan w:val="2"/>
            <w:tcBorders>
              <w:left w:val="single" w:sz="4" w:space="0" w:color="auto"/>
              <w:bottom w:val="single" w:sz="4" w:space="0" w:color="auto"/>
            </w:tcBorders>
            <w:vAlign w:val="center"/>
          </w:tcPr>
          <w:p w14:paraId="160E307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غير موافق</w:t>
            </w:r>
          </w:p>
        </w:tc>
      </w:tr>
      <w:tr w:rsidR="003E603A" w:rsidRPr="00202E2A" w14:paraId="3E8698FD" w14:textId="77777777" w:rsidTr="00C16C3D">
        <w:trPr>
          <w:trHeight w:val="20"/>
        </w:trPr>
        <w:tc>
          <w:tcPr>
            <w:tcW w:w="368" w:type="dxa"/>
            <w:vMerge/>
            <w:tcBorders>
              <w:bottom w:val="single" w:sz="4" w:space="0" w:color="auto"/>
              <w:right w:val="single" w:sz="4" w:space="0" w:color="auto"/>
            </w:tcBorders>
            <w:vAlign w:val="center"/>
          </w:tcPr>
          <w:p w14:paraId="25EC893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22" w:type="dxa"/>
            <w:vMerge/>
            <w:tcBorders>
              <w:left w:val="single" w:sz="4" w:space="0" w:color="auto"/>
              <w:bottom w:val="single" w:sz="4" w:space="0" w:color="auto"/>
              <w:right w:val="single" w:sz="4" w:space="0" w:color="auto"/>
            </w:tcBorders>
            <w:vAlign w:val="center"/>
          </w:tcPr>
          <w:p w14:paraId="7E57F28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EFFAA5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vMerge/>
            <w:tcBorders>
              <w:left w:val="single" w:sz="4" w:space="0" w:color="auto"/>
              <w:bottom w:val="single" w:sz="4" w:space="0" w:color="auto"/>
              <w:right w:val="single" w:sz="4" w:space="0" w:color="auto"/>
            </w:tcBorders>
            <w:vAlign w:val="center"/>
          </w:tcPr>
          <w:p w14:paraId="013787B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13" w:type="dxa"/>
            <w:tcBorders>
              <w:top w:val="single" w:sz="4" w:space="0" w:color="auto"/>
              <w:left w:val="single" w:sz="4" w:space="0" w:color="auto"/>
              <w:bottom w:val="single" w:sz="4" w:space="0" w:color="auto"/>
              <w:right w:val="single" w:sz="4" w:space="0" w:color="auto"/>
            </w:tcBorders>
            <w:vAlign w:val="center"/>
          </w:tcPr>
          <w:p w14:paraId="4A5ED18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39" w:type="dxa"/>
            <w:tcBorders>
              <w:top w:val="single" w:sz="4" w:space="0" w:color="auto"/>
              <w:left w:val="single" w:sz="4" w:space="0" w:color="auto"/>
              <w:bottom w:val="single" w:sz="4" w:space="0" w:color="auto"/>
              <w:right w:val="single" w:sz="4" w:space="0" w:color="auto"/>
            </w:tcBorders>
            <w:vAlign w:val="center"/>
          </w:tcPr>
          <w:p w14:paraId="3298CB3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2AB7B6A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66" w:type="dxa"/>
            <w:tcBorders>
              <w:top w:val="single" w:sz="4" w:space="0" w:color="auto"/>
              <w:left w:val="single" w:sz="4" w:space="0" w:color="auto"/>
              <w:bottom w:val="single" w:sz="4" w:space="0" w:color="auto"/>
              <w:right w:val="single" w:sz="4" w:space="0" w:color="auto"/>
            </w:tcBorders>
            <w:vAlign w:val="center"/>
          </w:tcPr>
          <w:p w14:paraId="64E6B95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02616A4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608" w:type="dxa"/>
            <w:tcBorders>
              <w:top w:val="single" w:sz="4" w:space="0" w:color="auto"/>
              <w:left w:val="single" w:sz="4" w:space="0" w:color="auto"/>
              <w:bottom w:val="single" w:sz="4" w:space="0" w:color="auto"/>
            </w:tcBorders>
            <w:vAlign w:val="center"/>
          </w:tcPr>
          <w:p w14:paraId="6E3691D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r>
      <w:tr w:rsidR="003E603A" w:rsidRPr="00202E2A" w14:paraId="309BD527" w14:textId="77777777" w:rsidTr="00C16C3D">
        <w:trPr>
          <w:trHeight w:val="198"/>
        </w:trPr>
        <w:tc>
          <w:tcPr>
            <w:tcW w:w="368" w:type="dxa"/>
            <w:tcBorders>
              <w:top w:val="single" w:sz="4" w:space="0" w:color="auto"/>
              <w:bottom w:val="single" w:sz="4" w:space="0" w:color="auto"/>
              <w:right w:val="single" w:sz="4" w:space="0" w:color="auto"/>
            </w:tcBorders>
            <w:vAlign w:val="center"/>
          </w:tcPr>
          <w:p w14:paraId="4CA7FA40" w14:textId="77777777" w:rsidR="003E603A" w:rsidRPr="00490CC6" w:rsidRDefault="003E603A"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w:t>
            </w:r>
          </w:p>
        </w:tc>
        <w:tc>
          <w:tcPr>
            <w:tcW w:w="622" w:type="dxa"/>
            <w:vMerge w:val="restart"/>
            <w:tcBorders>
              <w:top w:val="single" w:sz="4" w:space="0" w:color="auto"/>
              <w:left w:val="single" w:sz="4" w:space="0" w:color="auto"/>
              <w:right w:val="single" w:sz="4" w:space="0" w:color="auto"/>
            </w:tcBorders>
            <w:vAlign w:val="center"/>
          </w:tcPr>
          <w:p w14:paraId="6338490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الأمن</w:t>
            </w:r>
          </w:p>
        </w:tc>
        <w:tc>
          <w:tcPr>
            <w:tcW w:w="2067" w:type="dxa"/>
            <w:vMerge w:val="restart"/>
            <w:tcBorders>
              <w:top w:val="single" w:sz="4" w:space="0" w:color="auto"/>
              <w:left w:val="single" w:sz="4" w:space="0" w:color="auto"/>
              <w:right w:val="single" w:sz="4" w:space="0" w:color="auto"/>
            </w:tcBorders>
            <w:vAlign w:val="center"/>
          </w:tcPr>
          <w:p w14:paraId="0155B0D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الأمن السيبراني وحماية البيانات</w:t>
            </w:r>
          </w:p>
        </w:tc>
        <w:tc>
          <w:tcPr>
            <w:tcW w:w="3655" w:type="dxa"/>
            <w:tcBorders>
              <w:top w:val="single" w:sz="4" w:space="0" w:color="auto"/>
              <w:left w:val="single" w:sz="4" w:space="0" w:color="auto"/>
              <w:bottom w:val="single" w:sz="4" w:space="0" w:color="auto"/>
              <w:right w:val="single" w:sz="4" w:space="0" w:color="auto"/>
            </w:tcBorders>
          </w:tcPr>
          <w:p w14:paraId="4F6CE24B"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تقنيات التشفير وأنظمة المصادقة المتعددة تُعدُّ أساسية في حماية البيانات الحساسة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1F32431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6643D71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539F671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2543DAF8"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3734133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63D2FF5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3E603A" w:rsidRPr="00202E2A" w14:paraId="2AD64411" w14:textId="77777777" w:rsidTr="00C16C3D">
        <w:trPr>
          <w:trHeight w:val="20"/>
        </w:trPr>
        <w:tc>
          <w:tcPr>
            <w:tcW w:w="368" w:type="dxa"/>
            <w:tcBorders>
              <w:top w:val="single" w:sz="4" w:space="0" w:color="auto"/>
              <w:bottom w:val="single" w:sz="4" w:space="0" w:color="auto"/>
              <w:right w:val="single" w:sz="4" w:space="0" w:color="auto"/>
            </w:tcBorders>
            <w:vAlign w:val="center"/>
          </w:tcPr>
          <w:p w14:paraId="654CF36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w:t>
            </w:r>
          </w:p>
        </w:tc>
        <w:tc>
          <w:tcPr>
            <w:tcW w:w="622" w:type="dxa"/>
            <w:vMerge/>
            <w:tcBorders>
              <w:left w:val="single" w:sz="4" w:space="0" w:color="auto"/>
              <w:right w:val="single" w:sz="4" w:space="0" w:color="auto"/>
            </w:tcBorders>
            <w:vAlign w:val="center"/>
          </w:tcPr>
          <w:p w14:paraId="5421FBF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6CC659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5A61F512"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منصات المراقبة الإلكترونية المدعومة بالذكاء الاصطناعي تُسهم بشكل فعّال في الكشف المبكر عن الأنشطة السيبرانية المشبوهة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B039B9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39" w:type="dxa"/>
            <w:tcBorders>
              <w:top w:val="single" w:sz="4" w:space="0" w:color="auto"/>
              <w:left w:val="single" w:sz="4" w:space="0" w:color="auto"/>
              <w:bottom w:val="single" w:sz="4" w:space="0" w:color="auto"/>
              <w:right w:val="single" w:sz="4" w:space="0" w:color="auto"/>
            </w:tcBorders>
            <w:vAlign w:val="center"/>
          </w:tcPr>
          <w:p w14:paraId="5475BB5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43A0C24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bottom w:val="single" w:sz="4" w:space="0" w:color="auto"/>
              <w:right w:val="single" w:sz="4" w:space="0" w:color="auto"/>
            </w:tcBorders>
            <w:vAlign w:val="center"/>
          </w:tcPr>
          <w:p w14:paraId="09494D0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bottom w:val="single" w:sz="4" w:space="0" w:color="auto"/>
              <w:right w:val="single" w:sz="4" w:space="0" w:color="auto"/>
            </w:tcBorders>
            <w:vAlign w:val="center"/>
          </w:tcPr>
          <w:p w14:paraId="5C1C99F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c>
          <w:tcPr>
            <w:tcW w:w="608" w:type="dxa"/>
            <w:tcBorders>
              <w:top w:val="single" w:sz="4" w:space="0" w:color="auto"/>
              <w:left w:val="single" w:sz="4" w:space="0" w:color="auto"/>
              <w:bottom w:val="single" w:sz="4" w:space="0" w:color="auto"/>
            </w:tcBorders>
            <w:vAlign w:val="center"/>
          </w:tcPr>
          <w:p w14:paraId="504CBC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r>
      <w:tr w:rsidR="003E603A" w:rsidRPr="00202E2A" w14:paraId="6CD55FF9" w14:textId="77777777" w:rsidTr="00C16C3D">
        <w:trPr>
          <w:trHeight w:val="27"/>
        </w:trPr>
        <w:tc>
          <w:tcPr>
            <w:tcW w:w="368" w:type="dxa"/>
            <w:tcBorders>
              <w:top w:val="single" w:sz="4" w:space="0" w:color="auto"/>
              <w:bottom w:val="single" w:sz="4" w:space="0" w:color="auto"/>
              <w:right w:val="single" w:sz="4" w:space="0" w:color="auto"/>
            </w:tcBorders>
            <w:vAlign w:val="center"/>
          </w:tcPr>
          <w:p w14:paraId="07F29D95" w14:textId="526AE02C"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3</w:t>
            </w:r>
          </w:p>
        </w:tc>
        <w:tc>
          <w:tcPr>
            <w:tcW w:w="622" w:type="dxa"/>
            <w:vMerge/>
            <w:tcBorders>
              <w:left w:val="single" w:sz="4" w:space="0" w:color="auto"/>
              <w:right w:val="single" w:sz="4" w:space="0" w:color="auto"/>
            </w:tcBorders>
            <w:vAlign w:val="center"/>
          </w:tcPr>
          <w:p w14:paraId="01940A3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75986F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تحسين كفاءة الرقابة الجمركية والحد من التهريب</w:t>
            </w:r>
          </w:p>
        </w:tc>
        <w:tc>
          <w:tcPr>
            <w:tcW w:w="3655" w:type="dxa"/>
            <w:tcBorders>
              <w:top w:val="single" w:sz="4" w:space="0" w:color="auto"/>
              <w:left w:val="single" w:sz="4" w:space="0" w:color="auto"/>
              <w:bottom w:val="single" w:sz="4" w:space="0" w:color="auto"/>
              <w:right w:val="single" w:sz="4" w:space="0" w:color="auto"/>
            </w:tcBorders>
          </w:tcPr>
          <w:p w14:paraId="309BDCDE"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أنظمة المسح الضوئي بالأشعة السينية تُحسّن من سرعة فحص الشحنات وتقلل من فرص التهريب</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7510E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3415F4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493F6FA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21AA717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4" w:space="0" w:color="auto"/>
              <w:right w:val="single" w:sz="4" w:space="0" w:color="auto"/>
            </w:tcBorders>
            <w:vAlign w:val="center"/>
          </w:tcPr>
          <w:p w14:paraId="22CEE2D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608" w:type="dxa"/>
            <w:tcBorders>
              <w:top w:val="single" w:sz="4" w:space="0" w:color="auto"/>
              <w:left w:val="single" w:sz="4" w:space="0" w:color="auto"/>
              <w:bottom w:val="single" w:sz="4" w:space="0" w:color="auto"/>
            </w:tcBorders>
            <w:vAlign w:val="center"/>
          </w:tcPr>
          <w:p w14:paraId="75E1A72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r>
      <w:tr w:rsidR="003E603A" w:rsidRPr="00202E2A" w14:paraId="2069EFB8" w14:textId="77777777" w:rsidTr="00C16C3D">
        <w:trPr>
          <w:trHeight w:val="20"/>
        </w:trPr>
        <w:tc>
          <w:tcPr>
            <w:tcW w:w="368" w:type="dxa"/>
            <w:tcBorders>
              <w:top w:val="single" w:sz="4" w:space="0" w:color="auto"/>
              <w:bottom w:val="single" w:sz="4" w:space="0" w:color="auto"/>
              <w:right w:val="single" w:sz="4" w:space="0" w:color="auto"/>
            </w:tcBorders>
            <w:vAlign w:val="center"/>
          </w:tcPr>
          <w:p w14:paraId="50CFBC48" w14:textId="6926E29B"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4</w:t>
            </w:r>
          </w:p>
        </w:tc>
        <w:tc>
          <w:tcPr>
            <w:tcW w:w="622" w:type="dxa"/>
            <w:vMerge/>
            <w:tcBorders>
              <w:left w:val="single" w:sz="4" w:space="0" w:color="auto"/>
              <w:right w:val="single" w:sz="4" w:space="0" w:color="auto"/>
            </w:tcBorders>
            <w:vAlign w:val="center"/>
          </w:tcPr>
          <w:p w14:paraId="4C76F47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top w:val="single" w:sz="4" w:space="0" w:color="auto"/>
              <w:left w:val="single" w:sz="4" w:space="0" w:color="auto"/>
              <w:bottom w:val="single" w:sz="4" w:space="0" w:color="auto"/>
              <w:right w:val="single" w:sz="4" w:space="0" w:color="auto"/>
            </w:tcBorders>
            <w:vAlign w:val="center"/>
          </w:tcPr>
          <w:p w14:paraId="0A8E538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11281088"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تطبيق تقنيات الذكاء الاصطناعي وتحليل البيانات يُساهم في تحديد الشحنات ذات المخاطر الجمركية بدقة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490EEFBF"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5D105105"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56011677"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02C7B16B"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41EE15B6"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65C3B7AA"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753FBA8A" w14:textId="77777777" w:rsidTr="00C16C3D">
        <w:trPr>
          <w:trHeight w:val="20"/>
        </w:trPr>
        <w:tc>
          <w:tcPr>
            <w:tcW w:w="368" w:type="dxa"/>
            <w:tcBorders>
              <w:top w:val="single" w:sz="4" w:space="0" w:color="auto"/>
              <w:bottom w:val="single" w:sz="4" w:space="0" w:color="auto"/>
              <w:right w:val="single" w:sz="4" w:space="0" w:color="auto"/>
            </w:tcBorders>
            <w:vAlign w:val="center"/>
          </w:tcPr>
          <w:p w14:paraId="1B1E1C18" w14:textId="1CF05B0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lastRenderedPageBreak/>
              <w:t>5</w:t>
            </w:r>
          </w:p>
        </w:tc>
        <w:tc>
          <w:tcPr>
            <w:tcW w:w="622" w:type="dxa"/>
            <w:vMerge/>
            <w:tcBorders>
              <w:left w:val="single" w:sz="4" w:space="0" w:color="auto"/>
              <w:right w:val="single" w:sz="4" w:space="0" w:color="auto"/>
            </w:tcBorders>
            <w:vAlign w:val="center"/>
          </w:tcPr>
          <w:p w14:paraId="6D288BAC"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783463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التكامل والشراكات الاستراتيجية</w:t>
            </w:r>
          </w:p>
        </w:tc>
        <w:tc>
          <w:tcPr>
            <w:tcW w:w="3655" w:type="dxa"/>
            <w:tcBorders>
              <w:top w:val="single" w:sz="4" w:space="0" w:color="auto"/>
              <w:left w:val="single" w:sz="4" w:space="0" w:color="auto"/>
              <w:bottom w:val="single" w:sz="4" w:space="0" w:color="auto"/>
              <w:right w:val="single" w:sz="4" w:space="0" w:color="auto"/>
            </w:tcBorders>
          </w:tcPr>
          <w:p w14:paraId="122961DB"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التنسيق بين الجهات الحكومية والقطاع الخاص في تبادل المعلومات الأمنية يُعزّز من مواجهة التهديدات السيبرانية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89BD90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6DE21D3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688876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EBE3C07"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33119D5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5CD6F9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3F2F2AF" w14:textId="77777777" w:rsidTr="00C16C3D">
        <w:trPr>
          <w:trHeight w:val="126"/>
        </w:trPr>
        <w:tc>
          <w:tcPr>
            <w:tcW w:w="368" w:type="dxa"/>
            <w:tcBorders>
              <w:top w:val="single" w:sz="4" w:space="0" w:color="auto"/>
              <w:bottom w:val="single" w:sz="4" w:space="0" w:color="auto"/>
              <w:right w:val="single" w:sz="4" w:space="0" w:color="auto"/>
            </w:tcBorders>
            <w:vAlign w:val="center"/>
          </w:tcPr>
          <w:p w14:paraId="28E43E8A" w14:textId="4BDFED7D"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6</w:t>
            </w:r>
          </w:p>
        </w:tc>
        <w:tc>
          <w:tcPr>
            <w:tcW w:w="622" w:type="dxa"/>
            <w:vMerge/>
            <w:tcBorders>
              <w:left w:val="single" w:sz="4" w:space="0" w:color="auto"/>
              <w:right w:val="single" w:sz="4" w:space="0" w:color="auto"/>
            </w:tcBorders>
            <w:vAlign w:val="center"/>
          </w:tcPr>
          <w:p w14:paraId="573FF81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4C1D80E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22E6924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إقامة شراكات مع الهيئات الدولية والأكاديمية تُسهم في تطوير حلول مبتكرة لتعزيز الأمن الرقمي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2878E4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539" w:type="dxa"/>
            <w:tcBorders>
              <w:top w:val="single" w:sz="4" w:space="0" w:color="auto"/>
              <w:left w:val="single" w:sz="4" w:space="0" w:color="auto"/>
              <w:bottom w:val="single" w:sz="4" w:space="0" w:color="auto"/>
              <w:right w:val="single" w:sz="4" w:space="0" w:color="auto"/>
            </w:tcBorders>
            <w:vAlign w:val="center"/>
          </w:tcPr>
          <w:p w14:paraId="25693E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51856FD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66" w:type="dxa"/>
            <w:tcBorders>
              <w:top w:val="single" w:sz="4" w:space="0" w:color="auto"/>
              <w:left w:val="single" w:sz="4" w:space="0" w:color="auto"/>
              <w:bottom w:val="single" w:sz="4" w:space="0" w:color="auto"/>
              <w:right w:val="single" w:sz="4" w:space="0" w:color="auto"/>
            </w:tcBorders>
            <w:vAlign w:val="center"/>
          </w:tcPr>
          <w:p w14:paraId="07209F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0992649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5029857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r>
      <w:tr w:rsidR="001D7399" w:rsidRPr="00202E2A" w14:paraId="28FB7B60"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A552173" w14:textId="68A6A0C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7</w:t>
            </w:r>
          </w:p>
        </w:tc>
        <w:tc>
          <w:tcPr>
            <w:tcW w:w="622" w:type="dxa"/>
            <w:vMerge/>
            <w:tcBorders>
              <w:left w:val="single" w:sz="4" w:space="0" w:color="auto"/>
              <w:right w:val="single" w:sz="4" w:space="0" w:color="auto"/>
            </w:tcBorders>
            <w:vAlign w:val="center"/>
          </w:tcPr>
          <w:p w14:paraId="2EF13EF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7809BC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القانوني والسياسي</w:t>
            </w:r>
          </w:p>
        </w:tc>
        <w:tc>
          <w:tcPr>
            <w:tcW w:w="3655" w:type="dxa"/>
            <w:tcBorders>
              <w:top w:val="single" w:sz="4" w:space="0" w:color="auto"/>
              <w:left w:val="single" w:sz="4" w:space="0" w:color="auto"/>
              <w:bottom w:val="single" w:sz="4" w:space="0" w:color="auto"/>
              <w:right w:val="single" w:sz="4" w:space="0" w:color="auto"/>
            </w:tcBorders>
          </w:tcPr>
          <w:p w14:paraId="2894901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أهمية الالتزام بالأنظمة الدولية والاتفاقيات الثنائية لضمان عدالة وشفافية التجارة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67EAC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3BA62E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1429D0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238F786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520BC7B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28FA64D8"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BCEBE10" w14:textId="77777777" w:rsidTr="00C16C3D">
        <w:trPr>
          <w:trHeight w:val="20"/>
        </w:trPr>
        <w:tc>
          <w:tcPr>
            <w:tcW w:w="368" w:type="dxa"/>
            <w:tcBorders>
              <w:top w:val="single" w:sz="4" w:space="0" w:color="auto"/>
              <w:bottom w:val="single" w:sz="4" w:space="0" w:color="auto"/>
              <w:right w:val="single" w:sz="4" w:space="0" w:color="auto"/>
            </w:tcBorders>
            <w:vAlign w:val="center"/>
          </w:tcPr>
          <w:p w14:paraId="52B8E199" w14:textId="5B72363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8</w:t>
            </w:r>
          </w:p>
        </w:tc>
        <w:tc>
          <w:tcPr>
            <w:tcW w:w="622" w:type="dxa"/>
            <w:vMerge/>
            <w:tcBorders>
              <w:left w:val="single" w:sz="4" w:space="0" w:color="auto"/>
              <w:right w:val="single" w:sz="4" w:space="0" w:color="auto"/>
            </w:tcBorders>
            <w:vAlign w:val="center"/>
          </w:tcPr>
          <w:p w14:paraId="19B38E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1872E35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A8782C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تطبيق إجراءات جمركية تحمي الصناعات المحلية وتحد من النزاعات التجارية الدولية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BB1CD4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3F1D490E" w14:textId="7418CBC1" w:rsidR="001D7399" w:rsidRPr="00490CC6" w:rsidRDefault="00BC22A0"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618868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4914CBC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3DDB3BCF"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1E9240D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18628C92"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55E67F7" w14:textId="479628CE"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9</w:t>
            </w:r>
          </w:p>
        </w:tc>
        <w:tc>
          <w:tcPr>
            <w:tcW w:w="622" w:type="dxa"/>
            <w:vMerge/>
            <w:tcBorders>
              <w:left w:val="single" w:sz="4" w:space="0" w:color="auto"/>
              <w:right w:val="single" w:sz="4" w:space="0" w:color="auto"/>
            </w:tcBorders>
            <w:vAlign w:val="center"/>
          </w:tcPr>
          <w:p w14:paraId="41C76E2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1ADAD9D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الاجتماعي والثقافي</w:t>
            </w:r>
          </w:p>
        </w:tc>
        <w:tc>
          <w:tcPr>
            <w:tcW w:w="3655" w:type="dxa"/>
            <w:tcBorders>
              <w:top w:val="single" w:sz="4" w:space="0" w:color="auto"/>
              <w:left w:val="single" w:sz="4" w:space="0" w:color="auto"/>
              <w:bottom w:val="single" w:sz="4" w:space="0" w:color="auto"/>
              <w:right w:val="single" w:sz="4" w:space="0" w:color="auto"/>
            </w:tcBorders>
          </w:tcPr>
          <w:p w14:paraId="58E4D67D"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التجارة العالمية تُسهم في خلق فرص عمل وتحفيز النمو الاجتماعي للمجتمعات المحلية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E05662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31</w:t>
            </w:r>
          </w:p>
        </w:tc>
        <w:tc>
          <w:tcPr>
            <w:tcW w:w="539" w:type="dxa"/>
            <w:tcBorders>
              <w:top w:val="single" w:sz="4" w:space="0" w:color="auto"/>
              <w:left w:val="single" w:sz="4" w:space="0" w:color="auto"/>
              <w:bottom w:val="single" w:sz="4" w:space="0" w:color="auto"/>
              <w:right w:val="single" w:sz="4" w:space="0" w:color="auto"/>
            </w:tcBorders>
            <w:vAlign w:val="center"/>
          </w:tcPr>
          <w:p w14:paraId="102BEF56"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0089669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8</w:t>
            </w:r>
          </w:p>
        </w:tc>
        <w:tc>
          <w:tcPr>
            <w:tcW w:w="566" w:type="dxa"/>
            <w:tcBorders>
              <w:top w:val="single" w:sz="4" w:space="0" w:color="auto"/>
              <w:left w:val="single" w:sz="4" w:space="0" w:color="auto"/>
              <w:bottom w:val="single" w:sz="4" w:space="0" w:color="auto"/>
              <w:right w:val="single" w:sz="4" w:space="0" w:color="auto"/>
            </w:tcBorders>
            <w:vAlign w:val="center"/>
          </w:tcPr>
          <w:p w14:paraId="3230CEF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20%</w:t>
            </w:r>
          </w:p>
        </w:tc>
        <w:tc>
          <w:tcPr>
            <w:tcW w:w="613" w:type="dxa"/>
            <w:tcBorders>
              <w:top w:val="single" w:sz="4" w:space="0" w:color="auto"/>
              <w:left w:val="single" w:sz="4" w:space="0" w:color="auto"/>
              <w:bottom w:val="single" w:sz="4" w:space="0" w:color="auto"/>
              <w:right w:val="single" w:sz="4" w:space="0" w:color="auto"/>
            </w:tcBorders>
            <w:vAlign w:val="center"/>
          </w:tcPr>
          <w:p w14:paraId="158006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6B96EF2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w:t>
            </w:r>
          </w:p>
        </w:tc>
      </w:tr>
      <w:tr w:rsidR="001D7399" w:rsidRPr="00202E2A" w14:paraId="7947B95D" w14:textId="77777777" w:rsidTr="00C16C3D">
        <w:trPr>
          <w:trHeight w:val="126"/>
        </w:trPr>
        <w:tc>
          <w:tcPr>
            <w:tcW w:w="368" w:type="dxa"/>
            <w:tcBorders>
              <w:top w:val="single" w:sz="4" w:space="0" w:color="auto"/>
              <w:bottom w:val="single" w:sz="18" w:space="0" w:color="auto"/>
              <w:right w:val="single" w:sz="4" w:space="0" w:color="auto"/>
            </w:tcBorders>
            <w:vAlign w:val="center"/>
          </w:tcPr>
          <w:p w14:paraId="17B7789C" w14:textId="66A83E5A"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10</w:t>
            </w:r>
          </w:p>
        </w:tc>
        <w:tc>
          <w:tcPr>
            <w:tcW w:w="622" w:type="dxa"/>
            <w:vMerge/>
            <w:tcBorders>
              <w:left w:val="single" w:sz="4" w:space="0" w:color="auto"/>
              <w:bottom w:val="single" w:sz="18" w:space="0" w:color="auto"/>
              <w:right w:val="single" w:sz="4" w:space="0" w:color="auto"/>
            </w:tcBorders>
            <w:vAlign w:val="center"/>
          </w:tcPr>
          <w:p w14:paraId="749ABB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6F1E04B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tcPr>
          <w:p w14:paraId="6DA7642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أفضل الحفاظ على الهوية الثقافية من خلال دعم المنتجات الوطنية وتشجيع ممارسات التجارة العادلة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49BA02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18" w:space="0" w:color="auto"/>
              <w:right w:val="single" w:sz="4" w:space="0" w:color="auto"/>
            </w:tcBorders>
            <w:vAlign w:val="center"/>
          </w:tcPr>
          <w:p w14:paraId="7FF592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18" w:space="0" w:color="auto"/>
              <w:right w:val="single" w:sz="4" w:space="0" w:color="auto"/>
            </w:tcBorders>
            <w:vAlign w:val="center"/>
          </w:tcPr>
          <w:p w14:paraId="0B12EFC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18" w:space="0" w:color="auto"/>
              <w:right w:val="single" w:sz="4" w:space="0" w:color="auto"/>
            </w:tcBorders>
            <w:vAlign w:val="center"/>
          </w:tcPr>
          <w:p w14:paraId="7085A96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18" w:space="0" w:color="auto"/>
              <w:right w:val="single" w:sz="4" w:space="0" w:color="auto"/>
            </w:tcBorders>
            <w:vAlign w:val="center"/>
          </w:tcPr>
          <w:p w14:paraId="52C044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18" w:space="0" w:color="auto"/>
            </w:tcBorders>
            <w:vAlign w:val="center"/>
          </w:tcPr>
          <w:p w14:paraId="3500C30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26ACE31F" w14:textId="77777777" w:rsidTr="00C16C3D">
        <w:trPr>
          <w:trHeight w:val="188"/>
        </w:trPr>
        <w:tc>
          <w:tcPr>
            <w:tcW w:w="368" w:type="dxa"/>
            <w:tcBorders>
              <w:top w:val="single" w:sz="18" w:space="0" w:color="auto"/>
              <w:bottom w:val="single" w:sz="4" w:space="0" w:color="auto"/>
              <w:right w:val="single" w:sz="4" w:space="0" w:color="auto"/>
            </w:tcBorders>
            <w:vAlign w:val="center"/>
          </w:tcPr>
          <w:p w14:paraId="4F9F175A" w14:textId="5F6CE28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11</w:t>
            </w:r>
          </w:p>
        </w:tc>
        <w:tc>
          <w:tcPr>
            <w:tcW w:w="622" w:type="dxa"/>
            <w:vMerge w:val="restart"/>
            <w:tcBorders>
              <w:top w:val="single" w:sz="18" w:space="0" w:color="auto"/>
              <w:left w:val="single" w:sz="4" w:space="0" w:color="auto"/>
              <w:right w:val="single" w:sz="4" w:space="0" w:color="auto"/>
            </w:tcBorders>
            <w:vAlign w:val="center"/>
          </w:tcPr>
          <w:p w14:paraId="254FA732" w14:textId="4CAE59D5"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w:t>
            </w:r>
            <w:r w:rsidR="00744D05" w:rsidRPr="00490CC6">
              <w:rPr>
                <w:rFonts w:asciiTheme="majorBidi" w:hAnsiTheme="majorBidi" w:cstheme="majorBidi" w:hint="cs"/>
                <w:b/>
                <w:bCs/>
                <w:sz w:val="20"/>
                <w:szCs w:val="20"/>
                <w:rtl/>
                <w:lang w:bidi="ar-EG"/>
              </w:rPr>
              <w:t>ي</w:t>
            </w:r>
            <w:r w:rsidRPr="00490CC6">
              <w:rPr>
                <w:rFonts w:asciiTheme="majorBidi" w:hAnsiTheme="majorBidi" w:cstheme="majorBidi"/>
                <w:b/>
                <w:bCs/>
                <w:sz w:val="20"/>
                <w:szCs w:val="20"/>
                <w:rtl/>
                <w:lang w:bidi="ar-EG"/>
              </w:rPr>
              <w:t>سير التجارة</w:t>
            </w:r>
          </w:p>
        </w:tc>
        <w:tc>
          <w:tcPr>
            <w:tcW w:w="2067" w:type="dxa"/>
            <w:vMerge w:val="restart"/>
            <w:tcBorders>
              <w:top w:val="single" w:sz="18" w:space="0" w:color="auto"/>
              <w:left w:val="single" w:sz="4" w:space="0" w:color="auto"/>
              <w:right w:val="single" w:sz="4" w:space="0" w:color="auto"/>
            </w:tcBorders>
            <w:vAlign w:val="center"/>
          </w:tcPr>
          <w:p w14:paraId="7BCDF84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الاقتصادي</w:t>
            </w:r>
          </w:p>
        </w:tc>
        <w:tc>
          <w:tcPr>
            <w:tcW w:w="3655" w:type="dxa"/>
            <w:tcBorders>
              <w:top w:val="single" w:sz="18" w:space="0" w:color="auto"/>
              <w:left w:val="single" w:sz="4" w:space="0" w:color="auto"/>
              <w:bottom w:val="single" w:sz="4" w:space="0" w:color="auto"/>
              <w:right w:val="single" w:sz="4" w:space="0" w:color="auto"/>
            </w:tcBorders>
          </w:tcPr>
          <w:p w14:paraId="27BB0188"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إدارة العرض والطلب تلعب دورًا حاسمًا في تعزيز النمو الاقتصادي وزيادة الصادرات</w:t>
            </w:r>
            <w:r w:rsidRPr="00490CC6">
              <w:rPr>
                <w:rFonts w:asciiTheme="majorBidi" w:hAnsiTheme="majorBidi" w:cstheme="majorBidi"/>
                <w:b/>
                <w:bCs/>
                <w:sz w:val="20"/>
                <w:szCs w:val="20"/>
                <w:lang w:bidi="ar-EG"/>
              </w:rPr>
              <w:t>.</w:t>
            </w:r>
          </w:p>
        </w:tc>
        <w:tc>
          <w:tcPr>
            <w:tcW w:w="613" w:type="dxa"/>
            <w:tcBorders>
              <w:top w:val="single" w:sz="18" w:space="0" w:color="auto"/>
              <w:left w:val="single" w:sz="4" w:space="0" w:color="auto"/>
              <w:bottom w:val="single" w:sz="4" w:space="0" w:color="auto"/>
              <w:right w:val="single" w:sz="4" w:space="0" w:color="auto"/>
            </w:tcBorders>
            <w:vAlign w:val="center"/>
          </w:tcPr>
          <w:p w14:paraId="4C367F5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539" w:type="dxa"/>
            <w:tcBorders>
              <w:top w:val="single" w:sz="18" w:space="0" w:color="auto"/>
              <w:left w:val="single" w:sz="4" w:space="0" w:color="auto"/>
              <w:bottom w:val="single" w:sz="4" w:space="0" w:color="auto"/>
              <w:right w:val="single" w:sz="4" w:space="0" w:color="auto"/>
            </w:tcBorders>
            <w:vAlign w:val="center"/>
          </w:tcPr>
          <w:p w14:paraId="61C125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95%</w:t>
            </w:r>
          </w:p>
        </w:tc>
        <w:tc>
          <w:tcPr>
            <w:tcW w:w="613" w:type="dxa"/>
            <w:tcBorders>
              <w:top w:val="single" w:sz="18" w:space="0" w:color="auto"/>
              <w:left w:val="single" w:sz="4" w:space="0" w:color="auto"/>
              <w:bottom w:val="single" w:sz="4" w:space="0" w:color="auto"/>
              <w:right w:val="single" w:sz="4" w:space="0" w:color="auto"/>
            </w:tcBorders>
            <w:vAlign w:val="center"/>
          </w:tcPr>
          <w:p w14:paraId="49C845A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566" w:type="dxa"/>
            <w:tcBorders>
              <w:top w:val="single" w:sz="18" w:space="0" w:color="auto"/>
              <w:left w:val="single" w:sz="4" w:space="0" w:color="auto"/>
              <w:bottom w:val="single" w:sz="4" w:space="0" w:color="auto"/>
              <w:right w:val="single" w:sz="4" w:space="0" w:color="auto"/>
            </w:tcBorders>
            <w:vAlign w:val="center"/>
          </w:tcPr>
          <w:p w14:paraId="2324698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613" w:type="dxa"/>
            <w:tcBorders>
              <w:top w:val="single" w:sz="18" w:space="0" w:color="auto"/>
              <w:left w:val="single" w:sz="4" w:space="0" w:color="auto"/>
              <w:bottom w:val="single" w:sz="4" w:space="0" w:color="auto"/>
              <w:right w:val="single" w:sz="4" w:space="0" w:color="auto"/>
            </w:tcBorders>
            <w:vAlign w:val="center"/>
          </w:tcPr>
          <w:p w14:paraId="46F0A4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18" w:space="0" w:color="auto"/>
              <w:left w:val="single" w:sz="4" w:space="0" w:color="auto"/>
              <w:bottom w:val="single" w:sz="4" w:space="0" w:color="auto"/>
            </w:tcBorders>
            <w:vAlign w:val="center"/>
          </w:tcPr>
          <w:p w14:paraId="18E8666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5784FC87" w14:textId="77777777" w:rsidTr="00C16C3D">
        <w:trPr>
          <w:trHeight w:val="90"/>
        </w:trPr>
        <w:tc>
          <w:tcPr>
            <w:tcW w:w="368" w:type="dxa"/>
            <w:tcBorders>
              <w:top w:val="single" w:sz="4" w:space="0" w:color="auto"/>
              <w:bottom w:val="single" w:sz="4" w:space="0" w:color="auto"/>
              <w:right w:val="single" w:sz="4" w:space="0" w:color="auto"/>
            </w:tcBorders>
            <w:vAlign w:val="center"/>
          </w:tcPr>
          <w:p w14:paraId="5191D91A" w14:textId="6F3B3B18"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12</w:t>
            </w:r>
          </w:p>
        </w:tc>
        <w:tc>
          <w:tcPr>
            <w:tcW w:w="622" w:type="dxa"/>
            <w:vMerge/>
            <w:tcBorders>
              <w:left w:val="single" w:sz="4" w:space="0" w:color="auto"/>
              <w:right w:val="single" w:sz="4" w:space="0" w:color="auto"/>
            </w:tcBorders>
            <w:vAlign w:val="center"/>
          </w:tcPr>
          <w:p w14:paraId="6342A72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F13E59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95C1BA4"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أن يُتاح الانفتاح على الأسواق العالمية لتحقيق توازن أفضل بين الإنتاج المحلي والاستيراد</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D9D1C2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29</w:t>
            </w:r>
          </w:p>
        </w:tc>
        <w:tc>
          <w:tcPr>
            <w:tcW w:w="539" w:type="dxa"/>
            <w:tcBorders>
              <w:top w:val="single" w:sz="4" w:space="0" w:color="auto"/>
              <w:left w:val="single" w:sz="4" w:space="0" w:color="auto"/>
              <w:bottom w:val="single" w:sz="4" w:space="0" w:color="auto"/>
              <w:right w:val="single" w:sz="4" w:space="0" w:color="auto"/>
            </w:tcBorders>
            <w:vAlign w:val="center"/>
          </w:tcPr>
          <w:p w14:paraId="7F4CBE47" w14:textId="51E6E7F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3E2CB50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5428FA72" w14:textId="4D55E96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27</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431CD6C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4467A72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628B519F" w14:textId="77777777" w:rsidTr="00C16C3D">
        <w:trPr>
          <w:trHeight w:val="19"/>
        </w:trPr>
        <w:tc>
          <w:tcPr>
            <w:tcW w:w="368" w:type="dxa"/>
            <w:tcBorders>
              <w:top w:val="single" w:sz="4" w:space="0" w:color="auto"/>
              <w:bottom w:val="single" w:sz="4" w:space="0" w:color="auto"/>
              <w:right w:val="single" w:sz="4" w:space="0" w:color="auto"/>
            </w:tcBorders>
            <w:vAlign w:val="center"/>
          </w:tcPr>
          <w:p w14:paraId="23D8B411" w14:textId="4E56F0B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13</w:t>
            </w:r>
          </w:p>
        </w:tc>
        <w:tc>
          <w:tcPr>
            <w:tcW w:w="622" w:type="dxa"/>
            <w:vMerge/>
            <w:tcBorders>
              <w:left w:val="single" w:sz="4" w:space="0" w:color="auto"/>
              <w:right w:val="single" w:sz="4" w:space="0" w:color="auto"/>
            </w:tcBorders>
            <w:vAlign w:val="center"/>
          </w:tcPr>
          <w:p w14:paraId="4B80AEA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2B99C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التكنولوجي</w:t>
            </w:r>
          </w:p>
        </w:tc>
        <w:tc>
          <w:tcPr>
            <w:tcW w:w="3655" w:type="dxa"/>
            <w:tcBorders>
              <w:top w:val="single" w:sz="4" w:space="0" w:color="auto"/>
              <w:left w:val="single" w:sz="4" w:space="0" w:color="auto"/>
              <w:bottom w:val="single" w:sz="4" w:space="0" w:color="auto"/>
              <w:right w:val="single" w:sz="4" w:space="0" w:color="auto"/>
            </w:tcBorders>
          </w:tcPr>
          <w:p w14:paraId="45AF23E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تبني التقنيات الرقمية مثل الذكاء الاصطناعي و</w:t>
            </w:r>
            <w:r w:rsidRPr="00490CC6">
              <w:rPr>
                <w:rFonts w:asciiTheme="majorBidi" w:hAnsiTheme="majorBidi" w:cstheme="majorBidi"/>
                <w:b/>
                <w:bCs/>
                <w:sz w:val="20"/>
                <w:szCs w:val="20"/>
                <w:lang w:bidi="ar-EG"/>
              </w:rPr>
              <w:t xml:space="preserve">Blockchain </w:t>
            </w:r>
            <w:r w:rsidRPr="00490CC6">
              <w:rPr>
                <w:rFonts w:asciiTheme="majorBidi" w:hAnsiTheme="majorBidi" w:cstheme="majorBidi"/>
                <w:b/>
                <w:bCs/>
                <w:sz w:val="20"/>
                <w:szCs w:val="20"/>
                <w:rtl/>
                <w:lang w:bidi="ar-EG"/>
              </w:rPr>
              <w:t>يُحسّن كفاءة سلاسل التوريد ويقلل من التزوير</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B01F3A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4EDC64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0DC860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570DCA0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470B42B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160BECE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65CE2430" w14:textId="77777777" w:rsidTr="00C16C3D">
        <w:trPr>
          <w:trHeight w:val="189"/>
        </w:trPr>
        <w:tc>
          <w:tcPr>
            <w:tcW w:w="368" w:type="dxa"/>
            <w:tcBorders>
              <w:top w:val="single" w:sz="4" w:space="0" w:color="auto"/>
              <w:bottom w:val="single" w:sz="4" w:space="0" w:color="auto"/>
              <w:right w:val="single" w:sz="4" w:space="0" w:color="auto"/>
            </w:tcBorders>
            <w:vAlign w:val="center"/>
          </w:tcPr>
          <w:p w14:paraId="15C73175" w14:textId="785CA292"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14</w:t>
            </w:r>
          </w:p>
        </w:tc>
        <w:tc>
          <w:tcPr>
            <w:tcW w:w="622" w:type="dxa"/>
            <w:vMerge/>
            <w:tcBorders>
              <w:left w:val="single" w:sz="4" w:space="0" w:color="auto"/>
              <w:right w:val="single" w:sz="4" w:space="0" w:color="auto"/>
            </w:tcBorders>
            <w:vAlign w:val="center"/>
          </w:tcPr>
          <w:p w14:paraId="15C1102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A964A7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2B29E7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استثمار المزيد من الموارد في التحول الرقمي لتجسير الفجوات التكنولوجية بين الدول</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97593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34</w:t>
            </w:r>
          </w:p>
        </w:tc>
        <w:tc>
          <w:tcPr>
            <w:tcW w:w="539" w:type="dxa"/>
            <w:tcBorders>
              <w:top w:val="single" w:sz="4" w:space="0" w:color="auto"/>
              <w:left w:val="single" w:sz="4" w:space="0" w:color="auto"/>
              <w:bottom w:val="single" w:sz="4" w:space="0" w:color="auto"/>
              <w:right w:val="single" w:sz="4" w:space="0" w:color="auto"/>
            </w:tcBorders>
            <w:vAlign w:val="center"/>
          </w:tcPr>
          <w:p w14:paraId="2EBA640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85%</w:t>
            </w:r>
          </w:p>
        </w:tc>
        <w:tc>
          <w:tcPr>
            <w:tcW w:w="613" w:type="dxa"/>
            <w:tcBorders>
              <w:top w:val="single" w:sz="4" w:space="0" w:color="auto"/>
              <w:left w:val="single" w:sz="4" w:space="0" w:color="auto"/>
              <w:bottom w:val="single" w:sz="4" w:space="0" w:color="auto"/>
              <w:right w:val="single" w:sz="4" w:space="0" w:color="auto"/>
            </w:tcBorders>
            <w:vAlign w:val="center"/>
          </w:tcPr>
          <w:p w14:paraId="3F9CB0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w:t>
            </w:r>
          </w:p>
        </w:tc>
        <w:tc>
          <w:tcPr>
            <w:tcW w:w="566" w:type="dxa"/>
            <w:tcBorders>
              <w:top w:val="single" w:sz="4" w:space="0" w:color="auto"/>
              <w:left w:val="single" w:sz="4" w:space="0" w:color="auto"/>
              <w:bottom w:val="single" w:sz="4" w:space="0" w:color="auto"/>
              <w:right w:val="single" w:sz="4" w:space="0" w:color="auto"/>
            </w:tcBorders>
            <w:vAlign w:val="center"/>
          </w:tcPr>
          <w:p w14:paraId="792AC77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613" w:type="dxa"/>
            <w:tcBorders>
              <w:top w:val="single" w:sz="4" w:space="0" w:color="auto"/>
              <w:left w:val="single" w:sz="4" w:space="0" w:color="auto"/>
              <w:bottom w:val="single" w:sz="4" w:space="0" w:color="auto"/>
              <w:right w:val="single" w:sz="4" w:space="0" w:color="auto"/>
            </w:tcBorders>
            <w:vAlign w:val="center"/>
          </w:tcPr>
          <w:p w14:paraId="7932A18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266AAF2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056731AE" w14:textId="77777777" w:rsidTr="00C16C3D">
        <w:trPr>
          <w:trHeight w:val="19"/>
        </w:trPr>
        <w:tc>
          <w:tcPr>
            <w:tcW w:w="368" w:type="dxa"/>
            <w:tcBorders>
              <w:top w:val="single" w:sz="4" w:space="0" w:color="auto"/>
              <w:bottom w:val="single" w:sz="4" w:space="0" w:color="auto"/>
              <w:right w:val="single" w:sz="4" w:space="0" w:color="auto"/>
            </w:tcBorders>
            <w:vAlign w:val="center"/>
          </w:tcPr>
          <w:p w14:paraId="304F280B" w14:textId="15E1D92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15</w:t>
            </w:r>
          </w:p>
        </w:tc>
        <w:tc>
          <w:tcPr>
            <w:tcW w:w="622" w:type="dxa"/>
            <w:vMerge/>
            <w:tcBorders>
              <w:left w:val="single" w:sz="4" w:space="0" w:color="auto"/>
              <w:right w:val="single" w:sz="4" w:space="0" w:color="auto"/>
            </w:tcBorders>
            <w:vAlign w:val="center"/>
          </w:tcPr>
          <w:p w14:paraId="67C009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D32EBD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تقليل التهرب الضريبي وتعزيز الامتثال</w:t>
            </w:r>
          </w:p>
        </w:tc>
        <w:tc>
          <w:tcPr>
            <w:tcW w:w="3655" w:type="dxa"/>
            <w:tcBorders>
              <w:top w:val="single" w:sz="4" w:space="0" w:color="auto"/>
              <w:left w:val="single" w:sz="4" w:space="0" w:color="auto"/>
              <w:bottom w:val="single" w:sz="4" w:space="0" w:color="auto"/>
              <w:right w:val="single" w:sz="4" w:space="0" w:color="auto"/>
            </w:tcBorders>
          </w:tcPr>
          <w:p w14:paraId="358DF7B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تطبيق أنظمة الفوترة الإلكترونية يعزز الشفافية ويحد من فرص التهرب الضريبي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264D6D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1192A1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4155984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0BBEAF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2D555E6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3F1435F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335BF743" w14:textId="77777777" w:rsidTr="00C16C3D">
        <w:trPr>
          <w:trHeight w:val="20"/>
        </w:trPr>
        <w:tc>
          <w:tcPr>
            <w:tcW w:w="368" w:type="dxa"/>
            <w:tcBorders>
              <w:top w:val="single" w:sz="4" w:space="0" w:color="auto"/>
              <w:bottom w:val="single" w:sz="4" w:space="0" w:color="auto"/>
              <w:right w:val="single" w:sz="4" w:space="0" w:color="auto"/>
            </w:tcBorders>
            <w:vAlign w:val="center"/>
          </w:tcPr>
          <w:p w14:paraId="62E997BB" w14:textId="6F6B3703"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16</w:t>
            </w:r>
          </w:p>
        </w:tc>
        <w:tc>
          <w:tcPr>
            <w:tcW w:w="622" w:type="dxa"/>
            <w:vMerge/>
            <w:tcBorders>
              <w:left w:val="single" w:sz="4" w:space="0" w:color="auto"/>
              <w:right w:val="single" w:sz="4" w:space="0" w:color="auto"/>
            </w:tcBorders>
            <w:vAlign w:val="center"/>
          </w:tcPr>
          <w:p w14:paraId="366ED1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546CC82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C4788F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استخدام تقنيات الذكاء الاصطناعي في التحليل الاستباقي للبيانات يساعد في كشف محاولات التهرب الضريبي قبل وقوعها</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F5F1F5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c>
          <w:tcPr>
            <w:tcW w:w="539" w:type="dxa"/>
            <w:tcBorders>
              <w:top w:val="single" w:sz="4" w:space="0" w:color="auto"/>
              <w:left w:val="single" w:sz="4" w:space="0" w:color="auto"/>
              <w:bottom w:val="single" w:sz="4" w:space="0" w:color="auto"/>
              <w:right w:val="single" w:sz="4" w:space="0" w:color="auto"/>
            </w:tcBorders>
            <w:vAlign w:val="center"/>
          </w:tcPr>
          <w:p w14:paraId="4F410B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87%</w:t>
            </w:r>
          </w:p>
        </w:tc>
        <w:tc>
          <w:tcPr>
            <w:tcW w:w="613" w:type="dxa"/>
            <w:tcBorders>
              <w:top w:val="single" w:sz="4" w:space="0" w:color="auto"/>
              <w:left w:val="single" w:sz="4" w:space="0" w:color="auto"/>
              <w:bottom w:val="single" w:sz="4" w:space="0" w:color="auto"/>
              <w:right w:val="single" w:sz="4" w:space="0" w:color="auto"/>
            </w:tcBorders>
            <w:vAlign w:val="center"/>
          </w:tcPr>
          <w:p w14:paraId="0D74DCA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566" w:type="dxa"/>
            <w:tcBorders>
              <w:top w:val="single" w:sz="4" w:space="0" w:color="auto"/>
              <w:left w:val="single" w:sz="4" w:space="0" w:color="auto"/>
              <w:bottom w:val="single" w:sz="4" w:space="0" w:color="auto"/>
              <w:right w:val="single" w:sz="4" w:space="0" w:color="auto"/>
            </w:tcBorders>
            <w:vAlign w:val="center"/>
          </w:tcPr>
          <w:p w14:paraId="57417E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613" w:type="dxa"/>
            <w:tcBorders>
              <w:top w:val="single" w:sz="4" w:space="0" w:color="auto"/>
              <w:left w:val="single" w:sz="4" w:space="0" w:color="auto"/>
              <w:bottom w:val="single" w:sz="4" w:space="0" w:color="auto"/>
              <w:right w:val="single" w:sz="4" w:space="0" w:color="auto"/>
            </w:tcBorders>
            <w:vAlign w:val="center"/>
          </w:tcPr>
          <w:p w14:paraId="06A1EF6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0D69EA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1D7399" w:rsidRPr="00202E2A" w14:paraId="0DF295EF" w14:textId="77777777" w:rsidTr="00C16C3D">
        <w:trPr>
          <w:trHeight w:val="20"/>
        </w:trPr>
        <w:tc>
          <w:tcPr>
            <w:tcW w:w="368" w:type="dxa"/>
            <w:tcBorders>
              <w:top w:val="single" w:sz="4" w:space="0" w:color="auto"/>
              <w:bottom w:val="single" w:sz="4" w:space="0" w:color="auto"/>
              <w:right w:val="single" w:sz="4" w:space="0" w:color="auto"/>
            </w:tcBorders>
            <w:vAlign w:val="center"/>
          </w:tcPr>
          <w:p w14:paraId="6A29A313" w14:textId="0438856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17</w:t>
            </w:r>
          </w:p>
        </w:tc>
        <w:tc>
          <w:tcPr>
            <w:tcW w:w="622" w:type="dxa"/>
            <w:vMerge/>
            <w:tcBorders>
              <w:left w:val="single" w:sz="4" w:space="0" w:color="auto"/>
              <w:right w:val="single" w:sz="4" w:space="0" w:color="auto"/>
            </w:tcBorders>
            <w:vAlign w:val="center"/>
          </w:tcPr>
          <w:p w14:paraId="5A61F2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2" w:space="0" w:color="auto"/>
              <w:left w:val="single" w:sz="4" w:space="0" w:color="auto"/>
              <w:right w:val="single" w:sz="4" w:space="0" w:color="auto"/>
            </w:tcBorders>
            <w:vAlign w:val="center"/>
          </w:tcPr>
          <w:p w14:paraId="7AA7004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البيئي</w:t>
            </w:r>
          </w:p>
        </w:tc>
        <w:tc>
          <w:tcPr>
            <w:tcW w:w="3655" w:type="dxa"/>
            <w:tcBorders>
              <w:top w:val="single" w:sz="4" w:space="0" w:color="auto"/>
              <w:left w:val="single" w:sz="4" w:space="0" w:color="auto"/>
              <w:bottom w:val="single" w:sz="4" w:space="0" w:color="auto"/>
              <w:right w:val="single" w:sz="4" w:space="0" w:color="auto"/>
            </w:tcBorders>
            <w:vAlign w:val="center"/>
          </w:tcPr>
          <w:p w14:paraId="73C3920A"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تعزيز التجارة الخضراء والمنتجات الصديقة للبيئة يُقلل من البصمة الكربونية ويساهم في الاستدامة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30C6847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AD3B1C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3658DBA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9EEF81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2FAFAE0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01B4BE3B"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48757579" w14:textId="77777777" w:rsidTr="00C16C3D">
        <w:trPr>
          <w:trHeight w:val="20"/>
        </w:trPr>
        <w:tc>
          <w:tcPr>
            <w:tcW w:w="368" w:type="dxa"/>
            <w:tcBorders>
              <w:top w:val="single" w:sz="4" w:space="0" w:color="auto"/>
              <w:bottom w:val="single" w:sz="18" w:space="0" w:color="auto"/>
              <w:right w:val="single" w:sz="4" w:space="0" w:color="auto"/>
            </w:tcBorders>
            <w:vAlign w:val="center"/>
          </w:tcPr>
          <w:p w14:paraId="2E6EA3A8" w14:textId="17F112D1"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18</w:t>
            </w:r>
          </w:p>
        </w:tc>
        <w:tc>
          <w:tcPr>
            <w:tcW w:w="622" w:type="dxa"/>
            <w:vMerge/>
            <w:tcBorders>
              <w:left w:val="single" w:sz="4" w:space="0" w:color="auto"/>
              <w:bottom w:val="single" w:sz="18" w:space="0" w:color="auto"/>
              <w:right w:val="single" w:sz="4" w:space="0" w:color="auto"/>
            </w:tcBorders>
            <w:vAlign w:val="center"/>
          </w:tcPr>
          <w:p w14:paraId="658926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59968E0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vAlign w:val="center"/>
          </w:tcPr>
          <w:p w14:paraId="7FD3B613" w14:textId="77777777" w:rsidR="001D7399" w:rsidRPr="00490CC6" w:rsidRDefault="001D7399" w:rsidP="0019590B">
            <w:pPr>
              <w:bidi/>
              <w:spacing w:line="276" w:lineRule="auto"/>
              <w:jc w:val="lowKashida"/>
              <w:rPr>
                <w:rFonts w:asciiTheme="majorBidi" w:hAnsiTheme="majorBidi" w:cstheme="majorBidi"/>
                <w:b/>
                <w:bCs/>
                <w:sz w:val="20"/>
                <w:szCs w:val="20"/>
                <w:lang w:bidi="ar-EG"/>
              </w:rPr>
            </w:pPr>
            <w:r w:rsidRPr="00490CC6">
              <w:rPr>
                <w:rFonts w:asciiTheme="majorBidi" w:hAnsiTheme="majorBidi" w:cstheme="majorBidi"/>
                <w:b/>
                <w:bCs/>
                <w:sz w:val="20"/>
                <w:szCs w:val="20"/>
                <w:rtl/>
                <w:lang w:bidi="ar-EG"/>
              </w:rPr>
              <w:t>أفضل التزام الدول بالاتفاقيات البيئية الدولية لتحقيق توازن بين الربح السريع والاستدامة البيئية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77FCE9B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18" w:space="0" w:color="auto"/>
              <w:right w:val="single" w:sz="4" w:space="0" w:color="auto"/>
            </w:tcBorders>
            <w:vAlign w:val="center"/>
          </w:tcPr>
          <w:p w14:paraId="3C9E0FA1" w14:textId="775B2DD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18" w:space="0" w:color="auto"/>
              <w:right w:val="single" w:sz="4" w:space="0" w:color="auto"/>
            </w:tcBorders>
            <w:vAlign w:val="center"/>
          </w:tcPr>
          <w:p w14:paraId="16CA75B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18" w:space="0" w:color="auto"/>
              <w:right w:val="single" w:sz="4" w:space="0" w:color="auto"/>
            </w:tcBorders>
            <w:vAlign w:val="center"/>
          </w:tcPr>
          <w:p w14:paraId="7012F2B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18" w:space="0" w:color="auto"/>
              <w:right w:val="single" w:sz="4" w:space="0" w:color="auto"/>
            </w:tcBorders>
            <w:vAlign w:val="center"/>
          </w:tcPr>
          <w:p w14:paraId="21F5BB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608" w:type="dxa"/>
            <w:tcBorders>
              <w:top w:val="single" w:sz="4" w:space="0" w:color="auto"/>
              <w:left w:val="single" w:sz="4" w:space="0" w:color="auto"/>
              <w:bottom w:val="single" w:sz="18" w:space="0" w:color="auto"/>
            </w:tcBorders>
            <w:vAlign w:val="center"/>
          </w:tcPr>
          <w:p w14:paraId="6B2A15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r>
      <w:tr w:rsidR="001D7399" w:rsidRPr="00202E2A" w14:paraId="3C2D23B3" w14:textId="77777777" w:rsidTr="003804AC">
        <w:trPr>
          <w:trHeight w:val="765"/>
        </w:trPr>
        <w:tc>
          <w:tcPr>
            <w:tcW w:w="368" w:type="dxa"/>
            <w:tcBorders>
              <w:top w:val="single" w:sz="18" w:space="0" w:color="auto"/>
              <w:bottom w:val="single" w:sz="4" w:space="0" w:color="auto"/>
              <w:right w:val="single" w:sz="4" w:space="0" w:color="auto"/>
            </w:tcBorders>
            <w:vAlign w:val="center"/>
          </w:tcPr>
          <w:p w14:paraId="5D288B2E" w14:textId="0102E9E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lastRenderedPageBreak/>
              <w:t>19</w:t>
            </w:r>
          </w:p>
        </w:tc>
        <w:tc>
          <w:tcPr>
            <w:tcW w:w="622" w:type="dxa"/>
            <w:vMerge w:val="restart"/>
            <w:tcBorders>
              <w:top w:val="single" w:sz="18" w:space="0" w:color="auto"/>
              <w:left w:val="single" w:sz="4" w:space="0" w:color="auto"/>
              <w:right w:val="single" w:sz="4" w:space="0" w:color="auto"/>
            </w:tcBorders>
            <w:vAlign w:val="center"/>
          </w:tcPr>
          <w:p w14:paraId="777056F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التحول</w:t>
            </w:r>
          </w:p>
          <w:p w14:paraId="2BC4900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 الرقمي</w:t>
            </w:r>
          </w:p>
        </w:tc>
        <w:tc>
          <w:tcPr>
            <w:tcW w:w="2067" w:type="dxa"/>
            <w:vMerge w:val="restart"/>
            <w:tcBorders>
              <w:top w:val="single" w:sz="18" w:space="0" w:color="auto"/>
              <w:left w:val="single" w:sz="4" w:space="0" w:color="auto"/>
              <w:right w:val="single" w:sz="4" w:space="0" w:color="auto"/>
            </w:tcBorders>
            <w:vAlign w:val="center"/>
          </w:tcPr>
          <w:p w14:paraId="2ED73298" w14:textId="7E51CF40" w:rsidR="001D7399"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الأسس الرقمية </w:t>
            </w:r>
          </w:p>
        </w:tc>
        <w:tc>
          <w:tcPr>
            <w:tcW w:w="3655" w:type="dxa"/>
            <w:tcBorders>
              <w:top w:val="single" w:sz="18" w:space="0" w:color="auto"/>
              <w:left w:val="single" w:sz="4" w:space="0" w:color="auto"/>
              <w:bottom w:val="single" w:sz="4" w:space="0" w:color="auto"/>
              <w:right w:val="single" w:sz="4" w:space="0" w:color="auto"/>
            </w:tcBorders>
            <w:vAlign w:val="center"/>
          </w:tcPr>
          <w:p w14:paraId="10BCABF7"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يؤدي زيادة معدلات استخدام تكنولوجيا المعلومات من قبل الشركات والأفراد والهيئات الحكومية، وتعزيز التعاون وتبادل المعرفة داخل الحكومة إلي تحقيق استراتيجية الهيئة في التحول الرقمي.</w:t>
            </w:r>
          </w:p>
        </w:tc>
        <w:tc>
          <w:tcPr>
            <w:tcW w:w="613" w:type="dxa"/>
            <w:tcBorders>
              <w:top w:val="single" w:sz="18" w:space="0" w:color="auto"/>
              <w:left w:val="single" w:sz="4" w:space="0" w:color="auto"/>
              <w:bottom w:val="single" w:sz="4" w:space="0" w:color="auto"/>
              <w:right w:val="single" w:sz="4" w:space="0" w:color="auto"/>
            </w:tcBorders>
            <w:vAlign w:val="center"/>
          </w:tcPr>
          <w:p w14:paraId="311DE5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31</w:t>
            </w:r>
          </w:p>
        </w:tc>
        <w:tc>
          <w:tcPr>
            <w:tcW w:w="539" w:type="dxa"/>
            <w:tcBorders>
              <w:top w:val="single" w:sz="18" w:space="0" w:color="auto"/>
              <w:left w:val="single" w:sz="4" w:space="0" w:color="auto"/>
              <w:bottom w:val="single" w:sz="4" w:space="0" w:color="auto"/>
              <w:right w:val="single" w:sz="4" w:space="0" w:color="auto"/>
            </w:tcBorders>
            <w:vAlign w:val="center"/>
          </w:tcPr>
          <w:p w14:paraId="630566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77%</w:t>
            </w:r>
          </w:p>
        </w:tc>
        <w:tc>
          <w:tcPr>
            <w:tcW w:w="613" w:type="dxa"/>
            <w:tcBorders>
              <w:top w:val="single" w:sz="18" w:space="0" w:color="auto"/>
              <w:left w:val="single" w:sz="4" w:space="0" w:color="auto"/>
              <w:bottom w:val="single" w:sz="4" w:space="0" w:color="auto"/>
              <w:right w:val="single" w:sz="4" w:space="0" w:color="auto"/>
            </w:tcBorders>
            <w:vAlign w:val="center"/>
          </w:tcPr>
          <w:p w14:paraId="6127E6B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c>
          <w:tcPr>
            <w:tcW w:w="566" w:type="dxa"/>
            <w:tcBorders>
              <w:top w:val="single" w:sz="18" w:space="0" w:color="auto"/>
              <w:left w:val="single" w:sz="4" w:space="0" w:color="auto"/>
              <w:bottom w:val="single" w:sz="4" w:space="0" w:color="auto"/>
              <w:right w:val="single" w:sz="4" w:space="0" w:color="auto"/>
            </w:tcBorders>
            <w:vAlign w:val="center"/>
          </w:tcPr>
          <w:p w14:paraId="52CBFCC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613" w:type="dxa"/>
            <w:tcBorders>
              <w:top w:val="single" w:sz="18" w:space="0" w:color="auto"/>
              <w:left w:val="single" w:sz="4" w:space="0" w:color="auto"/>
              <w:bottom w:val="single" w:sz="4" w:space="0" w:color="auto"/>
              <w:right w:val="single" w:sz="4" w:space="0" w:color="auto"/>
            </w:tcBorders>
            <w:vAlign w:val="center"/>
          </w:tcPr>
          <w:p w14:paraId="76AE7FB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18" w:space="0" w:color="auto"/>
              <w:left w:val="single" w:sz="4" w:space="0" w:color="auto"/>
              <w:bottom w:val="single" w:sz="4" w:space="0" w:color="auto"/>
            </w:tcBorders>
            <w:vAlign w:val="center"/>
          </w:tcPr>
          <w:p w14:paraId="1F668C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C16C3D" w:rsidRPr="00202E2A" w14:paraId="6AAC851F" w14:textId="77777777" w:rsidTr="00C16C3D">
        <w:trPr>
          <w:trHeight w:val="315"/>
        </w:trPr>
        <w:tc>
          <w:tcPr>
            <w:tcW w:w="368" w:type="dxa"/>
            <w:tcBorders>
              <w:top w:val="single" w:sz="4" w:space="0" w:color="auto"/>
              <w:bottom w:val="single" w:sz="4" w:space="0" w:color="auto"/>
              <w:right w:val="single" w:sz="4" w:space="0" w:color="auto"/>
            </w:tcBorders>
          </w:tcPr>
          <w:p w14:paraId="2ABF5A81" w14:textId="6B46EA8D"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20</w:t>
            </w:r>
          </w:p>
        </w:tc>
        <w:tc>
          <w:tcPr>
            <w:tcW w:w="622" w:type="dxa"/>
            <w:vMerge/>
            <w:tcBorders>
              <w:left w:val="single" w:sz="4" w:space="0" w:color="auto"/>
              <w:right w:val="single" w:sz="4" w:space="0" w:color="auto"/>
            </w:tcBorders>
            <w:vAlign w:val="center"/>
          </w:tcPr>
          <w:p w14:paraId="09FFBD7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31527D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4DA67597" w14:textId="77777777" w:rsidR="00C16C3D" w:rsidRPr="00490CC6" w:rsidRDefault="00C16C3D"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هل هناك القوانين اللازمة واللوائح التنظيمية التي تسمح للحكومة بالاستفادة من الإمكانات اللازمة التحول الرقمي، وتوفير الخدمات عبر الانترنت وضمان الخصوصية والامن السيبراني.</w:t>
            </w:r>
          </w:p>
        </w:tc>
        <w:tc>
          <w:tcPr>
            <w:tcW w:w="613" w:type="dxa"/>
            <w:tcBorders>
              <w:top w:val="single" w:sz="4" w:space="0" w:color="auto"/>
              <w:left w:val="single" w:sz="4" w:space="0" w:color="auto"/>
              <w:bottom w:val="single" w:sz="4" w:space="0" w:color="auto"/>
              <w:right w:val="single" w:sz="4" w:space="0" w:color="auto"/>
            </w:tcBorders>
            <w:vAlign w:val="center"/>
          </w:tcPr>
          <w:p w14:paraId="05F9FFD2"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18</w:t>
            </w:r>
          </w:p>
        </w:tc>
        <w:tc>
          <w:tcPr>
            <w:tcW w:w="539" w:type="dxa"/>
            <w:tcBorders>
              <w:top w:val="single" w:sz="4" w:space="0" w:color="auto"/>
              <w:left w:val="single" w:sz="4" w:space="0" w:color="auto"/>
              <w:bottom w:val="single" w:sz="4" w:space="0" w:color="auto"/>
              <w:right w:val="single" w:sz="4" w:space="0" w:color="auto"/>
            </w:tcBorders>
            <w:vAlign w:val="center"/>
          </w:tcPr>
          <w:p w14:paraId="62D7C63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55%</w:t>
            </w:r>
          </w:p>
        </w:tc>
        <w:tc>
          <w:tcPr>
            <w:tcW w:w="613" w:type="dxa"/>
            <w:tcBorders>
              <w:top w:val="single" w:sz="4" w:space="0" w:color="auto"/>
              <w:left w:val="single" w:sz="4" w:space="0" w:color="auto"/>
              <w:bottom w:val="single" w:sz="4" w:space="0" w:color="auto"/>
              <w:right w:val="single" w:sz="4" w:space="0" w:color="auto"/>
            </w:tcBorders>
            <w:vAlign w:val="center"/>
          </w:tcPr>
          <w:p w14:paraId="0ADC559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66" w:type="dxa"/>
            <w:tcBorders>
              <w:top w:val="single" w:sz="4" w:space="0" w:color="auto"/>
              <w:left w:val="single" w:sz="4" w:space="0" w:color="auto"/>
              <w:bottom w:val="single" w:sz="4" w:space="0" w:color="auto"/>
              <w:right w:val="single" w:sz="4" w:space="0" w:color="auto"/>
            </w:tcBorders>
            <w:vAlign w:val="center"/>
          </w:tcPr>
          <w:p w14:paraId="41CD713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50%</w:t>
            </w:r>
          </w:p>
        </w:tc>
        <w:tc>
          <w:tcPr>
            <w:tcW w:w="613" w:type="dxa"/>
            <w:tcBorders>
              <w:top w:val="single" w:sz="4" w:space="0" w:color="auto"/>
              <w:left w:val="single" w:sz="4" w:space="0" w:color="auto"/>
              <w:bottom w:val="single" w:sz="4" w:space="0" w:color="auto"/>
              <w:right w:val="single" w:sz="4" w:space="0" w:color="auto"/>
            </w:tcBorders>
            <w:vAlign w:val="center"/>
          </w:tcPr>
          <w:p w14:paraId="017DAE5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D9510A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3D3492D" w14:textId="77777777" w:rsidTr="00C16C3D">
        <w:trPr>
          <w:trHeight w:val="20"/>
        </w:trPr>
        <w:tc>
          <w:tcPr>
            <w:tcW w:w="368" w:type="dxa"/>
            <w:tcBorders>
              <w:top w:val="single" w:sz="4" w:space="0" w:color="auto"/>
              <w:bottom w:val="single" w:sz="4" w:space="0" w:color="auto"/>
              <w:right w:val="single" w:sz="4" w:space="0" w:color="auto"/>
            </w:tcBorders>
          </w:tcPr>
          <w:p w14:paraId="777BF33D" w14:textId="1AA1151E"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21</w:t>
            </w:r>
          </w:p>
        </w:tc>
        <w:tc>
          <w:tcPr>
            <w:tcW w:w="622" w:type="dxa"/>
            <w:vMerge/>
            <w:tcBorders>
              <w:left w:val="single" w:sz="4" w:space="0" w:color="auto"/>
              <w:right w:val="single" w:sz="4" w:space="0" w:color="auto"/>
            </w:tcBorders>
            <w:vAlign w:val="center"/>
          </w:tcPr>
          <w:p w14:paraId="692F6A7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5B142215" w14:textId="69DEA83A"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الابتكار الرقمي </w:t>
            </w:r>
          </w:p>
        </w:tc>
        <w:tc>
          <w:tcPr>
            <w:tcW w:w="3655" w:type="dxa"/>
            <w:tcBorders>
              <w:top w:val="single" w:sz="4" w:space="0" w:color="auto"/>
              <w:left w:val="single" w:sz="4" w:space="0" w:color="auto"/>
              <w:bottom w:val="single" w:sz="4" w:space="0" w:color="auto"/>
              <w:right w:val="single" w:sz="4" w:space="0" w:color="auto"/>
            </w:tcBorders>
            <w:vAlign w:val="center"/>
          </w:tcPr>
          <w:p w14:paraId="2E6C6B14"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تمتلك الهيئة إستراتيجية رقمية واضحة ومتماسكة ومسؤولية الإشراف علي تحقيقها.</w:t>
            </w:r>
          </w:p>
        </w:tc>
        <w:tc>
          <w:tcPr>
            <w:tcW w:w="613" w:type="dxa"/>
            <w:tcBorders>
              <w:top w:val="single" w:sz="4" w:space="0" w:color="auto"/>
              <w:left w:val="single" w:sz="4" w:space="0" w:color="auto"/>
              <w:bottom w:val="single" w:sz="4" w:space="0" w:color="auto"/>
              <w:right w:val="single" w:sz="4" w:space="0" w:color="auto"/>
            </w:tcBorders>
            <w:vAlign w:val="center"/>
          </w:tcPr>
          <w:p w14:paraId="1054A3E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4" w:space="0" w:color="auto"/>
              <w:right w:val="single" w:sz="4" w:space="0" w:color="auto"/>
            </w:tcBorders>
            <w:vAlign w:val="center"/>
          </w:tcPr>
          <w:p w14:paraId="1A1F9867"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49265A9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5F6E556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26CE541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547DA943"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349389F3" w14:textId="77777777" w:rsidTr="00C16C3D">
        <w:trPr>
          <w:trHeight w:val="54"/>
        </w:trPr>
        <w:tc>
          <w:tcPr>
            <w:tcW w:w="368" w:type="dxa"/>
            <w:tcBorders>
              <w:top w:val="single" w:sz="4" w:space="0" w:color="auto"/>
              <w:bottom w:val="single" w:sz="4" w:space="0" w:color="auto"/>
              <w:right w:val="single" w:sz="4" w:space="0" w:color="auto"/>
            </w:tcBorders>
          </w:tcPr>
          <w:p w14:paraId="0BAB3B63" w14:textId="30B3D6F9"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22</w:t>
            </w:r>
          </w:p>
        </w:tc>
        <w:tc>
          <w:tcPr>
            <w:tcW w:w="622" w:type="dxa"/>
            <w:vMerge/>
            <w:tcBorders>
              <w:left w:val="single" w:sz="4" w:space="0" w:color="auto"/>
              <w:right w:val="single" w:sz="4" w:space="0" w:color="auto"/>
            </w:tcBorders>
            <w:vAlign w:val="center"/>
          </w:tcPr>
          <w:p w14:paraId="4311F824"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369593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1B916309"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تنفيذ العمليات أو لنموذج العمل مثل إيجاد خطط عمليات جديدة، تطبيق المبادرات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33911C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4" w:space="0" w:color="auto"/>
              <w:right w:val="single" w:sz="4" w:space="0" w:color="auto"/>
            </w:tcBorders>
            <w:vAlign w:val="center"/>
          </w:tcPr>
          <w:p w14:paraId="61123C7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3A6E5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4" w:space="0" w:color="auto"/>
              <w:right w:val="single" w:sz="4" w:space="0" w:color="auto"/>
            </w:tcBorders>
            <w:vAlign w:val="center"/>
          </w:tcPr>
          <w:p w14:paraId="04D21AA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4" w:space="0" w:color="auto"/>
              <w:right w:val="single" w:sz="4" w:space="0" w:color="auto"/>
            </w:tcBorders>
            <w:vAlign w:val="center"/>
          </w:tcPr>
          <w:p w14:paraId="0B55B9F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72CCC44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7CC3301" w14:textId="77777777" w:rsidTr="00C16C3D">
        <w:trPr>
          <w:trHeight w:val="135"/>
        </w:trPr>
        <w:tc>
          <w:tcPr>
            <w:tcW w:w="368" w:type="dxa"/>
            <w:tcBorders>
              <w:top w:val="single" w:sz="4" w:space="0" w:color="auto"/>
              <w:bottom w:val="single" w:sz="4" w:space="0" w:color="auto"/>
              <w:right w:val="single" w:sz="4" w:space="0" w:color="auto"/>
            </w:tcBorders>
          </w:tcPr>
          <w:p w14:paraId="1B201050" w14:textId="7E4AD556"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24</w:t>
            </w:r>
          </w:p>
        </w:tc>
        <w:tc>
          <w:tcPr>
            <w:tcW w:w="622" w:type="dxa"/>
            <w:vMerge/>
            <w:tcBorders>
              <w:left w:val="single" w:sz="4" w:space="0" w:color="auto"/>
              <w:right w:val="single" w:sz="4" w:space="0" w:color="auto"/>
            </w:tcBorders>
            <w:vAlign w:val="center"/>
          </w:tcPr>
          <w:p w14:paraId="381E892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068090F0" w14:textId="481122BB"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الحوكمة الرقمية</w:t>
            </w:r>
          </w:p>
        </w:tc>
        <w:tc>
          <w:tcPr>
            <w:tcW w:w="3655" w:type="dxa"/>
            <w:tcBorders>
              <w:top w:val="single" w:sz="4" w:space="0" w:color="auto"/>
              <w:left w:val="single" w:sz="4" w:space="0" w:color="auto"/>
              <w:bottom w:val="single" w:sz="4" w:space="0" w:color="auto"/>
              <w:right w:val="single" w:sz="4" w:space="0" w:color="auto"/>
            </w:tcBorders>
            <w:vAlign w:val="center"/>
          </w:tcPr>
          <w:p w14:paraId="0D44ECA8"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يمتلك العملاء المتعاملين مهارات وخبرات كافية لتنفيذ إستراتيجية الهيئة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2837959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777384C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r w:rsidRPr="00490CC6">
              <w:rPr>
                <w:rFonts w:asciiTheme="majorBidi" w:hAnsiTheme="majorBidi" w:cstheme="majorBidi"/>
                <w:b/>
                <w:bCs/>
                <w:sz w:val="20"/>
                <w:szCs w:val="20"/>
                <w:rtl/>
              </w:rPr>
              <w:t>%</w:t>
            </w:r>
          </w:p>
        </w:tc>
        <w:tc>
          <w:tcPr>
            <w:tcW w:w="613" w:type="dxa"/>
            <w:tcBorders>
              <w:top w:val="single" w:sz="4" w:space="0" w:color="auto"/>
              <w:left w:val="single" w:sz="4" w:space="0" w:color="auto"/>
              <w:bottom w:val="single" w:sz="4" w:space="0" w:color="auto"/>
              <w:right w:val="single" w:sz="4" w:space="0" w:color="auto"/>
            </w:tcBorders>
            <w:vAlign w:val="center"/>
          </w:tcPr>
          <w:p w14:paraId="25BA5B0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16</w:t>
            </w:r>
          </w:p>
        </w:tc>
        <w:tc>
          <w:tcPr>
            <w:tcW w:w="566" w:type="dxa"/>
            <w:tcBorders>
              <w:top w:val="single" w:sz="4" w:space="0" w:color="auto"/>
              <w:left w:val="single" w:sz="4" w:space="0" w:color="auto"/>
              <w:bottom w:val="single" w:sz="4" w:space="0" w:color="auto"/>
              <w:right w:val="single" w:sz="4" w:space="0" w:color="auto"/>
            </w:tcBorders>
            <w:vAlign w:val="center"/>
          </w:tcPr>
          <w:p w14:paraId="7942078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7528DCC0"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14</w:t>
            </w:r>
          </w:p>
        </w:tc>
        <w:tc>
          <w:tcPr>
            <w:tcW w:w="608" w:type="dxa"/>
            <w:tcBorders>
              <w:top w:val="single" w:sz="4" w:space="0" w:color="auto"/>
              <w:left w:val="single" w:sz="4" w:space="0" w:color="auto"/>
              <w:bottom w:val="single" w:sz="4" w:space="0" w:color="auto"/>
            </w:tcBorders>
            <w:vAlign w:val="center"/>
          </w:tcPr>
          <w:p w14:paraId="3BA9AFD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r>
      <w:tr w:rsidR="00C16C3D" w:rsidRPr="00202E2A" w14:paraId="0D938F07" w14:textId="77777777" w:rsidTr="00C16C3D">
        <w:trPr>
          <w:trHeight w:val="20"/>
        </w:trPr>
        <w:tc>
          <w:tcPr>
            <w:tcW w:w="368" w:type="dxa"/>
            <w:tcBorders>
              <w:top w:val="single" w:sz="4" w:space="0" w:color="auto"/>
              <w:right w:val="single" w:sz="4" w:space="0" w:color="auto"/>
            </w:tcBorders>
          </w:tcPr>
          <w:p w14:paraId="6FCDB462" w14:textId="17E73E01"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25</w:t>
            </w:r>
          </w:p>
        </w:tc>
        <w:tc>
          <w:tcPr>
            <w:tcW w:w="622" w:type="dxa"/>
            <w:vMerge/>
            <w:tcBorders>
              <w:left w:val="single" w:sz="4" w:space="0" w:color="auto"/>
              <w:right w:val="single" w:sz="4" w:space="0" w:color="auto"/>
            </w:tcBorders>
            <w:vAlign w:val="center"/>
          </w:tcPr>
          <w:p w14:paraId="418DF9B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right w:val="single" w:sz="4" w:space="0" w:color="auto"/>
            </w:tcBorders>
            <w:vAlign w:val="center"/>
          </w:tcPr>
          <w:p w14:paraId="7EB2449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right w:val="single" w:sz="4" w:space="0" w:color="auto"/>
            </w:tcBorders>
            <w:vAlign w:val="center"/>
          </w:tcPr>
          <w:p w14:paraId="17FE1D8A"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تحسين تجربة العملاء ورضائهم عن الخدمات الرقمية.</w:t>
            </w:r>
          </w:p>
        </w:tc>
        <w:tc>
          <w:tcPr>
            <w:tcW w:w="613" w:type="dxa"/>
            <w:tcBorders>
              <w:top w:val="single" w:sz="4" w:space="0" w:color="auto"/>
              <w:left w:val="single" w:sz="4" w:space="0" w:color="auto"/>
              <w:right w:val="single" w:sz="4" w:space="0" w:color="auto"/>
            </w:tcBorders>
            <w:vAlign w:val="center"/>
          </w:tcPr>
          <w:p w14:paraId="0ABFF21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22</w:t>
            </w:r>
          </w:p>
        </w:tc>
        <w:tc>
          <w:tcPr>
            <w:tcW w:w="539" w:type="dxa"/>
            <w:tcBorders>
              <w:top w:val="single" w:sz="4" w:space="0" w:color="auto"/>
              <w:left w:val="single" w:sz="4" w:space="0" w:color="auto"/>
              <w:right w:val="single" w:sz="4" w:space="0" w:color="auto"/>
            </w:tcBorders>
            <w:vAlign w:val="center"/>
          </w:tcPr>
          <w:p w14:paraId="00B7A76A"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r w:rsidRPr="00490CC6">
              <w:rPr>
                <w:rFonts w:asciiTheme="majorBidi" w:hAnsiTheme="majorBidi" w:cstheme="majorBidi"/>
                <w:b/>
                <w:bCs/>
                <w:sz w:val="20"/>
                <w:szCs w:val="20"/>
                <w:rtl/>
              </w:rPr>
              <w:t>%</w:t>
            </w:r>
          </w:p>
        </w:tc>
        <w:tc>
          <w:tcPr>
            <w:tcW w:w="613" w:type="dxa"/>
            <w:tcBorders>
              <w:top w:val="single" w:sz="4" w:space="0" w:color="auto"/>
              <w:left w:val="single" w:sz="4" w:space="0" w:color="auto"/>
              <w:right w:val="single" w:sz="4" w:space="0" w:color="auto"/>
            </w:tcBorders>
            <w:vAlign w:val="center"/>
          </w:tcPr>
          <w:p w14:paraId="209E4A6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right w:val="single" w:sz="4" w:space="0" w:color="auto"/>
            </w:tcBorders>
            <w:vAlign w:val="center"/>
          </w:tcPr>
          <w:p w14:paraId="739A04E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right w:val="single" w:sz="4" w:space="0" w:color="auto"/>
            </w:tcBorders>
            <w:vAlign w:val="center"/>
          </w:tcPr>
          <w:p w14:paraId="76BBC87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tcBorders>
            <w:vAlign w:val="center"/>
          </w:tcPr>
          <w:p w14:paraId="1D06165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bl>
    <w:p w14:paraId="056F1CFC" w14:textId="7C12E294" w:rsidR="00EE451E" w:rsidRPr="00202E2A" w:rsidRDefault="00EE451E" w:rsidP="0019590B">
      <w:pPr>
        <w:bidi/>
        <w:spacing w:line="276" w:lineRule="auto"/>
        <w:jc w:val="lowKashida"/>
        <w:rPr>
          <w:rFonts w:asciiTheme="majorBidi" w:hAnsiTheme="majorBidi" w:cstheme="majorBidi"/>
          <w:sz w:val="26"/>
          <w:szCs w:val="26"/>
          <w:lang w:bidi="ar-EG"/>
        </w:rPr>
      </w:pPr>
      <w:bookmarkStart w:id="0" w:name="_Hlk188050252"/>
      <w:r w:rsidRPr="00202E2A">
        <w:rPr>
          <w:rFonts w:asciiTheme="majorBidi" w:hAnsiTheme="majorBidi" w:cstheme="majorBidi"/>
          <w:sz w:val="26"/>
          <w:szCs w:val="26"/>
          <w:rtl/>
          <w:lang w:bidi="ar-EG"/>
        </w:rPr>
        <w:t xml:space="preserve">أجرى الباحث دراسة استطلاعية شاملة لاستكشاف الآراء والرؤى المرتبطة بتعزيز الأمن السيبراني وتيسير التجارة والتحول الرقمي، وذلك عبر منهجية مُزدوجة </w:t>
      </w:r>
      <w:r w:rsidR="008D31F8" w:rsidRPr="00202E2A">
        <w:rPr>
          <w:rFonts w:asciiTheme="majorBidi" w:hAnsiTheme="majorBidi" w:cstheme="majorBidi"/>
          <w:sz w:val="26"/>
          <w:szCs w:val="26"/>
          <w:rtl/>
          <w:lang w:bidi="ar-EG"/>
        </w:rPr>
        <w:t xml:space="preserve">حيث تُبرز الدراسة الحاجة إلى نموذج متكامل يجمع بين التخطيط الاستراتيجي للتحول الرقمي، وبناء القدرات البشرية، وتحديث التشريعات، لتحقيق التوازن المنشود بين الأمن السيبراني وسلاسة التجارة العالمية، </w:t>
      </w:r>
      <w:r w:rsidRPr="00202E2A">
        <w:rPr>
          <w:rFonts w:asciiTheme="majorBidi" w:hAnsiTheme="majorBidi" w:cstheme="majorBidi"/>
          <w:sz w:val="26"/>
          <w:szCs w:val="26"/>
          <w:rtl/>
          <w:lang w:bidi="ar-EG"/>
        </w:rPr>
        <w:t xml:space="preserve">جمعت </w:t>
      </w:r>
      <w:r w:rsidR="008D31F8" w:rsidRPr="00202E2A">
        <w:rPr>
          <w:rFonts w:asciiTheme="majorBidi" w:hAnsiTheme="majorBidi" w:cstheme="majorBidi"/>
          <w:sz w:val="26"/>
          <w:szCs w:val="26"/>
          <w:rtl/>
          <w:lang w:bidi="ar-EG"/>
        </w:rPr>
        <w:t xml:space="preserve">الدراسة الاستطلاعية </w:t>
      </w:r>
      <w:r w:rsidRPr="00202E2A">
        <w:rPr>
          <w:rFonts w:asciiTheme="majorBidi" w:hAnsiTheme="majorBidi" w:cstheme="majorBidi"/>
          <w:sz w:val="26"/>
          <w:szCs w:val="26"/>
          <w:rtl/>
          <w:lang w:bidi="ar-EG"/>
        </w:rPr>
        <w:t xml:space="preserve">بين:  </w:t>
      </w:r>
    </w:p>
    <w:p w14:paraId="053932E4" w14:textId="4189D0E3" w:rsidR="00233695" w:rsidRPr="00202E2A" w:rsidRDefault="00BC22A0"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lang w:bidi="ar-EG"/>
        </w:rPr>
        <w:t>1</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الأمن السيبراني وحماية البيانات</w:t>
      </w:r>
      <w:r w:rsidR="00233695" w:rsidRPr="00202E2A">
        <w:rPr>
          <w:rFonts w:asciiTheme="majorBidi" w:hAnsiTheme="majorBidi" w:cstheme="majorBidi"/>
          <w:b/>
          <w:bCs/>
          <w:sz w:val="26"/>
          <w:szCs w:val="26"/>
          <w:u w:val="single"/>
          <w:lang w:bidi="ar-EG"/>
        </w:rPr>
        <w:t xml:space="preserve">: </w:t>
      </w:r>
    </w:p>
    <w:p w14:paraId="14A88A32" w14:textId="10A58DB6" w:rsidR="00233695" w:rsidRPr="00202E2A" w:rsidRDefault="00233695"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00F213BB" w:rsidRPr="00202E2A">
        <w:rPr>
          <w:rFonts w:asciiTheme="majorBidi" w:hAnsiTheme="majorBidi" w:cstheme="majorBidi"/>
          <w:sz w:val="26"/>
          <w:szCs w:val="26"/>
          <w:rtl/>
          <w:lang w:bidi="ar-EG"/>
        </w:rPr>
        <w:t>:</w:t>
      </w:r>
      <w:r w:rsidR="00F213BB"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تشير النسبة المرتفعة للموافقة (</w:t>
      </w:r>
      <w:r w:rsidR="005A3D3C"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إلى وعي مُتزايد بأهمية تقنيات التشفير في حماية البيانات الحساسة، وهو ما يتوافق مع التوجه العالمي نحو تعزيز الأمن السيبراني كأحد ركائز التحول الرقمي</w:t>
      </w:r>
      <w:r w:rsidR="00B729BD" w:rsidRPr="00202E2A">
        <w:rPr>
          <w:rFonts w:asciiTheme="majorBidi" w:hAnsiTheme="majorBidi" w:cstheme="majorBidi"/>
          <w:sz w:val="26"/>
          <w:szCs w:val="26"/>
          <w:rtl/>
          <w:lang w:bidi="ar-EG"/>
        </w:rPr>
        <w:t>، حيث</w:t>
      </w:r>
      <w:r w:rsidRPr="00202E2A">
        <w:rPr>
          <w:rFonts w:asciiTheme="majorBidi" w:hAnsiTheme="majorBidi" w:cstheme="majorBidi"/>
          <w:sz w:val="26"/>
          <w:szCs w:val="26"/>
          <w:rtl/>
          <w:lang w:bidi="ar-EG"/>
        </w:rPr>
        <w:t xml:space="preserve"> تُعزى هذه النتائج إلى تبني الهيئة لمعايير دولية مثل</w:t>
      </w:r>
      <w:r w:rsidRPr="00202E2A">
        <w:rPr>
          <w:rFonts w:asciiTheme="majorBidi" w:hAnsiTheme="majorBidi" w:cstheme="majorBidi"/>
          <w:sz w:val="26"/>
          <w:szCs w:val="26"/>
          <w:lang w:bidi="ar-EG"/>
        </w:rPr>
        <w:t xml:space="preserve"> ISO </w:t>
      </w:r>
      <w:r w:rsidR="005A3D3C" w:rsidRPr="00202E2A">
        <w:rPr>
          <w:rFonts w:asciiTheme="majorBidi" w:hAnsiTheme="majorBidi" w:cstheme="majorBidi"/>
          <w:sz w:val="26"/>
          <w:szCs w:val="26"/>
          <w:lang w:bidi="ar-EG"/>
        </w:rPr>
        <w:t>27001</w:t>
      </w:r>
      <w:r w:rsidRPr="00202E2A">
        <w:rPr>
          <w:rFonts w:asciiTheme="majorBidi" w:hAnsiTheme="majorBidi" w:cstheme="majorBidi"/>
          <w:sz w:val="26"/>
          <w:szCs w:val="26"/>
          <w:rtl/>
          <w:lang w:bidi="ar-EG"/>
        </w:rPr>
        <w:t>، والتي تُعد إطارًا شاملاً لإدارة أمن المعلومات، وفقًا لدراسة أجراها "المجلس الدولي لتكنولوجيا المعلومات (</w:t>
      </w:r>
      <w:r w:rsidR="005A3D3C"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مثالٌ على ذلك: تطبيق أنظمة المصادقة الثنائية</w:t>
      </w:r>
      <w:r w:rsidR="005A3D3C"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 xml:space="preserve">2 </w:t>
      </w:r>
      <w:r w:rsidRPr="00202E2A">
        <w:rPr>
          <w:rFonts w:asciiTheme="majorBidi" w:hAnsiTheme="majorBidi" w:cstheme="majorBidi"/>
          <w:sz w:val="26"/>
          <w:szCs w:val="26"/>
          <w:lang w:bidi="ar-EG"/>
        </w:rPr>
        <w:t xml:space="preserve">FA </w:t>
      </w:r>
      <w:r w:rsidR="005A3D3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في المنصات الجمركية، مما قلل من حوادث الاختراق بنسبة </w:t>
      </w:r>
      <w:r w:rsidR="005A3D3C"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وفقًا لتقارير الهيئة الداخلية. ومع ذلك، فإن وجود نسبة </w:t>
      </w:r>
      <w:r w:rsidR="005A3D3C" w:rsidRPr="00202E2A">
        <w:rPr>
          <w:rFonts w:asciiTheme="majorBidi" w:hAnsiTheme="majorBidi" w:cstheme="majorBidi"/>
          <w:sz w:val="26"/>
          <w:szCs w:val="26"/>
          <w:lang w:bidi="ar-EG"/>
        </w:rPr>
        <w:t>13</w:t>
      </w:r>
      <w:r w:rsidRPr="00202E2A">
        <w:rPr>
          <w:rFonts w:asciiTheme="majorBidi" w:hAnsiTheme="majorBidi" w:cstheme="majorBidi"/>
          <w:sz w:val="26"/>
          <w:szCs w:val="26"/>
          <w:rtl/>
          <w:lang w:bidi="ar-EG"/>
        </w:rPr>
        <w:t>% محايدة قد يعكس نقصًا في التوعية بأدوات الحماية المتقدمة بين بعض الفئات الوظيفية</w:t>
      </w:r>
      <w:r w:rsidRPr="00202E2A">
        <w:rPr>
          <w:rFonts w:asciiTheme="majorBidi" w:hAnsiTheme="majorBidi" w:cstheme="majorBidi"/>
          <w:sz w:val="26"/>
          <w:szCs w:val="26"/>
          <w:lang w:bidi="ar-EG"/>
        </w:rPr>
        <w:t xml:space="preserve">.  </w:t>
      </w:r>
    </w:p>
    <w:p w14:paraId="4FE121FA" w14:textId="54531272"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w:t>
      </w:r>
      <w:r w:rsidR="00AE65A9"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الكشف المبكر عن الأنشطة المشبوهة</w:t>
      </w:r>
      <w:r w:rsidR="00233695" w:rsidRPr="00202E2A">
        <w:rPr>
          <w:rFonts w:asciiTheme="majorBidi" w:hAnsiTheme="majorBidi" w:cstheme="majorBidi"/>
          <w:b/>
          <w:bCs/>
          <w:sz w:val="26"/>
          <w:szCs w:val="26"/>
          <w:u w:val="single"/>
          <w:lang w:bidi="ar-EG"/>
        </w:rPr>
        <w:t xml:space="preserve">:  </w:t>
      </w:r>
    </w:p>
    <w:p w14:paraId="01B4CF54" w14:textId="58A092AA" w:rsidR="00233695" w:rsidRPr="00202E2A" w:rsidRDefault="008F2783"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002579E8" w:rsidRPr="00202E2A">
        <w:rPr>
          <w:rFonts w:asciiTheme="majorBidi" w:hAnsiTheme="majorBidi" w:cstheme="majorBidi"/>
          <w:sz w:val="26"/>
          <w:szCs w:val="26"/>
          <w:rtl/>
          <w:lang w:bidi="ar-EG"/>
        </w:rPr>
        <w:t xml:space="preserve"> </w:t>
      </w:r>
      <w:r w:rsidR="00233695" w:rsidRPr="00202E2A">
        <w:rPr>
          <w:rFonts w:asciiTheme="majorBidi" w:hAnsiTheme="majorBidi" w:cstheme="majorBidi"/>
          <w:sz w:val="26"/>
          <w:szCs w:val="26"/>
          <w:rtl/>
          <w:lang w:bidi="ar-EG"/>
        </w:rPr>
        <w:t>يشير انقسام الآراء (</w:t>
      </w:r>
      <w:r w:rsidR="005A3D3C"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5A3D3C" w:rsidRPr="00202E2A">
        <w:rPr>
          <w:rFonts w:asciiTheme="majorBidi" w:hAnsiTheme="majorBidi" w:cstheme="majorBidi"/>
          <w:sz w:val="26"/>
          <w:szCs w:val="26"/>
          <w:lang w:bidi="ar-EG"/>
        </w:rPr>
        <w:t>43</w:t>
      </w:r>
      <w:r w:rsidR="00233695" w:rsidRPr="00202E2A">
        <w:rPr>
          <w:rFonts w:asciiTheme="majorBidi" w:hAnsiTheme="majorBidi" w:cstheme="majorBidi"/>
          <w:sz w:val="26"/>
          <w:szCs w:val="26"/>
          <w:rtl/>
          <w:lang w:bidi="ar-EG"/>
        </w:rPr>
        <w:t>% محايدون) إلى تباين في الثقة بفعالية الذكاء الاصطناعي في الرقابة الجمركية، ربما بسبب نقص الشفافية في كيفية عمل الخوارزميات أو محدودية التدريب على تفسير النتائج. وفقًا لدراسة</w:t>
      </w:r>
      <w:r w:rsidR="00233695" w:rsidRPr="00202E2A">
        <w:rPr>
          <w:rFonts w:asciiTheme="majorBidi" w:hAnsiTheme="majorBidi" w:cstheme="majorBidi"/>
          <w:sz w:val="26"/>
          <w:szCs w:val="26"/>
          <w:lang w:bidi="ar-EG"/>
        </w:rPr>
        <w:t xml:space="preserve"> Smith et al. (2021)</w:t>
      </w:r>
      <w:r w:rsidR="00233695" w:rsidRPr="00202E2A">
        <w:rPr>
          <w:rFonts w:asciiTheme="majorBidi" w:hAnsiTheme="majorBidi" w:cstheme="majorBidi"/>
          <w:sz w:val="26"/>
          <w:szCs w:val="26"/>
          <w:rtl/>
          <w:lang w:bidi="ar-EG"/>
        </w:rPr>
        <w:t xml:space="preserve">، فإن </w:t>
      </w:r>
      <w:r w:rsidR="005A3D3C" w:rsidRPr="00202E2A">
        <w:rPr>
          <w:rFonts w:asciiTheme="majorBidi" w:hAnsiTheme="majorBidi" w:cstheme="majorBidi"/>
          <w:sz w:val="26"/>
          <w:szCs w:val="26"/>
          <w:lang w:bidi="ar-EG"/>
        </w:rPr>
        <w:t>60</w:t>
      </w:r>
      <w:r w:rsidR="00233695" w:rsidRPr="00202E2A">
        <w:rPr>
          <w:rFonts w:asciiTheme="majorBidi" w:hAnsiTheme="majorBidi" w:cstheme="majorBidi"/>
          <w:sz w:val="26"/>
          <w:szCs w:val="26"/>
          <w:rtl/>
          <w:lang w:bidi="ar-EG"/>
        </w:rPr>
        <w:t>% من العاملين في القطاع العام يفضلون أنظمة دعم القرار المُفسَّرة</w:t>
      </w:r>
      <w:r w:rsidR="00233695" w:rsidRPr="00202E2A">
        <w:rPr>
          <w:rFonts w:asciiTheme="majorBidi" w:hAnsiTheme="majorBidi" w:cstheme="majorBidi"/>
          <w:sz w:val="26"/>
          <w:szCs w:val="26"/>
          <w:lang w:bidi="ar-EG"/>
        </w:rPr>
        <w:t xml:space="preserve"> (Explainable AI) </w:t>
      </w:r>
      <w:r w:rsidR="00233695" w:rsidRPr="00202E2A">
        <w:rPr>
          <w:rFonts w:asciiTheme="majorBidi" w:hAnsiTheme="majorBidi" w:cstheme="majorBidi"/>
          <w:sz w:val="26"/>
          <w:szCs w:val="26"/>
          <w:rtl/>
          <w:lang w:bidi="ar-EG"/>
        </w:rPr>
        <w:t>لتعزيز الثقة. مثال: تطبيق الهيئة السعودية للبيانات والذكاء الاصطناعي</w:t>
      </w:r>
      <w:r w:rsidR="00233695" w:rsidRPr="00202E2A">
        <w:rPr>
          <w:rFonts w:asciiTheme="majorBidi" w:hAnsiTheme="majorBidi" w:cstheme="majorBidi"/>
          <w:sz w:val="26"/>
          <w:szCs w:val="26"/>
          <w:lang w:bidi="ar-EG"/>
        </w:rPr>
        <w:t xml:space="preserve"> </w:t>
      </w:r>
      <w:r w:rsidR="005A3D3C" w:rsidRPr="00202E2A">
        <w:rPr>
          <w:rFonts w:asciiTheme="majorBidi" w:hAnsiTheme="majorBidi" w:cstheme="majorBidi"/>
          <w:sz w:val="26"/>
          <w:szCs w:val="26"/>
          <w:rtl/>
          <w:lang w:bidi="ar-EG"/>
        </w:rPr>
        <w:t xml:space="preserve"> </w:t>
      </w:r>
      <w:r w:rsidR="0050589C"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lang w:bidi="ar-EG"/>
        </w:rPr>
        <w:t xml:space="preserve">(SDAIA) </w:t>
      </w:r>
      <w:r w:rsidR="00233695" w:rsidRPr="00202E2A">
        <w:rPr>
          <w:rFonts w:asciiTheme="majorBidi" w:hAnsiTheme="majorBidi" w:cstheme="majorBidi"/>
          <w:sz w:val="26"/>
          <w:szCs w:val="26"/>
          <w:rtl/>
          <w:lang w:bidi="ar-EG"/>
        </w:rPr>
        <w:t>لنماذج الذكاء الاصطناعي القابلة للتفسير في كشف التهريب</w:t>
      </w:r>
      <w:r w:rsidR="00233695" w:rsidRPr="00202E2A">
        <w:rPr>
          <w:rFonts w:asciiTheme="majorBidi" w:hAnsiTheme="majorBidi" w:cstheme="majorBidi"/>
          <w:sz w:val="26"/>
          <w:szCs w:val="26"/>
          <w:lang w:bidi="ar-EG"/>
        </w:rPr>
        <w:t xml:space="preserve">.  </w:t>
      </w:r>
    </w:p>
    <w:p w14:paraId="108B38D6" w14:textId="6012CBD7"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3</w:t>
      </w:r>
      <w:r w:rsidR="008F2783"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تقليل التهرب الضريبي عبر الفوترة الإلكتروني</w:t>
      </w:r>
      <w:r w:rsidR="008F2783" w:rsidRPr="00202E2A">
        <w:rPr>
          <w:rFonts w:asciiTheme="majorBidi" w:hAnsiTheme="majorBidi" w:cstheme="majorBidi"/>
          <w:b/>
          <w:bCs/>
          <w:sz w:val="26"/>
          <w:szCs w:val="26"/>
          <w:u w:val="single"/>
          <w:rtl/>
          <w:lang w:bidi="ar-EG"/>
        </w:rPr>
        <w:t>ة:</w:t>
      </w:r>
      <w:r w:rsidR="00233695" w:rsidRPr="00202E2A">
        <w:rPr>
          <w:rFonts w:asciiTheme="majorBidi" w:hAnsiTheme="majorBidi" w:cstheme="majorBidi"/>
          <w:b/>
          <w:bCs/>
          <w:sz w:val="26"/>
          <w:szCs w:val="26"/>
          <w:u w:val="single"/>
          <w:lang w:bidi="ar-EG"/>
        </w:rPr>
        <w:t xml:space="preserve">  </w:t>
      </w:r>
    </w:p>
    <w:p w14:paraId="307C79A4" w14:textId="1C6EB348" w:rsidR="00233695" w:rsidRPr="00202E2A" w:rsidRDefault="002E2277"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تؤكد</w:t>
      </w:r>
      <w:r w:rsidR="00233695" w:rsidRPr="00202E2A">
        <w:rPr>
          <w:rFonts w:asciiTheme="majorBidi" w:hAnsiTheme="majorBidi" w:cstheme="majorBidi"/>
          <w:sz w:val="26"/>
          <w:szCs w:val="26"/>
          <w:rtl/>
          <w:lang w:bidi="ar-EG"/>
        </w:rPr>
        <w:t xml:space="preserve"> النسبة العالية للموافقة (</w:t>
      </w:r>
      <w:r w:rsidR="00716E23" w:rsidRPr="00202E2A">
        <w:rPr>
          <w:rFonts w:asciiTheme="majorBidi" w:hAnsiTheme="majorBidi" w:cstheme="majorBidi"/>
          <w:sz w:val="26"/>
          <w:szCs w:val="26"/>
          <w:lang w:bidi="ar-EG"/>
        </w:rPr>
        <w:t>82</w:t>
      </w:r>
      <w:r w:rsidR="00233695" w:rsidRPr="00202E2A">
        <w:rPr>
          <w:rFonts w:asciiTheme="majorBidi" w:hAnsiTheme="majorBidi" w:cstheme="majorBidi"/>
          <w:sz w:val="26"/>
          <w:szCs w:val="26"/>
          <w:rtl/>
          <w:lang w:bidi="ar-EG"/>
        </w:rPr>
        <w:t>%) نجاح الفوترة الإلكترونية في تعزيز الشفافية، وهو ما يتوافق مع تقرير صندوق النقد الدولي</w:t>
      </w:r>
      <w:r w:rsidR="00233695" w:rsidRPr="00202E2A">
        <w:rPr>
          <w:rFonts w:asciiTheme="majorBidi" w:hAnsiTheme="majorBidi" w:cstheme="majorBidi"/>
          <w:sz w:val="26"/>
          <w:szCs w:val="26"/>
          <w:lang w:bidi="ar-EG"/>
        </w:rPr>
        <w:t xml:space="preserve"> (IMF, 2022) </w:t>
      </w:r>
      <w:r w:rsidR="00233695" w:rsidRPr="00202E2A">
        <w:rPr>
          <w:rFonts w:asciiTheme="majorBidi" w:hAnsiTheme="majorBidi" w:cstheme="majorBidi"/>
          <w:sz w:val="26"/>
          <w:szCs w:val="26"/>
          <w:rtl/>
          <w:lang w:bidi="ar-EG"/>
        </w:rPr>
        <w:t xml:space="preserve">الذي أشار إلى أن الدول التي تطبق أنظمة الفوترة الإلكترونية تشهد انخفاضًا في التهرب الضريبي بنسبة </w:t>
      </w:r>
      <w:r w:rsidR="00716E23" w:rsidRPr="00202E2A">
        <w:rPr>
          <w:rFonts w:asciiTheme="majorBidi" w:hAnsiTheme="majorBidi" w:cstheme="majorBidi"/>
          <w:sz w:val="26"/>
          <w:szCs w:val="26"/>
          <w:lang w:bidi="ar-EG"/>
        </w:rPr>
        <w:t>20</w:t>
      </w:r>
      <w:r w:rsidR="00233695"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مثال: تجربة البرازيل في تطبيق نظام</w:t>
      </w:r>
      <w:r w:rsidR="00233695" w:rsidRPr="00202E2A">
        <w:rPr>
          <w:rFonts w:asciiTheme="majorBidi" w:hAnsiTheme="majorBidi" w:cstheme="majorBidi"/>
          <w:sz w:val="26"/>
          <w:szCs w:val="26"/>
          <w:lang w:bidi="ar-EG"/>
        </w:rPr>
        <w:t xml:space="preserve"> "Nota Fiscal Eletrônica" </w:t>
      </w:r>
      <w:r w:rsidR="00233695" w:rsidRPr="00202E2A">
        <w:rPr>
          <w:rFonts w:asciiTheme="majorBidi" w:hAnsiTheme="majorBidi" w:cstheme="majorBidi"/>
          <w:sz w:val="26"/>
          <w:szCs w:val="26"/>
          <w:rtl/>
          <w:lang w:bidi="ar-EG"/>
        </w:rPr>
        <w:t xml:space="preserve">الذي رفع الإيرادات الضريبية بنسبة </w:t>
      </w:r>
      <w:r w:rsidR="00716E23" w:rsidRPr="00202E2A">
        <w:rPr>
          <w:rFonts w:asciiTheme="majorBidi" w:hAnsiTheme="majorBidi" w:cstheme="majorBidi"/>
          <w:sz w:val="26"/>
          <w:szCs w:val="26"/>
          <w:lang w:bidi="ar-EG"/>
        </w:rPr>
        <w:t>25</w:t>
      </w:r>
      <w:r w:rsidR="00233695"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rtl/>
          <w:lang w:bidi="ar-EG"/>
        </w:rPr>
        <w:t xml:space="preserve"> .</w:t>
      </w:r>
    </w:p>
    <w:p w14:paraId="38723A1B" w14:textId="72A79831"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lang w:bidi="ar-EG"/>
        </w:rPr>
        <w:t>4</w:t>
      </w:r>
      <w:r w:rsidR="00CD5CFD"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استخدام الذكاء الاصطناعي في التحليل الاستباقي</w:t>
      </w:r>
      <w:r w:rsidR="00233695" w:rsidRPr="00202E2A">
        <w:rPr>
          <w:rFonts w:asciiTheme="majorBidi" w:hAnsiTheme="majorBidi" w:cstheme="majorBidi"/>
          <w:b/>
          <w:bCs/>
          <w:sz w:val="26"/>
          <w:szCs w:val="26"/>
          <w:u w:val="single"/>
          <w:lang w:bidi="ar-EG"/>
        </w:rPr>
        <w:t xml:space="preserve">: </w:t>
      </w:r>
    </w:p>
    <w:p w14:paraId="5FD3C0F3" w14:textId="3A480DA2" w:rsidR="00233695" w:rsidRPr="00202E2A" w:rsidRDefault="002E227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87</w:t>
      </w:r>
      <w:r w:rsidR="00233695" w:rsidRPr="00202E2A">
        <w:rPr>
          <w:rFonts w:asciiTheme="majorBidi" w:hAnsiTheme="majorBidi" w:cstheme="majorBidi"/>
          <w:sz w:val="26"/>
          <w:szCs w:val="26"/>
          <w:rtl/>
          <w:lang w:bidi="ar-EG"/>
        </w:rPr>
        <w:t>% موافقون) ثقةً عاليةً في قدرة الذكاء الاصطناعي على التنبؤ بالتهرب الضريبي، وهو ما يدعمه تقرير مؤسسة</w:t>
      </w:r>
      <w:r w:rsidR="00233695" w:rsidRPr="00202E2A">
        <w:rPr>
          <w:rFonts w:asciiTheme="majorBidi" w:hAnsiTheme="majorBidi" w:cstheme="majorBidi"/>
          <w:sz w:val="26"/>
          <w:szCs w:val="26"/>
          <w:lang w:bidi="ar-EG"/>
        </w:rPr>
        <w:t xml:space="preserve"> PwC (2023) </w:t>
      </w:r>
      <w:r w:rsidR="00233695" w:rsidRPr="00202E2A">
        <w:rPr>
          <w:rFonts w:asciiTheme="majorBidi" w:hAnsiTheme="majorBidi" w:cstheme="majorBidi"/>
          <w:sz w:val="26"/>
          <w:szCs w:val="26"/>
          <w:rtl/>
          <w:lang w:bidi="ar-EG"/>
        </w:rPr>
        <w:t xml:space="preserve">الذي أكد أن التحليلات التنبؤية تقلل الأخطاء البشرية بنسبة </w:t>
      </w:r>
      <w:r w:rsidR="00716E23" w:rsidRPr="00202E2A">
        <w:rPr>
          <w:rFonts w:asciiTheme="majorBidi" w:hAnsiTheme="majorBidi" w:cstheme="majorBidi"/>
          <w:sz w:val="26"/>
          <w:szCs w:val="26"/>
          <w:lang w:bidi="ar-EG"/>
        </w:rPr>
        <w:t>45</w:t>
      </w:r>
      <w:r w:rsidR="00233695" w:rsidRPr="00202E2A">
        <w:rPr>
          <w:rFonts w:asciiTheme="majorBidi" w:hAnsiTheme="majorBidi" w:cstheme="majorBidi"/>
          <w:sz w:val="26"/>
          <w:szCs w:val="26"/>
          <w:rtl/>
          <w:lang w:bidi="ar-EG"/>
        </w:rPr>
        <w:t>%. مثال: استخدام الهيئة السعودية للزكاة خوارزميات تعلم الآلة</w:t>
      </w:r>
      <w:r w:rsidR="00233695" w:rsidRPr="00202E2A">
        <w:rPr>
          <w:rFonts w:asciiTheme="majorBidi" w:hAnsiTheme="majorBidi" w:cstheme="majorBidi"/>
          <w:sz w:val="26"/>
          <w:szCs w:val="26"/>
          <w:lang w:bidi="ar-EG"/>
        </w:rPr>
        <w:t xml:space="preserve"> (Machine Learning) </w:t>
      </w:r>
      <w:r w:rsidR="00233695" w:rsidRPr="00202E2A">
        <w:rPr>
          <w:rFonts w:asciiTheme="majorBidi" w:hAnsiTheme="majorBidi" w:cstheme="majorBidi"/>
          <w:sz w:val="26"/>
          <w:szCs w:val="26"/>
          <w:rtl/>
          <w:lang w:bidi="ar-EG"/>
        </w:rPr>
        <w:t>للكشف عن الأنماط غير الطبيعية في الإقرارات الضريبية</w:t>
      </w:r>
      <w:r w:rsidR="00233695" w:rsidRPr="00202E2A">
        <w:rPr>
          <w:rFonts w:asciiTheme="majorBidi" w:hAnsiTheme="majorBidi" w:cstheme="majorBidi"/>
          <w:sz w:val="26"/>
          <w:szCs w:val="26"/>
          <w:lang w:bidi="ar-EG"/>
        </w:rPr>
        <w:t xml:space="preserve">.  </w:t>
      </w:r>
    </w:p>
    <w:p w14:paraId="09ABC9FB" w14:textId="7CC41743"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5</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التكامل بين الجهات الحكومية والقطاع الخاص</w:t>
      </w:r>
      <w:r w:rsidR="00424515"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p>
    <w:p w14:paraId="550937C8" w14:textId="7C1DE7C7" w:rsidR="00233695" w:rsidRPr="00202E2A" w:rsidRDefault="008F329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موافقون) إدراكًا لأهمية التكامل، لكن الـ</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المحايدين قد يعكسون مخاوفًا من مخاطر مشاركة البيانات الحساسة. وفقًا لدراسة</w:t>
      </w:r>
      <w:r w:rsidR="00233695" w:rsidRPr="00202E2A">
        <w:rPr>
          <w:rFonts w:asciiTheme="majorBidi" w:hAnsiTheme="majorBidi" w:cstheme="majorBidi"/>
          <w:sz w:val="26"/>
          <w:szCs w:val="26"/>
          <w:lang w:bidi="ar-EG"/>
        </w:rPr>
        <w:t xml:space="preserve"> Accenture (2022)</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00233695" w:rsidRPr="00202E2A">
        <w:rPr>
          <w:rFonts w:asciiTheme="majorBidi" w:hAnsiTheme="majorBidi" w:cstheme="majorBidi"/>
          <w:sz w:val="26"/>
          <w:szCs w:val="26"/>
          <w:rtl/>
          <w:lang w:bidi="ar-EG"/>
        </w:rPr>
        <w:t>% من الجهات الحكومية تتردد في مشاركة البيانات بسبب مخاوف أمنية. مثال: نجاح منصة "</w:t>
      </w:r>
      <w:r w:rsidR="00140B52" w:rsidRPr="00202E2A">
        <w:rPr>
          <w:rFonts w:asciiTheme="majorBidi" w:hAnsiTheme="majorBidi" w:cstheme="majorBidi"/>
          <w:sz w:val="26"/>
          <w:szCs w:val="26"/>
          <w:rtl/>
          <w:lang w:bidi="ar-EG"/>
        </w:rPr>
        <w:t>فسح</w:t>
      </w:r>
      <w:r w:rsidR="00233695" w:rsidRPr="00202E2A">
        <w:rPr>
          <w:rFonts w:asciiTheme="majorBidi" w:hAnsiTheme="majorBidi" w:cstheme="majorBidi"/>
          <w:sz w:val="26"/>
          <w:szCs w:val="26"/>
          <w:lang w:bidi="ar-EG"/>
        </w:rPr>
        <w:t xml:space="preserve">" (Fasah) </w:t>
      </w:r>
      <w:r w:rsidR="00233695" w:rsidRPr="00202E2A">
        <w:rPr>
          <w:rFonts w:asciiTheme="majorBidi" w:hAnsiTheme="majorBidi" w:cstheme="majorBidi"/>
          <w:sz w:val="26"/>
          <w:szCs w:val="26"/>
          <w:rtl/>
          <w:lang w:bidi="ar-EG"/>
        </w:rPr>
        <w:t xml:space="preserve">في السعودية في تحقيق التكامل بين </w:t>
      </w:r>
      <w:r w:rsidR="00716E23" w:rsidRPr="00202E2A">
        <w:rPr>
          <w:rFonts w:asciiTheme="majorBidi" w:hAnsiTheme="majorBidi" w:cstheme="majorBidi"/>
          <w:sz w:val="26"/>
          <w:szCs w:val="26"/>
          <w:lang w:bidi="ar-EG"/>
        </w:rPr>
        <w:t>70</w:t>
      </w:r>
      <w:r w:rsidR="00233695" w:rsidRPr="00202E2A">
        <w:rPr>
          <w:rFonts w:asciiTheme="majorBidi" w:hAnsiTheme="majorBidi" w:cstheme="majorBidi"/>
          <w:sz w:val="26"/>
          <w:szCs w:val="26"/>
          <w:rtl/>
          <w:lang w:bidi="ar-EG"/>
        </w:rPr>
        <w:t xml:space="preserve"> جهة حكومية عبر معايير أمنية صارمة</w:t>
      </w:r>
      <w:r w:rsidR="00233695" w:rsidRPr="00202E2A">
        <w:rPr>
          <w:rFonts w:asciiTheme="majorBidi" w:hAnsiTheme="majorBidi" w:cstheme="majorBidi"/>
          <w:sz w:val="26"/>
          <w:szCs w:val="26"/>
          <w:lang w:bidi="ar-EG"/>
        </w:rPr>
        <w:t xml:space="preserve">.  </w:t>
      </w:r>
    </w:p>
    <w:p w14:paraId="1A0F39FC" w14:textId="4D90EE78"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6</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الشراكات الدولية والأكاديمية</w:t>
      </w:r>
      <w:r w:rsidR="00233695" w:rsidRPr="00202E2A">
        <w:rPr>
          <w:rFonts w:asciiTheme="majorBidi" w:hAnsiTheme="majorBidi" w:cstheme="majorBidi"/>
          <w:b/>
          <w:bCs/>
          <w:sz w:val="26"/>
          <w:szCs w:val="26"/>
          <w:u w:val="single"/>
          <w:lang w:bidi="ar-EG"/>
        </w:rPr>
        <w:t xml:space="preserve">:  </w:t>
      </w:r>
    </w:p>
    <w:p w14:paraId="33803A94" w14:textId="68DBF707" w:rsidR="00233695" w:rsidRPr="00202E2A" w:rsidRDefault="00775C9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w:t>
      </w:r>
      <w:r w:rsidR="00233695" w:rsidRPr="00202E2A">
        <w:rPr>
          <w:rFonts w:asciiTheme="majorBidi" w:hAnsiTheme="majorBidi" w:cstheme="majorBidi"/>
          <w:sz w:val="26"/>
          <w:szCs w:val="26"/>
          <w:rtl/>
          <w:lang w:bidi="ar-EG"/>
        </w:rPr>
        <w:t xml:space="preserve"> الانقسام (</w:t>
      </w:r>
      <w:r w:rsidR="00716E23"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28</w:t>
      </w:r>
      <w:r w:rsidR="00233695" w:rsidRPr="00202E2A">
        <w:rPr>
          <w:rFonts w:asciiTheme="majorBidi" w:hAnsiTheme="majorBidi" w:cstheme="majorBidi"/>
          <w:sz w:val="26"/>
          <w:szCs w:val="26"/>
          <w:rtl/>
          <w:lang w:bidi="ar-EG"/>
        </w:rPr>
        <w:t>% غير موافقين) تباينًا في فعالية الشراكات الحالية، حيث قد تكون بعض الاتفاقيات غير مُلزمة أو غير مُحكمة. وفقًا لتقرير</w:t>
      </w:r>
      <w:r w:rsidR="00233695" w:rsidRPr="00202E2A">
        <w:rPr>
          <w:rFonts w:asciiTheme="majorBidi" w:hAnsiTheme="majorBidi" w:cstheme="majorBidi"/>
          <w:sz w:val="26"/>
          <w:szCs w:val="26"/>
          <w:lang w:bidi="ar-EG"/>
        </w:rPr>
        <w:t xml:space="preserve"> UNESCO (2023)</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xml:space="preserve">% من الشراكات بين الحكومات والجامعات تفتقر إلى آليات قياس تأثير واضحة. مثال: شراكة الهيئة مع جامعة الملك </w:t>
      </w:r>
      <w:r w:rsidR="00716E23" w:rsidRPr="00202E2A">
        <w:rPr>
          <w:rFonts w:asciiTheme="majorBidi" w:hAnsiTheme="majorBidi" w:cstheme="majorBidi"/>
          <w:sz w:val="26"/>
          <w:szCs w:val="26"/>
          <w:rtl/>
          <w:lang w:bidi="ar-EG"/>
        </w:rPr>
        <w:t>عبد العزيز</w:t>
      </w:r>
      <w:r w:rsidR="00233695" w:rsidRPr="00202E2A">
        <w:rPr>
          <w:rFonts w:asciiTheme="majorBidi" w:hAnsiTheme="majorBidi" w:cstheme="majorBidi"/>
          <w:sz w:val="26"/>
          <w:szCs w:val="26"/>
          <w:rtl/>
          <w:lang w:bidi="ar-EG"/>
        </w:rPr>
        <w:t xml:space="preserve"> في تطوير أنظمة جمركية ذكية أسفرت عن خفض زمن الإفراج بنسبة </w:t>
      </w:r>
      <w:r w:rsidR="00716E23" w:rsidRPr="00202E2A">
        <w:rPr>
          <w:rFonts w:asciiTheme="majorBidi" w:hAnsiTheme="majorBidi" w:cstheme="majorBidi"/>
          <w:sz w:val="26"/>
          <w:szCs w:val="26"/>
          <w:lang w:bidi="ar-EG"/>
        </w:rPr>
        <w:t>30 %</w:t>
      </w:r>
      <w:r w:rsidR="00716E23" w:rsidRPr="00202E2A">
        <w:rPr>
          <w:rFonts w:asciiTheme="majorBidi" w:hAnsiTheme="majorBidi" w:cstheme="majorBidi"/>
          <w:sz w:val="26"/>
          <w:szCs w:val="26"/>
          <w:rtl/>
          <w:lang w:bidi="ar-EG"/>
        </w:rPr>
        <w:t>.</w:t>
      </w:r>
    </w:p>
    <w:p w14:paraId="00B4E926" w14:textId="419AAC6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7</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القانوني والسياسي:</w:t>
      </w:r>
    </w:p>
    <w:p w14:paraId="3760FAD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 تؤكد النسبة المرتفعة للموافقة (</w:t>
      </w:r>
      <w:r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أهمية الالتزام بالأنظمة الدولية لضمان عدالة التجارة، وهو ما يدعمه تقرير منظمة التجارة العالمية</w:t>
      </w:r>
      <w:r w:rsidRPr="00202E2A">
        <w:rPr>
          <w:rFonts w:asciiTheme="majorBidi" w:hAnsiTheme="majorBidi" w:cstheme="majorBidi"/>
          <w:sz w:val="26"/>
          <w:szCs w:val="26"/>
          <w:lang w:bidi="ar-EG"/>
        </w:rPr>
        <w:t xml:space="preserve"> (WTO, 2023) </w:t>
      </w:r>
      <w:r w:rsidRPr="00202E2A">
        <w:rPr>
          <w:rFonts w:asciiTheme="majorBidi" w:hAnsiTheme="majorBidi" w:cstheme="majorBidi"/>
          <w:sz w:val="26"/>
          <w:szCs w:val="26"/>
          <w:rtl/>
          <w:lang w:bidi="ar-EG"/>
        </w:rPr>
        <w:t xml:space="preserve">الذي أشار إلى أن الدول الملتزمة بالاتفاقيات الثنائية تشهد نزاعات تجارية أقل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مثال: نجاح الاتفاقية بين السعودية والصين في خفض النزاعات التجارية عبر آليات تحكيم واضحة</w:t>
      </w:r>
      <w:r w:rsidRPr="00202E2A">
        <w:rPr>
          <w:rFonts w:asciiTheme="majorBidi" w:hAnsiTheme="majorBidi" w:cstheme="majorBidi"/>
          <w:sz w:val="26"/>
          <w:szCs w:val="26"/>
          <w:lang w:bidi="ar-EG"/>
        </w:rPr>
        <w:t>.</w:t>
      </w:r>
    </w:p>
    <w:p w14:paraId="13672365" w14:textId="7DA5975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8</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الاجتماعي والثقافي:</w:t>
      </w:r>
    </w:p>
    <w:p w14:paraId="76C58D04"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تشير النتائج (</w:t>
      </w:r>
      <w:r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إدراك تأثير التجارة العالمية في خلق فرص عمل، لكن الـ</w:t>
      </w:r>
      <w:r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المحايدين قد يعكسون قلقًا من تأثير الأتمتة على الوظائف التقليدية. وفقًا لدراسة منظمة العمل الدولية</w:t>
      </w:r>
      <w:r w:rsidRPr="00202E2A">
        <w:rPr>
          <w:rFonts w:asciiTheme="majorBidi" w:hAnsiTheme="majorBidi" w:cstheme="majorBidi"/>
          <w:sz w:val="26"/>
          <w:szCs w:val="26"/>
          <w:lang w:bidi="ar-EG"/>
        </w:rPr>
        <w:t xml:space="preserve"> (ILO, 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من الوظائف الجديدة في القطاع التجاري تتطلب مهارات رقمية متوسطة على الأقل. مثال: تحوُّل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العاملين في القطاع الجمركي السعودي إلى وظائف إشرافية وتقنية بعد التحول الرقمي</w:t>
      </w:r>
      <w:r w:rsidRPr="00202E2A">
        <w:rPr>
          <w:rFonts w:asciiTheme="majorBidi" w:hAnsiTheme="majorBidi" w:cstheme="majorBidi"/>
          <w:sz w:val="26"/>
          <w:szCs w:val="26"/>
          <w:lang w:bidi="ar-EG"/>
        </w:rPr>
        <w:t>.</w:t>
      </w:r>
    </w:p>
    <w:p w14:paraId="5B3F31B7" w14:textId="1D5270F7" w:rsidR="00E13C8A"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9</w:t>
      </w:r>
      <w:r w:rsidRPr="00202E2A">
        <w:rPr>
          <w:rFonts w:asciiTheme="majorBidi" w:hAnsiTheme="majorBidi" w:cstheme="majorBidi"/>
          <w:b/>
          <w:bCs/>
          <w:sz w:val="26"/>
          <w:szCs w:val="26"/>
          <w:u w:val="single"/>
          <w:rtl/>
          <w:lang w:bidi="ar-EG"/>
        </w:rPr>
        <w:t>.</w:t>
      </w:r>
      <w:r w:rsidR="00E13C8A" w:rsidRPr="00202E2A">
        <w:rPr>
          <w:rFonts w:asciiTheme="majorBidi" w:hAnsiTheme="majorBidi" w:cstheme="majorBidi"/>
          <w:b/>
          <w:bCs/>
          <w:sz w:val="26"/>
          <w:szCs w:val="26"/>
          <w:u w:val="single"/>
          <w:lang w:bidi="ar-EG"/>
        </w:rPr>
        <w:t xml:space="preserve"> </w:t>
      </w:r>
      <w:r w:rsidR="00E13C8A" w:rsidRPr="00202E2A">
        <w:rPr>
          <w:rFonts w:asciiTheme="majorBidi" w:hAnsiTheme="majorBidi" w:cstheme="majorBidi"/>
          <w:b/>
          <w:bCs/>
          <w:sz w:val="26"/>
          <w:szCs w:val="26"/>
          <w:u w:val="single"/>
          <w:rtl/>
          <w:lang w:bidi="ar-EG"/>
        </w:rPr>
        <w:t>الحفاظ على الهوية الثقافية:</w:t>
      </w:r>
    </w:p>
    <w:p w14:paraId="2263333E" w14:textId="77777777" w:rsidR="00E13C8A" w:rsidRPr="00202E2A" w:rsidRDefault="00E13C8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التفسير </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 النسبة المرتفعة للموافقة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التزامًا قويًّا بالحفاظ على الهوية الثقافية عبر دعم المنتجات الوطنية، وهو ما يتماشى مع استراتيجية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لتعزيز الهوية السعودية. وفقًا لتقرير اليونسكو (</w:t>
      </w:r>
      <w:r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lastRenderedPageBreak/>
        <w:t>من الدول الناجحة في حماية تراثها تعتمد على سياسات دعم محلية مدعومة بحملات تسويقية ذكية. مثال: نجاح إيطاليا في تسويق منتجاتها الزراعية (مثل زيت الزيتون) كرمز للجودة والتراث</w:t>
      </w:r>
      <w:r w:rsidRPr="00202E2A">
        <w:rPr>
          <w:rFonts w:asciiTheme="majorBidi" w:hAnsiTheme="majorBidi" w:cstheme="majorBidi"/>
          <w:sz w:val="26"/>
          <w:szCs w:val="26"/>
          <w:lang w:bidi="ar-EG"/>
        </w:rPr>
        <w:t>.</w:t>
      </w:r>
    </w:p>
    <w:p w14:paraId="559BA81C" w14:textId="21BE591F"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10</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الاقتصادي: إدارة العرض والطلب</w:t>
      </w:r>
      <w:r w:rsidR="005B7BD2" w:rsidRPr="00202E2A">
        <w:rPr>
          <w:rFonts w:asciiTheme="majorBidi" w:hAnsiTheme="majorBidi" w:cstheme="majorBidi"/>
          <w:b/>
          <w:bCs/>
          <w:sz w:val="26"/>
          <w:szCs w:val="26"/>
          <w:u w:val="single"/>
          <w:rtl/>
          <w:lang w:bidi="ar-EG"/>
        </w:rPr>
        <w:t>:</w:t>
      </w:r>
    </w:p>
    <w:p w14:paraId="70FDD781" w14:textId="5D8AB3C4"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إجماعًا قويًّا على دور إدارة العرض والطلب في دعم النمو الاقتصادي، وهو ما يتماشى مع استراتيجيات رؤية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لتنويع الاقتصاد وتعزيز الصادرات غير النفطية. وفقًا لتقرير البنك الدولي (</w:t>
      </w:r>
      <w:r w:rsidR="00716E23"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تسهم السياسات الفعَّالة في إدارة العرض والطلب في زيادة الناتج المحلي الإجمالي بنسبة </w:t>
      </w:r>
      <w:r w:rsidR="00716E23" w:rsidRPr="00202E2A">
        <w:rPr>
          <w:rFonts w:asciiTheme="majorBidi" w:hAnsiTheme="majorBidi" w:cstheme="majorBidi"/>
          <w:sz w:val="26"/>
          <w:szCs w:val="26"/>
          <w:lang w:bidi="ar-EG"/>
        </w:rPr>
        <w:t>2</w:t>
      </w:r>
      <w:r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w:t>
      </w:r>
      <w:r w:rsidRPr="00202E2A">
        <w:rPr>
          <w:rFonts w:asciiTheme="majorBidi" w:hAnsiTheme="majorBidi" w:cstheme="majorBidi"/>
          <w:sz w:val="26"/>
          <w:szCs w:val="26"/>
          <w:rtl/>
          <w:lang w:bidi="ar-EG"/>
        </w:rPr>
        <w:t xml:space="preserve">% سنويًّا في الاقتصادات الناشئة. مثال: نجاح ماليزيا في رفع صادراتها من السلع الإلكترونية بنسبة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عبر تحسين تنسيق سلاسل التوريد</w:t>
      </w:r>
      <w:r w:rsidRPr="00202E2A">
        <w:rPr>
          <w:rFonts w:asciiTheme="majorBidi" w:hAnsiTheme="majorBidi" w:cstheme="majorBidi"/>
          <w:sz w:val="26"/>
          <w:szCs w:val="26"/>
          <w:lang w:bidi="ar-EG"/>
        </w:rPr>
        <w:t>.</w:t>
      </w:r>
    </w:p>
    <w:p w14:paraId="0E7A2B23" w14:textId="510C351D"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11</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الانفتاح على الأسواق العالمية</w:t>
      </w:r>
      <w:r w:rsidR="005B7BD2" w:rsidRPr="00202E2A">
        <w:rPr>
          <w:rFonts w:asciiTheme="majorBidi" w:hAnsiTheme="majorBidi" w:cstheme="majorBidi"/>
          <w:b/>
          <w:bCs/>
          <w:sz w:val="26"/>
          <w:szCs w:val="26"/>
          <w:u w:val="single"/>
          <w:rtl/>
          <w:lang w:bidi="ar-EG"/>
        </w:rPr>
        <w:t>:</w:t>
      </w:r>
    </w:p>
    <w:p w14:paraId="3FB9D044" w14:textId="72638BA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يعكس التأييد بنسبة </w:t>
      </w:r>
      <w:r w:rsidR="00716E23" w:rsidRPr="00202E2A">
        <w:rPr>
          <w:rFonts w:asciiTheme="majorBidi" w:hAnsiTheme="majorBidi" w:cstheme="majorBidi"/>
          <w:sz w:val="26"/>
          <w:szCs w:val="26"/>
          <w:lang w:bidi="ar-EG"/>
        </w:rPr>
        <w:t>72</w:t>
      </w:r>
      <w:r w:rsidRPr="00202E2A">
        <w:rPr>
          <w:rFonts w:asciiTheme="majorBidi" w:hAnsiTheme="majorBidi" w:cstheme="majorBidi"/>
          <w:sz w:val="26"/>
          <w:szCs w:val="26"/>
          <w:rtl/>
          <w:lang w:bidi="ar-EG"/>
        </w:rPr>
        <w:t xml:space="preserve">% مع وجود </w:t>
      </w:r>
      <w:r w:rsidR="00716E23" w:rsidRPr="00202E2A">
        <w:rPr>
          <w:rFonts w:asciiTheme="majorBidi" w:hAnsiTheme="majorBidi" w:cstheme="majorBidi"/>
          <w:sz w:val="26"/>
          <w:szCs w:val="26"/>
          <w:lang w:bidi="ar-EG"/>
        </w:rPr>
        <w:t>27</w:t>
      </w:r>
      <w:r w:rsidRPr="00202E2A">
        <w:rPr>
          <w:rFonts w:asciiTheme="majorBidi" w:hAnsiTheme="majorBidi" w:cstheme="majorBidi"/>
          <w:sz w:val="26"/>
          <w:szCs w:val="26"/>
          <w:rtl/>
          <w:lang w:bidi="ar-EG"/>
        </w:rPr>
        <w:t>% محايدين توجُّهًا نحو الانفتاح مع حذر من تأثيره على الصناعات المحلية. وفقًا لدراسة</w:t>
      </w:r>
      <w:r w:rsidRPr="00202E2A">
        <w:rPr>
          <w:rFonts w:asciiTheme="majorBidi" w:hAnsiTheme="majorBidi" w:cstheme="majorBidi"/>
          <w:sz w:val="26"/>
          <w:szCs w:val="26"/>
          <w:lang w:bidi="ar-EG"/>
        </w:rPr>
        <w:t xml:space="preserve"> Peterson Institute (2021)</w:t>
      </w:r>
      <w:r w:rsidRPr="00202E2A">
        <w:rPr>
          <w:rFonts w:asciiTheme="majorBidi" w:hAnsiTheme="majorBidi" w:cstheme="majorBidi"/>
          <w:sz w:val="26"/>
          <w:szCs w:val="26"/>
          <w:rtl/>
          <w:lang w:bidi="ar-EG"/>
        </w:rPr>
        <w:t xml:space="preserve">، فإن الاقتصادات المنفتحة تشهد نموًّا أعلى بنسبة </w:t>
      </w:r>
      <w:r w:rsidR="00716E23"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مقارنة بالاقتصادات المغلقة، لكنها قد تواجه مخاطر مثل الإغراق التجاري. مثال: تجربة الهند في فرض رسوم جمركية انتقائية لحماية صناعاتها الناشئة مع الانفتاح على الاستثمار الأجنبي</w:t>
      </w:r>
      <w:r w:rsidRPr="00202E2A">
        <w:rPr>
          <w:rFonts w:asciiTheme="majorBidi" w:hAnsiTheme="majorBidi" w:cstheme="majorBidi"/>
          <w:sz w:val="26"/>
          <w:szCs w:val="26"/>
          <w:lang w:bidi="ar-EG"/>
        </w:rPr>
        <w:t>.</w:t>
      </w:r>
    </w:p>
    <w:p w14:paraId="43861BCA" w14:textId="29898347"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12</w:t>
      </w:r>
      <w:r w:rsidR="00E674ED"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التكنولوجي</w:t>
      </w:r>
      <w:r w:rsidR="005B7BD2" w:rsidRPr="00202E2A">
        <w:rPr>
          <w:rFonts w:asciiTheme="majorBidi" w:hAnsiTheme="majorBidi" w:cstheme="majorBidi"/>
          <w:b/>
          <w:bCs/>
          <w:sz w:val="26"/>
          <w:szCs w:val="26"/>
          <w:u w:val="single"/>
          <w:rtl/>
          <w:lang w:bidi="ar-EG"/>
        </w:rPr>
        <w:t>:</w:t>
      </w:r>
    </w:p>
    <w:p w14:paraId="0CECC2DD" w14:textId="46FE2540"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ثقةً في قدرة التقنيات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الذكاء الاصطناعي و</w:t>
      </w:r>
      <w:r w:rsidRPr="00202E2A">
        <w:rPr>
          <w:rFonts w:asciiTheme="majorBidi" w:hAnsiTheme="majorBidi" w:cstheme="majorBidi"/>
          <w:sz w:val="26"/>
          <w:szCs w:val="26"/>
          <w:lang w:bidi="ar-EG"/>
        </w:rPr>
        <w:t xml:space="preserve">Blockchain) </w:t>
      </w:r>
      <w:r w:rsidRPr="00202E2A">
        <w:rPr>
          <w:rFonts w:asciiTheme="majorBidi" w:hAnsiTheme="majorBidi" w:cstheme="majorBidi"/>
          <w:sz w:val="26"/>
          <w:szCs w:val="26"/>
          <w:rtl/>
          <w:lang w:bidi="ar-EG"/>
        </w:rPr>
        <w:t>على تحسين كفاءة سلاسل التوريد، وهو ما يتوافق مع تقرير مؤسسة ماكينزي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الذي أكد أن تبني هذه التقنيات يخفض تكاليف الخدمات اللوجستية بنسبة 25%. مثال: استخدام دبي لتقنية</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في منصة "نقل" لتعقب الشحنات الجمركية</w:t>
      </w:r>
      <w:r w:rsidRPr="00202E2A">
        <w:rPr>
          <w:rFonts w:asciiTheme="majorBidi" w:hAnsiTheme="majorBidi" w:cstheme="majorBidi"/>
          <w:sz w:val="26"/>
          <w:szCs w:val="26"/>
          <w:lang w:bidi="ar-EG"/>
        </w:rPr>
        <w:t>.</w:t>
      </w:r>
    </w:p>
    <w:p w14:paraId="48B33AA1" w14:textId="6CD6852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13</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تحسين الرقابة الجمركية بالأشعة السينية:</w:t>
      </w:r>
      <w:r w:rsidR="008F377E" w:rsidRPr="00202E2A">
        <w:rPr>
          <w:rFonts w:asciiTheme="majorBidi" w:hAnsiTheme="majorBidi" w:cstheme="majorBidi"/>
          <w:b/>
          <w:bCs/>
          <w:sz w:val="26"/>
          <w:szCs w:val="26"/>
          <w:u w:val="single"/>
          <w:lang w:bidi="ar-EG"/>
        </w:rPr>
        <w:t xml:space="preserve"> </w:t>
      </w:r>
    </w:p>
    <w:p w14:paraId="1EDD145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ارتفاع نسبة غير الموافقين (</w:t>
      </w:r>
      <w:r w:rsidRPr="00202E2A">
        <w:rPr>
          <w:rFonts w:asciiTheme="majorBidi" w:hAnsiTheme="majorBidi" w:cstheme="majorBidi"/>
          <w:sz w:val="26"/>
          <w:szCs w:val="26"/>
          <w:lang w:bidi="ar-EG"/>
        </w:rPr>
        <w:t>48</w:t>
      </w:r>
      <w:r w:rsidRPr="00202E2A">
        <w:rPr>
          <w:rFonts w:asciiTheme="majorBidi" w:hAnsiTheme="majorBidi" w:cstheme="majorBidi"/>
          <w:sz w:val="26"/>
          <w:szCs w:val="26"/>
          <w:rtl/>
          <w:lang w:bidi="ar-EG"/>
        </w:rPr>
        <w:t>%) قد يعكس تحديات تقنية أو إدارية، مثل استخدام أجهزة مسح ضوئي قديمة غير قادرة على التعامل مع الأحجام الكبيرة للشحنات، أو نقص التدريب على تحليل الصور بدقة. وفقًا لتقرير البنك الدولي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تعتمد كفاءة أنظمة المسح الضوئي على تكاملها مع تقنيات الذكاء الاصطناعي لتحليل البيانات تلقائيًا، وهو ما قد يكون غائبًا في بعض فروع الهيئة. مثالٌ على ذلك: تجربة سلطنة عمان في تحديث أجهزة الأشعة السينية مدعومة بالذكاء الاصطناعي، والتي قللت زمن الفحص من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xml:space="preserve"> دقيقة إلى </w:t>
      </w:r>
      <w:r w:rsidRPr="00202E2A">
        <w:rPr>
          <w:rFonts w:asciiTheme="majorBidi" w:hAnsiTheme="majorBidi" w:cstheme="majorBidi"/>
          <w:sz w:val="26"/>
          <w:szCs w:val="26"/>
          <w:lang w:bidi="ar-EG"/>
        </w:rPr>
        <w:t>5</w:t>
      </w:r>
      <w:r w:rsidRPr="00202E2A">
        <w:rPr>
          <w:rFonts w:asciiTheme="majorBidi" w:hAnsiTheme="majorBidi" w:cstheme="majorBidi"/>
          <w:sz w:val="26"/>
          <w:szCs w:val="26"/>
          <w:rtl/>
          <w:lang w:bidi="ar-EG"/>
        </w:rPr>
        <w:t xml:space="preserve"> دقائق لكل شحنة</w:t>
      </w:r>
      <w:r w:rsidRPr="00202E2A">
        <w:rPr>
          <w:rFonts w:asciiTheme="majorBidi" w:hAnsiTheme="majorBidi" w:cstheme="majorBidi"/>
          <w:sz w:val="26"/>
          <w:szCs w:val="26"/>
          <w:lang w:bidi="ar-EG"/>
        </w:rPr>
        <w:t xml:space="preserve">.  </w:t>
      </w:r>
    </w:p>
    <w:p w14:paraId="31978121" w14:textId="7B4275F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14</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تحديد الشحنات الخطرة بالذكاء الاصطناعي</w:t>
      </w:r>
      <w:r w:rsidR="008F377E" w:rsidRPr="00202E2A">
        <w:rPr>
          <w:rFonts w:asciiTheme="majorBidi" w:hAnsiTheme="majorBidi" w:cstheme="majorBidi"/>
          <w:b/>
          <w:bCs/>
          <w:sz w:val="26"/>
          <w:szCs w:val="26"/>
          <w:u w:val="single"/>
          <w:lang w:bidi="ar-EG"/>
        </w:rPr>
        <w:t xml:space="preserve">:  </w:t>
      </w:r>
    </w:p>
    <w:p w14:paraId="1C419EF0"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 التباين في الآراء (</w:t>
      </w:r>
      <w:r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موافقون، </w:t>
      </w:r>
      <w:r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محايدون) اختلافًا في تجارب الفروع مع التقنية، حيث قد تعاني بعض الفروع من نقص البيانات المُدخلة أو عدم تكامل الأنظمة. وفقًا لتقرير منظمة الجمارك العالمية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تعتمد دقة الذكاء الاصطناعي على جودة البيانات وجودة تكاملها مع أنظمة الطرف الثالث. مثال: نجاح نظام "أي-تريكر</w:t>
      </w:r>
      <w:r w:rsidRPr="00202E2A">
        <w:rPr>
          <w:rFonts w:asciiTheme="majorBidi" w:hAnsiTheme="majorBidi" w:cstheme="majorBidi"/>
          <w:sz w:val="26"/>
          <w:szCs w:val="26"/>
          <w:lang w:bidi="ar-EG"/>
        </w:rPr>
        <w:t xml:space="preserve">" (iTracker) </w:t>
      </w:r>
      <w:r w:rsidRPr="00202E2A">
        <w:rPr>
          <w:rFonts w:asciiTheme="majorBidi" w:hAnsiTheme="majorBidi" w:cstheme="majorBidi"/>
          <w:sz w:val="26"/>
          <w:szCs w:val="26"/>
          <w:rtl/>
          <w:lang w:bidi="ar-EG"/>
        </w:rPr>
        <w:t xml:space="preserve">في هولندا في خفض التهريب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بعد تحسين جودة البيانات</w:t>
      </w:r>
      <w:r w:rsidRPr="00202E2A">
        <w:rPr>
          <w:rFonts w:asciiTheme="majorBidi" w:hAnsiTheme="majorBidi" w:cstheme="majorBidi"/>
          <w:sz w:val="26"/>
          <w:szCs w:val="26"/>
          <w:lang w:bidi="ar-EG"/>
        </w:rPr>
        <w:t xml:space="preserve">.  </w:t>
      </w:r>
    </w:p>
    <w:p w14:paraId="541E1B1F" w14:textId="1B7D1091"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15</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البيئي</w:t>
      </w:r>
      <w:r w:rsidR="00E674ED" w:rsidRPr="00202E2A">
        <w:rPr>
          <w:rFonts w:asciiTheme="majorBidi" w:hAnsiTheme="majorBidi" w:cstheme="majorBidi"/>
          <w:b/>
          <w:bCs/>
          <w:sz w:val="26"/>
          <w:szCs w:val="26"/>
          <w:u w:val="single"/>
          <w:rtl/>
          <w:lang w:bidi="ar-EG"/>
        </w:rPr>
        <w:t>:</w:t>
      </w:r>
    </w:p>
    <w:p w14:paraId="7498A473" w14:textId="12D2DF5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xml:space="preserve">%) وعيًا بأهمية التجارة الخضراء، وهو ما يتماشى مع مبادرة "السعودية الخضراء" التي تهدف إلى خفض الانبعاثات الكربونية بنسبة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بحلول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وفقًا لتقرير الأمم المتحدة </w:t>
      </w:r>
      <w:r w:rsidRPr="00202E2A">
        <w:rPr>
          <w:rFonts w:asciiTheme="majorBidi" w:hAnsiTheme="majorBidi" w:cstheme="majorBidi"/>
          <w:sz w:val="26"/>
          <w:szCs w:val="26"/>
          <w:rtl/>
          <w:lang w:bidi="ar-EG"/>
        </w:rPr>
        <w:lastRenderedPageBreak/>
        <w:t>(</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في تجارتها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نجاح الاتحاد الأوروبي في فرض "ضريبة الكربون" على الواردات غير المستدامة</w:t>
      </w:r>
      <w:r w:rsidRPr="00202E2A">
        <w:rPr>
          <w:rFonts w:asciiTheme="majorBidi" w:hAnsiTheme="majorBidi" w:cstheme="majorBidi"/>
          <w:sz w:val="26"/>
          <w:szCs w:val="26"/>
          <w:lang w:bidi="ar-EG"/>
        </w:rPr>
        <w:t>.</w:t>
      </w:r>
    </w:p>
    <w:p w14:paraId="4BB0683A" w14:textId="3FDBBA13"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16</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البُعد البيئي: التجارة الخضراء</w:t>
      </w:r>
      <w:r w:rsidR="00E674ED" w:rsidRPr="00202E2A">
        <w:rPr>
          <w:rFonts w:asciiTheme="majorBidi" w:hAnsiTheme="majorBidi" w:cstheme="majorBidi"/>
          <w:b/>
          <w:bCs/>
          <w:sz w:val="26"/>
          <w:szCs w:val="26"/>
          <w:u w:val="single"/>
          <w:rtl/>
          <w:lang w:bidi="ar-EG"/>
        </w:rPr>
        <w:t>:</w:t>
      </w:r>
    </w:p>
    <w:p w14:paraId="64D45CD1" w14:textId="7E862F3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إلى وعي بأهمية الممارسات البيئية في التجارة، وهو ما يتوافق مع مبادرة "السعودية الخضراء". وفقًا لتقرير الأمم المتحدة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تطبيق الاتحاد الأوروبي لـ"آلية تعديل حدود الكربون</w:t>
      </w:r>
      <w:r w:rsidRPr="00202E2A">
        <w:rPr>
          <w:rFonts w:asciiTheme="majorBidi" w:hAnsiTheme="majorBidi" w:cstheme="majorBidi"/>
          <w:sz w:val="26"/>
          <w:szCs w:val="26"/>
          <w:lang w:bidi="ar-EG"/>
        </w:rPr>
        <w:t xml:space="preserve">" (CBAM) </w:t>
      </w:r>
      <w:r w:rsidRPr="00202E2A">
        <w:rPr>
          <w:rFonts w:asciiTheme="majorBidi" w:hAnsiTheme="majorBidi" w:cstheme="majorBidi"/>
          <w:sz w:val="26"/>
          <w:szCs w:val="26"/>
          <w:rtl/>
          <w:lang w:bidi="ar-EG"/>
        </w:rPr>
        <w:t>لفرض رسوم على الواردات عالية الانبعاثات</w:t>
      </w:r>
      <w:r w:rsidRPr="00202E2A">
        <w:rPr>
          <w:rFonts w:asciiTheme="majorBidi" w:hAnsiTheme="majorBidi" w:cstheme="majorBidi"/>
          <w:sz w:val="26"/>
          <w:szCs w:val="26"/>
          <w:lang w:bidi="ar-EG"/>
        </w:rPr>
        <w:t>.</w:t>
      </w:r>
    </w:p>
    <w:p w14:paraId="264DD620" w14:textId="13742448"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17</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الالتزام بالاتفاقيات البيئية الدولية</w:t>
      </w:r>
      <w:r w:rsidR="00E674ED" w:rsidRPr="00202E2A">
        <w:rPr>
          <w:rFonts w:asciiTheme="majorBidi" w:hAnsiTheme="majorBidi" w:cstheme="majorBidi"/>
          <w:b/>
          <w:bCs/>
          <w:sz w:val="26"/>
          <w:szCs w:val="26"/>
          <w:u w:val="single"/>
          <w:rtl/>
          <w:lang w:bidi="ar-EG"/>
        </w:rPr>
        <w:t>:</w:t>
      </w:r>
    </w:p>
    <w:p w14:paraId="418B5023" w14:textId="5423912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تعكس النسبة (</w:t>
      </w:r>
      <w:r w:rsidR="00716E23" w:rsidRPr="00202E2A">
        <w:rPr>
          <w:rFonts w:asciiTheme="majorBidi" w:hAnsiTheme="majorBidi" w:cstheme="majorBidi"/>
          <w:sz w:val="26"/>
          <w:szCs w:val="26"/>
          <w:lang w:bidi="ar-EG"/>
        </w:rPr>
        <w:t>62</w:t>
      </w:r>
      <w:r w:rsidRPr="00202E2A">
        <w:rPr>
          <w:rFonts w:asciiTheme="majorBidi" w:hAnsiTheme="majorBidi" w:cstheme="majorBidi"/>
          <w:sz w:val="26"/>
          <w:szCs w:val="26"/>
          <w:rtl/>
          <w:lang w:bidi="ar-EG"/>
        </w:rPr>
        <w:t>% موافقون) التزامًا جزئيًّا بالاتفاقيات، بينما يشكك الـ</w:t>
      </w:r>
      <w:r w:rsidR="00716E23" w:rsidRPr="00202E2A">
        <w:rPr>
          <w:rFonts w:asciiTheme="majorBidi" w:hAnsiTheme="majorBidi" w:cstheme="majorBidi"/>
          <w:sz w:val="26"/>
          <w:szCs w:val="26"/>
          <w:lang w:bidi="ar-EG"/>
        </w:rPr>
        <w:t>10</w:t>
      </w:r>
      <w:r w:rsidRPr="00202E2A">
        <w:rPr>
          <w:rFonts w:asciiTheme="majorBidi" w:hAnsiTheme="majorBidi" w:cstheme="majorBidi"/>
          <w:sz w:val="26"/>
          <w:szCs w:val="26"/>
          <w:rtl/>
          <w:lang w:bidi="ar-EG"/>
        </w:rPr>
        <w:t>% غير الموافقين في جدواها الاقتصادية. وفقًا لدراسة معهد الموارد العالمية</w:t>
      </w:r>
      <w:r w:rsidRPr="00202E2A">
        <w:rPr>
          <w:rFonts w:asciiTheme="majorBidi" w:hAnsiTheme="majorBidi" w:cstheme="majorBidi"/>
          <w:sz w:val="26"/>
          <w:szCs w:val="26"/>
          <w:lang w:bidi="ar-EG"/>
        </w:rPr>
        <w:t xml:space="preserve"> (WRI,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60</w:t>
      </w:r>
      <w:r w:rsidRPr="00202E2A">
        <w:rPr>
          <w:rFonts w:asciiTheme="majorBidi" w:hAnsiTheme="majorBidi" w:cstheme="majorBidi"/>
          <w:sz w:val="26"/>
          <w:szCs w:val="26"/>
          <w:rtl/>
          <w:lang w:bidi="ar-EG"/>
        </w:rPr>
        <w:t>% من الشركات العالمية تعتبر الالتزام البيئي عبئًا ماليًّا. مثال: معارضة بعض الدول النامية لبنود اتفاقية باريس للمناخ بسبب تكاليفها المرتفعة</w:t>
      </w:r>
      <w:r w:rsidRPr="00202E2A">
        <w:rPr>
          <w:rFonts w:asciiTheme="majorBidi" w:hAnsiTheme="majorBidi" w:cstheme="majorBidi"/>
          <w:sz w:val="26"/>
          <w:szCs w:val="26"/>
          <w:lang w:bidi="ar-EG"/>
        </w:rPr>
        <w:t>.</w:t>
      </w:r>
    </w:p>
    <w:p w14:paraId="50CE9916" w14:textId="51F86A2E"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18</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البيئة الخارجية المحيطة</w:t>
      </w:r>
      <w:r w:rsidR="00E674ED" w:rsidRPr="00202E2A">
        <w:rPr>
          <w:rFonts w:asciiTheme="majorBidi" w:hAnsiTheme="majorBidi" w:cstheme="majorBidi"/>
          <w:b/>
          <w:bCs/>
          <w:sz w:val="26"/>
          <w:szCs w:val="26"/>
          <w:u w:val="single"/>
          <w:rtl/>
          <w:lang w:bidi="ar-EG"/>
        </w:rPr>
        <w:t>:</w:t>
      </w:r>
    </w:p>
    <w:p w14:paraId="790628C4" w14:textId="3D81FB55"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77</w:t>
      </w:r>
      <w:r w:rsidRPr="00202E2A">
        <w:rPr>
          <w:rFonts w:asciiTheme="majorBidi" w:hAnsiTheme="majorBidi" w:cstheme="majorBidi"/>
          <w:sz w:val="26"/>
          <w:szCs w:val="26"/>
          <w:rtl/>
          <w:lang w:bidi="ar-EG"/>
        </w:rPr>
        <w:t>%) إدراكًا لأهمية التعاون بين الجهات في دعم التحول الرقمي، وهو ما يدعمه تقرير البنك الدولي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الذي أكد أن التكامل المؤسسي يرفع كفاءة الخدمات بنسبة </w:t>
      </w:r>
      <w:r w:rsidR="00716E23"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مثال: نجاح منصة "فاسل" في السعودية في ربط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جهة حكومية</w:t>
      </w:r>
      <w:r w:rsidRPr="00202E2A">
        <w:rPr>
          <w:rFonts w:asciiTheme="majorBidi" w:hAnsiTheme="majorBidi" w:cstheme="majorBidi"/>
          <w:sz w:val="26"/>
          <w:szCs w:val="26"/>
          <w:lang w:bidi="ar-EG"/>
        </w:rPr>
        <w:t>.</w:t>
      </w:r>
    </w:p>
    <w:p w14:paraId="76873EDB" w14:textId="25EA98AA"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19</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القوانين الداعمة للتحول الرقمي</w:t>
      </w:r>
      <w:r w:rsidR="00E674ED" w:rsidRPr="00202E2A">
        <w:rPr>
          <w:rFonts w:asciiTheme="majorBidi" w:hAnsiTheme="majorBidi" w:cstheme="majorBidi"/>
          <w:b/>
          <w:bCs/>
          <w:sz w:val="26"/>
          <w:szCs w:val="26"/>
          <w:u w:val="single"/>
          <w:rtl/>
          <w:lang w:bidi="ar-EG"/>
        </w:rPr>
        <w:t>:</w:t>
      </w:r>
    </w:p>
    <w:p w14:paraId="7257AAC2" w14:textId="783231A8"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يعكس الانقسام (</w:t>
      </w:r>
      <w:r w:rsidR="00810178"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محايدون) حاجةً لتحديث التشريعات لمواكبة تقنيات مثل الميتافيرس والعقود الذكية. وفقًا لدراسة جامعة ستانفورد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من التشريعات الحالية لا تغطي الجوانب القانونية للذكاء الاصطناعي</w:t>
      </w:r>
      <w:r w:rsidRPr="00202E2A">
        <w:rPr>
          <w:rFonts w:asciiTheme="majorBidi" w:hAnsiTheme="majorBidi" w:cstheme="majorBidi"/>
          <w:sz w:val="26"/>
          <w:szCs w:val="26"/>
          <w:lang w:bidi="ar-EG"/>
        </w:rPr>
        <w:t>.</w:t>
      </w:r>
    </w:p>
    <w:p w14:paraId="7504E76B" w14:textId="2191AC3D"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20</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الاستعداد الداخلي للهيئات</w:t>
      </w:r>
      <w:r w:rsidR="00E674ED" w:rsidRPr="00202E2A">
        <w:rPr>
          <w:rFonts w:asciiTheme="majorBidi" w:hAnsiTheme="majorBidi" w:cstheme="majorBidi"/>
          <w:b/>
          <w:bCs/>
          <w:sz w:val="26"/>
          <w:szCs w:val="26"/>
          <w:u w:val="single"/>
          <w:rtl/>
          <w:lang w:bidi="ar-EG"/>
        </w:rPr>
        <w:t>:</w:t>
      </w:r>
    </w:p>
    <w:p w14:paraId="1CD4D480" w14:textId="55CAF56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النتائج (</w:t>
      </w:r>
      <w:r w:rsidR="00716E23"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وجود إستراتيجية رقمية، لكن الـ</w:t>
      </w:r>
      <w:r w:rsidR="00716E23"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المحايدين قد يعكسون ضعفًا في التواصل الداخلي. وفقًا لتقرير</w:t>
      </w:r>
      <w:r w:rsidRPr="00202E2A">
        <w:rPr>
          <w:rFonts w:asciiTheme="majorBidi" w:hAnsiTheme="majorBidi" w:cstheme="majorBidi"/>
          <w:sz w:val="26"/>
          <w:szCs w:val="26"/>
          <w:lang w:bidi="ar-EG"/>
        </w:rPr>
        <w:t xml:space="preserve"> Gartner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من الموظفين في القطاع العام لا يفهمون إستراتيجية مؤسساتهم الرقمية</w:t>
      </w:r>
      <w:r w:rsidRPr="00202E2A">
        <w:rPr>
          <w:rFonts w:asciiTheme="majorBidi" w:hAnsiTheme="majorBidi" w:cstheme="majorBidi"/>
          <w:sz w:val="26"/>
          <w:szCs w:val="26"/>
          <w:lang w:bidi="ar-EG"/>
        </w:rPr>
        <w:t>.</w:t>
      </w:r>
    </w:p>
    <w:p w14:paraId="5E12D778" w14:textId="1D746B0F"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21</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التغيير الجوهري في العمليات</w:t>
      </w:r>
      <w:r w:rsidR="00E674ED" w:rsidRPr="00202E2A">
        <w:rPr>
          <w:rFonts w:asciiTheme="majorBidi" w:hAnsiTheme="majorBidi" w:cstheme="majorBidi"/>
          <w:b/>
          <w:bCs/>
          <w:sz w:val="26"/>
          <w:szCs w:val="26"/>
          <w:u w:val="single"/>
          <w:rtl/>
          <w:lang w:bidi="ar-EG"/>
        </w:rPr>
        <w:t>:</w:t>
      </w:r>
    </w:p>
    <w:p w14:paraId="39D8E873" w14:textId="6615C09C"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775C9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تؤكد النسبة (</w:t>
      </w:r>
      <w:r w:rsidR="00716E23"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موافقون) حدوث تحولات إيجابية، لكن الـ</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المحايدين قد يشعرون بعدم تكافؤ التطوير بين الفروع. وفقًا لتقرير</w:t>
      </w:r>
      <w:r w:rsidRPr="00202E2A">
        <w:rPr>
          <w:rFonts w:asciiTheme="majorBidi" w:hAnsiTheme="majorBidi" w:cstheme="majorBidi"/>
          <w:sz w:val="26"/>
          <w:szCs w:val="26"/>
          <w:lang w:bidi="ar-EG"/>
        </w:rPr>
        <w:t xml:space="preserve"> WCO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من الفروع في الهيئات الجمركية </w:t>
      </w:r>
      <w:r w:rsidR="004602F0" w:rsidRPr="00202E2A">
        <w:rPr>
          <w:rFonts w:asciiTheme="majorBidi" w:hAnsiTheme="majorBidi" w:cstheme="majorBidi"/>
          <w:sz w:val="26"/>
          <w:szCs w:val="26"/>
          <w:rtl/>
          <w:lang w:bidi="ar-EG"/>
        </w:rPr>
        <w:t xml:space="preserve">في أغلب دول </w:t>
      </w:r>
      <w:r w:rsidRPr="00202E2A">
        <w:rPr>
          <w:rFonts w:asciiTheme="majorBidi" w:hAnsiTheme="majorBidi" w:cstheme="majorBidi"/>
          <w:sz w:val="26"/>
          <w:szCs w:val="26"/>
          <w:rtl/>
          <w:lang w:bidi="ar-EG"/>
        </w:rPr>
        <w:t>تعاني من تبايُن في البنية التحتية</w:t>
      </w:r>
      <w:r w:rsidRPr="00202E2A">
        <w:rPr>
          <w:rFonts w:asciiTheme="majorBidi" w:hAnsiTheme="majorBidi" w:cstheme="majorBidi"/>
          <w:sz w:val="26"/>
          <w:szCs w:val="26"/>
          <w:lang w:bidi="ar-EG"/>
        </w:rPr>
        <w:t>.</w:t>
      </w:r>
    </w:p>
    <w:p w14:paraId="261393FD" w14:textId="7E2A0812"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22</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مهارات العملاء في استخدام الخدمات الرقمية</w:t>
      </w:r>
      <w:r w:rsidR="00E674ED" w:rsidRPr="00202E2A">
        <w:rPr>
          <w:rFonts w:asciiTheme="majorBidi" w:hAnsiTheme="majorBidi" w:cstheme="majorBidi"/>
          <w:b/>
          <w:bCs/>
          <w:sz w:val="26"/>
          <w:szCs w:val="26"/>
          <w:u w:val="single"/>
          <w:rtl/>
          <w:lang w:bidi="ar-EG"/>
        </w:rPr>
        <w:t>:</w:t>
      </w:r>
    </w:p>
    <w:p w14:paraId="0641D52D" w14:textId="052EE69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E674E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المنخفضة (</w:t>
      </w:r>
      <w:r w:rsidR="00716E23"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موافقون) إلى فجوة رقمية، خاصة بين كبار السن وأصحاب الأعمال الصغيرة. وفقًا لتقرير الاتحاد الأوروبي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من الشركات الصغيرة تُفضِّل التعامل الورقي بسبب نقص المهارات</w:t>
      </w:r>
      <w:r w:rsidRPr="00202E2A">
        <w:rPr>
          <w:rFonts w:asciiTheme="majorBidi" w:hAnsiTheme="majorBidi" w:cstheme="majorBidi"/>
          <w:sz w:val="26"/>
          <w:szCs w:val="26"/>
          <w:lang w:bidi="ar-EG"/>
        </w:rPr>
        <w:t>.</w:t>
      </w:r>
    </w:p>
    <w:p w14:paraId="50196DA3" w14:textId="038D69A9"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lastRenderedPageBreak/>
        <w:t>23</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تحسين تجربة العملاء الرقمية</w:t>
      </w:r>
      <w:r w:rsidR="00E674ED" w:rsidRPr="00202E2A">
        <w:rPr>
          <w:rFonts w:asciiTheme="majorBidi" w:hAnsiTheme="majorBidi" w:cstheme="majorBidi"/>
          <w:b/>
          <w:bCs/>
          <w:sz w:val="26"/>
          <w:szCs w:val="26"/>
          <w:u w:val="single"/>
          <w:rtl/>
          <w:lang w:bidi="ar-EG"/>
        </w:rPr>
        <w:t>:</w:t>
      </w:r>
    </w:p>
    <w:p w14:paraId="7C14D072" w14:textId="20E178F5" w:rsidR="00824BE6" w:rsidRPr="00202E2A" w:rsidRDefault="00E674E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w:t>
      </w:r>
      <w:r w:rsidR="00824BE6" w:rsidRPr="00202E2A">
        <w:rPr>
          <w:rFonts w:asciiTheme="majorBidi" w:hAnsiTheme="majorBidi" w:cstheme="majorBidi"/>
          <w:sz w:val="26"/>
          <w:szCs w:val="26"/>
          <w:rtl/>
          <w:lang w:bidi="ar-EG"/>
        </w:rPr>
        <w:t>تعكس النسبة المنخفضة للموافقة (</w:t>
      </w:r>
      <w:r w:rsidR="00716E23" w:rsidRPr="00202E2A">
        <w:rPr>
          <w:rFonts w:asciiTheme="majorBidi" w:hAnsiTheme="majorBidi" w:cstheme="majorBidi"/>
          <w:sz w:val="26"/>
          <w:szCs w:val="26"/>
          <w:lang w:bidi="ar-EG"/>
        </w:rPr>
        <w:t>25</w:t>
      </w:r>
      <w:r w:rsidR="00824BE6" w:rsidRPr="00202E2A">
        <w:rPr>
          <w:rFonts w:asciiTheme="majorBidi" w:hAnsiTheme="majorBidi" w:cstheme="majorBidi"/>
          <w:sz w:val="26"/>
          <w:szCs w:val="26"/>
          <w:rtl/>
          <w:lang w:bidi="ar-EG"/>
        </w:rPr>
        <w:t>%) حاجةً ماسةً لتحسين واجهات المستخدم وتبسيط الإجراءات. وفقًا لدراسة</w:t>
      </w:r>
      <w:r w:rsidR="00824BE6" w:rsidRPr="00202E2A">
        <w:rPr>
          <w:rFonts w:asciiTheme="majorBidi" w:hAnsiTheme="majorBidi" w:cstheme="majorBidi"/>
          <w:sz w:val="26"/>
          <w:szCs w:val="26"/>
          <w:lang w:bidi="ar-EG"/>
        </w:rPr>
        <w:t xml:space="preserve"> Nielsen Norman Group (2023)</w:t>
      </w:r>
      <w:r w:rsidR="00824BE6"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00824BE6" w:rsidRPr="00202E2A">
        <w:rPr>
          <w:rFonts w:asciiTheme="majorBidi" w:hAnsiTheme="majorBidi" w:cstheme="majorBidi"/>
          <w:sz w:val="26"/>
          <w:szCs w:val="26"/>
          <w:rtl/>
          <w:lang w:bidi="ar-EG"/>
        </w:rPr>
        <w:t>% من العملاء يتركون المنصات الإلكترونية إذا وجدوها معقدة</w:t>
      </w:r>
      <w:r w:rsidR="00824BE6" w:rsidRPr="00202E2A">
        <w:rPr>
          <w:rFonts w:asciiTheme="majorBidi" w:hAnsiTheme="majorBidi" w:cstheme="majorBidi"/>
          <w:sz w:val="26"/>
          <w:szCs w:val="26"/>
          <w:lang w:bidi="ar-EG"/>
        </w:rPr>
        <w:t>.</w:t>
      </w:r>
    </w:p>
    <w:p w14:paraId="45E09685" w14:textId="3BFB51F9" w:rsidR="00D85D6D" w:rsidRPr="00202E2A" w:rsidRDefault="00D85D6D" w:rsidP="00D85D6D">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صياغة مشكلة الدراسة</w:t>
      </w:r>
      <w:r w:rsidRPr="00202E2A">
        <w:rPr>
          <w:rFonts w:asciiTheme="majorBidi" w:hAnsiTheme="majorBidi" w:cstheme="majorBidi"/>
          <w:b/>
          <w:bCs/>
          <w:sz w:val="26"/>
          <w:szCs w:val="26"/>
          <w:lang w:bidi="ar-EG"/>
        </w:rPr>
        <w:t>:</w:t>
      </w:r>
    </w:p>
    <w:p w14:paraId="53FB46C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u w:val="single"/>
          <w:rtl/>
          <w:lang w:bidi="ar-EG"/>
        </w:rPr>
        <w:t>1</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العامة</w:t>
      </w:r>
      <w:r w:rsidRPr="00202E2A">
        <w:rPr>
          <w:rFonts w:asciiTheme="majorBidi" w:hAnsiTheme="majorBidi" w:cstheme="majorBidi"/>
          <w:b/>
          <w:bCs/>
          <w:sz w:val="26"/>
          <w:szCs w:val="26"/>
          <w:u w:val="single"/>
          <w:lang w:bidi="ar-EG"/>
        </w:rPr>
        <w:t>:</w:t>
      </w:r>
    </w:p>
    <w:p w14:paraId="69D63D2B"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في ظل التوجه الاستراتيجي للمملكة العربية السعودية نحو التحول الرقمي الشامل تماشيًا مع رؤية 2030، تواجه الهيئات الحكومية – ومنها هيئة الزكاة والضريبية والجمارك – تحديات متعددة في تحقيق التوازن بين</w:t>
      </w:r>
      <w:r w:rsidRPr="00202E2A">
        <w:rPr>
          <w:rFonts w:asciiTheme="majorBidi" w:hAnsiTheme="majorBidi" w:cstheme="majorBidi"/>
          <w:sz w:val="26"/>
          <w:szCs w:val="26"/>
          <w:lang w:bidi="ar-EG"/>
        </w:rPr>
        <w:t>:</w:t>
      </w:r>
    </w:p>
    <w:p w14:paraId="163F5C02"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تعزيز الأمن السيبراني وحماية البيانات</w:t>
      </w:r>
      <w:r w:rsidRPr="00202E2A">
        <w:rPr>
          <w:rFonts w:asciiTheme="majorBidi" w:hAnsiTheme="majorBidi" w:cstheme="majorBidi"/>
          <w:sz w:val="26"/>
          <w:szCs w:val="26"/>
          <w:lang w:bidi="ar-EG"/>
        </w:rPr>
        <w:t>.</w:t>
      </w:r>
    </w:p>
    <w:p w14:paraId="3EE35F4A"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تيسير التجارة وتبسيط الإجراءات الجمركية</w:t>
      </w:r>
      <w:r w:rsidRPr="00202E2A">
        <w:rPr>
          <w:rFonts w:asciiTheme="majorBidi" w:hAnsiTheme="majorBidi" w:cstheme="majorBidi"/>
          <w:sz w:val="26"/>
          <w:szCs w:val="26"/>
          <w:lang w:bidi="ar-EG"/>
        </w:rPr>
        <w:t>.</w:t>
      </w:r>
    </w:p>
    <w:p w14:paraId="1CB0AE13"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تبني التقنيات الرقمية (مثل الذكاء الاصطناعي، بلوك تشين) بكفاءة</w:t>
      </w:r>
      <w:r w:rsidRPr="00202E2A">
        <w:rPr>
          <w:rFonts w:asciiTheme="majorBidi" w:hAnsiTheme="majorBidi" w:cstheme="majorBidi"/>
          <w:sz w:val="26"/>
          <w:szCs w:val="26"/>
          <w:lang w:bidi="ar-EG"/>
        </w:rPr>
        <w:t>.</w:t>
      </w:r>
    </w:p>
    <w:p w14:paraId="0A0DBA04"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حيث أظهرت الدراسة الاستطلاعية (عينة: 40 قياديًا وعاملًا بالهيئة) تباينًا في</w:t>
      </w:r>
      <w:r w:rsidRPr="00202E2A">
        <w:rPr>
          <w:rFonts w:asciiTheme="majorBidi" w:hAnsiTheme="majorBidi" w:cstheme="majorBidi"/>
          <w:sz w:val="26"/>
          <w:szCs w:val="26"/>
          <w:lang w:bidi="ar-EG"/>
        </w:rPr>
        <w:t>:</w:t>
      </w:r>
    </w:p>
    <w:p w14:paraId="335AF9AC"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مستوى الثقة بفعالية بعض التقنيات (كالأشعة السينية والذكاء الاصطناعي في الرقابة الجمركية)</w:t>
      </w:r>
      <w:r w:rsidRPr="00202E2A">
        <w:rPr>
          <w:rFonts w:asciiTheme="majorBidi" w:hAnsiTheme="majorBidi" w:cstheme="majorBidi"/>
          <w:sz w:val="26"/>
          <w:szCs w:val="26"/>
          <w:lang w:bidi="ar-EG"/>
        </w:rPr>
        <w:t>.</w:t>
      </w:r>
    </w:p>
    <w:p w14:paraId="747D8158"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الفجوة الرقمية بين العاملين والعملاء (30% فقط يرون أن العملاء لديهم مهارات كافية)</w:t>
      </w:r>
      <w:r w:rsidRPr="00202E2A">
        <w:rPr>
          <w:rFonts w:asciiTheme="majorBidi" w:hAnsiTheme="majorBidi" w:cstheme="majorBidi"/>
          <w:sz w:val="26"/>
          <w:szCs w:val="26"/>
          <w:lang w:bidi="ar-EG"/>
        </w:rPr>
        <w:t>.</w:t>
      </w:r>
    </w:p>
    <w:p w14:paraId="30B28E72"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التحديات التشريعية (50% يرون أن القوانين الحالية لا تدعم التحول الرقمي بالكامل)</w:t>
      </w:r>
      <w:r w:rsidRPr="00202E2A">
        <w:rPr>
          <w:rFonts w:asciiTheme="majorBidi" w:hAnsiTheme="majorBidi" w:cstheme="majorBidi"/>
          <w:sz w:val="26"/>
          <w:szCs w:val="26"/>
          <w:lang w:bidi="ar-EG"/>
        </w:rPr>
        <w:t>.</w:t>
      </w:r>
    </w:p>
    <w:p w14:paraId="647862D0" w14:textId="12770528"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2</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 xml:space="preserve">المشكلة البحثية (صياغة </w:t>
      </w:r>
      <w:r w:rsidR="00563003" w:rsidRPr="00202E2A">
        <w:rPr>
          <w:rFonts w:asciiTheme="majorBidi" w:hAnsiTheme="majorBidi" w:cstheme="majorBidi" w:hint="cs"/>
          <w:b/>
          <w:bCs/>
          <w:sz w:val="26"/>
          <w:szCs w:val="26"/>
          <w:u w:val="single"/>
          <w:rtl/>
          <w:lang w:bidi="ar-EG"/>
        </w:rPr>
        <w:t>تساؤلي</w:t>
      </w:r>
      <w:r w:rsidRPr="00202E2A">
        <w:rPr>
          <w:rFonts w:asciiTheme="majorBidi" w:hAnsiTheme="majorBidi" w:cstheme="majorBidi"/>
          <w:b/>
          <w:bCs/>
          <w:sz w:val="26"/>
          <w:szCs w:val="26"/>
          <w:u w:val="single"/>
          <w:rtl/>
          <w:lang w:bidi="ar-EG"/>
        </w:rPr>
        <w:t>)</w:t>
      </w:r>
      <w:r w:rsidRPr="00202E2A">
        <w:rPr>
          <w:rFonts w:asciiTheme="majorBidi" w:hAnsiTheme="majorBidi" w:cstheme="majorBidi"/>
          <w:b/>
          <w:bCs/>
          <w:sz w:val="26"/>
          <w:szCs w:val="26"/>
          <w:u w:val="single"/>
          <w:lang w:bidi="ar-EG"/>
        </w:rPr>
        <w:t>:</w:t>
      </w:r>
    </w:p>
    <w:p w14:paraId="7973B919"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بناءً على ذلك، يمكن صياغة إشكالية الدراسة في التساؤلات الرئيسية التالية</w:t>
      </w:r>
      <w:r w:rsidRPr="00202E2A">
        <w:rPr>
          <w:rFonts w:asciiTheme="majorBidi" w:hAnsiTheme="majorBidi" w:cstheme="majorBidi"/>
          <w:sz w:val="26"/>
          <w:szCs w:val="26"/>
          <w:lang w:bidi="ar-EG"/>
        </w:rPr>
        <w:t>:</w:t>
      </w:r>
    </w:p>
    <w:p w14:paraId="3F7CA051"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أثر التحول الرقمي على تعزيز الأمن السيبراني وتيسير التجارة في هيئة الزكاة والضريبية والجمارك؟</w:t>
      </w:r>
    </w:p>
    <w:p w14:paraId="6502DC3E"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أبرز التحديات (الفنية، التشريعية، البشرية) التي تواجه تطبيق استراتيجيات التحول الرقمي بالهيئة؟</w:t>
      </w:r>
    </w:p>
    <w:p w14:paraId="4D9295A7"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كيف يمكن تحقيق التوازن بين متطلبات الأمن السيبراني (مثل التشفير والمصادقة المتعددة) وضرورات تسهيل التجارة الدولية؟</w:t>
      </w:r>
    </w:p>
    <w:p w14:paraId="619C9102"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دور البنية التحتية الرقمية (مثل الأسس الرقمية، الابتكار، الحوكمة) في تحسين كفاءة الخدمات الجمركية والضريبية؟</w:t>
      </w:r>
    </w:p>
    <w:p w14:paraId="51AF97FC"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مدى فعالية السياسات الحالية (مثل الفوترة الإلكترونية، الشراكات الدولية) في الحد من التهرب الضريبي والتهريب الجمركي؟</w:t>
      </w:r>
    </w:p>
    <w:p w14:paraId="72107280"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3</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العملية (صياغة إجرائية)</w:t>
      </w:r>
      <w:r w:rsidRPr="00202E2A">
        <w:rPr>
          <w:rFonts w:asciiTheme="majorBidi" w:hAnsiTheme="majorBidi" w:cstheme="majorBidi"/>
          <w:b/>
          <w:bCs/>
          <w:sz w:val="26"/>
          <w:szCs w:val="26"/>
          <w:u w:val="single"/>
          <w:lang w:bidi="ar-EG"/>
        </w:rPr>
        <w:t>:</w:t>
      </w:r>
    </w:p>
    <w:p w14:paraId="7C05857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تتمحور المشكلة في وجود فجوة تطبيقية بين</w:t>
      </w:r>
      <w:r w:rsidRPr="00202E2A">
        <w:rPr>
          <w:rFonts w:asciiTheme="majorBidi" w:hAnsiTheme="majorBidi" w:cstheme="majorBidi"/>
          <w:sz w:val="26"/>
          <w:szCs w:val="26"/>
          <w:lang w:bidi="ar-EG"/>
        </w:rPr>
        <w:t>:</w:t>
      </w:r>
    </w:p>
    <w:p w14:paraId="1597C81F"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imes New Roman"/>
          <w:b/>
          <w:bCs/>
          <w:sz w:val="26"/>
          <w:szCs w:val="26"/>
          <w:u w:val="single"/>
          <w:rtl/>
          <w:lang w:bidi="ar-EG"/>
        </w:rPr>
        <w:t>الجانب النظري</w:t>
      </w:r>
      <w:r w:rsidRPr="00202E2A">
        <w:rPr>
          <w:rFonts w:asciiTheme="majorBidi" w:hAnsiTheme="majorBidi" w:cstheme="majorBidi"/>
          <w:b/>
          <w:bCs/>
          <w:sz w:val="26"/>
          <w:szCs w:val="26"/>
          <w:u w:val="single"/>
          <w:lang w:bidi="ar-EG"/>
        </w:rPr>
        <w:t>:</w:t>
      </w:r>
    </w:p>
    <w:p w14:paraId="3F4019F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وجود استراتيجيات رقمية طموحة (مثل رؤية 2030)</w:t>
      </w:r>
      <w:r w:rsidRPr="00202E2A">
        <w:rPr>
          <w:rFonts w:asciiTheme="majorBidi" w:hAnsiTheme="majorBidi" w:cstheme="majorBidi"/>
          <w:sz w:val="26"/>
          <w:szCs w:val="26"/>
          <w:lang w:bidi="ar-EG"/>
        </w:rPr>
        <w:t>.</w:t>
      </w:r>
    </w:p>
    <w:p w14:paraId="24DFB742"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توفير تقنيات متقدمة (الذكاء الاصطناعي، إنترنت الأشياء)</w:t>
      </w:r>
      <w:r w:rsidRPr="00202E2A">
        <w:rPr>
          <w:rFonts w:asciiTheme="majorBidi" w:hAnsiTheme="majorBidi" w:cstheme="majorBidi"/>
          <w:sz w:val="26"/>
          <w:szCs w:val="26"/>
          <w:lang w:bidi="ar-EG"/>
        </w:rPr>
        <w:t>.</w:t>
      </w:r>
    </w:p>
    <w:p w14:paraId="73EBF8E5" w14:textId="77777777" w:rsidR="00D85D6D" w:rsidRPr="00202E2A" w:rsidRDefault="00D85D6D" w:rsidP="00D85D6D">
      <w:pPr>
        <w:bidi/>
        <w:spacing w:line="276" w:lineRule="auto"/>
        <w:jc w:val="lowKashida"/>
        <w:rPr>
          <w:rFonts w:asciiTheme="majorBidi" w:hAnsiTheme="majorBidi" w:cs="Times New Roman"/>
          <w:b/>
          <w:bCs/>
          <w:sz w:val="26"/>
          <w:szCs w:val="26"/>
          <w:u w:val="single"/>
          <w:rtl/>
          <w:lang w:bidi="ar-EG"/>
        </w:rPr>
      </w:pPr>
      <w:r w:rsidRPr="00202E2A">
        <w:rPr>
          <w:rFonts w:asciiTheme="majorBidi" w:hAnsiTheme="majorBidi" w:cs="Times New Roman"/>
          <w:b/>
          <w:bCs/>
          <w:sz w:val="26"/>
          <w:szCs w:val="26"/>
          <w:u w:val="single"/>
          <w:rtl/>
          <w:lang w:bidi="ar-EG"/>
        </w:rPr>
        <w:lastRenderedPageBreak/>
        <w:t>الجانب التطبيقي</w:t>
      </w:r>
      <w:r w:rsidRPr="00202E2A">
        <w:rPr>
          <w:rFonts w:asciiTheme="majorBidi" w:hAnsiTheme="majorBidi" w:cs="Times New Roman"/>
          <w:b/>
          <w:bCs/>
          <w:sz w:val="26"/>
          <w:szCs w:val="26"/>
          <w:u w:val="single"/>
          <w:lang w:bidi="ar-EG"/>
        </w:rPr>
        <w:t>:</w:t>
      </w:r>
    </w:p>
    <w:p w14:paraId="43261FA5"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نقص المهارات الرقمية لدى بعض العاملين والعملاء</w:t>
      </w:r>
      <w:r w:rsidRPr="00202E2A">
        <w:rPr>
          <w:rFonts w:asciiTheme="majorBidi" w:hAnsiTheme="majorBidi" w:cstheme="majorBidi"/>
          <w:sz w:val="26"/>
          <w:szCs w:val="26"/>
          <w:lang w:bidi="ar-EG"/>
        </w:rPr>
        <w:t>.</w:t>
      </w:r>
    </w:p>
    <w:p w14:paraId="0C5492B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عدم تكامل الأنظمة بين الجهات الحكومية (كما أظهرته نسبة 50% المحايدة في الدراسة)</w:t>
      </w:r>
      <w:r w:rsidRPr="00202E2A">
        <w:rPr>
          <w:rFonts w:asciiTheme="majorBidi" w:hAnsiTheme="majorBidi" w:cstheme="majorBidi"/>
          <w:sz w:val="26"/>
          <w:szCs w:val="26"/>
          <w:lang w:bidi="ar-EG"/>
        </w:rPr>
        <w:t>.</w:t>
      </w:r>
    </w:p>
    <w:p w14:paraId="48D43C67" w14:textId="1695FF5F"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مخاوف أمنية وقانونية حول مشاركة البيانات.</w:t>
      </w:r>
    </w:p>
    <w:bookmarkEnd w:id="0"/>
    <w:p w14:paraId="024F42B9" w14:textId="2943F0FC" w:rsidR="00341FFC"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ثالثاً: </w:t>
      </w:r>
      <w:r w:rsidR="00341FFC" w:rsidRPr="00202E2A">
        <w:rPr>
          <w:rFonts w:asciiTheme="majorBidi" w:hAnsiTheme="majorBidi" w:cstheme="majorBidi"/>
          <w:b/>
          <w:bCs/>
          <w:color w:val="002060"/>
          <w:sz w:val="26"/>
          <w:szCs w:val="26"/>
          <w:rtl/>
          <w:lang w:bidi="ar-EG"/>
        </w:rPr>
        <w:t>أهمية الدراسة</w:t>
      </w:r>
    </w:p>
    <w:p w14:paraId="5EE2A5F3" w14:textId="77777777"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أولاً: الأهمية العلمية (الإضافات النوعية للأدبيات العالمية):</w:t>
      </w:r>
    </w:p>
    <w:p w14:paraId="0A85F092" w14:textId="12D89420"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سد الفجوة البحثية في النمذجة التكاملية:</w:t>
      </w:r>
      <w:r w:rsidRPr="00202E2A">
        <w:rPr>
          <w:rFonts w:asciiTheme="majorBidi" w:hAnsiTheme="majorBidi" w:cstheme="majorBidi"/>
          <w:sz w:val="26"/>
          <w:szCs w:val="26"/>
          <w:rtl/>
          <w:lang w:bidi="ar-EG"/>
        </w:rPr>
        <w:t xml:space="preserve"> </w:t>
      </w:r>
    </w:p>
    <w:p w14:paraId="045C021E" w14:textId="3D9F8AF4"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قدم الدراسة إطارًا نظريًّا وعمليًّا لربط ثلاثة محاور حيوية: تيسير التجارة الدولية (خفض وقت التخليص الجمركي بنسبة </w:t>
      </w:r>
      <w:r w:rsidR="003804AC" w:rsidRPr="00202E2A">
        <w:rPr>
          <w:rFonts w:asciiTheme="majorBidi" w:hAnsiTheme="majorBidi" w:cstheme="majorBidi"/>
          <w:sz w:val="26"/>
          <w:szCs w:val="26"/>
          <w:lang w:bidi="ar-EG"/>
        </w:rPr>
        <w:t>8</w:t>
      </w:r>
      <w:r w:rsidR="00810178" w:rsidRPr="00202E2A">
        <w:rPr>
          <w:rFonts w:asciiTheme="majorBidi" w:hAnsiTheme="majorBidi" w:cstheme="majorBidi"/>
          <w:sz w:val="26"/>
          <w:szCs w:val="26"/>
          <w:lang w:bidi="ar-EG"/>
        </w:rPr>
        <w:t>0</w:t>
      </w:r>
      <w:r w:rsidR="00647143" w:rsidRPr="00202E2A">
        <w:rPr>
          <w:rFonts w:asciiTheme="majorBidi" w:hAnsiTheme="majorBidi" w:cstheme="majorBidi"/>
          <w:sz w:val="26"/>
          <w:szCs w:val="26"/>
          <w:rtl/>
          <w:lang w:bidi="ar-EG"/>
        </w:rPr>
        <w:t xml:space="preserve">% وفق تقرير الهيئة العامة للجمارك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تعزيز الأمن السيبراني (خفض الهجمات الإلكترونية بنسبة </w:t>
      </w:r>
      <w:r w:rsidR="00810178" w:rsidRPr="00202E2A">
        <w:rPr>
          <w:rFonts w:asciiTheme="majorBidi" w:hAnsiTheme="majorBidi" w:cstheme="majorBidi"/>
          <w:sz w:val="26"/>
          <w:szCs w:val="26"/>
          <w:lang w:bidi="ar-EG"/>
        </w:rPr>
        <w:t>60</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 xml:space="preserve"> وفق استراتيجية الهيئة الوطنية للأمن السيبراني)، والتحول الرقمي (زيادة نسبة الخدمات الجمركية الرقمية إلى </w:t>
      </w:r>
      <w:r w:rsidR="00810178" w:rsidRPr="00202E2A">
        <w:rPr>
          <w:rFonts w:asciiTheme="majorBidi" w:hAnsiTheme="majorBidi" w:cstheme="majorBidi"/>
          <w:sz w:val="26"/>
          <w:szCs w:val="26"/>
          <w:lang w:bidi="ar-EG"/>
        </w:rPr>
        <w:t>95</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w:t>
      </w:r>
    </w:p>
    <w:p w14:paraId="50F0CDCC" w14:textId="345A9A27"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تأصيل مفاهيمي لدور الجمارك الذكية في الاقتصادات الناشئة:</w:t>
      </w:r>
      <w:r w:rsidRPr="00202E2A">
        <w:rPr>
          <w:rFonts w:asciiTheme="majorBidi" w:hAnsiTheme="majorBidi" w:cstheme="majorBidi"/>
          <w:sz w:val="26"/>
          <w:szCs w:val="26"/>
          <w:rtl/>
          <w:lang w:bidi="ar-EG"/>
        </w:rPr>
        <w:t xml:space="preserve"> </w:t>
      </w:r>
    </w:p>
    <w:p w14:paraId="64C66CFD" w14:textId="28311BA0"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حلل الدراسة كيف تُسهم منصات مثل "النافذة الجمركية الموحدة" في رفع كفاءة سلاسل التوريد، حيث ساهمت في زيادة الصادرات غير النفطية السعودية بنسبة </w:t>
      </w:r>
      <w:r w:rsidR="00810178" w:rsidRPr="00202E2A">
        <w:rPr>
          <w:rFonts w:asciiTheme="majorBidi" w:hAnsiTheme="majorBidi" w:cstheme="majorBidi"/>
          <w:sz w:val="26"/>
          <w:szCs w:val="26"/>
          <w:lang w:bidi="ar-EG"/>
        </w:rPr>
        <w:t>3</w:t>
      </w:r>
      <w:r w:rsidR="00A426DD" w:rsidRPr="00202E2A">
        <w:rPr>
          <w:rFonts w:asciiTheme="majorBidi" w:hAnsiTheme="majorBidi" w:cstheme="majorBidi"/>
          <w:sz w:val="26"/>
          <w:szCs w:val="26"/>
          <w:lang w:bidi="ar-EG"/>
        </w:rPr>
        <w:t>6</w:t>
      </w:r>
      <w:r w:rsidR="00647143" w:rsidRPr="00202E2A">
        <w:rPr>
          <w:rFonts w:asciiTheme="majorBidi" w:hAnsiTheme="majorBidi" w:cstheme="majorBidi"/>
          <w:sz w:val="26"/>
          <w:szCs w:val="26"/>
          <w:rtl/>
          <w:lang w:bidi="ar-EG"/>
        </w:rPr>
        <w:t xml:space="preserve">% عام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(الهيئة العامة للإحصاء،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w:t>
      </w:r>
    </w:p>
    <w:p w14:paraId="17EF0B6C" w14:textId="189D12DD" w:rsidR="00647143" w:rsidRPr="00202E2A" w:rsidRDefault="00647143"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ثانيًا: الأهمية العملية</w:t>
      </w:r>
      <w:r w:rsidR="00A13E76" w:rsidRPr="00202E2A">
        <w:rPr>
          <w:rFonts w:asciiTheme="majorBidi" w:hAnsiTheme="majorBidi" w:cstheme="majorBidi"/>
          <w:b/>
          <w:bCs/>
          <w:sz w:val="26"/>
          <w:szCs w:val="26"/>
          <w:rtl/>
          <w:lang w:bidi="ar-EG"/>
        </w:rPr>
        <w:t xml:space="preserve"> (تأثير مباشر على الاقتصاد السعودي):</w:t>
      </w:r>
    </w:p>
    <w:p w14:paraId="0308508E" w14:textId="62E8B072" w:rsidR="00647143" w:rsidRPr="00202E2A" w:rsidRDefault="00A13E76"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w:t>
      </w:r>
      <w:r w:rsidR="00647143" w:rsidRPr="00202E2A">
        <w:rPr>
          <w:rFonts w:asciiTheme="majorBidi" w:hAnsiTheme="majorBidi" w:cstheme="majorBidi"/>
          <w:sz w:val="26"/>
          <w:szCs w:val="26"/>
          <w:rtl/>
          <w:lang w:bidi="ar-EG"/>
        </w:rPr>
        <w:t xml:space="preserve">أهمية </w:t>
      </w:r>
      <w:r w:rsidRPr="00202E2A">
        <w:rPr>
          <w:rFonts w:asciiTheme="majorBidi" w:hAnsiTheme="majorBidi" w:cstheme="majorBidi"/>
          <w:sz w:val="26"/>
          <w:szCs w:val="26"/>
          <w:rtl/>
          <w:lang w:bidi="ar-EG"/>
        </w:rPr>
        <w:t>التطبيقية ل</w:t>
      </w:r>
      <w:r w:rsidR="00647143" w:rsidRPr="00202E2A">
        <w:rPr>
          <w:rFonts w:asciiTheme="majorBidi" w:hAnsiTheme="majorBidi" w:cstheme="majorBidi"/>
          <w:sz w:val="26"/>
          <w:szCs w:val="26"/>
          <w:rtl/>
          <w:lang w:bidi="ar-EG"/>
        </w:rPr>
        <w:t xml:space="preserve">لبحث </w:t>
      </w:r>
      <w:r w:rsidR="00647143" w:rsidRPr="00202E2A">
        <w:rPr>
          <w:rFonts w:asciiTheme="majorBidi" w:hAnsiTheme="majorBidi" w:cstheme="majorBidi"/>
          <w:b/>
          <w:bCs/>
          <w:sz w:val="26"/>
          <w:szCs w:val="26"/>
          <w:rtl/>
          <w:lang w:bidi="ar-EG"/>
        </w:rPr>
        <w:t xml:space="preserve">تتمحور </w:t>
      </w:r>
      <w:r w:rsidRPr="00202E2A">
        <w:rPr>
          <w:rFonts w:asciiTheme="majorBidi" w:hAnsiTheme="majorBidi" w:cstheme="majorBidi"/>
          <w:b/>
          <w:bCs/>
          <w:sz w:val="26"/>
          <w:szCs w:val="26"/>
          <w:rtl/>
          <w:lang w:bidi="ar-EG"/>
        </w:rPr>
        <w:t>حول تحليل</w:t>
      </w:r>
      <w:r w:rsidR="00647143" w:rsidRPr="00202E2A">
        <w:rPr>
          <w:rFonts w:asciiTheme="majorBidi" w:hAnsiTheme="majorBidi" w:cstheme="majorBidi"/>
          <w:b/>
          <w:bCs/>
          <w:sz w:val="26"/>
          <w:szCs w:val="26"/>
          <w:rtl/>
          <w:lang w:bidi="ar-EG"/>
        </w:rPr>
        <w:t xml:space="preserve"> اقتصادي جمركي مُدعّم بالبيانات</w:t>
      </w:r>
      <w:r w:rsidRPr="00202E2A">
        <w:rPr>
          <w:rFonts w:asciiTheme="majorBidi" w:hAnsiTheme="majorBidi" w:cstheme="majorBidi"/>
          <w:b/>
          <w:bCs/>
          <w:sz w:val="26"/>
          <w:szCs w:val="26"/>
          <w:rtl/>
          <w:lang w:bidi="ar-EG"/>
        </w:rPr>
        <w:t xml:space="preserve">، </w:t>
      </w:r>
      <w:r w:rsidR="00A82108" w:rsidRPr="00202E2A">
        <w:rPr>
          <w:rFonts w:asciiTheme="majorBidi" w:hAnsiTheme="majorBidi" w:cstheme="majorBidi"/>
          <w:b/>
          <w:bCs/>
          <w:sz w:val="26"/>
          <w:szCs w:val="26"/>
          <w:rtl/>
          <w:lang w:bidi="ar-EG"/>
        </w:rPr>
        <w:t>أثر البحث على الاقتصاد الكلي حيث تُعد هذه الدراسة دليلًا عمليًّا لتحقيق "المعادلة الصعبة" بين السرعة والأمن في المنظومة الجمركية</w:t>
      </w:r>
      <w:r w:rsidR="00A82108" w:rsidRPr="00202E2A">
        <w:rPr>
          <w:rFonts w:asciiTheme="majorBidi" w:hAnsiTheme="majorBidi" w:cstheme="majorBidi"/>
          <w:sz w:val="26"/>
          <w:szCs w:val="26"/>
          <w:rtl/>
          <w:lang w:bidi="ar-EG"/>
        </w:rPr>
        <w:t xml:space="preserve">، حيث تُظهر البيانات أن كل </w:t>
      </w:r>
      <w:r w:rsidR="00810178" w:rsidRPr="00202E2A">
        <w:rPr>
          <w:rFonts w:asciiTheme="majorBidi" w:hAnsiTheme="majorBidi" w:cstheme="majorBidi"/>
          <w:sz w:val="26"/>
          <w:szCs w:val="26"/>
          <w:lang w:bidi="ar-EG"/>
        </w:rPr>
        <w:t>1</w:t>
      </w:r>
      <w:r w:rsidR="00A82108" w:rsidRPr="00202E2A">
        <w:rPr>
          <w:rFonts w:asciiTheme="majorBidi" w:hAnsiTheme="majorBidi" w:cstheme="majorBidi"/>
          <w:sz w:val="26"/>
          <w:szCs w:val="26"/>
          <w:rtl/>
          <w:lang w:bidi="ar-EG"/>
        </w:rPr>
        <w:t xml:space="preserve">% تحسن في كفاءة الإجراءات الجمركية يُضيف </w:t>
      </w:r>
      <w:r w:rsidR="00810178" w:rsidRPr="00202E2A">
        <w:rPr>
          <w:rFonts w:asciiTheme="majorBidi" w:hAnsiTheme="majorBidi" w:cstheme="majorBidi"/>
          <w:sz w:val="26"/>
          <w:szCs w:val="26"/>
          <w:lang w:bidi="ar-EG"/>
        </w:rPr>
        <w:t>0.3</w:t>
      </w:r>
      <w:r w:rsidR="00A82108" w:rsidRPr="00202E2A">
        <w:rPr>
          <w:rFonts w:asciiTheme="majorBidi" w:hAnsiTheme="majorBidi" w:cstheme="majorBidi"/>
          <w:sz w:val="26"/>
          <w:szCs w:val="26"/>
          <w:rtl/>
          <w:lang w:bidi="ar-EG"/>
        </w:rPr>
        <w:t xml:space="preserve">% إلى الناتج المحلي الإجمالي غير النفطي (وفق نموذج محاكاة البنك الدولي، </w:t>
      </w:r>
      <w:r w:rsidR="00810178" w:rsidRPr="00202E2A">
        <w:rPr>
          <w:rFonts w:asciiTheme="majorBidi" w:hAnsiTheme="majorBidi" w:cstheme="majorBidi"/>
          <w:sz w:val="26"/>
          <w:szCs w:val="26"/>
          <w:lang w:bidi="ar-EG"/>
        </w:rPr>
        <w:t>2023</w:t>
      </w:r>
      <w:r w:rsidR="00A82108" w:rsidRPr="00202E2A">
        <w:rPr>
          <w:rFonts w:asciiTheme="majorBidi" w:hAnsiTheme="majorBidi" w:cstheme="majorBidi"/>
          <w:sz w:val="26"/>
          <w:szCs w:val="26"/>
          <w:rtl/>
          <w:lang w:bidi="ar-EG"/>
        </w:rPr>
        <w:t xml:space="preserve">)، وفي حين أن كل </w:t>
      </w:r>
      <w:r w:rsidR="00810178" w:rsidRPr="00202E2A">
        <w:rPr>
          <w:rFonts w:asciiTheme="majorBidi" w:hAnsiTheme="majorBidi" w:cstheme="majorBidi"/>
          <w:sz w:val="26"/>
          <w:szCs w:val="26"/>
          <w:lang w:bidi="ar-EG"/>
        </w:rPr>
        <w:t>10</w:t>
      </w:r>
      <w:r w:rsidR="00A82108" w:rsidRPr="00202E2A">
        <w:rPr>
          <w:rFonts w:asciiTheme="majorBidi" w:hAnsiTheme="majorBidi" w:cstheme="majorBidi"/>
          <w:sz w:val="26"/>
          <w:szCs w:val="26"/>
          <w:rtl/>
          <w:lang w:bidi="ar-EG"/>
        </w:rPr>
        <w:t xml:space="preserve">% زيادة في الاستثمار في الأمن السيبراني تُقلل الخسائر الإلكترونية بنسبة </w:t>
      </w:r>
      <w:r w:rsidR="00810178" w:rsidRPr="00202E2A">
        <w:rPr>
          <w:rFonts w:asciiTheme="majorBidi" w:hAnsiTheme="majorBidi" w:cstheme="majorBidi"/>
          <w:sz w:val="26"/>
          <w:szCs w:val="26"/>
          <w:lang w:bidi="ar-EG"/>
        </w:rPr>
        <w:t>15</w:t>
      </w:r>
      <w:r w:rsidR="00A82108" w:rsidRPr="00202E2A">
        <w:rPr>
          <w:rFonts w:asciiTheme="majorBidi" w:hAnsiTheme="majorBidi" w:cstheme="majorBidi"/>
          <w:sz w:val="26"/>
          <w:szCs w:val="26"/>
          <w:lang w:bidi="ar-EG"/>
        </w:rPr>
        <w:t xml:space="preserve">% </w:t>
      </w:r>
      <w:r w:rsidR="00A82108" w:rsidRPr="00202E2A">
        <w:rPr>
          <w:rFonts w:asciiTheme="majorBidi" w:hAnsiTheme="majorBidi" w:cstheme="majorBidi"/>
          <w:sz w:val="26"/>
          <w:szCs w:val="26"/>
          <w:rtl/>
          <w:lang w:bidi="ar-EG"/>
        </w:rPr>
        <w:t xml:space="preserve">، و تُبرز هذه النتائج دور البحث كأداة استراتيجية لتحويل التحديات إلى نقاط قوة تدعم رؤية </w:t>
      </w:r>
      <w:r w:rsidR="00810178" w:rsidRPr="00202E2A">
        <w:rPr>
          <w:rFonts w:asciiTheme="majorBidi" w:hAnsiTheme="majorBidi" w:cstheme="majorBidi"/>
          <w:sz w:val="26"/>
          <w:szCs w:val="26"/>
          <w:lang w:bidi="ar-EG"/>
        </w:rPr>
        <w:t>2030</w:t>
      </w:r>
      <w:r w:rsidR="00A82108" w:rsidRPr="00202E2A">
        <w:rPr>
          <w:rFonts w:asciiTheme="majorBidi" w:hAnsiTheme="majorBidi" w:cstheme="majorBidi"/>
          <w:sz w:val="26"/>
          <w:szCs w:val="26"/>
          <w:rtl/>
          <w:lang w:bidi="ar-EG"/>
        </w:rPr>
        <w:t xml:space="preserve">، وتجعل المملكة نموذجًا يُحتذى به في إدارة الجمارك الذكية على مستوى الشرق الأوسط والعالم. </w:t>
      </w:r>
    </w:p>
    <w:p w14:paraId="4895F1BF" w14:textId="44595566"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تعزيز التنافسية الاقتصادية عبر تبسيط الإجراءات:</w:t>
      </w:r>
    </w:p>
    <w:p w14:paraId="5CB5D73F" w14:textId="391B6214"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وفقًا لتقرير البنك الدولي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يُعدُّ تبني المملكة لاتفاقية 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أحد العوامل الرئيسية التي سترفع تصنيفها في مؤشر أداء الخدمات اللوجستية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من المركز </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xml:space="preserve"> عالميًّا بحلول </w:t>
      </w:r>
      <w:r w:rsidR="00810178" w:rsidRPr="00202E2A">
        <w:rPr>
          <w:rFonts w:asciiTheme="majorBidi" w:hAnsiTheme="majorBidi" w:cstheme="majorBidi"/>
          <w:sz w:val="26"/>
          <w:szCs w:val="26"/>
          <w:lang w:bidi="ar-EG"/>
        </w:rPr>
        <w:t>2025</w:t>
      </w:r>
      <w:r w:rsidR="0047722A" w:rsidRPr="00202E2A">
        <w:rPr>
          <w:rFonts w:asciiTheme="majorBidi" w:hAnsiTheme="majorBidi" w:cstheme="majorBidi"/>
          <w:sz w:val="26"/>
          <w:szCs w:val="26"/>
          <w:rtl/>
          <w:lang w:bidi="ar-EG"/>
        </w:rPr>
        <w:t xml:space="preserve">، حيث يتعبر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 xml:space="preserve">تأثير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مالي</w:t>
      </w:r>
      <w:r w:rsidR="0047722A" w:rsidRPr="00202E2A">
        <w:rPr>
          <w:rFonts w:asciiTheme="majorBidi" w:hAnsiTheme="majorBidi" w:cstheme="majorBidi"/>
          <w:sz w:val="26"/>
          <w:szCs w:val="26"/>
          <w:rtl/>
          <w:lang w:bidi="ar-EG"/>
        </w:rPr>
        <w:t xml:space="preserve"> </w:t>
      </w:r>
      <w:r w:rsidR="00866B6F" w:rsidRPr="00202E2A">
        <w:rPr>
          <w:rFonts w:asciiTheme="majorBidi" w:hAnsiTheme="majorBidi" w:cstheme="majorBidi"/>
          <w:sz w:val="26"/>
          <w:szCs w:val="26"/>
          <w:rtl/>
          <w:lang w:bidi="ar-EG"/>
        </w:rPr>
        <w:t xml:space="preserve">المتوقع </w:t>
      </w:r>
      <w:r w:rsidR="0047722A" w:rsidRPr="00202E2A">
        <w:rPr>
          <w:rFonts w:asciiTheme="majorBidi" w:hAnsiTheme="majorBidi" w:cstheme="majorBidi"/>
          <w:sz w:val="26"/>
          <w:szCs w:val="26"/>
          <w:rtl/>
          <w:lang w:bidi="ar-EG"/>
        </w:rPr>
        <w:t xml:space="preserve">هو </w:t>
      </w:r>
      <w:r w:rsidRPr="00202E2A">
        <w:rPr>
          <w:rFonts w:asciiTheme="majorBidi" w:hAnsiTheme="majorBidi" w:cstheme="majorBidi"/>
          <w:sz w:val="26"/>
          <w:szCs w:val="26"/>
          <w:rtl/>
          <w:lang w:bidi="ar-EG"/>
        </w:rPr>
        <w:t xml:space="preserve">خفض تكاليف الشحن الجمركية بنسبة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(ما يعادل </w:t>
      </w:r>
      <w:r w:rsidR="00810178" w:rsidRPr="00202E2A">
        <w:rPr>
          <w:rFonts w:asciiTheme="majorBidi" w:hAnsiTheme="majorBidi" w:cstheme="majorBidi"/>
          <w:sz w:val="26"/>
          <w:szCs w:val="26"/>
          <w:lang w:bidi="ar-EG"/>
        </w:rPr>
        <w:t>2.1</w:t>
      </w:r>
      <w:r w:rsidRPr="00202E2A">
        <w:rPr>
          <w:rFonts w:asciiTheme="majorBidi" w:hAnsiTheme="majorBidi" w:cstheme="majorBidi"/>
          <w:sz w:val="26"/>
          <w:szCs w:val="26"/>
          <w:rtl/>
          <w:lang w:bidi="ar-EG"/>
        </w:rPr>
        <w:t xml:space="preserve"> مليار ريال سنويًّا) عبر تطبيق أنظمة مثل "فصلة" و"إثراء".</w:t>
      </w:r>
    </w:p>
    <w:p w14:paraId="6AAD609E" w14:textId="2EC45377"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حماية الاقتصاد الوطني من المخاطر الأمنية:</w:t>
      </w:r>
    </w:p>
    <w:p w14:paraId="1B0B9638" w14:textId="5F4BCEDA"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كشفت دراسة العينة</w:t>
      </w:r>
      <w:r w:rsidR="00A13E76" w:rsidRPr="00202E2A">
        <w:rPr>
          <w:rFonts w:asciiTheme="majorBidi" w:hAnsiTheme="majorBidi" w:cstheme="majorBidi"/>
          <w:sz w:val="26"/>
          <w:szCs w:val="26"/>
          <w:rtl/>
          <w:lang w:bidi="ar-EG"/>
        </w:rPr>
        <w:t xml:space="preserve"> الاستطلاعية</w:t>
      </w:r>
      <w:r w:rsidRPr="00202E2A">
        <w:rPr>
          <w:rFonts w:asciiTheme="majorBidi" w:hAnsiTheme="majorBidi" w:cstheme="majorBidi"/>
          <w:sz w:val="26"/>
          <w:szCs w:val="26"/>
          <w:rtl/>
          <w:lang w:bidi="ar-EG"/>
        </w:rPr>
        <w:t xml:space="preserve"> أن </w:t>
      </w:r>
      <w:r w:rsidR="00810178"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من المشاركين يرون أن تقنيات التشفير الحديثة ضرورية لحماية البيانات، وهو ما ينعكس على</w:t>
      </w:r>
      <w:r w:rsidR="00A13E76"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تجنب خسائر مالية تُقدَّر بـ </w:t>
      </w:r>
      <w:r w:rsidR="00810178"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xml:space="preserve"> مليار ريال سنويًّا بسبب الهجمات الإلكترونية على </w:t>
      </w:r>
      <w:r w:rsidRPr="00202E2A">
        <w:rPr>
          <w:rFonts w:asciiTheme="majorBidi" w:hAnsiTheme="majorBidi" w:cstheme="majorBidi"/>
          <w:sz w:val="26"/>
          <w:szCs w:val="26"/>
          <w:rtl/>
          <w:lang w:bidi="ar-EG"/>
        </w:rPr>
        <w:lastRenderedPageBreak/>
        <w:t xml:space="preserve">المنصات الجمركية (الهيئة الوطنية للأمن السيبراني،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r w:rsidR="00866B6F"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وعلى</w:t>
      </w:r>
      <w:r w:rsidR="00866B6F" w:rsidRPr="00202E2A">
        <w:rPr>
          <w:rFonts w:asciiTheme="majorBidi" w:hAnsiTheme="majorBidi" w:cstheme="majorBidi"/>
          <w:sz w:val="26"/>
          <w:szCs w:val="26"/>
          <w:rtl/>
          <w:lang w:bidi="ar-EG"/>
        </w:rPr>
        <w:t xml:space="preserve"> ناحية أخري يمثل </w:t>
      </w:r>
      <w:r w:rsidRPr="00202E2A">
        <w:rPr>
          <w:rFonts w:asciiTheme="majorBidi" w:hAnsiTheme="majorBidi" w:cstheme="majorBidi"/>
          <w:sz w:val="26"/>
          <w:szCs w:val="26"/>
          <w:rtl/>
          <w:lang w:bidi="ar-EG"/>
        </w:rPr>
        <w:t>رفع جاذبية المملكة للاستثمار الأجنبي المباشر (</w:t>
      </w:r>
      <w:r w:rsidRPr="00202E2A">
        <w:rPr>
          <w:rFonts w:asciiTheme="majorBidi" w:hAnsiTheme="majorBidi" w:cstheme="majorBidi"/>
          <w:sz w:val="26"/>
          <w:szCs w:val="26"/>
          <w:lang w:bidi="ar-EG"/>
        </w:rPr>
        <w:t>FDI</w:t>
      </w:r>
      <w:r w:rsidRPr="00202E2A">
        <w:rPr>
          <w:rFonts w:asciiTheme="majorBidi" w:hAnsiTheme="majorBidi" w:cstheme="majorBidi"/>
          <w:sz w:val="26"/>
          <w:szCs w:val="26"/>
          <w:rtl/>
          <w:lang w:bidi="ar-EG"/>
        </w:rPr>
        <w:t xml:space="preserve">) بنسبة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(وزارة الاستثمار،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0DCB8353" w14:textId="4BBD209B"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دعم التحول إلى مركز لوجستي عالمي (رؤية </w:t>
      </w:r>
      <w:r w:rsidR="00810178" w:rsidRPr="00202E2A">
        <w:rPr>
          <w:rFonts w:asciiTheme="majorBidi" w:hAnsiTheme="majorBidi" w:cstheme="majorBidi"/>
          <w:b/>
          <w:bCs/>
          <w:sz w:val="26"/>
          <w:szCs w:val="26"/>
          <w:u w:val="single"/>
          <w:lang w:bidi="ar-EG"/>
        </w:rPr>
        <w:t>2030</w:t>
      </w:r>
      <w:r w:rsidRPr="00202E2A">
        <w:rPr>
          <w:rFonts w:asciiTheme="majorBidi" w:hAnsiTheme="majorBidi" w:cstheme="majorBidi"/>
          <w:b/>
          <w:bCs/>
          <w:sz w:val="26"/>
          <w:szCs w:val="26"/>
          <w:u w:val="single"/>
          <w:rtl/>
          <w:lang w:bidi="ar-EG"/>
        </w:rPr>
        <w:t>):</w:t>
      </w:r>
    </w:p>
    <w:p w14:paraId="3474850F" w14:textId="3B04C909"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تساهم المنظومة الجمركية المُحسَّنة في</w:t>
      </w:r>
      <w:r w:rsidR="008A17D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زيادة حجم التجارة غير النفطية إلى </w:t>
      </w:r>
      <w:r w:rsidR="00810178" w:rsidRPr="00202E2A">
        <w:rPr>
          <w:rFonts w:asciiTheme="majorBidi" w:hAnsiTheme="majorBidi" w:cstheme="majorBidi"/>
          <w:sz w:val="26"/>
          <w:szCs w:val="26"/>
          <w:lang w:bidi="ar-EG"/>
        </w:rPr>
        <w:t>480</w:t>
      </w:r>
      <w:r w:rsidRPr="00202E2A">
        <w:rPr>
          <w:rFonts w:asciiTheme="majorBidi" w:hAnsiTheme="majorBidi" w:cstheme="majorBidi"/>
          <w:sz w:val="26"/>
          <w:szCs w:val="26"/>
          <w:rtl/>
          <w:lang w:bidi="ar-EG"/>
        </w:rPr>
        <w:t xml:space="preserve"> مليار ريال بنهاية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(تماشيًا مع مستهدفات رؤية </w:t>
      </w:r>
      <w:r w:rsidR="00810178"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وأيضاً </w:t>
      </w:r>
      <w:r w:rsidRPr="00202E2A">
        <w:rPr>
          <w:rFonts w:asciiTheme="majorBidi" w:hAnsiTheme="majorBidi" w:cstheme="majorBidi"/>
          <w:sz w:val="26"/>
          <w:szCs w:val="26"/>
          <w:rtl/>
          <w:lang w:bidi="ar-EG"/>
        </w:rPr>
        <w:t xml:space="preserve">جذب استثمارات لوجستية بقيمة </w:t>
      </w:r>
      <w:r w:rsidR="00810178" w:rsidRPr="00202E2A">
        <w:rPr>
          <w:rFonts w:asciiTheme="majorBidi" w:hAnsiTheme="majorBidi" w:cstheme="majorBidi"/>
          <w:sz w:val="26"/>
          <w:szCs w:val="26"/>
          <w:lang w:bidi="ar-EG"/>
        </w:rPr>
        <w:t>32</w:t>
      </w:r>
      <w:r w:rsidRPr="00202E2A">
        <w:rPr>
          <w:rFonts w:asciiTheme="majorBidi" w:hAnsiTheme="majorBidi" w:cstheme="majorBidi"/>
          <w:sz w:val="26"/>
          <w:szCs w:val="26"/>
          <w:rtl/>
          <w:lang w:bidi="ar-EG"/>
        </w:rPr>
        <w:t xml:space="preserve"> مليار ريال في قطاعات مثل التخزين والنقل (البرنامج الوطني للتنمية اللوجستية،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63DFF92E" w14:textId="558288DE"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تقليل التهريب والتهرب الضريبي:</w:t>
      </w:r>
    </w:p>
    <w:p w14:paraId="7116C181" w14:textId="3DFE1BFB"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أظهرت بيانات الهيئة أن استخدام تقنيات الذكاء الاصطناعي في الفحص خفضَ محاولات التهريب بنسبة </w:t>
      </w:r>
      <w:r w:rsidR="00810178"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223</w:t>
      </w:r>
      <w:r w:rsidRPr="00202E2A">
        <w:rPr>
          <w:rFonts w:asciiTheme="majorBidi" w:hAnsiTheme="majorBidi" w:cstheme="majorBidi"/>
          <w:sz w:val="26"/>
          <w:szCs w:val="26"/>
          <w:rtl/>
          <w:lang w:bidi="ar-EG"/>
        </w:rPr>
        <w:t xml:space="preserve">، مما وفر إيرادات ضريبية إضافية تُقدَّر بـ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مليار ريال.</w:t>
      </w:r>
    </w:p>
    <w:p w14:paraId="140897A4" w14:textId="7AE4ACB8"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ثالثًا: التكامل مع السياسات العالمية والإقليمية:</w:t>
      </w:r>
    </w:p>
    <w:p w14:paraId="585A34C0" w14:textId="43A0B366"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التوافق مع معايير منظمة التجارة العالمية (</w:t>
      </w:r>
      <w:r w:rsidRPr="00202E2A">
        <w:rPr>
          <w:rFonts w:asciiTheme="majorBidi" w:hAnsiTheme="majorBidi" w:cstheme="majorBidi"/>
          <w:sz w:val="26"/>
          <w:szCs w:val="26"/>
          <w:lang w:bidi="ar-EG"/>
        </w:rPr>
        <w:t>WTO</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حيث يتعبر </w:t>
      </w:r>
      <w:r w:rsidRPr="00202E2A">
        <w:rPr>
          <w:rFonts w:asciiTheme="majorBidi" w:hAnsiTheme="majorBidi" w:cstheme="majorBidi"/>
          <w:sz w:val="26"/>
          <w:szCs w:val="26"/>
          <w:rtl/>
          <w:lang w:bidi="ar-EG"/>
        </w:rPr>
        <w:t xml:space="preserve">تحقيق </w:t>
      </w:r>
      <w:r w:rsidR="00810178" w:rsidRPr="00202E2A">
        <w:rPr>
          <w:rFonts w:asciiTheme="majorBidi" w:hAnsiTheme="majorBidi" w:cstheme="majorBidi"/>
          <w:sz w:val="26"/>
          <w:szCs w:val="26"/>
          <w:lang w:bidi="ar-EG"/>
        </w:rPr>
        <w:t>100</w:t>
      </w:r>
      <w:r w:rsidRPr="00202E2A">
        <w:rPr>
          <w:rFonts w:asciiTheme="majorBidi" w:hAnsiTheme="majorBidi" w:cstheme="majorBidi"/>
          <w:sz w:val="26"/>
          <w:szCs w:val="26"/>
          <w:rtl/>
          <w:lang w:bidi="ar-EG"/>
        </w:rPr>
        <w:t xml:space="preserve">% توافق تشريعات الجمارك السعودية مع اتفاقية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مما يمنح المملكة أولوية في المنافسة على مشاريع الممرات التجارية الدولية مثل مبادرة الحزام والطريق.</w:t>
      </w:r>
    </w:p>
    <w:p w14:paraId="13269D18" w14:textId="2EE19C95"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تعزيز الشراكات الدولية:</w:t>
      </w:r>
      <w:r w:rsidR="008A17DC" w:rsidRPr="00202E2A">
        <w:rPr>
          <w:rFonts w:asciiTheme="majorBidi" w:hAnsiTheme="majorBidi" w:cstheme="majorBidi"/>
          <w:sz w:val="26"/>
          <w:szCs w:val="26"/>
          <w:rtl/>
          <w:lang w:bidi="ar-EG"/>
        </w:rPr>
        <w:t xml:space="preserve"> يمثل </w:t>
      </w:r>
      <w:r w:rsidRPr="00202E2A">
        <w:rPr>
          <w:rFonts w:asciiTheme="majorBidi" w:hAnsiTheme="majorBidi" w:cstheme="majorBidi"/>
          <w:sz w:val="26"/>
          <w:szCs w:val="26"/>
          <w:rtl/>
          <w:lang w:bidi="ar-EG"/>
        </w:rPr>
        <w:t xml:space="preserve">زيادة عدد الاتفاقيات التجارية الثنائية من </w:t>
      </w:r>
      <w:r w:rsidR="00810178"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اتفاقية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بدعم من أنظمة جمركية رقمية موثوقة (وزارة التجارة،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72AA1E0B" w14:textId="14CDA384" w:rsidR="00C823AC" w:rsidRPr="00202E2A" w:rsidRDefault="000B0CA9"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النهاية،</w:t>
      </w:r>
      <w:r w:rsidR="00E604E7" w:rsidRPr="00202E2A">
        <w:rPr>
          <w:rFonts w:asciiTheme="majorBidi" w:hAnsiTheme="majorBidi" w:cstheme="majorBidi"/>
          <w:sz w:val="26"/>
          <w:szCs w:val="26"/>
          <w:rtl/>
          <w:lang w:bidi="ar-EG"/>
        </w:rPr>
        <w:t xml:space="preserve"> يري الباحث</w:t>
      </w:r>
      <w:r w:rsidRPr="00202E2A">
        <w:rPr>
          <w:rFonts w:asciiTheme="majorBidi" w:hAnsiTheme="majorBidi" w:cstheme="majorBidi"/>
          <w:sz w:val="26"/>
          <w:szCs w:val="26"/>
          <w:rtl/>
          <w:lang w:bidi="ar-EG"/>
        </w:rPr>
        <w:t xml:space="preserve"> </w:t>
      </w:r>
      <w:r w:rsidR="00E604E7" w:rsidRPr="00202E2A">
        <w:rPr>
          <w:rFonts w:asciiTheme="majorBidi" w:hAnsiTheme="majorBidi" w:cstheme="majorBidi"/>
          <w:sz w:val="26"/>
          <w:szCs w:val="26"/>
          <w:rtl/>
          <w:lang w:bidi="ar-EG"/>
        </w:rPr>
        <w:t xml:space="preserve">أن </w:t>
      </w:r>
      <w:r w:rsidRPr="00202E2A">
        <w:rPr>
          <w:rFonts w:asciiTheme="majorBidi" w:hAnsiTheme="majorBidi" w:cstheme="majorBidi"/>
          <w:sz w:val="26"/>
          <w:szCs w:val="26"/>
          <w:rtl/>
          <w:lang w:bidi="ar-EG"/>
        </w:rPr>
        <w:t xml:space="preserve">هذا التكامل بين العلم والتطبيق </w:t>
      </w:r>
      <w:r w:rsidR="00E604E7" w:rsidRPr="00202E2A">
        <w:rPr>
          <w:rFonts w:asciiTheme="majorBidi" w:hAnsiTheme="majorBidi" w:cstheme="majorBidi"/>
          <w:sz w:val="26"/>
          <w:szCs w:val="26"/>
          <w:rtl/>
          <w:lang w:bidi="ar-EG"/>
        </w:rPr>
        <w:t xml:space="preserve">يشكل </w:t>
      </w:r>
      <w:r w:rsidRPr="00202E2A">
        <w:rPr>
          <w:rFonts w:asciiTheme="majorBidi" w:hAnsiTheme="majorBidi" w:cstheme="majorBidi"/>
          <w:sz w:val="26"/>
          <w:szCs w:val="26"/>
          <w:rtl/>
          <w:lang w:bidi="ar-EG"/>
        </w:rPr>
        <w:t xml:space="preserve">حجر الزاوية في دفع المملكة نحو مستقبل رقمي متطور ومستدام، وتعتبر </w:t>
      </w:r>
      <w:r w:rsidR="00C823AC" w:rsidRPr="00202E2A">
        <w:rPr>
          <w:rFonts w:asciiTheme="majorBidi" w:hAnsiTheme="majorBidi" w:cstheme="majorBidi"/>
          <w:sz w:val="26"/>
          <w:szCs w:val="26"/>
          <w:rtl/>
          <w:lang w:bidi="ar-EG"/>
        </w:rPr>
        <w:t xml:space="preserve">الدراسة في مجال التحول الرقمي داخل هيئة الزكاة والضريبة والجمارك تتجاوز مجرد تحديث الأنظمة الرقمية؛ بل تُعدُّ إطاراً استراتيجياً متكاملاً لتحقيق التنمية المستدامة وفقاً لرؤية </w:t>
      </w:r>
      <w:r w:rsidR="00515092" w:rsidRPr="00202E2A">
        <w:rPr>
          <w:rFonts w:asciiTheme="majorBidi" w:hAnsiTheme="majorBidi" w:cstheme="majorBidi"/>
          <w:sz w:val="26"/>
          <w:szCs w:val="26"/>
          <w:lang w:bidi="ar-EG"/>
        </w:rPr>
        <w:t>2030</w:t>
      </w:r>
      <w:r w:rsidR="00E604E7" w:rsidRPr="00202E2A">
        <w:rPr>
          <w:rFonts w:asciiTheme="majorBidi" w:hAnsiTheme="majorBidi" w:cstheme="majorBidi"/>
          <w:sz w:val="26"/>
          <w:szCs w:val="26"/>
          <w:rtl/>
          <w:lang w:bidi="ar-EG"/>
        </w:rPr>
        <w:t>،</w:t>
      </w:r>
      <w:r w:rsidR="00C823AC" w:rsidRPr="00202E2A">
        <w:rPr>
          <w:rFonts w:asciiTheme="majorBidi" w:hAnsiTheme="majorBidi" w:cstheme="majorBidi"/>
          <w:sz w:val="26"/>
          <w:szCs w:val="26"/>
          <w:rtl/>
          <w:lang w:bidi="ar-EG"/>
        </w:rPr>
        <w:t xml:space="preserve"> من خلال تأصيل المفاهيم العلمية وتقديم توصيات تطبيقية عملية، </w:t>
      </w:r>
      <w:r w:rsidR="00E604E7" w:rsidRPr="00202E2A">
        <w:rPr>
          <w:rFonts w:asciiTheme="majorBidi" w:hAnsiTheme="majorBidi" w:cstheme="majorBidi"/>
          <w:sz w:val="26"/>
          <w:szCs w:val="26"/>
          <w:rtl/>
          <w:lang w:bidi="ar-EG"/>
        </w:rPr>
        <w:t>و</w:t>
      </w:r>
      <w:r w:rsidR="00C823AC" w:rsidRPr="00202E2A">
        <w:rPr>
          <w:rFonts w:asciiTheme="majorBidi" w:hAnsiTheme="majorBidi" w:cstheme="majorBidi"/>
          <w:sz w:val="26"/>
          <w:szCs w:val="26"/>
          <w:rtl/>
          <w:lang w:bidi="ar-EG"/>
        </w:rPr>
        <w:t xml:space="preserve">تسهم الدراسة في بناء ثقافة مؤسسية قائمة على الابتكار والتجديد، تُحسن من جودة الخدمات الحكومية وتُعزز من الأمان والثقة لدى المواطنين. </w:t>
      </w:r>
    </w:p>
    <w:p w14:paraId="10EB9119" w14:textId="14D97313" w:rsidR="005F496D" w:rsidRPr="00202E2A" w:rsidRDefault="00341FFC" w:rsidP="0019590B">
      <w:pPr>
        <w:bidi/>
        <w:spacing w:line="276" w:lineRule="auto"/>
        <w:rPr>
          <w:rFonts w:asciiTheme="majorBidi" w:hAnsiTheme="majorBidi" w:cstheme="majorBidi"/>
          <w:b/>
          <w:bCs/>
          <w:color w:val="002060"/>
          <w:sz w:val="26"/>
          <w:szCs w:val="26"/>
          <w:rtl/>
          <w:lang w:bidi="ar-EG"/>
        </w:rPr>
      </w:pPr>
      <w:bookmarkStart w:id="1" w:name="_Hlk188107804"/>
      <w:r w:rsidRPr="00202E2A">
        <w:rPr>
          <w:rFonts w:asciiTheme="majorBidi" w:hAnsiTheme="majorBidi" w:cstheme="majorBidi"/>
          <w:b/>
          <w:bCs/>
          <w:color w:val="002060"/>
          <w:sz w:val="26"/>
          <w:szCs w:val="26"/>
          <w:rtl/>
          <w:lang w:bidi="ar-EG"/>
        </w:rPr>
        <w:t xml:space="preserve">رابعاً: </w:t>
      </w:r>
      <w:bookmarkEnd w:id="1"/>
      <w:r w:rsidR="005F496D" w:rsidRPr="00202E2A">
        <w:rPr>
          <w:rFonts w:asciiTheme="majorBidi" w:hAnsiTheme="majorBidi" w:cstheme="majorBidi"/>
          <w:b/>
          <w:bCs/>
          <w:color w:val="002060"/>
          <w:sz w:val="26"/>
          <w:szCs w:val="26"/>
          <w:rtl/>
          <w:lang w:bidi="ar-EG"/>
        </w:rPr>
        <w:t xml:space="preserve">أهداف الدراسة </w:t>
      </w:r>
      <w:r w:rsidR="005F496D" w:rsidRPr="00202E2A">
        <w:rPr>
          <w:rFonts w:asciiTheme="majorBidi" w:hAnsiTheme="majorBidi" w:cstheme="majorBidi"/>
          <w:b/>
          <w:bCs/>
          <w:color w:val="002060"/>
          <w:sz w:val="26"/>
          <w:szCs w:val="26"/>
          <w:lang w:bidi="ar-EG"/>
        </w:rPr>
        <w:t>Study Objectives</w:t>
      </w:r>
    </w:p>
    <w:p w14:paraId="394BF1BA" w14:textId="38C4AB53" w:rsidR="002E5F99" w:rsidRPr="00202E2A" w:rsidRDefault="002E5F99" w:rsidP="0019590B">
      <w:pPr>
        <w:bidi/>
        <w:spacing w:line="276" w:lineRule="auto"/>
        <w:ind w:firstLine="720"/>
        <w:jc w:val="lowKashida"/>
        <w:rPr>
          <w:rFonts w:asciiTheme="majorBidi" w:hAnsiTheme="majorBidi" w:cstheme="majorBidi"/>
          <w:sz w:val="26"/>
          <w:szCs w:val="26"/>
          <w:rtl/>
          <w:lang w:bidi="ar-EG"/>
        </w:rPr>
      </w:pPr>
      <w:bookmarkStart w:id="2" w:name="_Hlk188107964"/>
      <w:r w:rsidRPr="00202E2A">
        <w:rPr>
          <w:rFonts w:asciiTheme="majorBidi" w:hAnsiTheme="majorBidi" w:cstheme="majorBidi" w:hint="cs"/>
          <w:sz w:val="26"/>
          <w:szCs w:val="26"/>
          <w:rtl/>
          <w:lang w:bidi="ar-EG"/>
        </w:rPr>
        <w:t>تسعي هذه الدراسة إلى تحقيق الأهداف التالية:</w:t>
      </w:r>
    </w:p>
    <w:p w14:paraId="23B41998" w14:textId="33781F65"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١</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التعرف على دور التحول الرقمي في تعزيز الأمن. وينبثق من هذا الهدف الرئيسي الأهداف الفرعية الآتية</w:t>
      </w:r>
      <w:r w:rsidR="005714E1" w:rsidRPr="00202E2A">
        <w:rPr>
          <w:rFonts w:asciiTheme="majorBidi" w:hAnsiTheme="majorBidi" w:cstheme="majorBidi"/>
          <w:b/>
          <w:bCs/>
          <w:sz w:val="26"/>
          <w:szCs w:val="26"/>
          <w:lang w:bidi="ar-EG"/>
        </w:rPr>
        <w:t>:</w:t>
      </w:r>
    </w:p>
    <w:p w14:paraId="4F46AC2B"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الاسيس الرقمية في تعزيز الأمن</w:t>
      </w:r>
    </w:p>
    <w:p w14:paraId="6547C031"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تعزيز الأمن</w:t>
      </w:r>
    </w:p>
    <w:p w14:paraId="0CA4F816"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٣/١ـ التعرف على دور الحوكمة الرقمية في تعزيز الامن</w:t>
      </w:r>
    </w:p>
    <w:p w14:paraId="2FCE2721" w14:textId="73A53218"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التعرف على دور التحول الرقمي في تيسير التجارة</w:t>
      </w:r>
      <w:r w:rsidR="00990B56" w:rsidRPr="00202E2A">
        <w:rPr>
          <w:rFonts w:asciiTheme="majorBidi" w:hAnsiTheme="majorBidi" w:cstheme="majorBidi"/>
          <w:b/>
          <w:bCs/>
          <w:sz w:val="26"/>
          <w:szCs w:val="26"/>
          <w:rtl/>
          <w:lang w:bidi="ar-EG"/>
        </w:rPr>
        <w:t>،</w:t>
      </w:r>
      <w:r w:rsidRPr="00202E2A">
        <w:rPr>
          <w:rFonts w:asciiTheme="majorBidi" w:hAnsiTheme="majorBidi" w:cstheme="majorBidi"/>
          <w:b/>
          <w:bCs/>
          <w:sz w:val="26"/>
          <w:szCs w:val="26"/>
          <w:rtl/>
          <w:lang w:bidi="ar-EG"/>
        </w:rPr>
        <w:t xml:space="preserve"> وينبثق من هذا الهدف الرئيسي الأهداف الفرعية التالية</w:t>
      </w:r>
      <w:r w:rsidRPr="00202E2A">
        <w:rPr>
          <w:rFonts w:asciiTheme="majorBidi" w:hAnsiTheme="majorBidi" w:cstheme="majorBidi"/>
          <w:b/>
          <w:bCs/>
          <w:sz w:val="26"/>
          <w:szCs w:val="26"/>
          <w:lang w:bidi="ar-EG"/>
        </w:rPr>
        <w:t>:</w:t>
      </w:r>
    </w:p>
    <w:p w14:paraId="12BFED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الأسس الرقمية في تيسير التجارة</w:t>
      </w:r>
    </w:p>
    <w:p w14:paraId="67FD05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تيسير التجارة</w:t>
      </w:r>
    </w:p>
    <w:p w14:paraId="78133065" w14:textId="77777777" w:rsidR="00171664" w:rsidRPr="00202E2A" w:rsidRDefault="0017166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٣/٢- التعرف على دور الحوكمة الرقمية في تيسير التجارة</w:t>
      </w:r>
    </w:p>
    <w:p w14:paraId="59C173E5" w14:textId="6BED59C7" w:rsidR="00341FFC" w:rsidRPr="00202E2A" w:rsidRDefault="00341FFC" w:rsidP="002E5F99">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تساؤلات الدراسة</w:t>
      </w:r>
    </w:p>
    <w:p w14:paraId="71E63596" w14:textId="534B8D84" w:rsidR="000B65B6" w:rsidRPr="00202E2A" w:rsidRDefault="000B65B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تنطلق هذه الدراسة من إطار منهجي متكامل يجمع بين النظريات العالمية والتطبيقات المحلية في التحول الرقمي، مستندة إلى نماذج معتمدة مثل إطار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للتحول الرقمي ونموذج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للأمن السيبراني، مع الاسترشاد بالمؤشرات الدولية كـ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و</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لضمان المصداقية العلمية. تركز الدراسة على تحليل تأثير أبعاد التحول الرقمي الثلاثة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بهيئة الزكاة والضريبية والجمارك، من خلال منهجية بحثية تزاوج بين التحليل الكمي (كالانحدار واختبار الارتباط) والنوعي </w:t>
      </w:r>
      <w:r w:rsidRPr="00202E2A">
        <w:rPr>
          <w:rFonts w:asciiTheme="majorBidi" w:hAnsiTheme="majorBidi" w:cstheme="majorBidi"/>
          <w:b/>
          <w:bCs/>
          <w:sz w:val="26"/>
          <w:szCs w:val="26"/>
          <w:rtl/>
          <w:lang w:bidi="ar-EG"/>
        </w:rPr>
        <w:t>(كدراسة الثقافة التنظيمية وتقييم الشراكات)،</w:t>
      </w:r>
      <w:r w:rsidRPr="00202E2A">
        <w:rPr>
          <w:rFonts w:asciiTheme="majorBidi" w:hAnsiTheme="majorBidi" w:cstheme="majorBidi"/>
          <w:sz w:val="26"/>
          <w:szCs w:val="26"/>
          <w:rtl/>
          <w:lang w:bidi="ar-EG"/>
        </w:rPr>
        <w:t xml:space="preserve"> مع ربط النتائج بمؤشرات أداء ملموسة كنسب التهرب الضريبي وزمن الإجراءات الجمركية، وذلك انسجاماً مع مستهدفات رؤية </w:t>
      </w:r>
      <w:r w:rsidR="00906A9F"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في محوري </w:t>
      </w:r>
      <w:r w:rsidRPr="00202E2A">
        <w:rPr>
          <w:rFonts w:asciiTheme="majorBidi" w:hAnsiTheme="majorBidi" w:cstheme="majorBidi"/>
          <w:b/>
          <w:bCs/>
          <w:sz w:val="26"/>
          <w:szCs w:val="26"/>
          <w:rtl/>
          <w:lang w:bidi="ar-EG"/>
        </w:rPr>
        <w:t>"الحكومة الرقمية" و"الاقتصاد المزدهر"،</w:t>
      </w:r>
      <w:r w:rsidRPr="00202E2A">
        <w:rPr>
          <w:rFonts w:asciiTheme="majorBidi" w:hAnsiTheme="majorBidi" w:cstheme="majorBidi"/>
          <w:sz w:val="26"/>
          <w:szCs w:val="26"/>
          <w:rtl/>
          <w:lang w:bidi="ar-EG"/>
        </w:rPr>
        <w:t xml:space="preserve"> سعياً لتحويل التحديات الرقمية إلى فرص تنافسية تعزز مكانة المملكة في الاقتصاد الرقمي العالمي.</w:t>
      </w:r>
    </w:p>
    <w:p w14:paraId="2EE15228" w14:textId="1622BF17" w:rsidR="00981AE9" w:rsidRPr="00202E2A" w:rsidRDefault="00341FF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w:t>
      </w:r>
      <w:r w:rsidR="00981AE9" w:rsidRPr="00202E2A">
        <w:rPr>
          <w:rFonts w:asciiTheme="majorBidi" w:hAnsiTheme="majorBidi" w:cstheme="majorBidi"/>
          <w:sz w:val="26"/>
          <w:szCs w:val="26"/>
          <w:rtl/>
          <w:lang w:bidi="ar-EG"/>
        </w:rPr>
        <w:t>بناءً على الإطار النظري والدراسة الاستطلاعية وتحليل البيانات الأولية، و</w:t>
      </w:r>
      <w:r w:rsidRPr="00202E2A">
        <w:rPr>
          <w:rFonts w:asciiTheme="majorBidi" w:hAnsiTheme="majorBidi" w:cstheme="majorBidi"/>
          <w:sz w:val="26"/>
          <w:szCs w:val="26"/>
          <w:rtl/>
          <w:lang w:bidi="ar-EG"/>
        </w:rPr>
        <w:t xml:space="preserve">من خلال النتائج التي حصل عليها الباحث من الدراسة الاستطلاعية في تطبيق </w:t>
      </w:r>
      <w:r w:rsidR="003D58B0"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مع أبعاد </w:t>
      </w:r>
      <w:r w:rsidR="003D58B0" w:rsidRPr="00202E2A">
        <w:rPr>
          <w:rFonts w:asciiTheme="majorBidi" w:hAnsiTheme="majorBidi" w:cstheme="majorBidi"/>
          <w:sz w:val="26"/>
          <w:szCs w:val="26"/>
          <w:rtl/>
          <w:lang w:bidi="ar-EG"/>
        </w:rPr>
        <w:t>تعزيز الامن وت</w:t>
      </w:r>
      <w:r w:rsidR="004B4A0D" w:rsidRPr="00202E2A">
        <w:rPr>
          <w:rFonts w:asciiTheme="majorBidi" w:hAnsiTheme="majorBidi" w:cstheme="majorBidi" w:hint="cs"/>
          <w:sz w:val="26"/>
          <w:szCs w:val="26"/>
          <w:rtl/>
          <w:lang w:bidi="ar-EG"/>
        </w:rPr>
        <w:t>ي</w:t>
      </w:r>
      <w:r w:rsidR="003D58B0"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 xml:space="preserve"> والتي تدعمها </w:t>
      </w:r>
      <w:r w:rsidR="003D58B0" w:rsidRPr="00202E2A">
        <w:rPr>
          <w:rFonts w:asciiTheme="majorBidi" w:hAnsiTheme="majorBidi" w:cstheme="majorBidi"/>
          <w:sz w:val="26"/>
          <w:szCs w:val="26"/>
          <w:rtl/>
          <w:lang w:bidi="ar-EG"/>
        </w:rPr>
        <w:t xml:space="preserve">هيئة الزكاة والضريبية والجمارك </w:t>
      </w:r>
      <w:r w:rsidRPr="00202E2A">
        <w:rPr>
          <w:rFonts w:asciiTheme="majorBidi" w:hAnsiTheme="majorBidi" w:cstheme="majorBidi"/>
          <w:sz w:val="26"/>
          <w:szCs w:val="26"/>
          <w:rtl/>
          <w:lang w:bidi="ar-EG"/>
        </w:rPr>
        <w:t>في تحقيق أهدافها الاستراتيجية ومسايرة التطور</w:t>
      </w:r>
      <w:r w:rsidR="00981AE9" w:rsidRPr="00202E2A">
        <w:rPr>
          <w:rFonts w:asciiTheme="majorBidi" w:hAnsiTheme="majorBidi" w:cstheme="majorBidi"/>
          <w:sz w:val="26"/>
          <w:szCs w:val="26"/>
          <w:rtl/>
          <w:lang w:bidi="ar-EG"/>
        </w:rPr>
        <w:t xml:space="preserve">، </w:t>
      </w:r>
      <w:r w:rsidR="00906A9F" w:rsidRPr="00202E2A">
        <w:rPr>
          <w:rFonts w:asciiTheme="majorBidi" w:hAnsiTheme="majorBidi" w:cstheme="majorBidi"/>
          <w:sz w:val="26"/>
          <w:szCs w:val="26"/>
          <w:rtl/>
          <w:lang w:bidi="ar-EG"/>
        </w:rPr>
        <w:t>وتُشكل</w:t>
      </w:r>
      <w:r w:rsidR="00B545B1" w:rsidRPr="00202E2A">
        <w:rPr>
          <w:rFonts w:asciiTheme="majorBidi" w:hAnsiTheme="majorBidi" w:cstheme="majorBidi"/>
          <w:sz w:val="26"/>
          <w:szCs w:val="26"/>
          <w:rtl/>
          <w:lang w:bidi="ar-EG"/>
        </w:rPr>
        <w:t xml:space="preserve"> هذه التساؤلات خريطة طريق دقيقة للبحث، وتضمن تغطية جميع جوانب المشكلة بدقة أكاديمية وعملية</w:t>
      </w:r>
      <w:r w:rsidR="0045666D" w:rsidRPr="00202E2A">
        <w:rPr>
          <w:rFonts w:asciiTheme="majorBidi" w:hAnsiTheme="majorBidi" w:cstheme="majorBidi"/>
          <w:sz w:val="26"/>
          <w:szCs w:val="26"/>
          <w:rtl/>
          <w:lang w:bidi="ar-EG"/>
        </w:rPr>
        <w:t>، و</w:t>
      </w:r>
      <w:r w:rsidR="00981AE9" w:rsidRPr="00202E2A">
        <w:rPr>
          <w:rFonts w:asciiTheme="majorBidi" w:hAnsiTheme="majorBidi" w:cstheme="majorBidi"/>
          <w:sz w:val="26"/>
          <w:szCs w:val="26"/>
          <w:rtl/>
          <w:lang w:bidi="ar-EG"/>
        </w:rPr>
        <w:t xml:space="preserve">يمكن صياغة تساؤلات الدراسة كما يلي:  </w:t>
      </w:r>
    </w:p>
    <w:p w14:paraId="2E331CC2" w14:textId="747B382E" w:rsidR="00593404" w:rsidRPr="00202E2A" w:rsidRDefault="00593404" w:rsidP="0019590B">
      <w:pPr>
        <w:bidi/>
        <w:spacing w:line="276" w:lineRule="auto"/>
        <w:jc w:val="lowKashida"/>
        <w:rPr>
          <w:rFonts w:asciiTheme="majorBidi" w:hAnsiTheme="majorBidi" w:cstheme="majorBidi"/>
          <w:sz w:val="26"/>
          <w:szCs w:val="26"/>
          <w:lang w:bidi="ar-EG"/>
        </w:rPr>
      </w:pPr>
      <w:bookmarkStart w:id="3" w:name="_Hlk188106460"/>
      <w:r w:rsidRPr="00202E2A">
        <w:rPr>
          <w:rFonts w:asciiTheme="majorBidi" w:hAnsiTheme="majorBidi" w:cstheme="majorBidi"/>
          <w:sz w:val="26"/>
          <w:szCs w:val="26"/>
          <w:rtl/>
          <w:lang w:bidi="ar-EG"/>
        </w:rPr>
        <w:t>وحيث تسعى الدراسة إلى الإجابة عن التساؤلات التالية، والتي تم تصنيفها وفق الأبعاد الرئيسية للتحول الرقمي (الأسس الرقمية، الابتكار الرقمي، الحوكمة الرقمية</w:t>
      </w:r>
      <w:r w:rsidR="005714E1" w:rsidRPr="00202E2A">
        <w:rPr>
          <w:rFonts w:asciiTheme="majorBidi" w:hAnsiTheme="majorBidi" w:cstheme="majorBidi"/>
          <w:sz w:val="26"/>
          <w:szCs w:val="26"/>
          <w:rtl/>
          <w:lang w:bidi="ar-EG"/>
        </w:rPr>
        <w:t>)، مع</w:t>
      </w:r>
      <w:r w:rsidRPr="00202E2A">
        <w:rPr>
          <w:rFonts w:asciiTheme="majorBidi" w:hAnsiTheme="majorBidi" w:cstheme="majorBidi"/>
          <w:sz w:val="26"/>
          <w:szCs w:val="26"/>
          <w:rtl/>
          <w:lang w:bidi="ar-EG"/>
        </w:rPr>
        <w:t xml:space="preserve"> التركيز على تأثيرها في تعزيز الأمن السيبراني وتيسير التجارة، كالتالي:</w:t>
      </w:r>
    </w:p>
    <w:p w14:paraId="0DF72ED8" w14:textId="75378131"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 الرئيسي: </w:t>
      </w:r>
    </w:p>
    <w:p w14:paraId="5ECCCFBC" w14:textId="1058EFE8"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كيف تساهم أبعاد التحول الرقمي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في هيئة الزكاة والضريبية والجمارك؟ </w:t>
      </w:r>
    </w:p>
    <w:p w14:paraId="42904784" w14:textId="6639EEA3"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التساؤلات الفرعية: </w:t>
      </w:r>
    </w:p>
    <w:p w14:paraId="0CBB8F26" w14:textId="78152BAF"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أولاً: تساؤلات متعلقة بدور التحول الرقمي في تعزيز </w:t>
      </w:r>
      <w:r w:rsidR="005714E1" w:rsidRPr="00202E2A">
        <w:rPr>
          <w:rFonts w:asciiTheme="majorBidi" w:hAnsiTheme="majorBidi" w:cstheme="majorBidi"/>
          <w:b/>
          <w:bCs/>
          <w:sz w:val="26"/>
          <w:szCs w:val="26"/>
          <w:u w:val="single"/>
          <w:rtl/>
          <w:lang w:bidi="ar-EG"/>
        </w:rPr>
        <w:t>الأمن:</w:t>
      </w:r>
    </w:p>
    <w:p w14:paraId="126F59A2" w14:textId="2BFDF7DC"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1. ما هو دور الأسس الرقمية في تعزيز الأمن كمثل:</w:t>
      </w:r>
    </w:p>
    <w:p w14:paraId="54CE5180"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جاهزية البنية التحتية الرقمية للهيئة (مثل أنظمة التشفير، الخوادم الآمنة) في مواجهة التهديدات السيبرانية؟  </w:t>
      </w:r>
    </w:p>
    <w:p w14:paraId="0A197771"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توجد فجوة بين المهارات الرقمية للموظفين والمتطلبات الأمنية الحديثة؟  </w:t>
      </w:r>
    </w:p>
    <w:p w14:paraId="5E0F7E1F" w14:textId="6B85EF7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2. ما هو دور الابتكار الرقمي في تعزيز الأمن كمث</w:t>
      </w:r>
      <w:r w:rsidR="00F61A46" w:rsidRPr="00202E2A">
        <w:rPr>
          <w:rFonts w:asciiTheme="majorBidi" w:hAnsiTheme="majorBidi" w:cstheme="majorBidi"/>
          <w:b/>
          <w:bCs/>
          <w:sz w:val="26"/>
          <w:szCs w:val="26"/>
          <w:rtl/>
          <w:lang w:bidi="ar-EG"/>
        </w:rPr>
        <w:t>ل</w:t>
      </w:r>
      <w:r w:rsidRPr="00202E2A">
        <w:rPr>
          <w:rFonts w:asciiTheme="majorBidi" w:hAnsiTheme="majorBidi" w:cstheme="majorBidi"/>
          <w:b/>
          <w:bCs/>
          <w:sz w:val="26"/>
          <w:szCs w:val="26"/>
          <w:rtl/>
          <w:lang w:bidi="ar-EG"/>
        </w:rPr>
        <w:t xml:space="preserve">: </w:t>
      </w:r>
    </w:p>
    <w:p w14:paraId="136643F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لتقنيات الذكاء الاصطناعي والبلوك تشين تحسين كشف التهرب الضريبي والتهريب الجمركي؟  </w:t>
      </w:r>
    </w:p>
    <w:p w14:paraId="554AAA0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أنظمة المسح الضوئي المتقدمة في خفض معدلات الاختراقات الأمنية؟  </w:t>
      </w:r>
    </w:p>
    <w:p w14:paraId="181E3212" w14:textId="0C3F8258"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lastRenderedPageBreak/>
        <w:t xml:space="preserve">3. ما هو دور الحوكمة الرقمية في تعزيز الأمن كمثل: </w:t>
      </w:r>
    </w:p>
    <w:p w14:paraId="59739063"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تتوافق سياسات الأمن السيبراني في الهيئة مع المعايير الدولية مثل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p>
    <w:p w14:paraId="41771A7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تأثير القوانين المحلية (مثل نظام الأمن السيبراني السعودي) على حماية البيانات والعمليات الرقمية؟  </w:t>
      </w:r>
    </w:p>
    <w:p w14:paraId="5BD2873D" w14:textId="4933F9EA"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ثانياً: تساؤلات متعلقة بدور التحول الرقمي في تيسير التجارة</w:t>
      </w:r>
      <w:r w:rsidR="00F61A46" w:rsidRPr="00202E2A">
        <w:rPr>
          <w:rFonts w:asciiTheme="majorBidi" w:hAnsiTheme="majorBidi" w:cstheme="majorBidi"/>
          <w:b/>
          <w:bCs/>
          <w:sz w:val="26"/>
          <w:szCs w:val="26"/>
          <w:u w:val="single"/>
          <w:rtl/>
          <w:lang w:bidi="ar-EG"/>
        </w:rPr>
        <w:t>:</w:t>
      </w:r>
    </w:p>
    <w:p w14:paraId="369B1969" w14:textId="5BCF7F4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4. </w:t>
      </w:r>
      <w:r w:rsidR="00F61A46"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الأسس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772A9A59"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يؤثر توفر البنية التحتية الرقمية (مثل منصات التخليص الجمركي الإلكتروني) على سرعة الإجراءات؟  </w:t>
      </w:r>
    </w:p>
    <w:p w14:paraId="387033E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يعيق ضعف التكامل بين أنظمة الهيئة والجهات الأخرى (مثل وزارة التجارة) كفاءة العمليات التجارية؟  </w:t>
      </w:r>
    </w:p>
    <w:p w14:paraId="611DE582" w14:textId="68369C2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5.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الابتكار الرقمي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52FA8684"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تطبيقات الذكاء الاصطناعي في تقليل زمن الإفراج الجمركي؟  </w:t>
      </w:r>
    </w:p>
    <w:p w14:paraId="70074B12"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لاستخدام تقنيات مثل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 xml:space="preserve">) تحسين شفافية سلسلة التوريد؟  </w:t>
      </w:r>
    </w:p>
    <w:p w14:paraId="0D9C033A" w14:textId="48C8447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6.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الحوكمة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353485AA"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تشجع اللوائح التنظيمية الحالية (مثل نظام الفوترة الإلكترونية) على تبني الحلول الرقمية في المعاملات التجارية؟  </w:t>
      </w:r>
    </w:p>
    <w:p w14:paraId="3AF88A13" w14:textId="7EAE601F"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توافق سياسات الهيئة مع متطلبات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لت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w:t>
      </w:r>
    </w:p>
    <w:p w14:paraId="30AC5490" w14:textId="1BFF44ED" w:rsidR="00341FFC" w:rsidRPr="00202E2A" w:rsidRDefault="004B4A0D" w:rsidP="0019590B">
      <w:pPr>
        <w:bidi/>
        <w:spacing w:line="276" w:lineRule="auto"/>
        <w:jc w:val="lowKashida"/>
        <w:rPr>
          <w:rFonts w:asciiTheme="majorBidi" w:hAnsiTheme="majorBidi" w:cstheme="majorBidi"/>
          <w:b/>
          <w:bCs/>
          <w:color w:val="002060"/>
          <w:sz w:val="26"/>
          <w:szCs w:val="26"/>
          <w:rtl/>
          <w:lang w:bidi="ar-EG"/>
        </w:rPr>
      </w:pPr>
      <w:r w:rsidRPr="00202E2A">
        <w:rPr>
          <w:rFonts w:asciiTheme="majorBidi" w:hAnsiTheme="majorBidi" w:cstheme="majorBidi" w:hint="cs"/>
          <w:b/>
          <w:bCs/>
          <w:color w:val="002060"/>
          <w:sz w:val="26"/>
          <w:szCs w:val="26"/>
          <w:rtl/>
          <w:lang w:bidi="ar-EG"/>
        </w:rPr>
        <w:t>خامساً</w:t>
      </w:r>
      <w:r w:rsidR="00341FFC" w:rsidRPr="00202E2A">
        <w:rPr>
          <w:rFonts w:asciiTheme="majorBidi" w:hAnsiTheme="majorBidi" w:cstheme="majorBidi"/>
          <w:b/>
          <w:bCs/>
          <w:color w:val="002060"/>
          <w:sz w:val="26"/>
          <w:szCs w:val="26"/>
          <w:rtl/>
          <w:lang w:bidi="ar-EG"/>
        </w:rPr>
        <w:t xml:space="preserve">: فروض الدراسة </w:t>
      </w:r>
      <w:r w:rsidR="00341FFC" w:rsidRPr="00202E2A">
        <w:rPr>
          <w:rFonts w:asciiTheme="majorBidi" w:hAnsiTheme="majorBidi" w:cstheme="majorBidi"/>
          <w:b/>
          <w:bCs/>
          <w:color w:val="002060"/>
          <w:sz w:val="26"/>
          <w:szCs w:val="26"/>
          <w:lang w:bidi="ar-EG"/>
        </w:rPr>
        <w:t>Study Assignments</w:t>
      </w:r>
      <w:r w:rsidR="00341FFC" w:rsidRPr="00202E2A">
        <w:rPr>
          <w:rFonts w:asciiTheme="majorBidi" w:hAnsiTheme="majorBidi" w:cstheme="majorBidi"/>
          <w:b/>
          <w:bCs/>
          <w:color w:val="002060"/>
          <w:sz w:val="26"/>
          <w:szCs w:val="26"/>
          <w:rtl/>
          <w:lang w:bidi="ar-EG"/>
        </w:rPr>
        <w:t xml:space="preserve"> </w:t>
      </w:r>
    </w:p>
    <w:p w14:paraId="5E34EB08"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تحقيقاً لأهداف الدراسة تختبر الدراسة الفروض الأساسية التالية:</w:t>
      </w:r>
    </w:p>
    <w:p w14:paraId="2F298021"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الفرض الأساسي:</w:t>
      </w:r>
    </w:p>
    <w:p w14:paraId="66252CE1" w14:textId="16C99759" w:rsidR="00341FFC" w:rsidRPr="00202E2A" w:rsidRDefault="00341FFC" w:rsidP="0019590B">
      <w:pPr>
        <w:pStyle w:val="ListParagraph"/>
        <w:bidi/>
        <w:spacing w:line="276" w:lineRule="auto"/>
        <w:jc w:val="center"/>
        <w:rPr>
          <w:rFonts w:asciiTheme="majorBidi" w:hAnsiTheme="majorBidi" w:cstheme="majorBidi"/>
          <w:b/>
          <w:bCs/>
          <w:color w:val="C00000"/>
          <w:sz w:val="26"/>
          <w:szCs w:val="26"/>
          <w:rtl/>
          <w:lang w:bidi="ar-EG"/>
        </w:rPr>
      </w:pPr>
      <w:r w:rsidRPr="00202E2A">
        <w:rPr>
          <w:rFonts w:asciiTheme="majorBidi" w:hAnsiTheme="majorBidi" w:cstheme="majorBidi"/>
          <w:b/>
          <w:bCs/>
          <w:color w:val="C00000"/>
          <w:sz w:val="26"/>
          <w:szCs w:val="26"/>
          <w:rtl/>
          <w:lang w:bidi="ar-EG"/>
        </w:rPr>
        <w:t>"يوجد تأثير معنوي لـتأثير التحول الرقمي على تعزيز الأمن وت</w:t>
      </w:r>
      <w:r w:rsidR="00C46C5D" w:rsidRPr="00202E2A">
        <w:rPr>
          <w:rFonts w:asciiTheme="majorBidi" w:hAnsiTheme="majorBidi" w:cstheme="majorBidi"/>
          <w:b/>
          <w:bCs/>
          <w:color w:val="C00000"/>
          <w:sz w:val="26"/>
          <w:szCs w:val="26"/>
          <w:rtl/>
          <w:lang w:bidi="ar-EG"/>
        </w:rPr>
        <w:t>ي</w:t>
      </w:r>
      <w:r w:rsidRPr="00202E2A">
        <w:rPr>
          <w:rFonts w:asciiTheme="majorBidi" w:hAnsiTheme="majorBidi" w:cstheme="majorBidi"/>
          <w:b/>
          <w:bCs/>
          <w:color w:val="C00000"/>
          <w:sz w:val="26"/>
          <w:szCs w:val="26"/>
          <w:rtl/>
          <w:lang w:bidi="ar-EG"/>
        </w:rPr>
        <w:t>سير التجارة "</w:t>
      </w:r>
    </w:p>
    <w:p w14:paraId="3B37AB1A" w14:textId="4AB6E08D"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الفروض الفرعية </w:t>
      </w:r>
      <w:r w:rsidR="004E7BFD" w:rsidRPr="00202E2A">
        <w:rPr>
          <w:rFonts w:asciiTheme="majorBidi" w:hAnsiTheme="majorBidi" w:cstheme="majorBidi"/>
          <w:sz w:val="26"/>
          <w:szCs w:val="26"/>
          <w:rtl/>
          <w:lang w:bidi="ar-EG"/>
        </w:rPr>
        <w:t>الاثنين</w:t>
      </w:r>
      <w:r w:rsidRPr="00202E2A">
        <w:rPr>
          <w:rFonts w:asciiTheme="majorBidi" w:hAnsiTheme="majorBidi" w:cstheme="majorBidi"/>
          <w:sz w:val="26"/>
          <w:szCs w:val="26"/>
          <w:rtl/>
          <w:lang w:bidi="ar-EG"/>
        </w:rPr>
        <w:t>:</w:t>
      </w:r>
    </w:p>
    <w:p w14:paraId="61ABC57B" w14:textId="77777777"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الأولي: </w:t>
      </w:r>
    </w:p>
    <w:p w14:paraId="1540FD11" w14:textId="783D46B8" w:rsidR="004E0FB1"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r w:rsidRPr="00202E2A">
        <w:rPr>
          <w:rFonts w:asciiTheme="majorBidi" w:hAnsiTheme="majorBidi" w:cstheme="majorBidi"/>
          <w:sz w:val="26"/>
          <w:szCs w:val="26"/>
          <w:rtl/>
          <w:lang w:bidi="ar-EG"/>
        </w:rPr>
        <w:t>علي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تعزيز الأمن</w:t>
      </w:r>
      <w:r w:rsidRPr="00202E2A">
        <w:rPr>
          <w:rFonts w:asciiTheme="majorBidi" w:hAnsiTheme="majorBidi" w:cstheme="majorBidi"/>
          <w:b/>
          <w:bCs/>
          <w:sz w:val="26"/>
          <w:szCs w:val="26"/>
          <w:rtl/>
          <w:lang w:bidi="ar-EG"/>
        </w:rPr>
        <w:t>"</w:t>
      </w:r>
      <w:r w:rsidR="004E0FB1" w:rsidRPr="00202E2A">
        <w:rPr>
          <w:rFonts w:asciiTheme="majorBidi" w:hAnsiTheme="majorBidi" w:cstheme="majorBidi"/>
          <w:sz w:val="26"/>
          <w:szCs w:val="26"/>
          <w:rtl/>
          <w:lang w:bidi="ar-EG"/>
        </w:rPr>
        <w:t>، وينقسم إلي جزئيات نقاط:</w:t>
      </w:r>
    </w:p>
    <w:p w14:paraId="76D6B87A" w14:textId="7E2F6F6F"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6753F3" w:rsidRPr="00202E2A">
        <w:rPr>
          <w:rFonts w:asciiTheme="majorBidi" w:hAnsiTheme="majorBidi" w:cstheme="majorBidi"/>
          <w:sz w:val="26"/>
          <w:szCs w:val="26"/>
          <w:rtl/>
          <w:lang w:bidi="ar-EG"/>
        </w:rPr>
        <w:t xml:space="preserve">لأبعاد </w:t>
      </w:r>
      <w:r w:rsidRPr="00202E2A">
        <w:rPr>
          <w:rFonts w:asciiTheme="majorBidi" w:hAnsiTheme="majorBidi" w:cstheme="majorBidi"/>
          <w:sz w:val="26"/>
          <w:szCs w:val="26"/>
          <w:rtl/>
          <w:lang w:bidi="ar-EG"/>
        </w:rPr>
        <w:t>التحول الرقمي</w:t>
      </w:r>
      <w:r w:rsidR="006753F3" w:rsidRPr="00202E2A">
        <w:rPr>
          <w:rFonts w:asciiTheme="majorBidi" w:hAnsiTheme="majorBidi" w:cstheme="majorBidi"/>
          <w:sz w:val="26"/>
          <w:szCs w:val="26"/>
          <w:rtl/>
          <w:lang w:bidi="ar-EG"/>
        </w:rPr>
        <w:t xml:space="preserve"> </w:t>
      </w:r>
      <w:r w:rsidR="006753F3" w:rsidRPr="00202E2A">
        <w:rPr>
          <w:rFonts w:asciiTheme="majorBidi" w:hAnsiTheme="majorBidi" w:cstheme="majorBidi"/>
          <w:b/>
          <w:bCs/>
          <w:sz w:val="26"/>
          <w:szCs w:val="26"/>
          <w:rtl/>
          <w:lang w:bidi="ar-EG"/>
        </w:rPr>
        <w:t>"الأسس الرقمية، الابتكار الرقمي، الحوكمة الرقمية"</w:t>
      </w:r>
      <w:r w:rsidR="006753F3" w:rsidRPr="00202E2A">
        <w:rPr>
          <w:rFonts w:asciiTheme="majorBidi" w:hAnsiTheme="majorBidi" w:cstheme="majorBidi"/>
          <w:sz w:val="26"/>
          <w:szCs w:val="26"/>
          <w:rtl/>
          <w:lang w:bidi="ar-EG"/>
        </w:rPr>
        <w:t xml:space="preserve"> علي</w:t>
      </w:r>
      <w:r w:rsidRPr="00202E2A">
        <w:rPr>
          <w:rFonts w:asciiTheme="majorBidi" w:hAnsiTheme="majorBidi" w:cstheme="majorBidi"/>
          <w:sz w:val="26"/>
          <w:szCs w:val="26"/>
          <w:rtl/>
          <w:lang w:bidi="ar-EG"/>
        </w:rPr>
        <w:t xml:space="preserve"> </w:t>
      </w:r>
      <w:r w:rsidR="00F341DD" w:rsidRPr="00202E2A">
        <w:rPr>
          <w:rFonts w:asciiTheme="majorBidi" w:hAnsiTheme="majorBidi" w:cstheme="majorBidi"/>
          <w:sz w:val="26"/>
          <w:szCs w:val="26"/>
          <w:rtl/>
          <w:lang w:bidi="ar-EG"/>
        </w:rPr>
        <w:t xml:space="preserve">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12B68" w:rsidRPr="00202E2A">
        <w:rPr>
          <w:rFonts w:asciiTheme="majorBidi" w:hAnsiTheme="majorBidi" w:cstheme="majorBidi"/>
          <w:b/>
          <w:bCs/>
          <w:sz w:val="26"/>
          <w:szCs w:val="26"/>
          <w:rtl/>
          <w:lang w:bidi="ar-EG"/>
        </w:rPr>
        <w:t>الأمن السيبراني وحماية البيانات</w:t>
      </w:r>
      <w:r w:rsidRPr="00202E2A">
        <w:rPr>
          <w:rFonts w:asciiTheme="majorBidi" w:hAnsiTheme="majorBidi" w:cstheme="majorBidi"/>
          <w:sz w:val="26"/>
          <w:szCs w:val="26"/>
          <w:rtl/>
          <w:lang w:bidi="ar-EG"/>
        </w:rPr>
        <w:t xml:space="preserve">" في </w:t>
      </w:r>
      <w:r w:rsidR="00F341DD" w:rsidRPr="00202E2A">
        <w:rPr>
          <w:rFonts w:asciiTheme="majorBidi" w:hAnsiTheme="majorBidi" w:cstheme="majorBidi"/>
          <w:sz w:val="26"/>
          <w:szCs w:val="26"/>
          <w:rtl/>
          <w:lang w:bidi="ar-EG"/>
        </w:rPr>
        <w:t>بعد</w:t>
      </w:r>
      <w:r w:rsidRPr="00202E2A">
        <w:rPr>
          <w:rFonts w:asciiTheme="majorBidi" w:hAnsiTheme="majorBidi" w:cstheme="majorBidi"/>
          <w:sz w:val="26"/>
          <w:szCs w:val="26"/>
          <w:rtl/>
          <w:lang w:bidi="ar-EG"/>
        </w:rPr>
        <w:t xml:space="preserve"> تعزيز الأمن.</w:t>
      </w:r>
    </w:p>
    <w:p w14:paraId="261BD4E7" w14:textId="21A5E2B0"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8C59EB" w:rsidRPr="00202E2A">
        <w:rPr>
          <w:rFonts w:asciiTheme="majorBidi" w:hAnsiTheme="majorBidi" w:cstheme="majorBidi"/>
          <w:b/>
          <w:bCs/>
          <w:sz w:val="26"/>
          <w:szCs w:val="26"/>
          <w:rtl/>
          <w:lang w:bidi="ar-EG"/>
        </w:rPr>
        <w:t>تحسين كفاءة الرقابة الجمركية والحد من التهريب</w:t>
      </w:r>
      <w:r w:rsidRPr="00202E2A">
        <w:rPr>
          <w:rFonts w:asciiTheme="majorBidi" w:hAnsiTheme="majorBidi" w:cstheme="majorBidi"/>
          <w:sz w:val="26"/>
          <w:szCs w:val="26"/>
          <w:rtl/>
          <w:lang w:bidi="ar-EG"/>
        </w:rPr>
        <w:t>" في بند تعزيز الأمن.</w:t>
      </w:r>
    </w:p>
    <w:p w14:paraId="7603E92F"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القانوني والسياسي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2E835A7E"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lastRenderedPageBreak/>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الاجتماعي والثقافي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751FE587" w14:textId="6FEB3CAB"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34E89" w:rsidRPr="00202E2A">
        <w:rPr>
          <w:rFonts w:asciiTheme="majorBidi" w:hAnsiTheme="majorBidi" w:cstheme="majorBidi"/>
          <w:b/>
          <w:bCs/>
          <w:sz w:val="26"/>
          <w:szCs w:val="26"/>
          <w:rtl/>
          <w:lang w:bidi="ar-EG"/>
        </w:rPr>
        <w:t>تعزيز التكامل والشراكات الاستراتيجية</w:t>
      </w:r>
      <w:r w:rsidRPr="00202E2A">
        <w:rPr>
          <w:rFonts w:asciiTheme="majorBidi" w:hAnsiTheme="majorBidi" w:cstheme="majorBidi"/>
          <w:sz w:val="26"/>
          <w:szCs w:val="26"/>
          <w:rtl/>
          <w:lang w:bidi="ar-EG"/>
        </w:rPr>
        <w:t>" في بند تعزيز الأمن.</w:t>
      </w:r>
    </w:p>
    <w:p w14:paraId="194E0F62" w14:textId="17FD98AC"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الثاني: </w:t>
      </w:r>
    </w:p>
    <w:p w14:paraId="62B0E7E9" w14:textId="1334F0FA"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r w:rsidRPr="00202E2A">
        <w:rPr>
          <w:rFonts w:asciiTheme="majorBidi" w:hAnsiTheme="majorBidi" w:cstheme="majorBidi"/>
          <w:sz w:val="26"/>
          <w:szCs w:val="26"/>
          <w:rtl/>
          <w:lang w:bidi="ar-EG"/>
        </w:rPr>
        <w:t>علي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w:t>
      </w:r>
      <w:r w:rsidR="00A9676E" w:rsidRPr="00202E2A">
        <w:rPr>
          <w:rFonts w:asciiTheme="majorBidi" w:hAnsiTheme="majorBidi" w:cstheme="majorBidi"/>
          <w:b/>
          <w:bCs/>
          <w:sz w:val="26"/>
          <w:szCs w:val="26"/>
          <w:rtl/>
          <w:lang w:bidi="ar-EG"/>
        </w:rPr>
        <w:t>ي</w:t>
      </w:r>
      <w:r w:rsidR="004E0FB1"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w:t>
      </w:r>
      <w:r w:rsidRPr="00202E2A">
        <w:rPr>
          <w:rFonts w:asciiTheme="majorBidi" w:hAnsiTheme="majorBidi" w:cstheme="majorBidi"/>
          <w:sz w:val="26"/>
          <w:szCs w:val="26"/>
          <w:rtl/>
          <w:lang w:bidi="ar-EG"/>
        </w:rPr>
        <w:t>، وينقسم إلي جزئيات نقاط:</w:t>
      </w:r>
    </w:p>
    <w:bookmarkEnd w:id="3"/>
    <w:p w14:paraId="221B5898" w14:textId="710D72CC"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الاقتصادي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48324BE9" w14:textId="2BF9DCFE"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التكنولوجي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6DC54BEB" w14:textId="2B9FD0DE" w:rsidR="00C51EF1" w:rsidRPr="00202E2A" w:rsidRDefault="00C51EF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تقليل التهرب الضريبي وتعزيز الامتثال</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ت</w:t>
      </w:r>
      <w:r w:rsidR="00A9676E" w:rsidRPr="00202E2A">
        <w:rPr>
          <w:rFonts w:asciiTheme="majorBidi" w:hAnsiTheme="majorBidi" w:cstheme="majorBidi"/>
          <w:sz w:val="26"/>
          <w:szCs w:val="26"/>
          <w:rtl/>
          <w:lang w:bidi="ar-EG"/>
        </w:rPr>
        <w:t>ي</w:t>
      </w:r>
      <w:r w:rsidR="00F341DD"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w:t>
      </w:r>
    </w:p>
    <w:p w14:paraId="72C3552F" w14:textId="2D1CB143"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البيئي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bookmarkEnd w:id="2"/>
    <w:p w14:paraId="2DB2D092" w14:textId="2ACC08A5"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b/>
          <w:bCs/>
          <w:color w:val="002060"/>
          <w:sz w:val="26"/>
          <w:szCs w:val="26"/>
          <w:rtl/>
          <w:lang w:bidi="ar-EG"/>
        </w:rPr>
        <w:t>سادساً</w:t>
      </w:r>
      <w:r w:rsidR="00341FFC" w:rsidRPr="00202E2A">
        <w:rPr>
          <w:rFonts w:asciiTheme="majorBidi" w:hAnsiTheme="majorBidi" w:cstheme="majorBidi"/>
          <w:b/>
          <w:bCs/>
          <w:color w:val="002060"/>
          <w:sz w:val="26"/>
          <w:szCs w:val="26"/>
          <w:rtl/>
          <w:lang w:bidi="ar-EG"/>
        </w:rPr>
        <w:t>:</w:t>
      </w:r>
      <w:r w:rsidR="003C7975" w:rsidRPr="00202E2A">
        <w:rPr>
          <w:rFonts w:asciiTheme="majorBidi" w:hAnsiTheme="majorBidi" w:cstheme="majorBidi"/>
          <w:b/>
          <w:bCs/>
          <w:color w:val="002060"/>
          <w:sz w:val="26"/>
          <w:szCs w:val="26"/>
          <w:lang w:bidi="ar-EG"/>
        </w:rPr>
        <w:t xml:space="preserve"> </w:t>
      </w:r>
      <w:r w:rsidR="003804AC" w:rsidRPr="00202E2A">
        <w:rPr>
          <w:rFonts w:asciiTheme="majorBidi" w:hAnsiTheme="majorBidi" w:cstheme="majorBidi"/>
          <w:b/>
          <w:bCs/>
          <w:color w:val="002060"/>
          <w:sz w:val="26"/>
          <w:szCs w:val="26"/>
          <w:rtl/>
          <w:lang w:bidi="ar-EG"/>
        </w:rPr>
        <w:t xml:space="preserve">مفاهيم الدراسة </w:t>
      </w:r>
      <w:r w:rsidR="003804AC" w:rsidRPr="00202E2A">
        <w:rPr>
          <w:rFonts w:asciiTheme="majorBidi" w:hAnsiTheme="majorBidi" w:cstheme="majorBidi"/>
          <w:b/>
          <w:bCs/>
          <w:color w:val="002060"/>
          <w:sz w:val="26"/>
          <w:szCs w:val="26"/>
          <w:lang w:bidi="ar-EG"/>
        </w:rPr>
        <w:t>Basic Terms</w:t>
      </w:r>
    </w:p>
    <w:p w14:paraId="3FF83693" w14:textId="363C8A4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يشير العديد من الدراسات المتعددة أن مفاهيم وأبعاد متغيرات الدراسة التحول الرقمي وتعزيز الأمن وت</w:t>
      </w:r>
      <w:r w:rsidR="00AB6E1A"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30526E75"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أولاً: مفهوم وأبعاد التحول الرقمي</w:t>
      </w:r>
      <w:r w:rsidRPr="00202E2A">
        <w:rPr>
          <w:rFonts w:asciiTheme="majorBidi" w:hAnsiTheme="majorBidi" w:cstheme="majorBidi"/>
          <w:b/>
          <w:bCs/>
          <w:sz w:val="26"/>
          <w:szCs w:val="26"/>
          <w:u w:val="single"/>
          <w:lang w:bidi="ar-EG"/>
        </w:rPr>
        <w:t>:</w:t>
      </w:r>
    </w:p>
    <w:p w14:paraId="65645C2A"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يعرف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al et, 2019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Muehlburger</w:t>
      </w:r>
      <w:r w:rsidRPr="00202E2A">
        <w:rPr>
          <w:rFonts w:asciiTheme="majorBidi" w:hAnsiTheme="majorBidi" w:cstheme="majorBidi"/>
          <w:sz w:val="26"/>
          <w:szCs w:val="26"/>
          <w:rtl/>
          <w:lang w:bidi="ar-EG"/>
        </w:rPr>
        <w:t>) بأنه "القيام بتغييرات جذريه وجوهرية داخل سلسلة خلق القيمة للشركة أو هيكلها الداخلي والتي تكون إما سبب أو شرط مسبق لاستخدام التكنولوجيا"</w:t>
      </w:r>
      <w:r w:rsidRPr="00202E2A">
        <w:rPr>
          <w:rFonts w:asciiTheme="majorBidi" w:hAnsiTheme="majorBidi" w:cstheme="majorBidi"/>
          <w:sz w:val="26"/>
          <w:szCs w:val="26"/>
          <w:lang w:bidi="ar-EG"/>
        </w:rPr>
        <w:t>.</w:t>
      </w:r>
    </w:p>
    <w:p w14:paraId="5630930B"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بينما قامت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(Vial, 2019 </w:t>
      </w:r>
      <w:r w:rsidRPr="00202E2A">
        <w:rPr>
          <w:rFonts w:asciiTheme="majorBidi" w:hAnsiTheme="majorBidi" w:cstheme="majorBidi"/>
          <w:sz w:val="26"/>
          <w:szCs w:val="26"/>
          <w:rtl/>
          <w:lang w:bidi="ar-EG"/>
        </w:rPr>
        <w:t xml:space="preserve">بتعريفه بأنه "عملية تهدف إلى تحسين الكيانات والمؤسسات من خلال إطلاق تغييرات كبيرة على خصائصها، من خلال استخدام مجموعة من تقنيات المعلومات والحوسبة والاتصالات". </w:t>
      </w:r>
    </w:p>
    <w:p w14:paraId="2085FA6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ووفقاً لما سبق ترى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 al et,  2018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(Megrel</w:t>
      </w:r>
      <w:r w:rsidRPr="00202E2A">
        <w:rPr>
          <w:rFonts w:asciiTheme="majorBidi" w:hAnsiTheme="majorBidi" w:cstheme="majorBidi"/>
          <w:sz w:val="26"/>
          <w:szCs w:val="26"/>
          <w:rtl/>
          <w:lang w:bidi="ar-EG"/>
        </w:rPr>
        <w:t xml:space="preserve">  أنه يوجد هناك مستخدمون داخليون وخارجيون للخدمات الرقمية لهم دور كبير في جهود التحول الرقمي من خلال أربعة جوانب</w:t>
      </w:r>
      <w:r w:rsidRPr="00202E2A">
        <w:rPr>
          <w:rFonts w:asciiTheme="majorBidi" w:hAnsiTheme="majorBidi" w:cstheme="majorBidi"/>
          <w:sz w:val="26"/>
          <w:szCs w:val="26"/>
          <w:lang w:bidi="ar-EG"/>
        </w:rPr>
        <w:t>:</w:t>
      </w:r>
    </w:p>
    <w:p w14:paraId="4EE3AFA9"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القدرات الديناميكية كشرط مسبق للتحول الرقمي</w:t>
      </w:r>
      <w:r w:rsidRPr="00202E2A">
        <w:rPr>
          <w:rFonts w:asciiTheme="majorBidi" w:hAnsiTheme="majorBidi" w:cstheme="majorBidi"/>
          <w:sz w:val="26"/>
          <w:szCs w:val="26"/>
          <w:lang w:bidi="ar-EG"/>
        </w:rPr>
        <w:t>.</w:t>
      </w:r>
    </w:p>
    <w:p w14:paraId="0FD6BE5D"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مشاركة المستخدمين في تصميم الخدمات الرقمية</w:t>
      </w:r>
      <w:r w:rsidRPr="00202E2A">
        <w:rPr>
          <w:rFonts w:asciiTheme="majorBidi" w:hAnsiTheme="majorBidi" w:cstheme="majorBidi"/>
          <w:sz w:val="26"/>
          <w:szCs w:val="26"/>
          <w:lang w:bidi="ar-EG"/>
        </w:rPr>
        <w:t>.</w:t>
      </w:r>
    </w:p>
    <w:p w14:paraId="3C51B2B4"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الإنتاج والابداع المشترك لزيادة شرعية الخدمات الرقمية</w:t>
      </w:r>
      <w:r w:rsidRPr="00202E2A">
        <w:rPr>
          <w:rFonts w:asciiTheme="majorBidi" w:hAnsiTheme="majorBidi" w:cstheme="majorBidi"/>
          <w:sz w:val="26"/>
          <w:szCs w:val="26"/>
          <w:lang w:bidi="ar-EG"/>
        </w:rPr>
        <w:t>.</w:t>
      </w:r>
    </w:p>
    <w:p w14:paraId="254170B8"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الانشاء المشترك مع السجلات المفتوحة لتحسين تقديم الخدمات الرقمية</w:t>
      </w:r>
      <w:r w:rsidRPr="00202E2A">
        <w:rPr>
          <w:rFonts w:asciiTheme="majorBidi" w:hAnsiTheme="majorBidi" w:cstheme="majorBidi"/>
          <w:sz w:val="26"/>
          <w:szCs w:val="26"/>
          <w:lang w:bidi="ar-EG"/>
        </w:rPr>
        <w:t>.</w:t>
      </w:r>
    </w:p>
    <w:p w14:paraId="5A8E07B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Pr="00202E2A">
        <w:rPr>
          <w:rFonts w:asciiTheme="majorBidi" w:hAnsiTheme="majorBidi" w:cstheme="majorBidi"/>
          <w:sz w:val="26"/>
          <w:szCs w:val="26"/>
          <w:lang w:bidi="ar-EG"/>
        </w:rPr>
        <w:t>(</w:t>
      </w:r>
      <w:r w:rsidRPr="00202E2A">
        <w:rPr>
          <w:rFonts w:asciiTheme="majorBidi" w:hAnsiTheme="majorBidi" w:cstheme="majorBidi"/>
          <w:color w:val="000000" w:themeColor="text1"/>
          <w:sz w:val="26"/>
          <w:szCs w:val="26"/>
          <w:lang w:bidi="ar-EG"/>
        </w:rPr>
        <w:t xml:space="preserve">Dong, B. ,2023) </w:t>
      </w:r>
      <w:r w:rsidRPr="00202E2A">
        <w:rPr>
          <w:rFonts w:asciiTheme="majorBidi" w:hAnsiTheme="majorBidi" w:cstheme="majorBidi"/>
          <w:sz w:val="26"/>
          <w:szCs w:val="26"/>
          <w:rtl/>
          <w:lang w:bidi="ar-EG"/>
        </w:rPr>
        <w:t xml:space="preserve">  من الواضح أنه يتم استخدام هذا المصطلح بشكل كبير في القطاعات العامة للإشارة إلى المبادرات البسيطة كالخدمات على الانترنت وما شابه ذلك، حيث إنه لا يوجد إجماع على تعريف واحد محدد لمصطلح التحول الرقمي، وذلك لأن العديد من الباحثين يعدونها عملية تطورية للحكومة الإلكترونية، بينما يعتبرها البعض الآخر نقلة جذرية ونوعية لكافة الأعمال الحكومية، ولكن الشيء الوحيد الذي تم الاتفاق عليه هو أن هذا التحول يتم باستخدام التقنيات الرقمية لإحدى تغييرات في العمليات الإدارية الحكومية والتجارية.</w:t>
      </w:r>
    </w:p>
    <w:p w14:paraId="15CA5B7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أبعاد التحول الرقمي</w:t>
      </w:r>
    </w:p>
    <w:p w14:paraId="0F2373E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ويشير تقرير  </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xml:space="preserve">)  </w:t>
      </w:r>
      <w:r w:rsidRPr="00202E2A">
        <w:rPr>
          <w:rFonts w:asciiTheme="majorBidi" w:hAnsiTheme="majorBidi" w:cstheme="majorBidi"/>
          <w:color w:val="000000" w:themeColor="text1"/>
          <w:sz w:val="26"/>
          <w:szCs w:val="26"/>
          <w:rtl/>
          <w:lang w:bidi="ar-EG"/>
        </w:rPr>
        <w:t>إلي</w:t>
      </w:r>
      <w:r w:rsidRPr="00202E2A">
        <w:rPr>
          <w:rFonts w:asciiTheme="majorBidi" w:hAnsiTheme="majorBidi" w:cstheme="majorBidi"/>
          <w:sz w:val="26"/>
          <w:szCs w:val="26"/>
          <w:rtl/>
          <w:lang w:bidi="ar-EG"/>
        </w:rPr>
        <w:t xml:space="preserve"> أبعاد التحول الرقمي (</w:t>
      </w:r>
      <w:r w:rsidRPr="00202E2A">
        <w:rPr>
          <w:rFonts w:asciiTheme="majorBidi" w:hAnsiTheme="majorBidi" w:cstheme="majorBidi"/>
          <w:sz w:val="26"/>
          <w:szCs w:val="26"/>
          <w:lang w:bidi="ar-EG"/>
        </w:rPr>
        <w:t>Relational Database Management System</w:t>
      </w:r>
      <w:r w:rsidRPr="00202E2A">
        <w:rPr>
          <w:rFonts w:asciiTheme="majorBidi" w:hAnsiTheme="majorBidi" w:cstheme="majorBidi"/>
          <w:sz w:val="26"/>
          <w:szCs w:val="26"/>
          <w:rtl/>
          <w:lang w:bidi="ar-EG"/>
        </w:rPr>
        <w:t>) يتضمن التحول الرقمي تحويل نماذج الأعمال والكفاءات والنماذج التنظيمية والعمليات والممارسات التي تتطلب التزام جميع الموارد البشرية، لا سيما في العمليات بناءً على العديد من الأبحاث والدراسات العلمية، فإن مجموعة من أبعاد التحول الرقمي في المؤسسات تتمثل في ثلاثة أبعاد أساسية سيتم شرح هذه الأبعاد، تمثل أبعاد التحول الرقمي الأداة التي تمكن التحول الرقمي من بناء القدرات وإنشاء قيمة للخدمات والشركات، ويوجد ستة أبعاد رئيسية للتحول الرقمي، وهي</w:t>
      </w:r>
      <w:r w:rsidRPr="00202E2A">
        <w:rPr>
          <w:rFonts w:asciiTheme="majorBidi" w:hAnsiTheme="majorBidi" w:cstheme="majorBidi"/>
          <w:sz w:val="26"/>
          <w:szCs w:val="26"/>
          <w:lang w:bidi="ar-EG"/>
        </w:rPr>
        <w:t>:</w:t>
      </w:r>
    </w:p>
    <w:p w14:paraId="51589340"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الأول: الأسس الرقمية</w:t>
      </w:r>
    </w:p>
    <w:p w14:paraId="4E15D93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يُشكل بعد الأسس الرقمية العمود الفقري للتحول الرقمي، حيث يركز على بناء بنية تحتية تكنولوجية متينة، وأنظمة إدارة بيانات فعالة، وتطوير القدرات البشرية لدعم المبادرات الرقمية. لا يقتصر هذا البعد على اقتناء أحدث التقنيات، بل يهدف إلى إنشاء نظام بيئي رقمي يتماشى مع الأهداف الاستراتيجية للمؤسسة. وفقًا لـ</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تشمل الأسس الرقمية منصات الحوسبة السحابية، وأنظمة إدارة قواعد البيانات العلائقية</w:t>
      </w:r>
      <w:r w:rsidRPr="00202E2A">
        <w:rPr>
          <w:rFonts w:asciiTheme="majorBidi" w:hAnsiTheme="majorBidi" w:cstheme="majorBidi"/>
          <w:sz w:val="26"/>
          <w:szCs w:val="26"/>
          <w:lang w:bidi="ar-EG"/>
        </w:rPr>
        <w:t xml:space="preserve"> (RDBMS)</w:t>
      </w:r>
      <w:r w:rsidRPr="00202E2A">
        <w:rPr>
          <w:rFonts w:asciiTheme="majorBidi" w:hAnsiTheme="majorBidi" w:cstheme="majorBidi"/>
          <w:sz w:val="26"/>
          <w:szCs w:val="26"/>
          <w:rtl/>
          <w:lang w:bidi="ar-EG"/>
        </w:rPr>
        <w:t>، والبنى التحتية القابلة للتوسع التي تدعم العمليات التشغيلية بكفاءة</w:t>
      </w:r>
      <w:r w:rsidRPr="00202E2A">
        <w:rPr>
          <w:rFonts w:asciiTheme="majorBidi" w:hAnsiTheme="majorBidi" w:cstheme="majorBidi"/>
          <w:sz w:val="26"/>
          <w:szCs w:val="26"/>
          <w:lang w:bidi="ar-EG"/>
        </w:rPr>
        <w:t>.</w:t>
      </w:r>
    </w:p>
    <w:p w14:paraId="373ADA1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67CD664A"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البنية التحتية التكنولوجية:</w:t>
      </w:r>
      <w:r w:rsidRPr="00202E2A">
        <w:rPr>
          <w:rFonts w:asciiTheme="majorBidi" w:hAnsiTheme="majorBidi" w:cstheme="majorBidi"/>
          <w:sz w:val="26"/>
          <w:szCs w:val="26"/>
          <w:rtl/>
          <w:lang w:bidi="ar-EG"/>
        </w:rPr>
        <w:t xml:space="preserve"> تشمل الحوسبة السحابية، وإنترنت الأشياء</w:t>
      </w:r>
      <w:r w:rsidRPr="00202E2A">
        <w:rPr>
          <w:rFonts w:asciiTheme="majorBidi" w:hAnsiTheme="majorBidi" w:cstheme="majorBidi"/>
          <w:sz w:val="26"/>
          <w:szCs w:val="26"/>
          <w:lang w:bidi="ar-EG"/>
        </w:rPr>
        <w:t xml:space="preserve"> (IoT)</w:t>
      </w:r>
      <w:r w:rsidRPr="00202E2A">
        <w:rPr>
          <w:rFonts w:asciiTheme="majorBidi" w:hAnsiTheme="majorBidi" w:cstheme="majorBidi"/>
          <w:sz w:val="26"/>
          <w:szCs w:val="26"/>
          <w:rtl/>
          <w:lang w:bidi="ar-EG"/>
        </w:rPr>
        <w:t>، والذكاء الاصطناعي، التي تُمكّن المؤسسات من تحقيق المرونة والتكامل. على سبيل المثال، تتيح السحابة التوسع السريع، بينما يعزز الذكاء الاصطناعي تحليل البيانات</w:t>
      </w:r>
      <w:r w:rsidRPr="00202E2A">
        <w:rPr>
          <w:rFonts w:asciiTheme="majorBidi" w:hAnsiTheme="majorBidi" w:cstheme="majorBidi"/>
          <w:sz w:val="26"/>
          <w:szCs w:val="26"/>
          <w:lang w:bidi="ar-EG"/>
        </w:rPr>
        <w:t xml:space="preserve"> (Vial, 2019).</w:t>
      </w:r>
    </w:p>
    <w:p w14:paraId="4DDA1F17"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أنظمة إدارة البيانات:</w:t>
      </w:r>
      <w:r w:rsidRPr="00202E2A">
        <w:rPr>
          <w:rFonts w:asciiTheme="majorBidi" w:hAnsiTheme="majorBidi" w:cstheme="majorBidi"/>
          <w:sz w:val="26"/>
          <w:szCs w:val="26"/>
          <w:rtl/>
          <w:lang w:bidi="ar-EG"/>
        </w:rPr>
        <w:t xml:space="preserve"> تُعد حوكمة البيانات ضرورية لضمان جودة البيانات، وأمانها، وإمكانية الوصول إليها. أنظمة</w:t>
      </w:r>
      <w:r w:rsidRPr="00202E2A">
        <w:rPr>
          <w:rFonts w:asciiTheme="majorBidi" w:hAnsiTheme="majorBidi" w:cstheme="majorBidi"/>
          <w:sz w:val="26"/>
          <w:szCs w:val="26"/>
          <w:lang w:bidi="ar-EG"/>
        </w:rPr>
        <w:t xml:space="preserve"> RDBMS </w:t>
      </w:r>
      <w:r w:rsidRPr="00202E2A">
        <w:rPr>
          <w:rFonts w:asciiTheme="majorBidi" w:hAnsiTheme="majorBidi" w:cstheme="majorBidi"/>
          <w:sz w:val="26"/>
          <w:szCs w:val="26"/>
          <w:rtl/>
          <w:lang w:bidi="ar-EG"/>
        </w:rPr>
        <w:t>تُسهل تكامل البيانات عبر الإدارات، مما يدعم اتخاذ القرارات المستنيرة</w:t>
      </w:r>
      <w:r w:rsidRPr="00202E2A">
        <w:rPr>
          <w:rFonts w:asciiTheme="majorBidi" w:hAnsiTheme="majorBidi" w:cstheme="majorBidi"/>
          <w:sz w:val="26"/>
          <w:szCs w:val="26"/>
          <w:lang w:bidi="ar-EG"/>
        </w:rPr>
        <w:t xml:space="preserve"> (Muehlburger et al., 2019).</w:t>
      </w:r>
    </w:p>
    <w:p w14:paraId="43E79903"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القدرات البشرية:</w:t>
      </w:r>
      <w:r w:rsidRPr="00202E2A">
        <w:rPr>
          <w:rFonts w:asciiTheme="majorBidi" w:hAnsiTheme="majorBidi" w:cstheme="majorBidi"/>
          <w:sz w:val="26"/>
          <w:szCs w:val="26"/>
          <w:rtl/>
          <w:lang w:bidi="ar-EG"/>
        </w:rPr>
        <w:t xml:space="preserve"> تتطلب الأسس الرقمية قوة عاملة مدربة رقميًا. تُشير</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إلى أن القدرات الديناميكية تُمكّن المؤسسات من التكيف مع التغيرات التكنولوجية المتسارعة</w:t>
      </w:r>
      <w:r w:rsidRPr="00202E2A">
        <w:rPr>
          <w:rFonts w:asciiTheme="majorBidi" w:hAnsiTheme="majorBidi" w:cstheme="majorBidi"/>
          <w:sz w:val="26"/>
          <w:szCs w:val="26"/>
          <w:lang w:bidi="ar-EG"/>
        </w:rPr>
        <w:t>.</w:t>
      </w:r>
    </w:p>
    <w:p w14:paraId="26E5D1E5"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الأمن السيبراني:</w:t>
      </w:r>
      <w:r w:rsidRPr="00202E2A">
        <w:rPr>
          <w:rFonts w:asciiTheme="majorBidi" w:hAnsiTheme="majorBidi" w:cstheme="majorBidi"/>
          <w:sz w:val="26"/>
          <w:szCs w:val="26"/>
          <w:rtl/>
          <w:lang w:bidi="ar-EG"/>
        </w:rPr>
        <w:t xml:space="preserve"> تُعد أطر الحماية السيبرانية حجر الزاوية لحماية البيانات الحساسة، خاصة في القطاعات الحكومية التي تتعامل مع بيانات المواطنين</w:t>
      </w:r>
      <w:r w:rsidRPr="00202E2A">
        <w:rPr>
          <w:rFonts w:asciiTheme="majorBidi" w:hAnsiTheme="majorBidi" w:cstheme="majorBidi"/>
          <w:sz w:val="26"/>
          <w:szCs w:val="26"/>
          <w:lang w:bidi="ar-EG"/>
        </w:rPr>
        <w:t xml:space="preserve"> (Dong, 2023).</w:t>
      </w:r>
    </w:p>
    <w:p w14:paraId="59B214CF"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التكامل التقني:</w:t>
      </w:r>
      <w:r w:rsidRPr="00202E2A">
        <w:rPr>
          <w:rFonts w:asciiTheme="majorBidi" w:hAnsiTheme="majorBidi" w:cstheme="majorBidi"/>
          <w:sz w:val="26"/>
          <w:szCs w:val="26"/>
          <w:rtl/>
          <w:lang w:bidi="ar-EG"/>
        </w:rPr>
        <w:t xml:space="preserve"> يتطلب هذا البعد ضمان توافق الأنظمة القديمة مع التقنيات الحديثة لتحقيق الاستمرارية التشغيلية</w:t>
      </w:r>
      <w:r w:rsidRPr="00202E2A">
        <w:rPr>
          <w:rFonts w:asciiTheme="majorBidi" w:hAnsiTheme="majorBidi" w:cstheme="majorBidi"/>
          <w:sz w:val="26"/>
          <w:szCs w:val="26"/>
          <w:lang w:bidi="ar-EG"/>
        </w:rPr>
        <w:t>.</w:t>
      </w:r>
    </w:p>
    <w:p w14:paraId="1FD5222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4E8B89DB"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تُمكّن الأسس الرقمية المؤسسات من الانتقال إلى نموذج تشغيلي رقمي أولي، مما يقلل التكاليف، ويعزز الكفاءة، ويحسن تجربة المستخدم. على سبيل المثال، يمكن لمنصة سحابية موحدة أن تُحسّن إدارة البيانات في مؤسسة حكومية، مما يؤدي إلى تقديم خدمات أسرع وأكثر دقة. غياب هذه الأسس قد يؤدي إلى فشل المبادرات الرقمية نتيجة التشتت التقني أو نقص الكفاءات</w:t>
      </w:r>
      <w:r w:rsidRPr="00202E2A">
        <w:rPr>
          <w:rFonts w:asciiTheme="majorBidi" w:hAnsiTheme="majorBidi" w:cstheme="majorBidi"/>
          <w:sz w:val="26"/>
          <w:szCs w:val="26"/>
          <w:lang w:bidi="ar-EG"/>
        </w:rPr>
        <w:t>.</w:t>
      </w:r>
    </w:p>
    <w:p w14:paraId="5A347B0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2A60F85D"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تُظهر هيئة الزكاة والضريبة والجمارك نموذجًا رائدًا في بناء الأسس الرقمية، حيث طورت منصة رقمية شاملة تُسهل خدمات مثل التسجيل الضريبي، وتقديم الإقرارات، وسداد الضرائب، وإدارة التصريحات الجمركية. اعتمدت الهيئة على الحوسبة السحابية لضمان التكامل بين أنظمتها الضريبية والجمركية، مما عزز الشفافية والكفاءة. كما نفذت نظام الفوترة الإلكترونية (فاتورة) اعتبارًا من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والذي يعتمد على بنية تحتية رقمية قوية لإصدار وتخزين الفواتير بصيغة إلكترونية منظمة، مع التكامل مع أنظمة الهيئة في الوقت الفعلي بحلول يناير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هذه الجهود تتماشى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لتطوير بيئة أعمال تنافسية</w:t>
      </w:r>
      <w:r w:rsidRPr="00202E2A">
        <w:rPr>
          <w:rFonts w:asciiTheme="majorBidi" w:hAnsiTheme="majorBidi" w:cstheme="majorBidi"/>
          <w:sz w:val="26"/>
          <w:szCs w:val="26"/>
          <w:lang w:bidi="ar-EG"/>
        </w:rPr>
        <w:t>.</w:t>
      </w:r>
    </w:p>
    <w:p w14:paraId="6524D76F"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51699A62"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تُعد الأسس الرقمية التي طورتها هيئة الزكاة والضريبة والجمارك نموذجًا يُحتذى به في القطاع الحكومي، حيث نجحت الهيئة في بناء بنية تحتية رقمية متكاملة تدعم خدماتها المتنوعة. ومع ذلك، يرى الباحث أن التحديات تكمن في استدامة هذه البنية في ظل التطورات التكنولوجية المتسارعة، خاصة مع الحاجة إلى تحديث الأنظمة القديمة ومواجهة التهديدات السيبرانية المتزايدة. تجربة الهيئة تُبرز أهمية الاستثمار في التدريب المستمر للموظفين لضمان مواكبة التقنيات الناشئة، مثل الذكاء الاصطناعي والبلوك تشين، التي يمكن أن تعزز كفاءة إدارة البيانات الضريبية والجمركية. علاوة على ذلك، يُوصي الباحث بتعزيز التعاون مع القطاع الخاص لتطوير حلول تقنية مبتكرة تُلبي الاحتياجات المتغيرة للمكلفين، مما يعزز مكانة الهيئة كمركز لوجستي عالمي</w:t>
      </w:r>
      <w:r w:rsidRPr="00202E2A">
        <w:rPr>
          <w:rFonts w:asciiTheme="majorBidi" w:hAnsiTheme="majorBidi" w:cstheme="majorBidi"/>
          <w:sz w:val="26"/>
          <w:szCs w:val="26"/>
          <w:lang w:bidi="ar-EG"/>
        </w:rPr>
        <w:t>.</w:t>
      </w:r>
    </w:p>
    <w:p w14:paraId="5680082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الثاني: الابتكار الرقمي</w:t>
      </w:r>
    </w:p>
    <w:p w14:paraId="08C5782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يركز بعد الابتكار الرقمي على استغلال التكنولوجيا لخلق حلول جديدة، سواء كانت منتجات، أو خدمات، أو نماذج أعمال، تُحدث تغييرًا جذريًا في الأسواق وتُولد قيمة مضافة. يعتمد هذا البعد على الإبداع، والتجريب، والتصميم المرتكز على المستخدم، وهو ما يتماشى مع تأكيد</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على أن مشاركة المستخدمين في تصميم الخدمات تُعزز شرعيتها وقبولها. يمتد الابتكار الرقمي ليشمل إعادة تصور تجارب العملاء وتحسين العمليات التشغيلية</w:t>
      </w:r>
      <w:r w:rsidRPr="00202E2A">
        <w:rPr>
          <w:rFonts w:asciiTheme="majorBidi" w:hAnsiTheme="majorBidi" w:cstheme="majorBidi"/>
          <w:sz w:val="26"/>
          <w:szCs w:val="26"/>
          <w:lang w:bidi="ar-EG"/>
        </w:rPr>
        <w:t>.</w:t>
      </w:r>
    </w:p>
    <w:p w14:paraId="1A9ECADB"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58D8FBDD"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التصميم المرتكز على المستخدم:</w:t>
      </w:r>
      <w:r w:rsidRPr="00202E2A">
        <w:rPr>
          <w:rFonts w:asciiTheme="majorBidi" w:hAnsiTheme="majorBidi" w:cstheme="majorBidi"/>
          <w:sz w:val="26"/>
          <w:szCs w:val="26"/>
          <w:rtl/>
          <w:lang w:bidi="ar-EG"/>
        </w:rPr>
        <w:t xml:space="preserve"> إشراك أصحاب المصلحة في تصميم الخدمات يضمن ملاءمتها لاحتياجاتهم. على سبيل المثال، تُسهم تعليقات المستخدمين في تحسين واجهات المنصات الرقمية</w:t>
      </w:r>
      <w:r w:rsidRPr="00202E2A">
        <w:rPr>
          <w:rFonts w:asciiTheme="majorBidi" w:hAnsiTheme="majorBidi" w:cstheme="majorBidi"/>
          <w:sz w:val="26"/>
          <w:szCs w:val="26"/>
          <w:lang w:bidi="ar-EG"/>
        </w:rPr>
        <w:t xml:space="preserve"> (Megrel et al., 2018).</w:t>
      </w:r>
    </w:p>
    <w:p w14:paraId="174331FE"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التقنيات الناشئة:</w:t>
      </w:r>
      <w:r w:rsidRPr="00202E2A">
        <w:rPr>
          <w:rFonts w:asciiTheme="majorBidi" w:hAnsiTheme="majorBidi" w:cstheme="majorBidi"/>
          <w:sz w:val="26"/>
          <w:szCs w:val="26"/>
          <w:rtl/>
          <w:lang w:bidi="ar-EG"/>
        </w:rPr>
        <w:t xml:space="preserve"> تُمكّن تقنيات مثل البلوك تشين، والواقع المعزز، والتعلم الآلي من تطوير حلول مبتكرة. على سبيل المثال، يمكن للبلوك تشين تعزيز الشفافية في المعاملات الجمركية</w:t>
      </w:r>
      <w:r w:rsidRPr="00202E2A">
        <w:rPr>
          <w:rFonts w:asciiTheme="majorBidi" w:hAnsiTheme="majorBidi" w:cstheme="majorBidi"/>
          <w:sz w:val="26"/>
          <w:szCs w:val="26"/>
          <w:lang w:bidi="ar-EG"/>
        </w:rPr>
        <w:t xml:space="preserve"> (Vial, 2019).</w:t>
      </w:r>
    </w:p>
    <w:p w14:paraId="07E1958C"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المنهجيات الرشيقة:</w:t>
      </w:r>
      <w:r w:rsidRPr="00202E2A">
        <w:rPr>
          <w:rFonts w:asciiTheme="majorBidi" w:hAnsiTheme="majorBidi" w:cstheme="majorBidi"/>
          <w:sz w:val="26"/>
          <w:szCs w:val="26"/>
          <w:rtl/>
          <w:lang w:bidi="ar-EG"/>
        </w:rPr>
        <w:t xml:space="preserve"> تُعزز الأطر الرشيقة التطوير التكراري، مما يسمح باختبار الابتكارات وتحسينها بسرعة</w:t>
      </w:r>
      <w:r w:rsidRPr="00202E2A">
        <w:rPr>
          <w:rFonts w:asciiTheme="majorBidi" w:hAnsiTheme="majorBidi" w:cstheme="majorBidi"/>
          <w:sz w:val="26"/>
          <w:szCs w:val="26"/>
          <w:lang w:bidi="ar-EG"/>
        </w:rPr>
        <w:t xml:space="preserve"> (McKinsey &amp; Company, 2022).</w:t>
      </w:r>
    </w:p>
    <w:p w14:paraId="7432DF24"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الابتكار المفتوح:</w:t>
      </w:r>
      <w:r w:rsidRPr="00202E2A">
        <w:rPr>
          <w:rFonts w:asciiTheme="majorBidi" w:hAnsiTheme="majorBidi" w:cstheme="majorBidi"/>
          <w:sz w:val="26"/>
          <w:szCs w:val="26"/>
          <w:rtl/>
          <w:lang w:bidi="ar-EG"/>
        </w:rPr>
        <w:t xml:space="preserve"> يُسرّع التعاون مع الشركاء الخارجيين، مثل الشركات الناشئة، تبني الحلول الجديدة. تُعزز السجلات المفتوحة تقديم الخدمات من خلال الإبداع المشترك</w:t>
      </w:r>
      <w:r w:rsidRPr="00202E2A">
        <w:rPr>
          <w:rFonts w:asciiTheme="majorBidi" w:hAnsiTheme="majorBidi" w:cstheme="majorBidi"/>
          <w:sz w:val="26"/>
          <w:szCs w:val="26"/>
          <w:lang w:bidi="ar-EG"/>
        </w:rPr>
        <w:t xml:space="preserve"> (Megrel et al., 2018).</w:t>
      </w:r>
    </w:p>
    <w:p w14:paraId="5EA76CA0"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التجريب المستمر:</w:t>
      </w:r>
      <w:r w:rsidRPr="00202E2A">
        <w:rPr>
          <w:rFonts w:asciiTheme="majorBidi" w:hAnsiTheme="majorBidi" w:cstheme="majorBidi"/>
          <w:sz w:val="26"/>
          <w:szCs w:val="26"/>
          <w:rtl/>
          <w:lang w:bidi="ar-EG"/>
        </w:rPr>
        <w:t xml:space="preserve"> يتطلب هذا البعد ثقافة تجريبية تُشجع على اختبار الأفكار الجديدة وتحمل المخاطر</w:t>
      </w:r>
      <w:r w:rsidRPr="00202E2A">
        <w:rPr>
          <w:rFonts w:asciiTheme="majorBidi" w:hAnsiTheme="majorBidi" w:cstheme="majorBidi"/>
          <w:sz w:val="26"/>
          <w:szCs w:val="26"/>
          <w:lang w:bidi="ar-EG"/>
        </w:rPr>
        <w:t>.</w:t>
      </w:r>
    </w:p>
    <w:p w14:paraId="57FF1C6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70F172EE"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يُعد الابتكار الرقمي محركًا للتميز التنافسي، حيث يُمكّن المؤسسات من إعادة تعريف معايير القطاع. على سبيل المثال، يمكن لمنصة رقمية مبتكرة أن تُحسّن تجربة المستخدم من خلال تقديم خدمات مخصصة. عدم التركيز على الابتكار قد يؤدي إلى التخلف عن المنافسين في بيئة رقمية ديناميكية</w:t>
      </w:r>
      <w:r w:rsidRPr="00202E2A">
        <w:rPr>
          <w:rFonts w:asciiTheme="majorBidi" w:hAnsiTheme="majorBidi" w:cstheme="majorBidi"/>
          <w:sz w:val="26"/>
          <w:szCs w:val="26"/>
          <w:lang w:bidi="ar-EG"/>
        </w:rPr>
        <w:t>.</w:t>
      </w:r>
    </w:p>
    <w:p w14:paraId="79D31AA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2B2852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تُبرز هيئة الزكاة والضريبة والجمارك التزامًا قويًا بالابتكار الرقمي من خلال مبادرات مثل نظام الفوترة الإلكترونية، الذي أصبح إلزاميًا في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هذا النظام، الذي يتطلب إصدار الفواتير بصيغة إلكترونية منظمة، يُسهل الامتثال الضريبي ويُعزز الشفافية. كما طورت الهيئة منصة "فاتورة" التي تتكامل مع أنظمة دافعي الضرائب لنقل البيانات في الوقت الفعلي، مما يُظهر استخدامًا مبتكرًا للتقنيات السحابية. بالإضافة إلى ذلك، تشمل منصة الهيئة أقسامًا مخصصة للفوترة الإلكترونية، والتعريفات الجمركية، والمركز المعرفي، مما يعكس تصميمًا مرتكزًا على المستخدم. حصول الهيئة على نسبة </w:t>
      </w:r>
      <w:r w:rsidRPr="00202E2A">
        <w:rPr>
          <w:rFonts w:asciiTheme="majorBidi" w:hAnsiTheme="majorBidi" w:cstheme="majorBidi"/>
          <w:sz w:val="26"/>
          <w:szCs w:val="26"/>
          <w:lang w:bidi="ar-EG"/>
        </w:rPr>
        <w:t>90.5</w:t>
      </w:r>
      <w:r w:rsidRPr="00202E2A">
        <w:rPr>
          <w:rFonts w:asciiTheme="majorBidi" w:hAnsiTheme="majorBidi" w:cstheme="majorBidi"/>
          <w:sz w:val="26"/>
          <w:szCs w:val="26"/>
          <w:rtl/>
          <w:lang w:bidi="ar-EG"/>
        </w:rPr>
        <w:t xml:space="preserve">% في مؤشر نضج التجربة الرقمية لعام </w:t>
      </w:r>
      <w:r w:rsidRPr="00202E2A">
        <w:rPr>
          <w:rFonts w:asciiTheme="majorBidi" w:hAnsiTheme="majorBidi" w:cstheme="majorBidi"/>
          <w:sz w:val="26"/>
          <w:szCs w:val="26"/>
          <w:lang w:bidi="ar-EG"/>
        </w:rPr>
        <w:t>2024</w:t>
      </w:r>
      <w:r w:rsidRPr="00202E2A">
        <w:rPr>
          <w:rFonts w:asciiTheme="majorBidi" w:hAnsiTheme="majorBidi" w:cstheme="majorBidi"/>
          <w:sz w:val="26"/>
          <w:szCs w:val="26"/>
          <w:rtl/>
          <w:lang w:bidi="ar-EG"/>
        </w:rPr>
        <w:t xml:space="preserve"> يُبرز نجاحها في تقديم خدمات مبتكرة تُلبي توقعات المستفيدين</w:t>
      </w:r>
      <w:r w:rsidRPr="00202E2A">
        <w:rPr>
          <w:rFonts w:asciiTheme="majorBidi" w:hAnsiTheme="majorBidi" w:cstheme="majorBidi"/>
          <w:sz w:val="26"/>
          <w:szCs w:val="26"/>
          <w:lang w:bidi="ar-EG"/>
        </w:rPr>
        <w:t>.</w:t>
      </w:r>
    </w:p>
    <w:p w14:paraId="05AB3F8E"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15B1CCE8" w14:textId="15E201D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تُظهر هيئة الزكاة والضريبة والجمارك تفوقًا ملحوظًا في الابتكار الرقمي، خاصة من خلال مبادرة الفوترة الإلكترونية التي أحدثت نقلة نوعية في الامتثال الضريبي. من وجهة نظر الباحث، تكمن قوة الهيئة في قدرتها على إشراك المكلفين في تصميم الخدمات، كما يتضح من مركزها المعرفي الذي يوفر موارد تعليمية شاملة. ومع ذلك، يواجه هذا البعد تحديات تتعلق بضرورة مواكبة التوقعات المتزايدة للمستخدمين وتطوير حلول مبتكرة تتجاوز الأطر التقليدية. يُوصي الباحث باستكشاف تقنيات مثل الذكاء الاصطناعي لتحليل سلوك المكلفين وتقديم خدمات مخصصة، وبناء شراكات مع الشركات الناشئة لتطوير تطبيقات مبتكرة تُعزز تجربة المستخدم. هذه الخطوات ستُعزز مكانة الهيئة كرائدة في التحول الرقمي، مما يدعم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ممارسة الأعمال</w:t>
      </w:r>
      <w:r w:rsidRPr="00202E2A">
        <w:rPr>
          <w:rFonts w:asciiTheme="majorBidi" w:hAnsiTheme="majorBidi" w:cstheme="majorBidi"/>
          <w:sz w:val="26"/>
          <w:szCs w:val="26"/>
          <w:lang w:bidi="ar-EG"/>
        </w:rPr>
        <w:t>.</w:t>
      </w:r>
    </w:p>
    <w:p w14:paraId="610E9B1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الثالث: الحوكمة الرقمية</w:t>
      </w:r>
    </w:p>
    <w:p w14:paraId="0860FE7A"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يضمن بعد الحوكمة الرقمية توافق المبادرات الرقمية مع الأهداف الاستراتيجية، والمتطلبات التنظيمية، والمعايير الأخلاقية. يتضمن هذا البعد إنشاء سياسات، وأطر عمل، وهياكل قيادية لتوجيه التحول الرقمي. يُؤكد</w:t>
      </w:r>
      <w:r w:rsidRPr="00202E2A">
        <w:rPr>
          <w:rFonts w:asciiTheme="majorBidi" w:hAnsiTheme="majorBidi" w:cstheme="majorBidi"/>
          <w:sz w:val="26"/>
          <w:szCs w:val="26"/>
          <w:lang w:bidi="ar-EG"/>
        </w:rPr>
        <w:t xml:space="preserve"> (Dong, 2023) </w:t>
      </w:r>
      <w:r w:rsidRPr="00202E2A">
        <w:rPr>
          <w:rFonts w:asciiTheme="majorBidi" w:hAnsiTheme="majorBidi" w:cstheme="majorBidi"/>
          <w:sz w:val="26"/>
          <w:szCs w:val="26"/>
          <w:rtl/>
          <w:lang w:bidi="ar-EG"/>
        </w:rPr>
        <w:t>على أهمية الحوكمة في القطاع العام، حيث تُعد المساءلة والشفافية ركائز أساسية لكسب ثقة أصحاب المصلحة</w:t>
      </w:r>
      <w:r w:rsidRPr="00202E2A">
        <w:rPr>
          <w:rFonts w:asciiTheme="majorBidi" w:hAnsiTheme="majorBidi" w:cstheme="majorBidi"/>
          <w:sz w:val="26"/>
          <w:szCs w:val="26"/>
          <w:lang w:bidi="ar-EG"/>
        </w:rPr>
        <w:t>.</w:t>
      </w:r>
    </w:p>
    <w:p w14:paraId="0C0F537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4302624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التوافق الاستراتيجي:</w:t>
      </w:r>
      <w:r w:rsidRPr="00202E2A">
        <w:rPr>
          <w:rFonts w:asciiTheme="majorBidi" w:hAnsiTheme="majorBidi" w:cstheme="majorBidi"/>
          <w:sz w:val="26"/>
          <w:szCs w:val="26"/>
          <w:rtl/>
          <w:lang w:bidi="ar-EG"/>
        </w:rPr>
        <w:t xml:space="preserve"> يجب أن تُدعم المبادرات الرقمية الأهداف طويلة الأجل للمؤسسة. تُسهم أطر الحوكمة في توجيه الاستثمارات التكنولوجية نحو تحقيق الرؤية الاستراتيجية</w:t>
      </w:r>
      <w:r w:rsidRPr="00202E2A">
        <w:rPr>
          <w:rFonts w:asciiTheme="majorBidi" w:hAnsiTheme="majorBidi" w:cstheme="majorBidi"/>
          <w:sz w:val="26"/>
          <w:szCs w:val="26"/>
          <w:lang w:bidi="ar-EG"/>
        </w:rPr>
        <w:t xml:space="preserve"> (McKinsey &amp; Company, 2022).</w:t>
      </w:r>
    </w:p>
    <w:p w14:paraId="4D80703E"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الامتثال التنظيمي:</w:t>
      </w:r>
      <w:r w:rsidRPr="00202E2A">
        <w:rPr>
          <w:rFonts w:asciiTheme="majorBidi" w:hAnsiTheme="majorBidi" w:cstheme="majorBidi"/>
          <w:sz w:val="26"/>
          <w:szCs w:val="26"/>
          <w:rtl/>
          <w:lang w:bidi="ar-EG"/>
        </w:rPr>
        <w:t xml:space="preserve"> الالتزام بلوائح حماية البيانات، مثل اللائحة العامة لحماية البيانات</w:t>
      </w:r>
      <w:r w:rsidRPr="00202E2A">
        <w:rPr>
          <w:rFonts w:asciiTheme="majorBidi" w:hAnsiTheme="majorBidi" w:cstheme="majorBidi"/>
          <w:sz w:val="26"/>
          <w:szCs w:val="26"/>
          <w:lang w:bidi="ar-EG"/>
        </w:rPr>
        <w:t xml:space="preserve"> (GDPR) </w:t>
      </w:r>
      <w:r w:rsidRPr="00202E2A">
        <w:rPr>
          <w:rFonts w:asciiTheme="majorBidi" w:hAnsiTheme="majorBidi" w:cstheme="majorBidi"/>
          <w:sz w:val="26"/>
          <w:szCs w:val="26"/>
          <w:rtl/>
          <w:lang w:bidi="ar-EG"/>
        </w:rPr>
        <w:t>أو نظيرتها السعودية، يُقلل من المخاطر القانونية</w:t>
      </w:r>
      <w:r w:rsidRPr="00202E2A">
        <w:rPr>
          <w:rFonts w:asciiTheme="majorBidi" w:hAnsiTheme="majorBidi" w:cstheme="majorBidi"/>
          <w:sz w:val="26"/>
          <w:szCs w:val="26"/>
          <w:lang w:bidi="ar-EG"/>
        </w:rPr>
        <w:t xml:space="preserve"> (Vial, 2019).</w:t>
      </w:r>
    </w:p>
    <w:p w14:paraId="535ED470"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القيادة التحويلية:</w:t>
      </w:r>
      <w:r w:rsidRPr="00202E2A">
        <w:rPr>
          <w:rFonts w:asciiTheme="majorBidi" w:hAnsiTheme="majorBidi" w:cstheme="majorBidi"/>
          <w:sz w:val="26"/>
          <w:szCs w:val="26"/>
          <w:rtl/>
          <w:lang w:bidi="ar-EG"/>
        </w:rPr>
        <w:t xml:space="preserve"> تُعزز القيادة ثقافة رقمية تُشجع على الابتكار والمساءلة، مع التخفيف من مقاومة التغيير</w:t>
      </w:r>
      <w:r w:rsidRPr="00202E2A">
        <w:rPr>
          <w:rFonts w:asciiTheme="majorBidi" w:hAnsiTheme="majorBidi" w:cstheme="majorBidi"/>
          <w:sz w:val="26"/>
          <w:szCs w:val="26"/>
          <w:lang w:bidi="ar-EG"/>
        </w:rPr>
        <w:t xml:space="preserve"> (Muehlburger et al., 2019).</w:t>
      </w:r>
    </w:p>
    <w:p w14:paraId="7808A55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مؤشرات الأداء:</w:t>
      </w:r>
      <w:r w:rsidRPr="00202E2A">
        <w:rPr>
          <w:rFonts w:asciiTheme="majorBidi" w:hAnsiTheme="majorBidi" w:cstheme="majorBidi"/>
          <w:sz w:val="26"/>
          <w:szCs w:val="26"/>
          <w:rtl/>
          <w:lang w:bidi="ar-EG"/>
        </w:rPr>
        <w:t xml:space="preserve"> تُمكّن مؤشرات الأداء الرئيسية</w:t>
      </w:r>
      <w:r w:rsidRPr="00202E2A">
        <w:rPr>
          <w:rFonts w:asciiTheme="majorBidi" w:hAnsiTheme="majorBidi" w:cstheme="majorBidi"/>
          <w:sz w:val="26"/>
          <w:szCs w:val="26"/>
          <w:lang w:bidi="ar-EG"/>
        </w:rPr>
        <w:t xml:space="preserve"> (KPIs) </w:t>
      </w:r>
      <w:r w:rsidRPr="00202E2A">
        <w:rPr>
          <w:rFonts w:asciiTheme="majorBidi" w:hAnsiTheme="majorBidi" w:cstheme="majorBidi"/>
          <w:sz w:val="26"/>
          <w:szCs w:val="26"/>
          <w:rtl/>
          <w:lang w:bidi="ar-EG"/>
        </w:rPr>
        <w:t>المؤسسات من قياس نجاح المبادرات الرقمية، مثل معدلات تبني الخدمات أو تقليل التكاليف</w:t>
      </w:r>
      <w:r w:rsidRPr="00202E2A">
        <w:rPr>
          <w:rFonts w:asciiTheme="majorBidi" w:hAnsiTheme="majorBidi" w:cstheme="majorBidi"/>
          <w:sz w:val="26"/>
          <w:szCs w:val="26"/>
          <w:lang w:bidi="ar-EG"/>
        </w:rPr>
        <w:t xml:space="preserve"> (Dong, 2023).</w:t>
      </w:r>
    </w:p>
    <w:p w14:paraId="7EBB5CC8"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إدارة المخاطر:</w:t>
      </w:r>
      <w:r w:rsidRPr="00202E2A">
        <w:rPr>
          <w:rFonts w:asciiTheme="majorBidi" w:hAnsiTheme="majorBidi" w:cstheme="majorBidi"/>
          <w:sz w:val="26"/>
          <w:szCs w:val="26"/>
          <w:rtl/>
          <w:lang w:bidi="ar-EG"/>
        </w:rPr>
        <w:t xml:space="preserve"> تتطلب الحوكمة أطرًا لتحديد المخاطر التقنية والتنظيمية ومعالجتها بشكل استباقي</w:t>
      </w:r>
      <w:r w:rsidRPr="00202E2A">
        <w:rPr>
          <w:rFonts w:asciiTheme="majorBidi" w:hAnsiTheme="majorBidi" w:cstheme="majorBidi"/>
          <w:sz w:val="26"/>
          <w:szCs w:val="26"/>
          <w:lang w:bidi="ar-EG"/>
        </w:rPr>
        <w:t>.</w:t>
      </w:r>
    </w:p>
    <w:p w14:paraId="74E359C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50F7B0CF"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تُسهم الحوكمة الرقمية في استدامة التحول الرقمي من خلال ضمان التوافق، وتقليل المخاطر، وبناء الثقة. في القطاع العام، تُعد الحوكمة ضرورية لضمان إتاحة الخدمات الرقمية بشكل عادل وشفاف، مما يعزز رضا المستفيدين</w:t>
      </w:r>
      <w:r w:rsidRPr="00202E2A">
        <w:rPr>
          <w:rFonts w:asciiTheme="majorBidi" w:hAnsiTheme="majorBidi" w:cstheme="majorBidi"/>
          <w:sz w:val="26"/>
          <w:szCs w:val="26"/>
          <w:lang w:bidi="ar-EG"/>
        </w:rPr>
        <w:t>.</w:t>
      </w:r>
    </w:p>
    <w:p w14:paraId="4946D1B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CE8FFA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تُظهر هيئة الزكاة والضريبة والجمارك نموذجًا متميزًا للحوكمة الرقمية، حيث طورت أطرًا تنظيمية صارمة لضمان الامتثال للوائح الفوترة الإلكترونية، مع فرض عقوبات على عدم الامتثال بعد فترة السماح</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المعمول بها، كما أنشأت الهيئة قنوات دعم متعددة للاستفسارات والشكاوى، مما يعكس التزامها بالشفافية ورضا المستفيدين. حصول الهيئة على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يُبرز فعالية حوكمتها الرقمية، حيث تتماشى مبادراتها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لتعزيز بيئة الأعمال. بالإضافة إلى ذلك، يُظهر دمج الهيئة العامة للزكاة والدخل مع الهيئة العامة للجمارك في 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تحت مظلة هيئة واحدة التزامًا بالتوافق الاستراتيجي، مما سهل تكامل العمليات الرقمية</w:t>
      </w:r>
      <w:r w:rsidRPr="00202E2A">
        <w:rPr>
          <w:rFonts w:asciiTheme="majorBidi" w:hAnsiTheme="majorBidi" w:cstheme="majorBidi"/>
          <w:sz w:val="26"/>
          <w:szCs w:val="26"/>
          <w:lang w:bidi="ar-EG"/>
        </w:rPr>
        <w:t>.</w:t>
      </w:r>
    </w:p>
    <w:p w14:paraId="51A461C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2A485E1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الحوكمة الرقمية في هيئة الزكاة والضريبة والجمارك مثالًا رائدًا لكيفية ضمان التوافق الاستراتيجي والشفافية في القطاع الحكومي. من وجهة نظر الباحث، نجحت الهيئة في بناء ثقة المكلفين من خلال أطر تنظيمية واضحة، مثل لوائح الفوترة الإلكترونية، وقنوات دعم فعالة. ومع ذلك، تظل التحديات قائمة في موازنة بين الضوابط الصارمة والمرونة اللازمة لتبني تقنيات جديدة. يُوصي الباحث بتطوير أطر حوكمة ديناميكية تُتيح التكيف مع التطورات التكنولوجية، مثل البلوك تشين لتعزيز أمن المعاملات، مع تعزيز مشاركة أصحاب المصلحة في صياغة السياسات. هذه الخطوات ستُعزز قدرة الهيئة على تحقيق أهداف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خاصة في تحويل المملكة إلى مركز لوجستي عالمي</w:t>
      </w:r>
      <w:r w:rsidRPr="00202E2A">
        <w:rPr>
          <w:rFonts w:asciiTheme="majorBidi" w:hAnsiTheme="majorBidi" w:cstheme="majorBidi"/>
          <w:sz w:val="26"/>
          <w:szCs w:val="26"/>
          <w:lang w:bidi="ar-EG"/>
        </w:rPr>
        <w:t>.</w:t>
      </w:r>
    </w:p>
    <w:p w14:paraId="354EA52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 النهاية، تُشكل الأبعاد الثلاثة للتحول الرقمي: الأسس الرقمية، والابتكار الرقمي، والحوكمة الرقمية، إطارًا متكاملًا يُمكّن المؤسسات من تحقيق التميز في بيئة رقمية ديناميكية. تُظهر هيئة الزكاة والضريبة والجمارك تفوقًا ملحوظًا في تطبيق هذه الأبعاد، حيث ساهمت بنيتها التحتية الرقمية القوية، ومبادراتها المبتكرة مثل الفوترة الإلكترونية، وأطر حوكمتها الفعالة في تحقيق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تُبرز هذه التجربة أهمية التكامل بين الأبعاد لتحقيق أهداف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مع ضرورة التركيز على استدامة التحول من خلال التدريب المستمر، والابتكار المفتوح، وأطر الحوكمة الديناميكية. ينبغي للأبحاث المستقبلية استكشاف كيفية تعزيز هذه الأبعاد لمواجهة التحديات الناشئة، مثل التهديدات السيبرانية والتوقعات المتغيرة للمستفيدين.</w:t>
      </w:r>
    </w:p>
    <w:p w14:paraId="252261E5" w14:textId="4B92BD8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b/>
          <w:bCs/>
          <w:sz w:val="26"/>
          <w:szCs w:val="26"/>
          <w:u w:val="single"/>
          <w:rtl/>
          <w:lang w:bidi="ar-EG"/>
        </w:rPr>
        <w:t>ثانياً: مفهوم وأبعاد ت</w:t>
      </w:r>
      <w:r w:rsidR="00AB6E1A"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p>
    <w:p w14:paraId="331265C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تشكل إدارة التجارة</w:t>
      </w:r>
      <w:r w:rsidRPr="00202E2A">
        <w:rPr>
          <w:rFonts w:asciiTheme="majorBidi" w:hAnsiTheme="majorBidi" w:cstheme="majorBidi"/>
          <w:sz w:val="26"/>
          <w:szCs w:val="26"/>
          <w:lang w:bidi="ar-EG"/>
        </w:rPr>
        <w:t xml:space="preserve"> (Trade Management) </w:t>
      </w:r>
      <w:r w:rsidRPr="00202E2A">
        <w:rPr>
          <w:rFonts w:asciiTheme="majorBidi" w:hAnsiTheme="majorBidi" w:cstheme="majorBidi"/>
          <w:sz w:val="26"/>
          <w:szCs w:val="26"/>
          <w:rtl/>
          <w:lang w:bidi="ar-EG"/>
        </w:rPr>
        <w:t>حجر الزاوية في الاقتصاد العالمي الحديث، حيث تُعنى بتنظيم وتنسيق العمليات التجارية لتحقيق الكفاءة والاستدامة. تشمل هذه الإدارة جوانب متعددة تتراوح بين التخطيط الاستراتيجي والتنفيذ التشغيلي، مرورًا بالامتثال القانوني وإدارة المخاطر. فيما يلي تحليل مُفصل لأبعادها الرئيسية</w:t>
      </w:r>
      <w:r w:rsidRPr="00202E2A">
        <w:rPr>
          <w:rFonts w:asciiTheme="majorBidi" w:hAnsiTheme="majorBidi" w:cstheme="majorBidi"/>
          <w:sz w:val="26"/>
          <w:szCs w:val="26"/>
          <w:lang w:bidi="ar-EG"/>
        </w:rPr>
        <w:t>:</w:t>
      </w:r>
    </w:p>
    <w:p w14:paraId="63D79075" w14:textId="237FA759" w:rsidR="003804AC" w:rsidRPr="00202E2A" w:rsidRDefault="003804AC" w:rsidP="0019590B">
      <w:pPr>
        <w:tabs>
          <w:tab w:val="left" w:pos="1755"/>
        </w:tabs>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المفهوم العام لإدارة أبعاد لت</w:t>
      </w:r>
      <w:r w:rsidR="00990B56"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 هي عملية تخطيط وتنفيذ ومراقبة الأنشطة التجارية لتحقيق أهداف اقتصادية واستراتيجية، مع مراعاة التوازن بين المصالح المحلية والدولية، الأهداف هي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تعزيز النمو الاقتصادي، ضمان المنافسة العادلة، تحسين جودة المنتجات والخدمات، تعزيز العلاقات الدولية</w:t>
      </w:r>
      <w:r w:rsidRPr="00202E2A">
        <w:rPr>
          <w:rFonts w:asciiTheme="majorBidi" w:hAnsiTheme="majorBidi" w:cstheme="majorBidi"/>
          <w:sz w:val="26"/>
          <w:szCs w:val="26"/>
          <w:lang w:bidi="ar-EG"/>
        </w:rPr>
        <w:t>.</w:t>
      </w:r>
    </w:p>
    <w:p w14:paraId="5FCDBA6F" w14:textId="56EC0D92" w:rsidR="003804AC" w:rsidRPr="00202E2A" w:rsidRDefault="003804AC" w:rsidP="0019590B">
      <w:pPr>
        <w:bidi/>
        <w:spacing w:line="276" w:lineRule="auto"/>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الأبعاد الرئيسية لإدارة ت</w:t>
      </w:r>
      <w:r w:rsidR="00FD4882"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r w:rsidRPr="00202E2A">
        <w:rPr>
          <w:rFonts w:asciiTheme="majorBidi" w:hAnsiTheme="majorBidi" w:cstheme="majorBidi"/>
          <w:b/>
          <w:bCs/>
          <w:sz w:val="26"/>
          <w:szCs w:val="26"/>
          <w:u w:val="single"/>
          <w:lang w:bidi="ar-EG"/>
        </w:rPr>
        <w:t>:</w:t>
      </w:r>
    </w:p>
    <w:p w14:paraId="72761DA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تتعرَّض إدارة التجارة العالمية اليوم لتحديات جسيمة تفرضها تحوُّلات العصر، حيث تُهدد الجوائح الصحية -كجائحة كوفيد-</w:t>
      </w:r>
      <w:r w:rsidRPr="00202E2A">
        <w:rPr>
          <w:rFonts w:asciiTheme="majorBidi" w:hAnsiTheme="majorBidi" w:cstheme="majorBidi"/>
          <w:sz w:val="26"/>
          <w:szCs w:val="26"/>
          <w:lang w:bidi="ar-EG"/>
        </w:rPr>
        <w:t>19</w:t>
      </w:r>
      <w:r w:rsidRPr="00202E2A">
        <w:rPr>
          <w:rFonts w:asciiTheme="majorBidi" w:hAnsiTheme="majorBidi" w:cstheme="majorBidi"/>
          <w:sz w:val="26"/>
          <w:szCs w:val="26"/>
          <w:rtl/>
          <w:lang w:bidi="ar-EG"/>
        </w:rPr>
        <w:t xml:space="preserve">- باستقرار الأسواق عبر تعطيل سلاسل التوريد العالمية، في حين تُفاقم الاضطرابات الجيوسياسية والنزاعات المسلحة -كمؤثرات مضيق هرمز- من مخاطر شُحّ الممرات التجارية الحيوية. ولا تنفصل هذه التحديات عن تداعيات التضخم العالمي المُتصاعد بفعل ارتفاعات أسعار الطاقة والمواد الخام، مما يزيد من تعقيد بيئة الأعمال. </w:t>
      </w:r>
    </w:p>
    <w:p w14:paraId="385D3829" w14:textId="4E09951E"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المقابل، يتطلع القطاع التجاري إلى مستقبل أكثر مرونة عبر اعتماد نماذج مستدامة كالاقتصاد الدائري القائم على إعادة تدوير الموارد، وتعزيز التعاون الإقليمي عبر التكتلات الاقتصادية الفاعلة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الاتحاد الأوروبي واتفاقية الشراكة الإقليمية الشاملة</w:t>
      </w:r>
      <w:r w:rsidRPr="00202E2A">
        <w:rPr>
          <w:rFonts w:asciiTheme="majorBidi" w:hAnsiTheme="majorBidi" w:cstheme="majorBidi"/>
          <w:sz w:val="26"/>
          <w:szCs w:val="26"/>
          <w:lang w:bidi="ar-EG"/>
        </w:rPr>
        <w:t xml:space="preserve"> RCEP)</w:t>
      </w:r>
      <w:r w:rsidRPr="00202E2A">
        <w:rPr>
          <w:rFonts w:asciiTheme="majorBidi" w:hAnsiTheme="majorBidi" w:cstheme="majorBidi"/>
          <w:sz w:val="26"/>
          <w:szCs w:val="26"/>
          <w:rtl/>
          <w:lang w:bidi="ar-EG"/>
        </w:rPr>
        <w:t>، إلى جانب تسخير الذكاء الاصطناعي لتحويل العمليات الإدارية إلى أنظمة تلقائية ذكية تعتمد على التحليل التنبئي للبيانات، مما يُعيد تشكيل مبادئ التجارة العالمية بتوازنٍ بين إدارة الأزمات واغتنام الفرص الناشئة، حيث تعتبر إدارة أبعاد 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ليست مجرد تبادل سلع، بل نظام معقد يتطلب تكاملًا بين السياسات الاقتصادية والتكنولوجيا والقيم الإنسانية، ونجاحها يعتمد على تحقيق التوازن بين الربح والمسؤولية، وبين المحلي والعالمي.</w:t>
      </w:r>
    </w:p>
    <w:p w14:paraId="6B404D4A"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 البُعد الاقتصادي</w:t>
      </w:r>
      <w:r w:rsidRPr="00202E2A">
        <w:rPr>
          <w:rFonts w:asciiTheme="majorBidi" w:hAnsiTheme="majorBidi" w:cstheme="majorBidi"/>
          <w:b/>
          <w:bCs/>
          <w:sz w:val="26"/>
          <w:szCs w:val="26"/>
          <w:lang w:bidi="ar-EG"/>
        </w:rPr>
        <w:t xml:space="preserve">: </w:t>
      </w:r>
    </w:p>
    <w:p w14:paraId="1CE20C44"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الناتج المحلي الإجمالي</w:t>
      </w:r>
      <w:r w:rsidRPr="00202E2A">
        <w:rPr>
          <w:rFonts w:asciiTheme="majorBidi" w:hAnsiTheme="majorBidi" w:cstheme="majorBidi"/>
          <w:sz w:val="26"/>
          <w:szCs w:val="26"/>
          <w:lang w:bidi="ar-EG"/>
        </w:rPr>
        <w:t xml:space="preserve"> (GDP) </w:t>
      </w:r>
      <w:r w:rsidRPr="00202E2A">
        <w:rPr>
          <w:rFonts w:asciiTheme="majorBidi" w:hAnsiTheme="majorBidi" w:cstheme="majorBidi"/>
          <w:sz w:val="26"/>
          <w:szCs w:val="26"/>
          <w:rtl/>
          <w:lang w:bidi="ar-EG"/>
        </w:rPr>
        <w:t>حيث تُسهم</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التجارة بنسبة كبيرة في نمو الاقتصادات عبر زيادة الصادرات وجذب الاستثمارات، مثال: تمثل الصادرات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ناتج ألمانيا السنوي.</w:t>
      </w:r>
      <w:r w:rsidRPr="00202E2A">
        <w:rPr>
          <w:rFonts w:asciiTheme="majorBidi" w:hAnsiTheme="majorBidi" w:cstheme="majorBidi"/>
          <w:sz w:val="26"/>
          <w:szCs w:val="26"/>
          <w:lang w:bidi="ar-EG"/>
        </w:rPr>
        <w:t xml:space="preserve">  </w:t>
      </w:r>
    </w:p>
    <w:p w14:paraId="26FD5443"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إدارة العرض والطلب حيث يكون هناك</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توازن بين إنتاج السلع محليًا واستيرادها لسد الفجوات السوقية، واستخدام أدوات مثل الحصص الجمركية لتجنب الاختناقات.</w:t>
      </w:r>
    </w:p>
    <w:p w14:paraId="5F9653B9"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الأسواق العالمية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الانفتاح على الأسواق الناشئة (مثل أفريقيا وجنوب شرق آسيا)، وإدارة تقلبات العملات وأسعار الصرف</w:t>
      </w:r>
      <w:r w:rsidRPr="00202E2A">
        <w:rPr>
          <w:rFonts w:asciiTheme="majorBidi" w:hAnsiTheme="majorBidi" w:cstheme="majorBidi"/>
          <w:sz w:val="26"/>
          <w:szCs w:val="26"/>
          <w:lang w:bidi="ar-EG"/>
        </w:rPr>
        <w:t>.</w:t>
      </w:r>
    </w:p>
    <w:p w14:paraId="2516C1B1" w14:textId="77777777" w:rsidR="003804AC" w:rsidRPr="00202E2A" w:rsidRDefault="003804AC" w:rsidP="0019590B">
      <w:p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ب.</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تقليل التهرب الضريبي وتعزيز الامتثال:</w:t>
      </w:r>
    </w:p>
    <w:p w14:paraId="751162D6" w14:textId="77777777" w:rsidR="003804AC" w:rsidRPr="00202E2A" w:rsidRDefault="003804AC" w:rsidP="0019590B">
      <w:pPr>
        <w:bidi/>
        <w:spacing w:before="100" w:beforeAutospacing="1" w:after="100" w:afterAutospacing="1" w:line="276" w:lineRule="auto"/>
        <w:ind w:firstLine="36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يتيح التحول الرقمي أدوات متطورة لتحليل السجلات الضريبية وكشف محاولات التهرب الضريبي، مما يسهم في رفع معدلات الامتثال الطوعي بين الشركات والأفراد</w:t>
      </w:r>
      <w:r w:rsidRPr="00202E2A">
        <w:rPr>
          <w:rFonts w:asciiTheme="majorBidi" w:hAnsiTheme="majorBidi" w:cstheme="majorBidi"/>
          <w:sz w:val="26"/>
          <w:szCs w:val="26"/>
          <w:lang w:bidi="ar-EG"/>
        </w:rPr>
        <w:t xml:space="preserve"> (Johnson, 2019). </w:t>
      </w:r>
      <w:r w:rsidRPr="00202E2A">
        <w:rPr>
          <w:rFonts w:asciiTheme="majorBidi" w:hAnsiTheme="majorBidi" w:cstheme="majorBidi"/>
          <w:sz w:val="26"/>
          <w:szCs w:val="26"/>
          <w:rtl/>
          <w:lang w:bidi="ar-EG"/>
        </w:rPr>
        <w:t>تعمل الهيئة على تطبيق أنظمة الفوترة الإلكترونية التي تُلزم جميع الشركات بتقديم فواتير رقمية شفافة، مما يقلل فرص الاحتيال ويسهل عمليات التدقيق الضريبي</w:t>
      </w:r>
      <w:r w:rsidRPr="00202E2A">
        <w:rPr>
          <w:rFonts w:asciiTheme="majorBidi" w:hAnsiTheme="majorBidi" w:cstheme="majorBidi"/>
          <w:sz w:val="26"/>
          <w:szCs w:val="26"/>
          <w:lang w:bidi="ar-EG"/>
        </w:rPr>
        <w:t>.</w:t>
      </w:r>
    </w:p>
    <w:p w14:paraId="3709AD25"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بالإضافة إلى ذلك، تعزز تقنيات الذكاء الاصطناعي من قدرة الهيئة على إجراء تحليل استباقي للبيانات الضريبية، مما يمكنها من رصد الشركات والأفراد الأكثر عرضة لمخاطر التهرب الضريبي واتخاذ الإجراءات اللازمة قبل وقوع المخالفات</w:t>
      </w:r>
      <w:r w:rsidRPr="00202E2A">
        <w:rPr>
          <w:rFonts w:asciiTheme="majorBidi" w:hAnsiTheme="majorBidi" w:cstheme="majorBidi"/>
          <w:sz w:val="26"/>
          <w:szCs w:val="26"/>
          <w:lang w:bidi="ar-EG"/>
        </w:rPr>
        <w:t>.</w:t>
      </w:r>
    </w:p>
    <w:p w14:paraId="0944329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التكنولوجي:</w:t>
      </w:r>
    </w:p>
    <w:p w14:paraId="1855B60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الثورة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 حيث</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منصات التجارة الإلكترونية والجمركية غيّرت طرق البيع والشراء والنقل واللوجستيات 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طرق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استخدام الذكاء الاصطناعي في تحليل سلوك العملاء والمصدرين والمستوردين.</w:t>
      </w:r>
    </w:p>
    <w:p w14:paraId="2B341477"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سلاسل التوريد الذكية</w:t>
      </w:r>
      <w:r w:rsidRPr="00202E2A">
        <w:rPr>
          <w:rFonts w:asciiTheme="majorBidi" w:hAnsiTheme="majorBidi" w:cstheme="majorBidi"/>
          <w:sz w:val="26"/>
          <w:szCs w:val="26"/>
          <w:lang w:bidi="ar-EG"/>
        </w:rPr>
        <w:t xml:space="preserve"> - </w:t>
      </w:r>
      <w:r w:rsidRPr="00202E2A">
        <w:rPr>
          <w:rFonts w:asciiTheme="majorBidi" w:hAnsiTheme="majorBidi" w:cstheme="majorBidi"/>
          <w:sz w:val="26"/>
          <w:szCs w:val="26"/>
          <w:rtl/>
          <w:lang w:bidi="ar-EG"/>
        </w:rPr>
        <w:t>تقنيات الـ</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لتعقب المنتجات وتقليل التزوير وتطبيق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إنترنت الأشياء</w:t>
      </w:r>
      <w:r w:rsidRPr="00202E2A">
        <w:rPr>
          <w:rFonts w:asciiTheme="majorBidi" w:hAnsiTheme="majorBidi" w:cstheme="majorBidi"/>
          <w:sz w:val="26"/>
          <w:szCs w:val="26"/>
          <w:lang w:bidi="ar-EG"/>
        </w:rPr>
        <w:t xml:space="preserve"> (IoT) </w:t>
      </w:r>
      <w:r w:rsidRPr="00202E2A">
        <w:rPr>
          <w:rFonts w:asciiTheme="majorBidi" w:hAnsiTheme="majorBidi" w:cstheme="majorBidi"/>
          <w:sz w:val="26"/>
          <w:szCs w:val="26"/>
          <w:rtl/>
          <w:lang w:bidi="ar-EG"/>
        </w:rPr>
        <w:t>لمراقبة جودة البضائع أثناء النقل</w:t>
      </w:r>
      <w:r w:rsidRPr="00202E2A">
        <w:rPr>
          <w:rFonts w:asciiTheme="majorBidi" w:hAnsiTheme="majorBidi" w:cstheme="majorBidi"/>
          <w:sz w:val="26"/>
          <w:szCs w:val="26"/>
          <w:lang w:bidi="ar-EG"/>
        </w:rPr>
        <w:t xml:space="preserve">.  </w:t>
      </w:r>
    </w:p>
    <w:p w14:paraId="0801D36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سد الفجوات والتحديات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الرقمية بين الدول النامية والمتقدمة، وإدارة مخاطر القرصنة الإلكترونية على المنصات التجارية.</w:t>
      </w:r>
    </w:p>
    <w:p w14:paraId="4916E1E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دـ. البُعد البيئي:</w:t>
      </w:r>
    </w:p>
    <w:p w14:paraId="0DE5B842"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التجارة الخضراء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تشجيع تصدير المنتجات الصديقة للبيئة، وفرض قيود على المواد البلاستيكية ذات الاستخدام الواحد.</w:t>
      </w:r>
    </w:p>
    <w:p w14:paraId="40DA852F"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البصمة الكربونية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تقليل انبعاثات الكربون الناتجة عن نقل البضائع عبر الحدود، واعتماد وسائل نقل مستدامة (مثل السفن الكهربائية).</w:t>
      </w:r>
    </w:p>
    <w:p w14:paraId="1A342150"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محاربة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الصراع بين الربح السريع والاستدامة الطويلة الأمد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عدم التزام بعض الدول بالاتفاقيات البيئية (مثل اتفاقية باريس للمناخ)</w:t>
      </w:r>
      <w:r w:rsidRPr="00202E2A">
        <w:rPr>
          <w:rFonts w:asciiTheme="majorBidi" w:hAnsiTheme="majorBidi" w:cstheme="majorBidi"/>
          <w:sz w:val="26"/>
          <w:szCs w:val="26"/>
          <w:lang w:bidi="ar-EG"/>
        </w:rPr>
        <w:t>.</w:t>
      </w:r>
    </w:p>
    <w:p w14:paraId="5CEEA73E"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ثالثاً: مفهوم وأبعاد تعزيز الأمن: </w:t>
      </w:r>
    </w:p>
    <w:p w14:paraId="4A92E3AB"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يشكل التحول الرقمي أحد الدعائم الأساسية لتحقيق التنمية الاقتصادية المستدامة وتعزيز الأمن في مختلف القطاعات، لا سيما في المؤسسات الحكومية ذات التأثير المباشر على الاقتصاد والتجارة. تُعدّ هيئة الزكاة والضريبة والجمارك في المملكة العربية السعودية إحدى الجهات الرائدة في تبني الحلول الرقمية لتعزيز كفاءة العمليات، وتحسين الامتثال الضريبي والجمركي، والحد من المخاطر الأمنية المرتبطة بالتهريب والاحتيال الضريبي. يهدف هذا التحول إلى دعم مستهدفات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تسعى إلى بناء اقتصاد رقمي متقدم وتعزيز مكانة المملكة كمركز لوجستي عالمي</w:t>
      </w:r>
      <w:r w:rsidRPr="00202E2A">
        <w:rPr>
          <w:rFonts w:asciiTheme="majorBidi" w:hAnsiTheme="majorBidi" w:cstheme="majorBidi"/>
          <w:sz w:val="26"/>
          <w:szCs w:val="26"/>
          <w:lang w:bidi="ar-EG"/>
        </w:rPr>
        <w:t>.</w:t>
      </w:r>
    </w:p>
    <w:p w14:paraId="0034F16A"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rtl/>
          <w:lang w:bidi="ar-EG"/>
        </w:rPr>
      </w:pPr>
      <w:r w:rsidRPr="00202E2A">
        <w:rPr>
          <w:rFonts w:asciiTheme="majorBidi" w:hAnsiTheme="majorBidi" w:cstheme="majorBidi"/>
          <w:sz w:val="26"/>
          <w:szCs w:val="26"/>
          <w:rtl/>
          <w:lang w:bidi="ar-EG"/>
        </w:rPr>
        <w:t>ومع تزايد حجم التجارة الإلكترونية والاعتماد المتزايد على التكنولوجيا المالية، أصبح لزامًا على الجهات المسؤولة عن تنظيم التجارة والضرائب تبني تقنيات حديثة لتعزيز الأمن والشفافية والكفاءة. وعليه، يعتمد التحول الرقمي في هيئة الزكاة والضريبة والجمارك على أنظمة متقدمة، مثل الذكاء الاصطناعي، وتحليل البيانات الضخمة، والأمن السيبراني، لمواجهة التحديات الأمنية والاقتصادية التي قد تعيق تحقيق أهداف التنمية الاقتصادية والاستقرار المالي</w:t>
      </w:r>
      <w:r w:rsidRPr="00202E2A">
        <w:rPr>
          <w:rFonts w:asciiTheme="majorBidi" w:hAnsiTheme="majorBidi" w:cstheme="majorBidi"/>
          <w:sz w:val="26"/>
          <w:szCs w:val="26"/>
          <w:lang w:bidi="ar-EG"/>
        </w:rPr>
        <w:t>.</w:t>
      </w:r>
    </w:p>
    <w:p w14:paraId="0A1E1E44" w14:textId="48F201AF"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ويُمثل التحول الرقمي في هيئة الزكاة والضريبة والجمارك عنصرًا أساسيًا في تعزيز الأمن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بما يتماشى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من خلال تبني تقنيات الذكاء الاصطناعي، وتحليل البيانات، والأمن السيبراني، تسهم الهيئة في مكافحة التهرب الضريبي، وتقليل التهريب، وتحسين بيئة الأعمال، مما يعزز من تنافسية الاقتصاد السعودي على المستوى الدولي. رغم التحديات التي تواجه التحول الرقمي، فإن الاستثمارات المستمرة في تطوير الأنظمة والبنية التحتية التقنية ستضمن تحقيق الأهداف الاستراتيجية للهيئة، وتدعم مساعي المملكة نحو التحول إلى اقتصاد رقمي متكامل، وحيث يمثل أبعاد تعزيز الأمن في الهيئة أداة استراتيجية لمكافحة التهرب الضريبي، والاحتيال الجمركي، والجرائم المالية، وتعزيز أمن البيانات والمعاملات. فيما يلي أبرز مجالات تأثير التحول الرقمي على تعزيز الأمن.</w:t>
      </w:r>
    </w:p>
    <w:p w14:paraId="407BD75E"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lang w:bidi="ar-EG"/>
        </w:rPr>
        <w:lastRenderedPageBreak/>
        <w:t xml:space="preserve"> </w:t>
      </w:r>
      <w:r w:rsidRPr="00202E2A">
        <w:rPr>
          <w:rFonts w:asciiTheme="majorBidi" w:hAnsiTheme="majorBidi" w:cstheme="majorBidi"/>
          <w:b/>
          <w:bCs/>
          <w:sz w:val="26"/>
          <w:szCs w:val="26"/>
          <w:rtl/>
          <w:lang w:bidi="ar-EG"/>
        </w:rPr>
        <w:t>الأمن السيبراني وحماية البيانات:</w:t>
      </w:r>
    </w:p>
    <w:p w14:paraId="6A020FFF"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يُعدّ الأمن السيبراني من أبرز الأولويات في عملية التحول الرقمي، حيث تسعى الهيئة إلى تأمين منصاتها الرقمية من الهجمات الإلكترونية التي قد تستهدف البيانات الضريبية والتجارية الحساسة. وفقًا لدراسة حديثة، تشكل الجرائم السيبرانية تهديدًا مباشرًا للأمن الاقتصادي، ما يستوجب تبني استراتيجيات فعالة لحماية الأنظمة الرقمية وضمان استمرارية العمليات دون انقطاع</w:t>
      </w:r>
      <w:r w:rsidRPr="00202E2A">
        <w:rPr>
          <w:rFonts w:asciiTheme="majorBidi" w:hAnsiTheme="majorBidi" w:cstheme="majorBidi"/>
          <w:sz w:val="26"/>
          <w:szCs w:val="26"/>
          <w:lang w:bidi="ar-EG"/>
        </w:rPr>
        <w:t xml:space="preserve"> (Williams, 2022).</w:t>
      </w:r>
    </w:p>
    <w:p w14:paraId="6C2C98E7"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تستخدم الهيئة تقنيات حديثة مثل التشفير المتقدم، وأنظمة المصادقة متعددة العوامل، ومنصات المراقبة الإلكترونية المدعومة بالذكاء الاصطناعي لرصد أي أنشطة مشبوهة والتصدي لها فورًا. كما تسهم تقنية تحليل البيانات الضخمة في اكتشاف الأنماط غير الطبيعية في المعاملات، مما يعزز من القدرة على مكافحة الاحتيال الضريبي والتجارة غير المشروعة</w:t>
      </w:r>
      <w:r w:rsidRPr="00202E2A">
        <w:rPr>
          <w:rFonts w:asciiTheme="majorBidi" w:hAnsiTheme="majorBidi" w:cstheme="majorBidi"/>
          <w:sz w:val="26"/>
          <w:szCs w:val="26"/>
          <w:lang w:bidi="ar-EG"/>
        </w:rPr>
        <w:t>.</w:t>
      </w:r>
    </w:p>
    <w:p w14:paraId="05F2CC02"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تحسين كفاءة الرقابة الجمركية والحد من التهريب:</w:t>
      </w:r>
    </w:p>
    <w:p w14:paraId="4E892664"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يؤدي التحول الرقمي إلى تحسين كفاءة عمليات المراقبة الجمركية وتقليل فرص التهريب، وذلك من خلال تبني تقنيات مثل</w:t>
      </w:r>
      <w:r w:rsidRPr="00202E2A">
        <w:rPr>
          <w:rFonts w:asciiTheme="majorBidi" w:hAnsiTheme="majorBidi" w:cstheme="majorBidi"/>
          <w:sz w:val="26"/>
          <w:szCs w:val="26"/>
          <w:lang w:bidi="ar-EG"/>
        </w:rPr>
        <w:t>:</w:t>
      </w:r>
    </w:p>
    <w:p w14:paraId="7E92B6F8"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أنظمة المسح الضوئي بالأشعة السينية لفحص الشحنات بسرعة وكفاءة دون الحاجة إلى التفتيش اليدوي المطول</w:t>
      </w:r>
      <w:r w:rsidRPr="00202E2A">
        <w:rPr>
          <w:rFonts w:asciiTheme="majorBidi" w:hAnsiTheme="majorBidi" w:cstheme="majorBidi"/>
          <w:sz w:val="26"/>
          <w:szCs w:val="26"/>
          <w:lang w:bidi="ar-EG"/>
        </w:rPr>
        <w:t>.</w:t>
      </w:r>
    </w:p>
    <w:p w14:paraId="5D8256D5"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الذكاء الاصطناعي وتحليل البيانات لتقييم المخاطر الجمركية وتحديد الشحنات ذات الأولوية للفحص</w:t>
      </w:r>
      <w:r w:rsidRPr="00202E2A">
        <w:rPr>
          <w:rFonts w:asciiTheme="majorBidi" w:hAnsiTheme="majorBidi" w:cstheme="majorBidi"/>
          <w:sz w:val="26"/>
          <w:szCs w:val="26"/>
          <w:lang w:bidi="ar-EG"/>
        </w:rPr>
        <w:t>.</w:t>
      </w:r>
    </w:p>
    <w:p w14:paraId="6C4A0444"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تقنيات سلاسل الكتل</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لتأمين سلاسل التوريد، مما يمنع التلاعب بالبيانات الجمركية ويوفر سجلًا موثوقًا به لكل معاملة تجارية، هذه التقنيات تُسهم بشكل مباشر في خفض معدلات التهريب، وتقليل الخسائر المالية الناتجة عن التجارة غير المشروعة، وتعزيز أمن الحدود والمنافذ الجمركية</w:t>
      </w:r>
      <w:r w:rsidRPr="00202E2A">
        <w:rPr>
          <w:rFonts w:asciiTheme="majorBidi" w:hAnsiTheme="majorBidi" w:cstheme="majorBidi"/>
          <w:sz w:val="26"/>
          <w:szCs w:val="26"/>
          <w:lang w:bidi="ar-EG"/>
        </w:rPr>
        <w:t xml:space="preserve"> (Smith, 2018).</w:t>
      </w:r>
      <w:r w:rsidRPr="00202E2A">
        <w:rPr>
          <w:rFonts w:asciiTheme="majorBidi" w:hAnsiTheme="majorBidi" w:cstheme="majorBidi"/>
          <w:sz w:val="26"/>
          <w:szCs w:val="26"/>
          <w:rtl/>
          <w:lang w:bidi="ar-EG"/>
        </w:rPr>
        <w:t>.</w:t>
      </w:r>
    </w:p>
    <w:p w14:paraId="6E928B34"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القانوني والسياسي:</w:t>
      </w:r>
      <w:r w:rsidRPr="00202E2A">
        <w:rPr>
          <w:rFonts w:asciiTheme="majorBidi" w:hAnsiTheme="majorBidi" w:cstheme="majorBidi"/>
          <w:b/>
          <w:bCs/>
          <w:sz w:val="26"/>
          <w:szCs w:val="26"/>
          <w:lang w:bidi="ar-EG"/>
        </w:rPr>
        <w:t xml:space="preserve"> </w:t>
      </w:r>
    </w:p>
    <w:p w14:paraId="06F33651"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الأنظمة الدولية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الامتثال لقواعد منظمة التجارة العالمية</w:t>
      </w:r>
      <w:r w:rsidRPr="00202E2A">
        <w:rPr>
          <w:rFonts w:asciiTheme="majorBidi" w:hAnsiTheme="majorBidi" w:cstheme="majorBidi"/>
          <w:sz w:val="26"/>
          <w:szCs w:val="26"/>
          <w:lang w:bidi="ar-EG"/>
        </w:rPr>
        <w:t xml:space="preserve"> (WTO) </w:t>
      </w:r>
      <w:r w:rsidRPr="00202E2A">
        <w:rPr>
          <w:rFonts w:asciiTheme="majorBidi" w:hAnsiTheme="majorBidi" w:cstheme="majorBidi"/>
          <w:sz w:val="26"/>
          <w:szCs w:val="26"/>
          <w:rtl/>
          <w:lang w:bidi="ar-EG"/>
        </w:rPr>
        <w:t>والاتفاقيات الثنائية، مثل: اتفاقية</w:t>
      </w:r>
      <w:r w:rsidRPr="00202E2A">
        <w:rPr>
          <w:rFonts w:asciiTheme="majorBidi" w:hAnsiTheme="majorBidi" w:cstheme="majorBidi"/>
          <w:sz w:val="26"/>
          <w:szCs w:val="26"/>
          <w:lang w:bidi="ar-EG"/>
        </w:rPr>
        <w:t xml:space="preserve"> USMCA </w:t>
      </w:r>
      <w:r w:rsidRPr="00202E2A">
        <w:rPr>
          <w:rFonts w:asciiTheme="majorBidi" w:hAnsiTheme="majorBidi" w:cstheme="majorBidi"/>
          <w:sz w:val="26"/>
          <w:szCs w:val="26"/>
          <w:rtl/>
          <w:lang w:bidi="ar-EG"/>
        </w:rPr>
        <w:t xml:space="preserve"> بين الولايات المتحدة وكندا والمكسيك.</w:t>
      </w:r>
    </w:p>
    <w:p w14:paraId="3B776E9C"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الحماية التجارية من حيث فرض رسوم جمركية أو حصص استيراد لحماية الصناعات المحلية، مخاطرها اندلاع حروب تجارية (مثل الصين والولايات المتحدة </w:t>
      </w:r>
      <w:r w:rsidRPr="00202E2A">
        <w:rPr>
          <w:rFonts w:asciiTheme="majorBidi" w:hAnsiTheme="majorBidi" w:cstheme="majorBidi"/>
          <w:sz w:val="26"/>
          <w:szCs w:val="26"/>
          <w:lang w:bidi="ar-EG"/>
        </w:rPr>
        <w:t>2018</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w:t>
      </w:r>
    </w:p>
    <w:p w14:paraId="6FDB1E73"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الجوانب الأمنية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ضمان ألا تُستخدم التجارة كأداة للضغط السياسي، مثال: العقوبات التجارية</w:t>
      </w:r>
      <w:r w:rsidRPr="00202E2A">
        <w:rPr>
          <w:rFonts w:asciiTheme="majorBidi" w:hAnsiTheme="majorBidi" w:cstheme="majorBidi"/>
          <w:sz w:val="26"/>
          <w:szCs w:val="26"/>
          <w:lang w:bidi="ar-EG"/>
        </w:rPr>
        <w:t xml:space="preserve">.  </w:t>
      </w:r>
    </w:p>
    <w:p w14:paraId="442C226E"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 البُعد الاجتماعي والثقافي:</w:t>
      </w:r>
      <w:r w:rsidRPr="00202E2A">
        <w:rPr>
          <w:rFonts w:asciiTheme="majorBidi" w:hAnsiTheme="majorBidi" w:cstheme="majorBidi"/>
          <w:b/>
          <w:bCs/>
          <w:sz w:val="26"/>
          <w:szCs w:val="26"/>
          <w:lang w:bidi="ar-EG"/>
        </w:rPr>
        <w:t xml:space="preserve"> </w:t>
      </w:r>
    </w:p>
    <w:p w14:paraId="6C31AB27"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المجتمعات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خلق فرص عمل عبر الصناعات المرتبطة بالتجارة،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مخاطر استغلال العمالة في الدول الفقيرة.</w:t>
      </w:r>
    </w:p>
    <w:p w14:paraId="487FE52A"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العولمة الثقافية انتشار المنتجات الثقافية (مثل الأفلام الأمريكية أو الأزياء الكورية)، والعمل على تحديات الحفاظ على الهوية المحلية.</w:t>
      </w:r>
    </w:p>
    <w:p w14:paraId="6D87489B"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المسؤولية الاجتماعية من حيث تشجيع الشركات على اتباع ممارسات تجارية عادلة</w:t>
      </w:r>
      <w:r w:rsidRPr="00202E2A">
        <w:rPr>
          <w:rFonts w:asciiTheme="majorBidi" w:hAnsiTheme="majorBidi" w:cstheme="majorBidi"/>
          <w:sz w:val="26"/>
          <w:szCs w:val="26"/>
          <w:lang w:bidi="ar-EG"/>
        </w:rPr>
        <w:t xml:space="preserve"> (Fair Trade) </w:t>
      </w:r>
      <w:r w:rsidRPr="00202E2A">
        <w:rPr>
          <w:rFonts w:asciiTheme="majorBidi" w:hAnsiTheme="majorBidi" w:cstheme="majorBidi"/>
          <w:sz w:val="26"/>
          <w:szCs w:val="26"/>
          <w:rtl/>
          <w:lang w:bidi="ar-EG"/>
        </w:rPr>
        <w:t>مثال: شهادات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Fairtrade </w:t>
      </w:r>
      <w:r w:rsidRPr="00202E2A">
        <w:rPr>
          <w:rFonts w:asciiTheme="majorBidi" w:hAnsiTheme="majorBidi" w:cstheme="majorBidi"/>
          <w:sz w:val="26"/>
          <w:szCs w:val="26"/>
          <w:rtl/>
          <w:lang w:bidi="ar-EG"/>
        </w:rPr>
        <w:t>للقهوة والشوكولاتة.</w:t>
      </w:r>
    </w:p>
    <w:p w14:paraId="79F96608"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ه. تعزيز التكامل والشراكات الاستراتيجية</w:t>
      </w:r>
      <w:r w:rsidRPr="00202E2A">
        <w:rPr>
          <w:rFonts w:asciiTheme="majorBidi" w:hAnsiTheme="majorBidi" w:cstheme="majorBidi"/>
          <w:b/>
          <w:bCs/>
          <w:sz w:val="26"/>
          <w:szCs w:val="26"/>
          <w:lang w:bidi="ar-EG"/>
        </w:rPr>
        <w:t>:</w:t>
      </w:r>
    </w:p>
    <w:p w14:paraId="6FCC2755" w14:textId="77777777" w:rsidR="003804AC" w:rsidRPr="00202E2A" w:rsidRDefault="003804AC" w:rsidP="0019590B">
      <w:pPr>
        <w:bidi/>
        <w:spacing w:before="100" w:beforeAutospacing="1" w:after="100" w:afterAutospacing="1"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يُعَدُّ تعزيز التعاون والتكامل بين الجهات الحكومية والقطاع الخاص، إضافة إلى إقامة شراكات استراتيجية مع الهيئات الدولية، أحد الأبعاد الحيوية في تعزيز الأمن الرقمي. إذ يسهم تبادل المعلومات والخبرات حول التهديدات الأمنية المحتملة في بناء منظومة أمان متكاملة تتيح الاستجابة السريعة للتحديات المتطورة. يعمل هذا البعد على</w:t>
      </w:r>
      <w:r w:rsidRPr="00202E2A">
        <w:rPr>
          <w:rFonts w:asciiTheme="majorBidi" w:hAnsiTheme="majorBidi" w:cstheme="majorBidi"/>
          <w:sz w:val="26"/>
          <w:szCs w:val="26"/>
          <w:lang w:bidi="ar-EG"/>
        </w:rPr>
        <w:t>:</w:t>
      </w:r>
    </w:p>
    <w:p w14:paraId="060DCD6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تنسيق الجهود: من خلال إنشاء آليات مشتركة لتبادل البيانات والمعلومات الأمنية بين مختلف الجهات الوطنية، مما يتيح رصد الهجمات السيبرانية والجرائم المالية بصورة أكثر فاعلية</w:t>
      </w:r>
      <w:r w:rsidRPr="00202E2A">
        <w:rPr>
          <w:rFonts w:asciiTheme="majorBidi" w:hAnsiTheme="majorBidi" w:cstheme="majorBidi"/>
          <w:sz w:val="26"/>
          <w:szCs w:val="26"/>
          <w:lang w:bidi="ar-EG"/>
        </w:rPr>
        <w:t>.</w:t>
      </w:r>
    </w:p>
    <w:p w14:paraId="5A8DED6A"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الشراكات مع القطاع الخاص: تعزيز التعاون مع المؤسسات التقنية وشركات الأمن السيبراني لتطوير حلول مبتكرة ومتكاملة تواكب التطور التكنولوجي</w:t>
      </w:r>
      <w:r w:rsidRPr="00202E2A">
        <w:rPr>
          <w:rFonts w:asciiTheme="majorBidi" w:hAnsiTheme="majorBidi" w:cstheme="majorBidi"/>
          <w:sz w:val="26"/>
          <w:szCs w:val="26"/>
          <w:lang w:bidi="ar-EG"/>
        </w:rPr>
        <w:t>.</w:t>
      </w:r>
    </w:p>
    <w:p w14:paraId="11D9E52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التعاون الدولي والأكاديمي: إقامة شراكات مع الهيئات الدولية ومراكز البحث العلمي لتبادل الخبرات واستخدام أحدث التقنيات في تحليل المخاطر والتصدي لها</w:t>
      </w:r>
      <w:r w:rsidRPr="00202E2A">
        <w:rPr>
          <w:rFonts w:asciiTheme="majorBidi" w:hAnsiTheme="majorBidi" w:cstheme="majorBidi"/>
          <w:sz w:val="26"/>
          <w:szCs w:val="26"/>
          <w:lang w:bidi="ar-EG"/>
        </w:rPr>
        <w:t>.</w:t>
      </w:r>
    </w:p>
    <w:p w14:paraId="6F390DB7"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من خلال هذه الاستراتيجيات، تدعم الهيئة ليس فقط جهودها في حماية بيانات المعاملات التجارية والضريبية، بل تسهم أيضاً في تعزيز البيئة الأمنية الوطنية بما يتماشى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مما يساعد على بناء اقتصاد رقمي متكامل وآمن يساهم في رفع معدلات الامتثال وتحقيق التنمية المستدامة.</w:t>
      </w:r>
    </w:p>
    <w:p w14:paraId="22610266" w14:textId="4C6DFD51" w:rsidR="00796950" w:rsidRPr="00202E2A" w:rsidRDefault="004B4A0D" w:rsidP="00796950">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سابعاً</w:t>
      </w:r>
      <w:r w:rsidR="00796950" w:rsidRPr="00202E2A">
        <w:rPr>
          <w:rFonts w:asciiTheme="majorBidi" w:hAnsiTheme="majorBidi" w:cstheme="majorBidi" w:hint="cs"/>
          <w:b/>
          <w:bCs/>
          <w:color w:val="002060"/>
          <w:sz w:val="26"/>
          <w:szCs w:val="26"/>
          <w:rtl/>
          <w:lang w:bidi="ar-EG"/>
        </w:rPr>
        <w:t xml:space="preserve">: </w:t>
      </w:r>
      <w:r w:rsidR="00796950" w:rsidRPr="00202E2A">
        <w:rPr>
          <w:rFonts w:asciiTheme="majorBidi" w:hAnsiTheme="majorBidi" w:cstheme="majorBidi"/>
          <w:b/>
          <w:bCs/>
          <w:color w:val="002060"/>
          <w:sz w:val="26"/>
          <w:szCs w:val="26"/>
          <w:rtl/>
          <w:lang w:bidi="ar-EG"/>
        </w:rPr>
        <w:t>حدود الدراسة</w:t>
      </w:r>
    </w:p>
    <w:p w14:paraId="7EA5BDB9"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الموضوعية: </w:t>
      </w:r>
      <w:r w:rsidRPr="00202E2A">
        <w:rPr>
          <w:rFonts w:asciiTheme="majorBidi" w:hAnsiTheme="majorBidi" w:cstheme="majorBidi"/>
          <w:sz w:val="26"/>
          <w:szCs w:val="26"/>
          <w:rtl/>
          <w:lang w:bidi="ar-EG"/>
        </w:rPr>
        <w:t>سوف يتم دراسة دور التحول ارقمي في تحقيق أبعاد تعزيز الأمن وتيسير التجارة.</w:t>
      </w:r>
    </w:p>
    <w:p w14:paraId="376C5BAB"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المكانية: </w:t>
      </w:r>
      <w:r w:rsidRPr="00202E2A">
        <w:rPr>
          <w:rFonts w:asciiTheme="majorBidi" w:hAnsiTheme="majorBidi" w:cstheme="majorBidi"/>
          <w:sz w:val="26"/>
          <w:szCs w:val="26"/>
          <w:rtl/>
          <w:lang w:bidi="ar-EG"/>
        </w:rPr>
        <w:t>سوق يقتصر البحث على مجال التطبيق في الدراسة الحالية على هيئة الزكاة والضريبية والجمارك.</w:t>
      </w:r>
    </w:p>
    <w:p w14:paraId="53057388"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البشرية: </w:t>
      </w:r>
      <w:r w:rsidRPr="00202E2A">
        <w:rPr>
          <w:rFonts w:asciiTheme="majorBidi" w:hAnsiTheme="majorBidi" w:cstheme="majorBidi"/>
          <w:sz w:val="26"/>
          <w:szCs w:val="26"/>
          <w:rtl/>
          <w:lang w:bidi="ar-EG"/>
        </w:rPr>
        <w:t>سوف يقتصر الدراسة الحالية على العاملين بالهيئة، وخاصة العاملين بالمناصب القيادية والإشرافية والرقابية.</w:t>
      </w:r>
    </w:p>
    <w:p w14:paraId="132DFC07"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الزمانية: </w:t>
      </w:r>
      <w:r w:rsidRPr="00202E2A">
        <w:rPr>
          <w:rFonts w:asciiTheme="majorBidi" w:hAnsiTheme="majorBidi" w:cstheme="majorBidi"/>
          <w:sz w:val="26"/>
          <w:szCs w:val="26"/>
          <w:rtl/>
          <w:lang w:bidi="ar-EG"/>
        </w:rPr>
        <w:t xml:space="preserve">وتعني الفترة الزمنية التي سوف يتم جمع بيانات الدراسة. </w:t>
      </w:r>
    </w:p>
    <w:p w14:paraId="6D80DBDD" w14:textId="5C0E3074"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ثامناً</w:t>
      </w:r>
      <w:r w:rsidR="00796950" w:rsidRPr="00202E2A">
        <w:rPr>
          <w:rFonts w:asciiTheme="majorBidi" w:hAnsiTheme="majorBidi" w:cstheme="majorBidi" w:hint="cs"/>
          <w:b/>
          <w:bCs/>
          <w:color w:val="002060"/>
          <w:sz w:val="26"/>
          <w:szCs w:val="26"/>
          <w:rtl/>
          <w:lang w:bidi="ar-EG"/>
        </w:rPr>
        <w:t>:</w:t>
      </w:r>
      <w:r w:rsidR="003804AC" w:rsidRPr="00202E2A">
        <w:rPr>
          <w:rFonts w:asciiTheme="majorBidi" w:hAnsiTheme="majorBidi" w:cstheme="majorBidi"/>
          <w:b/>
          <w:bCs/>
          <w:color w:val="002060"/>
          <w:sz w:val="26"/>
          <w:szCs w:val="26"/>
          <w:rtl/>
          <w:lang w:bidi="ar-EG"/>
        </w:rPr>
        <w:t xml:space="preserve"> الإجراءات </w:t>
      </w:r>
      <w:r w:rsidRPr="00202E2A">
        <w:rPr>
          <w:rFonts w:asciiTheme="majorBidi" w:hAnsiTheme="majorBidi" w:cstheme="majorBidi" w:hint="cs"/>
          <w:b/>
          <w:bCs/>
          <w:color w:val="002060"/>
          <w:sz w:val="26"/>
          <w:szCs w:val="26"/>
          <w:rtl/>
          <w:lang w:bidi="ar-EG"/>
        </w:rPr>
        <w:t>و</w:t>
      </w:r>
      <w:r w:rsidR="003804AC" w:rsidRPr="00202E2A">
        <w:rPr>
          <w:rFonts w:asciiTheme="majorBidi" w:hAnsiTheme="majorBidi" w:cstheme="majorBidi"/>
          <w:b/>
          <w:bCs/>
          <w:color w:val="002060"/>
          <w:sz w:val="26"/>
          <w:szCs w:val="26"/>
          <w:rtl/>
          <w:lang w:bidi="ar-EG"/>
        </w:rPr>
        <w:t xml:space="preserve">منهجية </w:t>
      </w:r>
      <w:r w:rsidRPr="00202E2A">
        <w:rPr>
          <w:rFonts w:asciiTheme="majorBidi" w:hAnsiTheme="majorBidi" w:cstheme="majorBidi" w:hint="cs"/>
          <w:b/>
          <w:bCs/>
          <w:color w:val="002060"/>
          <w:sz w:val="26"/>
          <w:szCs w:val="26"/>
          <w:rtl/>
          <w:lang w:bidi="ar-EG"/>
        </w:rPr>
        <w:t>ا</w:t>
      </w:r>
      <w:r w:rsidR="003804AC" w:rsidRPr="00202E2A">
        <w:rPr>
          <w:rFonts w:asciiTheme="majorBidi" w:hAnsiTheme="majorBidi" w:cstheme="majorBidi"/>
          <w:b/>
          <w:bCs/>
          <w:color w:val="002060"/>
          <w:sz w:val="26"/>
          <w:szCs w:val="26"/>
          <w:rtl/>
          <w:lang w:bidi="ar-EG"/>
        </w:rPr>
        <w:t>لدراسة</w:t>
      </w:r>
    </w:p>
    <w:p w14:paraId="037FA998"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نوع الدراسة</w:t>
      </w:r>
      <w:r w:rsidRPr="00202E2A">
        <w:rPr>
          <w:rFonts w:asciiTheme="majorBidi" w:hAnsiTheme="majorBidi" w:cstheme="majorBidi"/>
          <w:b/>
          <w:bCs/>
          <w:sz w:val="26"/>
          <w:szCs w:val="26"/>
          <w:lang w:bidi="ar-EG"/>
        </w:rPr>
        <w:t>:</w:t>
      </w:r>
    </w:p>
    <w:p w14:paraId="5399ECE2" w14:textId="5A653C65"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هذه الدراسة من الدراسات الوصفية التحليلية التي تستهدف تصوير وتحليل وتقويم خصائص مجموعات معينة أو موقف معين يغلب عليه صفة التحديد، وذلك بهدف الحصول على معلومات كافية ودقيقة عنها ولذلك ستقوم الباحث باستخدام المسح الوصفي </w:t>
      </w:r>
      <w:r w:rsidRPr="00202E2A">
        <w:rPr>
          <w:rFonts w:asciiTheme="majorBidi" w:hAnsiTheme="majorBidi" w:cstheme="majorBidi"/>
          <w:sz w:val="26"/>
          <w:szCs w:val="26"/>
          <w:lang w:bidi="ar-EG"/>
        </w:rPr>
        <w:t>Descriptive Survey</w:t>
      </w:r>
      <w:r w:rsidRPr="00202E2A">
        <w:rPr>
          <w:rFonts w:asciiTheme="majorBidi" w:hAnsiTheme="majorBidi" w:cstheme="majorBidi"/>
          <w:sz w:val="26"/>
          <w:szCs w:val="26"/>
          <w:rtl/>
          <w:lang w:bidi="ar-EG"/>
        </w:rPr>
        <w:t xml:space="preserve"> بهدف رصد وتحليل بمدي الوعي بالمفاهيم الحديثة لاستراتيجيات التحول الرقمي وابعاده وتأثيره على كفاءة أداء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للمؤسسات الحكومية مثل هيئة الزكاة والضريبة والجمارك بالمملكة العربية السعودية.</w:t>
      </w:r>
    </w:p>
    <w:p w14:paraId="53216A9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منهج الدراسة</w:t>
      </w:r>
      <w:r w:rsidRPr="00202E2A">
        <w:rPr>
          <w:rFonts w:asciiTheme="majorBidi" w:hAnsiTheme="majorBidi" w:cstheme="majorBidi"/>
          <w:b/>
          <w:bCs/>
          <w:sz w:val="26"/>
          <w:szCs w:val="26"/>
          <w:lang w:bidi="ar-EG"/>
        </w:rPr>
        <w:t>:</w:t>
      </w:r>
    </w:p>
    <w:p w14:paraId="44026663"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تعتمد الدراسة الحالية على تكامل هذه المناهج يتيح تحقيق فهم شامل للتأثيرات المترتبة على التحول الرقمي، مما يسهم في تقديم توصيات عملية لتحسين الأداء المؤسسي بما يتماشى مع أهداف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B1ECDC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الاستنباطي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يعتمد هذا المنهج على دراسة وتحليل الأدبيات والدراسات السابقة، سواء العربية أو الأجنبية، المتعلقة بمتغيرات البحث. كما يشمل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والضريبية والجمارك. يُعدُّ هذا النهج من المناهج المفضلة في دراسات الجمهور، إذ يوفر بيانات ومعلومات قيِّمة عند تطبيقه على عينة من العاملين والمتعاملين مع الهيئة</w:t>
      </w:r>
      <w:r w:rsidRPr="00202E2A">
        <w:rPr>
          <w:rFonts w:asciiTheme="majorBidi" w:hAnsiTheme="majorBidi" w:cstheme="majorBidi"/>
          <w:sz w:val="26"/>
          <w:szCs w:val="26"/>
          <w:lang w:bidi="ar-EG"/>
        </w:rPr>
        <w:t>.</w:t>
      </w:r>
    </w:p>
    <w:p w14:paraId="57C89DF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الاستقرائي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 xml:space="preserve">يسعى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كما يُقدم توصيات عملية لتعزيز تطبيق الحكومة الرقمية بما ينعكس إيجابياً على كفاءة المؤسسات الخدمية مثل هيئة الزكاة والضريبية والجمارك. يهدف هذا النهج إلى الوصول إلى استنتاجات عامة مستندة إلى تحليل تجميعي للبيانات والملاحظات</w:t>
      </w:r>
      <w:r w:rsidRPr="00202E2A">
        <w:rPr>
          <w:rFonts w:asciiTheme="majorBidi" w:hAnsiTheme="majorBidi" w:cstheme="majorBidi"/>
          <w:sz w:val="26"/>
          <w:szCs w:val="26"/>
          <w:lang w:bidi="ar-EG"/>
        </w:rPr>
        <w:t>.</w:t>
      </w:r>
    </w:p>
    <w:p w14:paraId="4660C45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الوصفي التحليلي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يركز هذا المنهج على وصف الوضع الراهن للتحول الرقمي وتأثيره على الأداء المؤسسي من خلال تحليل البيانات والمعلومات المجمعة. يستخدم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ويسهم هذا النهج في فهم أعمق للتحديات والفرص المرتبطة بتطبيق أبعاد التحول الرقمي في المؤسسات الحكومية</w:t>
      </w:r>
      <w:r w:rsidRPr="00202E2A">
        <w:rPr>
          <w:rFonts w:asciiTheme="majorBidi" w:hAnsiTheme="majorBidi" w:cstheme="majorBidi"/>
          <w:sz w:val="26"/>
          <w:szCs w:val="26"/>
          <w:lang w:bidi="ar-EG"/>
        </w:rPr>
        <w:t>.</w:t>
      </w:r>
    </w:p>
    <w:p w14:paraId="09589BD1"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مجتمع الدراسة:</w:t>
      </w:r>
    </w:p>
    <w:p w14:paraId="275E577A" w14:textId="78CAC634"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يمثل مجتمع الدراسة جميع القادة ومتخذي القرار في هيئة الزكاة والضريبة والجمارك، حيث يُقدَّر عددهم بحوالي </w:t>
      </w:r>
      <w:r w:rsidRPr="00202E2A">
        <w:rPr>
          <w:rFonts w:asciiTheme="majorBidi" w:hAnsiTheme="majorBidi" w:cstheme="majorBidi"/>
          <w:sz w:val="26"/>
          <w:szCs w:val="26"/>
          <w:lang w:bidi="ar-EG"/>
        </w:rPr>
        <w:t>400</w:t>
      </w:r>
      <w:r w:rsidRPr="00202E2A">
        <w:rPr>
          <w:rFonts w:asciiTheme="majorBidi" w:hAnsiTheme="majorBidi" w:cstheme="majorBidi"/>
          <w:sz w:val="26"/>
          <w:szCs w:val="26"/>
          <w:rtl/>
          <w:lang w:bidi="ar-EG"/>
        </w:rPr>
        <w:t xml:space="preserve"> قائد وفقا لاطلاع الباحث علي الهيكل الإداري للهيئة، يعتمد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ويشكل هذا المجتمع التركيز الرئيسي للباحث للحصول على المعلومات الدقيقة التي تساعد في تحليل تأثير أبعاد التحول الرقمي على كفاءة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نظرًا لكبر حجم المجتمع، لا يمكن جمع المعلومات من كل فرد، مما يستدعي اختيار عينة فرعية تُقسّم إلى مجموعتين؛ الأولى هي المجموعة المستهدفة التي تشمل جميع العاملين بالهيئة المستوفين للمعايير، مثل امتلاكهم لأجهزة الحاسوب وحسابات البريد الإلكتروني وتطبيق الواتس آب، بينما تقتصر المجموعة التي يمكن الوصول إليها على جزء من هذه المجموعة، وقد تقتصر على منطقة جغرافية محددة مثل محافظة جدة.</w:t>
      </w:r>
    </w:p>
    <w:p w14:paraId="694E9FC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عينة الدراسة</w:t>
      </w:r>
      <w:r w:rsidRPr="00202E2A">
        <w:rPr>
          <w:rFonts w:asciiTheme="majorBidi" w:hAnsiTheme="majorBidi" w:cstheme="majorBidi"/>
          <w:b/>
          <w:bCs/>
          <w:sz w:val="26"/>
          <w:szCs w:val="26"/>
          <w:lang w:bidi="ar-EG"/>
        </w:rPr>
        <w:t>:</w:t>
      </w:r>
    </w:p>
    <w:p w14:paraId="0854D24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العينة هي مجموعة فرعية مأخوذة من مجتمع الدراسة، وقد نشأ هذا المفهوم بسبب عدم قدرة الباحثين على اختبار جميع الأفراد في مجتمع معين، لهذا يجب أن تكون العينة المختارة ممثلة لمجتمع الدراسة الذي أخذت منه في جميع الخصائص، كما ويجب أن يكون حجمها مناسباً لضمان القدرة على القيام بعمليات التحليل الإحصائي وتتمثل الوظيفة الرئيسية لعينة الدراسة في السماح للباحثين بإجراء الدراسة على الأفراد من المجتمع، بحيث يمكن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الوسطي/ التنفيذية) في هيئة الزكاة والضريبية والجمارك.</w:t>
      </w:r>
    </w:p>
    <w:p w14:paraId="391331ED" w14:textId="77777777" w:rsidR="003804AC" w:rsidRPr="00202E2A" w:rsidRDefault="003804AC" w:rsidP="0019590B">
      <w:pPr>
        <w:bidi/>
        <w:spacing w:line="276" w:lineRule="auto"/>
        <w:jc w:val="lowKashida"/>
        <w:outlineLvl w:val="0"/>
        <w:rPr>
          <w:rFonts w:asciiTheme="majorBidi" w:hAnsiTheme="majorBidi" w:cstheme="majorBidi"/>
          <w:b/>
          <w:bCs/>
          <w:sz w:val="26"/>
          <w:szCs w:val="26"/>
          <w:rtl/>
          <w:lang w:bidi="ar-EG"/>
        </w:rPr>
      </w:pPr>
      <w:r w:rsidRPr="00202E2A">
        <w:rPr>
          <w:rFonts w:asciiTheme="majorBidi" w:hAnsiTheme="majorBidi" w:cstheme="majorBidi"/>
          <w:b/>
          <w:bCs/>
          <w:sz w:val="26"/>
          <w:szCs w:val="26"/>
          <w:rtl/>
        </w:rPr>
        <w:lastRenderedPageBreak/>
        <w:t xml:space="preserve"> </w:t>
      </w:r>
      <w:r w:rsidRPr="00202E2A">
        <w:rPr>
          <w:rFonts w:asciiTheme="majorBidi" w:hAnsiTheme="majorBidi" w:cstheme="majorBidi"/>
          <w:b/>
          <w:bCs/>
          <w:sz w:val="26"/>
          <w:szCs w:val="26"/>
          <w:rtl/>
          <w:lang w:bidi="ar-EG"/>
        </w:rPr>
        <w:t>ويتم تحديد حجم العينة باستخدام معادلة ستيفن ثومبسون وهي كالتالي:</w:t>
      </w:r>
    </w:p>
    <w:p w14:paraId="306F25EB"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30E7386"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حيث :</w:t>
      </w:r>
    </w:p>
    <w:p w14:paraId="4C72BCA3"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العينة،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المجتمع، </w:t>
      </w:r>
      <w:r w:rsidRPr="00202E2A">
        <w:rPr>
          <w:rFonts w:asciiTheme="majorBidi" w:hAnsiTheme="majorBidi" w:cstheme="majorBidi"/>
          <w:sz w:val="26"/>
          <w:szCs w:val="26"/>
          <w:lang w:bidi="ar-EG"/>
        </w:rPr>
        <w:t>P</w:t>
      </w:r>
      <w:r w:rsidRPr="00202E2A">
        <w:rPr>
          <w:rFonts w:asciiTheme="majorBidi" w:hAnsiTheme="majorBidi" w:cstheme="majorBidi"/>
          <w:sz w:val="26"/>
          <w:szCs w:val="26"/>
          <w:rtl/>
          <w:lang w:bidi="ar-EG"/>
        </w:rPr>
        <w:t xml:space="preserve"> = تمثل القيمة الاحتمالية وهي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d</w:t>
      </w:r>
      <w:r w:rsidRPr="00202E2A">
        <w:rPr>
          <w:rFonts w:asciiTheme="majorBidi" w:hAnsiTheme="majorBidi" w:cstheme="majorBidi"/>
          <w:sz w:val="26"/>
          <w:szCs w:val="26"/>
          <w:rtl/>
          <w:lang w:bidi="ar-EG"/>
        </w:rPr>
        <w:t xml:space="preserve"> = تمثل نسبة الخطأ المقبول في العينة وهي تساوي: </w:t>
      </w:r>
    </w:p>
    <w:p w14:paraId="68BB94B3" w14:textId="77777777" w:rsidR="003804AC" w:rsidRPr="00202E2A" w:rsidRDefault="003804AC" w:rsidP="0019590B">
      <w:pPr>
        <w:bidi/>
        <w:spacing w:line="276" w:lineRule="auto"/>
        <w:jc w:val="lowKashida"/>
        <w:outlineLvl w:val="0"/>
        <w:rPr>
          <w:rFonts w:asciiTheme="majorBidi" w:hAnsiTheme="majorBidi" w:cstheme="majorBidi"/>
          <w:sz w:val="26"/>
          <w:szCs w:val="26"/>
          <w:rtl/>
        </w:rPr>
      </w:pP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Z</w:t>
      </w:r>
      <w:r w:rsidRPr="00202E2A">
        <w:rPr>
          <w:rFonts w:asciiTheme="majorBidi" w:hAnsiTheme="majorBidi" w:cstheme="majorBidi"/>
          <w:sz w:val="26"/>
          <w:szCs w:val="26"/>
          <w:rtl/>
          <w:lang w:bidi="ar-EG"/>
        </w:rPr>
        <w:t xml:space="preserve"> = تمثل الدرجة المعيارية المقابلة لمستوي الثقة: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1.96</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2.58</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rPr>
        <w:t xml:space="preserve">وبالتالي يتم توضيح حجم العينة وفقا للجدول التالي: </w:t>
      </w:r>
    </w:p>
    <w:p w14:paraId="7F448EE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جدول رقم (</w:t>
      </w:r>
      <w:r w:rsidRPr="00202E2A">
        <w:rPr>
          <w:rFonts w:asciiTheme="majorBidi" w:hAnsiTheme="majorBidi" w:cstheme="majorBidi"/>
          <w:b/>
          <w:bCs/>
          <w:sz w:val="26"/>
          <w:szCs w:val="26"/>
        </w:rPr>
        <w:t>2</w:t>
      </w:r>
      <w:r w:rsidRPr="00202E2A">
        <w:rPr>
          <w:rFonts w:asciiTheme="majorBidi" w:hAnsiTheme="majorBidi" w:cstheme="majorBidi"/>
          <w:b/>
          <w:bCs/>
          <w:sz w:val="26"/>
          <w:szCs w:val="26"/>
          <w:rtl/>
        </w:rPr>
        <w:t>) مجتمع وعينة الدراسة</w:t>
      </w:r>
    </w:p>
    <w:tbl>
      <w:tblPr>
        <w:tblStyle w:val="TableGrid"/>
        <w:bidiVisual/>
        <w:tblW w:w="9056" w:type="dxa"/>
        <w:tblLook w:val="04A0" w:firstRow="1" w:lastRow="0" w:firstColumn="1" w:lastColumn="0" w:noHBand="0" w:noVBand="1"/>
      </w:tblPr>
      <w:tblGrid>
        <w:gridCol w:w="3370"/>
        <w:gridCol w:w="1882"/>
        <w:gridCol w:w="1898"/>
        <w:gridCol w:w="1906"/>
      </w:tblGrid>
      <w:tr w:rsidR="003804AC" w:rsidRPr="00202E2A" w14:paraId="72FA9836" w14:textId="77777777" w:rsidTr="00053955">
        <w:trPr>
          <w:trHeight w:val="243"/>
        </w:trPr>
        <w:tc>
          <w:tcPr>
            <w:tcW w:w="3370" w:type="dxa"/>
            <w:shd w:val="clear" w:color="auto" w:fill="D0CECE" w:themeFill="background2" w:themeFillShade="E6"/>
          </w:tcPr>
          <w:p w14:paraId="042B727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البيان</w:t>
            </w:r>
          </w:p>
        </w:tc>
        <w:tc>
          <w:tcPr>
            <w:tcW w:w="1882" w:type="dxa"/>
            <w:shd w:val="clear" w:color="auto" w:fill="D0CECE" w:themeFill="background2" w:themeFillShade="E6"/>
          </w:tcPr>
          <w:p w14:paraId="11D2EF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عدد المديرين</w:t>
            </w:r>
          </w:p>
        </w:tc>
        <w:tc>
          <w:tcPr>
            <w:tcW w:w="1898" w:type="dxa"/>
            <w:shd w:val="clear" w:color="auto" w:fill="D0CECE" w:themeFill="background2" w:themeFillShade="E6"/>
          </w:tcPr>
          <w:p w14:paraId="6437611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النسبة المئوية</w:t>
            </w:r>
          </w:p>
        </w:tc>
        <w:tc>
          <w:tcPr>
            <w:tcW w:w="1906" w:type="dxa"/>
            <w:shd w:val="clear" w:color="auto" w:fill="D0CECE" w:themeFill="background2" w:themeFillShade="E6"/>
          </w:tcPr>
          <w:p w14:paraId="3B958ACC"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حجم العينة</w:t>
            </w:r>
          </w:p>
        </w:tc>
      </w:tr>
      <w:tr w:rsidR="003804AC" w:rsidRPr="00202E2A" w14:paraId="3FBFF16E" w14:textId="77777777" w:rsidTr="00053955">
        <w:trPr>
          <w:trHeight w:val="45"/>
        </w:trPr>
        <w:tc>
          <w:tcPr>
            <w:tcW w:w="3370" w:type="dxa"/>
          </w:tcPr>
          <w:p w14:paraId="12AE433C"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نائب ووكيل </w:t>
            </w:r>
          </w:p>
        </w:tc>
        <w:tc>
          <w:tcPr>
            <w:tcW w:w="1882" w:type="dxa"/>
          </w:tcPr>
          <w:p w14:paraId="425612C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11</w:t>
            </w:r>
          </w:p>
        </w:tc>
        <w:tc>
          <w:tcPr>
            <w:tcW w:w="1898" w:type="dxa"/>
          </w:tcPr>
          <w:p w14:paraId="7B1AA4FE"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w:t>
            </w:r>
            <w:r w:rsidRPr="00202E2A">
              <w:rPr>
                <w:rFonts w:asciiTheme="majorBidi" w:hAnsiTheme="majorBidi" w:cstheme="majorBidi"/>
                <w:b/>
                <w:bCs/>
                <w:sz w:val="26"/>
                <w:szCs w:val="26"/>
                <w:rtl/>
              </w:rPr>
              <w:t>%</w:t>
            </w:r>
          </w:p>
        </w:tc>
        <w:tc>
          <w:tcPr>
            <w:tcW w:w="1906" w:type="dxa"/>
          </w:tcPr>
          <w:p w14:paraId="4838A28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w:t>
            </w:r>
          </w:p>
        </w:tc>
      </w:tr>
      <w:tr w:rsidR="003804AC" w:rsidRPr="00202E2A" w14:paraId="32AAF720" w14:textId="77777777" w:rsidTr="00053955">
        <w:tc>
          <w:tcPr>
            <w:tcW w:w="3370" w:type="dxa"/>
          </w:tcPr>
          <w:p w14:paraId="419DE16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عام </w:t>
            </w:r>
          </w:p>
        </w:tc>
        <w:tc>
          <w:tcPr>
            <w:tcW w:w="1882" w:type="dxa"/>
          </w:tcPr>
          <w:p w14:paraId="60DC069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25</w:t>
            </w:r>
          </w:p>
        </w:tc>
        <w:tc>
          <w:tcPr>
            <w:tcW w:w="1898" w:type="dxa"/>
          </w:tcPr>
          <w:p w14:paraId="73F61CE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3BFDDC0"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1384E0A6" w14:textId="77777777" w:rsidTr="00053955">
        <w:tc>
          <w:tcPr>
            <w:tcW w:w="3370" w:type="dxa"/>
          </w:tcPr>
          <w:p w14:paraId="63D7617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إدارة  </w:t>
            </w:r>
          </w:p>
        </w:tc>
        <w:tc>
          <w:tcPr>
            <w:tcW w:w="1882" w:type="dxa"/>
          </w:tcPr>
          <w:p w14:paraId="58C1E53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30</w:t>
            </w:r>
          </w:p>
        </w:tc>
        <w:tc>
          <w:tcPr>
            <w:tcW w:w="1898" w:type="dxa"/>
          </w:tcPr>
          <w:p w14:paraId="218385E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DB4288F"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7BA24CBD" w14:textId="77777777" w:rsidTr="00053955">
        <w:tc>
          <w:tcPr>
            <w:tcW w:w="3370" w:type="dxa"/>
          </w:tcPr>
          <w:p w14:paraId="6BAB0CF4"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منفذ </w:t>
            </w:r>
          </w:p>
        </w:tc>
        <w:tc>
          <w:tcPr>
            <w:tcW w:w="1882" w:type="dxa"/>
          </w:tcPr>
          <w:p w14:paraId="1C1CE5E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1BAB9852"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20FF426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3F89D6FE" w14:textId="77777777" w:rsidTr="00053955">
        <w:tc>
          <w:tcPr>
            <w:tcW w:w="3370" w:type="dxa"/>
          </w:tcPr>
          <w:p w14:paraId="1C66F622"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قسم </w:t>
            </w:r>
          </w:p>
        </w:tc>
        <w:tc>
          <w:tcPr>
            <w:tcW w:w="1882" w:type="dxa"/>
          </w:tcPr>
          <w:p w14:paraId="34FD39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719060C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4ADDF19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2721EB9C" w14:textId="77777777" w:rsidTr="00053955">
        <w:tc>
          <w:tcPr>
            <w:tcW w:w="3370" w:type="dxa"/>
          </w:tcPr>
          <w:p w14:paraId="26099D66"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مشرفي وحدات</w:t>
            </w:r>
          </w:p>
        </w:tc>
        <w:tc>
          <w:tcPr>
            <w:tcW w:w="1882" w:type="dxa"/>
          </w:tcPr>
          <w:p w14:paraId="59E824B3"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224</w:t>
            </w:r>
          </w:p>
        </w:tc>
        <w:tc>
          <w:tcPr>
            <w:tcW w:w="1898" w:type="dxa"/>
          </w:tcPr>
          <w:p w14:paraId="39D4CE47"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49</w:t>
            </w:r>
            <w:r w:rsidRPr="00202E2A">
              <w:rPr>
                <w:rFonts w:asciiTheme="majorBidi" w:hAnsiTheme="majorBidi" w:cstheme="majorBidi"/>
                <w:b/>
                <w:bCs/>
                <w:sz w:val="26"/>
                <w:szCs w:val="26"/>
                <w:rtl/>
              </w:rPr>
              <w:t>%</w:t>
            </w:r>
          </w:p>
        </w:tc>
        <w:tc>
          <w:tcPr>
            <w:tcW w:w="1906" w:type="dxa"/>
          </w:tcPr>
          <w:p w14:paraId="33FA5F2C"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18</w:t>
            </w:r>
          </w:p>
        </w:tc>
      </w:tr>
      <w:tr w:rsidR="003804AC" w:rsidRPr="00202E2A" w14:paraId="38E14AB9" w14:textId="77777777" w:rsidTr="00053955">
        <w:tc>
          <w:tcPr>
            <w:tcW w:w="3370" w:type="dxa"/>
            <w:shd w:val="clear" w:color="auto" w:fill="D0CECE" w:themeFill="background2" w:themeFillShade="E6"/>
          </w:tcPr>
          <w:p w14:paraId="5B58843B"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الإجمالي</w:t>
            </w:r>
          </w:p>
        </w:tc>
        <w:tc>
          <w:tcPr>
            <w:tcW w:w="1882" w:type="dxa"/>
            <w:shd w:val="clear" w:color="auto" w:fill="D0CECE" w:themeFill="background2" w:themeFillShade="E6"/>
          </w:tcPr>
          <w:p w14:paraId="6DD5ACF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400</w:t>
            </w:r>
          </w:p>
        </w:tc>
        <w:tc>
          <w:tcPr>
            <w:tcW w:w="1898" w:type="dxa"/>
            <w:shd w:val="clear" w:color="auto" w:fill="D0CECE" w:themeFill="background2" w:themeFillShade="E6"/>
          </w:tcPr>
          <w:p w14:paraId="395A52C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100</w:t>
            </w:r>
            <w:r w:rsidRPr="00202E2A">
              <w:rPr>
                <w:rFonts w:asciiTheme="majorBidi" w:hAnsiTheme="majorBidi" w:cstheme="majorBidi"/>
                <w:b/>
                <w:bCs/>
                <w:sz w:val="26"/>
                <w:szCs w:val="26"/>
                <w:rtl/>
              </w:rPr>
              <w:t>%</w:t>
            </w:r>
          </w:p>
        </w:tc>
        <w:tc>
          <w:tcPr>
            <w:tcW w:w="1906" w:type="dxa"/>
            <w:shd w:val="clear" w:color="auto" w:fill="D0CECE" w:themeFill="background2" w:themeFillShade="E6"/>
          </w:tcPr>
          <w:p w14:paraId="592699A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50</w:t>
            </w:r>
          </w:p>
        </w:tc>
      </w:tr>
    </w:tbl>
    <w:p w14:paraId="35FC77BF" w14:textId="77777777" w:rsidR="003804AC" w:rsidRPr="00202E2A" w:rsidRDefault="003804AC" w:rsidP="0019590B">
      <w:pPr>
        <w:bidi/>
        <w:spacing w:line="276" w:lineRule="auto"/>
        <w:jc w:val="lowKashida"/>
        <w:rPr>
          <w:rFonts w:asciiTheme="majorBidi" w:hAnsiTheme="majorBidi" w:cstheme="majorBidi"/>
          <w:b/>
          <w:bCs/>
          <w:sz w:val="26"/>
          <w:szCs w:val="26"/>
        </w:rPr>
      </w:pPr>
      <w:r w:rsidRPr="00202E2A">
        <w:rPr>
          <w:rFonts w:asciiTheme="majorBidi" w:hAnsiTheme="majorBidi" w:cstheme="majorBidi"/>
          <w:b/>
          <w:bCs/>
          <w:sz w:val="26"/>
          <w:szCs w:val="26"/>
          <w:rtl/>
        </w:rPr>
        <w:t>المصدر: من إعداد الباحث في ضوء الهيكل التنظيمي، وكالة رأس المال البشري، بهيئة الزكاة والضريبية والجمارك.</w:t>
      </w:r>
    </w:p>
    <w:p w14:paraId="3EBB3C21" w14:textId="77777777" w:rsidR="003804AC" w:rsidRPr="00202E2A" w:rsidRDefault="003804AC"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أدوات جمع بيانات الدارسة</w:t>
      </w:r>
    </w:p>
    <w:p w14:paraId="2FFE8C5D" w14:textId="77777777" w:rsidR="003804AC" w:rsidRPr="00202E2A" w:rsidRDefault="003804AC"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تنقسم بيانات البحث إلى نوعين: نوعية (وصفية غير رقمية) تركّز على فهم الظواهر عبر الوصف، وكمية (عددية) تعتمد على الأرقام لتحليل الظروف المختلفة، تُعد عملية الجمع خطوة محورية في الدراسات، خاصةً في قضايا مثل التحول الرقمي وتأثيره على الأمن والتجارة، مما يتطلب فهمًا عميقًا لأساليب الجمع المناسبة</w:t>
      </w:r>
      <w:r w:rsidRPr="00202E2A">
        <w:rPr>
          <w:rFonts w:asciiTheme="majorBidi" w:hAnsiTheme="majorBidi" w:cstheme="majorBidi"/>
          <w:sz w:val="26"/>
          <w:szCs w:val="26"/>
          <w:lang w:bidi="ar-EG"/>
        </w:rPr>
        <w:t>.</w:t>
      </w:r>
    </w:p>
    <w:p w14:paraId="535BA57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 xml:space="preserve">مصادر البيانات: </w:t>
      </w:r>
    </w:p>
    <w:p w14:paraId="7DE7FD0D"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أولية: مباشرة كالسجلات الوظيفية أو استطلاعات العاملين بالهيئة، وتتميز بمصداقية عالية</w:t>
      </w:r>
      <w:r w:rsidRPr="00202E2A">
        <w:rPr>
          <w:rFonts w:asciiTheme="majorBidi" w:hAnsiTheme="majorBidi" w:cstheme="majorBidi"/>
          <w:sz w:val="26"/>
          <w:szCs w:val="26"/>
          <w:lang w:bidi="ar-EG"/>
        </w:rPr>
        <w:t xml:space="preserve">.  </w:t>
      </w:r>
    </w:p>
    <w:p w14:paraId="47E3E3B8"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ثانوية: كالدراسات السابقة أو المنشورات، وتُستخدم عند عدم كفاية المصادر الأولية</w:t>
      </w:r>
      <w:r w:rsidRPr="00202E2A">
        <w:rPr>
          <w:rFonts w:asciiTheme="majorBidi" w:hAnsiTheme="majorBidi" w:cstheme="majorBidi"/>
          <w:sz w:val="26"/>
          <w:szCs w:val="26"/>
          <w:lang w:bidi="ar-EG"/>
        </w:rPr>
        <w:t>.</w:t>
      </w:r>
    </w:p>
    <w:p w14:paraId="0CA3D76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أدوات الجمع الرئيسية:</w:t>
      </w:r>
    </w:p>
    <w:p w14:paraId="048B1776"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الاستبيان</w:t>
      </w:r>
      <w:r w:rsidRPr="00202E2A">
        <w:rPr>
          <w:rFonts w:asciiTheme="majorBidi" w:hAnsiTheme="majorBidi" w:cstheme="majorBidi"/>
          <w:sz w:val="26"/>
          <w:szCs w:val="26"/>
          <w:rtl/>
          <w:lang w:bidi="ar-EG"/>
        </w:rPr>
        <w:t>: أشهرها لسهولة التصميم والتحليل، وقد يكون مفتوحًا أو مغلقًا، ويُنفذ إلكترونيًّا أو ورقيًّا</w:t>
      </w:r>
      <w:r w:rsidRPr="00202E2A">
        <w:rPr>
          <w:rFonts w:asciiTheme="majorBidi" w:hAnsiTheme="majorBidi" w:cstheme="majorBidi"/>
          <w:sz w:val="26"/>
          <w:szCs w:val="26"/>
          <w:lang w:bidi="ar-EG"/>
        </w:rPr>
        <w:t xml:space="preserve">.  </w:t>
      </w:r>
    </w:p>
    <w:p w14:paraId="670FAE35"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المقابلة</w:t>
      </w:r>
      <w:r w:rsidRPr="00202E2A">
        <w:rPr>
          <w:rFonts w:asciiTheme="majorBidi" w:hAnsiTheme="majorBidi" w:cstheme="majorBidi"/>
          <w:sz w:val="26"/>
          <w:szCs w:val="26"/>
          <w:rtl/>
          <w:lang w:bidi="ar-EG"/>
        </w:rPr>
        <w:t>: تفاعل شفوي مباشر لجمع آراء معمقة، وتُناسب الدراسات الاجتماعية</w:t>
      </w:r>
      <w:r w:rsidRPr="00202E2A">
        <w:rPr>
          <w:rFonts w:asciiTheme="majorBidi" w:hAnsiTheme="majorBidi" w:cstheme="majorBidi"/>
          <w:sz w:val="26"/>
          <w:szCs w:val="26"/>
          <w:lang w:bidi="ar-EG"/>
        </w:rPr>
        <w:t xml:space="preserve">.  </w:t>
      </w:r>
    </w:p>
    <w:p w14:paraId="5F9B04C3"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الملاحظة</w:t>
      </w:r>
      <w:r w:rsidRPr="00202E2A">
        <w:rPr>
          <w:rFonts w:asciiTheme="majorBidi" w:hAnsiTheme="majorBidi" w:cstheme="majorBidi"/>
          <w:sz w:val="26"/>
          <w:szCs w:val="26"/>
          <w:rtl/>
          <w:lang w:bidi="ar-EG"/>
        </w:rPr>
        <w:t>: تُستخدم في الأبحاث التطبيقية لرصد الظواهر مباشرةً حيث لا تناسب الأدوات الأخرى</w:t>
      </w:r>
      <w:r w:rsidRPr="00202E2A">
        <w:rPr>
          <w:rFonts w:asciiTheme="majorBidi" w:hAnsiTheme="majorBidi" w:cstheme="majorBidi"/>
          <w:sz w:val="26"/>
          <w:szCs w:val="26"/>
          <w:lang w:bidi="ar-EG"/>
        </w:rPr>
        <w:t xml:space="preserve">.  </w:t>
      </w:r>
    </w:p>
    <w:p w14:paraId="5912A10D"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الأساليب الإحصائية</w:t>
      </w:r>
    </w:p>
    <w:p w14:paraId="3AB9655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انطلاقا من طبيعة مشكلة وأهداف الدراسة، فيري الباحث أن المنهج التحليلي يعد المنهج الأنسب لإعداد الدراسة، حيث يعرف المنهج الوصفي التحليلي علي أنه منهج بحثي وطريقة علمية تستخدم لوصف الظاهرة أو الحدث محل الدراسة، ومن ثم تصوير وهذه الظاهرة بصورة كمية رقمية، والعمل علي وصفها بطريقة وصفية تفسيرية، من خلال جمع المعلومات المقننة حول المشكلة وتصنيفها، وتحليلها وإخضاعها للدراسة الدقيقة، وذلك للتوصل إلي دلالات ومؤشرات ذات صلة، وسوف يعتمد الباحث في تحليل البيانات واختبار صحة فرضي الدراسة علي برنامج الحزم الإحصائية للعلوم الاجتماعية </w:t>
      </w:r>
      <w:r w:rsidRPr="00202E2A">
        <w:rPr>
          <w:rFonts w:asciiTheme="majorBidi" w:hAnsiTheme="majorBidi" w:cstheme="majorBidi"/>
          <w:sz w:val="26"/>
          <w:szCs w:val="26"/>
          <w:lang w:bidi="ar-EG"/>
        </w:rPr>
        <w:t>SPSS</w:t>
      </w:r>
      <w:r w:rsidRPr="00202E2A">
        <w:rPr>
          <w:rFonts w:asciiTheme="majorBidi" w:hAnsiTheme="majorBidi" w:cstheme="majorBidi"/>
          <w:sz w:val="26"/>
          <w:szCs w:val="26"/>
          <w:rtl/>
          <w:lang w:bidi="ar-EG"/>
        </w:rPr>
        <w:t>، حيث سوف يتم استخدام الأساليب الإحصائية التالية:</w:t>
      </w:r>
    </w:p>
    <w:p w14:paraId="75725B00" w14:textId="44613FFE" w:rsidR="003804AC" w:rsidRPr="00202E2A" w:rsidRDefault="003804AC" w:rsidP="002E5F99">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حساب الإحصائية الوصفية </w:t>
      </w:r>
      <w:r w:rsidRPr="00202E2A">
        <w:rPr>
          <w:rFonts w:asciiTheme="majorBidi" w:hAnsiTheme="majorBidi" w:cstheme="majorBidi"/>
          <w:sz w:val="26"/>
          <w:szCs w:val="26"/>
          <w:lang w:bidi="ar-EG"/>
        </w:rPr>
        <w:t>Descriptive Statistics</w:t>
      </w:r>
      <w:r w:rsidRPr="00202E2A">
        <w:rPr>
          <w:rFonts w:asciiTheme="majorBidi" w:hAnsiTheme="majorBidi" w:cstheme="majorBidi"/>
          <w:sz w:val="26"/>
          <w:szCs w:val="26"/>
          <w:rtl/>
          <w:lang w:bidi="ar-EG"/>
        </w:rPr>
        <w:t xml:space="preserve"> (الوسط الحسابي </w:t>
      </w:r>
      <w:r w:rsidRPr="00202E2A">
        <w:rPr>
          <w:rFonts w:asciiTheme="majorBidi" w:hAnsiTheme="majorBidi" w:cstheme="majorBidi"/>
          <w:sz w:val="26"/>
          <w:szCs w:val="26"/>
          <w:lang w:bidi="ar-EG"/>
        </w:rPr>
        <w:t>Mean</w:t>
      </w:r>
      <w:r w:rsidRPr="00202E2A">
        <w:rPr>
          <w:rFonts w:asciiTheme="majorBidi" w:hAnsiTheme="majorBidi" w:cstheme="majorBidi"/>
          <w:sz w:val="26"/>
          <w:szCs w:val="26"/>
          <w:rtl/>
          <w:lang w:bidi="ar-EG"/>
        </w:rPr>
        <w:t xml:space="preserve">، والانحراف المعياري </w:t>
      </w:r>
      <w:r w:rsidRPr="00202E2A">
        <w:rPr>
          <w:rFonts w:asciiTheme="majorBidi" w:hAnsiTheme="majorBidi" w:cstheme="majorBidi"/>
          <w:sz w:val="26"/>
          <w:szCs w:val="26"/>
          <w:lang w:bidi="ar-EG"/>
        </w:rPr>
        <w:t>Standard Deviation</w:t>
      </w:r>
      <w:r w:rsidRPr="00202E2A">
        <w:rPr>
          <w:rFonts w:asciiTheme="majorBidi" w:hAnsiTheme="majorBidi" w:cstheme="majorBidi"/>
          <w:sz w:val="26"/>
          <w:szCs w:val="26"/>
          <w:rtl/>
          <w:lang w:bidi="ar-EG"/>
        </w:rPr>
        <w:t>، لكل من أبعاد القيادة التبادلية والتحويلية والتحول الرقمي</w:t>
      </w:r>
      <w:r w:rsidR="002E5F99" w:rsidRPr="00202E2A">
        <w:rPr>
          <w:rFonts w:asciiTheme="majorBidi" w:hAnsiTheme="majorBidi" w:cstheme="majorBidi" w:hint="cs"/>
          <w:sz w:val="26"/>
          <w:szCs w:val="26"/>
          <w:rtl/>
          <w:lang w:bidi="ar-EG"/>
        </w:rPr>
        <w:t>.</w:t>
      </w:r>
    </w:p>
    <w:p w14:paraId="3F1A145F" w14:textId="77777777" w:rsidR="003804AC" w:rsidRPr="00202E2A" w:rsidRDefault="003804AC" w:rsidP="0019590B">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أسلوب تحليل الانحدار المتعدد </w:t>
      </w:r>
      <w:r w:rsidRPr="00202E2A">
        <w:rPr>
          <w:rFonts w:asciiTheme="majorBidi" w:hAnsiTheme="majorBidi" w:cstheme="majorBidi"/>
          <w:sz w:val="26"/>
          <w:szCs w:val="26"/>
          <w:lang w:bidi="ar-EG"/>
        </w:rPr>
        <w:t>Multiple Regression Analysis</w:t>
      </w:r>
      <w:r w:rsidRPr="00202E2A">
        <w:rPr>
          <w:rFonts w:asciiTheme="majorBidi" w:hAnsiTheme="majorBidi" w:cstheme="majorBidi"/>
          <w:sz w:val="26"/>
          <w:szCs w:val="26"/>
          <w:rtl/>
          <w:lang w:bidi="ar-EG"/>
        </w:rPr>
        <w:t xml:space="preserve"> وذلك لاختبار مدي تأثير أبعاد القيادة التبادلية والتحويلية في أبعاد التحول الرقمي.</w:t>
      </w:r>
    </w:p>
    <w:p w14:paraId="668C66A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أداة الدراسة:</w:t>
      </w:r>
    </w:p>
    <w:p w14:paraId="334A6B29" w14:textId="60AA8FD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ab/>
        <w:t>سوف يعتمد الباحث في تجميع بيانات الدراسة الميدانية من مصادرها الأولية قائمة استقصاء موجهة إلي مفردات الدراسة، والتي انقسمت إلي قسمين: الأول يتعلق بقياس أبعاد التحول الرقمي، والثاني يتعلق بقياس أبعاد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وسوف يتم استخدام مقياس ليكرت الخماسي الأبعاد للإجابة علي الأسئلة الخاصة بكل متغيرات الدراسة وتأثيرها معاً.</w:t>
      </w:r>
    </w:p>
    <w:p w14:paraId="48FDC59B"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مقاييس متغيرات الدراسة:</w:t>
      </w:r>
    </w:p>
    <w:p w14:paraId="4A92B09C" w14:textId="77777777" w:rsidR="003804AC" w:rsidRPr="00202E2A" w:rsidRDefault="003804AC" w:rsidP="0019590B">
      <w:pPr>
        <w:pStyle w:val="ListParagraph"/>
        <w:numPr>
          <w:ilvl w:val="0"/>
          <w:numId w:val="3"/>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التحول الرقمي (المتغير المستقل):</w:t>
      </w:r>
    </w:p>
    <w:p w14:paraId="788E40B0"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سوف يعتمد الباحث في قياس أبعاد التحول الرقمي على المقاييس التي اعتمدت عليها الكثير من الباحثين بالدراسات السابقة وتم تطبقها، حيث ينقسم إلي ثلاثة أبعاد وهي: البيئة الخارجية المحيطة، البيئة الداخلية، استخدام العملاء. </w:t>
      </w:r>
    </w:p>
    <w:p w14:paraId="04548EFC" w14:textId="77777777" w:rsidR="003804AC" w:rsidRPr="00202E2A" w:rsidRDefault="003804AC">
      <w:pPr>
        <w:pStyle w:val="ListParagraph"/>
        <w:numPr>
          <w:ilvl w:val="0"/>
          <w:numId w:val="15"/>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تعزيز الأمن وتيسير التجارة (المتغيرات التابعة):</w:t>
      </w:r>
    </w:p>
    <w:p w14:paraId="3AFE148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سوف يعتمد الباحث في قياس أبعاد تعزيز الأمن وتيسير التجارة والتي اعتمدت عليها العديد من الدراسات العربية منها والأجنبية، وقامت بدراستها العديد من الدراسات والأبحاث المختلفة.</w:t>
      </w:r>
    </w:p>
    <w:p w14:paraId="43E5A5E0" w14:textId="7FE04046" w:rsidR="00853ED2" w:rsidRPr="00202E2A" w:rsidRDefault="004B4A0D" w:rsidP="00853ED2">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 xml:space="preserve">تاسعاً: </w:t>
      </w:r>
      <w:r w:rsidR="00853ED2" w:rsidRPr="00202E2A">
        <w:rPr>
          <w:rFonts w:asciiTheme="majorBidi" w:hAnsiTheme="majorBidi" w:cstheme="majorBidi"/>
          <w:b/>
          <w:bCs/>
          <w:color w:val="002060"/>
          <w:sz w:val="26"/>
          <w:szCs w:val="26"/>
          <w:rtl/>
          <w:lang w:bidi="ar-EG"/>
        </w:rPr>
        <w:t xml:space="preserve">نموذج متغيرات الدراسة   </w:t>
      </w:r>
      <w:r w:rsidR="00853ED2" w:rsidRPr="00202E2A">
        <w:rPr>
          <w:rFonts w:asciiTheme="majorBidi" w:hAnsiTheme="majorBidi" w:cstheme="majorBidi"/>
          <w:b/>
          <w:bCs/>
          <w:color w:val="002060"/>
          <w:sz w:val="26"/>
          <w:szCs w:val="26"/>
          <w:lang w:bidi="ar-EG"/>
        </w:rPr>
        <w:t>Study variables model</w:t>
      </w:r>
    </w:p>
    <w:p w14:paraId="5C1950E6"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sz w:val="26"/>
          <w:szCs w:val="26"/>
          <w:rtl/>
          <w:lang w:bidi="ar-EG"/>
        </w:rPr>
        <w:t>يمكن صياغة النموذج الذي يوضح العلاقة بين متغيرات هذه الدراسة وذلك من خلال الشكل التالي:</w:t>
      </w:r>
      <w:r w:rsidRPr="00202E2A">
        <w:rPr>
          <w:rFonts w:asciiTheme="majorBidi" w:hAnsiTheme="majorBidi" w:cstheme="majorBidi"/>
          <w:b/>
          <w:bCs/>
          <w:sz w:val="26"/>
          <w:szCs w:val="26"/>
          <w:rtl/>
          <w:lang w:bidi="ar-EG"/>
        </w:rPr>
        <w:t xml:space="preserve"> </w:t>
      </w:r>
    </w:p>
    <w:p w14:paraId="52416F2E"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شكل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 النموذج المقترح للعلاقة بين متغيرات الدراسة</w:t>
      </w:r>
    </w:p>
    <w:p w14:paraId="33531992" w14:textId="77777777" w:rsidR="00853ED2" w:rsidRPr="00202E2A" w:rsidRDefault="00853ED2" w:rsidP="00853ED2">
      <w:pPr>
        <w:bidi/>
        <w:spacing w:line="276" w:lineRule="auto"/>
        <w:rPr>
          <w:rFonts w:asciiTheme="majorBidi" w:hAnsiTheme="majorBidi" w:cstheme="majorBidi"/>
          <w:b/>
          <w:bCs/>
          <w:noProof/>
          <w:sz w:val="26"/>
          <w:szCs w:val="26"/>
          <w:rtl/>
          <w:lang w:bidi="ar-EG"/>
        </w:rPr>
      </w:pPr>
      <w:r w:rsidRPr="00202E2A">
        <w:rPr>
          <w:rFonts w:asciiTheme="majorBidi" w:hAnsiTheme="majorBidi" w:cstheme="majorBidi"/>
          <w:noProof/>
          <w:sz w:val="26"/>
          <w:szCs w:val="26"/>
        </w:rPr>
        <w:lastRenderedPageBreak/>
        <w:drawing>
          <wp:inline distT="0" distB="0" distL="0" distR="0" wp14:anchorId="1608B20F" wp14:editId="66A3AFE1">
            <wp:extent cx="5943600" cy="3343275"/>
            <wp:effectExtent l="0" t="0" r="0" b="9525"/>
            <wp:docPr id="770326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2605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Pr="00202E2A">
        <w:rPr>
          <w:rFonts w:asciiTheme="majorBidi" w:hAnsiTheme="majorBidi" w:cstheme="majorBidi"/>
          <w:b/>
          <w:bCs/>
          <w:sz w:val="26"/>
          <w:szCs w:val="26"/>
          <w:rtl/>
          <w:lang w:bidi="ar-EG"/>
        </w:rPr>
        <w:t>المصدر: إعداد الباحث</w:t>
      </w:r>
      <w:r w:rsidRPr="00202E2A">
        <w:rPr>
          <w:rFonts w:asciiTheme="majorBidi" w:hAnsiTheme="majorBidi" w:cstheme="majorBidi"/>
          <w:b/>
          <w:bCs/>
          <w:sz w:val="26"/>
          <w:szCs w:val="26"/>
          <w:lang w:bidi="ar-EG"/>
        </w:rPr>
        <w:t>.</w:t>
      </w:r>
    </w:p>
    <w:p w14:paraId="04BEFAC6"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يوضح الشكل رقم (1) النموذج المقترح للعلاقة بين متغيرات الدراسة، حيث تم تصميمه لبيان التأثير المتوقع للتحول الرقمي بوصفه متغيرًا مستقلاً على متغير تابع يتمثل في "تعزيز الأمن وتيسير التجارة". ويعكس النموذج العلاقة السببية التي تفترضها الدراسة بين مكونات التحول الرقمي وأثرها على الأمن التجاري وفعالية العمليات التجارية</w:t>
      </w:r>
      <w:r w:rsidRPr="00202E2A">
        <w:rPr>
          <w:rFonts w:asciiTheme="majorBidi" w:hAnsiTheme="majorBidi" w:cstheme="majorBidi"/>
          <w:sz w:val="26"/>
          <w:szCs w:val="26"/>
          <w:lang w:bidi="ar-EG"/>
        </w:rPr>
        <w:t>.</w:t>
      </w:r>
    </w:p>
    <w:p w14:paraId="04135DF4" w14:textId="36345F0B"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يتكون المتغير المستقل "التحول الرقمي" من ثلاثة محاور أساسية هي: الأسس الرقمية التي تشمل البنية التحتية التكنولوجية، والابتكار الرقمي الذي يشير إلى استخدام الحلول التكنولوجية المتقدمة لدعم الكفاءة والتطوير، والحوكمة الرقمية التي تضمن وجود إطار تنظيمي وإداري مرن وفعال لإدارة البيئة الرقمية</w:t>
      </w:r>
      <w:r w:rsidRPr="00202E2A">
        <w:rPr>
          <w:rFonts w:asciiTheme="majorBidi" w:hAnsiTheme="majorBidi" w:cstheme="majorBidi"/>
          <w:sz w:val="26"/>
          <w:szCs w:val="26"/>
          <w:lang w:bidi="ar-EG"/>
        </w:rPr>
        <w:t>.</w:t>
      </w:r>
    </w:p>
    <w:p w14:paraId="2FA0F5EA"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أما المتغير التابع "تعزيز الأمن وتيسير التجارة"، فقد تم تفصيله إلى بعدين رئيسيين</w:t>
      </w:r>
      <w:r w:rsidRPr="00202E2A">
        <w:rPr>
          <w:rFonts w:asciiTheme="majorBidi" w:hAnsiTheme="majorBidi" w:cstheme="majorBidi"/>
          <w:sz w:val="26"/>
          <w:szCs w:val="26"/>
          <w:lang w:bidi="ar-EG"/>
        </w:rPr>
        <w:t>:</w:t>
      </w:r>
    </w:p>
    <w:p w14:paraId="1BA44BC0" w14:textId="2E84B69F"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1</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تعزيز الأمن،</w:t>
      </w:r>
      <w:r w:rsidRPr="00202E2A">
        <w:rPr>
          <w:rFonts w:asciiTheme="majorBidi" w:hAnsiTheme="majorBidi" w:cstheme="majorBidi"/>
          <w:sz w:val="26"/>
          <w:szCs w:val="26"/>
          <w:rtl/>
          <w:lang w:bidi="ar-EG"/>
        </w:rPr>
        <w:t xml:space="preserve"> ويشمل الجوانب المتعلقة بالأمن السيبراني، وحماية البيانات، وتحسين كفاءة الرقابة الجمركية، إلى جانب تعزيز التكامل والتعاون الاستراتيجيين بين الجهات المعنية، سواء القانونية أو المؤسسية. كما يشمل البعد الأمني الجوانب الاجتماعية والسياسية ذات الصلة بتقليل التهديدات والمخاطر المرتبطة بالأنشطة التجارية العابرة للحدود</w:t>
      </w:r>
      <w:r w:rsidRPr="00202E2A">
        <w:rPr>
          <w:rFonts w:asciiTheme="majorBidi" w:hAnsiTheme="majorBidi" w:cstheme="majorBidi"/>
          <w:sz w:val="26"/>
          <w:szCs w:val="26"/>
          <w:lang w:bidi="ar-EG"/>
        </w:rPr>
        <w:t>.</w:t>
      </w:r>
    </w:p>
    <w:p w14:paraId="08FACA10" w14:textId="4FDC2CC5"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2</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تيسير التجارة،</w:t>
      </w:r>
      <w:r w:rsidRPr="00202E2A">
        <w:rPr>
          <w:rFonts w:asciiTheme="majorBidi" w:hAnsiTheme="majorBidi" w:cstheme="majorBidi"/>
          <w:sz w:val="26"/>
          <w:szCs w:val="26"/>
          <w:rtl/>
          <w:lang w:bidi="ar-EG"/>
        </w:rPr>
        <w:t xml:space="preserve"> ويركز على تحسين البيئة الاقتصادية والتكنولوجية واللوجستية، مما يساهم في تقليل المعوقات أمام حركة التجارة، ودعم سلاسل الإمداد،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الإجراءات الجمركية، مما يؤدي إلى تقليل نسب التهريب والتكدس وتكاليف التشغيل، ويعزز كفاءة العبور ويقلل من الاعتماد على الإجراءات الورقية</w:t>
      </w:r>
      <w:r w:rsidRPr="00202E2A">
        <w:rPr>
          <w:rFonts w:asciiTheme="majorBidi" w:hAnsiTheme="majorBidi" w:cstheme="majorBidi"/>
          <w:sz w:val="26"/>
          <w:szCs w:val="26"/>
          <w:lang w:bidi="ar-EG"/>
        </w:rPr>
        <w:t>.</w:t>
      </w:r>
    </w:p>
    <w:p w14:paraId="66FF2501" w14:textId="176E7665" w:rsidR="00853ED2"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يعكس هذا النموذج ترابطًا ديناميكيًا بين التحول الرقمي بصفته محركًا للتطوير، وتأثيره المباشر على رفع مستويات الأمن، وتحقيق انسيابية أكبر في التجارة، مما يسهم بدوره في دعم التنمية الاقتصادية ورفع قدرة الدول التنافسية في الأسواق الإقليمية والدولية.</w:t>
      </w:r>
    </w:p>
    <w:p w14:paraId="28391508" w14:textId="77777777" w:rsidR="00202E2A" w:rsidRDefault="00202E2A" w:rsidP="00202E2A">
      <w:pPr>
        <w:bidi/>
        <w:spacing w:line="276" w:lineRule="auto"/>
        <w:jc w:val="lowKashida"/>
        <w:rPr>
          <w:rFonts w:asciiTheme="majorBidi" w:hAnsiTheme="majorBidi" w:cstheme="majorBidi"/>
          <w:sz w:val="28"/>
          <w:szCs w:val="28"/>
          <w:rtl/>
          <w:lang w:bidi="ar-EG"/>
        </w:rPr>
      </w:pPr>
    </w:p>
    <w:p w14:paraId="6584566A" w14:textId="77777777" w:rsidR="00202E2A" w:rsidRDefault="00202E2A" w:rsidP="00202E2A">
      <w:pPr>
        <w:bidi/>
        <w:spacing w:line="276" w:lineRule="auto"/>
        <w:jc w:val="lowKashida"/>
        <w:rPr>
          <w:rFonts w:asciiTheme="majorBidi" w:hAnsiTheme="majorBidi" w:cstheme="majorBidi"/>
          <w:sz w:val="28"/>
          <w:szCs w:val="28"/>
          <w:rtl/>
          <w:lang w:bidi="ar-EG"/>
        </w:rPr>
      </w:pPr>
    </w:p>
    <w:p w14:paraId="4FA362C8" w14:textId="77777777" w:rsidR="00202E2A" w:rsidRDefault="00202E2A" w:rsidP="00202E2A">
      <w:pPr>
        <w:bidi/>
        <w:spacing w:line="276" w:lineRule="auto"/>
        <w:jc w:val="lowKashida"/>
        <w:rPr>
          <w:rFonts w:asciiTheme="majorBidi" w:hAnsiTheme="majorBidi" w:cstheme="majorBidi"/>
          <w:sz w:val="28"/>
          <w:szCs w:val="28"/>
          <w:rtl/>
          <w:lang w:bidi="ar-EG"/>
        </w:rPr>
      </w:pPr>
    </w:p>
    <w:p w14:paraId="1A2B6DEC" w14:textId="77777777" w:rsidR="00202E2A" w:rsidRDefault="00202E2A" w:rsidP="00202E2A">
      <w:pPr>
        <w:bidi/>
        <w:spacing w:line="276" w:lineRule="auto"/>
        <w:jc w:val="lowKashida"/>
        <w:rPr>
          <w:rFonts w:asciiTheme="majorBidi" w:hAnsiTheme="majorBidi" w:cstheme="majorBidi"/>
          <w:sz w:val="28"/>
          <w:szCs w:val="28"/>
          <w:rtl/>
          <w:lang w:bidi="ar-EG"/>
        </w:rPr>
      </w:pPr>
    </w:p>
    <w:p w14:paraId="0F23AE74" w14:textId="77777777" w:rsidR="00202E2A" w:rsidRDefault="00202E2A" w:rsidP="00202E2A">
      <w:pPr>
        <w:bidi/>
        <w:spacing w:line="276" w:lineRule="auto"/>
        <w:jc w:val="lowKashida"/>
        <w:rPr>
          <w:rFonts w:asciiTheme="majorBidi" w:hAnsiTheme="majorBidi" w:cstheme="majorBidi"/>
          <w:sz w:val="28"/>
          <w:szCs w:val="28"/>
          <w:rtl/>
          <w:lang w:bidi="ar-EG"/>
        </w:rPr>
      </w:pPr>
    </w:p>
    <w:p w14:paraId="78DA9BDE" w14:textId="77777777" w:rsidR="00202E2A" w:rsidRDefault="00202E2A" w:rsidP="00202E2A">
      <w:pPr>
        <w:bidi/>
        <w:spacing w:line="276" w:lineRule="auto"/>
        <w:jc w:val="lowKashida"/>
        <w:rPr>
          <w:rFonts w:asciiTheme="majorBidi" w:hAnsiTheme="majorBidi" w:cstheme="majorBidi"/>
          <w:sz w:val="28"/>
          <w:szCs w:val="28"/>
          <w:rtl/>
          <w:lang w:bidi="ar-EG"/>
        </w:rPr>
      </w:pPr>
    </w:p>
    <w:p w14:paraId="47157948" w14:textId="77777777" w:rsidR="00202E2A" w:rsidRDefault="00202E2A" w:rsidP="00202E2A">
      <w:pPr>
        <w:bidi/>
        <w:spacing w:line="276" w:lineRule="auto"/>
        <w:jc w:val="lowKashida"/>
        <w:rPr>
          <w:rFonts w:asciiTheme="majorBidi" w:hAnsiTheme="majorBidi" w:cstheme="majorBidi"/>
          <w:sz w:val="28"/>
          <w:szCs w:val="28"/>
          <w:rtl/>
          <w:lang w:bidi="ar-EG"/>
        </w:rPr>
      </w:pPr>
    </w:p>
    <w:p w14:paraId="68B02356" w14:textId="77777777" w:rsidR="00202E2A" w:rsidRDefault="00202E2A" w:rsidP="00202E2A">
      <w:pPr>
        <w:bidi/>
        <w:spacing w:line="276" w:lineRule="auto"/>
        <w:jc w:val="lowKashida"/>
        <w:rPr>
          <w:rFonts w:asciiTheme="majorBidi" w:hAnsiTheme="majorBidi" w:cstheme="majorBidi"/>
          <w:sz w:val="28"/>
          <w:szCs w:val="28"/>
          <w:rtl/>
          <w:lang w:bidi="ar-EG"/>
        </w:rPr>
      </w:pPr>
    </w:p>
    <w:p w14:paraId="319248A6" w14:textId="77777777" w:rsidR="00202E2A" w:rsidRDefault="00202E2A" w:rsidP="00202E2A">
      <w:pPr>
        <w:bidi/>
        <w:jc w:val="center"/>
        <w:rPr>
          <w:rFonts w:asciiTheme="majorBidi" w:hAnsiTheme="majorBidi" w:cstheme="majorBidi"/>
          <w:b/>
          <w:bCs/>
          <w:sz w:val="144"/>
          <w:szCs w:val="144"/>
          <w:rtl/>
        </w:rPr>
      </w:pPr>
    </w:p>
    <w:p w14:paraId="0490CF6D" w14:textId="122F09A9" w:rsidR="00202E2A" w:rsidRDefault="00202E2A" w:rsidP="00202E2A">
      <w:pPr>
        <w:bidi/>
        <w:jc w:val="center"/>
        <w:rPr>
          <w:rFonts w:asciiTheme="majorBidi" w:hAnsiTheme="majorBidi" w:cstheme="majorBidi"/>
          <w:b/>
          <w:bCs/>
          <w:sz w:val="144"/>
          <w:szCs w:val="144"/>
          <w:rtl/>
        </w:rPr>
      </w:pPr>
      <w:r w:rsidRPr="00492E08">
        <w:rPr>
          <w:rFonts w:asciiTheme="majorBidi" w:hAnsiTheme="majorBidi" w:cstheme="majorBidi"/>
          <w:b/>
          <w:bCs/>
          <w:sz w:val="144"/>
          <w:szCs w:val="144"/>
          <w:rtl/>
        </w:rPr>
        <w:t>الفصل الثاني: الإطار النظري للدراسة</w:t>
      </w:r>
    </w:p>
    <w:p w14:paraId="6DC3059F" w14:textId="77777777" w:rsidR="00202E2A" w:rsidRPr="008B4907" w:rsidRDefault="00202E2A" w:rsidP="00202E2A">
      <w:pPr>
        <w:bidi/>
        <w:jc w:val="center"/>
        <w:rPr>
          <w:rFonts w:asciiTheme="majorBidi" w:hAnsiTheme="majorBidi" w:cstheme="majorBidi"/>
          <w:b/>
          <w:bCs/>
          <w:sz w:val="52"/>
          <w:szCs w:val="52"/>
          <w:rtl/>
        </w:rPr>
      </w:pPr>
    </w:p>
    <w:p w14:paraId="692F5DDE" w14:textId="77777777" w:rsidR="00202E2A" w:rsidRDefault="00202E2A" w:rsidP="00202E2A">
      <w:pPr>
        <w:bidi/>
        <w:spacing w:line="240" w:lineRule="auto"/>
        <w:jc w:val="lowKashida"/>
        <w:rPr>
          <w:rFonts w:asciiTheme="majorBidi" w:hAnsiTheme="majorBidi" w:cs="PT Bold Heading"/>
          <w:b/>
          <w:bCs/>
          <w:color w:val="000000" w:themeColor="text1"/>
          <w:sz w:val="26"/>
          <w:szCs w:val="26"/>
          <w:rtl/>
        </w:rPr>
      </w:pPr>
    </w:p>
    <w:p w14:paraId="6DBB900E" w14:textId="0F46BD8B"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lastRenderedPageBreak/>
        <w:t xml:space="preserve">الباب </w:t>
      </w:r>
      <w:r w:rsidR="00202E2A" w:rsidRPr="00A92155">
        <w:rPr>
          <w:rFonts w:asciiTheme="majorBidi" w:hAnsiTheme="majorBidi" w:cs="PT Bold Heading"/>
          <w:b/>
          <w:bCs/>
          <w:color w:val="000000" w:themeColor="text1"/>
          <w:sz w:val="26"/>
          <w:szCs w:val="26"/>
          <w:rtl/>
        </w:rPr>
        <w:t>الأول: الإطار المفاهيمي والمنهجي للتحول الرقمي</w:t>
      </w:r>
    </w:p>
    <w:p w14:paraId="4F926D7C"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مقدمة</w:t>
      </w:r>
      <w:r w:rsidRPr="00A92155">
        <w:rPr>
          <w:rFonts w:asciiTheme="majorBidi" w:hAnsiTheme="majorBidi" w:cs="PT Bold Heading"/>
          <w:b/>
          <w:bCs/>
          <w:color w:val="C00000"/>
          <w:sz w:val="26"/>
          <w:szCs w:val="26"/>
          <w:rtl/>
        </w:rPr>
        <w:t xml:space="preserve"> </w:t>
      </w:r>
    </w:p>
    <w:p w14:paraId="3F7F06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مسألة التحول الرقمي (</w:t>
      </w:r>
      <w:r w:rsidRPr="00A92155">
        <w:rPr>
          <w:rFonts w:asciiTheme="majorBidi" w:hAnsiTheme="majorBidi" w:cstheme="majorBidi"/>
          <w:sz w:val="26"/>
          <w:szCs w:val="26"/>
        </w:rPr>
        <w:t>Digital Transformation - DT</w:t>
      </w:r>
      <w:r w:rsidRPr="00A92155">
        <w:rPr>
          <w:rFonts w:asciiTheme="majorBidi" w:hAnsiTheme="majorBidi" w:cstheme="majorBidi"/>
          <w:sz w:val="26"/>
          <w:szCs w:val="26"/>
          <w:rtl/>
        </w:rPr>
        <w:t>) لم تعد مجرد اتجاه تكنولوجي عابر، بل أضحت استراتيجية وجودية (</w:t>
      </w:r>
      <w:r w:rsidRPr="00A92155">
        <w:rPr>
          <w:rFonts w:asciiTheme="majorBidi" w:hAnsiTheme="majorBidi" w:cstheme="majorBidi"/>
          <w:sz w:val="26"/>
          <w:szCs w:val="26"/>
        </w:rPr>
        <w:t>Existential Strategy</w:t>
      </w:r>
      <w:r w:rsidRPr="00A92155">
        <w:rPr>
          <w:rFonts w:asciiTheme="majorBidi" w:hAnsiTheme="majorBidi" w:cstheme="majorBidi"/>
          <w:sz w:val="26"/>
          <w:szCs w:val="26"/>
          <w:rtl/>
        </w:rPr>
        <w:t>) تُحدد مستقبل الدول والمؤسسات في ظل متطلبات الثورة الصناعية الرابعة والاقتصاد المعرفي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وفي سياق الدراسة الراهنة، التي تتخذ من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نموذجاً للتحليل، يتطلب الأمر تأصيلاً أكاديمياً دقيقاً لدور هذا التحول في الموازنة بين متطلبات تعزيز الأمن وضرورات تيسير التجارة.</w:t>
      </w:r>
    </w:p>
    <w:p w14:paraId="0724E3BA" w14:textId="6ED76A0E"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يُقدم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الأساس النظري الذي ستُبنى عليه الفرضيات والتحليل التطبيقي. سنقوم بتحليل التطورات المفاهيمية للتحول الرقمي، وتفكيك الفروق الدقيقة بين مصطلحاته المتداخلة، وإرساء الأسس النظرية الداعمة له، وتقييم الجاهزية الرقمية للمملكة وفقاً لأحدث المؤشرات العالمية. يهدف هذا التحليل إلى تثبيت المتغير المستقل للدراسة "التحول الرقمي" بدقة، مما يضمن سلامة القياس وتعميق الفهم لمنهجية التحول في القطاع العام.</w:t>
      </w:r>
    </w:p>
    <w:p w14:paraId="2D410F4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2.1.1 تطور مفهوم التحول الرقمي من الحكومة الإلكترونية إلى الاقتصاد الذكي</w:t>
      </w:r>
    </w:p>
    <w:p w14:paraId="33F476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لقد شهد مفهوم التحول الرقمي نقلة نوعية عبر ثلاث مراحل رئيسية، انتقل فيها التركيز من مجرد استخدام التكنولوجيا إلى دمجها في صميم نموذج عمل الدولة لخلق قيمة اقتصادية واجتماعية جديدة:</w:t>
      </w:r>
    </w:p>
    <w:p w14:paraId="448540A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المرحلة الأولى: الحكومة الإلكترونية (</w:t>
      </w:r>
      <w:r w:rsidRPr="00A92155">
        <w:rPr>
          <w:rFonts w:asciiTheme="majorBidi" w:hAnsiTheme="majorBidi" w:cstheme="majorBidi"/>
          <w:b/>
          <w:bCs/>
          <w:sz w:val="26"/>
          <w:szCs w:val="26"/>
        </w:rPr>
        <w:t>E-Government</w:t>
      </w:r>
      <w:r w:rsidRPr="00A92155">
        <w:rPr>
          <w:rFonts w:asciiTheme="majorBidi" w:hAnsiTheme="majorBidi" w:cstheme="majorBidi"/>
          <w:b/>
          <w:bCs/>
          <w:sz w:val="26"/>
          <w:szCs w:val="26"/>
          <w:rtl/>
        </w:rPr>
        <w:t>)</w:t>
      </w:r>
    </w:p>
    <w:p w14:paraId="470DBC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بدأت هذه المرحلة في أواخر التسعينات وبداية الألفية، وكان الدافع الأساسي هو استخدام تكنولوجيا المعلومات والاتصالات (</w:t>
      </w:r>
      <w:r w:rsidRPr="00A92155">
        <w:rPr>
          <w:rFonts w:asciiTheme="majorBidi" w:hAnsiTheme="majorBidi" w:cstheme="majorBidi"/>
          <w:sz w:val="26"/>
          <w:szCs w:val="26"/>
        </w:rPr>
        <w:t>ICT</w:t>
      </w:r>
      <w:r w:rsidRPr="00A92155">
        <w:rPr>
          <w:rFonts w:asciiTheme="majorBidi" w:hAnsiTheme="majorBidi" w:cstheme="majorBidi"/>
          <w:sz w:val="26"/>
          <w:szCs w:val="26"/>
          <w:rtl/>
        </w:rPr>
        <w:t>) لتحقيق الكفاءة التشغيلية (</w:t>
      </w:r>
      <w:r w:rsidRPr="00A92155">
        <w:rPr>
          <w:rFonts w:asciiTheme="majorBidi" w:hAnsiTheme="majorBidi" w:cstheme="majorBidi"/>
          <w:sz w:val="26"/>
          <w:szCs w:val="26"/>
        </w:rPr>
        <w:t>Operational Efficiency</w:t>
      </w:r>
      <w:r w:rsidRPr="00A92155">
        <w:rPr>
          <w:rFonts w:asciiTheme="majorBidi" w:hAnsiTheme="majorBidi" w:cstheme="majorBidi"/>
          <w:sz w:val="26"/>
          <w:szCs w:val="26"/>
          <w:rtl/>
        </w:rPr>
        <w:t>). كان الهدف هو محاربة البيروقراطية من خلال أتمتة الإجراءات والخدمات الحكومية التقليدية وتحويلها إلى نماذج إلكترونية بسيطة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74F33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الأساسية:</w:t>
      </w:r>
    </w:p>
    <w:p w14:paraId="32115D91"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الداخلي:</w:t>
      </w:r>
      <w:r w:rsidRPr="00A92155">
        <w:rPr>
          <w:rFonts w:asciiTheme="majorBidi" w:hAnsiTheme="majorBidi" w:cstheme="majorBidi"/>
          <w:sz w:val="26"/>
          <w:szCs w:val="26"/>
          <w:rtl/>
        </w:rPr>
        <w:t xml:space="preserve"> التركيز على الكفاءة الإجرائية الداخلية وخفض التكاليف الإدارية.</w:t>
      </w:r>
    </w:p>
    <w:p w14:paraId="5F3F4E3A"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الطبيعة التكتيكية:</w:t>
      </w:r>
      <w:r w:rsidRPr="00A92155">
        <w:rPr>
          <w:rFonts w:asciiTheme="majorBidi" w:hAnsiTheme="majorBidi" w:cstheme="majorBidi"/>
          <w:sz w:val="26"/>
          <w:szCs w:val="26"/>
          <w:rtl/>
        </w:rPr>
        <w:t xml:space="preserve"> استخدام التكنولوجيا كأداة لأتمتة العمليات القائمة دون تغيير جذري في الهيكل التنظيمي أو نموذج تقديم الخدمة.</w:t>
      </w:r>
    </w:p>
    <w:p w14:paraId="1AA8FD03"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على التجارة والأمن:</w:t>
      </w:r>
      <w:r w:rsidRPr="00A92155">
        <w:rPr>
          <w:rFonts w:asciiTheme="majorBidi" w:hAnsiTheme="majorBidi" w:cstheme="majorBidi"/>
          <w:sz w:val="26"/>
          <w:szCs w:val="26"/>
          <w:rtl/>
        </w:rPr>
        <w:t xml:space="preserve"> تمثل الأثر في تخليص المعاملات الأساسية عبر الإنترنت، مما ساهم في </w:t>
      </w:r>
      <w:r w:rsidRPr="00A92155">
        <w:rPr>
          <w:rFonts w:asciiTheme="majorBidi" w:hAnsiTheme="majorBidi" w:cstheme="majorBidi"/>
          <w:b/>
          <w:bCs/>
          <w:sz w:val="26"/>
          <w:szCs w:val="26"/>
          <w:rtl/>
        </w:rPr>
        <w:t>الحد من الفساد</w:t>
      </w:r>
      <w:r w:rsidRPr="00A92155">
        <w:rPr>
          <w:rFonts w:asciiTheme="majorBidi" w:hAnsiTheme="majorBidi" w:cstheme="majorBidi"/>
          <w:sz w:val="26"/>
          <w:szCs w:val="26"/>
          <w:rtl/>
        </w:rPr>
        <w:t xml:space="preserve"> وتقليل مدة الإجراءات الحكومية، لكنها ظلت أنظمة 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xml:space="preserve">) تفتقر إلى التكامل، مع تركيز أمني منصب على الدفاع عن الحدود الخارجية للشبكات </w:t>
      </w:r>
      <w:r w:rsidRPr="00A92155">
        <w:rPr>
          <w:rFonts w:asciiTheme="majorBidi" w:hAnsiTheme="majorBidi" w:cstheme="majorBidi"/>
          <w:sz w:val="26"/>
          <w:szCs w:val="26"/>
        </w:rPr>
        <w:t>Perimeter Security (Smith, A., 2020)</w:t>
      </w:r>
      <w:r w:rsidRPr="00A92155">
        <w:rPr>
          <w:rFonts w:asciiTheme="majorBidi" w:hAnsiTheme="majorBidi" w:cstheme="majorBidi"/>
          <w:sz w:val="26"/>
          <w:szCs w:val="26"/>
          <w:rtl/>
        </w:rPr>
        <w:t>.</w:t>
      </w:r>
    </w:p>
    <w:p w14:paraId="5FFF0BD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المرحلة الثانية: الحكومة الرقمية (</w:t>
      </w:r>
      <w:r w:rsidRPr="00A92155">
        <w:rPr>
          <w:rFonts w:asciiTheme="majorBidi" w:hAnsiTheme="majorBidi" w:cstheme="majorBidi"/>
          <w:b/>
          <w:bCs/>
          <w:sz w:val="26"/>
          <w:szCs w:val="26"/>
        </w:rPr>
        <w:t>Digital Government</w:t>
      </w:r>
      <w:r w:rsidRPr="00A92155">
        <w:rPr>
          <w:rFonts w:asciiTheme="majorBidi" w:hAnsiTheme="majorBidi" w:cstheme="majorBidi"/>
          <w:b/>
          <w:bCs/>
          <w:sz w:val="26"/>
          <w:szCs w:val="26"/>
          <w:rtl/>
        </w:rPr>
        <w:t>)</w:t>
      </w:r>
    </w:p>
    <w:p w14:paraId="567545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شهدت هذه المرحلة (منذ منتصف العقد الماضي) تحولاً عميقاً في الفلسفة. فبدلاً من التركيز على ما تفعله الحكومة (الكفاءة)، أصبح التركيز على كيف يختبر المواطن أو المستفيد الخدمة (تجربة المستفيد - </w:t>
      </w:r>
      <w:r w:rsidRPr="00A92155">
        <w:rPr>
          <w:rFonts w:asciiTheme="majorBidi" w:hAnsiTheme="majorBidi" w:cstheme="majorBidi"/>
          <w:sz w:val="26"/>
          <w:szCs w:val="26"/>
        </w:rPr>
        <w:t>User Experience</w:t>
      </w:r>
      <w:r w:rsidRPr="00A92155">
        <w:rPr>
          <w:rFonts w:asciiTheme="majorBidi" w:hAnsiTheme="majorBidi" w:cstheme="majorBidi"/>
          <w:sz w:val="26"/>
          <w:szCs w:val="26"/>
          <w:rtl/>
        </w:rPr>
        <w:t>).</w:t>
      </w:r>
    </w:p>
    <w:p w14:paraId="6C0424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p>
    <w:p w14:paraId="75ED274A"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على القيمة:</w:t>
      </w:r>
      <w:r w:rsidRPr="00A92155">
        <w:rPr>
          <w:rFonts w:asciiTheme="majorBidi" w:hAnsiTheme="majorBidi" w:cstheme="majorBidi"/>
          <w:sz w:val="26"/>
          <w:szCs w:val="26"/>
          <w:rtl/>
        </w:rPr>
        <w:t xml:space="preserve"> إعادة تصميم الخدمات لتركز على المستفيد، باستخدام مبدأ "الخدمة المتكاملة" (</w:t>
      </w:r>
      <w:r w:rsidRPr="00A92155">
        <w:rPr>
          <w:rFonts w:asciiTheme="majorBidi" w:hAnsiTheme="majorBidi" w:cstheme="majorBidi"/>
          <w:sz w:val="26"/>
          <w:szCs w:val="26"/>
        </w:rPr>
        <w:t>Seamless Service</w:t>
      </w:r>
      <w:r w:rsidRPr="00A92155">
        <w:rPr>
          <w:rFonts w:asciiTheme="majorBidi" w:hAnsiTheme="majorBidi" w:cstheme="majorBidi"/>
          <w:sz w:val="26"/>
          <w:szCs w:val="26"/>
          <w:rtl/>
        </w:rPr>
        <w:t>) و"عدم طلب المعلومة مرتين".</w:t>
      </w:r>
    </w:p>
    <w:p w14:paraId="26094AC7"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التغيير الثقافي:</w:t>
      </w:r>
      <w:r w:rsidRPr="00A92155">
        <w:rPr>
          <w:rFonts w:asciiTheme="majorBidi" w:hAnsiTheme="majorBidi" w:cstheme="majorBidi"/>
          <w:sz w:val="26"/>
          <w:szCs w:val="26"/>
          <w:rtl/>
        </w:rPr>
        <w:t xml:space="preserve"> أصبح التحول الرقمي يُعرف على أنه عملية دمج التكنولوجيا الرقمية في عالم الأعمال، وتغيير ثقافي يتطلب من المؤسسات تحدي الوضع الراهن وإعادة تعريف كيفية تقديم القيمة (بسام، 2022).</w:t>
      </w:r>
    </w:p>
    <w:p w14:paraId="4D8688BD"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التقنيات الدافعة:</w:t>
      </w:r>
      <w:r w:rsidRPr="00A92155">
        <w:rPr>
          <w:rFonts w:asciiTheme="majorBidi" w:hAnsiTheme="majorBidi" w:cstheme="majorBidi"/>
          <w:sz w:val="26"/>
          <w:szCs w:val="26"/>
          <w:rtl/>
        </w:rPr>
        <w:t xml:space="preserve"> شملت الانتقال إلى الحوسبة السحابية (</w:t>
      </w:r>
      <w:r w:rsidRPr="00A92155">
        <w:rPr>
          <w:rFonts w:asciiTheme="majorBidi" w:hAnsiTheme="majorBidi" w:cstheme="majorBidi"/>
          <w:sz w:val="26"/>
          <w:szCs w:val="26"/>
        </w:rPr>
        <w:t>Cloud Computing</w:t>
      </w:r>
      <w:r w:rsidRPr="00A92155">
        <w:rPr>
          <w:rFonts w:asciiTheme="majorBidi" w:hAnsiTheme="majorBidi" w:cstheme="majorBidi"/>
          <w:sz w:val="26"/>
          <w:szCs w:val="26"/>
          <w:rtl/>
        </w:rPr>
        <w:t>) واستخدام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لتقديم خدمات استباقية وتفاعلية.</w:t>
      </w:r>
    </w:p>
    <w:p w14:paraId="3D38895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المرحلة الثالثة: الاقتصاد الذكي (</w:t>
      </w:r>
      <w:r w:rsidRPr="00A92155">
        <w:rPr>
          <w:rFonts w:asciiTheme="majorBidi" w:hAnsiTheme="majorBidi" w:cstheme="majorBidi"/>
          <w:b/>
          <w:bCs/>
          <w:sz w:val="26"/>
          <w:szCs w:val="26"/>
        </w:rPr>
        <w:t>Smart Economy</w:t>
      </w:r>
      <w:r w:rsidRPr="00A92155">
        <w:rPr>
          <w:rFonts w:asciiTheme="majorBidi" w:hAnsiTheme="majorBidi" w:cstheme="majorBidi"/>
          <w:b/>
          <w:bCs/>
          <w:sz w:val="26"/>
          <w:szCs w:val="26"/>
          <w:rtl/>
        </w:rPr>
        <w:t>) والدولة المحوَّلة رقمياً</w:t>
      </w:r>
    </w:p>
    <w:p w14:paraId="3CF9777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هذه المرحلة الطموح الأقصى، حيث يتجاوز التحول الرقمي القطاع الحكومي ليصبح المحرك الرئيسي للنمو الاقتصادي الشامل. يعتمد الاقتصاد الذكي على تحويل البيانات إلى أصول استراتيجية واستخدام الذكاء الاصطناعي (</w:t>
      </w:r>
      <w:r w:rsidRPr="00A92155">
        <w:rPr>
          <w:rFonts w:asciiTheme="majorBidi" w:hAnsiTheme="majorBidi" w:cstheme="majorBidi"/>
          <w:sz w:val="26"/>
          <w:szCs w:val="26"/>
        </w:rPr>
        <w:t>AI</w:t>
      </w:r>
      <w:r w:rsidRPr="00A92155">
        <w:rPr>
          <w:rFonts w:asciiTheme="majorBidi" w:hAnsiTheme="majorBidi" w:cstheme="majorBidi"/>
          <w:sz w:val="26"/>
          <w:szCs w:val="26"/>
          <w:rtl/>
        </w:rPr>
        <w:t>) لتمكين اتخاذ القرار بشكل تنبؤي وتحقيق الاستدامة.</w:t>
      </w:r>
    </w:p>
    <w:p w14:paraId="496803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المتقدمة:</w:t>
      </w:r>
    </w:p>
    <w:p w14:paraId="366173E4"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الشمول والتكامل:</w:t>
      </w:r>
      <w:r w:rsidRPr="00A92155">
        <w:rPr>
          <w:rFonts w:asciiTheme="majorBidi" w:hAnsiTheme="majorBidi" w:cstheme="majorBidi"/>
          <w:sz w:val="26"/>
          <w:szCs w:val="26"/>
          <w:rtl/>
        </w:rPr>
        <w:t xml:space="preserve"> دمج الرقمنة في كافة القطاعات الحيوية (المدن الذكية، التجارة الذكية، اللوجستيات الذكية).</w:t>
      </w:r>
    </w:p>
    <w:p w14:paraId="53A7B137"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التوليدي والتحليلي:</w:t>
      </w:r>
      <w:r w:rsidRPr="00A92155">
        <w:rPr>
          <w:rFonts w:asciiTheme="majorBidi" w:hAnsiTheme="majorBidi" w:cstheme="majorBidi"/>
          <w:sz w:val="26"/>
          <w:szCs w:val="26"/>
          <w:rtl/>
        </w:rPr>
        <w:t xml:space="preserve"> استخدام الـ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في صياغة السياسات، واكتشاف الأنشطة التجارية غير المشروعة، وتحسين التنبؤ بالمخاطر الأمنية والاقتصادية.</w:t>
      </w:r>
    </w:p>
    <w:p w14:paraId="63467E71"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الكلي:</w:t>
      </w:r>
      <w:r w:rsidRPr="00A92155">
        <w:rPr>
          <w:rFonts w:asciiTheme="majorBidi" w:hAnsiTheme="majorBidi" w:cstheme="majorBidi"/>
          <w:sz w:val="26"/>
          <w:szCs w:val="26"/>
          <w:rtl/>
        </w:rPr>
        <w:t xml:space="preserve"> يؤدي التحول في هذه المرحلة إلى تعزيز التنمية الاقتصادية والرفاهية، مما يستدعي من الحكومات مراجعة وتحديث سياسات انفتاح السوق لضمان عمل التحول الرقمي لصالح النمو.</w:t>
      </w:r>
    </w:p>
    <w:p w14:paraId="226DB1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التحول الرقمي هو مشروع مستمر ومعقد، يمثل شكلاً من أشكال التغيير الجذري الذي لا يؤثر فقط على أنماط العمل، بل على الهوية الثقافية للمنظمة وقدرتها على تحقيق ديمومة واستدامة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w:t>
      </w:r>
    </w:p>
    <w:p w14:paraId="6548365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2.1.2 الفروق المفاهيمية بين التحول الرقمي، التحول التقني، والابتكار المؤسسي</w:t>
      </w:r>
    </w:p>
    <w:p w14:paraId="1E5A690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التمييز الدقيق بين المصطلحات الثلاثة أمر بالغ الأهمية لضمان الوضوح المنهجي للدراسة، حيث يُستخدم كل منها لوصف مستوى مختلف من التغيير داخل المؤسسة:</w:t>
      </w:r>
    </w:p>
    <w:tbl>
      <w:tblPr>
        <w:tblStyle w:val="GridTable5Dark"/>
        <w:bidiVisual/>
        <w:tblW w:w="0" w:type="auto"/>
        <w:tblLook w:val="04A0" w:firstRow="1" w:lastRow="0" w:firstColumn="1" w:lastColumn="0" w:noHBand="0" w:noVBand="1"/>
      </w:tblPr>
      <w:tblGrid>
        <w:gridCol w:w="2291"/>
        <w:gridCol w:w="2082"/>
        <w:gridCol w:w="2342"/>
        <w:gridCol w:w="2635"/>
      </w:tblGrid>
      <w:tr w:rsidR="00202E2A" w:rsidRPr="00A92155" w14:paraId="497E5B5A"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CD458"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المفهوم</w:t>
            </w:r>
          </w:p>
        </w:tc>
        <w:tc>
          <w:tcPr>
            <w:tcW w:w="0" w:type="auto"/>
            <w:hideMark/>
          </w:tcPr>
          <w:p w14:paraId="08EAE56D"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التعريف الجوهري</w:t>
            </w:r>
          </w:p>
        </w:tc>
        <w:tc>
          <w:tcPr>
            <w:tcW w:w="0" w:type="auto"/>
            <w:hideMark/>
          </w:tcPr>
          <w:p w14:paraId="36703594"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المستوى الأكاديمي للتغيير</w:t>
            </w:r>
          </w:p>
        </w:tc>
        <w:tc>
          <w:tcPr>
            <w:tcW w:w="0" w:type="auto"/>
            <w:hideMark/>
          </w:tcPr>
          <w:p w14:paraId="09C4445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مثال تطبيقي في الجمارك</w:t>
            </w:r>
          </w:p>
        </w:tc>
      </w:tr>
      <w:tr w:rsidR="00202E2A" w:rsidRPr="00A92155" w14:paraId="6FE44694"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369CF"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الرقمنة (</w:t>
            </w:r>
            <w:r w:rsidRPr="00A92155">
              <w:rPr>
                <w:rFonts w:asciiTheme="majorBidi" w:hAnsiTheme="majorBidi" w:cstheme="majorBidi"/>
                <w:sz w:val="26"/>
                <w:szCs w:val="26"/>
              </w:rPr>
              <w:t>Digitization</w:t>
            </w:r>
            <w:r w:rsidRPr="00A92155">
              <w:rPr>
                <w:rFonts w:asciiTheme="majorBidi" w:hAnsiTheme="majorBidi" w:cstheme="majorBidi"/>
                <w:sz w:val="26"/>
                <w:szCs w:val="26"/>
                <w:rtl/>
              </w:rPr>
              <w:t>)</w:t>
            </w:r>
          </w:p>
        </w:tc>
        <w:tc>
          <w:tcPr>
            <w:tcW w:w="0" w:type="auto"/>
            <w:hideMark/>
          </w:tcPr>
          <w:p w14:paraId="3F7EE312"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تحويل البيانات التناظرية/المادية إلى صيغة رقمية (</w:t>
            </w:r>
            <w:r w:rsidRPr="00A92155">
              <w:rPr>
                <w:rFonts w:asciiTheme="majorBidi" w:hAnsiTheme="majorBidi" w:cstheme="majorBidi"/>
                <w:sz w:val="26"/>
                <w:szCs w:val="26"/>
              </w:rPr>
              <w:t>Zeros and Ones</w:t>
            </w:r>
            <w:r w:rsidRPr="00A92155">
              <w:rPr>
                <w:rFonts w:asciiTheme="majorBidi" w:hAnsiTheme="majorBidi" w:cstheme="majorBidi"/>
                <w:sz w:val="26"/>
                <w:szCs w:val="26"/>
                <w:rtl/>
              </w:rPr>
              <w:t>).</w:t>
            </w:r>
          </w:p>
        </w:tc>
        <w:tc>
          <w:tcPr>
            <w:tcW w:w="0" w:type="auto"/>
            <w:hideMark/>
          </w:tcPr>
          <w:p w14:paraId="01D9FE3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تكتيكي (</w:t>
            </w:r>
            <w:r w:rsidRPr="00A92155">
              <w:rPr>
                <w:rFonts w:asciiTheme="majorBidi" w:hAnsiTheme="majorBidi" w:cstheme="majorBidi"/>
                <w:sz w:val="26"/>
                <w:szCs w:val="26"/>
              </w:rPr>
              <w:t>Tactical</w:t>
            </w:r>
            <w:r w:rsidRPr="00A92155">
              <w:rPr>
                <w:rFonts w:asciiTheme="majorBidi" w:hAnsiTheme="majorBidi" w:cstheme="majorBidi"/>
                <w:sz w:val="26"/>
                <w:szCs w:val="26"/>
                <w:rtl/>
              </w:rPr>
              <w:t>)</w:t>
            </w:r>
          </w:p>
        </w:tc>
        <w:tc>
          <w:tcPr>
            <w:tcW w:w="0" w:type="auto"/>
            <w:hideMark/>
          </w:tcPr>
          <w:p w14:paraId="22FA1AD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مسح البيان الجمركي الورقي وتحويله إلى ملف </w:t>
            </w:r>
            <w:r w:rsidRPr="00A92155">
              <w:rPr>
                <w:rFonts w:asciiTheme="majorBidi" w:hAnsiTheme="majorBidi" w:cstheme="majorBidi"/>
                <w:sz w:val="26"/>
                <w:szCs w:val="26"/>
              </w:rPr>
              <w:t>PDF</w:t>
            </w:r>
            <w:r w:rsidRPr="00A92155">
              <w:rPr>
                <w:rFonts w:asciiTheme="majorBidi" w:hAnsiTheme="majorBidi" w:cstheme="majorBidi"/>
                <w:sz w:val="26"/>
                <w:szCs w:val="26"/>
                <w:rtl/>
              </w:rPr>
              <w:t>.</w:t>
            </w:r>
          </w:p>
        </w:tc>
      </w:tr>
      <w:tr w:rsidR="00202E2A" w:rsidRPr="00A92155" w14:paraId="3F9EAE5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3748D82"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التقني (</w:t>
            </w:r>
            <w:r w:rsidRPr="00A92155">
              <w:rPr>
                <w:rFonts w:asciiTheme="majorBidi" w:hAnsiTheme="majorBidi" w:cstheme="majorBidi"/>
                <w:sz w:val="26"/>
                <w:szCs w:val="26"/>
              </w:rPr>
              <w:t>Digitalization</w:t>
            </w:r>
            <w:r w:rsidRPr="00A92155">
              <w:rPr>
                <w:rFonts w:asciiTheme="majorBidi" w:hAnsiTheme="majorBidi" w:cstheme="majorBidi"/>
                <w:sz w:val="26"/>
                <w:szCs w:val="26"/>
                <w:rtl/>
              </w:rPr>
              <w:t>)</w:t>
            </w:r>
          </w:p>
        </w:tc>
        <w:tc>
          <w:tcPr>
            <w:tcW w:w="0" w:type="auto"/>
            <w:hideMark/>
          </w:tcPr>
          <w:p w14:paraId="496583E0"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استخدام التقنيات الرقمية لأتمتة وتحسين عمليات عمل قائمة.</w:t>
            </w:r>
          </w:p>
        </w:tc>
        <w:tc>
          <w:tcPr>
            <w:tcW w:w="0" w:type="auto"/>
            <w:hideMark/>
          </w:tcPr>
          <w:p w14:paraId="5681056F"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إجرائي (</w:t>
            </w:r>
            <w:r w:rsidRPr="00A92155">
              <w:rPr>
                <w:rFonts w:asciiTheme="majorBidi" w:hAnsiTheme="majorBidi" w:cstheme="majorBidi"/>
                <w:sz w:val="26"/>
                <w:szCs w:val="26"/>
              </w:rPr>
              <w:t>Operational</w:t>
            </w:r>
            <w:r w:rsidRPr="00A92155">
              <w:rPr>
                <w:rFonts w:asciiTheme="majorBidi" w:hAnsiTheme="majorBidi" w:cstheme="majorBidi"/>
                <w:sz w:val="26"/>
                <w:szCs w:val="26"/>
                <w:rtl/>
              </w:rPr>
              <w:t>)</w:t>
            </w:r>
          </w:p>
        </w:tc>
        <w:tc>
          <w:tcPr>
            <w:tcW w:w="0" w:type="auto"/>
            <w:hideMark/>
          </w:tcPr>
          <w:p w14:paraId="2EBA6418"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تطبيق نظام إلكتروني لإدخال البيان الجمركي يدوياً وتقليل الأخطاء البشرية.</w:t>
            </w:r>
          </w:p>
        </w:tc>
      </w:tr>
      <w:tr w:rsidR="00202E2A" w:rsidRPr="00A92155" w14:paraId="4856609C"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3B765"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الرقمي (</w:t>
            </w:r>
            <w:r w:rsidRPr="00A92155">
              <w:rPr>
                <w:rFonts w:asciiTheme="majorBidi" w:hAnsiTheme="majorBidi" w:cstheme="majorBidi"/>
                <w:sz w:val="26"/>
                <w:szCs w:val="26"/>
              </w:rPr>
              <w:t>Digital Transformation</w:t>
            </w:r>
            <w:r w:rsidRPr="00A92155">
              <w:rPr>
                <w:rFonts w:asciiTheme="majorBidi" w:hAnsiTheme="majorBidi" w:cstheme="majorBidi"/>
                <w:sz w:val="26"/>
                <w:szCs w:val="26"/>
                <w:rtl/>
              </w:rPr>
              <w:t>)</w:t>
            </w:r>
          </w:p>
        </w:tc>
        <w:tc>
          <w:tcPr>
            <w:tcW w:w="0" w:type="auto"/>
            <w:hideMark/>
          </w:tcPr>
          <w:p w14:paraId="4EEF6B77"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إعادة هندسة نموذج عمل الجمارك بالكامل لتغيير تجربة العميل والقيمة المقدمة.</w:t>
            </w:r>
          </w:p>
        </w:tc>
        <w:tc>
          <w:tcPr>
            <w:tcW w:w="0" w:type="auto"/>
            <w:hideMark/>
          </w:tcPr>
          <w:p w14:paraId="51FAA2E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استراتيجي/جذري (</w:t>
            </w:r>
            <w:r w:rsidRPr="00A92155">
              <w:rPr>
                <w:rFonts w:asciiTheme="majorBidi" w:hAnsiTheme="majorBidi" w:cstheme="majorBidi"/>
                <w:sz w:val="26"/>
                <w:szCs w:val="26"/>
              </w:rPr>
              <w:t>Strategic/Radical</w:t>
            </w:r>
            <w:r w:rsidRPr="00A92155">
              <w:rPr>
                <w:rFonts w:asciiTheme="majorBidi" w:hAnsiTheme="majorBidi" w:cstheme="majorBidi"/>
                <w:sz w:val="26"/>
                <w:szCs w:val="26"/>
                <w:rtl/>
              </w:rPr>
              <w:t>)</w:t>
            </w:r>
          </w:p>
        </w:tc>
        <w:tc>
          <w:tcPr>
            <w:tcW w:w="0" w:type="auto"/>
            <w:hideMark/>
          </w:tcPr>
          <w:p w14:paraId="17483643"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إنشاء نظام </w:t>
            </w:r>
            <w:r w:rsidRPr="00A92155">
              <w:rPr>
                <w:rFonts w:asciiTheme="majorBidi" w:hAnsiTheme="majorBidi" w:cstheme="majorBidi"/>
                <w:b/>
                <w:bCs/>
                <w:sz w:val="26"/>
                <w:szCs w:val="26"/>
                <w:rtl/>
              </w:rPr>
              <w:t>الجمرك الذكي</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xml:space="preserve">) الذي يستخدم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لتحليل المخاطر واختيار الشحنات للتفتيش دون تدخل بشري، مما يوازن </w:t>
            </w:r>
            <w:r w:rsidRPr="00A92155">
              <w:rPr>
                <w:rFonts w:asciiTheme="majorBidi" w:hAnsiTheme="majorBidi" w:cstheme="majorBidi"/>
                <w:sz w:val="26"/>
                <w:szCs w:val="26"/>
                <w:rtl/>
              </w:rPr>
              <w:lastRenderedPageBreak/>
              <w:t>بين الأمن والتيسير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tc>
      </w:tr>
    </w:tbl>
    <w:p w14:paraId="34C52A5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lastRenderedPageBreak/>
        <w:t>المصدر: إعداد الباحث.</w:t>
      </w:r>
    </w:p>
    <w:p w14:paraId="0AF569F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التحول الرقمي كتغيير شامل</w:t>
      </w:r>
    </w:p>
    <w:p w14:paraId="03EF5B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يؤكد </w:t>
      </w:r>
      <w:r w:rsidRPr="00A92155">
        <w:rPr>
          <w:rFonts w:asciiTheme="majorBidi" w:hAnsiTheme="majorBidi" w:cstheme="majorBidi"/>
          <w:sz w:val="26"/>
          <w:szCs w:val="26"/>
        </w:rPr>
        <w:t>Vial</w:t>
      </w:r>
      <w:r w:rsidRPr="00A92155">
        <w:rPr>
          <w:rFonts w:asciiTheme="majorBidi" w:hAnsiTheme="majorBidi" w:cstheme="majorBidi"/>
          <w:sz w:val="26"/>
          <w:szCs w:val="26"/>
          <w:rtl/>
        </w:rPr>
        <w:t xml:space="preserve"> (2019) في مراجعته الشاملة للمفهوم، أن التحول الرقمي هو "تغيير تنظيمي وثقافي مصحوب بدمج التقنيات الرقمية". هذا التغيير الثقافي يتطلب من القيادات تجاوز مجرد شراء الأنظمة إلى تغيير طبيعة المنظمة، وإجراءات العمل اليومية، وزيادة قدرة فرق العمل على التعلم بطريقة ديناميكية.</w:t>
      </w:r>
    </w:p>
    <w:p w14:paraId="109C32F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الابتكار المؤسسي كإطار أشمل</w:t>
      </w:r>
    </w:p>
    <w:p w14:paraId="535B2B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الابتكار المؤسسي (</w:t>
      </w:r>
      <w:r w:rsidRPr="00A92155">
        <w:rPr>
          <w:rFonts w:asciiTheme="majorBidi" w:hAnsiTheme="majorBidi" w:cstheme="majorBidi"/>
          <w:sz w:val="26"/>
          <w:szCs w:val="26"/>
        </w:rPr>
        <w:t>Institutional Innovation</w:t>
      </w:r>
      <w:r w:rsidRPr="00A92155">
        <w:rPr>
          <w:rFonts w:asciiTheme="majorBidi" w:hAnsiTheme="majorBidi" w:cstheme="majorBidi"/>
          <w:sz w:val="26"/>
          <w:szCs w:val="26"/>
          <w:rtl/>
        </w:rPr>
        <w:t>) إلى أي تغييرات جوهرية في الهيكل، الحوكمة، أو الأطر التنظيمية للمنظمة بهدف خلق ميزة تنافسية أو شرعية. التحول الرقمي هو الآلية الأكثر فعالية لتحقيق هذا الابتكار في العصر الحالي. على سبيل المثال، إطلاق الاستراتيجية الوطنية للبيانات والذكاء الاصطناعي في المملكة (</w:t>
      </w:r>
      <w:r w:rsidRPr="00A92155">
        <w:rPr>
          <w:rFonts w:asciiTheme="majorBidi" w:hAnsiTheme="majorBidi" w:cstheme="majorBidi"/>
          <w:sz w:val="26"/>
          <w:szCs w:val="26"/>
        </w:rPr>
        <w:t>SDAIA</w:t>
      </w:r>
      <w:r w:rsidRPr="00A92155">
        <w:rPr>
          <w:rFonts w:asciiTheme="majorBidi" w:hAnsiTheme="majorBidi" w:cstheme="majorBidi"/>
          <w:sz w:val="26"/>
          <w:szCs w:val="26"/>
          <w:rtl/>
        </w:rPr>
        <w:t>) يُعد ابتكاراً مؤسسياً رقمياً، حيث يغير القواعد التي تحكم استخدام البيانات على المستوى الوطني.</w:t>
      </w:r>
    </w:p>
    <w:p w14:paraId="6BA0D9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تتبنى هذه الدراسة التعريف الشمولي للتحول الرقمي، كونه جهداً استراتيجياً يتطلب قدرات ديناميكية لإعادة صياغة نموذج العمل الحكومي (كاستجابة للضغوط المؤسسية)، مستخدماً التقنيات الرقمية المتقدمة لإنتاج نتائج متزامنة في محورين متناقضين تقليدياً: الأمن (كعامل تقييد) والتجارة (كعامل تيسير).</w:t>
      </w:r>
    </w:p>
    <w:p w14:paraId="14C66FA2"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2.1.3 الأسس النظرية الداعمة للتحول الرقمي</w:t>
      </w:r>
    </w:p>
    <w:p w14:paraId="1BB54D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لتوفير العمق الأكاديمي اللازم، تعتمد هذه الدراسة على ثلاثة أطر نظرية متكاملة تفسر مسارات التحول الرقمي الناجح في المؤسسات الحكومية، لا سيما في بيئة الأمن والتجارة المعقدة:</w:t>
      </w:r>
    </w:p>
    <w:p w14:paraId="157B602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نظرية الكفاءة الديناميكية (</w:t>
      </w:r>
      <w:r w:rsidRPr="00A92155">
        <w:rPr>
          <w:rFonts w:asciiTheme="majorBidi" w:hAnsiTheme="majorBidi" w:cstheme="majorBidi"/>
          <w:b/>
          <w:bCs/>
          <w:sz w:val="26"/>
          <w:szCs w:val="26"/>
        </w:rPr>
        <w:t>Dynamic Capabilities Theory - DCT</w:t>
      </w:r>
      <w:r w:rsidRPr="00A92155">
        <w:rPr>
          <w:rFonts w:asciiTheme="majorBidi" w:hAnsiTheme="majorBidi" w:cstheme="majorBidi"/>
          <w:b/>
          <w:bCs/>
          <w:sz w:val="26"/>
          <w:szCs w:val="26"/>
          <w:rtl/>
        </w:rPr>
        <w:t>)</w:t>
      </w:r>
    </w:p>
    <w:p w14:paraId="392496F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النظرية (</w:t>
      </w:r>
      <w:r w:rsidRPr="00A92155">
        <w:rPr>
          <w:rFonts w:asciiTheme="majorBidi" w:hAnsiTheme="majorBidi" w:cstheme="majorBidi"/>
          <w:sz w:val="26"/>
          <w:szCs w:val="26"/>
        </w:rPr>
        <w:t>Teece, 2007</w:t>
      </w:r>
      <w:r w:rsidRPr="00A92155">
        <w:rPr>
          <w:rFonts w:asciiTheme="majorBidi" w:hAnsiTheme="majorBidi" w:cstheme="majorBidi"/>
          <w:sz w:val="26"/>
          <w:szCs w:val="26"/>
          <w:rtl/>
        </w:rPr>
        <w:t>) هي الأنسب لتفسير قدرة المنظمات على خلق ميزة تنافسية والنجاح في بيئة تتسم بـ "فرط التغير" (</w:t>
      </w:r>
      <w:r w:rsidRPr="00A92155">
        <w:rPr>
          <w:rFonts w:asciiTheme="majorBidi" w:hAnsiTheme="majorBidi" w:cstheme="majorBidi"/>
          <w:sz w:val="26"/>
          <w:szCs w:val="26"/>
        </w:rPr>
        <w:t>Hyper-competition</w:t>
      </w:r>
      <w:r w:rsidRPr="00A92155">
        <w:rPr>
          <w:rFonts w:asciiTheme="majorBidi" w:hAnsiTheme="majorBidi" w:cstheme="majorBidi"/>
          <w:sz w:val="26"/>
          <w:szCs w:val="26"/>
          <w:rtl/>
        </w:rPr>
        <w:t>) والاضطراب التكنولوجي. ففي ظل التطور المتسارع للتكنولوجيا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لا يكفي مجرد امتلاك الموارد (القدرات العادية)، بل يجب امتلاك القدرة على إعادة تشكيل هذه الموارد باستمرار.</w:t>
      </w:r>
    </w:p>
    <w:p w14:paraId="4BBFDFD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تطبيق النظرية على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1AFBF7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تركز نظرية الكفاءة الديناميكية على ثلاث مراحل ضرورية للنجاح في التحول الرقمي (</w:t>
      </w:r>
      <w:r w:rsidRPr="00A92155">
        <w:rPr>
          <w:rFonts w:asciiTheme="majorBidi" w:hAnsiTheme="majorBidi" w:cstheme="majorBidi"/>
          <w:sz w:val="26"/>
          <w:szCs w:val="26"/>
        </w:rPr>
        <w:t>Chirumalla, 2021</w:t>
      </w:r>
      <w:r w:rsidRPr="00A92155">
        <w:rPr>
          <w:rFonts w:asciiTheme="majorBidi" w:hAnsiTheme="majorBidi" w:cstheme="majorBidi"/>
          <w:sz w:val="26"/>
          <w:szCs w:val="26"/>
          <w:rtl/>
        </w:rPr>
        <w:t>):</w:t>
      </w:r>
    </w:p>
    <w:p w14:paraId="4F485305"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الاستكشاف (</w:t>
      </w:r>
      <w:r w:rsidRPr="00A92155">
        <w:rPr>
          <w:rFonts w:asciiTheme="majorBidi" w:hAnsiTheme="majorBidi" w:cstheme="majorBidi"/>
          <w:b/>
          <w:bCs/>
          <w:sz w:val="26"/>
          <w:szCs w:val="26"/>
        </w:rPr>
        <w:t>Sensing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اكتشاف واستشعار الفرص والتهديدات الرقمية الجديدة. في سياق التجارة والأمن، يعني ذلك قدرة الهيئة على اكتشاف أحدث تقنيات تتبع سلاسل التوريد (مثل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كفرصة لتيسير التجارة، وفي الوقت نفسه، استشعار أحدث هجمات الفدية الرقمية كتهديد أمني.</w:t>
      </w:r>
    </w:p>
    <w:p w14:paraId="24A5D6B0" w14:textId="77777777" w:rsidR="00202E2A" w:rsidRPr="00A92155" w:rsidRDefault="00202E2A">
      <w:pPr>
        <w:numPr>
          <w:ilvl w:val="1"/>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الرقمي المضاف:</w:t>
      </w:r>
      <w:r w:rsidRPr="00A92155">
        <w:rPr>
          <w:rFonts w:asciiTheme="majorBidi" w:hAnsiTheme="majorBidi" w:cstheme="majorBidi"/>
          <w:sz w:val="26"/>
          <w:szCs w:val="26"/>
          <w:rtl/>
        </w:rPr>
        <w:t xml:space="preserve"> يتم التركيز على الاستكشاف المعتمد على البيانات (</w:t>
      </w:r>
      <w:r w:rsidRPr="00A92155">
        <w:rPr>
          <w:rFonts w:asciiTheme="majorBidi" w:hAnsiTheme="majorBidi" w:cstheme="majorBidi"/>
          <w:sz w:val="26"/>
          <w:szCs w:val="26"/>
        </w:rPr>
        <w:t>Data-Driven Sensing</w:t>
      </w:r>
      <w:r w:rsidRPr="00A92155">
        <w:rPr>
          <w:rFonts w:asciiTheme="majorBidi" w:hAnsiTheme="majorBidi" w:cstheme="majorBidi"/>
          <w:sz w:val="26"/>
          <w:szCs w:val="26"/>
          <w:rtl/>
        </w:rPr>
        <w:t>)، حيث يتم استخدام تحليلات البيانات الضخمة لتحديد التغيرات في أنماط التجارة العالمية والمخاطر السيبرانية بشكل استباقي (</w:t>
      </w:r>
      <w:r w:rsidRPr="00A92155">
        <w:rPr>
          <w:rFonts w:asciiTheme="majorBidi" w:hAnsiTheme="majorBidi" w:cstheme="majorBidi"/>
          <w:sz w:val="26"/>
          <w:szCs w:val="26"/>
        </w:rPr>
        <w:t>Marx et al., 2021</w:t>
      </w:r>
      <w:r w:rsidRPr="00A92155">
        <w:rPr>
          <w:rFonts w:asciiTheme="majorBidi" w:hAnsiTheme="majorBidi" w:cstheme="majorBidi"/>
          <w:sz w:val="26"/>
          <w:szCs w:val="26"/>
          <w:rtl/>
        </w:rPr>
        <w:t>).</w:t>
      </w:r>
    </w:p>
    <w:p w14:paraId="0929D8AF"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الاستغلال (</w:t>
      </w:r>
      <w:r w:rsidRPr="00A92155">
        <w:rPr>
          <w:rFonts w:asciiTheme="majorBidi" w:hAnsiTheme="majorBidi" w:cstheme="majorBidi"/>
          <w:b/>
          <w:bCs/>
          <w:sz w:val="26"/>
          <w:szCs w:val="26"/>
        </w:rPr>
        <w:t>Seizing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اتخاذ قرار الاستثمار السريع وتعبئة الموارد لتنفيذ التحول. في الجانب الأمني، يعني هذا تخصيص الميزانيات لـ البنية الدفاعية متعددة الطبقات (</w:t>
      </w:r>
      <w:r w:rsidRPr="00A92155">
        <w:rPr>
          <w:rFonts w:asciiTheme="majorBidi" w:hAnsiTheme="majorBidi" w:cstheme="majorBidi"/>
          <w:sz w:val="26"/>
          <w:szCs w:val="26"/>
        </w:rPr>
        <w:t>Multi-layered defense</w:t>
      </w:r>
      <w:r w:rsidRPr="00A92155">
        <w:rPr>
          <w:rFonts w:asciiTheme="majorBidi" w:hAnsiTheme="majorBidi" w:cstheme="majorBidi"/>
          <w:sz w:val="26"/>
          <w:szCs w:val="26"/>
          <w:rtl/>
        </w:rPr>
        <w:t>) التي تتجاوز التشفير إلى الذكاء الاصطناعي الوقائي.</w:t>
      </w:r>
    </w:p>
    <w:p w14:paraId="256A74A3"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التحويل (</w:t>
      </w:r>
      <w:r w:rsidRPr="00A92155">
        <w:rPr>
          <w:rFonts w:asciiTheme="majorBidi" w:hAnsiTheme="majorBidi" w:cstheme="majorBidi"/>
          <w:b/>
          <w:bCs/>
          <w:sz w:val="26"/>
          <w:szCs w:val="26"/>
        </w:rPr>
        <w:t>Transforming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تغيير الهيكل التنظيمي والعمليات والثقافة لضمان استيعاب التقنية الجديدة. وهذا يفسر أهمية دمج فرق الأمن السيبراني مع فرق تيسير التجارة لضمان التوازن بين الأهداف.</w:t>
      </w:r>
    </w:p>
    <w:p w14:paraId="00095A8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النظرية المؤسسية (</w:t>
      </w:r>
      <w:r w:rsidRPr="00A92155">
        <w:rPr>
          <w:rFonts w:asciiTheme="majorBidi" w:hAnsiTheme="majorBidi" w:cstheme="majorBidi"/>
          <w:b/>
          <w:bCs/>
          <w:sz w:val="26"/>
          <w:szCs w:val="26"/>
        </w:rPr>
        <w:t>Institutional Theory</w:t>
      </w:r>
      <w:r w:rsidRPr="00A92155">
        <w:rPr>
          <w:rFonts w:asciiTheme="majorBidi" w:hAnsiTheme="majorBidi" w:cstheme="majorBidi"/>
          <w:b/>
          <w:bCs/>
          <w:sz w:val="26"/>
          <w:szCs w:val="26"/>
          <w:rtl/>
        </w:rPr>
        <w:t>)</w:t>
      </w:r>
    </w:p>
    <w:p w14:paraId="01E1865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تساعد النظرية المؤسسية على فهم الضغوط الخارجية التي تجعل المؤسسات الحكومية تتبنى التحول الرقمي ليس فقط من أجل الكفاءة الداخلية، بل لتحقيق الشرعية الاجتماعية والقانونية (</w:t>
      </w:r>
      <w:r w:rsidRPr="00A92155">
        <w:rPr>
          <w:rFonts w:asciiTheme="majorBidi" w:hAnsiTheme="majorBidi" w:cstheme="majorBidi"/>
          <w:sz w:val="26"/>
          <w:szCs w:val="26"/>
        </w:rPr>
        <w:t>Legitimacy</w:t>
      </w:r>
      <w:r w:rsidRPr="00A92155">
        <w:rPr>
          <w:rFonts w:asciiTheme="majorBidi" w:hAnsiTheme="majorBidi" w:cstheme="majorBidi"/>
          <w:sz w:val="26"/>
          <w:szCs w:val="26"/>
          <w:rtl/>
        </w:rPr>
        <w:t>) والامتثال للبيئة التنظيمية.</w:t>
      </w:r>
    </w:p>
    <w:p w14:paraId="43EB870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دوافع التحول الرقمي في المملكة:</w:t>
      </w:r>
    </w:p>
    <w:p w14:paraId="3DA813B8"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الإلزامي (</w:t>
      </w:r>
      <w:r w:rsidRPr="00A92155">
        <w:rPr>
          <w:rFonts w:asciiTheme="majorBidi" w:hAnsiTheme="majorBidi" w:cstheme="majorBidi"/>
          <w:b/>
          <w:bCs/>
          <w:sz w:val="26"/>
          <w:szCs w:val="26"/>
        </w:rPr>
        <w:t>Coercive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القرارات الحكومية العليا والتشريعات الملزمة، مثل تطبيق استراتيجية الحكومة الرقمية (2023-2030) والامتثال لرؤية 2030. هذه الضغوط تضمن أن التحول يتم بشكل موحد ومنضبط على المستوى الوطني.</w:t>
      </w:r>
    </w:p>
    <w:p w14:paraId="74094AFD"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المحاكاتي (</w:t>
      </w:r>
      <w:r w:rsidRPr="00A92155">
        <w:rPr>
          <w:rFonts w:asciiTheme="majorBidi" w:hAnsiTheme="majorBidi" w:cstheme="majorBidi"/>
          <w:b/>
          <w:bCs/>
          <w:sz w:val="26"/>
          <w:szCs w:val="26"/>
        </w:rPr>
        <w:t>Mimetic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ينشأ عن حاجة المملكة إلى محاكاة النماذج الناجحة دولياً (مثل سنغافورة وإستونيا) لتقليل حالة عدم اليقين في بيئة تكنولوجية معقدة.</w:t>
      </w:r>
    </w:p>
    <w:p w14:paraId="238EC140"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المعياري (</w:t>
      </w:r>
      <w:r w:rsidRPr="00A92155">
        <w:rPr>
          <w:rFonts w:asciiTheme="majorBidi" w:hAnsiTheme="majorBidi" w:cstheme="majorBidi"/>
          <w:b/>
          <w:bCs/>
          <w:sz w:val="26"/>
          <w:szCs w:val="26"/>
        </w:rPr>
        <w:t>Normative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الالتزام بالمعايير المهنية الدولية، مثل معايير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لتيسير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أو معايير الأمان العالمية مثل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NIST</w:t>
      </w:r>
      <w:r w:rsidRPr="00A92155">
        <w:rPr>
          <w:rFonts w:asciiTheme="majorBidi" w:hAnsiTheme="majorBidi" w:cstheme="majorBidi"/>
          <w:sz w:val="26"/>
          <w:szCs w:val="26"/>
          <w:rtl/>
        </w:rPr>
        <w:t>. هذا الالتزام يدفع الهيئات الحكومية نحو التحول الرقمي للوفاء بالتزاماتها الدولية.</w:t>
      </w:r>
    </w:p>
    <w:p w14:paraId="3698791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p>
    <w:p w14:paraId="126AFE3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تنظر نظرية النظم إلى المؤسسة كـ نظام كلي مفتوح (</w:t>
      </w:r>
      <w:r w:rsidRPr="00A92155">
        <w:rPr>
          <w:rFonts w:asciiTheme="majorBidi" w:hAnsiTheme="majorBidi" w:cstheme="majorBidi"/>
          <w:sz w:val="26"/>
          <w:szCs w:val="26"/>
        </w:rPr>
        <w:t>Open System</w:t>
      </w:r>
      <w:r w:rsidRPr="00A92155">
        <w:rPr>
          <w:rFonts w:asciiTheme="majorBidi" w:hAnsiTheme="majorBidi" w:cstheme="majorBidi"/>
          <w:sz w:val="26"/>
          <w:szCs w:val="26"/>
          <w:rtl/>
        </w:rPr>
        <w:t>) يتكون من مدخلات (البنية التحتية، رأس المال البشري)، وعمليات (الحوكمة، الابتكار الرقمي)، ومخرجات (الأمن المعزز، التجارة الميسرة).</w:t>
      </w:r>
    </w:p>
    <w:p w14:paraId="2DA846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التطبيق على التكامل الثلاثي:</w:t>
      </w:r>
    </w:p>
    <w:p w14:paraId="2BA741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الأهمية القصوى لهذه النظرية هي أنها ترفض الفصل بين المتغيرات. ففي حالة هذه الدراسة، لا يمكن تحقيق أقصى قدر من تيسير التجارة (المخرج الاقتصادي) دون مستوى عالٍ من الأمن السيبراني والمعلوماتي (جزء من المدخلات والعمليات)، لأن أي اختراق أمني سيؤدي فوراً إلى تدمير الثقة وانهيار العمليات التجارية. تتطلب هذه النظرية تحقيق التوازن الديناميكي (</w:t>
      </w:r>
      <w:r w:rsidRPr="00A92155">
        <w:rPr>
          <w:rFonts w:asciiTheme="majorBidi" w:hAnsiTheme="majorBidi" w:cstheme="majorBidi"/>
          <w:sz w:val="26"/>
          <w:szCs w:val="26"/>
        </w:rPr>
        <w:t>Dynamic Equilibrium</w:t>
      </w:r>
      <w:r w:rsidRPr="00A92155">
        <w:rPr>
          <w:rFonts w:asciiTheme="majorBidi" w:hAnsiTheme="majorBidi" w:cstheme="majorBidi"/>
          <w:sz w:val="26"/>
          <w:szCs w:val="26"/>
          <w:rtl/>
        </w:rPr>
        <w:t>) بين الأبعاد التكنولوجية والأمنية والاقتصادية، وهو ما سيُفصّل في المبحث الخامس حول التكامل الثلاثي.</w:t>
      </w:r>
    </w:p>
    <w:p w14:paraId="4A800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2.1.4 النماذج العالمية للتحول الرقمي</w:t>
      </w:r>
    </w:p>
    <w:p w14:paraId="2BB936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توفر النماذج العالمية أطراً منهجية لقياس نضج التحول الرقمي وتوجيهه استراتيجياً، وهي ضرورية لعملية القياس المعياري (</w:t>
      </w:r>
      <w:r w:rsidRPr="00A92155">
        <w:rPr>
          <w:rFonts w:asciiTheme="majorBidi" w:hAnsiTheme="majorBidi" w:cstheme="majorBidi"/>
          <w:sz w:val="26"/>
          <w:szCs w:val="26"/>
        </w:rPr>
        <w:t>Benchmarking</w:t>
      </w:r>
      <w:r w:rsidRPr="00A92155">
        <w:rPr>
          <w:rFonts w:asciiTheme="majorBidi" w:hAnsiTheme="majorBidi" w:cstheme="majorBidi"/>
          <w:sz w:val="26"/>
          <w:szCs w:val="26"/>
          <w:rtl/>
        </w:rPr>
        <w:t>):</w:t>
      </w:r>
    </w:p>
    <w:p w14:paraId="7B6C6D3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أ. نموذج </w:t>
      </w:r>
      <w:r w:rsidRPr="00A92155">
        <w:rPr>
          <w:rFonts w:asciiTheme="majorBidi" w:hAnsiTheme="majorBidi" w:cstheme="majorBidi"/>
          <w:b/>
          <w:bCs/>
          <w:sz w:val="26"/>
          <w:szCs w:val="26"/>
        </w:rPr>
        <w:t>Westerman</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Bonnet (Capgemini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MIT</w:t>
      </w:r>
      <w:r w:rsidRPr="00A92155">
        <w:rPr>
          <w:rFonts w:asciiTheme="majorBidi" w:hAnsiTheme="majorBidi" w:cstheme="majorBidi"/>
          <w:b/>
          <w:bCs/>
          <w:sz w:val="26"/>
          <w:szCs w:val="26"/>
          <w:rtl/>
        </w:rPr>
        <w:t>)</w:t>
      </w:r>
    </w:p>
    <w:p w14:paraId="09A7C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النموذج من الأطر الأكثر استخداماً لأنه يركز على الجمع بين البعد التكنولوجي والاستراتيجي للتحول:</w:t>
      </w:r>
    </w:p>
    <w:p w14:paraId="05433180"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 (</w:t>
      </w:r>
      <w:r w:rsidRPr="00A92155">
        <w:rPr>
          <w:rFonts w:asciiTheme="majorBidi" w:hAnsiTheme="majorBidi" w:cstheme="majorBidi"/>
          <w:b/>
          <w:bCs/>
          <w:sz w:val="26"/>
          <w:szCs w:val="26"/>
        </w:rPr>
        <w:t>Digital Leadership</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وجود رؤية واضحة، التزام قيادي، وتخصيص الموارد لدعم التحول (التركيز على القمة).</w:t>
      </w:r>
    </w:p>
    <w:p w14:paraId="7DCEB8CA"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عمق التحول الرقمي (</w:t>
      </w:r>
      <w:r w:rsidRPr="00A92155">
        <w:rPr>
          <w:rFonts w:asciiTheme="majorBidi" w:hAnsiTheme="majorBidi" w:cstheme="majorBidi"/>
          <w:b/>
          <w:bCs/>
          <w:sz w:val="26"/>
          <w:szCs w:val="26"/>
        </w:rPr>
        <w:t>Digital 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الاستخدام الفعال للتقنيات في العمليات الأساسية للمنظمة (التركيز على القاعدة).</w:t>
      </w:r>
    </w:p>
    <w:p w14:paraId="7E940D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تعليق الباحث أهمية</w:t>
      </w:r>
      <w:r w:rsidRPr="00A92155">
        <w:rPr>
          <w:rFonts w:asciiTheme="majorBidi" w:hAnsiTheme="majorBidi" w:cstheme="majorBidi"/>
          <w:sz w:val="26"/>
          <w:szCs w:val="26"/>
          <w:rtl/>
        </w:rPr>
        <w:t xml:space="preserve"> تصنف المؤسسات التي تنجح في البعدين معاً بـ "الماهرة رقمياً" (</w:t>
      </w:r>
      <w:r w:rsidRPr="00A92155">
        <w:rPr>
          <w:rFonts w:asciiTheme="majorBidi" w:hAnsiTheme="majorBidi" w:cstheme="majorBidi"/>
          <w:sz w:val="26"/>
          <w:szCs w:val="26"/>
        </w:rPr>
        <w:t>Digital Masters</w:t>
      </w:r>
      <w:r w:rsidRPr="00A92155">
        <w:rPr>
          <w:rFonts w:asciiTheme="majorBidi" w:hAnsiTheme="majorBidi" w:cstheme="majorBidi"/>
          <w:sz w:val="26"/>
          <w:szCs w:val="26"/>
          <w:rtl/>
        </w:rPr>
        <w:t>). هذه المؤسسات تحقق في المتوسط أداء مالياً وتشغيلياً أفضل بنسبة 20%، وتتميز بقدرتها على الابتكار وتوظيف التقنيات الناشئة بفعالية في عملياتها الحيوية.</w:t>
      </w:r>
    </w:p>
    <w:p w14:paraId="10D8B0E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ب. نموذج </w:t>
      </w:r>
      <w:r w:rsidRPr="00A92155">
        <w:rPr>
          <w:rFonts w:asciiTheme="majorBidi" w:hAnsiTheme="majorBidi" w:cstheme="majorBidi"/>
          <w:b/>
          <w:bCs/>
          <w:sz w:val="26"/>
          <w:szCs w:val="26"/>
        </w:rPr>
        <w:t>Gartner</w:t>
      </w:r>
      <w:r w:rsidRPr="00A92155">
        <w:rPr>
          <w:rFonts w:asciiTheme="majorBidi" w:hAnsiTheme="majorBidi" w:cstheme="majorBidi"/>
          <w:b/>
          <w:bCs/>
          <w:sz w:val="26"/>
          <w:szCs w:val="26"/>
          <w:rtl/>
        </w:rPr>
        <w:t xml:space="preserve"> (رحلة التحول الرقمي)</w:t>
      </w:r>
    </w:p>
    <w:p w14:paraId="6407E0F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يركز نموذج </w:t>
      </w:r>
      <w:r w:rsidRPr="00A92155">
        <w:rPr>
          <w:rFonts w:asciiTheme="majorBidi" w:hAnsiTheme="majorBidi" w:cstheme="majorBidi"/>
          <w:sz w:val="26"/>
          <w:szCs w:val="26"/>
        </w:rPr>
        <w:t>Gartner</w:t>
      </w:r>
      <w:r w:rsidRPr="00A92155">
        <w:rPr>
          <w:rFonts w:asciiTheme="majorBidi" w:hAnsiTheme="majorBidi" w:cstheme="majorBidi"/>
          <w:sz w:val="26"/>
          <w:szCs w:val="26"/>
          <w:rtl/>
        </w:rPr>
        <w:t xml:space="preserve"> على أن التحول الرقمي ليس هدفاً نهائياً، بل رحلة استراتيجية متدرجة بثلاث مراحل متتالية:</w:t>
      </w:r>
    </w:p>
    <w:p w14:paraId="1D4F3DE7"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المبدئي (</w:t>
      </w:r>
      <w:r w:rsidRPr="00A92155">
        <w:rPr>
          <w:rFonts w:asciiTheme="majorBidi" w:hAnsiTheme="majorBidi" w:cstheme="majorBidi"/>
          <w:b/>
          <w:bCs/>
          <w:sz w:val="26"/>
          <w:szCs w:val="26"/>
        </w:rPr>
        <w:t>Initiate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الوعي، اكتشاف الفرص، وتحديد المبادرات الأولية التي يمكن أن تحقق عائداً سريعاً (</w:t>
      </w:r>
      <w:r w:rsidRPr="00A92155">
        <w:rPr>
          <w:rFonts w:asciiTheme="majorBidi" w:hAnsiTheme="majorBidi" w:cstheme="majorBidi"/>
          <w:sz w:val="26"/>
          <w:szCs w:val="26"/>
        </w:rPr>
        <w:t>Quick Wins</w:t>
      </w:r>
      <w:r w:rsidRPr="00A92155">
        <w:rPr>
          <w:rFonts w:asciiTheme="majorBidi" w:hAnsiTheme="majorBidi" w:cstheme="majorBidi"/>
          <w:sz w:val="26"/>
          <w:szCs w:val="26"/>
          <w:rtl/>
        </w:rPr>
        <w:t>).</w:t>
      </w:r>
    </w:p>
    <w:p w14:paraId="0406814B"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الناضج/التوسع (</w:t>
      </w:r>
      <w:r w:rsidRPr="00A92155">
        <w:rPr>
          <w:rFonts w:asciiTheme="majorBidi" w:hAnsiTheme="majorBidi" w:cstheme="majorBidi"/>
          <w:b/>
          <w:bCs/>
          <w:sz w:val="26"/>
          <w:szCs w:val="26"/>
        </w:rPr>
        <w:t>Scale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توسيع نطاق المبادرات الناجحة وتعميمها على مستوى المؤسسة، وهنا تبرز الحاجة إلى حوكمة قوية وتكامل تقني متزايد.</w:t>
      </w:r>
    </w:p>
    <w:p w14:paraId="089ABA78"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الاستراتيجي/التحسين (</w:t>
      </w:r>
      <w:r w:rsidRPr="00A92155">
        <w:rPr>
          <w:rFonts w:asciiTheme="majorBidi" w:hAnsiTheme="majorBidi" w:cstheme="majorBidi"/>
          <w:b/>
          <w:bCs/>
          <w:sz w:val="26"/>
          <w:szCs w:val="26"/>
        </w:rPr>
        <w:t>Optimize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تحقيق النضج الكامل، حيث تصبح الرقمنة جزءاً لا يتجزأ من نموذج العمل، وتُستخدم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لتحقيق التحسين المستمر والفعالية (</w:t>
      </w:r>
      <w:r w:rsidRPr="00A92155">
        <w:rPr>
          <w:rFonts w:asciiTheme="majorBidi" w:hAnsiTheme="majorBidi" w:cstheme="majorBidi"/>
          <w:sz w:val="26"/>
          <w:szCs w:val="26"/>
        </w:rPr>
        <w:t>Gartner, 2024</w:t>
      </w:r>
      <w:r w:rsidRPr="00A92155">
        <w:rPr>
          <w:rFonts w:asciiTheme="majorBidi" w:hAnsiTheme="majorBidi" w:cstheme="majorBidi"/>
          <w:sz w:val="26"/>
          <w:szCs w:val="26"/>
          <w:rtl/>
        </w:rPr>
        <w:t>).</w:t>
      </w:r>
    </w:p>
    <w:p w14:paraId="32F045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نموذج منظمة التعاون الاقتصادي والتنمية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w:t>
      </w:r>
    </w:p>
    <w:p w14:paraId="46985A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يهتم هذا النموذج بالتحول الرقمي من منظور السياسات الكلية (</w:t>
      </w:r>
      <w:r w:rsidRPr="00A92155">
        <w:rPr>
          <w:rFonts w:asciiTheme="majorBidi" w:hAnsiTheme="majorBidi" w:cstheme="majorBidi"/>
          <w:sz w:val="26"/>
          <w:szCs w:val="26"/>
        </w:rPr>
        <w:t>Macro-Policy</w:t>
      </w:r>
      <w:r w:rsidRPr="00A92155">
        <w:rPr>
          <w:rFonts w:asciiTheme="majorBidi" w:hAnsiTheme="majorBidi" w:cstheme="majorBidi"/>
          <w:sz w:val="26"/>
          <w:szCs w:val="26"/>
          <w:rtl/>
        </w:rPr>
        <w:t>) ويركز على الجوانب الاجتماعية والاقتصادية للرقمنة:</w:t>
      </w:r>
    </w:p>
    <w:p w14:paraId="5DCA441A"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والأمن:</w:t>
      </w:r>
      <w:r w:rsidRPr="00A92155">
        <w:rPr>
          <w:rFonts w:asciiTheme="majorBidi" w:hAnsiTheme="majorBidi" w:cstheme="majorBidi"/>
          <w:sz w:val="26"/>
          <w:szCs w:val="26"/>
          <w:rtl/>
        </w:rPr>
        <w:t xml:space="preserve"> يشدد النموذج على أهمية بناء إطار عمل قوي لحوكمة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وإدارة مخاطر الأمن السيبراني كجزء أساسي من الاقتصاد الرقمي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33A37BE7"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قياس الاقتصاد الرقمي:</w:t>
      </w:r>
      <w:r w:rsidRPr="00A92155">
        <w:rPr>
          <w:rFonts w:asciiTheme="majorBidi" w:hAnsiTheme="majorBidi" w:cstheme="majorBidi"/>
          <w:sz w:val="26"/>
          <w:szCs w:val="26"/>
          <w:rtl/>
        </w:rPr>
        <w:t xml:space="preserve"> ضرورة تطوير إحصائيات وطرق قياس جديدة لجعل "الاقتصاد الرقمي" مرئياً في حسابات الناتج المحلي الإجمالي وأداء القطاعات المختلفة (</w:t>
      </w:r>
      <w:r w:rsidRPr="00A92155">
        <w:rPr>
          <w:rFonts w:asciiTheme="majorBidi" w:hAnsiTheme="majorBidi" w:cstheme="majorBidi"/>
          <w:sz w:val="26"/>
          <w:szCs w:val="26"/>
        </w:rPr>
        <w:t>OECD, 2025</w:t>
      </w:r>
      <w:r w:rsidRPr="00A92155">
        <w:rPr>
          <w:rFonts w:asciiTheme="majorBidi" w:hAnsiTheme="majorBidi" w:cstheme="majorBidi"/>
          <w:sz w:val="26"/>
          <w:szCs w:val="26"/>
          <w:rtl/>
        </w:rPr>
        <w:t>).</w:t>
      </w:r>
    </w:p>
    <w:p w14:paraId="21D51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يوفر نموذج </w:t>
      </w:r>
      <w:r w:rsidRPr="00A92155">
        <w:rPr>
          <w:rFonts w:asciiTheme="majorBidi" w:hAnsiTheme="majorBidi" w:cstheme="majorBidi"/>
          <w:sz w:val="26"/>
          <w:szCs w:val="26"/>
        </w:rPr>
        <w:t>OECD</w:t>
      </w:r>
      <w:r w:rsidRPr="00A92155">
        <w:rPr>
          <w:rFonts w:asciiTheme="majorBidi" w:hAnsiTheme="majorBidi" w:cstheme="majorBidi"/>
          <w:sz w:val="26"/>
          <w:szCs w:val="26"/>
          <w:rtl/>
        </w:rPr>
        <w:t xml:space="preserve"> الإطار الأمثل لربط التحول الرقمي السعودي بأهداف تيسير التجارة العالمية، حيث أن تحسين الأمن وفعالية التجارة هما من أبرز محاور "القياس" التي تدعو إليها المنظمة في تقاريرها حول التجارة الرقمية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075F879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2.1.5 محددات نجاح التحول الرقمي في القطاع العام</w:t>
      </w:r>
    </w:p>
    <w:p w14:paraId="76E28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في التحول الرقمي الحكومي لا يرتكز على التكنولوجيا وحدها، بل هو نتاج تضافر خمسة محددات رئيسية تعمل كمنظومة متكاملة، حيث أن الفشل في أي منها يمكن أن يعيق الجهود بأكملها:</w:t>
      </w:r>
    </w:p>
    <w:p w14:paraId="6C088B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البنية التحتية التكنولوجية المتطورة والمرونة (</w:t>
      </w:r>
      <w:r w:rsidRPr="00A92155">
        <w:rPr>
          <w:rFonts w:asciiTheme="majorBidi" w:hAnsiTheme="majorBidi" w:cstheme="majorBidi"/>
          <w:b/>
          <w:bCs/>
          <w:sz w:val="26"/>
          <w:szCs w:val="26"/>
        </w:rPr>
        <w:t>Infrastructure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Resilience</w:t>
      </w:r>
      <w:r w:rsidRPr="00A92155">
        <w:rPr>
          <w:rFonts w:asciiTheme="majorBidi" w:hAnsiTheme="majorBidi" w:cstheme="majorBidi"/>
          <w:b/>
          <w:bCs/>
          <w:sz w:val="26"/>
          <w:szCs w:val="26"/>
          <w:rtl/>
        </w:rPr>
        <w:t>)</w:t>
      </w:r>
    </w:p>
    <w:p w14:paraId="1EE559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تتجاوز البنية التحتية الحديثة مجرد توفير الاتصالات السريعة لتشمل بناء بيئة عمل مرنة وموثوقة.</w:t>
      </w:r>
    </w:p>
    <w:p w14:paraId="5FB9ABF4"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التكامل والتشغيل البيني (</w:t>
      </w:r>
      <w:r w:rsidRPr="00A92155">
        <w:rPr>
          <w:rFonts w:asciiTheme="majorBidi" w:hAnsiTheme="majorBidi" w:cstheme="majorBidi"/>
          <w:b/>
          <w:bCs/>
          <w:sz w:val="26"/>
          <w:szCs w:val="26"/>
        </w:rPr>
        <w:t>Interoperability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هذا المحدد حاسماً في القطاع الحكومي، فهو يضمن قدرة الأنظمة المتباينة (كأنظمة الجمارك، وأمن الحدود، والجهات الضريبية) على تبادل البيانات وفهمها بشكل آلي. وهذا هو أساس مبادرات مثل "النافذة الواحدة" لتيسير التجارة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71068B33"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تبني السحابة الحكومية عاملاً ممكناً للمرونة والسرعة والكفاءة في إدارة البيانات الضخمة التي تنتجها عمليات التجارة والأمن.</w:t>
      </w:r>
    </w:p>
    <w:p w14:paraId="23172262"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السيبراني المُدمج (</w:t>
      </w:r>
      <w:r w:rsidRPr="00A92155">
        <w:rPr>
          <w:rFonts w:asciiTheme="majorBidi" w:hAnsiTheme="majorBidi" w:cstheme="majorBidi"/>
          <w:b/>
          <w:bCs/>
          <w:sz w:val="26"/>
          <w:szCs w:val="26"/>
        </w:rPr>
        <w:t>Embedded Security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للبنية التحتية أن تكون ناجحة ما لم يكن الأمن مُدمجاً فيها منذ مرحلة التصميم (</w:t>
      </w:r>
      <w:r w:rsidRPr="00A92155">
        <w:rPr>
          <w:rFonts w:asciiTheme="majorBidi" w:hAnsiTheme="majorBidi" w:cstheme="majorBidi"/>
          <w:sz w:val="26"/>
          <w:szCs w:val="26"/>
        </w:rPr>
        <w:t>Security by Design</w:t>
      </w:r>
      <w:r w:rsidRPr="00A92155">
        <w:rPr>
          <w:rFonts w:asciiTheme="majorBidi" w:hAnsiTheme="majorBidi" w:cstheme="majorBidi"/>
          <w:sz w:val="26"/>
          <w:szCs w:val="26"/>
          <w:rtl/>
        </w:rPr>
        <w:t>). يجب أن تكون الأنظمة مصممة لتحمل الهجمات الإلكترونية (</w:t>
      </w:r>
      <w:r w:rsidRPr="00A92155">
        <w:rPr>
          <w:rFonts w:asciiTheme="majorBidi" w:hAnsiTheme="majorBidi" w:cstheme="majorBidi"/>
          <w:sz w:val="26"/>
          <w:szCs w:val="26"/>
        </w:rPr>
        <w:t>Resilient Infrastructure</w:t>
      </w:r>
      <w:r w:rsidRPr="00A92155">
        <w:rPr>
          <w:rFonts w:asciiTheme="majorBidi" w:hAnsiTheme="majorBidi" w:cstheme="majorBidi"/>
          <w:sz w:val="26"/>
          <w:szCs w:val="26"/>
          <w:rtl/>
        </w:rPr>
        <w:t>) ومنع الاختراقات الموجهة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98ED10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رأس المال البشري والكفاءات الرقمية (</w:t>
      </w:r>
      <w:r w:rsidRPr="00A92155">
        <w:rPr>
          <w:rFonts w:asciiTheme="majorBidi" w:hAnsiTheme="majorBidi" w:cstheme="majorBidi"/>
          <w:b/>
          <w:bCs/>
          <w:sz w:val="26"/>
          <w:szCs w:val="26"/>
        </w:rPr>
        <w:t>Human Capital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Digital Fluency</w:t>
      </w:r>
      <w:r w:rsidRPr="00A92155">
        <w:rPr>
          <w:rFonts w:asciiTheme="majorBidi" w:hAnsiTheme="majorBidi" w:cstheme="majorBidi"/>
          <w:b/>
          <w:bCs/>
          <w:sz w:val="26"/>
          <w:szCs w:val="26"/>
          <w:rtl/>
        </w:rPr>
        <w:t>)</w:t>
      </w:r>
    </w:p>
    <w:p w14:paraId="06F517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العنصر البشري هو المحرك الحقيقي للتحول الرقمي. فالاستثمار في التكنولوجيا دون الاستثمار في الكفاءات يُنشئ "فجوة تكنولوجية" داخلية.</w:t>
      </w:r>
    </w:p>
    <w:p w14:paraId="0394CC7F"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المهارات الرقمية المتقدمة:</w:t>
      </w:r>
      <w:r w:rsidRPr="00A92155">
        <w:rPr>
          <w:rFonts w:asciiTheme="majorBidi" w:hAnsiTheme="majorBidi" w:cstheme="majorBidi"/>
          <w:sz w:val="26"/>
          <w:szCs w:val="26"/>
          <w:rtl/>
        </w:rPr>
        <w:t xml:space="preserve"> الحاجة إلى موظفين يمتلكون مهارات في تحليل البيانات، وإدارة الأمن السيبراني، وفهم تقنيات الذكاء الاصطناعي وتطبيقها في بيئة العمل.</w:t>
      </w:r>
    </w:p>
    <w:p w14:paraId="7E75E2EC"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برامج بناء القدرات الوطنية:</w:t>
      </w:r>
      <w:r w:rsidRPr="00A92155">
        <w:rPr>
          <w:rFonts w:asciiTheme="majorBidi" w:hAnsiTheme="majorBidi" w:cstheme="majorBidi"/>
          <w:sz w:val="26"/>
          <w:szCs w:val="26"/>
          <w:rtl/>
        </w:rPr>
        <w:t xml:space="preserve"> في السياق السعودي، لعبت المبادرات المرتبطة بـ برنامج التحول الوطني دوراً كبيراً في تطوير الكفاءات الرقمية وتمكين الشباب والمرأة في هذا المجال.</w:t>
      </w:r>
    </w:p>
    <w:p w14:paraId="0B8F802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الثقافة التنظيمية الموجهة نحو الابتكار (</w:t>
      </w:r>
      <w:r w:rsidRPr="00A92155">
        <w:rPr>
          <w:rFonts w:asciiTheme="majorBidi" w:hAnsiTheme="majorBidi" w:cstheme="majorBidi"/>
          <w:b/>
          <w:bCs/>
          <w:sz w:val="26"/>
          <w:szCs w:val="26"/>
        </w:rPr>
        <w:t>Organizational Culture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1B3535B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الرقمي يتطلب تحولاً من ثقافة الالتزام الصارم بالقواعد (</w:t>
      </w:r>
      <w:r w:rsidRPr="00A92155">
        <w:rPr>
          <w:rFonts w:asciiTheme="majorBidi" w:hAnsiTheme="majorBidi" w:cstheme="majorBidi"/>
          <w:sz w:val="26"/>
          <w:szCs w:val="26"/>
        </w:rPr>
        <w:t>Compliance-Driven Culture</w:t>
      </w:r>
      <w:r w:rsidRPr="00A92155">
        <w:rPr>
          <w:rFonts w:asciiTheme="majorBidi" w:hAnsiTheme="majorBidi" w:cstheme="majorBidi"/>
          <w:sz w:val="26"/>
          <w:szCs w:val="26"/>
          <w:rtl/>
        </w:rPr>
        <w:t>) إلى ثقافة التعلم المستمر (</w:t>
      </w:r>
      <w:r w:rsidRPr="00A92155">
        <w:rPr>
          <w:rFonts w:asciiTheme="majorBidi" w:hAnsiTheme="majorBidi" w:cstheme="majorBidi"/>
          <w:sz w:val="26"/>
          <w:szCs w:val="26"/>
        </w:rPr>
        <w:t>Learning Culture</w:t>
      </w:r>
      <w:r w:rsidRPr="00A92155">
        <w:rPr>
          <w:rFonts w:asciiTheme="majorBidi" w:hAnsiTheme="majorBidi" w:cstheme="majorBidi"/>
          <w:sz w:val="26"/>
          <w:szCs w:val="26"/>
          <w:rtl/>
        </w:rPr>
        <w:t>) والابتكار المفتوح (</w:t>
      </w:r>
      <w:r w:rsidRPr="00A92155">
        <w:rPr>
          <w:rFonts w:asciiTheme="majorBidi" w:hAnsiTheme="majorBidi" w:cstheme="majorBidi"/>
          <w:sz w:val="26"/>
          <w:szCs w:val="26"/>
        </w:rPr>
        <w:t>Open Innovation</w:t>
      </w:r>
      <w:r w:rsidRPr="00A92155">
        <w:rPr>
          <w:rFonts w:asciiTheme="majorBidi" w:hAnsiTheme="majorBidi" w:cstheme="majorBidi"/>
          <w:sz w:val="26"/>
          <w:szCs w:val="26"/>
          <w:rtl/>
        </w:rPr>
        <w:t>).</w:t>
      </w:r>
    </w:p>
    <w:p w14:paraId="635A4827"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إدارة التغيير:</w:t>
      </w:r>
      <w:r w:rsidRPr="00A92155">
        <w:rPr>
          <w:rFonts w:asciiTheme="majorBidi" w:hAnsiTheme="majorBidi" w:cstheme="majorBidi"/>
          <w:sz w:val="26"/>
          <w:szCs w:val="26"/>
          <w:rtl/>
        </w:rPr>
        <w:t xml:space="preserve"> التحول الرقمي يتطلب تغييرات جوهرية في الأدوار والمسؤوليات، مما يولد مقاومة للتغيير. يجب على القيادات الرقمية أن ترسخ ثقافة التغيير والإبداع لضمان تبني الموظفين للأنظمة الجديدة بدلاً من مقاومتها.</w:t>
      </w:r>
    </w:p>
    <w:p w14:paraId="198EF37C"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w:t>
      </w:r>
      <w:r w:rsidRPr="00A92155">
        <w:rPr>
          <w:rFonts w:asciiTheme="majorBidi" w:hAnsiTheme="majorBidi" w:cstheme="majorBidi"/>
          <w:b/>
          <w:bCs/>
          <w:sz w:val="26"/>
          <w:szCs w:val="26"/>
        </w:rPr>
        <w:t>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تكون المنظمة قادرة على التجريب، والتعلم السريع من الأخطاء (</w:t>
      </w:r>
      <w:r w:rsidRPr="00A92155">
        <w:rPr>
          <w:rFonts w:asciiTheme="majorBidi" w:hAnsiTheme="majorBidi" w:cstheme="majorBidi"/>
          <w:sz w:val="26"/>
          <w:szCs w:val="26"/>
        </w:rPr>
        <w:t>Fail Fast, Learn Faster</w:t>
      </w:r>
      <w:r w:rsidRPr="00A92155">
        <w:rPr>
          <w:rFonts w:asciiTheme="majorBidi" w:hAnsiTheme="majorBidi" w:cstheme="majorBidi"/>
          <w:sz w:val="26"/>
          <w:szCs w:val="26"/>
          <w:rtl/>
        </w:rPr>
        <w:t>)، والتكيف مع المتطلبات المتغيرة لقطاعي التجارة والأمن.</w:t>
      </w:r>
    </w:p>
    <w:p w14:paraId="1C1FA4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التشريعات والإطار التنظيمي (</w:t>
      </w:r>
      <w:r w:rsidRPr="00A92155">
        <w:rPr>
          <w:rFonts w:asciiTheme="majorBidi" w:hAnsiTheme="majorBidi" w:cstheme="majorBidi"/>
          <w:b/>
          <w:bCs/>
          <w:sz w:val="26"/>
          <w:szCs w:val="26"/>
        </w:rPr>
        <w:t>Legal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Regulatory Framework</w:t>
      </w:r>
      <w:r w:rsidRPr="00A92155">
        <w:rPr>
          <w:rFonts w:asciiTheme="majorBidi" w:hAnsiTheme="majorBidi" w:cstheme="majorBidi"/>
          <w:b/>
          <w:bCs/>
          <w:sz w:val="26"/>
          <w:szCs w:val="26"/>
          <w:rtl/>
        </w:rPr>
        <w:t>)</w:t>
      </w:r>
    </w:p>
    <w:p w14:paraId="04F3D5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يوفر الإطار القانوني الجسر الذي يربط التكنولوجيا بالثقة العامة والشرعية المؤسسية.</w:t>
      </w:r>
    </w:p>
    <w:p w14:paraId="19499295"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w:t>
      </w:r>
      <w:r w:rsidRPr="00A92155">
        <w:rPr>
          <w:rFonts w:asciiTheme="majorBidi" w:hAnsiTheme="majorBidi" w:cstheme="majorBidi"/>
          <w:b/>
          <w:bCs/>
          <w:sz w:val="26"/>
          <w:szCs w:val="26"/>
        </w:rPr>
        <w:t>Data Governance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وضع سياسات واضحة لجمع وتبادل وحماية البيانات الحكومية الحساسة والبيانات التجارية الخاصة، مما يضمن الشفافية والمساءلة.</w:t>
      </w:r>
    </w:p>
    <w:p w14:paraId="368921CA"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قوانين حماية الخصوصية والأمن السيبراني:</w:t>
      </w:r>
      <w:r w:rsidRPr="00A92155">
        <w:rPr>
          <w:rFonts w:asciiTheme="majorBidi" w:hAnsiTheme="majorBidi" w:cstheme="majorBidi"/>
          <w:sz w:val="26"/>
          <w:szCs w:val="26"/>
          <w:rtl/>
        </w:rPr>
        <w:t xml:space="preserve"> ضرورة إصدار وتحديث القوانين التي تواكب تطور الجرائم الإلكترونية (كالاحتيال والفدية الرقمية) وتضمن حماية حقوق الأفراد والشركات في البيئة الرقمية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5E21D0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هـ. التمويل وعائد الاستثمار الرقمي (</w:t>
      </w:r>
      <w:r w:rsidRPr="00A92155">
        <w:rPr>
          <w:rFonts w:asciiTheme="majorBidi" w:hAnsiTheme="majorBidi" w:cstheme="majorBidi"/>
          <w:b/>
          <w:bCs/>
          <w:sz w:val="26"/>
          <w:szCs w:val="26"/>
        </w:rPr>
        <w:t>Funding and Digital ROI</w:t>
      </w:r>
      <w:r w:rsidRPr="00A92155">
        <w:rPr>
          <w:rFonts w:asciiTheme="majorBidi" w:hAnsiTheme="majorBidi" w:cstheme="majorBidi"/>
          <w:b/>
          <w:bCs/>
          <w:sz w:val="26"/>
          <w:szCs w:val="26"/>
          <w:rtl/>
        </w:rPr>
        <w:t>)</w:t>
      </w:r>
    </w:p>
    <w:p w14:paraId="0E8126F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التحول الرقمي عملية مكلفة وتتطلب استثمارات ضخمة ومستمرة. يجب أن يتم النظر إلى الإنفاق الرقمي كـ </w:t>
      </w:r>
      <w:r w:rsidRPr="00A92155">
        <w:rPr>
          <w:rFonts w:asciiTheme="majorBidi" w:hAnsiTheme="majorBidi" w:cstheme="majorBidi"/>
          <w:b/>
          <w:bCs/>
          <w:sz w:val="26"/>
          <w:szCs w:val="26"/>
          <w:rtl/>
        </w:rPr>
        <w:t>استثمار استراتيجي</w:t>
      </w:r>
      <w:r w:rsidRPr="00A92155">
        <w:rPr>
          <w:rFonts w:asciiTheme="majorBidi" w:hAnsiTheme="majorBidi" w:cstheme="majorBidi"/>
          <w:sz w:val="26"/>
          <w:szCs w:val="26"/>
          <w:rtl/>
        </w:rPr>
        <w:t xml:space="preserve"> وليس مجرد تكلفة تشغيلية، مع قياس عائد الاستثمار ليس فقط مالياً، بل من حيث </w:t>
      </w:r>
      <w:r w:rsidRPr="00A92155">
        <w:rPr>
          <w:rFonts w:asciiTheme="majorBidi" w:hAnsiTheme="majorBidi" w:cstheme="majorBidi"/>
          <w:b/>
          <w:bCs/>
          <w:sz w:val="26"/>
          <w:szCs w:val="26"/>
          <w:rtl/>
        </w:rPr>
        <w:t>القيمة المضافة</w:t>
      </w:r>
      <w:r w:rsidRPr="00A92155">
        <w:rPr>
          <w:rFonts w:asciiTheme="majorBidi" w:hAnsiTheme="majorBidi" w:cstheme="majorBidi"/>
          <w:sz w:val="26"/>
          <w:szCs w:val="26"/>
          <w:rtl/>
        </w:rPr>
        <w:t xml:space="preserve"> (مثال: خفض زمن التخليص الجمركي، زيادة ثقة المستثمرين، تعزيز الأمن الوطني).</w:t>
      </w:r>
    </w:p>
    <w:p w14:paraId="0BC057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2.1.6 التحول الرقمي في السياق السعودي: من الرؤية الوطنية 2030 إلى المبادرات الحكومية الرقمية</w:t>
      </w:r>
    </w:p>
    <w:p w14:paraId="6CE6C2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المسار السعودي في التحول الرقمي نموذجاً للتغيير الموجه من القمة (</w:t>
      </w:r>
      <w:r w:rsidRPr="00A92155">
        <w:rPr>
          <w:rFonts w:asciiTheme="majorBidi" w:hAnsiTheme="majorBidi" w:cstheme="majorBidi"/>
          <w:sz w:val="26"/>
          <w:szCs w:val="26"/>
        </w:rPr>
        <w:t>Top-Down Approach</w:t>
      </w:r>
      <w:r w:rsidRPr="00A92155">
        <w:rPr>
          <w:rFonts w:asciiTheme="majorBidi" w:hAnsiTheme="majorBidi" w:cstheme="majorBidi"/>
          <w:sz w:val="26"/>
          <w:szCs w:val="26"/>
          <w:rtl/>
        </w:rPr>
        <w:t>)، حيث وُضع التحول الرقمي كأحد الأعمدة الرئيسية لتحقيق أهداف رؤية المملكة 2030 الطموحة.</w:t>
      </w:r>
    </w:p>
    <w:p w14:paraId="6BD1894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أ. دور الرؤية كـ "قوة دافعة مؤسسية"</w:t>
      </w:r>
    </w:p>
    <w:p w14:paraId="608CD1E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رؤية 2030 هي القوة الدافعة التي حققت التزاماً شاملاً وغير مسبوق بالتحول الرقمي، بهدف تنويع مصادر الدخل، ودفع الشركات للاستثمار في قطاعات التكنولوجيا، وتعزيز مكانة المملكة كمركز لوجستي عالمي. هذا الالتزام يندرج تحت مفهوم الضغط الإلزامي في النظرية المؤسسية.</w:t>
      </w:r>
    </w:p>
    <w:p w14:paraId="155D1B5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الاستراتيجيات والمبادرات المؤسسية</w:t>
      </w:r>
    </w:p>
    <w:p w14:paraId="2FEE36E4"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استراتيجية الحكومة الرقمية (2023-2030):</w:t>
      </w:r>
      <w:r w:rsidRPr="00A92155">
        <w:rPr>
          <w:rFonts w:asciiTheme="majorBidi" w:hAnsiTheme="majorBidi" w:cstheme="majorBidi"/>
          <w:sz w:val="26"/>
          <w:szCs w:val="26"/>
          <w:rtl/>
        </w:rPr>
        <w:t xml:space="preserve"> تهدف إلى بناء بيئة عمل حكومية متكاملة وموثوقة، مع التركيز على التشغيل البيني وتبادل البيانات. وقد أشادت هيئة الحكومة الرقمية بالتقدم المحرز، مشيرة إلى ارتفاع مؤشر نضج التجربة الرقمية للخدمات الحكومية لعام 2025 إلى (86.71%).</w:t>
      </w:r>
    </w:p>
    <w:p w14:paraId="60BC8658"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 للبيانات والذكاء الاصطناعي (</w:t>
      </w:r>
      <w:r w:rsidRPr="00A92155">
        <w:rPr>
          <w:rFonts w:asciiTheme="majorBidi" w:hAnsiTheme="majorBidi" w:cstheme="majorBidi"/>
          <w:b/>
          <w:bCs/>
          <w:sz w:val="26"/>
          <w:szCs w:val="26"/>
        </w:rPr>
        <w:t>SDAIA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هذه الاستراتيجية هي أساس الانتقال إلى "الاقتصاد الذكي" عبر تسخير قدرات الذكاء الاصطناعي في تحليل المخاطر الأمنية، وتحسين الخدمات اللوجستية، ورفع الكفاءة الإنتاجية في القطاع العام.</w:t>
      </w:r>
    </w:p>
    <w:p w14:paraId="3B7ABCAE"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w:t>
      </w:r>
      <w:r w:rsidRPr="00A92155">
        <w:rPr>
          <w:rFonts w:asciiTheme="majorBidi" w:hAnsiTheme="majorBidi" w:cstheme="majorBidi"/>
          <w:sz w:val="26"/>
          <w:szCs w:val="26"/>
          <w:rtl/>
        </w:rPr>
        <w:t xml:space="preserve"> تم إنشاء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حماية الفضاء السيبراني الوطني، مما يؤكد أن الأمن السيبراني هو ممكّن أساسي وليس مجرد تحدٍ في مسيرة التحول.</w:t>
      </w:r>
    </w:p>
    <w:p w14:paraId="6EA5297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المبادرات الملموسة ذات الصلة بالدراسة</w:t>
      </w:r>
    </w:p>
    <w:p w14:paraId="5134944B"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"أبشر":</w:t>
      </w:r>
      <w:r w:rsidRPr="00A92155">
        <w:rPr>
          <w:rFonts w:asciiTheme="majorBidi" w:hAnsiTheme="majorBidi" w:cstheme="majorBidi"/>
          <w:sz w:val="26"/>
          <w:szCs w:val="26"/>
          <w:rtl/>
        </w:rPr>
        <w:t xml:space="preserve"> نموذج لنجاح الحكومة الرقمية في توحيد الخدمات وتسهيلها على المواطنين.</w:t>
      </w:r>
    </w:p>
    <w:p w14:paraId="6929E7F8"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"الجمرك الذكي" (</w:t>
      </w:r>
      <w:r w:rsidRPr="00A92155">
        <w:rPr>
          <w:rFonts w:asciiTheme="majorBidi" w:hAnsiTheme="majorBidi" w:cstheme="majorBidi"/>
          <w:b/>
          <w:bCs/>
          <w:sz w:val="26"/>
          <w:szCs w:val="26"/>
        </w:rPr>
        <w:t>Smart Customs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العمل على تطبيق أحدث تقنيات الذكاء الاصطناعي وسلاسل الكتل في عمليات الجمارك لتقليل زمن التخليص وزيادة كفاءة الفحص الأمني، مما يعكس الدمج المباشر بين محوري الدراسة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07B516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أظهر السياق السعودي منهجية ناضجة في التحول الرقمي من خلال صياغة استراتيجيات متكاملة تعالج محددات النجاح الخمسة (البنية التحتية، رأس المال البشري، الثقافة، التشريعات، التمويل)، وهو ما يضع المملكة في طليعة الدول المتقدمة في هذا المجال.</w:t>
      </w:r>
    </w:p>
    <w:p w14:paraId="4929F45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2.1.7 التجارب الدولية المقارنة</w:t>
      </w:r>
    </w:p>
    <w:p w14:paraId="698F9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التجارب الدولية مرجعاً استراتيجياً لا غنى عنه لعملية القياس المعياري الاستراتيجي (</w:t>
      </w:r>
      <w:r w:rsidRPr="00A92155">
        <w:rPr>
          <w:rFonts w:asciiTheme="majorBidi" w:hAnsiTheme="majorBidi" w:cstheme="majorBidi"/>
          <w:sz w:val="26"/>
          <w:szCs w:val="26"/>
        </w:rPr>
        <w:t>Strategic Benchmarking</w:t>
      </w:r>
      <w:r w:rsidRPr="00A92155">
        <w:rPr>
          <w:rFonts w:asciiTheme="majorBidi" w:hAnsiTheme="majorBidi" w:cstheme="majorBidi"/>
          <w:sz w:val="26"/>
          <w:szCs w:val="26"/>
          <w:rtl/>
        </w:rPr>
        <w:t>)، حيث تُسهم في استخلاص الدروس المستفادة حول كيفية تحقيق التوازن الفعال بين تعزيز الأمن وتيسير التجارة عبر التحول الرقمي. فيما يلي تحليل معمق لأربع تجارب رائدة:</w:t>
      </w:r>
    </w:p>
    <w:p w14:paraId="4476B92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إستونيا: الريادة في الهوية والأمن السيادي</w:t>
      </w:r>
    </w:p>
    <w:p w14:paraId="19A8E448"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الحكومة الرقمية الموثوقة (</w:t>
      </w:r>
      <w:r w:rsidRPr="00A92155">
        <w:rPr>
          <w:rFonts w:asciiTheme="majorBidi" w:hAnsiTheme="majorBidi" w:cstheme="majorBidi"/>
          <w:sz w:val="26"/>
          <w:szCs w:val="26"/>
        </w:rPr>
        <w:t>E-Estonia</w:t>
      </w:r>
      <w:r w:rsidRPr="00A92155">
        <w:rPr>
          <w:rFonts w:asciiTheme="majorBidi" w:hAnsiTheme="majorBidi" w:cstheme="majorBidi"/>
          <w:sz w:val="26"/>
          <w:szCs w:val="26"/>
          <w:rtl/>
        </w:rPr>
        <w:t>) والهوية الرقمية الموحدة.</w:t>
      </w:r>
    </w:p>
    <w:p w14:paraId="7F4A67F5"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تعتمد إستونيا على تقنية سلاسل الكتل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لحماية سجلات الدولة الحساسة، مما يجعلها مقاومة للعبث والتعديل (</w:t>
      </w:r>
      <w:r w:rsidRPr="00A92155">
        <w:rPr>
          <w:rFonts w:asciiTheme="majorBidi" w:hAnsiTheme="majorBidi" w:cstheme="majorBidi"/>
          <w:sz w:val="26"/>
          <w:szCs w:val="26"/>
        </w:rPr>
        <w:t>Tamper-Proof</w:t>
      </w:r>
      <w:r w:rsidRPr="00A92155">
        <w:rPr>
          <w:rFonts w:asciiTheme="majorBidi" w:hAnsiTheme="majorBidi" w:cstheme="majorBidi"/>
          <w:sz w:val="26"/>
          <w:szCs w:val="26"/>
          <w:rtl/>
        </w:rPr>
        <w:t>) ويضمن الأمن السيادي للبيانات.</w:t>
      </w:r>
    </w:p>
    <w:p w14:paraId="64831EFB"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سمح نظام الإقامة الإلكترونية (</w:t>
      </w:r>
      <w:r w:rsidRPr="00A92155">
        <w:rPr>
          <w:rFonts w:asciiTheme="majorBidi" w:hAnsiTheme="majorBidi" w:cstheme="majorBidi"/>
          <w:sz w:val="26"/>
          <w:szCs w:val="26"/>
        </w:rPr>
        <w:t>e-Residency</w:t>
      </w:r>
      <w:r w:rsidRPr="00A92155">
        <w:rPr>
          <w:rFonts w:asciiTheme="majorBidi" w:hAnsiTheme="majorBidi" w:cstheme="majorBidi"/>
          <w:sz w:val="26"/>
          <w:szCs w:val="26"/>
          <w:rtl/>
        </w:rPr>
        <w:t>) لأي شخص حول العالم بتأسيس وإدارة شركته إلكترونياً بالكامل في الاتحاد الأوروبي، مما عزز جاذبيتها الاقتصادية بشكل كبير وفتح آفاقاً جديدة للتجارة الرقمية العالمية.</w:t>
      </w:r>
    </w:p>
    <w:p w14:paraId="154882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سنغافورة: التكامل بين اللوجستيات الذكية والأمن الحدودي</w:t>
      </w:r>
    </w:p>
    <w:p w14:paraId="19C2C031"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الركيزة:</w:t>
      </w:r>
      <w:r w:rsidRPr="00A92155">
        <w:rPr>
          <w:rFonts w:asciiTheme="majorBidi" w:hAnsiTheme="majorBidi" w:cstheme="majorBidi"/>
          <w:sz w:val="26"/>
          <w:szCs w:val="26"/>
          <w:rtl/>
        </w:rPr>
        <w:t xml:space="preserve"> مبادرة الأمة الذكية (</w:t>
      </w:r>
      <w:r w:rsidRPr="00A92155">
        <w:rPr>
          <w:rFonts w:asciiTheme="majorBidi" w:hAnsiTheme="majorBidi" w:cstheme="majorBidi"/>
          <w:sz w:val="26"/>
          <w:szCs w:val="26"/>
        </w:rPr>
        <w:t>Smart Nation</w:t>
      </w:r>
      <w:r w:rsidRPr="00A92155">
        <w:rPr>
          <w:rFonts w:asciiTheme="majorBidi" w:hAnsiTheme="majorBidi" w:cstheme="majorBidi"/>
          <w:sz w:val="26"/>
          <w:szCs w:val="26"/>
          <w:rtl/>
        </w:rPr>
        <w:t>) والتركيز على مكانتها كمركز لوجستي عالمي.</w:t>
      </w:r>
    </w:p>
    <w:p w14:paraId="5F53D5E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إنشاء نظام </w:t>
      </w:r>
      <w:r w:rsidRPr="00A92155">
        <w:rPr>
          <w:rFonts w:asciiTheme="majorBidi" w:hAnsiTheme="majorBidi" w:cstheme="majorBidi"/>
          <w:sz w:val="26"/>
          <w:szCs w:val="26"/>
        </w:rPr>
        <w:t>TradeNet</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TradeXchange</w:t>
      </w:r>
      <w:r w:rsidRPr="00A92155">
        <w:rPr>
          <w:rFonts w:asciiTheme="majorBidi" w:hAnsiTheme="majorBidi" w:cstheme="majorBidi"/>
          <w:sz w:val="26"/>
          <w:szCs w:val="26"/>
          <w:rtl/>
        </w:rPr>
        <w:t xml:space="preserve"> المتقدم (النافذة الواحدة) الذي يربط بين أكثر من 35 جهة حكومية وتجارية في عملية تخليص آلي وسريع للشحنات. وهذا أدى إلى خفض زمن التخليص إلى بضع دقائق في معظم الحالات.</w:t>
      </w:r>
    </w:p>
    <w:p w14:paraId="2E42621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استخدام الذكاء الاصطناعي التنبؤي في تحليل بيانات الشحنات (</w:t>
      </w:r>
      <w:r w:rsidRPr="00A92155">
        <w:rPr>
          <w:rFonts w:asciiTheme="majorBidi" w:hAnsiTheme="majorBidi" w:cstheme="majorBidi"/>
          <w:sz w:val="26"/>
          <w:szCs w:val="26"/>
        </w:rPr>
        <w:t>Risk Analytics</w:t>
      </w:r>
      <w:r w:rsidRPr="00A92155">
        <w:rPr>
          <w:rFonts w:asciiTheme="majorBidi" w:hAnsiTheme="majorBidi" w:cstheme="majorBidi"/>
          <w:sz w:val="26"/>
          <w:szCs w:val="26"/>
          <w:rtl/>
        </w:rPr>
        <w:t>) لتحديد الشحنات ذات المخاطر الأمنية العالية فقط للتفتيش المادي، مما يحقق أعلى مستويات الأمن دون عرقلة التدفق التجاري.</w:t>
      </w:r>
    </w:p>
    <w:p w14:paraId="43BA4F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كوريا الجنوبية: قوة البنية التحتية والانتشار المجتمعي</w:t>
      </w:r>
    </w:p>
    <w:p w14:paraId="5D7928C7"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الاستثمار القياسي في البنية التحتية للاتصالات (</w:t>
      </w:r>
      <w:r w:rsidRPr="00A92155">
        <w:rPr>
          <w:rFonts w:asciiTheme="majorBidi" w:hAnsiTheme="majorBidi" w:cstheme="majorBidi"/>
          <w:sz w:val="26"/>
          <w:szCs w:val="26"/>
        </w:rPr>
        <w:t>Gigabit Society</w:t>
      </w:r>
      <w:r w:rsidRPr="00A92155">
        <w:rPr>
          <w:rFonts w:asciiTheme="majorBidi" w:hAnsiTheme="majorBidi" w:cstheme="majorBidi"/>
          <w:sz w:val="26"/>
          <w:szCs w:val="26"/>
          <w:rtl/>
        </w:rPr>
        <w:t>) والوصول إلى إنترنت فائق السرعة.</w:t>
      </w:r>
    </w:p>
    <w:p w14:paraId="0C1E4B10"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توفير بنية تحتية مرنة ومقاومة للصدمات (</w:t>
      </w:r>
      <w:r w:rsidRPr="00A92155">
        <w:rPr>
          <w:rFonts w:asciiTheme="majorBidi" w:hAnsiTheme="majorBidi" w:cstheme="majorBidi"/>
          <w:sz w:val="26"/>
          <w:szCs w:val="26"/>
        </w:rPr>
        <w:t>Resilience</w:t>
      </w:r>
      <w:r w:rsidRPr="00A92155">
        <w:rPr>
          <w:rFonts w:asciiTheme="majorBidi" w:hAnsiTheme="majorBidi" w:cstheme="majorBidi"/>
          <w:sz w:val="26"/>
          <w:szCs w:val="26"/>
          <w:rtl/>
        </w:rPr>
        <w:t>) على المستوى الوطني، مما يضمن استدامة العمليات الحكومية والتجارية حتى في مواجهة التهديدات السيبرانية.</w:t>
      </w:r>
    </w:p>
    <w:p w14:paraId="01326674"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ساهمت البنية التحتية الموثوقة والمنتشرة في تمكين نمو قطاع التجارة الإلكترونية وسلاسل التوريد الرقمية بكفاءة عالية، مما رفع من تنافسيتها العالمية.</w:t>
      </w:r>
    </w:p>
    <w:p w14:paraId="059128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الصين: نموذج التحول العملاق والرقمنة الشاملة</w:t>
      </w:r>
    </w:p>
    <w:p w14:paraId="2CBCAE50"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التحول القائم على البيانات الضخمة والرقمنة الشاملة للقطاعات.</w:t>
      </w:r>
    </w:p>
    <w:p w14:paraId="5D7806DD"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رقمنة عمليات الموانئ والمناطق الحرة، وإنشاء منصات موحدة للتجارة الإلكترونية العابرة للحدود التي تستفيد من حجم السوق الهائل.</w:t>
      </w:r>
    </w:p>
    <w:p w14:paraId="60AC37FE"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تطوير أنظمة أمنية متقدمة تعتمد على الذكاء الاصطناعي والمراقبة لتحقيق الأمن الوطني، مع التركيز على التحكم في تدفقات البيانات والمعلومات (</w:t>
      </w:r>
      <w:r w:rsidRPr="00A92155">
        <w:rPr>
          <w:rFonts w:asciiTheme="majorBidi" w:hAnsiTheme="majorBidi" w:cstheme="majorBidi"/>
          <w:sz w:val="26"/>
          <w:szCs w:val="26"/>
        </w:rPr>
        <w:t>Data Sovereignty</w:t>
      </w:r>
      <w:r w:rsidRPr="00A92155">
        <w:rPr>
          <w:rFonts w:asciiTheme="majorBidi" w:hAnsiTheme="majorBidi" w:cstheme="majorBidi"/>
          <w:sz w:val="26"/>
          <w:szCs w:val="26"/>
          <w:rtl/>
        </w:rPr>
        <w:t>).</w:t>
      </w:r>
    </w:p>
    <w:p w14:paraId="49ECFC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الاستنتاج المنهجي:</w:t>
      </w:r>
      <w:r w:rsidRPr="00A92155">
        <w:rPr>
          <w:rFonts w:asciiTheme="majorBidi" w:hAnsiTheme="majorBidi" w:cstheme="majorBidi"/>
          <w:sz w:val="26"/>
          <w:szCs w:val="26"/>
          <w:rtl/>
        </w:rPr>
        <w:t xml:space="preserve"> تُؤكد هذه التجارب أن مفتاح النجاح يكمن في ربط القدرات التكنولوجية (الممثلة في التحول الرقمي) بالإرادة المؤسسية (المتمثلة في القيادة الرقمية)، لتحقيق مخرجات استراتيجية مزدوجة: </w:t>
      </w:r>
      <w:r w:rsidRPr="00A92155">
        <w:rPr>
          <w:rFonts w:asciiTheme="majorBidi" w:hAnsiTheme="majorBidi" w:cstheme="majorBidi"/>
          <w:b/>
          <w:bCs/>
          <w:sz w:val="26"/>
          <w:szCs w:val="26"/>
          <w:rtl/>
        </w:rPr>
        <w:t>الأمن غير القابل للمساومة، والتجارة الميسرة والمنافسة.</w:t>
      </w:r>
    </w:p>
    <w:p w14:paraId="239C52F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2.1.8 تقييم جاهزية المملكة للتحول الرقمي وفق مؤشرات الأمم المتحدة (</w:t>
      </w:r>
      <w:r w:rsidRPr="00A92155">
        <w:rPr>
          <w:rFonts w:asciiTheme="majorBidi" w:hAnsiTheme="majorBidi" w:cs="PT Bold Heading"/>
          <w:b/>
          <w:bCs/>
          <w:color w:val="000000" w:themeColor="text1"/>
          <w:sz w:val="26"/>
          <w:szCs w:val="26"/>
        </w:rPr>
        <w:t>EGDI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LPI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NRI</w:t>
      </w:r>
      <w:r w:rsidRPr="00A92155">
        <w:rPr>
          <w:rFonts w:asciiTheme="majorBidi" w:hAnsiTheme="majorBidi" w:cs="PT Bold Heading"/>
          <w:b/>
          <w:bCs/>
          <w:color w:val="000000" w:themeColor="text1"/>
          <w:sz w:val="26"/>
          <w:szCs w:val="26"/>
          <w:rtl/>
        </w:rPr>
        <w:t>)</w:t>
      </w:r>
    </w:p>
    <w:p w14:paraId="3F287D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تقييم الجاهزية الرقمية للمملكة وفقاً للمؤشرات العالمية يوفر دليلاً كمياً موثوقاً على نجاح استراتيجية التحول الرقمي، لا سيما في الأبعاد المتعلقة بأداء الحكومة والخدمات اللوجستية والتجارة.</w:t>
      </w:r>
    </w:p>
    <w:p w14:paraId="0F68CC3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مؤشر تطور الحكومة الإلكترونية (</w:t>
      </w:r>
      <w:r w:rsidRPr="00A92155">
        <w:rPr>
          <w:rFonts w:asciiTheme="majorBidi" w:hAnsiTheme="majorBidi" w:cstheme="majorBidi"/>
          <w:b/>
          <w:bCs/>
          <w:sz w:val="26"/>
          <w:szCs w:val="26"/>
        </w:rPr>
        <w:t>E-Government Development Index - EGDI</w:t>
      </w:r>
      <w:r w:rsidRPr="00A92155">
        <w:rPr>
          <w:rFonts w:asciiTheme="majorBidi" w:hAnsiTheme="majorBidi" w:cstheme="majorBidi"/>
          <w:b/>
          <w:bCs/>
          <w:sz w:val="26"/>
          <w:szCs w:val="26"/>
          <w:rtl/>
        </w:rPr>
        <w:t>)</w:t>
      </w:r>
    </w:p>
    <w:p w14:paraId="426FAA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EGDI</w:t>
      </w:r>
      <w:r w:rsidRPr="00A92155">
        <w:rPr>
          <w:rFonts w:asciiTheme="majorBidi" w:hAnsiTheme="majorBidi" w:cstheme="majorBidi"/>
          <w:sz w:val="26"/>
          <w:szCs w:val="26"/>
          <w:rtl/>
        </w:rPr>
        <w:t>، الذي يصدر كل سنتين عن الأمم المتحدة، المعيار الأهم لقياس مدى نضج الحكومات الرقمية.</w:t>
      </w:r>
    </w:p>
    <w:p w14:paraId="50DEA4C1"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القفزة في الترتيب العام:</w:t>
      </w:r>
      <w:r w:rsidRPr="00A92155">
        <w:rPr>
          <w:rFonts w:asciiTheme="majorBidi" w:hAnsiTheme="majorBidi" w:cstheme="majorBidi"/>
          <w:sz w:val="26"/>
          <w:szCs w:val="26"/>
          <w:rtl/>
        </w:rPr>
        <w:t xml:space="preserve"> سجلت المملكة أعلى نتيجة تاريخية لها بعد عام 2020، حيث قفزت </w:t>
      </w:r>
      <w:r w:rsidRPr="00A92155">
        <w:rPr>
          <w:rFonts w:asciiTheme="majorBidi" w:hAnsiTheme="majorBidi" w:cstheme="majorBidi"/>
          <w:b/>
          <w:bCs/>
          <w:sz w:val="26"/>
          <w:szCs w:val="26"/>
          <w:rtl/>
        </w:rPr>
        <w:t>12 مرتبة</w:t>
      </w:r>
      <w:r w:rsidRPr="00A92155">
        <w:rPr>
          <w:rFonts w:asciiTheme="majorBidi" w:hAnsiTheme="majorBidi" w:cstheme="majorBidi"/>
          <w:sz w:val="26"/>
          <w:szCs w:val="26"/>
          <w:rtl/>
        </w:rPr>
        <w:t xml:space="preserve"> عالمياً في عام 2022، متجاوزة العديد من دول مجموعة العشرين.</w:t>
      </w:r>
    </w:p>
    <w:p w14:paraId="0863681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الريادة في مؤشر الخدمات الإلكترونية (</w:t>
      </w:r>
      <w:r w:rsidRPr="00A92155">
        <w:rPr>
          <w:rFonts w:asciiTheme="majorBidi" w:hAnsiTheme="majorBidi" w:cstheme="majorBidi"/>
          <w:b/>
          <w:bCs/>
          <w:sz w:val="26"/>
          <w:szCs w:val="26"/>
        </w:rPr>
        <w:t>OSI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عام 2024، حققت المملكة تصنيفاً تاريخياً بالحصول على المرتبة الرابعة عالمياً والأولى إقليمياً في هذا المؤشر الفرعي، مما يعكس الجودة العالية للخدمات الحكومية الرقمية المقدمة (هيئة الحكومة الرقمية، 2024).</w:t>
      </w:r>
    </w:p>
    <w:p w14:paraId="689DFED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نضج الحوكمة الرقمية:</w:t>
      </w:r>
      <w:r w:rsidRPr="00A92155">
        <w:rPr>
          <w:rFonts w:asciiTheme="majorBidi" w:hAnsiTheme="majorBidi" w:cstheme="majorBidi"/>
          <w:sz w:val="26"/>
          <w:szCs w:val="26"/>
          <w:rtl/>
        </w:rPr>
        <w:t xml:space="preserve"> أشاد التقرير بنضج التنظيمات الرقمية الحكومية التي وصلت إلى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ونسبة إتاحة ومشاركة البيانات الحكومية المفتوحة للمواطنين وقطاعات الأعمال التي بلغت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(هيئة الحكومة الرقمية، 2024).</w:t>
      </w:r>
    </w:p>
    <w:p w14:paraId="10477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الدلالة:</w:t>
      </w:r>
      <w:r w:rsidRPr="00A92155">
        <w:rPr>
          <w:rFonts w:asciiTheme="majorBidi" w:hAnsiTheme="majorBidi" w:cstheme="majorBidi"/>
          <w:sz w:val="26"/>
          <w:szCs w:val="26"/>
          <w:rtl/>
        </w:rPr>
        <w:t xml:space="preserve"> تعني هذه القفزات أن الأساس التكنولوجي والإداري للتحول الرقمي قد اكتمل، مما يمهد الطريق لتوظيف هذه المنظومة المتكاملة لخدمة أهداف الأمن وتيسير التجارة.</w:t>
      </w:r>
    </w:p>
    <w:p w14:paraId="21D7D3B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مؤشر أداء الخدمات اللوجستية (</w:t>
      </w:r>
      <w:r w:rsidRPr="00A92155">
        <w:rPr>
          <w:rFonts w:asciiTheme="majorBidi" w:hAnsiTheme="majorBidi" w:cstheme="majorBidi"/>
          <w:b/>
          <w:bCs/>
          <w:sz w:val="26"/>
          <w:szCs w:val="26"/>
        </w:rPr>
        <w:t>Logistics Performance Index - LPI</w:t>
      </w:r>
      <w:r w:rsidRPr="00A92155">
        <w:rPr>
          <w:rFonts w:asciiTheme="majorBidi" w:hAnsiTheme="majorBidi" w:cstheme="majorBidi"/>
          <w:b/>
          <w:bCs/>
          <w:sz w:val="26"/>
          <w:szCs w:val="26"/>
          <w:rtl/>
        </w:rPr>
        <w:t>)</w:t>
      </w:r>
    </w:p>
    <w:p w14:paraId="6FE0EBA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الصادر عن البنك الدولي، مقياساً مباشراً لفعالية محوري الدراسة، حيث يقيس كفاءة عمليات التخليص الجمركي، وجودة البنية التحتية التجارية، وسهولة تتبع الشحنات.</w:t>
      </w:r>
    </w:p>
    <w:p w14:paraId="22BCD13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الربط بتيسير التجارة:</w:t>
      </w:r>
      <w:r w:rsidRPr="00A92155">
        <w:rPr>
          <w:rFonts w:asciiTheme="majorBidi" w:hAnsiTheme="majorBidi" w:cstheme="majorBidi"/>
          <w:sz w:val="26"/>
          <w:szCs w:val="26"/>
          <w:rtl/>
        </w:rPr>
        <w:t xml:space="preserve"> يُعد التقدم في هذا المؤشر دليلاً قاطعاً على الأثر الإيجابي للتحول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وفي قطاع النقل والخدمات اللوجستية ككل. فالرقمنة تؤدي إلى خفض زمن وتكلفة التخليص الجمركي، مما يرفع من تصنيف المملكة كمركز لوجستي إقليمي وعالمي، وهو هدف أساسي من أهداف رؤية 2030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40B2EE5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مؤشر الجاهزية الشبكية (</w:t>
      </w:r>
      <w:r w:rsidRPr="00A92155">
        <w:rPr>
          <w:rFonts w:asciiTheme="majorBidi" w:hAnsiTheme="majorBidi" w:cstheme="majorBidi"/>
          <w:b/>
          <w:bCs/>
          <w:sz w:val="26"/>
          <w:szCs w:val="26"/>
        </w:rPr>
        <w:t>Network Readiness Index - NRI</w:t>
      </w:r>
      <w:r w:rsidRPr="00A92155">
        <w:rPr>
          <w:rFonts w:asciiTheme="majorBidi" w:hAnsiTheme="majorBidi" w:cstheme="majorBidi"/>
          <w:b/>
          <w:bCs/>
          <w:sz w:val="26"/>
          <w:szCs w:val="26"/>
          <w:rtl/>
        </w:rPr>
        <w:t>)</w:t>
      </w:r>
    </w:p>
    <w:p w14:paraId="2B6E64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يقيس </w:t>
      </w:r>
      <w:r w:rsidRPr="00A92155">
        <w:rPr>
          <w:rFonts w:asciiTheme="majorBidi" w:hAnsiTheme="majorBidi" w:cstheme="majorBidi"/>
          <w:sz w:val="26"/>
          <w:szCs w:val="26"/>
        </w:rPr>
        <w:t>NRI</w:t>
      </w:r>
      <w:r w:rsidRPr="00A92155">
        <w:rPr>
          <w:rFonts w:asciiTheme="majorBidi" w:hAnsiTheme="majorBidi" w:cstheme="majorBidi"/>
          <w:sz w:val="26"/>
          <w:szCs w:val="26"/>
          <w:rtl/>
        </w:rPr>
        <w:t xml:space="preserve"> قدرة الدولة على استغلال الفرص التي تتيحها التقنيات الناشئة والاستثمار الفعال في البنية التحتية.</w:t>
      </w:r>
    </w:p>
    <w:p w14:paraId="451C488F" w14:textId="77777777" w:rsidR="00202E2A" w:rsidRPr="00A92155" w:rsidRDefault="00202E2A" w:rsidP="00202E2A">
      <w:pPr>
        <w:bidi/>
        <w:spacing w:line="240" w:lineRule="auto"/>
        <w:jc w:val="lowKashida"/>
        <w:rPr>
          <w:rFonts w:asciiTheme="majorBidi" w:hAnsiTheme="majorBidi" w:cstheme="majorBidi"/>
          <w:sz w:val="26"/>
          <w:szCs w:val="26"/>
          <w:rtl/>
        </w:rPr>
      </w:pPr>
      <w:r w:rsidRPr="00B6729E">
        <w:rPr>
          <w:rFonts w:asciiTheme="majorBidi" w:hAnsiTheme="majorBidi" w:cstheme="majorBidi"/>
          <w:sz w:val="26"/>
          <w:szCs w:val="26"/>
          <w:rtl/>
        </w:rPr>
        <w:t>دلالة التقدم:</w:t>
      </w:r>
      <w:r w:rsidRPr="00A92155">
        <w:rPr>
          <w:rFonts w:asciiTheme="majorBidi" w:hAnsiTheme="majorBidi" w:cstheme="majorBidi"/>
          <w:sz w:val="26"/>
          <w:szCs w:val="26"/>
          <w:rtl/>
        </w:rPr>
        <w:t xml:space="preserve"> يُؤكد التقدم في هذا المؤشر أن البيئة السعودية (من تشريعات، ثقافة، وبنية تحتية) جاهزة لاستقبال وتطبيق التقنيات المتقدمة اللازمة للمراحل المستقبلية من التحول الرقمي، لا سيما في مجالات الذكاء الاصطناعي وتحليل المخاطر الموجهة لخدمة الأمن والاقتصاد.</w:t>
      </w:r>
    </w:p>
    <w:p w14:paraId="691866DF"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B6729E">
        <w:rPr>
          <w:rFonts w:asciiTheme="majorBidi" w:hAnsiTheme="majorBidi" w:cstheme="majorBidi" w:hint="cs"/>
          <w:sz w:val="26"/>
          <w:szCs w:val="26"/>
          <w:rtl/>
        </w:rPr>
        <w:t xml:space="preserve"> </w:t>
      </w:r>
      <w:r w:rsidRPr="00B6729E">
        <w:rPr>
          <w:rFonts w:asciiTheme="majorBidi" w:hAnsiTheme="majorBidi" w:cstheme="majorBidi"/>
          <w:sz w:val="26"/>
          <w:szCs w:val="26"/>
          <w:rtl/>
        </w:rPr>
        <w:t>لقد</w:t>
      </w:r>
      <w:r w:rsidRPr="00A92155">
        <w:rPr>
          <w:rFonts w:asciiTheme="majorBidi" w:hAnsiTheme="majorBidi" w:cstheme="majorBidi"/>
          <w:sz w:val="26"/>
          <w:szCs w:val="26"/>
          <w:rtl/>
        </w:rPr>
        <w:t xml:space="preserve"> أثبت التحول الرقمي في المملكة العربية السعودية، وفقاً للتقييم النظري والمؤشرات الدولية، أنه ليس مجرد برنامج تحسين خدمات، بل هو إطار عمل استراتيجي شامل (</w:t>
      </w:r>
      <w:r w:rsidRPr="00A92155">
        <w:rPr>
          <w:rFonts w:asciiTheme="majorBidi" w:hAnsiTheme="majorBidi" w:cstheme="majorBidi"/>
          <w:sz w:val="26"/>
          <w:szCs w:val="26"/>
        </w:rPr>
        <w:t>Digital Master</w:t>
      </w:r>
      <w:r w:rsidRPr="00A92155">
        <w:rPr>
          <w:rFonts w:asciiTheme="majorBidi" w:hAnsiTheme="majorBidi" w:cstheme="majorBidi"/>
          <w:sz w:val="26"/>
          <w:szCs w:val="26"/>
          <w:rtl/>
        </w:rPr>
        <w:t>) يُترجم نظريات الكفاءة الديناميكية والنظم إلى واقع ملموس. هذا المبحث يرسخ الثوابت المفاهيمية والمنهجية للدراسة، وينتقل بنا إلى المباحث اللاحقة التي ستفصل الأبعاد المكونة لهذا التحول وكيف تتكامل لخدمة الأمن وتيسير التجارة.</w:t>
      </w:r>
    </w:p>
    <w:p w14:paraId="682F5971" w14:textId="0FA3A2A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الثاني: الأبعاد المكونة للتحول الرقمي في المؤسسات الحكومية</w:t>
      </w:r>
    </w:p>
    <w:p w14:paraId="7B873B7C" w14:textId="72E6F74A"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0E01F26B" w14:textId="0A9F6A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بعد تحديد الإطار المفاهيمي والمنهجي للتحول الرقمي وتأصيله نظرياً في </w:t>
      </w:r>
      <w:r w:rsidR="00FC5227">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الأول، ينتقل التحليل في هذا المبحث الثاني إلى الاشتقاق المنهجي للأبعاد المكونة لهذا التحول في سياق المؤسسات الحكومية، لا سيما تلك التي تتولى مهام استراتيجية مزدوجة كـ تعزيز الأمن وتيسير التجارة.</w:t>
      </w:r>
    </w:p>
    <w:p w14:paraId="7BBDBB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التحول الرقمي ليس ظاهرة أحادية، بل هو منظومة ثلاثية الأبعاد تتطلب تضافر الجهود في الأسس الرقمية (</w:t>
      </w:r>
      <w:r w:rsidRPr="00A92155">
        <w:rPr>
          <w:rFonts w:asciiTheme="majorBidi" w:hAnsiTheme="majorBidi" w:cstheme="majorBidi"/>
          <w:sz w:val="26"/>
          <w:szCs w:val="26"/>
        </w:rPr>
        <w:t>Enablers</w:t>
      </w:r>
      <w:r w:rsidRPr="00A92155">
        <w:rPr>
          <w:rFonts w:asciiTheme="majorBidi" w:hAnsiTheme="majorBidi" w:cstheme="majorBidi"/>
          <w:sz w:val="26"/>
          <w:szCs w:val="26"/>
          <w:rtl/>
        </w:rPr>
        <w:t>)، الابتكار الرقمي (</w:t>
      </w:r>
      <w:r w:rsidRPr="00A92155">
        <w:rPr>
          <w:rFonts w:asciiTheme="majorBidi" w:hAnsiTheme="majorBidi" w:cstheme="majorBidi"/>
          <w:sz w:val="26"/>
          <w:szCs w:val="26"/>
        </w:rPr>
        <w:t>Drivers</w:t>
      </w:r>
      <w:r w:rsidRPr="00A92155">
        <w:rPr>
          <w:rFonts w:asciiTheme="majorBidi" w:hAnsiTheme="majorBidi" w:cstheme="majorBidi"/>
          <w:sz w:val="26"/>
          <w:szCs w:val="26"/>
          <w:rtl/>
        </w:rPr>
        <w:t>)، والحوكمة الرقمية (</w:t>
      </w:r>
      <w:r w:rsidRPr="00A92155">
        <w:rPr>
          <w:rFonts w:asciiTheme="majorBidi" w:hAnsiTheme="majorBidi" w:cstheme="majorBidi"/>
          <w:sz w:val="26"/>
          <w:szCs w:val="26"/>
        </w:rPr>
        <w:t>Controls</w:t>
      </w:r>
      <w:r w:rsidRPr="00A92155">
        <w:rPr>
          <w:rFonts w:asciiTheme="majorBidi" w:hAnsiTheme="majorBidi" w:cstheme="majorBidi"/>
          <w:sz w:val="26"/>
          <w:szCs w:val="26"/>
          <w:rtl/>
        </w:rPr>
        <w:t>). يُشبه هذا التصنيف بناء صرح مؤسسي: حيث تمثل الأسس الرقمية الأساس المتين، والابتكار الرقمي يمثل هيكل المبنى الذي يحقق الوظيفة، بينما تمثل الحوكمة الرقمية النظم والتشريعات التي تضمن سلامة المبنى واستدامته وشرعيته.</w:t>
      </w:r>
    </w:p>
    <w:p w14:paraId="38D99104" w14:textId="32F00EC6"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يهدف هذا </w:t>
      </w:r>
      <w:r w:rsidR="00D17BD8">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إلى تفصيل كل بُعد من هذه الأبعاد الثلاثة، وكيف يُشكل بمكوناته الفرعية مجموعة متكاملة من المتطلبات الاستراتيجية اللازمة لـ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لتحقيق التوازن بين مهامها الأمنية والاقتصادية. هذا التحليل يعتمد على أطر القياس العالمية التي تفترض أن النجاح يتطلب مستويات عالية من النضج في هذه الأبعاد الثلاثة مجتمعة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 2023</w:t>
      </w:r>
      <w:r w:rsidRPr="00A92155">
        <w:rPr>
          <w:rFonts w:asciiTheme="majorBidi" w:hAnsiTheme="majorBidi" w:cstheme="majorBidi"/>
          <w:sz w:val="26"/>
          <w:szCs w:val="26"/>
          <w:rtl/>
        </w:rPr>
        <w:t>).</w:t>
      </w:r>
    </w:p>
    <w:p w14:paraId="0D9D2A7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2.2.1 البعد الأول: الأسس الرقمية (</w:t>
      </w:r>
      <w:r w:rsidRPr="00A92155">
        <w:rPr>
          <w:rFonts w:asciiTheme="majorBidi" w:hAnsiTheme="majorBidi" w:cs="PT Bold Heading"/>
          <w:b/>
          <w:bCs/>
          <w:color w:val="000000" w:themeColor="text1"/>
          <w:sz w:val="26"/>
          <w:szCs w:val="26"/>
        </w:rPr>
        <w:t>Digital Foundations</w:t>
      </w:r>
      <w:r w:rsidRPr="00A92155">
        <w:rPr>
          <w:rFonts w:asciiTheme="majorBidi" w:hAnsiTheme="majorBidi" w:cs="PT Bold Heading"/>
          <w:b/>
          <w:bCs/>
          <w:color w:val="000000" w:themeColor="text1"/>
          <w:sz w:val="26"/>
          <w:szCs w:val="26"/>
          <w:rtl/>
        </w:rPr>
        <w:t>)</w:t>
      </w:r>
    </w:p>
    <w:p w14:paraId="61739D5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الحتمية التمكينية (</w:t>
      </w:r>
      <w:r w:rsidRPr="00A92155">
        <w:rPr>
          <w:rFonts w:asciiTheme="majorBidi" w:hAnsiTheme="majorBidi" w:cstheme="majorBidi"/>
          <w:sz w:val="26"/>
          <w:szCs w:val="26"/>
        </w:rPr>
        <w:t>The Enabling Imperative</w:t>
      </w:r>
      <w:r w:rsidRPr="00A92155">
        <w:rPr>
          <w:rFonts w:asciiTheme="majorBidi" w:hAnsiTheme="majorBidi" w:cstheme="majorBidi"/>
          <w:sz w:val="26"/>
          <w:szCs w:val="26"/>
          <w:rtl/>
        </w:rPr>
        <w:t>) للتحول الرقمي، وهو يشتمل على الركائز المادية والبشرية التي لا يمكن للمؤسسة الاستغناء عنها للبدء أو الاستمرار في رحلتها الرقمية. أي قصور في هذه الأسس يؤدي حتماً إلى فشل مبادرات الابتكار والحوكمة، مهما كانت متطورة.</w:t>
      </w:r>
    </w:p>
    <w:p w14:paraId="2B6787E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2.2.1.1 البنية التحتية التكنولوجية والأمن السيبراني</w:t>
      </w:r>
    </w:p>
    <w:p w14:paraId="3DD510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البنية التحتية المتطورة هي الشريان الحيوي الذي يضمن استمرارية الأعمال الرقمية، بينما يمثل الأمن السيبراني هو صمام الأمان الذي يحمي هذا الشريان من التوقف أو التلف. ويتطلب هذا المحور تركيزاً على خمسة مكونات حاسمة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31EC431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النفاذية والتشغيل البيني (</w:t>
      </w:r>
      <w:r w:rsidRPr="00A92155">
        <w:rPr>
          <w:rFonts w:asciiTheme="majorBidi" w:hAnsiTheme="majorBidi" w:cstheme="majorBidi"/>
          <w:b/>
          <w:bCs/>
          <w:sz w:val="26"/>
          <w:szCs w:val="26"/>
        </w:rPr>
        <w:t>Interoperability and Seamlessness</w:t>
      </w:r>
      <w:r w:rsidRPr="00A92155">
        <w:rPr>
          <w:rFonts w:asciiTheme="majorBidi" w:hAnsiTheme="majorBidi" w:cstheme="majorBidi"/>
          <w:b/>
          <w:bCs/>
          <w:sz w:val="26"/>
          <w:szCs w:val="26"/>
          <w:rtl/>
        </w:rPr>
        <w:t>):</w:t>
      </w:r>
    </w:p>
    <w:p w14:paraId="4FD779B7"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الأهمية للدراسة:</w:t>
      </w:r>
      <w:r w:rsidRPr="00A92155">
        <w:rPr>
          <w:rFonts w:asciiTheme="majorBidi" w:hAnsiTheme="majorBidi" w:cstheme="majorBidi"/>
          <w:sz w:val="26"/>
          <w:szCs w:val="26"/>
          <w:rtl/>
        </w:rPr>
        <w:t xml:space="preserve"> في سياق تيسير التجارة، فإن قدرة أنظمة الجمارك على التبادل الآني للبيانات مع هيئات النقل، وهيئات الصحة، والمؤسسات المالية، أمر جوهري. فالتشغيل البيني (</w:t>
      </w:r>
      <w:r w:rsidRPr="00A92155">
        <w:rPr>
          <w:rFonts w:asciiTheme="majorBidi" w:hAnsiTheme="majorBidi" w:cstheme="majorBidi"/>
          <w:sz w:val="26"/>
          <w:szCs w:val="26"/>
        </w:rPr>
        <w:t>Interoperability</w:t>
      </w:r>
      <w:r w:rsidRPr="00A92155">
        <w:rPr>
          <w:rFonts w:asciiTheme="majorBidi" w:hAnsiTheme="majorBidi" w:cstheme="majorBidi"/>
          <w:sz w:val="26"/>
          <w:szCs w:val="26"/>
          <w:rtl/>
        </w:rPr>
        <w:t>) هو المُمكّن الأساسي لـ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المتقدمة، والتي تسهم في تقليل زمن التخليص الجمركي بنسبة تصل إلى 40%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18653494"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المطلب:</w:t>
      </w:r>
      <w:r w:rsidRPr="00A92155">
        <w:rPr>
          <w:rFonts w:asciiTheme="majorBidi" w:hAnsiTheme="majorBidi" w:cstheme="majorBidi"/>
          <w:sz w:val="26"/>
          <w:szCs w:val="26"/>
          <w:rtl/>
        </w:rPr>
        <w:t xml:space="preserve"> يجب على المؤسسات الحكومية، بقيادة هيئة الحكومة الرقمية في المملكة، تطوير واجهات برمجية للتطبيق (</w:t>
      </w:r>
      <w:r w:rsidRPr="00A92155">
        <w:rPr>
          <w:rFonts w:asciiTheme="majorBidi" w:hAnsiTheme="majorBidi" w:cstheme="majorBidi"/>
          <w:sz w:val="26"/>
          <w:szCs w:val="26"/>
        </w:rPr>
        <w:t>APIs</w:t>
      </w:r>
      <w:r w:rsidRPr="00A92155">
        <w:rPr>
          <w:rFonts w:asciiTheme="majorBidi" w:hAnsiTheme="majorBidi" w:cstheme="majorBidi"/>
          <w:sz w:val="26"/>
          <w:szCs w:val="26"/>
          <w:rtl/>
        </w:rPr>
        <w:t>) موحدة تضمن تبادل البيانات بطريقة آمنة وموثوقة، وهذا يتطلب بنية تحتية تعتمد على تقنية السحابة الحكومية (</w:t>
      </w:r>
      <w:r w:rsidRPr="00A92155">
        <w:rPr>
          <w:rFonts w:asciiTheme="majorBidi" w:hAnsiTheme="majorBidi" w:cstheme="majorBidi"/>
          <w:sz w:val="26"/>
          <w:szCs w:val="26"/>
        </w:rPr>
        <w:t>Government Cloud</w:t>
      </w:r>
      <w:r w:rsidRPr="00A92155">
        <w:rPr>
          <w:rFonts w:asciiTheme="majorBidi" w:hAnsiTheme="majorBidi" w:cstheme="majorBidi"/>
          <w:sz w:val="26"/>
          <w:szCs w:val="26"/>
          <w:rtl/>
        </w:rPr>
        <w:t>) لضمان الرشاقة وسرعة النشر.</w:t>
      </w:r>
    </w:p>
    <w:p w14:paraId="7D9ED6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الأمن السيبراني كجزء أصيل (</w:t>
      </w:r>
      <w:r w:rsidRPr="00A92155">
        <w:rPr>
          <w:rFonts w:asciiTheme="majorBidi" w:hAnsiTheme="majorBidi" w:cstheme="majorBidi"/>
          <w:b/>
          <w:bCs/>
          <w:sz w:val="26"/>
          <w:szCs w:val="26"/>
        </w:rPr>
        <w:t>Security by Design</w:t>
      </w:r>
      <w:r w:rsidRPr="00A92155">
        <w:rPr>
          <w:rFonts w:asciiTheme="majorBidi" w:hAnsiTheme="majorBidi" w:cstheme="majorBidi"/>
          <w:b/>
          <w:bCs/>
          <w:sz w:val="26"/>
          <w:szCs w:val="26"/>
          <w:rtl/>
        </w:rPr>
        <w:t>):</w:t>
      </w:r>
    </w:p>
    <w:p w14:paraId="51887019"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r w:rsidRPr="00A92155">
        <w:rPr>
          <w:rFonts w:asciiTheme="majorBidi" w:hAnsiTheme="majorBidi" w:cstheme="majorBidi"/>
          <w:sz w:val="26"/>
          <w:szCs w:val="26"/>
          <w:rtl/>
        </w:rPr>
        <w:t xml:space="preserve"> لم يعد الأمن السيبراني يُنظر إليه كـ طبقة حماية خارجية (</w:t>
      </w:r>
      <w:r w:rsidRPr="00A92155">
        <w:rPr>
          <w:rFonts w:asciiTheme="majorBidi" w:hAnsiTheme="majorBidi" w:cstheme="majorBidi"/>
          <w:sz w:val="26"/>
          <w:szCs w:val="26"/>
        </w:rPr>
        <w:t>Perimeter Layer</w:t>
      </w:r>
      <w:r w:rsidRPr="00A92155">
        <w:rPr>
          <w:rFonts w:asciiTheme="majorBidi" w:hAnsiTheme="majorBidi" w:cstheme="majorBidi"/>
          <w:sz w:val="26"/>
          <w:szCs w:val="26"/>
          <w:rtl/>
        </w:rPr>
        <w:t>)، بل كجزء مُدمج في تصميم كل نظام وتطبيق جديد. هذا يتوافق مع أفضل الممارسات الدولية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A414206"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الصلة بالأمن والتجارة:</w:t>
      </w:r>
      <w:r w:rsidRPr="00A92155">
        <w:rPr>
          <w:rFonts w:asciiTheme="majorBidi" w:hAnsiTheme="majorBidi" w:cstheme="majorBidi"/>
          <w:sz w:val="26"/>
          <w:szCs w:val="26"/>
          <w:rtl/>
        </w:rPr>
        <w:t xml:space="preserve"> إن تعزيز الأمن السيبراني له تأثير مباشر على الثقة التجارية. فإذا تعرضت أنظمة الجمارك أو الضرائب لاختراق (مثل هجمات الفدية)، فإن ذلك يوقف الحركة التجارية بالكامل ويؤدي إلى خسائر اقتصادية هائلة. لذا، يُعد الأمن السيبراني المتطور، القائم على الذكاء الاصطناعي للكشف عن التهديدات (</w:t>
      </w:r>
      <w:r w:rsidRPr="00A92155">
        <w:rPr>
          <w:rFonts w:asciiTheme="majorBidi" w:hAnsiTheme="majorBidi" w:cstheme="majorBidi"/>
          <w:sz w:val="26"/>
          <w:szCs w:val="26"/>
        </w:rPr>
        <w:t>AI-driven Threat Detection</w:t>
      </w:r>
      <w:r w:rsidRPr="00A92155">
        <w:rPr>
          <w:rFonts w:asciiTheme="majorBidi" w:hAnsiTheme="majorBidi" w:cstheme="majorBidi"/>
          <w:sz w:val="26"/>
          <w:szCs w:val="26"/>
          <w:rtl/>
        </w:rPr>
        <w:t>)، هو الضمانة لاستمرارية سلاسل التوريد.</w:t>
      </w:r>
    </w:p>
    <w:p w14:paraId="348EE34E"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المتطلبات التقنية:</w:t>
      </w:r>
      <w:r w:rsidRPr="00A92155">
        <w:rPr>
          <w:rFonts w:asciiTheme="majorBidi" w:hAnsiTheme="majorBidi" w:cstheme="majorBidi"/>
          <w:sz w:val="26"/>
          <w:szCs w:val="26"/>
          <w:rtl/>
        </w:rPr>
        <w:t xml:space="preserve"> يجب تطبيق تقنيات مثل التشفير الشامل (</w:t>
      </w:r>
      <w:r w:rsidRPr="00A92155">
        <w:rPr>
          <w:rFonts w:asciiTheme="majorBidi" w:hAnsiTheme="majorBidi" w:cstheme="majorBidi"/>
          <w:sz w:val="26"/>
          <w:szCs w:val="26"/>
        </w:rPr>
        <w:t>End-to-End Encryption</w:t>
      </w:r>
      <w:r w:rsidRPr="00A92155">
        <w:rPr>
          <w:rFonts w:asciiTheme="majorBidi" w:hAnsiTheme="majorBidi" w:cstheme="majorBidi"/>
          <w:sz w:val="26"/>
          <w:szCs w:val="26"/>
          <w:rtl/>
        </w:rPr>
        <w:t>)، وإدارة الهوية والوصول المتقدمة (</w:t>
      </w:r>
      <w:r w:rsidRPr="00A92155">
        <w:rPr>
          <w:rFonts w:asciiTheme="majorBidi" w:hAnsiTheme="majorBidi" w:cstheme="majorBidi"/>
          <w:sz w:val="26"/>
          <w:szCs w:val="26"/>
        </w:rPr>
        <w:t>IAM</w:t>
      </w:r>
      <w:r w:rsidRPr="00A92155">
        <w:rPr>
          <w:rFonts w:asciiTheme="majorBidi" w:hAnsiTheme="majorBidi" w:cstheme="majorBidi"/>
          <w:sz w:val="26"/>
          <w:szCs w:val="26"/>
          <w:rtl/>
        </w:rPr>
        <w:t>)، والبنية التحتية للمفتاح العام (</w:t>
      </w:r>
      <w:r w:rsidRPr="00A92155">
        <w:rPr>
          <w:rFonts w:asciiTheme="majorBidi" w:hAnsiTheme="majorBidi" w:cstheme="majorBidi"/>
          <w:sz w:val="26"/>
          <w:szCs w:val="26"/>
        </w:rPr>
        <w:t>PKI</w:t>
      </w:r>
      <w:r w:rsidRPr="00A92155">
        <w:rPr>
          <w:rFonts w:asciiTheme="majorBidi" w:hAnsiTheme="majorBidi" w:cstheme="majorBidi"/>
          <w:sz w:val="26"/>
          <w:szCs w:val="26"/>
          <w:rtl/>
        </w:rPr>
        <w:t>) لتوثيق الهويات الرقمية للمستوردين والمصدرين .</w:t>
      </w:r>
    </w:p>
    <w:p w14:paraId="68B2FC6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مرونة الأنظمة واستدامتها (</w:t>
      </w:r>
      <w:r w:rsidRPr="00A92155">
        <w:rPr>
          <w:rFonts w:asciiTheme="majorBidi" w:hAnsiTheme="majorBidi" w:cstheme="majorBidi"/>
          <w:b/>
          <w:bCs/>
          <w:sz w:val="26"/>
          <w:szCs w:val="26"/>
        </w:rPr>
        <w:t>System Resilience</w:t>
      </w:r>
      <w:r w:rsidRPr="00A92155">
        <w:rPr>
          <w:rFonts w:asciiTheme="majorBidi" w:hAnsiTheme="majorBidi" w:cstheme="majorBidi"/>
          <w:b/>
          <w:bCs/>
          <w:sz w:val="26"/>
          <w:szCs w:val="26"/>
          <w:rtl/>
        </w:rPr>
        <w:t>):</w:t>
      </w:r>
    </w:p>
    <w:p w14:paraId="3588F54C"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هي قدرة النظام على التعافي بسرعة من أي خلل أو هجوم أو كارثة طبيعية مع الحد الأدنى من التعطيل (</w:t>
      </w:r>
      <w:r w:rsidRPr="00A92155">
        <w:rPr>
          <w:rFonts w:asciiTheme="majorBidi" w:hAnsiTheme="majorBidi" w:cstheme="majorBidi"/>
          <w:sz w:val="26"/>
          <w:szCs w:val="26"/>
        </w:rPr>
        <w:t>Downtime</w:t>
      </w:r>
      <w:r w:rsidRPr="00A92155">
        <w:rPr>
          <w:rFonts w:asciiTheme="majorBidi" w:hAnsiTheme="majorBidi" w:cstheme="majorBidi"/>
          <w:sz w:val="26"/>
          <w:szCs w:val="26"/>
          <w:rtl/>
        </w:rPr>
        <w:t>).</w:t>
      </w:r>
    </w:p>
    <w:p w14:paraId="62373934"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w:t>
      </w:r>
      <w:r w:rsidRPr="00A92155">
        <w:rPr>
          <w:rFonts w:asciiTheme="majorBidi" w:hAnsiTheme="majorBidi" w:cstheme="majorBidi"/>
          <w:sz w:val="26"/>
          <w:szCs w:val="26"/>
          <w:rtl/>
        </w:rPr>
        <w:t xml:space="preserve"> الاعتماد على مراكز بيانات ثانوية وخطط للتعافي من الكوارث (</w:t>
      </w:r>
      <w:r w:rsidRPr="00A92155">
        <w:rPr>
          <w:rFonts w:asciiTheme="majorBidi" w:hAnsiTheme="majorBidi" w:cstheme="majorBidi"/>
          <w:sz w:val="26"/>
          <w:szCs w:val="26"/>
        </w:rPr>
        <w:t>Disaster Recovery Plans</w:t>
      </w:r>
      <w:r w:rsidRPr="00A92155">
        <w:rPr>
          <w:rFonts w:asciiTheme="majorBidi" w:hAnsiTheme="majorBidi" w:cstheme="majorBidi"/>
          <w:sz w:val="26"/>
          <w:szCs w:val="26"/>
          <w:rtl/>
        </w:rPr>
        <w:t>) المحدثة باستمرار. في بيئة التجارة الحيوية، أي توقف للنظام يعني تكاليف تأخير باهظة تُثقل على الاقتصاد الوطني.</w:t>
      </w:r>
    </w:p>
    <w:p w14:paraId="7B9A5C8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2.2.1.2 إدارة البيانات الضخمة والتحليلات المتقدمة</w:t>
      </w:r>
    </w:p>
    <w:p w14:paraId="6BDB87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تمثل البيانات (</w:t>
      </w:r>
      <w:r w:rsidRPr="00A92155">
        <w:rPr>
          <w:rFonts w:asciiTheme="majorBidi" w:hAnsiTheme="majorBidi" w:cstheme="majorBidi"/>
          <w:sz w:val="26"/>
          <w:szCs w:val="26"/>
        </w:rPr>
        <w:t>Data</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المحور المركزي</w:t>
      </w:r>
      <w:r w:rsidRPr="00A92155">
        <w:rPr>
          <w:rFonts w:asciiTheme="majorBidi" w:hAnsiTheme="majorBidi" w:cstheme="majorBidi"/>
          <w:sz w:val="26"/>
          <w:szCs w:val="26"/>
          <w:rtl/>
        </w:rPr>
        <w:t xml:space="preserve"> للتحول الرقمي، فهي "النفط الجديد" الذي يُشغل محركات الذكاء الاصطناعي. فالمؤسسة الحكومية التي لا تتقن إدارة بياناتها لا يمكنها أن تنجح في التحول الرقمي، أو في تحقيق الموازنة بين الأمن والتجارة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5FF65D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البيانات كأصل استراتيجي (</w:t>
      </w:r>
      <w:r w:rsidRPr="00A92155">
        <w:rPr>
          <w:rFonts w:asciiTheme="majorBidi" w:hAnsiTheme="majorBidi" w:cstheme="majorBidi"/>
          <w:b/>
          <w:bCs/>
          <w:sz w:val="26"/>
          <w:szCs w:val="26"/>
        </w:rPr>
        <w:t>Data as a Strategic Asset</w:t>
      </w:r>
      <w:r w:rsidRPr="00A92155">
        <w:rPr>
          <w:rFonts w:asciiTheme="majorBidi" w:hAnsiTheme="majorBidi" w:cstheme="majorBidi"/>
          <w:b/>
          <w:bCs/>
          <w:sz w:val="26"/>
          <w:szCs w:val="26"/>
          <w:rtl/>
        </w:rPr>
        <w:t>):</w:t>
      </w:r>
    </w:p>
    <w:p w14:paraId="09768BB4"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المنظور الإداري:</w:t>
      </w:r>
      <w:r w:rsidRPr="00A92155">
        <w:rPr>
          <w:rFonts w:asciiTheme="majorBidi" w:hAnsiTheme="majorBidi" w:cstheme="majorBidi"/>
          <w:sz w:val="26"/>
          <w:szCs w:val="26"/>
          <w:rtl/>
        </w:rPr>
        <w:t xml:space="preserve"> يجب أن تنتقل المؤسسات الحكومية من اعتبار البيانات مجرد مدخلات للعمليات إلى اعتبارها </w:t>
      </w:r>
      <w:r w:rsidRPr="00A92155">
        <w:rPr>
          <w:rFonts w:asciiTheme="majorBidi" w:hAnsiTheme="majorBidi" w:cstheme="majorBidi"/>
          <w:b/>
          <w:bCs/>
          <w:sz w:val="26"/>
          <w:szCs w:val="26"/>
          <w:rtl/>
        </w:rPr>
        <w:t>أصل استراتيجي</w:t>
      </w:r>
      <w:r w:rsidRPr="00A92155">
        <w:rPr>
          <w:rFonts w:asciiTheme="majorBidi" w:hAnsiTheme="majorBidi" w:cstheme="majorBidi"/>
          <w:sz w:val="26"/>
          <w:szCs w:val="26"/>
          <w:rtl/>
        </w:rPr>
        <w:t xml:space="preserve"> يُمكن استثماره لزيادة الإيرادات (عبر التنبؤ بالتهرب الضريبي) وتعزيز الكفاءة (عبر إدارة المخاطر الأمنية).</w:t>
      </w:r>
    </w:p>
    <w:p w14:paraId="23DA37C8"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البيانات والتجارة:</w:t>
      </w:r>
      <w:r w:rsidRPr="00A92155">
        <w:rPr>
          <w:rFonts w:asciiTheme="majorBidi" w:hAnsiTheme="majorBidi" w:cstheme="majorBidi"/>
          <w:sz w:val="26"/>
          <w:szCs w:val="26"/>
          <w:rtl/>
        </w:rPr>
        <w:t xml:space="preserve"> إن تحليل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لعمليات التجارة (بيانات الشحن، الفواتير، البلدان المصدرة، تاريخ المستورد) يُمكن هيئة الزكاة والضريبة والجمارك من بناء نماذج تنبؤية دقيقة (</w:t>
      </w:r>
      <w:r w:rsidRPr="00A92155">
        <w:rPr>
          <w:rFonts w:asciiTheme="majorBidi" w:hAnsiTheme="majorBidi" w:cstheme="majorBidi"/>
          <w:sz w:val="26"/>
          <w:szCs w:val="26"/>
        </w:rPr>
        <w:t>Predictive Models</w:t>
      </w:r>
      <w:r w:rsidRPr="00A92155">
        <w:rPr>
          <w:rFonts w:asciiTheme="majorBidi" w:hAnsiTheme="majorBidi" w:cstheme="majorBidi"/>
          <w:sz w:val="26"/>
          <w:szCs w:val="26"/>
          <w:rtl/>
        </w:rPr>
        <w:t>) لتصنيف المخاطر الجمركية والضريبية، مما يسمح بتسريع مرور الشحنات ذات المخاطر المنخفضة (</w:t>
      </w:r>
      <w:r w:rsidRPr="00A92155">
        <w:rPr>
          <w:rFonts w:asciiTheme="majorBidi" w:hAnsiTheme="majorBidi" w:cstheme="majorBidi"/>
          <w:sz w:val="26"/>
          <w:szCs w:val="26"/>
        </w:rPr>
        <w:t>Green Channel</w:t>
      </w:r>
      <w:r w:rsidRPr="00A92155">
        <w:rPr>
          <w:rFonts w:asciiTheme="majorBidi" w:hAnsiTheme="majorBidi" w:cstheme="majorBidi"/>
          <w:sz w:val="26"/>
          <w:szCs w:val="26"/>
          <w:rtl/>
        </w:rPr>
        <w:t>) وتركيز الموارد الأمنية على الشحنات المشبوهة (</w:t>
      </w:r>
      <w:r w:rsidRPr="00A92155">
        <w:rPr>
          <w:rFonts w:asciiTheme="majorBidi" w:hAnsiTheme="majorBidi" w:cstheme="majorBidi"/>
          <w:sz w:val="26"/>
          <w:szCs w:val="26"/>
        </w:rPr>
        <w:t>Red Channel</w:t>
      </w:r>
      <w:r w:rsidRPr="00A92155">
        <w:rPr>
          <w:rFonts w:asciiTheme="majorBidi" w:hAnsiTheme="majorBidi" w:cstheme="majorBidi"/>
          <w:sz w:val="26"/>
          <w:szCs w:val="26"/>
          <w:rtl/>
        </w:rPr>
        <w:t>).</w:t>
      </w:r>
    </w:p>
    <w:p w14:paraId="059AC0C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حوكمة البيانات وجودتها (</w:t>
      </w:r>
      <w:r w:rsidRPr="00A92155">
        <w:rPr>
          <w:rFonts w:asciiTheme="majorBidi" w:hAnsiTheme="majorBidi" w:cstheme="majorBidi"/>
          <w:b/>
          <w:bCs/>
          <w:sz w:val="26"/>
          <w:szCs w:val="26"/>
        </w:rPr>
        <w:t>Data Governance and Quality</w:t>
      </w:r>
      <w:r w:rsidRPr="00A92155">
        <w:rPr>
          <w:rFonts w:asciiTheme="majorBidi" w:hAnsiTheme="majorBidi" w:cstheme="majorBidi"/>
          <w:b/>
          <w:bCs/>
          <w:sz w:val="26"/>
          <w:szCs w:val="26"/>
          <w:rtl/>
        </w:rPr>
        <w:t>):</w:t>
      </w:r>
    </w:p>
    <w:p w14:paraId="1CE1A8CC"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w:t>
      </w:r>
      <w:r w:rsidRPr="00A92155">
        <w:rPr>
          <w:rFonts w:asciiTheme="majorBidi" w:hAnsiTheme="majorBidi" w:cstheme="majorBidi"/>
          <w:sz w:val="26"/>
          <w:szCs w:val="26"/>
          <w:rtl/>
        </w:rPr>
        <w:t xml:space="preserve"> لا يكفي جمع البيانات، بل يجب تطبيق أطر عمل قوية لـ 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تضمن:</w:t>
      </w:r>
    </w:p>
    <w:p w14:paraId="1815572E"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جودة البيانات:</w:t>
      </w:r>
      <w:r w:rsidRPr="00A92155">
        <w:rPr>
          <w:rFonts w:asciiTheme="majorBidi" w:hAnsiTheme="majorBidi" w:cstheme="majorBidi"/>
          <w:sz w:val="26"/>
          <w:szCs w:val="26"/>
          <w:rtl/>
        </w:rPr>
        <w:t xml:space="preserve"> دقتها، واكتمالها، وتحديثها. البيانات غير الدقيقة تؤدي إلى قرارات أمنية أو تجارية خاطئة ومكلفة.</w:t>
      </w:r>
    </w:p>
    <w:p w14:paraId="05BE349D"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والأمان:</w:t>
      </w:r>
      <w:r w:rsidRPr="00A92155">
        <w:rPr>
          <w:rFonts w:asciiTheme="majorBidi" w:hAnsiTheme="majorBidi" w:cstheme="majorBidi"/>
          <w:sz w:val="26"/>
          <w:szCs w:val="26"/>
          <w:rtl/>
        </w:rPr>
        <w:t xml:space="preserve"> تحديد من يمكنه الوصول إلى أي بيانات (البيانات الجمركية، بيانات الموردين، البيانات الضريبية) وتطبيق آليات أمنية صارمة لحمايتها (</w:t>
      </w:r>
      <w:r w:rsidRPr="00A92155">
        <w:rPr>
          <w:rFonts w:asciiTheme="majorBidi" w:hAnsiTheme="majorBidi" w:cstheme="majorBidi"/>
          <w:sz w:val="26"/>
          <w:szCs w:val="26"/>
        </w:rPr>
        <w:t>Data Masking, Encryption</w:t>
      </w:r>
      <w:r w:rsidRPr="00A92155">
        <w:rPr>
          <w:rFonts w:asciiTheme="majorBidi" w:hAnsiTheme="majorBidi" w:cstheme="majorBidi"/>
          <w:sz w:val="26"/>
          <w:szCs w:val="26"/>
          <w:rtl/>
        </w:rPr>
        <w:t>).</w:t>
      </w:r>
    </w:p>
    <w:p w14:paraId="6CF527A6"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المؤسسي:</w:t>
      </w:r>
      <w:r w:rsidRPr="00A92155">
        <w:rPr>
          <w:rFonts w:asciiTheme="majorBidi" w:hAnsiTheme="majorBidi" w:cstheme="majorBidi"/>
          <w:sz w:val="26"/>
          <w:szCs w:val="26"/>
          <w:rtl/>
        </w:rPr>
        <w:t xml:space="preserve"> إن إنشاء هيئات مثل الهيئة السعودية للبيانات والذكاء الاصطناعي (</w:t>
      </w:r>
      <w:r w:rsidRPr="00A92155">
        <w:rPr>
          <w:rFonts w:asciiTheme="majorBidi" w:hAnsiTheme="majorBidi" w:cstheme="majorBidi"/>
          <w:sz w:val="26"/>
          <w:szCs w:val="26"/>
        </w:rPr>
        <w:t>SDAIA</w:t>
      </w:r>
      <w:r w:rsidRPr="00A92155">
        <w:rPr>
          <w:rFonts w:asciiTheme="majorBidi" w:hAnsiTheme="majorBidi" w:cstheme="majorBidi"/>
          <w:sz w:val="26"/>
          <w:szCs w:val="26"/>
          <w:rtl/>
        </w:rPr>
        <w:t>) هو تجسيد لهذا الاعتراف الوطني بالبيانات كأصل سيادي يجب إدارته وحوكمته على المستوى الأعلى.</w:t>
      </w:r>
    </w:p>
    <w:p w14:paraId="13FF09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التحليلات المتقدمة والذكاء التشغيلي (</w:t>
      </w:r>
      <w:r w:rsidRPr="00A92155">
        <w:rPr>
          <w:rFonts w:asciiTheme="majorBidi" w:hAnsiTheme="majorBidi" w:cstheme="majorBidi"/>
          <w:b/>
          <w:bCs/>
          <w:sz w:val="26"/>
          <w:szCs w:val="26"/>
        </w:rPr>
        <w:t>Advanced Analytics and Operational Intelligence</w:t>
      </w:r>
      <w:r w:rsidRPr="00A92155">
        <w:rPr>
          <w:rFonts w:asciiTheme="majorBidi" w:hAnsiTheme="majorBidi" w:cstheme="majorBidi"/>
          <w:b/>
          <w:bCs/>
          <w:sz w:val="26"/>
          <w:szCs w:val="26"/>
          <w:rtl/>
        </w:rPr>
        <w:t>):</w:t>
      </w:r>
    </w:p>
    <w:p w14:paraId="3A1BAF64"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التشغيلي:</w:t>
      </w:r>
      <w:r w:rsidRPr="00A92155">
        <w:rPr>
          <w:rFonts w:asciiTheme="majorBidi" w:hAnsiTheme="majorBidi" w:cstheme="majorBidi"/>
          <w:sz w:val="26"/>
          <w:szCs w:val="26"/>
          <w:rtl/>
        </w:rPr>
        <w:t xml:space="preserve"> استخدام أدوات التحليل الآني (</w:t>
      </w:r>
      <w:r w:rsidRPr="00A92155">
        <w:rPr>
          <w:rFonts w:asciiTheme="majorBidi" w:hAnsiTheme="majorBidi" w:cstheme="majorBidi"/>
          <w:sz w:val="26"/>
          <w:szCs w:val="26"/>
        </w:rPr>
        <w:t>Real-Time Analytics</w:t>
      </w:r>
      <w:r w:rsidRPr="00A92155">
        <w:rPr>
          <w:rFonts w:asciiTheme="majorBidi" w:hAnsiTheme="majorBidi" w:cstheme="majorBidi"/>
          <w:sz w:val="26"/>
          <w:szCs w:val="26"/>
          <w:rtl/>
        </w:rPr>
        <w:t>) لرصد العمليات التجارية والجمركية فور حدوثها. هذا يُمكن فرق الأمن من التدخل السريع في حال اكتشاف أي شحنة مخالفة أو محاولة تهريب أثناء مرورها بالنظام.</w:t>
      </w:r>
    </w:p>
    <w:p w14:paraId="532464E5"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التعلم الآلي (</w:t>
      </w:r>
      <w:r w:rsidRPr="00A92155">
        <w:rPr>
          <w:rFonts w:asciiTheme="majorBidi" w:hAnsiTheme="majorBidi" w:cstheme="majorBidi"/>
          <w:b/>
          <w:bCs/>
          <w:sz w:val="26"/>
          <w:szCs w:val="26"/>
        </w:rPr>
        <w:t>Machine Learning</w:t>
      </w:r>
      <w:r w:rsidRPr="00A92155">
        <w:rPr>
          <w:rFonts w:asciiTheme="majorBidi" w:hAnsiTheme="majorBidi" w:cstheme="majorBidi"/>
          <w:b/>
          <w:bCs/>
          <w:sz w:val="26"/>
          <w:szCs w:val="26"/>
          <w:rtl/>
        </w:rPr>
        <w:t>) في التحليل:</w:t>
      </w:r>
      <w:r w:rsidRPr="00A92155">
        <w:rPr>
          <w:rFonts w:asciiTheme="majorBidi" w:hAnsiTheme="majorBidi" w:cstheme="majorBidi"/>
          <w:sz w:val="26"/>
          <w:szCs w:val="26"/>
          <w:rtl/>
        </w:rPr>
        <w:t xml:space="preserve"> استخدام خوارزميات التعلم الآلي لتحديد الأنماط السلوكية الشاذة (</w:t>
      </w:r>
      <w:r w:rsidRPr="00A92155">
        <w:rPr>
          <w:rFonts w:asciiTheme="majorBidi" w:hAnsiTheme="majorBidi" w:cstheme="majorBidi"/>
          <w:sz w:val="26"/>
          <w:szCs w:val="26"/>
        </w:rPr>
        <w:t>Anomaly Detection</w:t>
      </w:r>
      <w:r w:rsidRPr="00A92155">
        <w:rPr>
          <w:rFonts w:asciiTheme="majorBidi" w:hAnsiTheme="majorBidi" w:cstheme="majorBidi"/>
          <w:sz w:val="26"/>
          <w:szCs w:val="26"/>
          <w:rtl/>
        </w:rPr>
        <w:t>) التي قد تدل على نشاط إجرامي أو تهرب ضريبي، مما يعزز من كفاءة وفعالية الأداء الأمني والمالي للمؤسسة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363F8FA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2.2.1.3 تطوير الكفاءات الرقمية للموظفين (</w:t>
      </w:r>
      <w:r w:rsidRPr="00A92155">
        <w:rPr>
          <w:rFonts w:asciiTheme="majorBidi" w:hAnsiTheme="majorBidi" w:cs="PT Bold Heading"/>
          <w:b/>
          <w:bCs/>
          <w:color w:val="000000" w:themeColor="text1"/>
          <w:sz w:val="26"/>
          <w:szCs w:val="26"/>
        </w:rPr>
        <w:t>Digital Competencies</w:t>
      </w:r>
      <w:r w:rsidRPr="00A92155">
        <w:rPr>
          <w:rFonts w:asciiTheme="majorBidi" w:hAnsiTheme="majorBidi" w:cs="PT Bold Heading"/>
          <w:b/>
          <w:bCs/>
          <w:color w:val="000000" w:themeColor="text1"/>
          <w:sz w:val="26"/>
          <w:szCs w:val="26"/>
          <w:rtl/>
        </w:rPr>
        <w:t>)</w:t>
      </w:r>
    </w:p>
    <w:p w14:paraId="3F774AD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الرأس المال البشري هو المحدد الأهم لنجاح التحول الرقمي، فالأدوات التقنية المتقدمة تصبح بلا قيمة إذا لم يكن هناك كوادر قادرة على تشغيلها، تطويرها، واستثمار إمكانياتها. هذا يتطلب تحولاً ثقافياً ومؤسسياً شاملاً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5E8005E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إعادة تشكيل الأدوار والمهارات (</w:t>
      </w:r>
      <w:r w:rsidRPr="00A92155">
        <w:rPr>
          <w:rFonts w:asciiTheme="majorBidi" w:hAnsiTheme="majorBidi" w:cstheme="majorBidi"/>
          <w:b/>
          <w:bCs/>
          <w:sz w:val="26"/>
          <w:szCs w:val="26"/>
        </w:rPr>
        <w:t>Reskilling and Upskilling</w:t>
      </w:r>
      <w:r w:rsidRPr="00A92155">
        <w:rPr>
          <w:rFonts w:asciiTheme="majorBidi" w:hAnsiTheme="majorBidi" w:cstheme="majorBidi"/>
          <w:b/>
          <w:bCs/>
          <w:sz w:val="26"/>
          <w:szCs w:val="26"/>
          <w:rtl/>
        </w:rPr>
        <w:t>):</w:t>
      </w:r>
    </w:p>
    <w:p w14:paraId="706E83C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التحول المطلوب:</w:t>
      </w:r>
      <w:r w:rsidRPr="00A92155">
        <w:rPr>
          <w:rFonts w:asciiTheme="majorBidi" w:hAnsiTheme="majorBidi" w:cstheme="majorBidi"/>
          <w:sz w:val="26"/>
          <w:szCs w:val="26"/>
          <w:rtl/>
        </w:rPr>
        <w:t xml:space="preserve"> يجب على المؤسسات الحكومية الانتقال من توظيف موظفين ذوي مهارات عامة إلى تطوير موظفين ذوي مهارات رقمية تخصصية في مجالات مثل الأمن السيبراني، تحليل البيانات، إدارة المشاريع الرقمية (</w:t>
      </w:r>
      <w:r w:rsidRPr="00A92155">
        <w:rPr>
          <w:rFonts w:asciiTheme="majorBidi" w:hAnsiTheme="majorBidi" w:cstheme="majorBidi"/>
          <w:sz w:val="26"/>
          <w:szCs w:val="26"/>
        </w:rPr>
        <w:t>Agile/Scrum</w:t>
      </w:r>
      <w:r w:rsidRPr="00A92155">
        <w:rPr>
          <w:rFonts w:asciiTheme="majorBidi" w:hAnsiTheme="majorBidi" w:cstheme="majorBidi"/>
          <w:sz w:val="26"/>
          <w:szCs w:val="26"/>
          <w:rtl/>
        </w:rPr>
        <w:t>)، وتطوير الخدمات القائمة على السحابة.</w:t>
      </w:r>
    </w:p>
    <w:p w14:paraId="5AC2002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الرؤية السعودية:</w:t>
      </w:r>
      <w:r w:rsidRPr="00A92155">
        <w:rPr>
          <w:rFonts w:asciiTheme="majorBidi" w:hAnsiTheme="majorBidi" w:cstheme="majorBidi"/>
          <w:sz w:val="26"/>
          <w:szCs w:val="26"/>
          <w:rtl/>
        </w:rPr>
        <w:t xml:space="preserve"> تُعد برامج بناء القدرات الوطنية في المملكة (كبرنامج التحول الوطني) استثماراً مباشراً في هذا البعد، من خلال دعم تطوير المهارات المتقدمة في الجامعات والمعاهد التقنية، وتمكين المرأة في قطاع التقنية.</w:t>
      </w:r>
    </w:p>
    <w:p w14:paraId="5F8C74B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القيادة الرقمية والتحول الثقافي (</w:t>
      </w:r>
      <w:r w:rsidRPr="00A92155">
        <w:rPr>
          <w:rFonts w:asciiTheme="majorBidi" w:hAnsiTheme="majorBidi" w:cstheme="majorBidi"/>
          <w:b/>
          <w:bCs/>
          <w:sz w:val="26"/>
          <w:szCs w:val="26"/>
        </w:rPr>
        <w:t>Digital Leadership and Cultural Change</w:t>
      </w:r>
      <w:r w:rsidRPr="00A92155">
        <w:rPr>
          <w:rFonts w:asciiTheme="majorBidi" w:hAnsiTheme="majorBidi" w:cstheme="majorBidi"/>
          <w:b/>
          <w:bCs/>
          <w:sz w:val="26"/>
          <w:szCs w:val="26"/>
          <w:rtl/>
        </w:rPr>
        <w:t>):</w:t>
      </w:r>
    </w:p>
    <w:p w14:paraId="2A667230"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w:t>
      </w:r>
      <w:r w:rsidRPr="00A92155">
        <w:rPr>
          <w:rFonts w:asciiTheme="majorBidi" w:hAnsiTheme="majorBidi" w:cstheme="majorBidi"/>
          <w:sz w:val="26"/>
          <w:szCs w:val="26"/>
          <w:rtl/>
        </w:rPr>
        <w:t xml:space="preserve"> يجب على القادة في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يكونوا رواد تغيير (</w:t>
      </w:r>
      <w:r w:rsidRPr="00A92155">
        <w:rPr>
          <w:rFonts w:asciiTheme="majorBidi" w:hAnsiTheme="majorBidi" w:cstheme="majorBidi"/>
          <w:sz w:val="26"/>
          <w:szCs w:val="26"/>
        </w:rPr>
        <w:t>Change Agents</w:t>
      </w:r>
      <w:r w:rsidRPr="00A92155">
        <w:rPr>
          <w:rFonts w:asciiTheme="majorBidi" w:hAnsiTheme="majorBidi" w:cstheme="majorBidi"/>
          <w:sz w:val="26"/>
          <w:szCs w:val="26"/>
          <w:rtl/>
        </w:rPr>
        <w:t xml:space="preserve">)، يمتلكون رؤية واضحة للتحول الرقمي (القيادة الرقمية -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w:t>
      </w:r>
      <w:r w:rsidRPr="00A92155">
        <w:rPr>
          <w:rFonts w:asciiTheme="majorBidi" w:hAnsiTheme="majorBidi" w:cstheme="majorBidi"/>
          <w:sz w:val="26"/>
          <w:szCs w:val="26"/>
          <w:rtl/>
        </w:rPr>
        <w:t>)، ويدعمون ثقافة التجريب والتعلم من الأخطاء (</w:t>
      </w:r>
      <w:r w:rsidRPr="00A92155">
        <w:rPr>
          <w:rFonts w:asciiTheme="majorBidi" w:hAnsiTheme="majorBidi" w:cstheme="majorBidi"/>
          <w:sz w:val="26"/>
          <w:szCs w:val="26"/>
        </w:rPr>
        <w:t>Fail Fast</w:t>
      </w:r>
      <w:r w:rsidRPr="00A92155">
        <w:rPr>
          <w:rFonts w:asciiTheme="majorBidi" w:hAnsiTheme="majorBidi" w:cstheme="majorBidi"/>
          <w:sz w:val="26"/>
          <w:szCs w:val="26"/>
          <w:rtl/>
        </w:rPr>
        <w:t>). هذا يقلل من مقاومة التغيير بين الموظفين.</w:t>
      </w:r>
    </w:p>
    <w:p w14:paraId="37376FE2"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ثقافة البيانات (</w:t>
      </w:r>
      <w:r w:rsidRPr="00A92155">
        <w:rPr>
          <w:rFonts w:asciiTheme="majorBidi" w:hAnsiTheme="majorBidi" w:cstheme="majorBidi"/>
          <w:b/>
          <w:bCs/>
          <w:sz w:val="26"/>
          <w:szCs w:val="26"/>
        </w:rPr>
        <w:t>Data Culture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الأمر ترسيخ ثقافة اتخاذ القرار القائم على البيانات (</w:t>
      </w:r>
      <w:r w:rsidRPr="00A92155">
        <w:rPr>
          <w:rFonts w:asciiTheme="majorBidi" w:hAnsiTheme="majorBidi" w:cstheme="majorBidi"/>
          <w:sz w:val="26"/>
          <w:szCs w:val="26"/>
        </w:rPr>
        <w:t>Data-Driven Decision Making</w:t>
      </w:r>
      <w:r w:rsidRPr="00A92155">
        <w:rPr>
          <w:rFonts w:asciiTheme="majorBidi" w:hAnsiTheme="majorBidi" w:cstheme="majorBidi"/>
          <w:sz w:val="26"/>
          <w:szCs w:val="26"/>
          <w:rtl/>
        </w:rPr>
        <w:t>) بدلاً من الاعتماد على الخبرة أو الحدس فقط. هذا المحور يرتبط ارتباطاً وثيقاً بنجاح إدارة التحليلات المتقدمة.</w:t>
      </w:r>
    </w:p>
    <w:p w14:paraId="64CBFFC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تطوير الكفاءات الديناميكية (</w:t>
      </w:r>
      <w:r w:rsidRPr="00A92155">
        <w:rPr>
          <w:rFonts w:asciiTheme="majorBidi" w:hAnsiTheme="majorBidi" w:cstheme="majorBidi"/>
          <w:b/>
          <w:bCs/>
          <w:sz w:val="26"/>
          <w:szCs w:val="26"/>
        </w:rPr>
        <w:t>Developing Dynamic Capabilities</w:t>
      </w:r>
      <w:r w:rsidRPr="00A92155">
        <w:rPr>
          <w:rFonts w:asciiTheme="majorBidi" w:hAnsiTheme="majorBidi" w:cstheme="majorBidi"/>
          <w:b/>
          <w:bCs/>
          <w:sz w:val="26"/>
          <w:szCs w:val="26"/>
          <w:rtl/>
        </w:rPr>
        <w:t>):</w:t>
      </w:r>
    </w:p>
    <w:p w14:paraId="0120447F" w14:textId="77777777" w:rsidR="00202E2A" w:rsidRPr="00A92155" w:rsidRDefault="00202E2A">
      <w:pPr>
        <w:numPr>
          <w:ilvl w:val="0"/>
          <w:numId w:val="56"/>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بالعودة إلى نظرية الكفاءة الديناميكية (</w:t>
      </w:r>
      <w:r w:rsidRPr="00A92155">
        <w:rPr>
          <w:rFonts w:asciiTheme="majorBidi" w:hAnsiTheme="majorBidi" w:cstheme="majorBidi"/>
          <w:sz w:val="26"/>
          <w:szCs w:val="26"/>
        </w:rPr>
        <w:t>DCT</w:t>
      </w:r>
      <w:r w:rsidRPr="00A92155">
        <w:rPr>
          <w:rFonts w:asciiTheme="majorBidi" w:hAnsiTheme="majorBidi" w:cstheme="majorBidi"/>
          <w:sz w:val="26"/>
          <w:szCs w:val="26"/>
          <w:rtl/>
        </w:rPr>
        <w:t>)، فإن تطوير الكفاءات الرقمية ليس هدفاً في حد ذاته، بل هو وسيلة لبناء قدرة المؤسسة على الاستكشاف، الاستغلال، والتحويل في بيئة متغيرة. هذا يضمن أن المؤسسة لا تكتفي بتبني التقنيات الحالية، بل تكون قادرة على استيعاب التقنيات المستقبلية (مثل الذكاء الاصطناعي التوليدي) وتوظيفها بفعالية (</w:t>
      </w:r>
      <w:r w:rsidRPr="00A92155">
        <w:rPr>
          <w:rFonts w:asciiTheme="majorBidi" w:hAnsiTheme="majorBidi" w:cstheme="majorBidi"/>
          <w:sz w:val="26"/>
          <w:szCs w:val="26"/>
        </w:rPr>
        <w:t>Chirumalla, 2021</w:t>
      </w:r>
      <w:r w:rsidRPr="00A92155">
        <w:rPr>
          <w:rFonts w:asciiTheme="majorBidi" w:hAnsiTheme="majorBidi" w:cstheme="majorBidi"/>
          <w:sz w:val="26"/>
          <w:szCs w:val="26"/>
          <w:rtl/>
        </w:rPr>
        <w:t>).</w:t>
      </w:r>
    </w:p>
    <w:p w14:paraId="4DF06F63"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 البعد الثاني: الابتكار الرقمي (</w:t>
      </w:r>
      <w:r w:rsidRPr="00A92155">
        <w:rPr>
          <w:rFonts w:asciiTheme="majorBidi" w:hAnsiTheme="majorBidi" w:cs="PT Bold Heading"/>
          <w:b/>
          <w:bCs/>
          <w:color w:val="000000" w:themeColor="text1"/>
          <w:sz w:val="26"/>
          <w:szCs w:val="26"/>
        </w:rPr>
        <w:t>Digital Innovation</w:t>
      </w:r>
      <w:r w:rsidRPr="00A92155">
        <w:rPr>
          <w:rFonts w:asciiTheme="majorBidi" w:hAnsiTheme="majorBidi" w:cs="PT Bold Heading"/>
          <w:b/>
          <w:bCs/>
          <w:color w:val="000000" w:themeColor="text1"/>
          <w:sz w:val="26"/>
          <w:szCs w:val="26"/>
          <w:rtl/>
        </w:rPr>
        <w:t>)</w:t>
      </w:r>
    </w:p>
    <w:p w14:paraId="1BEE0C1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الابتكار الرقمي قاطرة التحول، حيث يتجاوز هذا البعد مجرد استخدام التقنيات المتاحة ليصبح عملية توليد قيمة جديدة (</w:t>
      </w:r>
      <w:r w:rsidRPr="00A92155">
        <w:rPr>
          <w:rFonts w:asciiTheme="majorBidi" w:hAnsiTheme="majorBidi" w:cstheme="majorBidi"/>
          <w:sz w:val="26"/>
          <w:szCs w:val="26"/>
        </w:rPr>
        <w:t>Value Creation</w:t>
      </w:r>
      <w:r w:rsidRPr="00A92155">
        <w:rPr>
          <w:rFonts w:asciiTheme="majorBidi" w:hAnsiTheme="majorBidi" w:cstheme="majorBidi"/>
          <w:sz w:val="26"/>
          <w:szCs w:val="26"/>
          <w:rtl/>
        </w:rPr>
        <w:t>) وإعادة تعريف الخدمات الحكومية باستخدام التقنيات الناشئة. إنه البُعد الذي يُحوّل الكفاءة الإجرائية (المتحققة من الأسس الرقمية) إلى ميزة استراتيجية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1652E5F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2.2.2.1 الذكاء الاصطناعي وإنترنت الأشياء في العمل الحكومي</w:t>
      </w:r>
    </w:p>
    <w:p w14:paraId="054BED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التقنيات هي الأكثر تأثيراً في تحقيق التوازن بين الأمن وتيسير التجارة، فهي توفر إمكانية الأتمتة الذكية والتحليل التنبؤي غير المسبوق:</w:t>
      </w:r>
    </w:p>
    <w:p w14:paraId="4CDA5C0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الذكاء الاصطناعي لتعزيز الأمن (</w:t>
      </w:r>
      <w:r w:rsidRPr="00A92155">
        <w:rPr>
          <w:rFonts w:asciiTheme="majorBidi" w:hAnsiTheme="majorBidi" w:cstheme="majorBidi"/>
          <w:b/>
          <w:bCs/>
          <w:sz w:val="26"/>
          <w:szCs w:val="26"/>
        </w:rPr>
        <w:t>AI for Security Enhancement</w:t>
      </w:r>
      <w:r w:rsidRPr="00A92155">
        <w:rPr>
          <w:rFonts w:asciiTheme="majorBidi" w:hAnsiTheme="majorBidi" w:cstheme="majorBidi"/>
          <w:b/>
          <w:bCs/>
          <w:sz w:val="26"/>
          <w:szCs w:val="26"/>
          <w:rtl/>
        </w:rPr>
        <w:t>):</w:t>
      </w:r>
    </w:p>
    <w:p w14:paraId="7009BBA7" w14:textId="77777777" w:rsidR="00202E2A" w:rsidRPr="00A92155" w:rsidRDefault="00202E2A">
      <w:pPr>
        <w:numPr>
          <w:ilvl w:val="0"/>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أتمتة اتخاذ القرار الأمني:</w:t>
      </w:r>
      <w:r w:rsidRPr="00A92155">
        <w:rPr>
          <w:rFonts w:asciiTheme="majorBidi" w:hAnsiTheme="majorBidi" w:cstheme="majorBidi"/>
          <w:sz w:val="26"/>
          <w:szCs w:val="26"/>
          <w:rtl/>
        </w:rPr>
        <w:t xml:space="preserve"> يتم استخدام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والتعلم العميق (</w:t>
      </w:r>
      <w:r w:rsidRPr="00A92155">
        <w:rPr>
          <w:rFonts w:asciiTheme="majorBidi" w:hAnsiTheme="majorBidi" w:cstheme="majorBidi"/>
          <w:sz w:val="26"/>
          <w:szCs w:val="26"/>
        </w:rPr>
        <w:t>Deep Learning</w:t>
      </w:r>
      <w:r w:rsidRPr="00A92155">
        <w:rPr>
          <w:rFonts w:asciiTheme="majorBidi" w:hAnsiTheme="majorBidi" w:cstheme="majorBidi"/>
          <w:sz w:val="26"/>
          <w:szCs w:val="26"/>
          <w:rtl/>
        </w:rPr>
        <w:t xml:space="preserve">) في هيئات مثل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لتحليل كميات هائلة من البيانات في وقت قياسي. هذا التحليل يمكن النظام من:</w:t>
      </w:r>
    </w:p>
    <w:p w14:paraId="4070F592"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اكتشاف الاحتيال والتهريب:</w:t>
      </w:r>
      <w:r w:rsidRPr="00A92155">
        <w:rPr>
          <w:rFonts w:asciiTheme="majorBidi" w:hAnsiTheme="majorBidi" w:cstheme="majorBidi"/>
          <w:sz w:val="26"/>
          <w:szCs w:val="26"/>
          <w:rtl/>
        </w:rPr>
        <w:t xml:space="preserve"> تحديد الأنماط المعقدة وغير المعتادة في الوثائق الجمركية أو الضريبية التي قد تشير إلى محاولة تهرب أو غسيل أموال.</w:t>
      </w:r>
    </w:p>
    <w:p w14:paraId="4889BE47"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التفتيش الذكي للمخاطر:</w:t>
      </w:r>
      <w:r w:rsidRPr="00A92155">
        <w:rPr>
          <w:rFonts w:asciiTheme="majorBidi" w:hAnsiTheme="majorBidi" w:cstheme="majorBidi"/>
          <w:sz w:val="26"/>
          <w:szCs w:val="26"/>
          <w:rtl/>
        </w:rPr>
        <w:t xml:space="preserve"> استخدام الذكاء الاصطناعي في كاميرات المراقبة، وأجهزة الأشعة السينية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ومستشعرات الحدود لربط الصور مع بيانات الشحن، وتحديد العناصر المشبوهة أو المتفجرات بشكل آلي، مما يقلل من التدخل البشري والوقت المستغرق في التفتيش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6755744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إنترنت الأشياء لتيسير التجارة (</w:t>
      </w:r>
      <w:r w:rsidRPr="00A92155">
        <w:rPr>
          <w:rFonts w:asciiTheme="majorBidi" w:hAnsiTheme="majorBidi" w:cstheme="majorBidi"/>
          <w:b/>
          <w:bCs/>
          <w:sz w:val="26"/>
          <w:szCs w:val="26"/>
        </w:rPr>
        <w:t>IoT for Trade Facilitation</w:t>
      </w:r>
      <w:r w:rsidRPr="00A92155">
        <w:rPr>
          <w:rFonts w:asciiTheme="majorBidi" w:hAnsiTheme="majorBidi" w:cstheme="majorBidi"/>
          <w:b/>
          <w:bCs/>
          <w:sz w:val="26"/>
          <w:szCs w:val="26"/>
          <w:rtl/>
        </w:rPr>
        <w:t>):</w:t>
      </w:r>
    </w:p>
    <w:p w14:paraId="545A6A09"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اللوجستيات الذكية وتتبع الشحنات:</w:t>
      </w:r>
      <w:r w:rsidRPr="00A92155">
        <w:rPr>
          <w:rFonts w:asciiTheme="majorBidi" w:hAnsiTheme="majorBidi" w:cstheme="majorBidi"/>
          <w:sz w:val="26"/>
          <w:szCs w:val="26"/>
          <w:rtl/>
        </w:rPr>
        <w:t xml:space="preserve"> يتم استخدام أجهزة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في سلاسل التوريد لمراقبة ظروف الشحن (درجة الحرارة، الرطوبة، الموقع الجغرافي) في الوقت الفعلي.</w:t>
      </w:r>
    </w:p>
    <w:p w14:paraId="2BA2B57C"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المزدوج:</w:t>
      </w:r>
    </w:p>
    <w:p w14:paraId="1C192433"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تضمن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أن الشحنة لم يتم فتحها أو العبث بها منذ مغادرتها نقطة المنشأ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w:t>
      </w:r>
    </w:p>
    <w:p w14:paraId="0B8E7D51"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التجارة:</w:t>
      </w:r>
      <w:r w:rsidRPr="00A92155">
        <w:rPr>
          <w:rFonts w:asciiTheme="majorBidi" w:hAnsiTheme="majorBidi" w:cstheme="majorBidi"/>
          <w:sz w:val="26"/>
          <w:szCs w:val="26"/>
          <w:rtl/>
        </w:rPr>
        <w:t xml:space="preserve"> توفر بيانات دقيقة تضمن جودة المنتج، مما يسرع عملية التخليص لعدم الحاجة إلى تفتيش عشوائي شامل، ويقلل من النزاعات التجارية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746A3628"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الموانئ والمستودعات الذكية:</w:t>
      </w:r>
      <w:r w:rsidRPr="00A92155">
        <w:rPr>
          <w:rFonts w:asciiTheme="majorBidi" w:hAnsiTheme="majorBidi" w:cstheme="majorBidi"/>
          <w:sz w:val="26"/>
          <w:szCs w:val="26"/>
          <w:rtl/>
        </w:rPr>
        <w:t xml:space="preserve"> استخدام شبكات الاستشعار (</w:t>
      </w:r>
      <w:r w:rsidRPr="00A92155">
        <w:rPr>
          <w:rFonts w:asciiTheme="majorBidi" w:hAnsiTheme="majorBidi" w:cstheme="majorBidi"/>
          <w:sz w:val="26"/>
          <w:szCs w:val="26"/>
        </w:rPr>
        <w:t>IoT Sensors</w:t>
      </w:r>
      <w:r w:rsidRPr="00A92155">
        <w:rPr>
          <w:rFonts w:asciiTheme="majorBidi" w:hAnsiTheme="majorBidi" w:cstheme="majorBidi"/>
          <w:sz w:val="26"/>
          <w:szCs w:val="26"/>
          <w:rtl/>
        </w:rPr>
        <w:t>) في إدارة المخزون والموانئ لزيادة كفاءة استغلال المساحات وتحسين تدفق البضائع الداخلة والخارجة، مما يقلل تكاليف التخزين ويحسن من تصنيف المملكة في مؤشر أداء الخدمات اللوجستية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9ACA3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الذكاء الاصطناعي التوليدي (</w:t>
      </w:r>
      <w:r w:rsidRPr="00A92155">
        <w:rPr>
          <w:rFonts w:asciiTheme="majorBidi" w:hAnsiTheme="majorBidi" w:cstheme="majorBidi"/>
          <w:b/>
          <w:bCs/>
          <w:sz w:val="26"/>
          <w:szCs w:val="26"/>
        </w:rPr>
        <w:t>Generative AI</w:t>
      </w:r>
      <w:r w:rsidRPr="00A92155">
        <w:rPr>
          <w:rFonts w:asciiTheme="majorBidi" w:hAnsiTheme="majorBidi" w:cstheme="majorBidi"/>
          <w:b/>
          <w:bCs/>
          <w:sz w:val="26"/>
          <w:szCs w:val="26"/>
          <w:rtl/>
        </w:rPr>
        <w:t>) كأداة جديدة:</w:t>
      </w:r>
    </w:p>
    <w:p w14:paraId="5F057E75" w14:textId="77777777" w:rsidR="00202E2A" w:rsidRPr="00A92155" w:rsidRDefault="00202E2A">
      <w:pPr>
        <w:numPr>
          <w:ilvl w:val="0"/>
          <w:numId w:val="5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الخدمة الحكومية:</w:t>
      </w:r>
      <w:r w:rsidRPr="00A92155">
        <w:rPr>
          <w:rFonts w:asciiTheme="majorBidi" w:hAnsiTheme="majorBidi" w:cstheme="majorBidi"/>
          <w:sz w:val="26"/>
          <w:szCs w:val="26"/>
          <w:rtl/>
        </w:rPr>
        <w:t xml:space="preserve"> بدء استخدام الذكاء الاصطناعي التوليدي (</w:t>
      </w:r>
      <w:r w:rsidRPr="00A92155">
        <w:rPr>
          <w:rFonts w:asciiTheme="majorBidi" w:hAnsiTheme="majorBidi" w:cstheme="majorBidi"/>
          <w:sz w:val="26"/>
          <w:szCs w:val="26"/>
        </w:rPr>
        <w:t>GenAI</w:t>
      </w:r>
      <w:r w:rsidRPr="00A92155">
        <w:rPr>
          <w:rFonts w:asciiTheme="majorBidi" w:hAnsiTheme="majorBidi" w:cstheme="majorBidi"/>
          <w:sz w:val="26"/>
          <w:szCs w:val="26"/>
          <w:rtl/>
        </w:rPr>
        <w:t>) في إنشاء أدوات مساعدة افتراضية متقدمة (</w:t>
      </w:r>
      <w:r w:rsidRPr="00A92155">
        <w:rPr>
          <w:rFonts w:asciiTheme="majorBidi" w:hAnsiTheme="majorBidi" w:cstheme="majorBidi"/>
          <w:sz w:val="26"/>
          <w:szCs w:val="26"/>
        </w:rPr>
        <w:t>Virtual Assistants</w:t>
      </w:r>
      <w:r w:rsidRPr="00A92155">
        <w:rPr>
          <w:rFonts w:asciiTheme="majorBidi" w:hAnsiTheme="majorBidi" w:cstheme="majorBidi"/>
          <w:sz w:val="26"/>
          <w:szCs w:val="26"/>
          <w:rtl/>
        </w:rPr>
        <w:t>) قادرة على الإجابة على استفسارات المستوردين والمصدرين المعقدة بشكل آلي وسريع، وتوفير معلومات جمركية وضريبية دقيقة، مما يرفع من مستوى الخدمة الحكومية.</w:t>
      </w:r>
    </w:p>
    <w:p w14:paraId="70D138C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2.2.2.2 المنصات الرقمية والتفاعل مع المستفيدين</w:t>
      </w:r>
    </w:p>
    <w:p w14:paraId="257B0D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المنصات الرقمية (</w:t>
      </w:r>
      <w:r w:rsidRPr="00A92155">
        <w:rPr>
          <w:rFonts w:asciiTheme="majorBidi" w:hAnsiTheme="majorBidi" w:cstheme="majorBidi"/>
          <w:sz w:val="26"/>
          <w:szCs w:val="26"/>
        </w:rPr>
        <w:t>Digital Platforms</w:t>
      </w:r>
      <w:r w:rsidRPr="00A92155">
        <w:rPr>
          <w:rFonts w:asciiTheme="majorBidi" w:hAnsiTheme="majorBidi" w:cstheme="majorBidi"/>
          <w:sz w:val="26"/>
          <w:szCs w:val="26"/>
          <w:rtl/>
        </w:rPr>
        <w:t>) التحول من النموذج الحكومي القائم على الإدارات المنعزلة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إلى نموذج الخدمة المتكاملة (</w:t>
      </w:r>
      <w:r w:rsidRPr="00A92155">
        <w:rPr>
          <w:rFonts w:asciiTheme="majorBidi" w:hAnsiTheme="majorBidi" w:cstheme="majorBidi"/>
          <w:sz w:val="26"/>
          <w:szCs w:val="26"/>
        </w:rPr>
        <w:t>Whole-of-Government Approach</w:t>
      </w:r>
      <w:r w:rsidRPr="00A92155">
        <w:rPr>
          <w:rFonts w:asciiTheme="majorBidi" w:hAnsiTheme="majorBidi" w:cstheme="majorBidi"/>
          <w:sz w:val="26"/>
          <w:szCs w:val="26"/>
          <w:rtl/>
        </w:rPr>
        <w:t>) الذي يضع المستفيد في المركز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7CBAC8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المنصة الرقمية الموحدة (</w:t>
      </w:r>
      <w:r w:rsidRPr="00A92155">
        <w:rPr>
          <w:rFonts w:asciiTheme="majorBidi" w:hAnsiTheme="majorBidi" w:cstheme="majorBidi"/>
          <w:b/>
          <w:bCs/>
          <w:sz w:val="26"/>
          <w:szCs w:val="26"/>
        </w:rPr>
        <w:t>Single Window/Platform</w:t>
      </w:r>
      <w:r w:rsidRPr="00A92155">
        <w:rPr>
          <w:rFonts w:asciiTheme="majorBidi" w:hAnsiTheme="majorBidi" w:cstheme="majorBidi"/>
          <w:b/>
          <w:bCs/>
          <w:sz w:val="26"/>
          <w:szCs w:val="26"/>
          <w:rtl/>
        </w:rPr>
        <w:t>):</w:t>
      </w:r>
    </w:p>
    <w:p w14:paraId="249B4199"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في التجارة:</w:t>
      </w:r>
      <w:r w:rsidRPr="00A92155">
        <w:rPr>
          <w:rFonts w:asciiTheme="majorBidi" w:hAnsiTheme="majorBidi" w:cstheme="majorBidi"/>
          <w:sz w:val="26"/>
          <w:szCs w:val="26"/>
          <w:rtl/>
        </w:rPr>
        <w:t xml:space="preserve"> تُعد منصات "النافذة الواحدة" (كما في تجربة سنغافورة و</w:t>
      </w:r>
      <w:r w:rsidRPr="00A92155">
        <w:rPr>
          <w:rFonts w:asciiTheme="majorBidi" w:hAnsiTheme="majorBidi" w:cstheme="majorBidi"/>
          <w:sz w:val="26"/>
          <w:szCs w:val="26"/>
        </w:rPr>
        <w:t>ZATCA</w:t>
      </w:r>
      <w:r w:rsidRPr="00A92155">
        <w:rPr>
          <w:rFonts w:asciiTheme="majorBidi" w:hAnsiTheme="majorBidi" w:cstheme="majorBidi"/>
          <w:sz w:val="26"/>
          <w:szCs w:val="26"/>
          <w:rtl/>
        </w:rPr>
        <w:t>) هي المظهر الأبرز لنجاح الابتكار الرقمي في تيسير التجارة. حيث تسمح للمستورد أو المصدر بتقديم جميع الوثائق والمعاملات المطلوبة (جمركية، صحية، بيئية، ضريبية) مرة واحدة وإلكترونياً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73304E3D"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الفوائد المنهجية:</w:t>
      </w:r>
    </w:p>
    <w:p w14:paraId="1F367B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الكفاءة:</w:t>
      </w:r>
      <w:r w:rsidRPr="00A92155">
        <w:rPr>
          <w:rFonts w:asciiTheme="majorBidi" w:hAnsiTheme="majorBidi" w:cstheme="majorBidi"/>
          <w:sz w:val="26"/>
          <w:szCs w:val="26"/>
          <w:rtl/>
        </w:rPr>
        <w:t xml:space="preserve"> تقليل زمن التخليص، حيث تقوم المنصة بتوزيع البيانات على الجهات المعنية آلياً.</w:t>
      </w:r>
    </w:p>
    <w:p w14:paraId="0820B2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والشفافية:</w:t>
      </w:r>
      <w:r w:rsidRPr="00A92155">
        <w:rPr>
          <w:rFonts w:asciiTheme="majorBidi" w:hAnsiTheme="majorBidi" w:cstheme="majorBidi"/>
          <w:sz w:val="26"/>
          <w:szCs w:val="26"/>
          <w:rtl/>
        </w:rPr>
        <w:t xml:space="preserve"> زيادة الشفافية والمساءلة، والحد من التفاعل البشري المباشر الذي قد يؤدي إلى الفساد.</w:t>
      </w:r>
    </w:p>
    <w:p w14:paraId="696095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الحكومة الاستباقية (</w:t>
      </w:r>
      <w:r w:rsidRPr="00A92155">
        <w:rPr>
          <w:rFonts w:asciiTheme="majorBidi" w:hAnsiTheme="majorBidi" w:cstheme="majorBidi"/>
          <w:b/>
          <w:bCs/>
          <w:sz w:val="26"/>
          <w:szCs w:val="26"/>
        </w:rPr>
        <w:t>Proactive Government</w:t>
      </w:r>
      <w:r w:rsidRPr="00A92155">
        <w:rPr>
          <w:rFonts w:asciiTheme="majorBidi" w:hAnsiTheme="majorBidi" w:cstheme="majorBidi"/>
          <w:b/>
          <w:bCs/>
          <w:sz w:val="26"/>
          <w:szCs w:val="26"/>
          <w:rtl/>
        </w:rPr>
        <w:t>):</w:t>
      </w:r>
    </w:p>
    <w:p w14:paraId="39518D6E"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التنبؤ بالاحتياج:</w:t>
      </w:r>
      <w:r w:rsidRPr="00A92155">
        <w:rPr>
          <w:rFonts w:asciiTheme="majorBidi" w:hAnsiTheme="majorBidi" w:cstheme="majorBidi"/>
          <w:sz w:val="26"/>
          <w:szCs w:val="26"/>
          <w:rtl/>
        </w:rPr>
        <w:t xml:space="preserve"> باستخدام البيانات والمنصات، يمكن للحكومة الانتقال من تقديم الخدمات عند الطلب إلى تقديم الخدمات بشكل استباقي (</w:t>
      </w:r>
      <w:r w:rsidRPr="00A92155">
        <w:rPr>
          <w:rFonts w:asciiTheme="majorBidi" w:hAnsiTheme="majorBidi" w:cstheme="majorBidi"/>
          <w:sz w:val="26"/>
          <w:szCs w:val="26"/>
        </w:rPr>
        <w:t>Proactive</w:t>
      </w:r>
      <w:r w:rsidRPr="00A92155">
        <w:rPr>
          <w:rFonts w:asciiTheme="majorBidi" w:hAnsiTheme="majorBidi" w:cstheme="majorBidi"/>
          <w:sz w:val="26"/>
          <w:szCs w:val="26"/>
          <w:rtl/>
        </w:rPr>
        <w:t>). فمثلاً، يمكن للنظام أن يتوقع حاجة شركة معينة إلى تجديد رخصة استيراد معينة قبل انتهائها بوقت كافٍ بناءً على سجلها التجاري، وإرسال تنبيه أو بدء الإجراءات آلياً.</w:t>
      </w:r>
    </w:p>
    <w:p w14:paraId="08AB8117"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الاستفادة المزدوجة:</w:t>
      </w:r>
      <w:r w:rsidRPr="00A92155">
        <w:rPr>
          <w:rFonts w:asciiTheme="majorBidi" w:hAnsiTheme="majorBidi" w:cstheme="majorBidi"/>
          <w:sz w:val="26"/>
          <w:szCs w:val="26"/>
          <w:rtl/>
        </w:rPr>
        <w:t xml:space="preserve"> هذا يرفع من مستوى تجربة العميل (</w:t>
      </w:r>
      <w:r w:rsidRPr="00A92155">
        <w:rPr>
          <w:rFonts w:asciiTheme="majorBidi" w:hAnsiTheme="majorBidi" w:cstheme="majorBidi"/>
          <w:sz w:val="26"/>
          <w:szCs w:val="26"/>
        </w:rPr>
        <w:t>Citizen/Business Experience</w:t>
      </w:r>
      <w:r w:rsidRPr="00A92155">
        <w:rPr>
          <w:rFonts w:asciiTheme="majorBidi" w:hAnsiTheme="majorBidi" w:cstheme="majorBidi"/>
          <w:sz w:val="26"/>
          <w:szCs w:val="26"/>
          <w:rtl/>
        </w:rPr>
        <w:t>) ويقلل من احتمالية التوقفات التشغيلية التي قد تؤثر سلباً على الإيرادات الحكومية والتجارة.</w:t>
      </w:r>
    </w:p>
    <w:p w14:paraId="368417D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والمشاركة (</w:t>
      </w:r>
      <w:r w:rsidRPr="00A92155">
        <w:rPr>
          <w:rFonts w:asciiTheme="majorBidi" w:hAnsiTheme="majorBidi" w:cstheme="majorBidi"/>
          <w:b/>
          <w:bCs/>
          <w:sz w:val="26"/>
          <w:szCs w:val="26"/>
        </w:rPr>
        <w:t>Engagement and Participation</w:t>
      </w:r>
      <w:r w:rsidRPr="00A92155">
        <w:rPr>
          <w:rFonts w:asciiTheme="majorBidi" w:hAnsiTheme="majorBidi" w:cstheme="majorBidi"/>
          <w:b/>
          <w:bCs/>
          <w:sz w:val="26"/>
          <w:szCs w:val="26"/>
          <w:rtl/>
        </w:rPr>
        <w:t>):</w:t>
      </w:r>
    </w:p>
    <w:p w14:paraId="049252D8" w14:textId="77777777" w:rsidR="00202E2A" w:rsidRPr="00A92155" w:rsidRDefault="00202E2A">
      <w:pPr>
        <w:numPr>
          <w:ilvl w:val="0"/>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تُصمم المنصات الرقمية لتكون قنوات ثنائية الاتجاه لـ المشاركة المفتوحة. وهذا يشمل:</w:t>
      </w:r>
    </w:p>
    <w:p w14:paraId="7C80D87F"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التشريعي:</w:t>
      </w:r>
      <w:r w:rsidRPr="00A92155">
        <w:rPr>
          <w:rFonts w:asciiTheme="majorBidi" w:hAnsiTheme="majorBidi" w:cstheme="majorBidi"/>
          <w:sz w:val="26"/>
          <w:szCs w:val="26"/>
          <w:rtl/>
        </w:rPr>
        <w:t xml:space="preserve"> استخدام المنصات لجمع مقترحات وآراء القطاع الخاص (المستوردين، المصدرين) حول الإجراءات الجمركية والضريبية المقترحة، مما يزيد من شرعية وفعالية القرارات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75FE6A88"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الأداء:</w:t>
      </w:r>
      <w:r w:rsidRPr="00A92155">
        <w:rPr>
          <w:rFonts w:asciiTheme="majorBidi" w:hAnsiTheme="majorBidi" w:cstheme="majorBidi"/>
          <w:sz w:val="26"/>
          <w:szCs w:val="26"/>
          <w:rtl/>
        </w:rPr>
        <w:t xml:space="preserve"> نشر مؤشرات الأداء الرئيسية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متوسط زمن التخليص الجمركي على المنصات، مما يعزز الثقة والمساءلة.</w:t>
      </w:r>
    </w:p>
    <w:p w14:paraId="3C49E0E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2.2.2.3 الابتكار المفتوح والتكامل مع القطاع الخاص</w:t>
      </w:r>
    </w:p>
    <w:p w14:paraId="79462E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الابتكار الرقمي لا يمكن أن يكون نشاطاً داخلياً بحتاً في القطاع الحكومي، بل يتطلب الاستفادة من الخبرات والرشاقة التي يوفرها القطاع الخاص (</w:t>
      </w:r>
      <w:r w:rsidRPr="00A92155">
        <w:rPr>
          <w:rFonts w:asciiTheme="majorBidi" w:hAnsiTheme="majorBidi" w:cstheme="majorBidi"/>
          <w:sz w:val="26"/>
          <w:szCs w:val="26"/>
        </w:rPr>
        <w:t>Megrel et al., 2018</w:t>
      </w:r>
      <w:r w:rsidRPr="00A92155">
        <w:rPr>
          <w:rFonts w:asciiTheme="majorBidi" w:hAnsiTheme="majorBidi" w:cstheme="majorBidi"/>
          <w:sz w:val="26"/>
          <w:szCs w:val="26"/>
          <w:rtl/>
        </w:rPr>
        <w:t>).</w:t>
      </w:r>
    </w:p>
    <w:p w14:paraId="14626A2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الابتكار المفتوح (</w:t>
      </w:r>
      <w:r w:rsidRPr="00A92155">
        <w:rPr>
          <w:rFonts w:asciiTheme="majorBidi" w:hAnsiTheme="majorBidi" w:cstheme="majorBidi"/>
          <w:b/>
          <w:bCs/>
          <w:sz w:val="26"/>
          <w:szCs w:val="26"/>
        </w:rPr>
        <w:t>Open Innovation</w:t>
      </w:r>
      <w:r w:rsidRPr="00A92155">
        <w:rPr>
          <w:rFonts w:asciiTheme="majorBidi" w:hAnsiTheme="majorBidi" w:cstheme="majorBidi"/>
          <w:b/>
          <w:bCs/>
          <w:sz w:val="26"/>
          <w:szCs w:val="26"/>
          <w:rtl/>
        </w:rPr>
        <w:t>) في التقنية:</w:t>
      </w:r>
    </w:p>
    <w:p w14:paraId="1E8FB064"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تبني مفهوم إدخال الأفكار والحلول والتقنيات من مصادر خارجية (شركات التقنية، الشركات الناشئة، الجامعات) في عملية التحول الرقمي الحكومي.</w:t>
      </w:r>
    </w:p>
    <w:p w14:paraId="096EABB9"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الهدف:</w:t>
      </w:r>
      <w:r w:rsidRPr="00A92155">
        <w:rPr>
          <w:rFonts w:asciiTheme="majorBidi" w:hAnsiTheme="majorBidi" w:cstheme="majorBidi"/>
          <w:sz w:val="26"/>
          <w:szCs w:val="26"/>
          <w:rtl/>
        </w:rPr>
        <w:t xml:space="preserve"> تسريع عملية تطوير الحلول الرقمية، وتقليل المخاطر التقنية المرتبطة بالحلول الداخلية، وضمان أن الأنظمة الحكومية تظل على اطلاع بأحدث التطورات التكنولوجية.</w:t>
      </w:r>
    </w:p>
    <w:p w14:paraId="75BE7EF1"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الأمثلة:</w:t>
      </w:r>
      <w:r w:rsidRPr="00A92155">
        <w:rPr>
          <w:rFonts w:asciiTheme="majorBidi" w:hAnsiTheme="majorBidi" w:cstheme="majorBidi"/>
          <w:sz w:val="26"/>
          <w:szCs w:val="26"/>
          <w:rtl/>
        </w:rPr>
        <w:t xml:space="preserve"> إطلاق تحديات الابتكار (</w:t>
      </w:r>
      <w:r w:rsidRPr="00A92155">
        <w:rPr>
          <w:rFonts w:asciiTheme="majorBidi" w:hAnsiTheme="majorBidi" w:cstheme="majorBidi"/>
          <w:sz w:val="26"/>
          <w:szCs w:val="26"/>
        </w:rPr>
        <w:t>Hackathons</w:t>
      </w:r>
      <w:r w:rsidRPr="00A92155">
        <w:rPr>
          <w:rFonts w:asciiTheme="majorBidi" w:hAnsiTheme="majorBidi" w:cstheme="majorBidi"/>
          <w:sz w:val="26"/>
          <w:szCs w:val="26"/>
          <w:rtl/>
        </w:rPr>
        <w:t>) بالتعاون مع الشركات الناشئة لإيجاد حلول مبتكرة لمشاكل الجمارك المعقدة، مثل كيفية تسريع فحص المنتجات الغذائية دون المساس بالمعايير الصحية.</w:t>
      </w:r>
    </w:p>
    <w:p w14:paraId="2818E03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الشراكة في التكنولوجيا المتقدمة (</w:t>
      </w:r>
      <w:r w:rsidRPr="00A92155">
        <w:rPr>
          <w:rFonts w:asciiTheme="majorBidi" w:hAnsiTheme="majorBidi" w:cstheme="majorBidi"/>
          <w:b/>
          <w:bCs/>
          <w:sz w:val="26"/>
          <w:szCs w:val="26"/>
        </w:rPr>
        <w:t>Partnerships in Advanced Tech</w:t>
      </w:r>
      <w:r w:rsidRPr="00A92155">
        <w:rPr>
          <w:rFonts w:asciiTheme="majorBidi" w:hAnsiTheme="majorBidi" w:cstheme="majorBidi"/>
          <w:b/>
          <w:bCs/>
          <w:sz w:val="26"/>
          <w:szCs w:val="26"/>
          <w:rtl/>
        </w:rPr>
        <w:t>):</w:t>
      </w:r>
    </w:p>
    <w:p w14:paraId="5D5F1AD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البنية التحتية والخدمات السحابية:</w:t>
      </w:r>
      <w:r w:rsidRPr="00A92155">
        <w:rPr>
          <w:rFonts w:asciiTheme="majorBidi" w:hAnsiTheme="majorBidi" w:cstheme="majorBidi"/>
          <w:sz w:val="26"/>
          <w:szCs w:val="26"/>
          <w:rtl/>
        </w:rPr>
        <w:t xml:space="preserve"> الاعتماد على الشراكة مع مقدمي الخدمات السحابية العالميين والمحليين لتوفير بنية تحتية آمنة ومرنة للأنظمة الحكومية (</w:t>
      </w:r>
      <w:r w:rsidRPr="00A92155">
        <w:rPr>
          <w:rFonts w:asciiTheme="majorBidi" w:hAnsiTheme="majorBidi" w:cstheme="majorBidi"/>
          <w:sz w:val="26"/>
          <w:szCs w:val="26"/>
        </w:rPr>
        <w:t>IaaS, PaaS</w:t>
      </w:r>
      <w:r w:rsidRPr="00A92155">
        <w:rPr>
          <w:rFonts w:asciiTheme="majorBidi" w:hAnsiTheme="majorBidi" w:cstheme="majorBidi"/>
          <w:sz w:val="26"/>
          <w:szCs w:val="26"/>
          <w:rtl/>
        </w:rPr>
        <w:t>).</w:t>
      </w:r>
    </w:p>
    <w:p w14:paraId="24966B8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تطوير البلوكتشين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تُعد تقنية البلوكتشين أداة واعدة لزيادة أمان وشفافية المعاملات التجارية. وتتطلب هذه التقنية التعاون الوثيق مع الشركات الخاصة لإنشاء سلاسل كتل تجارية موثوقة لتوثيق ملكية الشحنات وأصولها، مما يعزز الثقة في التجارة العابرة للحدود</w:t>
      </w:r>
    </w:p>
    <w:p w14:paraId="39A8BCD7" w14:textId="77777777" w:rsidR="00202E2A" w:rsidRPr="00A92155" w:rsidRDefault="00202E2A" w:rsidP="00202E2A">
      <w:pPr>
        <w:bidi/>
        <w:spacing w:line="240" w:lineRule="auto"/>
        <w:jc w:val="center"/>
        <w:rPr>
          <w:rFonts w:asciiTheme="majorBidi" w:hAnsiTheme="majorBidi" w:cstheme="majorBidi"/>
          <w:sz w:val="26"/>
          <w:szCs w:val="26"/>
          <w:rtl/>
        </w:rPr>
      </w:pPr>
      <w:r w:rsidRPr="00A92155">
        <w:rPr>
          <w:rFonts w:asciiTheme="majorBidi" w:hAnsiTheme="majorBidi" w:cstheme="majorBidi"/>
          <w:noProof/>
          <w:sz w:val="26"/>
          <w:szCs w:val="26"/>
        </w:rPr>
        <w:lastRenderedPageBreak/>
        <w:drawing>
          <wp:inline distT="0" distB="0" distL="0" distR="0" wp14:anchorId="17A9077C" wp14:editId="4A90D3F9">
            <wp:extent cx="5517214" cy="3116912"/>
            <wp:effectExtent l="0" t="0" r="7620" b="7620"/>
            <wp:docPr id="324137929" name="Picture 2" descr="Image of Blockchain in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mage of Blockchain in Supply Cha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1947" cy="3142184"/>
                    </a:xfrm>
                    <a:prstGeom prst="rect">
                      <a:avLst/>
                    </a:prstGeom>
                    <a:noFill/>
                    <a:ln>
                      <a:noFill/>
                    </a:ln>
                  </pic:spPr>
                </pic:pic>
              </a:graphicData>
            </a:graphic>
          </wp:inline>
        </w:drawing>
      </w:r>
    </w:p>
    <w:p w14:paraId="19615BE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دور المؤسسات الجامعية ومراكز البحوث:</w:t>
      </w:r>
    </w:p>
    <w:p w14:paraId="47104214" w14:textId="77777777" w:rsidR="00202E2A" w:rsidRPr="00A92155" w:rsidRDefault="00202E2A">
      <w:pPr>
        <w:numPr>
          <w:ilvl w:val="0"/>
          <w:numId w:val="65"/>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الشراكة مع الجامعات ومراكز الأبحاث الوطنية لإنشاء "مختبرات حية" (</w:t>
      </w:r>
      <w:r w:rsidRPr="00A92155">
        <w:rPr>
          <w:rFonts w:asciiTheme="majorBidi" w:hAnsiTheme="majorBidi" w:cstheme="majorBidi"/>
          <w:sz w:val="26"/>
          <w:szCs w:val="26"/>
        </w:rPr>
        <w:t>Living Labs</w:t>
      </w:r>
      <w:r w:rsidRPr="00A92155">
        <w:rPr>
          <w:rFonts w:asciiTheme="majorBidi" w:hAnsiTheme="majorBidi" w:cstheme="majorBidi"/>
          <w:sz w:val="26"/>
          <w:szCs w:val="26"/>
          <w:rtl/>
        </w:rPr>
        <w:t>) لتبادل الخبرات في مجال الأمن السيبراني والذكاء الاصطناعي، وتدريب الكفاءات، وتوطين التقنية، مما يعكس البُعد المؤسسي الابتكاري في التحول الرقمي.</w:t>
      </w:r>
    </w:p>
    <w:p w14:paraId="55C3CE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 البعد الثالث: الحوكمة الرقمية (</w:t>
      </w:r>
      <w:r w:rsidRPr="00A92155">
        <w:rPr>
          <w:rFonts w:asciiTheme="majorBidi" w:hAnsiTheme="majorBidi" w:cs="PT Bold Heading"/>
          <w:b/>
          <w:bCs/>
          <w:color w:val="000000" w:themeColor="text1"/>
          <w:sz w:val="26"/>
          <w:szCs w:val="26"/>
        </w:rPr>
        <w:t>Digital Governance</w:t>
      </w:r>
      <w:r w:rsidRPr="00A92155">
        <w:rPr>
          <w:rFonts w:asciiTheme="majorBidi" w:hAnsiTheme="majorBidi" w:cs="PT Bold Heading"/>
          <w:b/>
          <w:bCs/>
          <w:color w:val="000000" w:themeColor="text1"/>
          <w:sz w:val="26"/>
          <w:szCs w:val="26"/>
          <w:rtl/>
        </w:rPr>
        <w:t>)</w:t>
      </w:r>
    </w:p>
    <w:p w14:paraId="53E2ABD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الضمانة الاستراتيجية للتحول الرقمي، فهو الإطار الذي يضمن أن استخدام التكنولوجيا والابتكار يتم بطريقة مسؤولة، أخلاقية، قانونية، وفعالة (</w:t>
      </w:r>
      <w:r w:rsidRPr="00A92155">
        <w:rPr>
          <w:rFonts w:asciiTheme="majorBidi" w:hAnsiTheme="majorBidi" w:cstheme="majorBidi"/>
          <w:sz w:val="26"/>
          <w:szCs w:val="26"/>
        </w:rPr>
        <w:t>Vial, 2019</w:t>
      </w:r>
      <w:r w:rsidRPr="00A92155">
        <w:rPr>
          <w:rFonts w:asciiTheme="majorBidi" w:hAnsiTheme="majorBidi" w:cstheme="majorBidi"/>
          <w:sz w:val="26"/>
          <w:szCs w:val="26"/>
          <w:rtl/>
        </w:rPr>
        <w:t>). فالحوكمة الرقمية هي التي تربط الأهداف التكنولوجية بالأهداف الوطنية لـ الشرعية والمساءلة (</w:t>
      </w:r>
      <w:r w:rsidRPr="00A92155">
        <w:rPr>
          <w:rFonts w:asciiTheme="majorBidi" w:hAnsiTheme="majorBidi" w:cstheme="majorBidi"/>
          <w:sz w:val="26"/>
          <w:szCs w:val="26"/>
        </w:rPr>
        <w:t>Legitimacy and Accountability</w:t>
      </w:r>
      <w:r w:rsidRPr="00A92155">
        <w:rPr>
          <w:rFonts w:asciiTheme="majorBidi" w:hAnsiTheme="majorBidi" w:cstheme="majorBidi"/>
          <w:sz w:val="26"/>
          <w:szCs w:val="26"/>
          <w:rtl/>
        </w:rPr>
        <w:t>).</w:t>
      </w:r>
    </w:p>
    <w:p w14:paraId="39E7A84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2.2.3.1 السياسات الوطنية للتنظيم الرقمي</w:t>
      </w:r>
    </w:p>
    <w:p w14:paraId="0730979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السياسات الوطنية هي الأساس الذي يُنشئ البيئة المُنظمة والواثقة لنجاح التحول الرقمي في القطاع الحكومي والخاص على حد سواء.</w:t>
      </w:r>
    </w:p>
    <w:p w14:paraId="6E3390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استراتيجيات التكامل والتنسيق الوطني (</w:t>
      </w:r>
      <w:r w:rsidRPr="00A92155">
        <w:rPr>
          <w:rFonts w:asciiTheme="majorBidi" w:hAnsiTheme="majorBidi" w:cstheme="majorBidi"/>
          <w:b/>
          <w:bCs/>
          <w:sz w:val="26"/>
          <w:szCs w:val="26"/>
        </w:rPr>
        <w:t>National Integration Strategies</w:t>
      </w:r>
      <w:r w:rsidRPr="00A92155">
        <w:rPr>
          <w:rFonts w:asciiTheme="majorBidi" w:hAnsiTheme="majorBidi" w:cstheme="majorBidi"/>
          <w:b/>
          <w:bCs/>
          <w:sz w:val="26"/>
          <w:szCs w:val="26"/>
          <w:rtl/>
        </w:rPr>
        <w:t>):</w:t>
      </w:r>
    </w:p>
    <w:p w14:paraId="4B435355"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مفهوم الحكومة ككل (</w:t>
      </w:r>
      <w:r w:rsidRPr="00A92155">
        <w:rPr>
          <w:rFonts w:asciiTheme="majorBidi" w:hAnsiTheme="majorBidi" w:cstheme="majorBidi"/>
          <w:b/>
          <w:bCs/>
          <w:sz w:val="26"/>
          <w:szCs w:val="26"/>
        </w:rPr>
        <w:t>Whole-of-Government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تضمن السياسات الوطنية، التي تقودها هيئة الحكومة الرقمية في المملكة، أن التحول الرقمي لا يتم بمعزل عن بعضه. فالحاجة إلى تبادل البيانات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الداخلية والجهات الأمنية تتطلب إطاراً وطنياً موحداً يحدد المعايير التقنية، ومستويات الأمان، وبروتوكولات التبادل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0E0CD27"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التمويل والحوكمة العليا:</w:t>
      </w:r>
      <w:r w:rsidRPr="00A92155">
        <w:rPr>
          <w:rFonts w:asciiTheme="majorBidi" w:hAnsiTheme="majorBidi" w:cstheme="majorBidi"/>
          <w:sz w:val="26"/>
          <w:szCs w:val="26"/>
          <w:rtl/>
        </w:rPr>
        <w:t xml:space="preserve"> وضع سياسات لتمويل مشاريع التحول الرقمي ذات الأولوية الاستراتيجية (مثل مشاريع الأمن السيبراني والتجارة الذكية)، والعمل على تقليل الازدواجية في الإنفاق التكنولوجي بين الجهات الحكومية.</w:t>
      </w:r>
    </w:p>
    <w:p w14:paraId="7B2B32D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التزام بالمعايير العالمية (</w:t>
      </w:r>
      <w:r w:rsidRPr="00A92155">
        <w:rPr>
          <w:rFonts w:asciiTheme="majorBidi" w:hAnsiTheme="majorBidi" w:cstheme="majorBidi"/>
          <w:b/>
          <w:bCs/>
          <w:sz w:val="26"/>
          <w:szCs w:val="26"/>
        </w:rPr>
        <w:t>Commitment to International Standards</w:t>
      </w:r>
      <w:r w:rsidRPr="00A92155">
        <w:rPr>
          <w:rFonts w:asciiTheme="majorBidi" w:hAnsiTheme="majorBidi" w:cstheme="majorBidi"/>
          <w:b/>
          <w:bCs/>
          <w:sz w:val="26"/>
          <w:szCs w:val="26"/>
          <w:rtl/>
        </w:rPr>
        <w:t>):</w:t>
      </w:r>
    </w:p>
    <w:p w14:paraId="434B8FD2"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معايير التجارة الدولية:</w:t>
      </w:r>
      <w:r w:rsidRPr="00A92155">
        <w:rPr>
          <w:rFonts w:asciiTheme="majorBidi" w:hAnsiTheme="majorBidi" w:cstheme="majorBidi"/>
          <w:sz w:val="26"/>
          <w:szCs w:val="26"/>
          <w:rtl/>
        </w:rPr>
        <w:t xml:space="preserve"> وضع سياسات تضمن التزام المملكة بالمعايير الرقمية لمنظمة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والمنظمة العالمية للجمارك (</w:t>
      </w:r>
      <w:r w:rsidRPr="00A92155">
        <w:rPr>
          <w:rFonts w:asciiTheme="majorBidi" w:hAnsiTheme="majorBidi" w:cstheme="majorBidi"/>
          <w:sz w:val="26"/>
          <w:szCs w:val="26"/>
        </w:rPr>
        <w:t>WCO</w:t>
      </w:r>
      <w:r w:rsidRPr="00A92155">
        <w:rPr>
          <w:rFonts w:asciiTheme="majorBidi" w:hAnsiTheme="majorBidi" w:cstheme="majorBidi"/>
          <w:sz w:val="26"/>
          <w:szCs w:val="26"/>
          <w:rtl/>
        </w:rPr>
        <w:t>). هذا الالتزام (الذي يندرج تحت الضغط المعياري في النظرية المؤسسية) ضروري لـ التنافسية التجارية.</w:t>
      </w:r>
    </w:p>
    <w:p w14:paraId="44D93A0A"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الأمن السيبراني:</w:t>
      </w:r>
      <w:r w:rsidRPr="00A92155">
        <w:rPr>
          <w:rFonts w:asciiTheme="majorBidi" w:hAnsiTheme="majorBidi" w:cstheme="majorBidi"/>
          <w:sz w:val="26"/>
          <w:szCs w:val="26"/>
          <w:rtl/>
        </w:rPr>
        <w:t xml:space="preserve"> تبني وتطبيق أطر عمل دولية في الأمن السيبراني (مثل </w:t>
      </w:r>
      <w:r w:rsidRPr="00A92155">
        <w:rPr>
          <w:rFonts w:asciiTheme="majorBidi" w:hAnsiTheme="majorBidi" w:cstheme="majorBidi"/>
          <w:sz w:val="26"/>
          <w:szCs w:val="26"/>
        </w:rPr>
        <w:t>NIST</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ISO 27001</w:t>
      </w:r>
      <w:r w:rsidRPr="00A92155">
        <w:rPr>
          <w:rFonts w:asciiTheme="majorBidi" w:hAnsiTheme="majorBidi" w:cstheme="majorBidi"/>
          <w:sz w:val="26"/>
          <w:szCs w:val="26"/>
          <w:rtl/>
        </w:rPr>
        <w:t>) عبر جميع المؤسسات الحيوية، مما يعزز من ثقة الشركاء التجاريين الدوليين في البيئة الرقمية السعودية.</w:t>
      </w:r>
    </w:p>
    <w:p w14:paraId="5C9467C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سياسات توطين التقنية (</w:t>
      </w:r>
      <w:r w:rsidRPr="00A92155">
        <w:rPr>
          <w:rFonts w:asciiTheme="majorBidi" w:hAnsiTheme="majorBidi" w:cstheme="majorBidi"/>
          <w:b/>
          <w:bCs/>
          <w:sz w:val="26"/>
          <w:szCs w:val="26"/>
        </w:rPr>
        <w:t>Technology Localization Policies</w:t>
      </w:r>
      <w:r w:rsidRPr="00A92155">
        <w:rPr>
          <w:rFonts w:asciiTheme="majorBidi" w:hAnsiTheme="majorBidi" w:cstheme="majorBidi"/>
          <w:b/>
          <w:bCs/>
          <w:sz w:val="26"/>
          <w:szCs w:val="26"/>
          <w:rtl/>
        </w:rPr>
        <w:t>):</w:t>
      </w:r>
    </w:p>
    <w:p w14:paraId="445EF8F7" w14:textId="77777777" w:rsidR="00202E2A" w:rsidRPr="00A92155" w:rsidRDefault="00202E2A">
      <w:pPr>
        <w:numPr>
          <w:ilvl w:val="0"/>
          <w:numId w:val="6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وضع سياسات وطنية تشجع على توطين التقنيات المتقدمة (مثل الذكاء الاصطناعي، الأمن السيبراني، وتصنيع المستشعرات) وتقليل الاعتماد على التقنيات الأجنبية، مما يساهم في الأمن الوطني الاقتصادي والتقني، ويدعم </w:t>
      </w:r>
      <w:r w:rsidRPr="00A92155">
        <w:rPr>
          <w:rFonts w:asciiTheme="majorBidi" w:hAnsiTheme="majorBidi" w:cstheme="majorBidi"/>
          <w:b/>
          <w:bCs/>
          <w:sz w:val="26"/>
          <w:szCs w:val="26"/>
          <w:rtl/>
        </w:rPr>
        <w:t>المحتوى المحلي</w:t>
      </w:r>
      <w:r w:rsidRPr="00A92155">
        <w:rPr>
          <w:rFonts w:asciiTheme="majorBidi" w:hAnsiTheme="majorBidi" w:cstheme="majorBidi"/>
          <w:sz w:val="26"/>
          <w:szCs w:val="26"/>
          <w:rtl/>
        </w:rPr>
        <w:t xml:space="preserve"> في رؤية 2030.</w:t>
      </w:r>
    </w:p>
    <w:p w14:paraId="0A81FF3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2.2.3.2 معايير الجودة والشفافية والمساءلة</w:t>
      </w:r>
    </w:p>
    <w:p w14:paraId="382983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تضمن الحوكمة الرقمية أن التكنولوجيا لا تزيد من الغموض أو البيروقراطية، بل تعمل كأداة لتعزيز الثقة (</w:t>
      </w:r>
      <w:r w:rsidRPr="00A92155">
        <w:rPr>
          <w:rFonts w:asciiTheme="majorBidi" w:hAnsiTheme="majorBidi" w:cstheme="majorBidi"/>
          <w:sz w:val="26"/>
          <w:szCs w:val="26"/>
        </w:rPr>
        <w:t>Trust</w:t>
      </w:r>
      <w:r w:rsidRPr="00A92155">
        <w:rPr>
          <w:rFonts w:asciiTheme="majorBidi" w:hAnsiTheme="majorBidi" w:cstheme="majorBidi"/>
          <w:sz w:val="26"/>
          <w:szCs w:val="26"/>
          <w:rtl/>
        </w:rPr>
        <w:t>) بين الحكومة والمستفيدين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B9482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الجودة وتجربة المستفيد (</w:t>
      </w:r>
      <w:r w:rsidRPr="00A92155">
        <w:rPr>
          <w:rFonts w:asciiTheme="majorBidi" w:hAnsiTheme="majorBidi" w:cstheme="majorBidi"/>
          <w:b/>
          <w:bCs/>
          <w:sz w:val="26"/>
          <w:szCs w:val="26"/>
        </w:rPr>
        <w:t>Quality and User Experience - UX</w:t>
      </w:r>
      <w:r w:rsidRPr="00A92155">
        <w:rPr>
          <w:rFonts w:asciiTheme="majorBidi" w:hAnsiTheme="majorBidi" w:cstheme="majorBidi"/>
          <w:b/>
          <w:bCs/>
          <w:sz w:val="26"/>
          <w:szCs w:val="26"/>
          <w:rtl/>
        </w:rPr>
        <w:t>):</w:t>
      </w:r>
    </w:p>
    <w:p w14:paraId="7B5B819B"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 المعياري:</w:t>
      </w:r>
      <w:r w:rsidRPr="00A92155">
        <w:rPr>
          <w:rFonts w:asciiTheme="majorBidi" w:hAnsiTheme="majorBidi" w:cstheme="majorBidi"/>
          <w:sz w:val="26"/>
          <w:szCs w:val="26"/>
          <w:rtl/>
        </w:rPr>
        <w:t xml:space="preserve"> وضع معايير صارمة لجودة الخدمات الرقمية الحكومية، مع التركيز على تجربة المستفيد (</w:t>
      </w:r>
      <w:r w:rsidRPr="00A92155">
        <w:rPr>
          <w:rFonts w:asciiTheme="majorBidi" w:hAnsiTheme="majorBidi" w:cstheme="majorBidi"/>
          <w:sz w:val="26"/>
          <w:szCs w:val="26"/>
        </w:rPr>
        <w:t>UX</w:t>
      </w:r>
      <w:r w:rsidRPr="00A92155">
        <w:rPr>
          <w:rFonts w:asciiTheme="majorBidi" w:hAnsiTheme="majorBidi" w:cstheme="majorBidi"/>
          <w:sz w:val="26"/>
          <w:szCs w:val="26"/>
          <w:rtl/>
        </w:rPr>
        <w:t>). فنجاح منصات التجارة (</w:t>
      </w:r>
      <w:r w:rsidRPr="00A92155">
        <w:rPr>
          <w:rFonts w:asciiTheme="majorBidi" w:hAnsiTheme="majorBidi" w:cstheme="majorBidi"/>
          <w:sz w:val="26"/>
          <w:szCs w:val="26"/>
        </w:rPr>
        <w:t>ZATCA</w:t>
      </w:r>
      <w:r w:rsidRPr="00A92155">
        <w:rPr>
          <w:rFonts w:asciiTheme="majorBidi" w:hAnsiTheme="majorBidi" w:cstheme="majorBidi"/>
          <w:sz w:val="26"/>
          <w:szCs w:val="26"/>
          <w:rtl/>
        </w:rPr>
        <w:t>) لا يُقاس فقط بمدى عملها التقني، بل بمدى سهولة استخدامها، وسرعة استجابتها، وقدرتها على حل المشكلات بفعالية.</w:t>
      </w:r>
    </w:p>
    <w:p w14:paraId="00880F7F"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w:t>
      </w:r>
      <w:r w:rsidRPr="00A92155">
        <w:rPr>
          <w:rFonts w:asciiTheme="majorBidi" w:hAnsiTheme="majorBidi" w:cstheme="majorBidi"/>
          <w:sz w:val="26"/>
          <w:szCs w:val="26"/>
          <w:rtl/>
        </w:rPr>
        <w:t xml:space="preserve"> يتم ذلك عبر مؤشرات أداء 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معدل إكمال الخدمة (</w:t>
      </w:r>
      <w:r w:rsidRPr="00A92155">
        <w:rPr>
          <w:rFonts w:asciiTheme="majorBidi" w:hAnsiTheme="majorBidi" w:cstheme="majorBidi"/>
          <w:sz w:val="26"/>
          <w:szCs w:val="26"/>
        </w:rPr>
        <w:t>Service Completion Rate</w:t>
      </w:r>
      <w:r w:rsidRPr="00A92155">
        <w:rPr>
          <w:rFonts w:asciiTheme="majorBidi" w:hAnsiTheme="majorBidi" w:cstheme="majorBidi"/>
          <w:sz w:val="26"/>
          <w:szCs w:val="26"/>
          <w:rtl/>
        </w:rPr>
        <w:t>)، وزمن الاستجابة (</w:t>
      </w:r>
      <w:r w:rsidRPr="00A92155">
        <w:rPr>
          <w:rFonts w:asciiTheme="majorBidi" w:hAnsiTheme="majorBidi" w:cstheme="majorBidi"/>
          <w:sz w:val="26"/>
          <w:szCs w:val="26"/>
        </w:rPr>
        <w:t>Response Time</w:t>
      </w:r>
      <w:r w:rsidRPr="00A92155">
        <w:rPr>
          <w:rFonts w:asciiTheme="majorBidi" w:hAnsiTheme="majorBidi" w:cstheme="majorBidi"/>
          <w:sz w:val="26"/>
          <w:szCs w:val="26"/>
          <w:rtl/>
        </w:rPr>
        <w:t>)، ومؤشر صافي نقاط الترويج (</w:t>
      </w:r>
      <w:r w:rsidRPr="00A92155">
        <w:rPr>
          <w:rFonts w:asciiTheme="majorBidi" w:hAnsiTheme="majorBidi" w:cstheme="majorBidi"/>
          <w:sz w:val="26"/>
          <w:szCs w:val="26"/>
        </w:rPr>
        <w:t>Net Promoter Score - NPS</w:t>
      </w:r>
      <w:r w:rsidRPr="00A92155">
        <w:rPr>
          <w:rFonts w:asciiTheme="majorBidi" w:hAnsiTheme="majorBidi" w:cstheme="majorBidi"/>
          <w:sz w:val="26"/>
          <w:szCs w:val="26"/>
          <w:rtl/>
        </w:rPr>
        <w:t>) للمستفيدين.</w:t>
      </w:r>
    </w:p>
    <w:p w14:paraId="7EC73C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الشفافية والوصول للمعلومات (</w:t>
      </w:r>
      <w:r w:rsidRPr="00A92155">
        <w:rPr>
          <w:rFonts w:asciiTheme="majorBidi" w:hAnsiTheme="majorBidi" w:cstheme="majorBidi"/>
          <w:b/>
          <w:bCs/>
          <w:sz w:val="26"/>
          <w:szCs w:val="26"/>
        </w:rPr>
        <w:t>Transparency and Information Access</w:t>
      </w:r>
      <w:r w:rsidRPr="00A92155">
        <w:rPr>
          <w:rFonts w:asciiTheme="majorBidi" w:hAnsiTheme="majorBidi" w:cstheme="majorBidi"/>
          <w:b/>
          <w:bCs/>
          <w:sz w:val="26"/>
          <w:szCs w:val="26"/>
          <w:rtl/>
        </w:rPr>
        <w:t>):</w:t>
      </w:r>
    </w:p>
    <w:p w14:paraId="3C59776E"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المفتوح:</w:t>
      </w:r>
      <w:r w:rsidRPr="00A92155">
        <w:rPr>
          <w:rFonts w:asciiTheme="majorBidi" w:hAnsiTheme="majorBidi" w:cstheme="majorBidi"/>
          <w:sz w:val="26"/>
          <w:szCs w:val="26"/>
          <w:rtl/>
        </w:rPr>
        <w:t xml:space="preserve"> تضمن الحوكمة الرقمية إتاحة البيانات الحكومية المفتوحة (</w:t>
      </w:r>
      <w:r w:rsidRPr="00A92155">
        <w:rPr>
          <w:rFonts w:asciiTheme="majorBidi" w:hAnsiTheme="majorBidi" w:cstheme="majorBidi"/>
          <w:sz w:val="26"/>
          <w:szCs w:val="26"/>
        </w:rPr>
        <w:t>Open Data</w:t>
      </w:r>
      <w:r w:rsidRPr="00A92155">
        <w:rPr>
          <w:rFonts w:asciiTheme="majorBidi" w:hAnsiTheme="majorBidi" w:cstheme="majorBidi"/>
          <w:sz w:val="26"/>
          <w:szCs w:val="26"/>
          <w:rtl/>
        </w:rPr>
        <w:t>) للقطاع الخاص والجمهور (ما لم تكن بيانات حساسة أو شخصية)، مما يدعم الابتكار الاقتصادي ويزيد من شرعية القرارات الحكومية.</w:t>
      </w:r>
    </w:p>
    <w:p w14:paraId="4F478F00"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العمليات:</w:t>
      </w:r>
      <w:r w:rsidRPr="00A92155">
        <w:rPr>
          <w:rFonts w:asciiTheme="majorBidi" w:hAnsiTheme="majorBidi" w:cstheme="majorBidi"/>
          <w:sz w:val="26"/>
          <w:szCs w:val="26"/>
          <w:rtl/>
        </w:rPr>
        <w:t xml:space="preserve"> استخدام التقنية لعرض حالة المعاملات الجمركية أو الضريبية للمستفيد في الوقت الفعلي. هذه الشفافية تقلل من حالة عدم اليقين في سلاسل التوريد وتمنع الممارسات غير القانونية أو التأخير غير المبرر.</w:t>
      </w:r>
    </w:p>
    <w:p w14:paraId="0745DD4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المساءلة في اتخاذ القرار (</w:t>
      </w:r>
      <w:r w:rsidRPr="00A92155">
        <w:rPr>
          <w:rFonts w:asciiTheme="majorBidi" w:hAnsiTheme="majorBidi" w:cstheme="majorBidi"/>
          <w:b/>
          <w:bCs/>
          <w:sz w:val="26"/>
          <w:szCs w:val="26"/>
        </w:rPr>
        <w:t>Accountability in Decision-Making</w:t>
      </w:r>
      <w:r w:rsidRPr="00A92155">
        <w:rPr>
          <w:rFonts w:asciiTheme="majorBidi" w:hAnsiTheme="majorBidi" w:cstheme="majorBidi"/>
          <w:b/>
          <w:bCs/>
          <w:sz w:val="26"/>
          <w:szCs w:val="26"/>
          <w:rtl/>
        </w:rPr>
        <w:t>):</w:t>
      </w:r>
    </w:p>
    <w:p w14:paraId="1E45A975"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أخلاقيات الذكاء الاصطناعي:</w:t>
      </w:r>
      <w:r w:rsidRPr="00A92155">
        <w:rPr>
          <w:rFonts w:asciiTheme="majorBidi" w:hAnsiTheme="majorBidi" w:cstheme="majorBidi"/>
          <w:sz w:val="26"/>
          <w:szCs w:val="26"/>
          <w:rtl/>
        </w:rPr>
        <w:t xml:space="preserve"> في ظل استخدام الذكاء الاصطناعي في اتخاذ القرارات الأمنية (مثل رفض شحنة أو تحديد مخاطرها)، يجب أن تضمن الحوكمة الرقمية وجود آليات للمساءلة. يجب أن تكون قرارات الذكاء الاصطناعي قابلة للتفسير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بحيث يمكن للمستورد معرفة سبب تصنيف شحنته كعالية المخاطر، مما يضمن العدالة القانونية والإجرائية.</w:t>
      </w:r>
    </w:p>
    <w:p w14:paraId="7182B2BC"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المراجعة الرقمية (</w:t>
      </w:r>
      <w:r w:rsidRPr="00A92155">
        <w:rPr>
          <w:rFonts w:asciiTheme="majorBidi" w:hAnsiTheme="majorBidi" w:cstheme="majorBidi"/>
          <w:b/>
          <w:bCs/>
          <w:sz w:val="26"/>
          <w:szCs w:val="26"/>
        </w:rPr>
        <w:t>Digital Auditing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إنشاء سجلات رقمية غير قابلة للتعديل (باستخدام تقنيات مثل البلوكتشين) لجميع العمليات والمعاملات، مما يسهل المراجعة والتدقيق والمساءلة في حال وقوع خطأ أو احتيال.</w:t>
      </w:r>
    </w:p>
    <w:p w14:paraId="3E0FD03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2.2.3.3 أخلاقيات البيانات والتشريعات الرقمية</w:t>
      </w:r>
    </w:p>
    <w:p w14:paraId="7FB3491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هذا هو البعد الأعمق للحوكمة، ويتعلق بضمان أن التحول الرقمي يحترم حقوق الأفراد والشركات ويحافظ على المبادئ الأخلاقية الوطنية.</w:t>
      </w:r>
    </w:p>
    <w:p w14:paraId="1C0898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قوانين حماية البيانات والخصوصية (</w:t>
      </w:r>
      <w:r w:rsidRPr="00A92155">
        <w:rPr>
          <w:rFonts w:asciiTheme="majorBidi" w:hAnsiTheme="majorBidi" w:cstheme="majorBidi"/>
          <w:b/>
          <w:bCs/>
          <w:sz w:val="26"/>
          <w:szCs w:val="26"/>
        </w:rPr>
        <w:t>Data Protection and Privacy Laws</w:t>
      </w:r>
      <w:r w:rsidRPr="00A92155">
        <w:rPr>
          <w:rFonts w:asciiTheme="majorBidi" w:hAnsiTheme="majorBidi" w:cstheme="majorBidi"/>
          <w:b/>
          <w:bCs/>
          <w:sz w:val="26"/>
          <w:szCs w:val="26"/>
          <w:rtl/>
        </w:rPr>
        <w:t>):</w:t>
      </w:r>
    </w:p>
    <w:p w14:paraId="10CC851D"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إصدار وتطبيق تشريعات وطنية صارمة لحماية البيانات الشخصية والمالية والتجارية، وهو ما يضمن سيطرة الدولة على بياناتها الحساسة ويحقق ثقة المستثمر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11B5226"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تكامل التشريعات:</w:t>
      </w:r>
      <w:r w:rsidRPr="00A92155">
        <w:rPr>
          <w:rFonts w:asciiTheme="majorBidi" w:hAnsiTheme="majorBidi" w:cstheme="majorBidi"/>
          <w:sz w:val="26"/>
          <w:szCs w:val="26"/>
          <w:rtl/>
        </w:rPr>
        <w:t xml:space="preserve"> يجب أن تكون التشريعات الرقمية (مثل قانون المعاملات الإلكترونية وقانون حماية البيانات الشخصية) متكاملة وغير متضاربة مع مهام الجهات الأمنية والجمارك، مما يضمن عدم وجود ثغرات قانونية تستغل من قبل المخترقين أو المتهربين.</w:t>
      </w:r>
    </w:p>
    <w:p w14:paraId="602B408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أخلاقيات الذكاء الاصطناعي (</w:t>
      </w:r>
      <w:r w:rsidRPr="00A92155">
        <w:rPr>
          <w:rFonts w:asciiTheme="majorBidi" w:hAnsiTheme="majorBidi" w:cstheme="majorBidi"/>
          <w:b/>
          <w:bCs/>
          <w:sz w:val="26"/>
          <w:szCs w:val="26"/>
        </w:rPr>
        <w:t>AI Ethics</w:t>
      </w:r>
      <w:r w:rsidRPr="00A92155">
        <w:rPr>
          <w:rFonts w:asciiTheme="majorBidi" w:hAnsiTheme="majorBidi" w:cstheme="majorBidi"/>
          <w:b/>
          <w:bCs/>
          <w:sz w:val="26"/>
          <w:szCs w:val="26"/>
          <w:rtl/>
        </w:rPr>
        <w:t>):</w:t>
      </w:r>
    </w:p>
    <w:p w14:paraId="7656D115"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التحيز والتمييز:</w:t>
      </w:r>
      <w:r w:rsidRPr="00A92155">
        <w:rPr>
          <w:rFonts w:asciiTheme="majorBidi" w:hAnsiTheme="majorBidi" w:cstheme="majorBidi"/>
          <w:sz w:val="26"/>
          <w:szCs w:val="26"/>
          <w:rtl/>
        </w:rPr>
        <w:t xml:space="preserve"> يجب أن تضع التشريعات معايير لضمان أن خوارزميات الذكاء الاصطناعي المستخدمة في العمل الحكومي (كشف الاحتيال، تصنيف المخاطر) لا تحتوي على تحيز (</w:t>
      </w:r>
      <w:r w:rsidRPr="00A92155">
        <w:rPr>
          <w:rFonts w:asciiTheme="majorBidi" w:hAnsiTheme="majorBidi" w:cstheme="majorBidi"/>
          <w:sz w:val="26"/>
          <w:szCs w:val="26"/>
        </w:rPr>
        <w:t>Bias</w:t>
      </w:r>
      <w:r w:rsidRPr="00A92155">
        <w:rPr>
          <w:rFonts w:asciiTheme="majorBidi" w:hAnsiTheme="majorBidi" w:cstheme="majorBidi"/>
          <w:sz w:val="26"/>
          <w:szCs w:val="26"/>
          <w:rtl/>
        </w:rPr>
        <w:t>) قد يؤدي إلى التمييز ضد شركات أو أفراد معينين بشكل غير عادل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7B9FF741"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الإشراف البشري:</w:t>
      </w:r>
      <w:r w:rsidRPr="00A92155">
        <w:rPr>
          <w:rFonts w:asciiTheme="majorBidi" w:hAnsiTheme="majorBidi" w:cstheme="majorBidi"/>
          <w:sz w:val="26"/>
          <w:szCs w:val="26"/>
          <w:rtl/>
        </w:rPr>
        <w:t xml:space="preserve"> ضمان وجود مستوى من الإشراف البشري (</w:t>
      </w:r>
      <w:r w:rsidRPr="00A92155">
        <w:rPr>
          <w:rFonts w:asciiTheme="majorBidi" w:hAnsiTheme="majorBidi" w:cstheme="majorBidi"/>
          <w:sz w:val="26"/>
          <w:szCs w:val="26"/>
        </w:rPr>
        <w:t>Human Oversight</w:t>
      </w:r>
      <w:r w:rsidRPr="00A92155">
        <w:rPr>
          <w:rFonts w:asciiTheme="majorBidi" w:hAnsiTheme="majorBidi" w:cstheme="majorBidi"/>
          <w:sz w:val="26"/>
          <w:szCs w:val="26"/>
          <w:rtl/>
        </w:rPr>
        <w:t>) على القرارات التي يتخذها الذكاء الاصطناعي، خاصة في الأمور التي تنطوي على عقوبات مالية أو إجراءات أمنية مشددة.</w:t>
      </w:r>
    </w:p>
    <w:p w14:paraId="42DD76B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أمن وشرعية المعاملات الإلكترونية:</w:t>
      </w:r>
    </w:p>
    <w:p w14:paraId="45203F4B" w14:textId="77777777" w:rsidR="00202E2A" w:rsidRPr="00A92155" w:rsidRDefault="00202E2A">
      <w:pPr>
        <w:numPr>
          <w:ilvl w:val="0"/>
          <w:numId w:val="74"/>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وضع إطار قانوني موثوق لـ التوقيع الرقمي (</w:t>
      </w:r>
      <w:r w:rsidRPr="00A92155">
        <w:rPr>
          <w:rFonts w:asciiTheme="majorBidi" w:hAnsiTheme="majorBidi" w:cstheme="majorBidi"/>
          <w:sz w:val="26"/>
          <w:szCs w:val="26"/>
        </w:rPr>
        <w:t>Digital Signature</w:t>
      </w:r>
      <w:r w:rsidRPr="00A92155">
        <w:rPr>
          <w:rFonts w:asciiTheme="majorBidi" w:hAnsiTheme="majorBidi" w:cstheme="majorBidi"/>
          <w:sz w:val="26"/>
          <w:szCs w:val="26"/>
          <w:rtl/>
        </w:rPr>
        <w:t>) والهوية الرقمية الموحدة، يضمن أن المعاملات الإلكترونية لها نفس القوة القانونية للمعاملات الورقية التقليدية، مما يشجع على التبني الكامل للخدمات الرقمية في التجارة.</w:t>
      </w:r>
    </w:p>
    <w:p w14:paraId="012900E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2.2.4 التفاعل بين الأبعاد الثلاثة وتأثيرها في الأداء الحكومي</w:t>
      </w:r>
    </w:p>
    <w:p w14:paraId="1D1483E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القيمة الحقيقية للتحول الرقمي تكمن في </w:t>
      </w:r>
      <w:r w:rsidRPr="00A92155">
        <w:rPr>
          <w:rFonts w:asciiTheme="majorBidi" w:hAnsiTheme="majorBidi" w:cstheme="majorBidi"/>
          <w:b/>
          <w:bCs/>
          <w:sz w:val="26"/>
          <w:szCs w:val="26"/>
          <w:rtl/>
        </w:rPr>
        <w:t>التفاعل المنهجي والتكاملي</w:t>
      </w:r>
      <w:r w:rsidRPr="00A92155">
        <w:rPr>
          <w:rFonts w:asciiTheme="majorBidi" w:hAnsiTheme="majorBidi" w:cstheme="majorBidi"/>
          <w:sz w:val="26"/>
          <w:szCs w:val="26"/>
          <w:rtl/>
        </w:rPr>
        <w:t xml:space="preserve"> بين أبعاده الثلاثة. فالنجاح ليس وليد تفوق في بُعد واحد (مثال: بنية تحتية قوية) مقابل إهمال بُعد آخر (مثال: حوكمة ضعيفة)، بل هو نتيجة لتفاعل ديناميكي متوازن يشكل نظاماً رقمياً (</w:t>
      </w:r>
      <w:r w:rsidRPr="00A92155">
        <w:rPr>
          <w:rFonts w:asciiTheme="majorBidi" w:hAnsiTheme="majorBidi" w:cstheme="majorBidi"/>
          <w:sz w:val="26"/>
          <w:szCs w:val="26"/>
        </w:rPr>
        <w:t>Digital System</w:t>
      </w:r>
      <w:r w:rsidRPr="00A92155">
        <w:rPr>
          <w:rFonts w:asciiTheme="majorBidi" w:hAnsiTheme="majorBidi" w:cstheme="majorBidi"/>
          <w:sz w:val="26"/>
          <w:szCs w:val="26"/>
          <w:rtl/>
        </w:rPr>
        <w:t>) متكاملاً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3714CA3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التفاعل بين الأسس الرقمية والابتكار الرقمي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leftrightarrow</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339DDBFC"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w:t>
      </w:r>
      <w:r w:rsidRPr="00A92155">
        <w:rPr>
          <w:rFonts w:asciiTheme="majorBidi" w:hAnsiTheme="majorBidi" w:cstheme="majorBidi"/>
          <w:b/>
          <w:bCs/>
          <w:sz w:val="26"/>
          <w:szCs w:val="26"/>
          <w:rtl/>
        </w:rPr>
        <w:t>سببية وتمكينية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Causal and Enabling</w:t>
      </w:r>
      <w:r w:rsidRPr="00A92155">
        <w:rPr>
          <w:rFonts w:asciiTheme="majorBidi" w:hAnsiTheme="majorBidi" w:cstheme="majorBidi"/>
          <w:sz w:val="26"/>
          <w:szCs w:val="26"/>
          <w:rtl/>
        </w:rPr>
        <w:t>). لا يمكن للابتكار الرقمي أن يزدهر دون وجود أسس رقمية متينة.</w:t>
      </w:r>
    </w:p>
    <w:p w14:paraId="4A0D1F6C" w14:textId="77777777" w:rsidR="00202E2A" w:rsidRPr="00A92155" w:rsidRDefault="00202E2A">
      <w:pPr>
        <w:numPr>
          <w:ilvl w:val="1"/>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استخدام الذكاء الاصطناعي (الابتكار) لتحليل مخاطر التهريب إلا إذا كانت هناك بنية تحتية سحابية قوية (الأسس) قادرة على تخزين ومعالجة البيانات الضخمة الآتية من المنافذ الجمركية، مع وجود كفاءات رقمية مدربة على بناء نماذج التعلم الآلي.</w:t>
      </w:r>
    </w:p>
    <w:p w14:paraId="747B5A02"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مبادرات الابتكار قابلة للتوسع (</w:t>
      </w:r>
      <w:r w:rsidRPr="00A92155">
        <w:rPr>
          <w:rFonts w:asciiTheme="majorBidi" w:hAnsiTheme="majorBidi" w:cstheme="majorBidi"/>
          <w:sz w:val="26"/>
          <w:szCs w:val="26"/>
        </w:rPr>
        <w:t>Scalable</w:t>
      </w:r>
      <w:r w:rsidRPr="00A92155">
        <w:rPr>
          <w:rFonts w:asciiTheme="majorBidi" w:hAnsiTheme="majorBidi" w:cstheme="majorBidi"/>
          <w:sz w:val="26"/>
          <w:szCs w:val="26"/>
          <w:rtl/>
        </w:rPr>
        <w:t>)، وذات تكلفة فعالة (</w:t>
      </w:r>
      <w:r w:rsidRPr="00A92155">
        <w:rPr>
          <w:rFonts w:asciiTheme="majorBidi" w:hAnsiTheme="majorBidi" w:cstheme="majorBidi"/>
          <w:sz w:val="26"/>
          <w:szCs w:val="26"/>
        </w:rPr>
        <w:t>Cost-Effective</w:t>
      </w:r>
      <w:r w:rsidRPr="00A92155">
        <w:rPr>
          <w:rFonts w:asciiTheme="majorBidi" w:hAnsiTheme="majorBidi" w:cstheme="majorBidi"/>
          <w:sz w:val="26"/>
          <w:szCs w:val="26"/>
          <w:rtl/>
        </w:rPr>
        <w:t>)، مما يعزز قدرة المؤسسة على خلق قيمة جديدة بفعالية.</w:t>
      </w:r>
    </w:p>
    <w:p w14:paraId="3B38EE8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التفاعل بين الابتكار الرقمي والحوكمة الرقمية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leftrightarrow</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12233E75"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ضابطة ومشرّعة (</w:t>
      </w:r>
      <w:r w:rsidRPr="00A92155">
        <w:rPr>
          <w:rFonts w:asciiTheme="majorBidi" w:hAnsiTheme="majorBidi" w:cstheme="majorBidi"/>
          <w:sz w:val="26"/>
          <w:szCs w:val="26"/>
        </w:rPr>
        <w:t>Regulatory and Legislating</w:t>
      </w:r>
      <w:r w:rsidRPr="00A92155">
        <w:rPr>
          <w:rFonts w:asciiTheme="majorBidi" w:hAnsiTheme="majorBidi" w:cstheme="majorBidi"/>
          <w:sz w:val="26"/>
          <w:szCs w:val="26"/>
          <w:rtl/>
        </w:rPr>
        <w:t>). تعمل الحوكمة على توجيه الابتكار لضمان تحقيق الأهداف الوطنية مع الالتزام بالشرعية والأخلاق.</w:t>
      </w:r>
    </w:p>
    <w:p w14:paraId="6D1FD5AF" w14:textId="77777777" w:rsidR="00202E2A" w:rsidRPr="00A92155" w:rsidRDefault="00202E2A">
      <w:pPr>
        <w:numPr>
          <w:ilvl w:val="1"/>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الذكاء الاصطناعي (الابتكار) في تحليل بيانات الأفراد يتطلب وجود تشريعات واضحة لحماية البيانات وأخلاقيات للذكاء الاصطناعي (الحوكمة) تمنع التحيز أو التعدي على الخصوصية. فالحوكمة تمنع الابتكار من أن يصبح "فوضى رقمية".</w:t>
      </w:r>
    </w:p>
    <w:p w14:paraId="795589D7"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نتائج الابتكار موثوقة ومقبولة اجتماعياً وقانونياً (</w:t>
      </w:r>
      <w:r w:rsidRPr="00A92155">
        <w:rPr>
          <w:rFonts w:asciiTheme="majorBidi" w:hAnsiTheme="majorBidi" w:cstheme="majorBidi"/>
          <w:sz w:val="26"/>
          <w:szCs w:val="26"/>
        </w:rPr>
        <w:t>Legitimate and Trustworthy</w:t>
      </w:r>
      <w:r w:rsidRPr="00A92155">
        <w:rPr>
          <w:rFonts w:asciiTheme="majorBidi" w:hAnsiTheme="majorBidi" w:cstheme="majorBidi"/>
          <w:sz w:val="26"/>
          <w:szCs w:val="26"/>
          <w:rtl/>
        </w:rPr>
        <w:t>)، مما يزيد من ثقة الجمهور والقطاع الخاص في التعامل مع الحكومة الرقمية.</w:t>
      </w:r>
    </w:p>
    <w:p w14:paraId="6195F34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بين الأسس الرقمية والحوكمة الرقمية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leftrightarrow</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50A262C6"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استدامة وموثوقية (</w:t>
      </w:r>
      <w:r w:rsidRPr="00A92155">
        <w:rPr>
          <w:rFonts w:asciiTheme="majorBidi" w:hAnsiTheme="majorBidi" w:cstheme="majorBidi"/>
          <w:sz w:val="26"/>
          <w:szCs w:val="26"/>
        </w:rPr>
        <w:t>Sustainability and Reliability</w:t>
      </w:r>
      <w:r w:rsidRPr="00A92155">
        <w:rPr>
          <w:rFonts w:asciiTheme="majorBidi" w:hAnsiTheme="majorBidi" w:cstheme="majorBidi"/>
          <w:sz w:val="26"/>
          <w:szCs w:val="26"/>
          <w:rtl/>
        </w:rPr>
        <w:t>). الحوكمة تضمن أن الأسس الرقمية مستمرة ومطبقة وفقاً لأعلى المعايير.</w:t>
      </w:r>
    </w:p>
    <w:p w14:paraId="00B4356D" w14:textId="77777777" w:rsidR="00202E2A" w:rsidRPr="00A92155" w:rsidRDefault="00202E2A">
      <w:pPr>
        <w:numPr>
          <w:ilvl w:val="1"/>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الالتزام بـ معايير الأمن السيبراني الوطنية والدولية (الحوكمة) هو الذي يضمن أن البنية التحتية (الأسس) مصممة ومُدارة بشكل صحيح لمقاومة الهجمات.</w:t>
      </w:r>
    </w:p>
    <w:p w14:paraId="1C7254DE"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الاستدامة والشرعية التشغيلية (</w:t>
      </w:r>
      <w:r w:rsidRPr="00A92155">
        <w:rPr>
          <w:rFonts w:asciiTheme="majorBidi" w:hAnsiTheme="majorBidi" w:cstheme="majorBidi"/>
          <w:sz w:val="26"/>
          <w:szCs w:val="26"/>
        </w:rPr>
        <w:t>Operational Legitimacy</w:t>
      </w:r>
      <w:r w:rsidRPr="00A92155">
        <w:rPr>
          <w:rFonts w:asciiTheme="majorBidi" w:hAnsiTheme="majorBidi" w:cstheme="majorBidi"/>
          <w:sz w:val="26"/>
          <w:szCs w:val="26"/>
          <w:rtl/>
        </w:rPr>
        <w:t>)، حيث يخضع كل مكون تقني لإطار تنظيمي يضمن جودته وسلامته.</w:t>
      </w:r>
    </w:p>
    <w:p w14:paraId="692E79F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المنظومة المتكاملة لتحقيق التوازن (</w:t>
      </w:r>
      <w:r w:rsidRPr="00A92155">
        <w:rPr>
          <w:rFonts w:asciiTheme="majorBidi" w:hAnsiTheme="majorBidi" w:cstheme="majorBidi"/>
          <w:b/>
          <w:bCs/>
          <w:sz w:val="26"/>
          <w:szCs w:val="26"/>
        </w:rPr>
        <w:t>The Integrated System for Balance</w:t>
      </w:r>
      <w:r w:rsidRPr="00A92155">
        <w:rPr>
          <w:rFonts w:asciiTheme="majorBidi" w:hAnsiTheme="majorBidi" w:cstheme="majorBidi"/>
          <w:b/>
          <w:bCs/>
          <w:sz w:val="26"/>
          <w:szCs w:val="26"/>
          <w:rtl/>
        </w:rPr>
        <w:t>)</w:t>
      </w:r>
    </w:p>
    <w:p w14:paraId="3709588D"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التحول الرقمي الناجح، في سياق الموازنة بين الأمن وتيسير التجارة، تطبيقاً نموذجياً لـ </w:t>
      </w:r>
      <w:r w:rsidRPr="00A92155">
        <w:rPr>
          <w:rFonts w:asciiTheme="majorBidi" w:hAnsiTheme="majorBidi" w:cstheme="majorBidi"/>
          <w:b/>
          <w:bCs/>
          <w:sz w:val="26"/>
          <w:szCs w:val="26"/>
          <w:rtl/>
        </w:rPr>
        <w:t>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r w:rsidRPr="00A92155">
        <w:rPr>
          <w:rFonts w:asciiTheme="majorBidi" w:hAnsiTheme="majorBidi" w:cstheme="majorBidi"/>
          <w:sz w:val="26"/>
          <w:szCs w:val="26"/>
          <w:rtl/>
        </w:rPr>
        <w:t>.</w:t>
      </w:r>
    </w:p>
    <w:p w14:paraId="7C96DF5A"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الأسس (</w:t>
      </w:r>
      <w:r w:rsidRPr="00A92155">
        <w:rPr>
          <w:rFonts w:asciiTheme="majorBidi" w:hAnsiTheme="majorBidi" w:cstheme="majorBidi"/>
          <w:b/>
          <w:bCs/>
          <w:sz w:val="26"/>
          <w:szCs w:val="26"/>
        </w:rPr>
        <w:t>Data, Infrastructure, Skills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توفر السرعة والقدرة على المعالجة.</w:t>
      </w:r>
    </w:p>
    <w:p w14:paraId="4303807F"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الابتكار (</w:t>
      </w:r>
      <w:r w:rsidRPr="00A92155">
        <w:rPr>
          <w:rFonts w:asciiTheme="majorBidi" w:hAnsiTheme="majorBidi" w:cstheme="majorBidi"/>
          <w:b/>
          <w:bCs/>
          <w:sz w:val="26"/>
          <w:szCs w:val="26"/>
        </w:rPr>
        <w:t>AI, IoT, Platforms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يستخدم هذه السرعة في بناء نماذج ذكية لـ إدارة المخاطر (</w:t>
      </w:r>
      <w:r w:rsidRPr="00A92155">
        <w:rPr>
          <w:rFonts w:asciiTheme="majorBidi" w:hAnsiTheme="majorBidi" w:cstheme="majorBidi"/>
          <w:sz w:val="26"/>
          <w:szCs w:val="26"/>
        </w:rPr>
        <w:t>Risk Management</w:t>
      </w:r>
      <w:r w:rsidRPr="00A92155">
        <w:rPr>
          <w:rFonts w:asciiTheme="majorBidi" w:hAnsiTheme="majorBidi" w:cstheme="majorBidi"/>
          <w:sz w:val="26"/>
          <w:szCs w:val="26"/>
          <w:rtl/>
        </w:rPr>
        <w:t>).</w:t>
      </w:r>
    </w:p>
    <w:p w14:paraId="78656B44"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الحوكمة (</w:t>
      </w:r>
      <w:r w:rsidRPr="00A92155">
        <w:rPr>
          <w:rFonts w:asciiTheme="majorBidi" w:hAnsiTheme="majorBidi" w:cstheme="majorBidi"/>
          <w:b/>
          <w:bCs/>
          <w:sz w:val="26"/>
          <w:szCs w:val="26"/>
        </w:rPr>
        <w:t>Legislation, Ethics,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تضع الضوابط التي تضمن أن السرعة لا تأتي على حساب الأمن، وأن القرارات الأمنية لا تعرقل التجارة بشكل غير عادل.</w:t>
      </w:r>
    </w:p>
    <w:p w14:paraId="65D0F574" w14:textId="77777777" w:rsidR="00202E2A" w:rsidRPr="00A92155" w:rsidRDefault="00202E2A">
      <w:pPr>
        <w:numPr>
          <w:ilvl w:val="0"/>
          <w:numId w:val="7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التأثير الكلي:</w:t>
      </w:r>
      <w:r w:rsidRPr="00A92155">
        <w:rPr>
          <w:rFonts w:asciiTheme="majorBidi" w:hAnsiTheme="majorBidi" w:cstheme="majorBidi"/>
          <w:sz w:val="26"/>
          <w:szCs w:val="26"/>
          <w:rtl/>
        </w:rPr>
        <w:t xml:space="preserve"> هذا التكامل يخلق الرشاقة المؤسسية (</w:t>
      </w:r>
      <w:r w:rsidRPr="00A92155">
        <w:rPr>
          <w:rFonts w:asciiTheme="majorBidi" w:hAnsiTheme="majorBidi" w:cstheme="majorBidi"/>
          <w:sz w:val="26"/>
          <w:szCs w:val="26"/>
        </w:rPr>
        <w:t>Organizational Agility</w:t>
      </w:r>
      <w:r w:rsidRPr="00A92155">
        <w:rPr>
          <w:rFonts w:asciiTheme="majorBidi" w:hAnsiTheme="majorBidi" w:cstheme="majorBidi"/>
          <w:sz w:val="26"/>
          <w:szCs w:val="26"/>
          <w:rtl/>
        </w:rPr>
        <w:t>)، حيث تتمكن المؤسسة من تيسير التجارة بالاعتماد على السرعة والكفاءة الآلية (مخرجات الابتكار)، وفي الوقت نفسه، تعزيز الأمن بالتركيز على المخاطر المحددة بدقة (مخرجات الذكاء الاصطناعي)، وكل ذلك يتم ضمن إطار شفاف ومسؤول (مخرجات الحوكمة).</w:t>
      </w:r>
    </w:p>
    <w:p w14:paraId="743A0755" w14:textId="129D29AD"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الثالث: تعزيز الأمن في بيئة التحول الرقمي</w:t>
      </w:r>
    </w:p>
    <w:p w14:paraId="71384A5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17885B80" w14:textId="327800CD"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نقطة الارتكاز المنهجية التي تنتقل بالدراسة من الإطار النظري للتحول الرقمي (المتغير المستقل) إلى تحديد وتفصيل المتغير التابع: تعزيز الأمن، وذلك في سياق المؤسسات الحكومية الحيوية، وتحديداً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المملكة العربية السعودية. يُنظر إلى الأمن هنا بصفته مخرَجاً متكاملاً </w:t>
      </w:r>
      <w:r w:rsidRPr="00A92155">
        <w:rPr>
          <w:rFonts w:asciiTheme="majorBidi" w:hAnsiTheme="majorBidi" w:cstheme="majorBidi"/>
          <w:sz w:val="26"/>
          <w:szCs w:val="26"/>
          <w:rtl/>
        </w:rPr>
        <w:lastRenderedPageBreak/>
        <w:t>(</w:t>
      </w:r>
      <w:r w:rsidRPr="00A92155">
        <w:rPr>
          <w:rFonts w:asciiTheme="majorBidi" w:hAnsiTheme="majorBidi" w:cstheme="majorBidi"/>
          <w:sz w:val="26"/>
          <w:szCs w:val="26"/>
        </w:rPr>
        <w:t>Integrated Outcome</w:t>
      </w:r>
      <w:r w:rsidRPr="00A92155">
        <w:rPr>
          <w:rFonts w:asciiTheme="majorBidi" w:hAnsiTheme="majorBidi" w:cstheme="majorBidi"/>
          <w:sz w:val="26"/>
          <w:szCs w:val="26"/>
          <w:rtl/>
        </w:rPr>
        <w:t>) للجهود الرقمية، لا مجرد إجراء تقني (</w:t>
      </w:r>
      <w:r w:rsidRPr="00A92155">
        <w:rPr>
          <w:rFonts w:asciiTheme="majorBidi" w:hAnsiTheme="majorBidi" w:cstheme="majorBidi"/>
          <w:sz w:val="26"/>
          <w:szCs w:val="26"/>
        </w:rPr>
        <w:t>Smith, 2020</w:t>
      </w:r>
      <w:r w:rsidRPr="00A92155">
        <w:rPr>
          <w:rFonts w:asciiTheme="majorBidi" w:hAnsiTheme="majorBidi" w:cstheme="majorBidi"/>
          <w:sz w:val="26"/>
          <w:szCs w:val="26"/>
          <w:rtl/>
        </w:rPr>
        <w:t>). يُعد الأمن، بشقيه (السيبراني والمعلوماتي)، المُمكِّن الأساسي لتيسير التجارة وضمان استدامة الإيرادات الحكومية.</w:t>
      </w:r>
    </w:p>
    <w:p w14:paraId="652AEF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تحديد "تعزيز الأمن" كمتغير تابع في بيئة التحول الرقمي تفكيكه إلى مجموعة من الأبعاد الفرعية المترابطة التي تشمل الجوانب التقنية، التشغيلية، القانونية، والاجتماعية. هذه الأبعاد هي التي يمكن قياسها وتحليلها لتحديد مدى نجاح التحول الرقمي في تحقيق هدفه الأمني المزدوج (حماية الحدود وحماية الإيرادات)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3B20BB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تعزيز الأمن</w:t>
      </w:r>
    </w:p>
    <w:p w14:paraId="71D39201"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وحماية البيانات (</w:t>
      </w:r>
      <w:r w:rsidRPr="00A92155">
        <w:rPr>
          <w:rFonts w:asciiTheme="majorBidi" w:hAnsiTheme="majorBidi" w:cstheme="majorBidi"/>
          <w:b/>
          <w:bCs/>
          <w:sz w:val="26"/>
          <w:szCs w:val="26"/>
        </w:rPr>
        <w:t>Cybersecurity and Data Protection</w:t>
      </w:r>
      <w:r w:rsidRPr="00A92155">
        <w:rPr>
          <w:rFonts w:asciiTheme="majorBidi" w:hAnsiTheme="majorBidi" w:cstheme="majorBidi"/>
          <w:b/>
          <w:bCs/>
          <w:sz w:val="26"/>
          <w:szCs w:val="26"/>
          <w:rtl/>
        </w:rPr>
        <w:t>).</w:t>
      </w:r>
    </w:p>
    <w:p w14:paraId="5C951B36"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كفاءة الرقابة الجمركية والحد من التهريب (</w:t>
      </w:r>
      <w:r w:rsidRPr="00A92155">
        <w:rPr>
          <w:rFonts w:asciiTheme="majorBidi" w:hAnsiTheme="majorBidi" w:cstheme="majorBidi"/>
          <w:b/>
          <w:bCs/>
          <w:sz w:val="26"/>
          <w:szCs w:val="26"/>
        </w:rPr>
        <w:t>Improving Customs Control Efficiency and Reducing Smuggling</w:t>
      </w:r>
      <w:r w:rsidRPr="00A92155">
        <w:rPr>
          <w:rFonts w:asciiTheme="majorBidi" w:hAnsiTheme="majorBidi" w:cstheme="majorBidi"/>
          <w:b/>
          <w:bCs/>
          <w:sz w:val="26"/>
          <w:szCs w:val="26"/>
          <w:rtl/>
        </w:rPr>
        <w:t>).</w:t>
      </w:r>
    </w:p>
    <w:p w14:paraId="5F41C15B"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تعزيز التكامل والشراكات الاستراتيجية (</w:t>
      </w:r>
      <w:r w:rsidRPr="00A92155">
        <w:rPr>
          <w:rFonts w:asciiTheme="majorBidi" w:hAnsiTheme="majorBidi" w:cstheme="majorBidi"/>
          <w:b/>
          <w:bCs/>
          <w:sz w:val="26"/>
          <w:szCs w:val="26"/>
        </w:rPr>
        <w:t>Enhancing Integration and Strategic Partnerships</w:t>
      </w:r>
      <w:r w:rsidRPr="00A92155">
        <w:rPr>
          <w:rFonts w:asciiTheme="majorBidi" w:hAnsiTheme="majorBidi" w:cstheme="majorBidi"/>
          <w:b/>
          <w:bCs/>
          <w:sz w:val="26"/>
          <w:szCs w:val="26"/>
          <w:rtl/>
        </w:rPr>
        <w:t>).</w:t>
      </w:r>
    </w:p>
    <w:p w14:paraId="78A3989F"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القانوني والسياسي (</w:t>
      </w:r>
      <w:r w:rsidRPr="00A92155">
        <w:rPr>
          <w:rFonts w:asciiTheme="majorBidi" w:hAnsiTheme="majorBidi" w:cstheme="majorBidi"/>
          <w:b/>
          <w:bCs/>
          <w:sz w:val="26"/>
          <w:szCs w:val="26"/>
        </w:rPr>
        <w:t>The Legal and Political Dimension</w:t>
      </w:r>
      <w:r w:rsidRPr="00A92155">
        <w:rPr>
          <w:rFonts w:asciiTheme="majorBidi" w:hAnsiTheme="majorBidi" w:cstheme="majorBidi"/>
          <w:b/>
          <w:bCs/>
          <w:sz w:val="26"/>
          <w:szCs w:val="26"/>
          <w:rtl/>
        </w:rPr>
        <w:t>).</w:t>
      </w:r>
    </w:p>
    <w:p w14:paraId="3723006D"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الاجتماعي والثقافي (</w:t>
      </w:r>
      <w:r w:rsidRPr="00A92155">
        <w:rPr>
          <w:rFonts w:asciiTheme="majorBidi" w:hAnsiTheme="majorBidi" w:cstheme="majorBidi"/>
          <w:b/>
          <w:bCs/>
          <w:sz w:val="26"/>
          <w:szCs w:val="26"/>
        </w:rPr>
        <w:t>The Social and Cultural Dimension</w:t>
      </w:r>
      <w:r w:rsidRPr="00A92155">
        <w:rPr>
          <w:rFonts w:asciiTheme="majorBidi" w:hAnsiTheme="majorBidi" w:cstheme="majorBidi"/>
          <w:b/>
          <w:bCs/>
          <w:sz w:val="26"/>
          <w:szCs w:val="26"/>
          <w:rtl/>
        </w:rPr>
        <w:t>).</w:t>
      </w:r>
    </w:p>
    <w:p w14:paraId="54D4286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2.3.1 البُعد الأول: الأمن السيبراني وحماية البيانات</w:t>
      </w:r>
    </w:p>
    <w:p w14:paraId="6A1E79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البُعد هو الترجمة التقنية والفنية المباشرة لـ "تعزيز الأمن"، وهو يرتكز على حماية الأصول الرقمية للمؤسسة في مواجهة التهديدات المتزايدة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E289A1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2.3.1.1 الإطار النظري للأمن السيبراني في المؤسسات العامة</w:t>
      </w:r>
    </w:p>
    <w:p w14:paraId="66AC35BA"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كدفاع عميق (</w:t>
      </w:r>
      <w:r w:rsidRPr="00A92155">
        <w:rPr>
          <w:rFonts w:asciiTheme="majorBidi" w:hAnsiTheme="majorBidi" w:cstheme="majorBidi"/>
          <w:b/>
          <w:bCs/>
          <w:sz w:val="26"/>
          <w:szCs w:val="26"/>
        </w:rPr>
        <w:t>Defense-in-Depth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نظرياً، لم يعد الدفاع السيبراني يعتمد على نقطة واحدة، بل على بنية دفاعية متعددة الطبقات (</w:t>
      </w:r>
      <w:r w:rsidRPr="00A92155">
        <w:rPr>
          <w:rFonts w:asciiTheme="majorBidi" w:hAnsiTheme="majorBidi" w:cstheme="majorBidi"/>
          <w:sz w:val="26"/>
          <w:szCs w:val="26"/>
        </w:rPr>
        <w:t>Multi-Layered Defense Architecture</w:t>
      </w:r>
      <w:r w:rsidRPr="00A92155">
        <w:rPr>
          <w:rFonts w:asciiTheme="majorBidi" w:hAnsiTheme="majorBidi" w:cstheme="majorBidi"/>
          <w:sz w:val="26"/>
          <w:szCs w:val="26"/>
          <w:rtl/>
        </w:rPr>
        <w:t>) تبدأ من الوعي البشري وتصل إلى التشفير المتقدم وأنظمة الذكاء الاصطناعي للكشف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77960472"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المعدومة (</w:t>
      </w:r>
      <w:r w:rsidRPr="00A92155">
        <w:rPr>
          <w:rFonts w:asciiTheme="majorBidi" w:hAnsiTheme="majorBidi" w:cstheme="majorBidi"/>
          <w:b/>
          <w:bCs/>
          <w:sz w:val="26"/>
          <w:szCs w:val="26"/>
        </w:rPr>
        <w:t>Zero Trust Architecture - ZTA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تبنت الأطر الحديثة للأمن السيبراني،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مما يتطلب التحقق المستمر من هوية وسلامة كل مستخدم وجهاز يحاول الوصول إلى شبكات الهيئة، حتى لو كان داخلياً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51358E7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2.3.1.2 حماية البيانات الضخمة والخصوصية</w:t>
      </w:r>
    </w:p>
    <w:p w14:paraId="0EA81BAB"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المعلوماتي والسيادة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الأمن المعلوماتي هو المسؤول عن ضمان سرية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وسلامة (</w:t>
      </w:r>
      <w:r w:rsidRPr="00A92155">
        <w:rPr>
          <w:rFonts w:asciiTheme="majorBidi" w:hAnsiTheme="majorBidi" w:cstheme="majorBidi"/>
          <w:sz w:val="26"/>
          <w:szCs w:val="26"/>
        </w:rPr>
        <w:t>Integrity</w:t>
      </w:r>
      <w:r w:rsidRPr="00A92155">
        <w:rPr>
          <w:rFonts w:asciiTheme="majorBidi" w:hAnsiTheme="majorBidi" w:cstheme="majorBidi"/>
          <w:sz w:val="26"/>
          <w:szCs w:val="26"/>
          <w:rtl/>
        </w:rPr>
        <w:t>)، وتوافر (</w:t>
      </w:r>
      <w:r w:rsidRPr="00A92155">
        <w:rPr>
          <w:rFonts w:asciiTheme="majorBidi" w:hAnsiTheme="majorBidi" w:cstheme="majorBidi"/>
          <w:sz w:val="26"/>
          <w:szCs w:val="26"/>
        </w:rPr>
        <w:t>Availability</w:t>
      </w:r>
      <w:r w:rsidRPr="00A92155">
        <w:rPr>
          <w:rFonts w:asciiTheme="majorBidi" w:hAnsiTheme="majorBidi" w:cstheme="majorBidi"/>
          <w:sz w:val="26"/>
          <w:szCs w:val="26"/>
          <w:rtl/>
        </w:rPr>
        <w:t xml:space="preserve">) البيانات الضخمة التي تتعامل معها </w:t>
      </w:r>
      <w:r w:rsidRPr="00A92155">
        <w:rPr>
          <w:rFonts w:asciiTheme="majorBidi" w:hAnsiTheme="majorBidi" w:cstheme="majorBidi"/>
          <w:sz w:val="26"/>
          <w:szCs w:val="26"/>
        </w:rPr>
        <w:t>ZATCA (Almarzooqi et al., 2021)</w:t>
      </w:r>
      <w:r w:rsidRPr="00A92155">
        <w:rPr>
          <w:rFonts w:asciiTheme="majorBidi" w:hAnsiTheme="majorBidi" w:cstheme="majorBidi"/>
          <w:sz w:val="26"/>
          <w:szCs w:val="26"/>
          <w:rtl/>
        </w:rPr>
        <w:t>.</w:t>
      </w:r>
    </w:p>
    <w:p w14:paraId="623A22D2"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تشريعات الخصوصية:</w:t>
      </w:r>
      <w:r w:rsidRPr="00A92155">
        <w:rPr>
          <w:rFonts w:asciiTheme="majorBidi" w:hAnsiTheme="majorBidi" w:cstheme="majorBidi"/>
          <w:sz w:val="26"/>
          <w:szCs w:val="26"/>
          <w:rtl/>
        </w:rPr>
        <w:t xml:space="preserve"> في المملكة، يُعد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هو الإطار القانوني النافذ الذي يُلزم الهيئة بتبني ضوابط مشددة لحماية البيانات، ويُعزز هذا من الثقة في المنصات الضريبية والجمركية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6B56B8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 البُعد الثاني: تحسين كفاءة الرقابة الجمركية والحد من التهريب</w:t>
      </w:r>
    </w:p>
    <w:p w14:paraId="78FEE9A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يركز هذا البُعد على الكفاءة التشغيلية والعملياتية للأمن، حيث يُترجم التحول الرقمي إلى قدرة فعلية على تخفيف المخاطر (</w:t>
      </w:r>
      <w:r w:rsidRPr="00A92155">
        <w:rPr>
          <w:rFonts w:asciiTheme="majorBidi" w:hAnsiTheme="majorBidi" w:cstheme="majorBidi"/>
          <w:sz w:val="26"/>
          <w:szCs w:val="26"/>
        </w:rPr>
        <w:t>Risk Mitigation</w:t>
      </w:r>
      <w:r w:rsidRPr="00A92155">
        <w:rPr>
          <w:rFonts w:asciiTheme="majorBidi" w:hAnsiTheme="majorBidi" w:cstheme="majorBidi"/>
          <w:sz w:val="26"/>
          <w:szCs w:val="26"/>
          <w:rtl/>
        </w:rPr>
        <w:t>) وتحقيق التوازن بين الأمن وتيسير التجارة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5761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2.3.2.1 الأمن الرقمي كأداة لتقييم وإدارة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p>
    <w:p w14:paraId="4138A2CA"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الانتقال إلى الانتقائية الذكية:</w:t>
      </w:r>
      <w:r w:rsidRPr="00A92155">
        <w:rPr>
          <w:rFonts w:asciiTheme="majorBidi" w:hAnsiTheme="majorBidi" w:cstheme="majorBidi"/>
          <w:sz w:val="26"/>
          <w:szCs w:val="26"/>
          <w:rtl/>
        </w:rPr>
        <w:t xml:space="preserve"> التحول الرقمي يُمكّن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من الانتقال من التفتيش الشامل إلى نموذج إدارة المخاطر الذكية (</w:t>
      </w:r>
      <w:r w:rsidRPr="00A92155">
        <w:rPr>
          <w:rFonts w:asciiTheme="majorBidi" w:hAnsiTheme="majorBidi" w:cstheme="majorBidi"/>
          <w:sz w:val="26"/>
          <w:szCs w:val="26"/>
        </w:rPr>
        <w:t>Smart Risk Management</w:t>
      </w:r>
      <w:r w:rsidRPr="00A92155">
        <w:rPr>
          <w:rFonts w:asciiTheme="majorBidi" w:hAnsiTheme="majorBidi" w:cstheme="majorBidi"/>
          <w:sz w:val="26"/>
          <w:szCs w:val="26"/>
          <w:rtl/>
        </w:rPr>
        <w:t>)، وهو أساس تعزيز الأمن الرقمي والتشغيلي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34CA013D"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في الكشف التنبؤي:</w:t>
      </w:r>
      <w:r w:rsidRPr="00A92155">
        <w:rPr>
          <w:rFonts w:asciiTheme="majorBidi" w:hAnsiTheme="majorBidi" w:cstheme="majorBidi"/>
          <w:sz w:val="26"/>
          <w:szCs w:val="26"/>
          <w:rtl/>
        </w:rPr>
        <w:t xml:space="preserve"> تُستخدم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في تحليل بيانات الشحن والسلوكيات التجارية للتنبؤ (</w:t>
      </w:r>
      <w:r w:rsidRPr="00A92155">
        <w:rPr>
          <w:rFonts w:asciiTheme="majorBidi" w:hAnsiTheme="majorBidi" w:cstheme="majorBidi"/>
          <w:sz w:val="26"/>
          <w:szCs w:val="26"/>
        </w:rPr>
        <w:t>Prediction</w:t>
      </w:r>
      <w:r w:rsidRPr="00A92155">
        <w:rPr>
          <w:rFonts w:asciiTheme="majorBidi" w:hAnsiTheme="majorBidi" w:cstheme="majorBidi"/>
          <w:sz w:val="26"/>
          <w:szCs w:val="26"/>
          <w:rtl/>
        </w:rPr>
        <w:t>) باحتمالية التهريب أو المخالفة، وتصنيف الشحنات بشكل فوري. هذا يضمن تركيز الموارد الأمنية على الشحنات عالية المخاطر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49E638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2.3.2.2 دور إنترنت الأشياء (</w:t>
      </w:r>
      <w:r w:rsidRPr="00A92155">
        <w:rPr>
          <w:rFonts w:asciiTheme="majorBidi" w:hAnsiTheme="majorBidi" w:cstheme="majorBidi"/>
          <w:b/>
          <w:bCs/>
          <w:sz w:val="26"/>
          <w:szCs w:val="26"/>
        </w:rPr>
        <w:t>IoT</w:t>
      </w:r>
      <w:r w:rsidRPr="00A92155">
        <w:rPr>
          <w:rFonts w:asciiTheme="majorBidi" w:hAnsiTheme="majorBidi" w:cstheme="majorBidi"/>
          <w:b/>
          <w:bCs/>
          <w:sz w:val="26"/>
          <w:szCs w:val="26"/>
          <w:rtl/>
        </w:rPr>
        <w:t>) في الرقابة الحدودية</w:t>
      </w:r>
    </w:p>
    <w:p w14:paraId="0B5D91EF" w14:textId="77777777" w:rsidR="00202E2A" w:rsidRPr="00A92155" w:rsidRDefault="00202E2A">
      <w:pPr>
        <w:numPr>
          <w:ilvl w:val="0"/>
          <w:numId w:val="8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والأمان في سلاسل الإمداد:</w:t>
      </w:r>
      <w:r w:rsidRPr="00A92155">
        <w:rPr>
          <w:rFonts w:asciiTheme="majorBidi" w:hAnsiTheme="majorBidi" w:cstheme="majorBidi"/>
          <w:sz w:val="26"/>
          <w:szCs w:val="26"/>
          <w:rtl/>
        </w:rPr>
        <w:t xml:space="preserve"> تُستخدم تقنية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لتعزيز الأمن عبر التتبع والتحقق (</w:t>
      </w:r>
      <w:r w:rsidRPr="00A92155">
        <w:rPr>
          <w:rFonts w:asciiTheme="majorBidi" w:hAnsiTheme="majorBidi" w:cstheme="majorBidi"/>
          <w:sz w:val="26"/>
          <w:szCs w:val="26"/>
        </w:rPr>
        <w:t>Tracking and Verification</w:t>
      </w:r>
      <w:r w:rsidRPr="00A92155">
        <w:rPr>
          <w:rFonts w:asciiTheme="majorBidi" w:hAnsiTheme="majorBidi" w:cstheme="majorBidi"/>
          <w:sz w:val="26"/>
          <w:szCs w:val="26"/>
          <w:rtl/>
        </w:rPr>
        <w:t xml:space="preserve">) باستخدام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والأختام الإلكترونية (</w:t>
      </w:r>
      <w:r w:rsidRPr="00A92155">
        <w:rPr>
          <w:rFonts w:asciiTheme="majorBidi" w:hAnsiTheme="majorBidi" w:cstheme="majorBidi"/>
          <w:sz w:val="26"/>
          <w:szCs w:val="26"/>
        </w:rPr>
        <w:t>E-Seals</w:t>
      </w:r>
      <w:r w:rsidRPr="00A92155">
        <w:rPr>
          <w:rFonts w:asciiTheme="majorBidi" w:hAnsiTheme="majorBidi" w:cstheme="majorBidi"/>
          <w:sz w:val="26"/>
          <w:szCs w:val="26"/>
          <w:rtl/>
        </w:rPr>
        <w:t>) لمراقبة مسار الشحنات في الوقت الفعلي وضمان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1FB4276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2.3.2.3 دراسات سابقة حول كفاءة الرقابة الرقمية</w:t>
      </w:r>
    </w:p>
    <w:p w14:paraId="5D58B9B7" w14:textId="77777777" w:rsidR="00202E2A" w:rsidRPr="00A92155" w:rsidRDefault="00202E2A">
      <w:pPr>
        <w:numPr>
          <w:ilvl w:val="0"/>
          <w:numId w:val="8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WCO</w:t>
      </w:r>
      <w:r w:rsidRPr="00A92155">
        <w:rPr>
          <w:rFonts w:asciiTheme="majorBidi" w:hAnsiTheme="majorBidi" w:cstheme="majorBidi"/>
          <w:b/>
          <w:bCs/>
          <w:sz w:val="26"/>
          <w:szCs w:val="26"/>
          <w:rtl/>
        </w:rPr>
        <w:t xml:space="preserve"> (2023):</w:t>
      </w:r>
      <w:r w:rsidRPr="00A92155">
        <w:rPr>
          <w:rFonts w:asciiTheme="majorBidi" w:hAnsiTheme="majorBidi" w:cstheme="majorBidi"/>
          <w:sz w:val="26"/>
          <w:szCs w:val="26"/>
          <w:rtl/>
        </w:rPr>
        <w:t xml:space="preserve"> أكدت أن تبني نماذج "الجمارك 4.0" (</w:t>
      </w:r>
      <w:r w:rsidRPr="00A92155">
        <w:rPr>
          <w:rFonts w:asciiTheme="majorBidi" w:hAnsiTheme="majorBidi" w:cstheme="majorBidi"/>
          <w:sz w:val="26"/>
          <w:szCs w:val="26"/>
        </w:rPr>
        <w:t>Customs 4.0</w:t>
      </w:r>
      <w:r w:rsidRPr="00A92155">
        <w:rPr>
          <w:rFonts w:asciiTheme="majorBidi" w:hAnsiTheme="majorBidi" w:cstheme="majorBidi"/>
          <w:sz w:val="26"/>
          <w:szCs w:val="26"/>
          <w:rtl/>
        </w:rPr>
        <w:t>)، القائمة على الذكاء الاصطناعي، أدى إلى زيادة كفاءة الكشف عن البضائع الممنوعة بنسبة تصل إلى 30% وتقليل متوسط زمن التخليص الجمركي بنسبة 40%، مما يثبت أن الأمن والكفاءة ليسا متناقضين.</w:t>
      </w:r>
    </w:p>
    <w:p w14:paraId="2FD981C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2.3.3 البُعد الثالث: تعزيز التكامل والشراكات الاستراتيجية</w:t>
      </w:r>
    </w:p>
    <w:p w14:paraId="4653FF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تعزيز الأمن تجاوز الحدود المؤسسية والعمل ضمن منظومة تكاملية (</w:t>
      </w:r>
      <w:r w:rsidRPr="00A92155">
        <w:rPr>
          <w:rFonts w:asciiTheme="majorBidi" w:hAnsiTheme="majorBidi" w:cstheme="majorBidi"/>
          <w:sz w:val="26"/>
          <w:szCs w:val="26"/>
        </w:rPr>
        <w:t>Ecosystem</w:t>
      </w:r>
      <w:r w:rsidRPr="00A92155">
        <w:rPr>
          <w:rFonts w:asciiTheme="majorBidi" w:hAnsiTheme="majorBidi" w:cstheme="majorBidi"/>
          <w:sz w:val="26"/>
          <w:szCs w:val="26"/>
          <w:rtl/>
        </w:rPr>
        <w:t>) تشمل الشركاء المحليين والدوليين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1F777CD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2.3.3.1 التكامل الداخلي (</w:t>
      </w:r>
      <w:r w:rsidRPr="00A92155">
        <w:rPr>
          <w:rFonts w:asciiTheme="majorBidi" w:hAnsiTheme="majorBidi" w:cs="PT Bold Heading"/>
          <w:b/>
          <w:bCs/>
          <w:color w:val="000000" w:themeColor="text1"/>
          <w:sz w:val="26"/>
          <w:szCs w:val="26"/>
        </w:rPr>
        <w:t>Whole-of-Government Approach</w:t>
      </w:r>
      <w:r w:rsidRPr="00A92155">
        <w:rPr>
          <w:rFonts w:asciiTheme="majorBidi" w:hAnsiTheme="majorBidi" w:cs="PT Bold Heading"/>
          <w:b/>
          <w:bCs/>
          <w:color w:val="000000" w:themeColor="text1"/>
          <w:sz w:val="26"/>
          <w:szCs w:val="26"/>
          <w:rtl/>
        </w:rPr>
        <w:t>)</w:t>
      </w:r>
    </w:p>
    <w:p w14:paraId="45FDA5A4"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المشترك:</w:t>
      </w:r>
      <w:r w:rsidRPr="00A92155">
        <w:rPr>
          <w:rFonts w:asciiTheme="majorBidi" w:hAnsiTheme="majorBidi" w:cstheme="majorBidi"/>
          <w:sz w:val="26"/>
          <w:szCs w:val="26"/>
          <w:rtl/>
        </w:rPr>
        <w:t xml:space="preserve"> يتطلب التحول الرقمي التكامل التام في تبادل المعلومات الأمنية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مع جهات حيوية مثل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ووزارة الداخلية، وفقاً لمتطلبات ضوابط الأمن السيبراني الوطنية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EC85461"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النافذة الواحدة كنموذج تكامل:</w:t>
      </w:r>
      <w:r w:rsidRPr="00A92155">
        <w:rPr>
          <w:rFonts w:asciiTheme="majorBidi" w:hAnsiTheme="majorBidi" w:cstheme="majorBidi"/>
          <w:sz w:val="26"/>
          <w:szCs w:val="26"/>
          <w:rtl/>
        </w:rPr>
        <w:t xml:space="preserve"> تُعد منصات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نموذجاً عملياً للتكامل بين الجمارك وهيئات الأغذية والتجارة، مما يعزز الأمن من خلال توحيد مصدر المعلومة والتحقق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5659D1D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2.3.3.2 الشراكات الاستراتيجية والتعاون الدولي</w:t>
      </w:r>
    </w:p>
    <w:p w14:paraId="4ED54089"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الأمني الدولي:</w:t>
      </w:r>
      <w:r w:rsidRPr="00A92155">
        <w:rPr>
          <w:rFonts w:asciiTheme="majorBidi" w:hAnsiTheme="majorBidi" w:cstheme="majorBidi"/>
          <w:sz w:val="26"/>
          <w:szCs w:val="26"/>
          <w:rtl/>
        </w:rPr>
        <w:t xml:space="preserve"> يتطلب الأمن السيبراني التعاون مع المنظمات الدولية (مثل </w:t>
      </w:r>
      <w:r w:rsidRPr="00A92155">
        <w:rPr>
          <w:rFonts w:asciiTheme="majorBidi" w:hAnsiTheme="majorBidi" w:cstheme="majorBidi"/>
          <w:sz w:val="26"/>
          <w:szCs w:val="26"/>
        </w:rPr>
        <w:t>WCO</w:t>
      </w:r>
      <w:r w:rsidRPr="00A92155">
        <w:rPr>
          <w:rFonts w:asciiTheme="majorBidi" w:hAnsiTheme="majorBidi" w:cstheme="majorBidi"/>
          <w:sz w:val="26"/>
          <w:szCs w:val="26"/>
          <w:rtl/>
        </w:rPr>
        <w:t>) لتبني معايير أمنية موحدة، وتبادل الخبرات حول التهديدات العابرة للحدود.</w:t>
      </w:r>
    </w:p>
    <w:p w14:paraId="6619B084"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الشراكة مع القطاع الخاص:</w:t>
      </w:r>
      <w:r w:rsidRPr="00A92155">
        <w:rPr>
          <w:rFonts w:asciiTheme="majorBidi" w:hAnsiTheme="majorBidi" w:cstheme="majorBidi"/>
          <w:sz w:val="26"/>
          <w:szCs w:val="26"/>
          <w:rtl/>
        </w:rPr>
        <w:t xml:space="preserve"> يتطلب تعزيز الأمن الشراكة مع شركات التقنية والأمن السيبراني المتخصصة لتوفير حلول متقدمة في مجالات مثل الذكاء الاصطناعي الوقائي (</w:t>
      </w:r>
      <w:r w:rsidRPr="00A92155">
        <w:rPr>
          <w:rFonts w:asciiTheme="majorBidi" w:hAnsiTheme="majorBidi" w:cstheme="majorBidi"/>
          <w:sz w:val="26"/>
          <w:szCs w:val="26"/>
        </w:rPr>
        <w:t>Preventive AI</w:t>
      </w:r>
      <w:r w:rsidRPr="00A92155">
        <w:rPr>
          <w:rFonts w:asciiTheme="majorBidi" w:hAnsiTheme="majorBidi" w:cstheme="majorBidi"/>
          <w:sz w:val="26"/>
          <w:szCs w:val="26"/>
          <w:rtl/>
        </w:rPr>
        <w:t>) وخدمات الأمن السحابي المُدارة، مما يسرّع عملية الابتكار الأمني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0295B59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2.3.3.3 دراسات سابقة حول التكامل الأمني</w:t>
      </w:r>
    </w:p>
    <w:p w14:paraId="4464EC9A" w14:textId="77777777" w:rsidR="00202E2A" w:rsidRPr="00A92155" w:rsidRDefault="00202E2A">
      <w:pPr>
        <w:numPr>
          <w:ilvl w:val="0"/>
          <w:numId w:val="8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 xml:space="preserve"> (2018):</w:t>
      </w:r>
      <w:r w:rsidRPr="00A92155">
        <w:rPr>
          <w:rFonts w:asciiTheme="majorBidi" w:hAnsiTheme="majorBidi" w:cstheme="majorBidi"/>
          <w:sz w:val="26"/>
          <w:szCs w:val="26"/>
          <w:rtl/>
        </w:rPr>
        <w:t xml:space="preserve"> أكدت أن تحقيق "التجارة الرقمية الآمنة" (</w:t>
      </w:r>
      <w:r w:rsidRPr="00A92155">
        <w:rPr>
          <w:rFonts w:asciiTheme="majorBidi" w:hAnsiTheme="majorBidi" w:cstheme="majorBidi"/>
          <w:sz w:val="26"/>
          <w:szCs w:val="26"/>
        </w:rPr>
        <w:t>Secure Digital Trade</w:t>
      </w:r>
      <w:r w:rsidRPr="00A92155">
        <w:rPr>
          <w:rFonts w:asciiTheme="majorBidi" w:hAnsiTheme="majorBidi" w:cstheme="majorBidi"/>
          <w:sz w:val="26"/>
          <w:szCs w:val="26"/>
          <w:rtl/>
        </w:rPr>
        <w:t>) يتطلب تعاوناً وثيقاً بين الجمارك، والبنوك، وشركات التأمين، لتطبيق تقنيات مثل البلوكتشين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توثيق ملكية الشحنات، مما يزيد من الأمان ويقلل من الاحتيال الجمركي.</w:t>
      </w:r>
    </w:p>
    <w:p w14:paraId="6ED59BF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 البُعد الرابع: البُعد القانوني والسياسي</w:t>
      </w:r>
    </w:p>
    <w:p w14:paraId="13CE84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البُعد الإطار الحاكم الذي يضمن أن يكون "تعزيز الأمن" مشروعاً شرعياً، ومسؤولاً، ومُتفقاً مع السيادة الوطنية، وهو مرتبط ارتباطاً وثيقاً بـ </w:t>
      </w:r>
      <w:r w:rsidRPr="00A92155">
        <w:rPr>
          <w:rFonts w:asciiTheme="majorBidi" w:hAnsiTheme="majorBidi" w:cstheme="majorBidi"/>
          <w:b/>
          <w:bCs/>
          <w:sz w:val="26"/>
          <w:szCs w:val="26"/>
          <w:rtl/>
        </w:rPr>
        <w:t>الحوكمة الرقمية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74BD9D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2.3.4.1 السياسات الوطنية والتنظيم الأمني (</w:t>
      </w:r>
      <w:r w:rsidRPr="00A92155">
        <w:rPr>
          <w:rFonts w:asciiTheme="majorBidi" w:hAnsiTheme="majorBidi" w:cs="PT Bold Heading"/>
          <w:b/>
          <w:bCs/>
          <w:color w:val="000000" w:themeColor="text1"/>
          <w:sz w:val="26"/>
          <w:szCs w:val="26"/>
        </w:rPr>
        <w:t>National Security Policy</w:t>
      </w:r>
      <w:r w:rsidRPr="00A92155">
        <w:rPr>
          <w:rFonts w:asciiTheme="majorBidi" w:hAnsiTheme="majorBidi" w:cs="PT Bold Heading"/>
          <w:b/>
          <w:bCs/>
          <w:color w:val="000000" w:themeColor="text1"/>
          <w:sz w:val="26"/>
          <w:szCs w:val="26"/>
          <w:rtl/>
        </w:rPr>
        <w:t>)</w:t>
      </w:r>
    </w:p>
    <w:p w14:paraId="2943CB86"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w:t>
      </w:r>
      <w:r w:rsidRPr="00A92155">
        <w:rPr>
          <w:rFonts w:asciiTheme="majorBidi" w:hAnsiTheme="majorBidi" w:cstheme="majorBidi"/>
          <w:sz w:val="26"/>
          <w:szCs w:val="26"/>
          <w:rtl/>
        </w:rPr>
        <w:t xml:space="preserve"> ينبع الأمن السيبراني في المملكة من الاستراتيجية الوطنية للأمن السيبراني التي تشرف عليها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وتوفر الغطاء السياسي والقانوني لجهود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البنية التحتية الحيوية (</w:t>
      </w:r>
      <w:r w:rsidRPr="00A92155">
        <w:rPr>
          <w:rFonts w:asciiTheme="majorBidi" w:hAnsiTheme="majorBidi" w:cstheme="majorBidi"/>
          <w:sz w:val="26"/>
          <w:szCs w:val="26"/>
        </w:rPr>
        <w:t>Critical Infrastructure Protection</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8E3970B"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القانوني (</w:t>
      </w:r>
      <w:r w:rsidRPr="00A92155">
        <w:rPr>
          <w:rFonts w:asciiTheme="majorBidi" w:hAnsiTheme="majorBidi" w:cstheme="majorBidi"/>
          <w:b/>
          <w:bCs/>
          <w:sz w:val="26"/>
          <w:szCs w:val="26"/>
        </w:rPr>
        <w:t>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الالتزام بجميع الضوابط الصادرة عن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وبمعايير دولية مختارة (كـ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NIST</w:t>
      </w:r>
      <w:r w:rsidRPr="00A92155">
        <w:rPr>
          <w:rFonts w:asciiTheme="majorBidi" w:hAnsiTheme="majorBidi" w:cstheme="majorBidi"/>
          <w:sz w:val="26"/>
          <w:szCs w:val="26"/>
          <w:rtl/>
        </w:rPr>
        <w:t>) لتقييم النضج الأمني، مما يُعد بُعداً سياسياً يعزز مكانة المملكة في المؤشرات الدولية للأمن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3E263FC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2.3.4.2 التشريعات الرقمية والمساءلة (</w:t>
      </w:r>
      <w:r w:rsidRPr="00A92155">
        <w:rPr>
          <w:rFonts w:asciiTheme="majorBidi" w:hAnsiTheme="majorBidi" w:cs="PT Bold Heading"/>
          <w:b/>
          <w:bCs/>
          <w:color w:val="000000" w:themeColor="text1"/>
          <w:sz w:val="26"/>
          <w:szCs w:val="26"/>
        </w:rPr>
        <w:t>Legislation and Accountability</w:t>
      </w:r>
      <w:r w:rsidRPr="00A92155">
        <w:rPr>
          <w:rFonts w:asciiTheme="majorBidi" w:hAnsiTheme="majorBidi" w:cs="PT Bold Heading"/>
          <w:b/>
          <w:bCs/>
          <w:color w:val="000000" w:themeColor="text1"/>
          <w:sz w:val="26"/>
          <w:szCs w:val="26"/>
          <w:rtl/>
        </w:rPr>
        <w:t>)</w:t>
      </w:r>
    </w:p>
    <w:p w14:paraId="5C69E419" w14:textId="77777777" w:rsidR="00202E2A" w:rsidRPr="00A92155" w:rsidRDefault="00202E2A">
      <w:pPr>
        <w:numPr>
          <w:ilvl w:val="0"/>
          <w:numId w:val="8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مساءلة الذكاء الاصطناعي (</w:t>
      </w:r>
      <w:r w:rsidRPr="00A92155">
        <w:rPr>
          <w:rFonts w:asciiTheme="majorBidi" w:hAnsiTheme="majorBidi" w:cstheme="majorBidi"/>
          <w:b/>
          <w:bCs/>
          <w:sz w:val="26"/>
          <w:szCs w:val="26"/>
        </w:rPr>
        <w:t>AI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ظل استخدام الذكاء الاصطناعي في اتخاذ قرارات مصيرية (مثل تصنيف الشحنات)، يجب أن يُلزم البُعد القانوني الهيئة بضمان قابلية تفسير قرارات الذكاء الاصطناعي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لتوفير العدالة والشفافية للمكلفين والشركات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65608A5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2.3.4.3 دراسات سابقة حول البُعد القانوني والأمني</w:t>
      </w:r>
    </w:p>
    <w:p w14:paraId="43A91895"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سميث (</w:t>
      </w:r>
      <w:r w:rsidRPr="00A92155">
        <w:rPr>
          <w:rFonts w:asciiTheme="majorBidi" w:hAnsiTheme="majorBidi" w:cstheme="majorBidi"/>
          <w:b/>
          <w:bCs/>
          <w:sz w:val="26"/>
          <w:szCs w:val="26"/>
        </w:rPr>
        <w:t>Smith,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شددت على أن نجاح التحول الرقمي الحكومي يعتمد بشكل أساسي على وجود إطار قانوني وسياسي واضح يحدد مسؤوليات الأمن السيبراني، وأكدت أن ضعف الإطار القانوني يُعد أكبر تحدي لـ "تعزيز الأمن".</w:t>
      </w:r>
    </w:p>
    <w:p w14:paraId="4920DD33"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منظمة التعاون الاقتصادي والتنمية (</w:t>
      </w:r>
      <w:r w:rsidRPr="00A92155">
        <w:rPr>
          <w:rFonts w:asciiTheme="majorBidi" w:hAnsiTheme="majorBidi" w:cstheme="majorBidi"/>
          <w:b/>
          <w:bCs/>
          <w:sz w:val="26"/>
          <w:szCs w:val="26"/>
        </w:rPr>
        <w:t>OECD,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أشارت إلى أن الدول التي لديها قوانين متطورة لحماية البيانات، والتي تضمن السيادة عليها، هي الأكثر نجاحاً في بناء بيئة تجارة رقمية آمنة وموثوقة.</w:t>
      </w:r>
    </w:p>
    <w:p w14:paraId="0CD2DBE6"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 البُعد الخامس: البُعد الاجتماعي والثقافي</w:t>
      </w:r>
    </w:p>
    <w:p w14:paraId="104ACF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هذا البُعد إلى أهمية العوامل البشرية والثقافية في تحقيق "تعزيز الأمن"، حيث أن الجانب التقني وحده لا يكفي، بل يجب بناء ثقافة أمنية (</w:t>
      </w:r>
      <w:r w:rsidRPr="00A92155">
        <w:rPr>
          <w:rFonts w:asciiTheme="majorBidi" w:hAnsiTheme="majorBidi" w:cstheme="majorBidi"/>
          <w:sz w:val="26"/>
          <w:szCs w:val="26"/>
        </w:rPr>
        <w:t>Security Culture</w:t>
      </w:r>
      <w:r w:rsidRPr="00A92155">
        <w:rPr>
          <w:rFonts w:asciiTheme="majorBidi" w:hAnsiTheme="majorBidi" w:cstheme="majorBidi"/>
          <w:sz w:val="26"/>
          <w:szCs w:val="26"/>
          <w:rtl/>
        </w:rPr>
        <w:t>) قوية (</w:t>
      </w:r>
      <w:r w:rsidRPr="00A92155">
        <w:rPr>
          <w:rFonts w:asciiTheme="majorBidi" w:hAnsiTheme="majorBidi" w:cstheme="majorBidi"/>
          <w:sz w:val="26"/>
          <w:szCs w:val="26"/>
        </w:rPr>
        <w:t>Rogers, 2003</w:t>
      </w:r>
      <w:r w:rsidRPr="00A92155">
        <w:rPr>
          <w:rFonts w:asciiTheme="majorBidi" w:hAnsiTheme="majorBidi" w:cstheme="majorBidi"/>
          <w:sz w:val="26"/>
          <w:szCs w:val="26"/>
          <w:rtl/>
        </w:rPr>
        <w:t>).</w:t>
      </w:r>
    </w:p>
    <w:p w14:paraId="2102D1B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2.3.5.1 بناء ثقافة الوعي الأمني للموظفين (</w:t>
      </w:r>
      <w:r w:rsidRPr="00A92155">
        <w:rPr>
          <w:rFonts w:asciiTheme="majorBidi" w:hAnsiTheme="majorBidi" w:cs="PT Bold Heading"/>
          <w:b/>
          <w:bCs/>
          <w:color w:val="000000" w:themeColor="text1"/>
          <w:sz w:val="26"/>
          <w:szCs w:val="26"/>
        </w:rPr>
        <w:t>Employee Security Awareness</w:t>
      </w:r>
      <w:r w:rsidRPr="00A92155">
        <w:rPr>
          <w:rFonts w:asciiTheme="majorBidi" w:hAnsiTheme="majorBidi" w:cs="PT Bold Heading"/>
          <w:b/>
          <w:bCs/>
          <w:color w:val="000000" w:themeColor="text1"/>
          <w:sz w:val="26"/>
          <w:szCs w:val="26"/>
          <w:rtl/>
        </w:rPr>
        <w:t>)</w:t>
      </w:r>
    </w:p>
    <w:p w14:paraId="04346800" w14:textId="77777777" w:rsidR="00202E2A" w:rsidRPr="00A92155" w:rsidRDefault="00202E2A">
      <w:pPr>
        <w:numPr>
          <w:ilvl w:val="0"/>
          <w:numId w:val="9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العنصر البشري كأضعف نقطة:</w:t>
      </w:r>
      <w:r w:rsidRPr="00A92155">
        <w:rPr>
          <w:rFonts w:asciiTheme="majorBidi" w:hAnsiTheme="majorBidi" w:cstheme="majorBidi"/>
          <w:sz w:val="26"/>
          <w:szCs w:val="26"/>
          <w:rtl/>
        </w:rPr>
        <w:t xml:space="preserve"> يظل العنصر البشري هو المدخل الأكثر شيوعاً للهجمات، لذا يتطلب تعزيز الأمن تحويل الموظفين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إلى خط دفاع أول من خلال التدريب المنهجي المستمر الذي يعتمد على محاكاة اختبارات الاختراق الاجتماعية، والالتزام بسياسات الهيئة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6986678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2.3.5.2 ثقافة الشفافية والثقة (</w:t>
      </w:r>
      <w:r w:rsidRPr="00A92155">
        <w:rPr>
          <w:rFonts w:asciiTheme="majorBidi" w:hAnsiTheme="majorBidi" w:cs="PT Bold Heading"/>
          <w:b/>
          <w:bCs/>
          <w:color w:val="000000" w:themeColor="text1"/>
          <w:sz w:val="26"/>
          <w:szCs w:val="26"/>
        </w:rPr>
        <w:t>Transparency and Trust Culture</w:t>
      </w:r>
      <w:r w:rsidRPr="00A92155">
        <w:rPr>
          <w:rFonts w:asciiTheme="majorBidi" w:hAnsiTheme="majorBidi" w:cs="PT Bold Heading"/>
          <w:b/>
          <w:bCs/>
          <w:color w:val="000000" w:themeColor="text1"/>
          <w:sz w:val="26"/>
          <w:szCs w:val="26"/>
          <w:rtl/>
        </w:rPr>
        <w:t>)</w:t>
      </w:r>
    </w:p>
    <w:p w14:paraId="643F2B64" w14:textId="77777777" w:rsidR="00202E2A" w:rsidRPr="00A92155" w:rsidRDefault="00202E2A">
      <w:pPr>
        <w:numPr>
          <w:ilvl w:val="0"/>
          <w:numId w:val="9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المتبادلة:</w:t>
      </w:r>
      <w:r w:rsidRPr="00A92155">
        <w:rPr>
          <w:rFonts w:asciiTheme="majorBidi" w:hAnsiTheme="majorBidi" w:cstheme="majorBidi"/>
          <w:sz w:val="26"/>
          <w:szCs w:val="26"/>
          <w:rtl/>
        </w:rPr>
        <w:t xml:space="preserve"> يتطلب تعزيز الأمن بناء ثقة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والمكلفين/المستوردين، وذلك بتبني ثقافة </w:t>
      </w:r>
      <w:r w:rsidRPr="00A92155">
        <w:rPr>
          <w:rFonts w:asciiTheme="majorBidi" w:hAnsiTheme="majorBidi" w:cstheme="majorBidi"/>
          <w:b/>
          <w:bCs/>
          <w:sz w:val="26"/>
          <w:szCs w:val="26"/>
          <w:rtl/>
        </w:rPr>
        <w:t>الشفافية</w:t>
      </w:r>
      <w:r w:rsidRPr="00A92155">
        <w:rPr>
          <w:rFonts w:asciiTheme="majorBidi" w:hAnsiTheme="majorBidi" w:cstheme="majorBidi"/>
          <w:sz w:val="26"/>
          <w:szCs w:val="26"/>
          <w:rtl/>
        </w:rPr>
        <w:t xml:space="preserve"> في الإجراءات الأمنية وتوضيح كيفية حماية البيانات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708AB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2.3.5.3 دراسات سابقة حول البُعد الاجتماعي والثقافي والأمن</w:t>
      </w:r>
    </w:p>
    <w:p w14:paraId="06879F0D" w14:textId="77777777" w:rsidR="00202E2A" w:rsidRPr="00A92155" w:rsidRDefault="00202E2A">
      <w:pPr>
        <w:numPr>
          <w:ilvl w:val="0"/>
          <w:numId w:val="9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روجرز (</w:t>
      </w:r>
      <w:r w:rsidRPr="00A92155">
        <w:rPr>
          <w:rFonts w:asciiTheme="majorBidi" w:hAnsiTheme="majorBidi" w:cstheme="majorBidi"/>
          <w:b/>
          <w:bCs/>
          <w:sz w:val="26"/>
          <w:szCs w:val="26"/>
        </w:rPr>
        <w:t>Rogers, 2003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تشير نظرية نشر الابتكار (</w:t>
      </w:r>
      <w:r w:rsidRPr="00A92155">
        <w:rPr>
          <w:rFonts w:asciiTheme="majorBidi" w:hAnsiTheme="majorBidi" w:cstheme="majorBidi"/>
          <w:sz w:val="26"/>
          <w:szCs w:val="26"/>
        </w:rPr>
        <w:t>Diffusion of Innovations</w:t>
      </w:r>
      <w:r w:rsidRPr="00A92155">
        <w:rPr>
          <w:rFonts w:asciiTheme="majorBidi" w:hAnsiTheme="majorBidi" w:cstheme="majorBidi"/>
          <w:sz w:val="26"/>
          <w:szCs w:val="26"/>
          <w:rtl/>
        </w:rPr>
        <w:t>) إلى أن تبني أي تقنية (مثل الأمن السيبراني) يعتمد على العوامل الاجتماعية والثقافية داخل المنظمة.</w:t>
      </w:r>
    </w:p>
    <w:p w14:paraId="1BED6B26" w14:textId="77777777" w:rsidR="00202E2A" w:rsidRPr="00A92155" w:rsidRDefault="00202E2A">
      <w:pPr>
        <w:numPr>
          <w:ilvl w:val="0"/>
          <w:numId w:val="93"/>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دراسة حنلت وآخرون (</w:t>
      </w:r>
      <w:r w:rsidRPr="00A92155">
        <w:rPr>
          <w:rFonts w:asciiTheme="majorBidi" w:hAnsiTheme="majorBidi" w:cstheme="majorBidi"/>
          <w:b/>
          <w:bCs/>
          <w:sz w:val="26"/>
          <w:szCs w:val="26"/>
        </w:rPr>
        <w:t>Hanelt et al., 2021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أكدت أن التحول الثقافي هو العامل الأكثر أهمية في نجاح التحول الرقمي الحكومي، مشيرة إلى أن بناء الكفاءات الرقمية (</w:t>
      </w:r>
      <w:r w:rsidRPr="00A92155">
        <w:rPr>
          <w:rFonts w:asciiTheme="majorBidi" w:hAnsiTheme="majorBidi" w:cstheme="majorBidi"/>
          <w:sz w:val="26"/>
          <w:szCs w:val="26"/>
        </w:rPr>
        <w:t>Digital Competencies</w:t>
      </w:r>
      <w:r w:rsidRPr="00A92155">
        <w:rPr>
          <w:rFonts w:asciiTheme="majorBidi" w:hAnsiTheme="majorBidi" w:cstheme="majorBidi"/>
          <w:sz w:val="26"/>
          <w:szCs w:val="26"/>
          <w:rtl/>
        </w:rPr>
        <w:t>) لدى الموظفين هو المفتاح لضمان الاستخدام الآمن والفعال.</w:t>
      </w:r>
    </w:p>
    <w:p w14:paraId="7E3457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2.3.6</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بناء ثقافة الوعي الأمني لدى العاملين والمستفيدين</w:t>
      </w:r>
    </w:p>
    <w:p w14:paraId="391A8E1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يُعد العامل البشري أضعف حلقة</w:t>
      </w:r>
      <w:r w:rsidRPr="00A92155">
        <w:rPr>
          <w:rFonts w:asciiTheme="majorBidi" w:hAnsiTheme="majorBidi" w:cstheme="majorBidi"/>
          <w:sz w:val="26"/>
          <w:szCs w:val="26"/>
        </w:rPr>
        <w:t xml:space="preserve"> (The Weakest Link) </w:t>
      </w:r>
      <w:r w:rsidRPr="00A92155">
        <w:rPr>
          <w:rFonts w:asciiTheme="majorBidi" w:hAnsiTheme="majorBidi" w:cstheme="majorBidi"/>
          <w:sz w:val="26"/>
          <w:szCs w:val="26"/>
          <w:rtl/>
        </w:rPr>
        <w:t>وأقوى حلقة في المنظومة الأمنية على حد سواء. لذا، فإن بناء ثقافة الوعي الأمني يمثل بُعداً حاسماً لنجاح "تعزيز الأمن" (المتغير التابع)</w:t>
      </w:r>
      <w:r w:rsidRPr="00A92155">
        <w:rPr>
          <w:rFonts w:asciiTheme="majorBidi" w:hAnsiTheme="majorBidi" w:cstheme="majorBidi"/>
          <w:sz w:val="26"/>
          <w:szCs w:val="26"/>
        </w:rPr>
        <w:t>.</w:t>
      </w:r>
    </w:p>
    <w:p w14:paraId="4AC946F1"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 الوعي الأمني للعاملين</w:t>
      </w:r>
      <w:r w:rsidRPr="00A92155">
        <w:rPr>
          <w:rFonts w:asciiTheme="majorBidi" w:hAnsiTheme="majorBidi" w:cstheme="majorBidi"/>
          <w:b/>
          <w:bCs/>
          <w:sz w:val="26"/>
          <w:szCs w:val="26"/>
        </w:rPr>
        <w:t xml:space="preserve"> (Employee Security Awareness):</w:t>
      </w:r>
    </w:p>
    <w:p w14:paraId="26B375C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العنصر البشري كخط دفاع أول</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على الرغم من تطور التقنيات، يظل العنصر البشري هو المدخل الأكثر شيوعاً للهجمات (مثل التصيد الاحتيالي، أو إهمال كلمة المرور). لذا، فإن تعزيز الأمن يتطلب تحويل الموظفين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 xml:space="preserve">من ضحايا محتملين إلى خط دفاع أول </w:t>
      </w:r>
      <w:r w:rsidRPr="00A92155">
        <w:rPr>
          <w:rFonts w:asciiTheme="majorBidi" w:hAnsiTheme="majorBidi" w:cstheme="majorBidi"/>
          <w:sz w:val="26"/>
          <w:szCs w:val="26"/>
        </w:rPr>
        <w:t>(Smith, 2020).</w:t>
      </w:r>
    </w:p>
    <w:p w14:paraId="4DBB02A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التدريب المستمر</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الأمن السيبراني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تدريب الموظفين بشكل مستمر وتوعيتهم حول استراتيجيات الأمن، وفهمهم أنهم الواجهة الأولى لتلقي الهجمات. هذا يشمل تدريبهم على كيفية التعامل مع الرسائل الإلكترونية المشبوهة (التصيد الاحتيالي</w:t>
      </w:r>
      <w:r w:rsidRPr="00A92155">
        <w:rPr>
          <w:rFonts w:asciiTheme="majorBidi" w:hAnsiTheme="majorBidi" w:cstheme="majorBidi"/>
          <w:sz w:val="26"/>
          <w:szCs w:val="26"/>
        </w:rPr>
        <w:t xml:space="preserve"> - Phishing)</w:t>
      </w:r>
      <w:r w:rsidRPr="00A92155">
        <w:rPr>
          <w:rFonts w:asciiTheme="majorBidi" w:hAnsiTheme="majorBidi" w:cstheme="majorBidi"/>
          <w:sz w:val="26"/>
          <w:szCs w:val="26"/>
          <w:rtl/>
        </w:rPr>
        <w:t>، والالتزام بسياسات الهيئة في التعامل مع البيانات الحساسة</w:t>
      </w:r>
      <w:r w:rsidRPr="00A92155">
        <w:rPr>
          <w:rFonts w:asciiTheme="majorBidi" w:hAnsiTheme="majorBidi" w:cstheme="majorBidi"/>
          <w:sz w:val="26"/>
          <w:szCs w:val="26"/>
        </w:rPr>
        <w:t xml:space="preserve"> (Hanelt et al., 2021). </w:t>
      </w:r>
      <w:r w:rsidRPr="00A92155">
        <w:rPr>
          <w:rFonts w:asciiTheme="majorBidi" w:hAnsiTheme="majorBidi" w:cstheme="majorBidi"/>
          <w:sz w:val="26"/>
          <w:szCs w:val="26"/>
          <w:rtl/>
        </w:rPr>
        <w:t>هذا التدريب يجب أن يُدمج في نظام إدارة الأداء للموظفين</w:t>
      </w:r>
      <w:r w:rsidRPr="00A92155">
        <w:rPr>
          <w:rFonts w:asciiTheme="majorBidi" w:hAnsiTheme="majorBidi" w:cstheme="majorBidi"/>
          <w:sz w:val="26"/>
          <w:szCs w:val="26"/>
        </w:rPr>
        <w:t>.</w:t>
      </w:r>
    </w:p>
    <w:p w14:paraId="1A62927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 ثقافة الشفافية والثقة</w:t>
      </w:r>
      <w:r w:rsidRPr="00A92155">
        <w:rPr>
          <w:rFonts w:asciiTheme="majorBidi" w:hAnsiTheme="majorBidi" w:cstheme="majorBidi"/>
          <w:b/>
          <w:bCs/>
          <w:sz w:val="26"/>
          <w:szCs w:val="26"/>
        </w:rPr>
        <w:t xml:space="preserve"> (Transparency and Trust Culture):</w:t>
      </w:r>
    </w:p>
    <w:p w14:paraId="5298F2F5"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الثقة المتبادلة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تعزيز الأمن في بيئة التحول الرقمي بناء ثقة بين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والمكلفين/المستوردين. يجب على الهيئة أن تتبنى ثقافة الشفافية في الإجراءات الأمنية وتبادل البيانات، وتوضيح كيفية حماية بيانات المستفيدين</w:t>
      </w:r>
      <w:r w:rsidRPr="00A92155">
        <w:rPr>
          <w:rFonts w:asciiTheme="majorBidi" w:hAnsiTheme="majorBidi" w:cstheme="majorBidi"/>
          <w:sz w:val="26"/>
          <w:szCs w:val="26"/>
        </w:rPr>
        <w:t xml:space="preserve"> (World Bank, 2020).</w:t>
      </w:r>
    </w:p>
    <w:p w14:paraId="50AD8F26"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المشاركة في الأمن</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تشجيع المستفيدين على المشاركة في تعزيز الأمن من خلال الإبلاغ عن أي محاولات احتيال أو تصيد إلكتروني تستغل اسم الهيئة، وتوعيتهم بضرورة حماية بياناتهم الشخصية وسجلاتهم التجارية</w:t>
      </w:r>
      <w:r w:rsidRPr="00A92155">
        <w:rPr>
          <w:rFonts w:asciiTheme="majorBidi" w:hAnsiTheme="majorBidi" w:cstheme="majorBidi"/>
          <w:sz w:val="26"/>
          <w:szCs w:val="26"/>
        </w:rPr>
        <w:t xml:space="preserve"> (Rogers, 2003).</w:t>
      </w:r>
    </w:p>
    <w:p w14:paraId="2D597F1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البنية الدفاعية المتعددة الطبقات: من التشفير إلى الذكاء الاصطناعي الوقائي</w:t>
      </w:r>
    </w:p>
    <w:p w14:paraId="5D6D90D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lastRenderedPageBreak/>
        <w:t>يتجسد "تعزيز الأمن" (المتغير التابع) في قدرة المؤسسة على تطبيق بنية دفاعية متقدمة تتجاوز الإجراءات التقليدية، مع التركيز على التقنيات الناشئة</w:t>
      </w:r>
      <w:r w:rsidRPr="00A92155">
        <w:rPr>
          <w:rFonts w:asciiTheme="majorBidi" w:hAnsiTheme="majorBidi" w:cstheme="majorBidi"/>
          <w:sz w:val="26"/>
          <w:szCs w:val="26"/>
        </w:rPr>
        <w:t xml:space="preserve"> (Muehlburger et al., 2019).</w:t>
      </w:r>
    </w:p>
    <w:p w14:paraId="4F5A48C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2.3.7.1</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البنية التحتية الدفاعية والأمن السحابي</w:t>
      </w:r>
      <w:r w:rsidRPr="00A92155">
        <w:rPr>
          <w:rFonts w:asciiTheme="majorBidi" w:hAnsiTheme="majorBidi" w:cs="PT Bold Heading"/>
          <w:b/>
          <w:bCs/>
          <w:color w:val="000000" w:themeColor="text1"/>
          <w:sz w:val="26"/>
          <w:szCs w:val="26"/>
        </w:rPr>
        <w:t xml:space="preserve"> (Cloud Security)</w:t>
      </w:r>
    </w:p>
    <w:p w14:paraId="55A67E0A"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التشفير الشامل</w:t>
      </w:r>
      <w:r w:rsidRPr="00A92155">
        <w:rPr>
          <w:rFonts w:asciiTheme="majorBidi" w:hAnsiTheme="majorBidi" w:cstheme="majorBidi"/>
          <w:b/>
          <w:bCs/>
          <w:sz w:val="26"/>
          <w:szCs w:val="26"/>
        </w:rPr>
        <w:t xml:space="preserve"> (E2EE):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يُعد التشفير، سواء للبيانات المخزنة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at Rest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أو المنقولة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in Transit</w:t>
      </w:r>
      <w:r w:rsidRPr="00A92155">
        <w:rPr>
          <w:rFonts w:asciiTheme="majorBidi" w:hAnsiTheme="majorBidi" w:cstheme="majorBidi"/>
          <w:sz w:val="26"/>
          <w:szCs w:val="26"/>
        </w:rPr>
        <w:t>)</w:t>
      </w:r>
      <w:r w:rsidRPr="00A92155">
        <w:rPr>
          <w:rFonts w:asciiTheme="majorBidi" w:hAnsiTheme="majorBidi" w:cstheme="majorBidi"/>
          <w:sz w:val="26"/>
          <w:szCs w:val="26"/>
          <w:rtl/>
        </w:rPr>
        <w:t xml:space="preserve">، هو الضمان الأساسي لـ </w:t>
      </w:r>
      <w:r w:rsidRPr="00A92155">
        <w:rPr>
          <w:rFonts w:asciiTheme="majorBidi" w:hAnsiTheme="majorBidi" w:cstheme="majorBidi"/>
          <w:b/>
          <w:bCs/>
          <w:sz w:val="26"/>
          <w:szCs w:val="26"/>
          <w:rtl/>
        </w:rPr>
        <w:t>سرية البيانات الجمركية والضريبية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2020).</w:t>
      </w:r>
    </w:p>
    <w:p w14:paraId="6F3E229E"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أمن السحابة الحكومية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مع توجه</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نحو استخدام البنية التحتية السحابية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Cloud Infrastructure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لدعم منصاتها الرقمية، يصبح تأمين هذه البيئة (وفقاً لإطار الأمن السحابي) أمراً حتمياً، ويشمل ذلك حماية واجهات برمجيات التطبيقات</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APIs</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التي تربط بين الأنظمة المختلفة</w:t>
      </w:r>
      <w:r w:rsidRPr="00A92155">
        <w:rPr>
          <w:rFonts w:asciiTheme="majorBidi" w:hAnsiTheme="majorBidi" w:cstheme="majorBidi"/>
          <w:sz w:val="26"/>
          <w:szCs w:val="26"/>
        </w:rPr>
        <w:t xml:space="preserve"> (Hanelt et al., 2021).</w:t>
      </w:r>
    </w:p>
    <w:p w14:paraId="3DC2F13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PT Bold Heading" w:hint="cs"/>
          <w:b/>
          <w:bCs/>
          <w:color w:val="000000" w:themeColor="text1"/>
          <w:sz w:val="26"/>
          <w:szCs w:val="26"/>
          <w:rtl/>
        </w:rPr>
        <w:t>2.3.7.2</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الذكاء الاصطناعي الوقائي في الدفاع السيبراني</w:t>
      </w:r>
      <w:r w:rsidRPr="00A92155">
        <w:rPr>
          <w:rFonts w:asciiTheme="majorBidi" w:hAnsiTheme="majorBidi" w:cs="PT Bold Heading"/>
          <w:b/>
          <w:bCs/>
          <w:color w:val="000000" w:themeColor="text1"/>
          <w:sz w:val="26"/>
          <w:szCs w:val="26"/>
        </w:rPr>
        <w:t xml:space="preserve"> (Preventive AI)</w:t>
      </w:r>
    </w:p>
    <w:p w14:paraId="7AABF748"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الذكاء الاصطناعي للكشف عن التهديدات</w:t>
      </w:r>
      <w:r w:rsidRPr="00A92155">
        <w:rPr>
          <w:rFonts w:asciiTheme="majorBidi" w:hAnsiTheme="majorBidi" w:cstheme="majorBidi"/>
          <w:b/>
          <w:bCs/>
          <w:sz w:val="26"/>
          <w:szCs w:val="26"/>
        </w:rPr>
        <w:t xml:space="preserve"> (AI-Driven Threat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يُستخدم الذكاء الاصطناعي في تحليل أنماط حركة المرور الشبكية والسلوكيات الشاذة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Anomaly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للموظفين والمستفيدين في الوقت الفعلي. هذا يسمح بالتصدي لهجمات الفدية الرقمية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Ransomware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والهجمات الموجهة قبل أن تتمكن من إلحاق الضرر بالأنظمة الحيوية</w:t>
      </w:r>
      <w:r w:rsidRPr="00A92155">
        <w:rPr>
          <w:rFonts w:asciiTheme="majorBidi" w:hAnsiTheme="majorBidi" w:cstheme="majorBidi"/>
          <w:sz w:val="26"/>
          <w:szCs w:val="26"/>
        </w:rPr>
        <w:t xml:space="preserve"> (PwC, 2023).</w:t>
      </w:r>
    </w:p>
    <w:p w14:paraId="323A897B"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الأتمتة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 xml:space="preserve">تستخدم أنظمة </w:t>
      </w:r>
      <w:r w:rsidRPr="00A92155">
        <w:rPr>
          <w:rFonts w:asciiTheme="majorBidi" w:hAnsiTheme="majorBidi" w:cstheme="majorBidi"/>
          <w:b/>
          <w:bCs/>
          <w:sz w:val="26"/>
          <w:szCs w:val="26"/>
          <w:rtl/>
        </w:rPr>
        <w:t>الأتمتة وتنسيق الاستجابة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الذكاء الاصطناعي لتنفيذ إجراءات الاستجابة للحوادث بشكل أوتوماتيكي (مثل عزل جهاز مخترق أو حجب مصدر تهديد معروف)، مما يُقلل من زمن الاستجابة ويعزز الكفاءة الأمنية (البُعد التشغيلي)</w:t>
      </w:r>
      <w:r w:rsidRPr="00A92155">
        <w:rPr>
          <w:rFonts w:asciiTheme="majorBidi" w:hAnsiTheme="majorBidi" w:cstheme="majorBidi"/>
          <w:sz w:val="26"/>
          <w:szCs w:val="26"/>
        </w:rPr>
        <w:t xml:space="preserve"> (Smith, 2020).</w:t>
      </w:r>
    </w:p>
    <w:p w14:paraId="0AB9052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2.3.8</w:t>
      </w:r>
      <w:r w:rsidRPr="00A92155">
        <w:rPr>
          <w:rFonts w:asciiTheme="majorBidi" w:hAnsiTheme="majorBidi" w:cs="PT Bold Heading"/>
          <w:b/>
          <w:bCs/>
          <w:color w:val="000000" w:themeColor="text1"/>
          <w:sz w:val="26"/>
          <w:szCs w:val="26"/>
          <w:rtl/>
        </w:rPr>
        <w:t xml:space="preserve"> نماذج تقييم النضج الأمني وتكامل الأبعاد</w:t>
      </w:r>
    </w:p>
    <w:p w14:paraId="7706AD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يُشكل النجاح في الأبعاد الخمسة المذكورة منظومة متكاملة لـ "تعزيز الأمن" تُقاس بنماذج دولية ووطنية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5647C554"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إطار المعهد الوطني للمعايير والتقنية (</w:t>
      </w:r>
      <w:r w:rsidRPr="00A92155">
        <w:rPr>
          <w:rFonts w:asciiTheme="majorBidi" w:hAnsiTheme="majorBidi" w:cstheme="majorBidi"/>
          <w:b/>
          <w:bCs/>
          <w:sz w:val="26"/>
          <w:szCs w:val="26"/>
        </w:rPr>
        <w:t>NIST Cybersecurity Framework</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يوفر منهجية لـ التحسين المستمر (</w:t>
      </w:r>
      <w:r w:rsidRPr="00A92155">
        <w:rPr>
          <w:rFonts w:asciiTheme="majorBidi" w:hAnsiTheme="majorBidi" w:cstheme="majorBidi"/>
          <w:sz w:val="26"/>
          <w:szCs w:val="26"/>
        </w:rPr>
        <w:t>Continuous Improvement</w:t>
      </w:r>
      <w:r w:rsidRPr="00A92155">
        <w:rPr>
          <w:rFonts w:asciiTheme="majorBidi" w:hAnsiTheme="majorBidi" w:cstheme="majorBidi"/>
          <w:sz w:val="26"/>
          <w:szCs w:val="26"/>
          <w:rtl/>
        </w:rPr>
        <w:t xml:space="preserve">) على خمس وظائف: التعريف، الحماية، الكشف، الاستجابة، والتعافي. يساعد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تقييم نضج قدرتها على اكتشاف (</w:t>
      </w:r>
      <w:r w:rsidRPr="00A92155">
        <w:rPr>
          <w:rFonts w:asciiTheme="majorBidi" w:hAnsiTheme="majorBidi" w:cstheme="majorBidi"/>
          <w:sz w:val="26"/>
          <w:szCs w:val="26"/>
        </w:rPr>
        <w:t>Detect</w:t>
      </w:r>
      <w:r w:rsidRPr="00A92155">
        <w:rPr>
          <w:rFonts w:asciiTheme="majorBidi" w:hAnsiTheme="majorBidi" w:cstheme="majorBidi"/>
          <w:sz w:val="26"/>
          <w:szCs w:val="26"/>
          <w:rtl/>
        </w:rPr>
        <w:t>) التهديدات وقياس كفاءة الاستجابة (</w:t>
      </w:r>
      <w:r w:rsidRPr="00A92155">
        <w:rPr>
          <w:rFonts w:asciiTheme="majorBidi" w:hAnsiTheme="majorBidi" w:cstheme="majorBidi"/>
          <w:sz w:val="26"/>
          <w:szCs w:val="26"/>
        </w:rPr>
        <w:t>Respond</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A6A1896"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الأيزو 27001 (</w:t>
      </w:r>
      <w:r w:rsidRPr="00A92155">
        <w:rPr>
          <w:rFonts w:asciiTheme="majorBidi" w:hAnsiTheme="majorBidi" w:cstheme="majorBidi"/>
          <w:b/>
          <w:bCs/>
          <w:sz w:val="26"/>
          <w:szCs w:val="26"/>
        </w:rPr>
        <w:t>ISO/IEC 27001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وضع نظام إدارة أمن المعلومات (</w:t>
      </w:r>
      <w:r w:rsidRPr="00A92155">
        <w:rPr>
          <w:rFonts w:asciiTheme="majorBidi" w:hAnsiTheme="majorBidi" w:cstheme="majorBidi"/>
          <w:sz w:val="26"/>
          <w:szCs w:val="26"/>
        </w:rPr>
        <w:t>ISMS</w:t>
      </w:r>
      <w:r w:rsidRPr="00A92155">
        <w:rPr>
          <w:rFonts w:asciiTheme="majorBidi" w:hAnsiTheme="majorBidi" w:cstheme="majorBidi"/>
          <w:sz w:val="26"/>
          <w:szCs w:val="26"/>
          <w:rtl/>
        </w:rPr>
        <w:t>)، ويضمن اعتماد الهيئة لهذا المعيار أن البيانات محمية وفقاً لأعلى المعايير العالمية، مما يعزز الثقة في البيئة التجارية السعودية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733DE9A3"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نموذج النضج السيبراني الوطني (</w:t>
      </w:r>
      <w:r w:rsidRPr="00A92155">
        <w:rPr>
          <w:rFonts w:asciiTheme="majorBidi" w:hAnsiTheme="majorBidi" w:cstheme="majorBidi"/>
          <w:b/>
          <w:bCs/>
          <w:sz w:val="26"/>
          <w:szCs w:val="26"/>
        </w:rPr>
        <w:t>NCA Cyber Maturity Models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تُلزم الهيئة الوطنية للأمن السيبراني المؤسسات الحيوية في المملكة بتطبيق ضوابط محددة لرفع النضج السيبراني، لضمان الامتثال التنظيمي ورفع النضج على المستوى الوطني.</w:t>
      </w:r>
    </w:p>
    <w:p w14:paraId="293906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2.3.9</w:t>
      </w:r>
      <w:r w:rsidRPr="00A92155">
        <w:rPr>
          <w:rFonts w:asciiTheme="majorBidi" w:hAnsiTheme="majorBidi" w:cs="PT Bold Heading"/>
          <w:b/>
          <w:bCs/>
          <w:color w:val="000000" w:themeColor="text1"/>
          <w:sz w:val="26"/>
          <w:szCs w:val="26"/>
          <w:rtl/>
        </w:rPr>
        <w:t xml:space="preserve"> التكامل بين الأمن الاقتصادي والأمن الرقمي في تحقيق التنمية المستدامة</w:t>
      </w:r>
    </w:p>
    <w:p w14:paraId="0BB879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يُختتم المبحث بالتأكيد على الترابط النهائي بين "تعزيز الأمن" ونتائجه الاستراتيجية على المستوى الوطني. لا يُعد الأمن الاقتصادي (حماية الإيرادات) والأمن الرقمي هدفين منفصلين، بل هما وجهان لعملة واحدة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3F12B340" w14:textId="77777777" w:rsidR="00202E2A" w:rsidRPr="00A92155" w:rsidRDefault="00202E2A">
      <w:pPr>
        <w:numPr>
          <w:ilvl w:val="0"/>
          <w:numId w:val="9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الرقمي كضامن للاستدامة الاقتصادية:</w:t>
      </w:r>
      <w:r w:rsidRPr="00A92155">
        <w:rPr>
          <w:rFonts w:asciiTheme="majorBidi" w:hAnsiTheme="majorBidi" w:cstheme="majorBidi"/>
          <w:sz w:val="26"/>
          <w:szCs w:val="26"/>
          <w:rtl/>
        </w:rPr>
        <w:t xml:space="preserve"> إن "تعزيز الأمن" يضمن أن تكون 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قادرة على الصمود (</w:t>
      </w:r>
      <w:r w:rsidRPr="00A92155">
        <w:rPr>
          <w:rFonts w:asciiTheme="majorBidi" w:hAnsiTheme="majorBidi" w:cstheme="majorBidi"/>
          <w:sz w:val="26"/>
          <w:szCs w:val="26"/>
        </w:rPr>
        <w:t>Resilience</w:t>
      </w:r>
      <w:r w:rsidRPr="00A92155">
        <w:rPr>
          <w:rFonts w:asciiTheme="majorBidi" w:hAnsiTheme="majorBidi" w:cstheme="majorBidi"/>
          <w:sz w:val="26"/>
          <w:szCs w:val="26"/>
          <w:rtl/>
        </w:rPr>
        <w:t xml:space="preserve">) أمام الهجمات التي تستهدف وقف تحصيل الإيرادات، مما يضمن استدامة الإيرادات الحكومية الضرورية لتمويل مشاريع </w:t>
      </w:r>
      <w:r w:rsidRPr="00A92155">
        <w:rPr>
          <w:rFonts w:asciiTheme="majorBidi" w:hAnsiTheme="majorBidi" w:cstheme="majorBidi"/>
          <w:b/>
          <w:bCs/>
          <w:sz w:val="26"/>
          <w:szCs w:val="26"/>
          <w:rtl/>
        </w:rPr>
        <w:t>رؤية 2030</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w:t>
      </w:r>
    </w:p>
    <w:p w14:paraId="4B737923" w14:textId="77777777" w:rsidR="00202E2A" w:rsidRPr="00A92155" w:rsidRDefault="00202E2A">
      <w:pPr>
        <w:numPr>
          <w:ilvl w:val="0"/>
          <w:numId w:val="95"/>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الأمن الرقمي كمحفز للتجارة:</w:t>
      </w:r>
      <w:r w:rsidRPr="00A92155">
        <w:rPr>
          <w:rFonts w:asciiTheme="majorBidi" w:hAnsiTheme="majorBidi" w:cstheme="majorBidi"/>
          <w:sz w:val="26"/>
          <w:szCs w:val="26"/>
          <w:rtl/>
        </w:rPr>
        <w:t xml:space="preserve"> من منظور تيسير التجارة، فإن استخدام التقنيات الآمنة والمتقدمة في الرقابة الجمركية، يقلل من زمن التخليص ويحسن من كفاءة العمليات، مما يُعزز من جاذبية المملكة كمركز لوجستي آمن وموثوق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27FB1A3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2.3.10</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التحديات السيبرانية في المملكة والأثر على</w:t>
      </w:r>
      <w:r w:rsidRPr="00A92155">
        <w:rPr>
          <w:rFonts w:asciiTheme="majorBidi" w:hAnsiTheme="majorBidi" w:cs="PT Bold Heading"/>
          <w:b/>
          <w:bCs/>
          <w:color w:val="000000" w:themeColor="text1"/>
          <w:sz w:val="26"/>
          <w:szCs w:val="26"/>
        </w:rPr>
        <w:t xml:space="preserve"> ZATCA</w:t>
      </w:r>
    </w:p>
    <w:p w14:paraId="67299C6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تُعد المملكة من بين أكثر دول المنطقة استهدافاً بالهجمات السيبرانية، وهذا يفرض تحديات كبيرة تؤثر على قدرة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على تحقيق "تعزيز الأمن" بكفاءة</w:t>
      </w:r>
      <w:r w:rsidRPr="00A92155">
        <w:rPr>
          <w:rFonts w:asciiTheme="majorBidi" w:hAnsiTheme="majorBidi" w:cstheme="majorBidi"/>
          <w:sz w:val="26"/>
          <w:szCs w:val="26"/>
        </w:rPr>
        <w:t xml:space="preserve"> (Almarzooqi et al., 2021).</w:t>
      </w:r>
    </w:p>
    <w:p w14:paraId="4261EEE3"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برامج الفدية والتجسس الصناعي</w:t>
      </w:r>
      <w:r w:rsidRPr="00A92155">
        <w:rPr>
          <w:rFonts w:asciiTheme="majorBidi" w:hAnsiTheme="majorBidi" w:cstheme="majorBidi"/>
          <w:b/>
          <w:bCs/>
          <w:sz w:val="26"/>
          <w:szCs w:val="26"/>
        </w:rPr>
        <w:t xml:space="preserve"> (Ransomware and Industrial Espionage):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تُشكل هجمات برامج الفدية تهديداً مزدوجاً لـ</w:t>
      </w:r>
      <w:r w:rsidRPr="00A92155">
        <w:rPr>
          <w:rFonts w:asciiTheme="majorBidi" w:hAnsiTheme="majorBidi" w:cstheme="majorBidi"/>
          <w:sz w:val="26"/>
          <w:szCs w:val="26"/>
        </w:rPr>
        <w:t xml:space="preserve"> ZATCA</w:t>
      </w:r>
      <w:r w:rsidRPr="00A92155">
        <w:rPr>
          <w:rFonts w:asciiTheme="majorBidi" w:hAnsiTheme="majorBidi" w:cstheme="majorBidi"/>
          <w:sz w:val="26"/>
          <w:szCs w:val="26"/>
          <w:rtl/>
        </w:rPr>
        <w:t xml:space="preserve">، حيث يمكن أن تعطل العمليات وتمنع تحصيل الإيرادات. بينما يمثل </w:t>
      </w:r>
      <w:r w:rsidRPr="00A92155">
        <w:rPr>
          <w:rFonts w:asciiTheme="majorBidi" w:hAnsiTheme="majorBidi" w:cstheme="majorBidi"/>
          <w:b/>
          <w:bCs/>
          <w:sz w:val="26"/>
          <w:szCs w:val="26"/>
          <w:rtl/>
        </w:rPr>
        <w:t>التجسس الصناعي</w:t>
      </w:r>
      <w:r w:rsidRPr="00A92155">
        <w:rPr>
          <w:rFonts w:asciiTheme="majorBidi" w:hAnsiTheme="majorBidi" w:cstheme="majorBidi"/>
          <w:sz w:val="26"/>
          <w:szCs w:val="26"/>
          <w:rtl/>
        </w:rPr>
        <w:t xml:space="preserve"> خطراً على الأسرار التجارية والبيانات الضريبية الحساسة للشركات الكبرى، مما يقوض الثقة في البيئة التجارية السعودية</w:t>
      </w:r>
      <w:r w:rsidRPr="00A92155">
        <w:rPr>
          <w:rFonts w:asciiTheme="majorBidi" w:hAnsiTheme="majorBidi" w:cstheme="majorBidi"/>
          <w:sz w:val="26"/>
          <w:szCs w:val="26"/>
        </w:rPr>
        <w:t xml:space="preserve"> (United Nations, 2023).</w:t>
      </w:r>
    </w:p>
    <w:p w14:paraId="421661A4"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تحديات توفير الكفاءات</w:t>
      </w:r>
      <w:r w:rsidRPr="00A92155">
        <w:rPr>
          <w:rFonts w:asciiTheme="majorBidi" w:hAnsiTheme="majorBidi" w:cstheme="majorBidi"/>
          <w:b/>
          <w:bCs/>
          <w:sz w:val="26"/>
          <w:szCs w:val="26"/>
        </w:rPr>
        <w:t xml:space="preserve"> (Talent Shortage):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يمثل نقص الكوادر المتخصصة في الأمن السيبراني تحدياً كبيراً، يتطلب من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بالتعاون مع</w:t>
      </w:r>
      <w:r w:rsidRPr="00A92155">
        <w:rPr>
          <w:rFonts w:asciiTheme="majorBidi" w:hAnsiTheme="majorBidi" w:cstheme="majorBidi"/>
          <w:sz w:val="26"/>
          <w:szCs w:val="26"/>
        </w:rPr>
        <w:t xml:space="preserve"> NCA) </w:t>
      </w:r>
      <w:r w:rsidRPr="00A92155">
        <w:rPr>
          <w:rFonts w:asciiTheme="majorBidi" w:hAnsiTheme="majorBidi" w:cstheme="majorBidi"/>
          <w:sz w:val="26"/>
          <w:szCs w:val="26"/>
          <w:rtl/>
        </w:rPr>
        <w:t>الاستثمار في تنمية الكفاءات الرقمية (البُعد الاجتماعي) لتشغيل وصيانة البنية الدفاعية المتقدمة</w:t>
      </w:r>
      <w:r w:rsidRPr="00A92155">
        <w:rPr>
          <w:rFonts w:asciiTheme="majorBidi" w:hAnsiTheme="majorBidi" w:cstheme="majorBidi"/>
          <w:sz w:val="26"/>
          <w:szCs w:val="26"/>
        </w:rPr>
        <w:t xml:space="preserve"> (Hanelt et al., 2021).</w:t>
      </w:r>
    </w:p>
    <w:p w14:paraId="6FACAEFC"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A92155">
        <w:rPr>
          <w:rFonts w:asciiTheme="majorBidi" w:hAnsiTheme="majorBidi" w:cstheme="majorBidi" w:hint="cs"/>
          <w:sz w:val="26"/>
          <w:szCs w:val="26"/>
          <w:rtl/>
        </w:rPr>
        <w:t xml:space="preserve"> </w:t>
      </w:r>
      <w:r w:rsidRPr="00A92155">
        <w:rPr>
          <w:rFonts w:asciiTheme="majorBidi" w:hAnsiTheme="majorBidi" w:cstheme="majorBidi"/>
          <w:sz w:val="26"/>
          <w:szCs w:val="26"/>
          <w:rtl/>
        </w:rPr>
        <w:t xml:space="preserve">إن المتغير التابع "تعزيز الأمن" هو نتيجة تفاعلية لـ الأمن السيبراني وحماية البيانات (الجوانب التقنية)، وتحسين كفاءة الرقابة والحد من التهريب (الجوانب التشغيلية)، مدعومة بإطار قانوني وسياسي يضمن الشرعية والمساءلة، ومنفذة من خلال التكامل والشراكات، ومبنية على ثقافة اجتماعية وثقافية واعية. هذا التكامل هو ما يُعزز قوة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ويُحقق الأهداف الوطنية للأمن الاقتصادي والتنمية.</w:t>
      </w:r>
    </w:p>
    <w:p w14:paraId="2D1323EE" w14:textId="70ADE5C2"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الرابع: تيسير التجارة والتحول الرقمي في الاقتصاد العالمي</w:t>
      </w:r>
    </w:p>
    <w:p w14:paraId="5256387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0C0A6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تيسير التجارة (</w:t>
      </w:r>
      <w:r w:rsidRPr="00A92155">
        <w:rPr>
          <w:rFonts w:asciiTheme="majorBidi" w:hAnsiTheme="majorBidi" w:cstheme="majorBidi"/>
          <w:sz w:val="26"/>
          <w:szCs w:val="26"/>
        </w:rPr>
        <w:t>Trade Facilitation</w:t>
      </w:r>
      <w:r w:rsidRPr="00A92155">
        <w:rPr>
          <w:rFonts w:asciiTheme="majorBidi" w:hAnsiTheme="majorBidi" w:cstheme="majorBidi"/>
          <w:sz w:val="26"/>
          <w:szCs w:val="26"/>
          <w:rtl/>
        </w:rPr>
        <w:t>) الهدف الاستراتيجي الأقصى للمؤسسات الحكومية الحديثة في عصر التحول الرقمي، لا سيما تلك التي تشكل بوابات اقتصادية للدولة، كهيئة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في المملكة العربية السعودية (</w:t>
      </w:r>
      <w:r w:rsidRPr="00A92155">
        <w:rPr>
          <w:rFonts w:asciiTheme="majorBidi" w:hAnsiTheme="majorBidi" w:cstheme="majorBidi"/>
          <w:sz w:val="26"/>
          <w:szCs w:val="26"/>
        </w:rPr>
        <w:t>WCO, 2023</w:t>
      </w:r>
      <w:r w:rsidRPr="00A92155">
        <w:rPr>
          <w:rFonts w:asciiTheme="majorBidi" w:hAnsiTheme="majorBidi" w:cstheme="majorBidi"/>
          <w:sz w:val="26"/>
          <w:szCs w:val="26"/>
          <w:rtl/>
        </w:rPr>
        <w:t>). يعتبر تيسير التجارة هو المخرج التشغيلي لنجاح مبادرات التحول الرقمي، حيث يُترجم الاستثمار في التقنية إلى خفض في زمن التخليص، وتقليل في التكاليف، وتعزيز في التدفقات اللوجستية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في سياق رؤية 2030، يهدف تيسير التجارة إلى تحويل المملكة إلى مركز لوجستي عالمي وربط القارات الثلاث، وهو ما يتطلب أنظمة جمركية وضريبية تتسم بالكفاءة والسرعة والقدرة على التنبؤ.</w:t>
      </w:r>
    </w:p>
    <w:p w14:paraId="09C2B5C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ولأجل القياس والتحليل الأكاديمي الدقيق لأثر التحول الرقمي على هذا المتغير التابع، تم تفكيك "تيسير التجارة" إلى أبعاد رئيسية شاملة تغطي الجوانب المادية، التشغيلية، الرقابية، والبيئية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هذه الأبعاد هي التي سيتم قياس مدى إنجاز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لها:</w:t>
      </w:r>
    </w:p>
    <w:p w14:paraId="0DC4A0D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تيسير التجارة</w:t>
      </w:r>
    </w:p>
    <w:p w14:paraId="4B5AE9CA"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الاقتصادي (</w:t>
      </w:r>
      <w:r w:rsidRPr="00A92155">
        <w:rPr>
          <w:rFonts w:asciiTheme="majorBidi" w:hAnsiTheme="majorBidi" w:cstheme="majorBidi"/>
          <w:b/>
          <w:bCs/>
          <w:sz w:val="26"/>
          <w:szCs w:val="26"/>
        </w:rPr>
        <w:t>Economic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القيمة المضافة الاقتصادية المباشرة وغير المباشرة الناتجة عن الرقمنة.</w:t>
      </w:r>
    </w:p>
    <w:p w14:paraId="79C7BF20"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التكنولوجي (</w:t>
      </w:r>
      <w:r w:rsidRPr="00A92155">
        <w:rPr>
          <w:rFonts w:asciiTheme="majorBidi" w:hAnsiTheme="majorBidi" w:cstheme="majorBidi"/>
          <w:b/>
          <w:bCs/>
          <w:sz w:val="26"/>
          <w:szCs w:val="26"/>
        </w:rPr>
        <w:t>Technological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التطبيقات التقنية التي تمكن السرعة والكفاءة (الجمارك الذكية وسلاسل الإمداد الرقمية).</w:t>
      </w:r>
    </w:p>
    <w:p w14:paraId="7EFC192B"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التهرب الضريبي وتعزيز الامتثال (</w:t>
      </w:r>
      <w:r w:rsidRPr="00A92155">
        <w:rPr>
          <w:rFonts w:asciiTheme="majorBidi" w:hAnsiTheme="majorBidi" w:cstheme="majorBidi"/>
          <w:b/>
          <w:bCs/>
          <w:sz w:val="26"/>
          <w:szCs w:val="26"/>
        </w:rPr>
        <w:t>Reducing Evasion and Enhancing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قدرة الرقمنة على تحقيق التيسير مع الحفاظ على سلامة الإيرادات.</w:t>
      </w:r>
    </w:p>
    <w:p w14:paraId="285E9237"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 (</w:t>
      </w:r>
      <w:r w:rsidRPr="00A92155">
        <w:rPr>
          <w:rFonts w:asciiTheme="majorBidi" w:hAnsiTheme="majorBidi" w:cstheme="majorBidi"/>
          <w:b/>
          <w:bCs/>
          <w:sz w:val="26"/>
          <w:szCs w:val="26"/>
        </w:rPr>
        <w:t>Environmental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مساهمة تيسير التجارة في دعم الاستدامة والنمو الأخضر (التجارة الخضراء).</w:t>
      </w:r>
    </w:p>
    <w:p w14:paraId="4F1C0AB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2.4.1 الإطار المفاهيمي لتيسير التجارة وأبعاده </w:t>
      </w:r>
    </w:p>
    <w:p w14:paraId="01D4EE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تيسير التجارة هو أكثر من مجرد اختصار للزمن؛ إنه إصلاح منهجي وعملياتي يهدف إلى تبسيط، وتحديث، وتنسيق الإجراءات الحدودية الدولية (</w:t>
      </w:r>
      <w:r w:rsidRPr="00A92155">
        <w:rPr>
          <w:rFonts w:asciiTheme="majorBidi" w:hAnsiTheme="majorBidi" w:cstheme="majorBidi"/>
          <w:sz w:val="26"/>
          <w:szCs w:val="26"/>
        </w:rPr>
        <w:t>OECD, 2018</w:t>
      </w:r>
      <w:r w:rsidRPr="00A92155">
        <w:rPr>
          <w:rFonts w:asciiTheme="majorBidi" w:hAnsiTheme="majorBidi" w:cstheme="majorBidi"/>
          <w:sz w:val="26"/>
          <w:szCs w:val="26"/>
          <w:rtl/>
        </w:rPr>
        <w:t>). في ظل التحول الرقمي، اكتسب المفهوم عمقاً جديداً يرتكز على السيادة المعلوماتية والشفافية.</w:t>
      </w:r>
    </w:p>
    <w:p w14:paraId="60D9BE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2.4.1.1 المفهوم الموسع لتيسير التجارة الرقمي</w:t>
      </w:r>
    </w:p>
    <w:p w14:paraId="1C6B764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يمكن تعريف تيسير التجارة الرقمي بأنه "إعادة هندسة الإجراءات (</w:t>
      </w:r>
      <w:r w:rsidRPr="00A92155">
        <w:rPr>
          <w:rFonts w:asciiTheme="majorBidi" w:hAnsiTheme="majorBidi" w:cstheme="majorBidi"/>
          <w:sz w:val="26"/>
          <w:szCs w:val="26"/>
        </w:rPr>
        <w:t>Business Process Re-engineering</w:t>
      </w:r>
      <w:r w:rsidRPr="00A92155">
        <w:rPr>
          <w:rFonts w:asciiTheme="majorBidi" w:hAnsiTheme="majorBidi" w:cstheme="majorBidi"/>
          <w:sz w:val="26"/>
          <w:szCs w:val="26"/>
          <w:rtl/>
        </w:rPr>
        <w:t>) باستخدام الأدوات الرقمية لتحقيق الكفاءة التشغيلية والقدرة على التنبؤ في المنفذ الجمركي" (</w:t>
      </w:r>
      <w:r w:rsidRPr="00A92155">
        <w:rPr>
          <w:rFonts w:asciiTheme="majorBidi" w:hAnsiTheme="majorBidi" w:cstheme="majorBidi"/>
          <w:sz w:val="26"/>
          <w:szCs w:val="26"/>
        </w:rPr>
        <w:t>WCO, 2023</w:t>
      </w:r>
      <w:r w:rsidRPr="00A92155">
        <w:rPr>
          <w:rFonts w:asciiTheme="majorBidi" w:hAnsiTheme="majorBidi" w:cstheme="majorBidi"/>
          <w:sz w:val="26"/>
          <w:szCs w:val="26"/>
          <w:rtl/>
        </w:rPr>
        <w:t>). هذا التعريف يشمل ثلاث ركائز مفاهيمية أساسية:</w:t>
      </w:r>
    </w:p>
    <w:p w14:paraId="61A462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أ. الشفافية وقابلية التنبؤ (</w:t>
      </w:r>
      <w:r w:rsidRPr="00A92155">
        <w:rPr>
          <w:rFonts w:asciiTheme="majorBidi" w:hAnsiTheme="majorBidi" w:cstheme="majorBidi"/>
          <w:sz w:val="26"/>
          <w:szCs w:val="26"/>
        </w:rPr>
        <w:t>Transparency and Predictability</w:t>
      </w:r>
      <w:r w:rsidRPr="00A92155">
        <w:rPr>
          <w:rFonts w:asciiTheme="majorBidi" w:hAnsiTheme="majorBidi" w:cstheme="majorBidi"/>
          <w:sz w:val="26"/>
          <w:szCs w:val="26"/>
          <w:rtl/>
        </w:rPr>
        <w:t>):</w:t>
      </w:r>
    </w:p>
    <w:p w14:paraId="7A63758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يجب أن تتيح الأنظمة الرقمية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للتجار والمستوردين معرفة واضحة ومسبقة بجميع المتطلبات الجمركية والضريبية والرسوم.</w:t>
      </w:r>
    </w:p>
    <w:p w14:paraId="54A0C29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على أن الشفافية هي العامل الأول لبناء الثقة في البيئة التجارية، وأن نشر اللوائح والتعريفات بشكل إلكتروني ومحدث هو التزام قانوني واقتصادي.</w:t>
      </w:r>
    </w:p>
    <w:p w14:paraId="3656E3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يتجسد ذلك في توفير جميع الخدمات والمعلومات المتعلقة بالتعريفات الجمركية، والقيود على الاستيراد والتصدير، وقوانين الزكاة والضريبة، عبر منصة إلكترونية واحدة قبل وصول الشحنات.</w:t>
      </w:r>
    </w:p>
    <w:p w14:paraId="3E6506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 الأتمتة الكاملة (</w:t>
      </w:r>
      <w:r w:rsidRPr="00A92155">
        <w:rPr>
          <w:rFonts w:asciiTheme="majorBidi" w:hAnsiTheme="majorBidi" w:cstheme="majorBidi"/>
          <w:sz w:val="26"/>
          <w:szCs w:val="26"/>
        </w:rPr>
        <w:t>End-to-End Automation</w:t>
      </w:r>
      <w:r w:rsidRPr="00A92155">
        <w:rPr>
          <w:rFonts w:asciiTheme="majorBidi" w:hAnsiTheme="majorBidi" w:cstheme="majorBidi"/>
          <w:sz w:val="26"/>
          <w:szCs w:val="26"/>
          <w:rtl/>
        </w:rPr>
        <w:t>):</w:t>
      </w:r>
    </w:p>
    <w:p w14:paraId="44A5C2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تعني أتمتة جميع الخطوات من تقديم البيان الجمركي حتى الإفراج النهائي عن البضاعة دون الحاجة للتدخل البشري اليدوي إلا في حالات التدقيق عالية المخاطر.</w:t>
      </w:r>
    </w:p>
    <w:p w14:paraId="2612D9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وشددت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على أن الأتمتة في القطاع الحكومي ليست خياراً تقنياً بل متطلباً لزيادة الإنتاجية وتقليل احتمالية الخطأ البشري.</w:t>
      </w:r>
    </w:p>
    <w:p w14:paraId="3C2EB6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نظام "فسح" (</w:t>
      </w:r>
      <w:r w:rsidRPr="00A92155">
        <w:rPr>
          <w:rFonts w:asciiTheme="majorBidi" w:hAnsiTheme="majorBidi" w:cstheme="majorBidi"/>
          <w:sz w:val="26"/>
          <w:szCs w:val="26"/>
        </w:rPr>
        <w:t>Fasah</w:t>
      </w:r>
      <w:r w:rsidRPr="00A92155">
        <w:rPr>
          <w:rFonts w:asciiTheme="majorBidi" w:hAnsiTheme="majorBidi" w:cstheme="majorBidi"/>
          <w:sz w:val="26"/>
          <w:szCs w:val="26"/>
          <w:rtl/>
        </w:rPr>
        <w:t xml:space="preserve">) ومنصات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يجب أن تحقق الأتمتة الشاملة لضمان التخليص في دقائق، خاصة للشحنات المصنفة ضمن المسار الأخضر.</w:t>
      </w:r>
    </w:p>
    <w:p w14:paraId="6717678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ج. التناغم والتوحيد (</w:t>
      </w:r>
      <w:r w:rsidRPr="00A92155">
        <w:rPr>
          <w:rFonts w:asciiTheme="majorBidi" w:hAnsiTheme="majorBidi" w:cstheme="majorBidi"/>
          <w:sz w:val="26"/>
          <w:szCs w:val="26"/>
        </w:rPr>
        <w:t>Harmonization and Standardization</w:t>
      </w:r>
      <w:r w:rsidRPr="00A92155">
        <w:rPr>
          <w:rFonts w:asciiTheme="majorBidi" w:hAnsiTheme="majorBidi" w:cstheme="majorBidi"/>
          <w:sz w:val="26"/>
          <w:szCs w:val="26"/>
          <w:rtl/>
        </w:rPr>
        <w:t>):</w:t>
      </w:r>
    </w:p>
    <w:p w14:paraId="07EB7A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تيسير التجارة توحيد متطلبات البيانات والوثائق بين جميع الوكالات الحدودية والتجارية، محلياً ودولياً.</w:t>
      </w:r>
    </w:p>
    <w:p w14:paraId="6FB59CD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w:t>
      </w:r>
      <w:r w:rsidRPr="00A92155">
        <w:rPr>
          <w:rFonts w:asciiTheme="majorBidi" w:hAnsiTheme="majorBidi" w:cstheme="majorBidi" w:hint="cs"/>
          <w:sz w:val="26"/>
          <w:szCs w:val="26"/>
          <w:rtl/>
        </w:rPr>
        <w:t xml:space="preserve">أنها </w:t>
      </w:r>
      <w:r w:rsidRPr="00A92155">
        <w:rPr>
          <w:rFonts w:asciiTheme="majorBidi" w:hAnsiTheme="majorBidi" w:cstheme="majorBidi"/>
          <w:sz w:val="26"/>
          <w:szCs w:val="26"/>
          <w:rtl/>
        </w:rPr>
        <w:t>دعت إلى تبني معايير موحدة للبيانات عبر الحدود لتقليل تكلفة إعادة التقديم والمعالجة، مشيرة إلى أن التناغم يحسن الكفاءة اللوجستية للمنطقة بأسرها.</w:t>
      </w:r>
    </w:p>
    <w:p w14:paraId="254F8BD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التعاون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النقل والخدمات اللوجستية وهيئة الغذاء والدواء لضمان أن البيان الجمركي يحتوي على مجموعة بيانات موحدة يتم الاعتراف بها من قبل جميع الأطراف.</w:t>
      </w:r>
    </w:p>
    <w:p w14:paraId="77B4DB4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2.4.2 اتفاقية منظمة التجارة العالمية (</w:t>
      </w:r>
      <w:r w:rsidRPr="00A92155">
        <w:rPr>
          <w:rFonts w:asciiTheme="majorBidi" w:hAnsiTheme="majorBidi" w:cs="PT Bold Heading"/>
          <w:b/>
          <w:bCs/>
          <w:color w:val="000000" w:themeColor="text1"/>
          <w:sz w:val="26"/>
          <w:szCs w:val="26"/>
        </w:rPr>
        <w:t>TFA</w:t>
      </w:r>
      <w:r w:rsidRPr="00A92155">
        <w:rPr>
          <w:rFonts w:asciiTheme="majorBidi" w:hAnsiTheme="majorBidi" w:cs="PT Bold Heading"/>
          <w:b/>
          <w:bCs/>
          <w:color w:val="000000" w:themeColor="text1"/>
          <w:sz w:val="26"/>
          <w:szCs w:val="26"/>
          <w:rtl/>
        </w:rPr>
        <w:t>) كأساس قانوني عالمي لتيسير التجارة</w:t>
      </w:r>
    </w:p>
    <w:p w14:paraId="704CE5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اتفاقية 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الصادرة عن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xml:space="preserve">) الإطار التنظيمي العالمي لتيسير التجارة، وهي تمثل الأساس القانوني الذي يستند إليه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5105589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lang w:bidi="ar-EG"/>
        </w:rPr>
        <w:t>1</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rPr>
        <w:t>2</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lang w:bidi="ar-EG"/>
        </w:rPr>
        <w:t>4</w:t>
      </w:r>
      <w:r w:rsidRPr="00A92155">
        <w:rPr>
          <w:rFonts w:asciiTheme="majorBidi" w:hAnsiTheme="majorBidi" w:cs="PT Bold Heading"/>
          <w:b/>
          <w:bCs/>
          <w:color w:val="000000" w:themeColor="text1"/>
          <w:sz w:val="26"/>
          <w:szCs w:val="26"/>
          <w:lang w:bidi="ar-EG"/>
        </w:rPr>
        <w:t>,</w:t>
      </w:r>
      <w:r w:rsidRPr="00A92155">
        <w:rPr>
          <w:rFonts w:asciiTheme="majorBidi" w:hAnsiTheme="majorBidi" w:cs="PT Bold Heading" w:hint="cs"/>
          <w:b/>
          <w:bCs/>
          <w:color w:val="000000" w:themeColor="text1"/>
          <w:sz w:val="26"/>
          <w:szCs w:val="26"/>
          <w:rtl/>
          <w:lang w:bidi="ar-EG"/>
        </w:rPr>
        <w:t xml:space="preserve">2 </w:t>
      </w:r>
      <w:r w:rsidRPr="00A92155">
        <w:rPr>
          <w:rFonts w:asciiTheme="majorBidi" w:hAnsiTheme="majorBidi" w:cs="PT Bold Heading" w:hint="cs"/>
          <w:b/>
          <w:bCs/>
          <w:color w:val="000000" w:themeColor="text1"/>
          <w:sz w:val="26"/>
          <w:szCs w:val="26"/>
          <w:rtl/>
        </w:rPr>
        <w:t>ا</w:t>
      </w:r>
      <w:r w:rsidRPr="00A92155">
        <w:rPr>
          <w:rFonts w:asciiTheme="majorBidi" w:hAnsiTheme="majorBidi" w:cs="PT Bold Heading"/>
          <w:b/>
          <w:bCs/>
          <w:color w:val="000000" w:themeColor="text1"/>
          <w:sz w:val="26"/>
          <w:szCs w:val="26"/>
          <w:rtl/>
        </w:rPr>
        <w:t xml:space="preserve">لأهمية القانونية والاستراتيجية لاتفاقية </w:t>
      </w:r>
      <w:r w:rsidRPr="00A92155">
        <w:rPr>
          <w:rFonts w:asciiTheme="majorBidi" w:hAnsiTheme="majorBidi" w:cs="PT Bold Heading"/>
          <w:b/>
          <w:bCs/>
          <w:color w:val="000000" w:themeColor="text1"/>
          <w:sz w:val="26"/>
          <w:szCs w:val="26"/>
        </w:rPr>
        <w:t>TFA</w:t>
      </w:r>
    </w:p>
    <w:p w14:paraId="5523A94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xml:space="preserve">) أن اتفاقية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هي المحفز الأكبر للإصلاحات الجمركية عالمياً، وأن الدول التي تلتزم بها وتحقق معدلات تنفيذ عالية هي الأكثر استفادة من التدفقات التجارية العالمية.</w:t>
      </w:r>
    </w:p>
    <w:p w14:paraId="542243F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 الوطني:</w:t>
      </w:r>
      <w:r w:rsidRPr="00A92155">
        <w:rPr>
          <w:rFonts w:asciiTheme="majorBidi" w:hAnsiTheme="majorBidi" w:cstheme="majorBidi"/>
          <w:sz w:val="26"/>
          <w:szCs w:val="26"/>
          <w:rtl/>
        </w:rPr>
        <w:t xml:space="preserve"> تلتزم المملكة العربية السعودية بتنفيذ بنود الاتفاقية، حيث يتطلب هذا التنفيذ بالضرورة الاعتماد الكامل على الأنظمة الرقمية لضمان السرعة والشفافية.</w:t>
      </w:r>
    </w:p>
    <w:p w14:paraId="41962A8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2.4.2.2 مواد الاتفاقية وعلاقتها بالتحول الرقمي لـ </w:t>
      </w:r>
      <w:r w:rsidRPr="00A92155">
        <w:rPr>
          <w:rFonts w:asciiTheme="majorBidi" w:hAnsiTheme="majorBidi" w:cs="PT Bold Heading"/>
          <w:b/>
          <w:bCs/>
          <w:color w:val="000000" w:themeColor="text1"/>
          <w:sz w:val="26"/>
          <w:szCs w:val="26"/>
        </w:rPr>
        <w:t>ZATCA</w:t>
      </w:r>
    </w:p>
    <w:p w14:paraId="38EA68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المادة 10 (الإفراج عن البضائع ومراقبتها):</w:t>
      </w:r>
    </w:p>
    <w:p w14:paraId="13A63029"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تفرض هذه المادة على الدول إتاحة الإفراج المسبق عن البضائع قبل وصولها (</w:t>
      </w:r>
      <w:r w:rsidRPr="00A92155">
        <w:rPr>
          <w:rFonts w:asciiTheme="majorBidi" w:hAnsiTheme="majorBidi" w:cstheme="majorBidi"/>
          <w:sz w:val="26"/>
          <w:szCs w:val="26"/>
        </w:rPr>
        <w:t>Advance Rulings</w:t>
      </w:r>
      <w:r w:rsidRPr="00A92155">
        <w:rPr>
          <w:rFonts w:asciiTheme="majorBidi" w:hAnsiTheme="majorBidi" w:cstheme="majorBidi"/>
          <w:sz w:val="26"/>
          <w:szCs w:val="26"/>
          <w:rtl/>
        </w:rPr>
        <w:t>) وتبني إدارة المخاطر.</w:t>
      </w:r>
    </w:p>
    <w:p w14:paraId="69925747"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هذا الإفراج المسبق أنظمة رقمية متقدمة لتحليل المخاطر (</w:t>
      </w:r>
      <w:r w:rsidRPr="00A92155">
        <w:rPr>
          <w:rFonts w:asciiTheme="majorBidi" w:hAnsiTheme="majorBidi" w:cstheme="majorBidi"/>
          <w:sz w:val="26"/>
          <w:szCs w:val="26"/>
        </w:rPr>
        <w:t>AI-driven Risk Management</w:t>
      </w:r>
      <w:r w:rsidRPr="00A92155">
        <w:rPr>
          <w:rFonts w:asciiTheme="majorBidi" w:hAnsiTheme="majorBidi" w:cstheme="majorBidi"/>
          <w:sz w:val="26"/>
          <w:szCs w:val="26"/>
          <w:rtl/>
        </w:rPr>
        <w:t>) باستخدام البيانات المسبقة للشحن، مما يتيح التخليص التلقائي للشحنات منخفضة المخاطر (المسار الأخضر) عند وصولها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2E2B3C7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المادة 10.4 (النافذة الواحدة):</w:t>
      </w:r>
    </w:p>
    <w:p w14:paraId="4BBAD2B5"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تأسيس أو الحفاظ على ترتيبات النافذة الواحدة.</w:t>
      </w:r>
    </w:p>
    <w:p w14:paraId="593235CE"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تطوير منصة "فسح" والربط الإلكتروني المستمر مع الجهات الحكومية والخاصة الأخرى هو التطبيق المباشر لهذا البند، مما يقلل من زمن التعاملات الورقية والمراجعات المتعددة.</w:t>
      </w:r>
    </w:p>
    <w:p w14:paraId="764707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المادة 7.3 (إدارة المخاطر):</w:t>
      </w:r>
    </w:p>
    <w:p w14:paraId="1DFEBB57"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تطبيق نهج إدارة المخاطر للحد من متطلبات التفتيش على الشحنات منخفضة المخاطر.</w:t>
      </w:r>
    </w:p>
    <w:p w14:paraId="5065A856"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أنظمة الذكاء الاصطناعي لـ </w:t>
      </w:r>
      <w:r w:rsidRPr="00A92155">
        <w:rPr>
          <w:rFonts w:asciiTheme="majorBidi" w:hAnsiTheme="majorBidi" w:cstheme="majorBidi"/>
          <w:b/>
          <w:bCs/>
          <w:sz w:val="26"/>
          <w:szCs w:val="26"/>
          <w:rtl/>
        </w:rPr>
        <w:t>التصنيف التنبؤي (</w:t>
      </w:r>
      <w:r w:rsidRPr="00A92155">
        <w:rPr>
          <w:rFonts w:asciiTheme="majorBidi" w:hAnsiTheme="majorBidi" w:cstheme="majorBidi"/>
          <w:b/>
          <w:bCs/>
          <w:sz w:val="26"/>
          <w:szCs w:val="26"/>
        </w:rPr>
        <w:t>Predictive Classification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للشحنات، مما يضمن أن 90% أو أكثر من الشحنات تمر دون تدقيق يدوي، وهو جوهر تيسير التجارة.</w:t>
      </w:r>
    </w:p>
    <w:p w14:paraId="66F7B9C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 البُعد التكنولوجي: التحول من الجمرك الورقي إلى الجمرك الذكي</w:t>
      </w:r>
    </w:p>
    <w:p w14:paraId="489E7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w:t>
      </w: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هو المُمكّن الأساسي لتيسير التجارة، حيث يمثل استخدام التقنيات المتقدمة في الجمارك والضرائب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هو الفاصل بين الاقتصاد التقليدي والاقتصاد الرقمي. هذا البُعد يركز على الكيفية التي يمكن للتقنية بها أن تخدم السرعة والكفاءة.</w:t>
      </w:r>
    </w:p>
    <w:p w14:paraId="030155E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lastRenderedPageBreak/>
        <w:t>2.4.3.1 مفهوم الجمارك 4.0 وتطبيقاتها في</w:t>
      </w:r>
      <w:r w:rsidRPr="00A92155">
        <w:rPr>
          <w:rFonts w:asciiTheme="majorBidi" w:hAnsiTheme="majorBidi" w:cstheme="majorBidi"/>
          <w:b/>
          <w:bCs/>
          <w:sz w:val="26"/>
          <w:szCs w:val="26"/>
          <w:rtl/>
        </w:rPr>
        <w:t xml:space="preserve"> </w:t>
      </w:r>
      <w:r w:rsidRPr="00A92155">
        <w:rPr>
          <w:rFonts w:asciiTheme="majorBidi" w:hAnsiTheme="majorBidi" w:cs="PT Bold Heading"/>
          <w:b/>
          <w:bCs/>
          <w:color w:val="000000" w:themeColor="text1"/>
          <w:sz w:val="26"/>
          <w:szCs w:val="26"/>
        </w:rPr>
        <w:t>ZATCA</w:t>
      </w:r>
    </w:p>
    <w:p w14:paraId="65482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يشير مفهوم الجمارك 4.0 إلى استخدام التقنيات الناشئة للثورة الصناعية الرابعة (4</w:t>
      </w:r>
      <w:r w:rsidRPr="00A92155">
        <w:rPr>
          <w:rFonts w:asciiTheme="majorBidi" w:hAnsiTheme="majorBidi" w:cstheme="majorBidi"/>
          <w:sz w:val="26"/>
          <w:szCs w:val="26"/>
        </w:rPr>
        <w:t>IR</w:t>
      </w:r>
      <w:r w:rsidRPr="00A92155">
        <w:rPr>
          <w:rFonts w:asciiTheme="majorBidi" w:hAnsiTheme="majorBidi" w:cstheme="majorBidi"/>
          <w:sz w:val="26"/>
          <w:szCs w:val="26"/>
          <w:rtl/>
        </w:rPr>
        <w:t>)، مثل الذكاء الاصطناعي، والبيانات الضخمة، والتحليلات المتقدمة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1D289F2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أن الجمارك 4.0 تهدف إلى تحقيق "جمارك غير مرئية" (</w:t>
      </w:r>
      <w:r w:rsidRPr="00A92155">
        <w:rPr>
          <w:rFonts w:asciiTheme="majorBidi" w:hAnsiTheme="majorBidi" w:cstheme="majorBidi"/>
          <w:sz w:val="26"/>
          <w:szCs w:val="26"/>
        </w:rPr>
        <w:t>Invisible Customs</w:t>
      </w:r>
      <w:r w:rsidRPr="00A92155">
        <w:rPr>
          <w:rFonts w:asciiTheme="majorBidi" w:hAnsiTheme="majorBidi" w:cstheme="majorBidi"/>
          <w:sz w:val="26"/>
          <w:szCs w:val="26"/>
          <w:rtl/>
        </w:rPr>
        <w:t>)، حيث يتم التخليص التلقائي دون شعور التاجر بالتدخل الجمركي.</w:t>
      </w:r>
    </w:p>
    <w:p w14:paraId="3A6D759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العملي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p>
    <w:p w14:paraId="144478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بالروبوتات (</w:t>
      </w:r>
      <w:r w:rsidRPr="00A92155">
        <w:rPr>
          <w:rFonts w:asciiTheme="majorBidi" w:hAnsiTheme="majorBidi" w:cstheme="majorBidi"/>
          <w:b/>
          <w:bCs/>
          <w:sz w:val="26"/>
          <w:szCs w:val="26"/>
        </w:rPr>
        <w:t>RPA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برمجيات الروبوتات لأتمتة المهام المتكررة في التدقيق على الوثائق والتصاريح، مما يوفر وقتاً كبيراً للموظفين للتركيز على قضايا المخاطر العالية.</w:t>
      </w:r>
    </w:p>
    <w:p w14:paraId="21C6D0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البنى التحتية السحابية لتمكين الوصول السريع والآمن للبيانات، وهو أمر حيوي لربط المنافذ الجمركية المختلفة (البرية، البحرية، الجوية) بكفاءة ومرونة عالية.</w:t>
      </w:r>
    </w:p>
    <w:p w14:paraId="632D116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2.4.3.2 الذكاء الاصطناعي والتعلم الآلي في عمليات التخليص</w:t>
      </w:r>
    </w:p>
    <w:p w14:paraId="5301B2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الذكاء الاصطناعي قلب التحول الرقمي الذي يحقق تيسير التجارة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0326CBCE"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الفرز التلقائي للشحنات (</w:t>
      </w:r>
      <w:r w:rsidRPr="00A92155">
        <w:rPr>
          <w:rFonts w:asciiTheme="majorBidi" w:hAnsiTheme="majorBidi" w:cstheme="majorBidi"/>
          <w:b/>
          <w:bCs/>
          <w:sz w:val="26"/>
          <w:szCs w:val="26"/>
        </w:rPr>
        <w:t>Automated Sorting</w:t>
      </w:r>
      <w:r w:rsidRPr="00A92155">
        <w:rPr>
          <w:rFonts w:asciiTheme="majorBidi" w:hAnsiTheme="majorBidi" w:cstheme="majorBidi"/>
          <w:b/>
          <w:bCs/>
          <w:sz w:val="26"/>
          <w:szCs w:val="26"/>
          <w:rtl/>
        </w:rPr>
        <w:t>):</w:t>
      </w:r>
    </w:p>
    <w:p w14:paraId="026546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J., 2018</w:t>
      </w:r>
      <w:r w:rsidRPr="00A92155">
        <w:rPr>
          <w:rFonts w:asciiTheme="majorBidi" w:hAnsiTheme="majorBidi" w:cstheme="majorBidi"/>
          <w:sz w:val="26"/>
          <w:szCs w:val="26"/>
          <w:rtl/>
        </w:rPr>
        <w:t>) أكد أن خوارزميات التعلم الآلي تتفوق على الطرق التقليدية في تحديد الأنماط المعقدة للمخاطر، مما يقلل من نسبة التفتيش اليدوي إلى أقل من 5%.</w:t>
      </w:r>
    </w:p>
    <w:p w14:paraId="025DAD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نماذج تعلم آلي قائمة على شبكات عصبية عميقة (</w:t>
      </w:r>
      <w:r w:rsidRPr="00A92155">
        <w:rPr>
          <w:rFonts w:asciiTheme="majorBidi" w:hAnsiTheme="majorBidi" w:cstheme="majorBidi"/>
          <w:sz w:val="26"/>
          <w:szCs w:val="26"/>
        </w:rPr>
        <w:t>Deep Neural Networks</w:t>
      </w:r>
      <w:r w:rsidRPr="00A92155">
        <w:rPr>
          <w:rFonts w:asciiTheme="majorBidi" w:hAnsiTheme="majorBidi" w:cstheme="majorBidi"/>
          <w:sz w:val="26"/>
          <w:szCs w:val="26"/>
          <w:rtl/>
        </w:rPr>
        <w:t xml:space="preserve">) لتحليل 300 متغير أو أكثر (بلد المنشأ، سجل المستورد، نوع السلعة، المسار اللوجستي) لتصنيف الشحنة في أقل من ثانية واحدة إلى </w:t>
      </w:r>
      <w:r w:rsidRPr="00A92155">
        <w:rPr>
          <w:rFonts w:asciiTheme="majorBidi" w:hAnsiTheme="majorBidi" w:cstheme="majorBidi"/>
          <w:b/>
          <w:bCs/>
          <w:sz w:val="26"/>
          <w:szCs w:val="26"/>
          <w:rtl/>
        </w:rPr>
        <w:t>مسار أخضر (تخليص فوري)</w:t>
      </w:r>
      <w:r w:rsidRPr="00A92155">
        <w:rPr>
          <w:rFonts w:asciiTheme="majorBidi" w:hAnsiTheme="majorBidi" w:cstheme="majorBidi"/>
          <w:sz w:val="26"/>
          <w:szCs w:val="26"/>
          <w:rtl/>
        </w:rPr>
        <w:t>، أو أصفر (تدقيق وثائقي)، أو أحمر (تفتيش مادي). هذا التمييز السريع هو جوهر التيسير.</w:t>
      </w:r>
    </w:p>
    <w:p w14:paraId="5EDE0CE2"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معالجة اللغة الطبيعية (</w:t>
      </w:r>
      <w:r w:rsidRPr="00A92155">
        <w:rPr>
          <w:rFonts w:asciiTheme="majorBidi" w:hAnsiTheme="majorBidi" w:cstheme="majorBidi"/>
          <w:b/>
          <w:bCs/>
          <w:sz w:val="26"/>
          <w:szCs w:val="26"/>
        </w:rPr>
        <w:t>NLP</w:t>
      </w:r>
      <w:r w:rsidRPr="00A92155">
        <w:rPr>
          <w:rFonts w:asciiTheme="majorBidi" w:hAnsiTheme="majorBidi" w:cstheme="majorBidi"/>
          <w:b/>
          <w:bCs/>
          <w:sz w:val="26"/>
          <w:szCs w:val="26"/>
          <w:rtl/>
        </w:rPr>
        <w:t>) في الوثائق:</w:t>
      </w:r>
    </w:p>
    <w:p w14:paraId="07A1104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xml:space="preserve">) أشار إلى أن </w:t>
      </w:r>
      <w:r w:rsidRPr="00A92155">
        <w:rPr>
          <w:rFonts w:asciiTheme="majorBidi" w:hAnsiTheme="majorBidi" w:cstheme="majorBidi"/>
          <w:sz w:val="26"/>
          <w:szCs w:val="26"/>
        </w:rPr>
        <w:t>NLP</w:t>
      </w:r>
      <w:r w:rsidRPr="00A92155">
        <w:rPr>
          <w:rFonts w:asciiTheme="majorBidi" w:hAnsiTheme="majorBidi" w:cstheme="majorBidi"/>
          <w:sz w:val="26"/>
          <w:szCs w:val="26"/>
          <w:rtl/>
        </w:rPr>
        <w:t xml:space="preserve"> تُستخدم لمعالجة كميات هائلة من النصوص غير المهيكلة في الفواتير والعقود، مما يسرع عملية مطابقة البيانات وفحص مدى الامتثال قبل وصول الشحنة.</w:t>
      </w:r>
    </w:p>
    <w:p w14:paraId="48FA9D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هذه التقنية لضمان أن الوصف في البيان الجمركي يطابق الوصف الفعلي في الفواتير والسجلات الأخرى، مما يقلل من الحاجة لمراجعات يدوية مطولة.</w:t>
      </w:r>
    </w:p>
    <w:p w14:paraId="517947A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2.4.4 التحول الرقمي في سلاسل التوريد العالمية (البُعد التكنولوجي)</w:t>
      </w:r>
    </w:p>
    <w:p w14:paraId="34BF0A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البُعد التكنولوجي ليشمل التكامل مع اللوجستيات الذكية، وهو ما يتطلب تقنيات متقدمة تكسر الحواجز التقليدية في سلاسل الإمداد.</w:t>
      </w:r>
    </w:p>
    <w:p w14:paraId="200347EA"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2.4.4.1 دور إنترنت الأشياء (</w:t>
      </w:r>
      <w:r w:rsidRPr="00A92155">
        <w:rPr>
          <w:rFonts w:asciiTheme="majorBidi" w:hAnsiTheme="majorBidi" w:cs="PT Bold Heading"/>
          <w:b/>
          <w:bCs/>
          <w:color w:val="000000" w:themeColor="text1"/>
          <w:sz w:val="26"/>
          <w:szCs w:val="26"/>
        </w:rPr>
        <w:t>IoT</w:t>
      </w:r>
      <w:r w:rsidRPr="00A92155">
        <w:rPr>
          <w:rFonts w:asciiTheme="majorBidi" w:hAnsiTheme="majorBidi" w:cs="PT Bold Heading"/>
          <w:b/>
          <w:bCs/>
          <w:color w:val="000000" w:themeColor="text1"/>
          <w:sz w:val="26"/>
          <w:szCs w:val="26"/>
          <w:rtl/>
        </w:rPr>
        <w:t>) والرقابة اللوجستية الذكية</w:t>
      </w:r>
    </w:p>
    <w:p w14:paraId="38EAAD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استخدام المستشعرات والأجهزة المتصلة بالإنترنت لجمع وتبادل البيانات اللوجستية في الوقت الفعلي.</w:t>
      </w:r>
    </w:p>
    <w:p w14:paraId="1E07664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xml:space="preserve">) نوه إلى أن دمج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في سلاسل الإمداد الحكومية يعزز الشفافية اللوجستية ويحسن من القدرة على التخطيط الاستراتيجي.</w:t>
      </w:r>
    </w:p>
    <w:p w14:paraId="1CEA61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(الأختام الإلكترونية):</w:t>
      </w:r>
    </w:p>
    <w:p w14:paraId="66B399B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الأختام الإلكترونية المزودة بـ </w:t>
      </w:r>
      <w:r w:rsidRPr="00A92155">
        <w:rPr>
          <w:rFonts w:asciiTheme="majorBidi" w:hAnsiTheme="majorBidi" w:cstheme="majorBidi"/>
          <w:sz w:val="26"/>
          <w:szCs w:val="26"/>
        </w:rPr>
        <w:t>GPS</w:t>
      </w:r>
      <w:r w:rsidRPr="00A92155">
        <w:rPr>
          <w:rFonts w:asciiTheme="majorBidi" w:hAnsiTheme="majorBidi" w:cstheme="majorBidi"/>
          <w:sz w:val="26"/>
          <w:szCs w:val="26"/>
          <w:rtl/>
        </w:rPr>
        <w:t xml:space="preserve"> ومستشعرات حرارة/رطوبة لمراقبة الحاويات والشاحنات التي يتم تخليصها بشكل مسبق أو التي تمر عبر المملكة. هذا يوفر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ورقمية.</w:t>
      </w:r>
    </w:p>
    <w:p w14:paraId="131D2B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الأثر على </w:t>
      </w:r>
      <w:r w:rsidRPr="00A92155">
        <w:rPr>
          <w:rFonts w:asciiTheme="majorBidi" w:hAnsiTheme="majorBidi" w:cstheme="majorBidi" w:hint="cs"/>
          <w:sz w:val="26"/>
          <w:szCs w:val="26"/>
          <w:rtl/>
        </w:rPr>
        <w:t xml:space="preserve">المتغير المتابع </w:t>
      </w:r>
      <w:r w:rsidRPr="00A92155">
        <w:rPr>
          <w:rFonts w:asciiTheme="majorBidi" w:hAnsiTheme="majorBidi" w:cstheme="majorBidi"/>
          <w:sz w:val="26"/>
          <w:szCs w:val="26"/>
          <w:rtl/>
        </w:rPr>
        <w:t>تيسير</w:t>
      </w:r>
      <w:r w:rsidRPr="00A92155">
        <w:rPr>
          <w:rFonts w:asciiTheme="majorBidi" w:hAnsiTheme="majorBidi" w:cstheme="majorBidi" w:hint="cs"/>
          <w:sz w:val="26"/>
          <w:szCs w:val="26"/>
          <w:rtl/>
        </w:rPr>
        <w:t xml:space="preserve"> التجارة</w:t>
      </w:r>
      <w:r w:rsidRPr="00A92155">
        <w:rPr>
          <w:rFonts w:asciiTheme="majorBidi" w:hAnsiTheme="majorBidi" w:cstheme="majorBidi"/>
          <w:sz w:val="26"/>
          <w:szCs w:val="26"/>
          <w:rtl/>
        </w:rPr>
        <w:t>: يسمح هذا التتبع للهيئة بتسهيل عملية العبور (</w:t>
      </w:r>
      <w:r w:rsidRPr="00A92155">
        <w:rPr>
          <w:rFonts w:asciiTheme="majorBidi" w:hAnsiTheme="majorBidi" w:cstheme="majorBidi"/>
          <w:sz w:val="26"/>
          <w:szCs w:val="26"/>
        </w:rPr>
        <w:t>Transit</w:t>
      </w:r>
      <w:r w:rsidRPr="00A92155">
        <w:rPr>
          <w:rFonts w:asciiTheme="majorBidi" w:hAnsiTheme="majorBidi" w:cstheme="majorBidi"/>
          <w:sz w:val="26"/>
          <w:szCs w:val="26"/>
          <w:rtl/>
        </w:rPr>
        <w:t>) بين دول مجلس التعاون الخليجي، وتسهيل التجارة بين موانئ المملكة (</w:t>
      </w:r>
      <w:r w:rsidRPr="00A92155">
        <w:rPr>
          <w:rFonts w:asciiTheme="majorBidi" w:hAnsiTheme="majorBidi" w:cstheme="majorBidi"/>
          <w:sz w:val="26"/>
          <w:szCs w:val="26"/>
        </w:rPr>
        <w:t>Coastal Shipping</w:t>
      </w:r>
      <w:r w:rsidRPr="00A92155">
        <w:rPr>
          <w:rFonts w:asciiTheme="majorBidi" w:hAnsiTheme="majorBidi" w:cstheme="majorBidi"/>
          <w:sz w:val="26"/>
          <w:szCs w:val="26"/>
          <w:rtl/>
        </w:rPr>
        <w:t>) دون الحاجة لتفتيش مادي متكرر.</w:t>
      </w:r>
    </w:p>
    <w:p w14:paraId="6125DF9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2.4.4.2 تقنية البلوكتشين (</w:t>
      </w:r>
      <w:r w:rsidRPr="00A92155">
        <w:rPr>
          <w:rFonts w:asciiTheme="majorBidi" w:hAnsiTheme="majorBidi" w:cs="PT Bold Heading"/>
          <w:b/>
          <w:bCs/>
          <w:color w:val="000000" w:themeColor="text1"/>
          <w:sz w:val="26"/>
          <w:szCs w:val="26"/>
        </w:rPr>
        <w:t>Blockchain</w:t>
      </w:r>
      <w:r w:rsidRPr="00A92155">
        <w:rPr>
          <w:rFonts w:asciiTheme="majorBidi" w:hAnsiTheme="majorBidi" w:cs="PT Bold Heading"/>
          <w:b/>
          <w:bCs/>
          <w:color w:val="000000" w:themeColor="text1"/>
          <w:sz w:val="26"/>
          <w:szCs w:val="26"/>
          <w:rtl/>
        </w:rPr>
        <w:t>) في توثيق التجارة</w:t>
      </w:r>
    </w:p>
    <w:p w14:paraId="04FE88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البلوكتشين تقنية محورية لتحقيق تيسير التجارة الرقمية من خلال بناء الثقة المتبادلة بين الأطراف.</w:t>
      </w:r>
    </w:p>
    <w:p w14:paraId="33D40DF9"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نظام سجل موزع (</w:t>
      </w:r>
      <w:r w:rsidRPr="00A92155">
        <w:rPr>
          <w:rFonts w:asciiTheme="majorBidi" w:hAnsiTheme="majorBidi" w:cstheme="majorBidi"/>
          <w:sz w:val="26"/>
          <w:szCs w:val="26"/>
        </w:rPr>
        <w:t>Distributed Ledger</w:t>
      </w:r>
      <w:r w:rsidRPr="00A92155">
        <w:rPr>
          <w:rFonts w:asciiTheme="majorBidi" w:hAnsiTheme="majorBidi" w:cstheme="majorBidi"/>
          <w:sz w:val="26"/>
          <w:szCs w:val="26"/>
          <w:rtl/>
        </w:rPr>
        <w:t>) غير قابل للتغيير، يسجل المعاملات بين الأطراف بطريقة آمنة وموثوقة، دون الحاجة لوسيط مركزي.</w:t>
      </w:r>
    </w:p>
    <w:p w14:paraId="6928E4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وحدد دراسة </w:t>
      </w:r>
      <w:r w:rsidRPr="00A92155">
        <w:rPr>
          <w:rFonts w:asciiTheme="majorBidi" w:hAnsiTheme="majorBidi" w:cstheme="majorBidi"/>
          <w:sz w:val="26"/>
          <w:szCs w:val="26"/>
          <w:rtl/>
        </w:rPr>
        <w:t>(</w:t>
      </w:r>
      <w:r w:rsidRPr="00A92155">
        <w:rPr>
          <w:rFonts w:asciiTheme="majorBidi" w:hAnsiTheme="majorBidi" w:cstheme="majorBidi"/>
          <w:sz w:val="26"/>
          <w:szCs w:val="26"/>
        </w:rPr>
        <w:t>OECD, 2018</w:t>
      </w:r>
      <w:r w:rsidRPr="00A92155">
        <w:rPr>
          <w:rFonts w:asciiTheme="majorBidi" w:hAnsiTheme="majorBidi" w:cstheme="majorBidi"/>
          <w:sz w:val="26"/>
          <w:szCs w:val="26"/>
          <w:rtl/>
        </w:rPr>
        <w:t>) حدد البلوكتشين كأداة رئيسية لـ "التجارة الرقمية الآمنة" لقدرتها على توفير مصدر بيانات موحد وموثوق للجمارك والجهات التنظيمية.</w:t>
      </w:r>
    </w:p>
    <w:p w14:paraId="60E3E9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(توثيق البيانات):</w:t>
      </w:r>
    </w:p>
    <w:p w14:paraId="227F39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شهادات المنشأ الرقمية:</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تطبيق البلوكتشين لتوثيق شهادات المنشأ والسجلات التجارية، مما يحل بشكل جذري مشكلة تزوير الوثائق ويقلل من الحاجة للتحقق اليدوي البطيء.</w:t>
      </w:r>
    </w:p>
    <w:p w14:paraId="05BFF08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العقود الذكية (</w:t>
      </w:r>
      <w:r w:rsidRPr="00A92155">
        <w:rPr>
          <w:rFonts w:asciiTheme="majorBidi" w:hAnsiTheme="majorBidi" w:cstheme="majorBidi"/>
          <w:b/>
          <w:bCs/>
          <w:sz w:val="26"/>
          <w:szCs w:val="26"/>
        </w:rPr>
        <w:t>Smart Contracts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يمكن برمجة العقود الجمركية والضريبية لتنفيذ إجراءات الدفع والإفراج تلقائياً عند استيفاء جميع الشروط المحددة (مثل وصول الشحنة، والتحقق من صحة الوثائق)، مما يسرع من الإجراءات المالية.</w:t>
      </w:r>
    </w:p>
    <w:p w14:paraId="2F7BF5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 الأبعاد الاقتصادية لتيسير التجارة (البُعد الاقتصادي)</w:t>
      </w:r>
    </w:p>
    <w:p w14:paraId="4193F2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البُعد الاقتصادي هو القيمة المضافة المحسوسة لتيسير التجارة، حيث يتم قياس أثر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مباشرة على تنافسية الاقتصاد السعودي.</w:t>
      </w:r>
    </w:p>
    <w:p w14:paraId="63C37E1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2.4.5.1 خفض تكاليف التجارة والامتثال على القطاع الخاص</w:t>
      </w:r>
    </w:p>
    <w:p w14:paraId="5DC822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الامتثال المباشرة:</w:t>
      </w:r>
    </w:p>
    <w:p w14:paraId="61F196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وقدرت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قدرت أن كل يوم تأخير في التخليص الجمركي يمكن أن يزيد من تكاليف التجارة بنسبة 0.4% من قيمة البضاعة.</w:t>
      </w:r>
    </w:p>
    <w:p w14:paraId="0C3203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في </w:t>
      </w:r>
      <w:r w:rsidRPr="00A92155">
        <w:rPr>
          <w:rFonts w:asciiTheme="majorBidi" w:hAnsiTheme="majorBidi" w:cstheme="majorBidi"/>
          <w:sz w:val="26"/>
          <w:szCs w:val="26"/>
        </w:rPr>
        <w:t>ZATCA</w:t>
      </w:r>
      <w:r w:rsidRPr="00A92155">
        <w:rPr>
          <w:rFonts w:asciiTheme="majorBidi" w:hAnsiTheme="majorBidi" w:cstheme="majorBidi"/>
          <w:sz w:val="26"/>
          <w:szCs w:val="26"/>
          <w:rtl/>
        </w:rPr>
        <w:t>: إن خفض زمن التخليص من 14 يوماً (الماضي) إلى ساعات (الوضع الحالي في المسار الأخضر) يترجم إلى توفير ضخم في التكاليف التشغيلية (مثل تكاليف الموظفين المخصصين للإجراءات، وتكاليف النقل الإضافية).</w:t>
      </w:r>
    </w:p>
    <w:p w14:paraId="75B34F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التأخير (</w:t>
      </w:r>
      <w:r w:rsidRPr="00A92155">
        <w:rPr>
          <w:rFonts w:asciiTheme="majorBidi" w:hAnsiTheme="majorBidi" w:cstheme="majorBidi"/>
          <w:b/>
          <w:bCs/>
          <w:sz w:val="26"/>
          <w:szCs w:val="26"/>
        </w:rPr>
        <w:t>Demurrage and Detention</w:t>
      </w:r>
      <w:r w:rsidRPr="00A92155">
        <w:rPr>
          <w:rFonts w:asciiTheme="majorBidi" w:hAnsiTheme="majorBidi" w:cstheme="majorBidi"/>
          <w:b/>
          <w:bCs/>
          <w:sz w:val="26"/>
          <w:szCs w:val="26"/>
          <w:rtl/>
        </w:rPr>
        <w:t>):</w:t>
      </w:r>
    </w:p>
    <w:p w14:paraId="7AF00E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تؤدي السرعة الرقمية إلى تقليل تكاليف الغرامات المفروضة على الحاويات التي تتأخر في الموانئ (</w:t>
      </w:r>
      <w:r w:rsidRPr="00A92155">
        <w:rPr>
          <w:rFonts w:asciiTheme="majorBidi" w:hAnsiTheme="majorBidi" w:cstheme="majorBidi"/>
          <w:sz w:val="26"/>
          <w:szCs w:val="26"/>
        </w:rPr>
        <w:t>Demurrage</w:t>
      </w:r>
      <w:r w:rsidRPr="00A92155">
        <w:rPr>
          <w:rFonts w:asciiTheme="majorBidi" w:hAnsiTheme="majorBidi" w:cstheme="majorBidi"/>
          <w:sz w:val="26"/>
          <w:szCs w:val="26"/>
          <w:rtl/>
        </w:rPr>
        <w:t>)، مما يقلل من الأعباء المالية على المستوردين ويزيد من كفاءة الموانئ.</w:t>
      </w:r>
    </w:p>
    <w:p w14:paraId="666205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2.4.5.2 تسريع دورة رأس المال العامل (</w:t>
      </w:r>
      <w:r w:rsidRPr="00A92155">
        <w:rPr>
          <w:rFonts w:asciiTheme="majorBidi" w:hAnsiTheme="majorBidi" w:cs="PT Bold Heading"/>
          <w:b/>
          <w:bCs/>
          <w:color w:val="000000" w:themeColor="text1"/>
          <w:sz w:val="26"/>
          <w:szCs w:val="26"/>
        </w:rPr>
        <w:t>Working Capital Cycle</w:t>
      </w:r>
      <w:r w:rsidRPr="00A92155">
        <w:rPr>
          <w:rFonts w:asciiTheme="majorBidi" w:hAnsiTheme="majorBidi" w:cs="PT Bold Heading"/>
          <w:b/>
          <w:bCs/>
          <w:color w:val="000000" w:themeColor="text1"/>
          <w:sz w:val="26"/>
          <w:szCs w:val="26"/>
          <w:rtl/>
        </w:rPr>
        <w:t>)</w:t>
      </w:r>
    </w:p>
    <w:p w14:paraId="596D81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التعجيل بدوران المخزون (</w:t>
      </w:r>
      <w:r w:rsidRPr="00A92155">
        <w:rPr>
          <w:rFonts w:asciiTheme="majorBidi" w:hAnsiTheme="majorBidi" w:cstheme="majorBidi"/>
          <w:sz w:val="26"/>
          <w:szCs w:val="26"/>
        </w:rPr>
        <w:t>Inventory Turnover</w:t>
      </w:r>
      <w:r w:rsidRPr="00A92155">
        <w:rPr>
          <w:rFonts w:asciiTheme="majorBidi" w:hAnsiTheme="majorBidi" w:cstheme="majorBidi"/>
          <w:sz w:val="26"/>
          <w:szCs w:val="26"/>
          <w:rtl/>
        </w:rPr>
        <w:t>): يتيح تيسير التجارة للمستوردين والتجار تقليل كمية المخزون الاحتياطي الذي يحتفظون به (</w:t>
      </w:r>
      <w:r w:rsidRPr="00A92155">
        <w:rPr>
          <w:rFonts w:asciiTheme="majorBidi" w:hAnsiTheme="majorBidi" w:cstheme="majorBidi"/>
          <w:sz w:val="26"/>
          <w:szCs w:val="26"/>
        </w:rPr>
        <w:t>Safety Stock</w:t>
      </w:r>
      <w:r w:rsidRPr="00A92155">
        <w:rPr>
          <w:rFonts w:asciiTheme="majorBidi" w:hAnsiTheme="majorBidi" w:cstheme="majorBidi"/>
          <w:sz w:val="26"/>
          <w:szCs w:val="26"/>
          <w:rtl/>
        </w:rPr>
        <w:t>)، حيث أنهم يثقون في وصول البضائع في الوقت المحدد. هذا يحرر رأس مال كبير كان مجمداً في المخزون، ليعاد استثماره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5917FD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أكد أن تيسير التجارة يزيد من السيولة المالية للشركات من خلال تسريع دورة رأس المال، مما يعزز النمو الاقتصادي للشركات الصغيرة والمتوسطة (</w:t>
      </w:r>
      <w:r w:rsidRPr="00A92155">
        <w:rPr>
          <w:rFonts w:asciiTheme="majorBidi" w:hAnsiTheme="majorBidi" w:cstheme="majorBidi"/>
          <w:sz w:val="26"/>
          <w:szCs w:val="26"/>
        </w:rPr>
        <w:t>SMEs</w:t>
      </w:r>
      <w:r w:rsidRPr="00A92155">
        <w:rPr>
          <w:rFonts w:asciiTheme="majorBidi" w:hAnsiTheme="majorBidi" w:cstheme="majorBidi"/>
          <w:sz w:val="26"/>
          <w:szCs w:val="26"/>
          <w:rtl/>
        </w:rPr>
        <w:t>) بشكل خاص.</w:t>
      </w:r>
    </w:p>
    <w:p w14:paraId="086C3FB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2.4.5.3 تعزيز تنافسية المملكة وجذب الاستثمار الأجنبي</w:t>
      </w:r>
    </w:p>
    <w:p w14:paraId="3BD48C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مؤشر الأداء اللوجستي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p>
    <w:p w14:paraId="640D6FE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xml:space="preserve">) 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xml:space="preserve"> مقياساً عالمياً لجودة البنية التحتية اللوجستية، وكفاءة الجمارك هي العنصر الأبرز فيه.</w:t>
      </w:r>
    </w:p>
    <w:p w14:paraId="728B4FC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التحسينات المستمرة في الأتمتة والشفافية ترفع من ترتيب المملكة في المؤشر، مما يؤكد التزامها برؤية 2030 لتعزيز قطاع الخدمات اللوجستية.</w:t>
      </w:r>
    </w:p>
    <w:p w14:paraId="657F80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جذب سلاسل القيمة العالمية (</w:t>
      </w:r>
      <w:r w:rsidRPr="00A92155">
        <w:rPr>
          <w:rFonts w:asciiTheme="majorBidi" w:hAnsiTheme="majorBidi" w:cstheme="majorBidi"/>
          <w:b/>
          <w:bCs/>
          <w:sz w:val="26"/>
          <w:szCs w:val="26"/>
        </w:rPr>
        <w:t>GVCs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الشركات التي تدير سلاسل قيمة عالمية معقدة تبحث عن البيئات التي تضمن القدرة على التنبؤ في الإجراءات الجمركية. يوفر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الميزة، مما يزيد من جاذبية المملكة كمركز لوجستي لتلك الشركات.</w:t>
      </w:r>
    </w:p>
    <w:p w14:paraId="67752D3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 تقليل التهرب الضريبي وتعزيز الامتثال (البُعد: تقليل التهرب الضريبي وتعزيز الامتثال)</w:t>
      </w:r>
    </w:p>
    <w:p w14:paraId="1553B92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يعالج هذا البُعد الفكرة الشائعة بأن التيسير قد يأتي على حساب الرقابة. بالعكس، فإن التحول الرقمي يثبت أن التيسير الرقمي هو الأداة الأكثر فعالية لتعزيز الامتثال ومكافحة التهرب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7F396F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2.4.6.1 الرقمنة في مكافحة التهرب الضريبي والاحتيال المالي</w:t>
      </w:r>
    </w:p>
    <w:p w14:paraId="66F259B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نظام الفاتورة الإلكترونية (</w:t>
      </w:r>
      <w:r w:rsidRPr="00A92155">
        <w:rPr>
          <w:rFonts w:asciiTheme="majorBidi" w:hAnsiTheme="majorBidi" w:cstheme="majorBidi"/>
          <w:b/>
          <w:bCs/>
          <w:sz w:val="26"/>
          <w:szCs w:val="26"/>
        </w:rPr>
        <w:t>ZATCA’s FATOORAH</w:t>
      </w:r>
      <w:r w:rsidRPr="00A92155">
        <w:rPr>
          <w:rFonts w:asciiTheme="majorBidi" w:hAnsiTheme="majorBidi" w:cstheme="majorBidi"/>
          <w:b/>
          <w:bCs/>
          <w:sz w:val="26"/>
          <w:szCs w:val="26"/>
          <w:rtl/>
        </w:rPr>
        <w:t>):</w:t>
      </w:r>
    </w:p>
    <w:p w14:paraId="7A699E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أشارت إلى أن الفواتير الإلكترونية المطبقة في الوقت الفعلي (</w:t>
      </w:r>
      <w:r w:rsidRPr="00A92155">
        <w:rPr>
          <w:rFonts w:asciiTheme="majorBidi" w:hAnsiTheme="majorBidi" w:cstheme="majorBidi"/>
          <w:sz w:val="26"/>
          <w:szCs w:val="26"/>
        </w:rPr>
        <w:t>Real-time E-invoicing</w:t>
      </w:r>
      <w:r w:rsidRPr="00A92155">
        <w:rPr>
          <w:rFonts w:asciiTheme="majorBidi" w:hAnsiTheme="majorBidi" w:cstheme="majorBidi"/>
          <w:sz w:val="26"/>
          <w:szCs w:val="26"/>
          <w:rtl/>
        </w:rPr>
        <w:t>) تمنع التلاعب في الإقرارات الضريبية قبل حدوثه، مما يزيد من كفاءة التحصيل الضريبي.</w:t>
      </w:r>
    </w:p>
    <w:p w14:paraId="40FAEA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يلزم نظام "فاتورة" الشركات بإصدار فواتير إلكترونية عبر منصة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يمنح الهيئة رؤية فورية وكاملة لجميع المعاملات. هذا يكشف بشكل تلقائي عن أي تباين بين بيانات الجمارك (قيمة الاستيراد) وبيانات الضريبة (قيمة المبيعات المحلية).</w:t>
      </w:r>
    </w:p>
    <w:p w14:paraId="750C0B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تحليل البيانات الضخمة (</w:t>
      </w:r>
      <w:r w:rsidRPr="00A92155">
        <w:rPr>
          <w:rFonts w:asciiTheme="majorBidi" w:hAnsiTheme="majorBidi" w:cstheme="majorBidi"/>
          <w:b/>
          <w:bCs/>
          <w:sz w:val="26"/>
          <w:szCs w:val="26"/>
        </w:rPr>
        <w:t>Big Data Analytics</w:t>
      </w:r>
      <w:r w:rsidRPr="00A92155">
        <w:rPr>
          <w:rFonts w:asciiTheme="majorBidi" w:hAnsiTheme="majorBidi" w:cstheme="majorBidi"/>
          <w:b/>
          <w:bCs/>
          <w:sz w:val="26"/>
          <w:szCs w:val="26"/>
          <w:rtl/>
        </w:rPr>
        <w:t>) في التدقيق:</w:t>
      </w:r>
    </w:p>
    <w:p w14:paraId="6A2AF2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أدوات التحليلات المتقدمة لمقارنة البيانات من مصادر متعددة (البنوك، الجمارك، العقود، السجلات التجارية) للكشف عن الأنماط الشاذة التي تشير إلى غسل الأموال أو التهرب الضريبي والجمركي.</w:t>
      </w:r>
    </w:p>
    <w:p w14:paraId="0C99A24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2.4.6.2 أتمتة الإجراءات وتعزيز الامتثال الطوعي</w:t>
      </w:r>
    </w:p>
    <w:p w14:paraId="7CF285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الفساد وتقليل الاحتكاك:</w:t>
      </w:r>
    </w:p>
    <w:p w14:paraId="7F023D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أكد أن تقليل التدخل البشري من خلال الأتمتة يقلل من فرص الفساد الإداري (</w:t>
      </w:r>
      <w:r w:rsidRPr="00A92155">
        <w:rPr>
          <w:rFonts w:asciiTheme="majorBidi" w:hAnsiTheme="majorBidi" w:cstheme="majorBidi"/>
          <w:sz w:val="26"/>
          <w:szCs w:val="26"/>
        </w:rPr>
        <w:t>Discretionary Corruption</w:t>
      </w:r>
      <w:r w:rsidRPr="00A92155">
        <w:rPr>
          <w:rFonts w:asciiTheme="majorBidi" w:hAnsiTheme="majorBidi" w:cstheme="majorBidi"/>
          <w:sz w:val="26"/>
          <w:szCs w:val="26"/>
          <w:rtl/>
        </w:rPr>
        <w:t>)، مما يزيد من النزاهة والعدالة في تطبيق القانون.</w:t>
      </w:r>
    </w:p>
    <w:p w14:paraId="14085D6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الطوعي (</w:t>
      </w:r>
      <w:r w:rsidRPr="00A92155">
        <w:rPr>
          <w:rFonts w:asciiTheme="majorBidi" w:hAnsiTheme="majorBidi" w:cstheme="majorBidi"/>
          <w:b/>
          <w:bCs/>
          <w:sz w:val="26"/>
          <w:szCs w:val="26"/>
        </w:rPr>
        <w:t>Voluntary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عندما تضمن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تطبيق القوانين الضريبية والجمركية يتم بسرعة وشفافية ودون تمييز (من خلال الأتمتة)، يزداد ميل الشركات للامتثال الطوعي، مما يوفر على الهيئة تكاليف التدقيق والملاحقة القضائية.</w:t>
      </w:r>
    </w:p>
    <w:p w14:paraId="1FF3D9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المساءلة الرقمية:</w:t>
      </w:r>
      <w:r w:rsidRPr="00A92155">
        <w:rPr>
          <w:rFonts w:asciiTheme="majorBidi" w:hAnsiTheme="majorBidi" w:cstheme="majorBidi"/>
          <w:sz w:val="26"/>
          <w:szCs w:val="26"/>
          <w:rtl/>
        </w:rPr>
        <w:t xml:space="preserve"> يمكن للنظام الرقمي تسجيل كل خطوة في عملية التخليص، مما يضمن </w:t>
      </w:r>
      <w:r w:rsidRPr="00A92155">
        <w:rPr>
          <w:rFonts w:asciiTheme="majorBidi" w:hAnsiTheme="majorBidi" w:cstheme="majorBidi"/>
          <w:b/>
          <w:bCs/>
          <w:sz w:val="26"/>
          <w:szCs w:val="26"/>
          <w:rtl/>
        </w:rPr>
        <w:t>قابليّة التتبّع (</w:t>
      </w:r>
      <w:r w:rsidRPr="00A92155">
        <w:rPr>
          <w:rFonts w:asciiTheme="majorBidi" w:hAnsiTheme="majorBidi" w:cstheme="majorBidi"/>
          <w:b/>
          <w:bCs/>
          <w:sz w:val="26"/>
          <w:szCs w:val="26"/>
        </w:rPr>
        <w:t>Audit Trail</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والمساءلة الكاملة عن القرارات المتخذة، سواء كانت من النظام الآلي أو الموظف المشرف.</w:t>
      </w:r>
    </w:p>
    <w:p w14:paraId="68F5E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 الأبعاد البيئية والاجتماعية لتيسير التجارة (البُعد البيئي)</w:t>
      </w:r>
    </w:p>
    <w:p w14:paraId="3BCBBB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أثر تيسير التجارة ليشمل الاستدامة البيئية والاجتماعية، وهو ما يتماشى مع التزامات المملكة في إطار مبادرة السعودية الخضراء.</w:t>
      </w:r>
    </w:p>
    <w:p w14:paraId="11D6EE0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2.4.7.1 التجارة الخضراء وتقليل البصمة الكربونية (</w:t>
      </w:r>
      <w:r w:rsidRPr="00A92155">
        <w:rPr>
          <w:rFonts w:asciiTheme="majorBidi" w:hAnsiTheme="majorBidi" w:cs="PT Bold Heading"/>
          <w:b/>
          <w:bCs/>
          <w:color w:val="000000" w:themeColor="text1"/>
          <w:sz w:val="26"/>
          <w:szCs w:val="26"/>
        </w:rPr>
        <w:t>Environmental Dimension</w:t>
      </w:r>
      <w:r w:rsidRPr="00A92155">
        <w:rPr>
          <w:rFonts w:asciiTheme="majorBidi" w:hAnsiTheme="majorBidi" w:cs="PT Bold Heading"/>
          <w:b/>
          <w:bCs/>
          <w:color w:val="000000" w:themeColor="text1"/>
          <w:sz w:val="26"/>
          <w:szCs w:val="26"/>
          <w:rtl/>
        </w:rPr>
        <w:t>)</w:t>
      </w:r>
    </w:p>
    <w:p w14:paraId="7D75705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خفض الانبعاثات الكربونية في الحدود:</w:t>
      </w:r>
    </w:p>
    <w:p w14:paraId="1D6444A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أشارت إلى أن التأخير في الحدود هو مساهم كبير في انبعاثات الكربون في التجارة العالمية.</w:t>
      </w:r>
    </w:p>
    <w:p w14:paraId="2AAA7C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يؤدي التخليص السريع للشاحنات والحاويات (من خلال المسار الأخضر والنافذة الواحدة) إلى تقليل زمن تشغيل محركات الشاحنات أثناء الانتظار في المنافذ البرية والبحرية، مما يخفض بشكل مباشر من انبعاثات غازات الاحتباس الحراري. هذا يمثل مساهمة مباشرة من التحول الرقمي في تحقيق الأهداف البيئية الوطنية.</w:t>
      </w:r>
    </w:p>
    <w:p w14:paraId="696CBA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الحكومة اللاورقية (</w:t>
      </w:r>
      <w:r w:rsidRPr="00A92155">
        <w:rPr>
          <w:rFonts w:asciiTheme="majorBidi" w:hAnsiTheme="majorBidi" w:cstheme="majorBidi"/>
          <w:b/>
          <w:bCs/>
          <w:sz w:val="26"/>
          <w:szCs w:val="26"/>
        </w:rPr>
        <w:t>Paperless Environment</w:t>
      </w:r>
      <w:r w:rsidRPr="00A92155">
        <w:rPr>
          <w:rFonts w:asciiTheme="majorBidi" w:hAnsiTheme="majorBidi" w:cstheme="majorBidi"/>
          <w:b/>
          <w:bCs/>
          <w:sz w:val="26"/>
          <w:szCs w:val="26"/>
          <w:rtl/>
        </w:rPr>
        <w:t>):</w:t>
      </w:r>
    </w:p>
    <w:p w14:paraId="0B471C5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التحول الكامل إلى النظام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يلغي الحاجة إلى طباعة وتخزين آلاف الوثائق الجمركية والضريبية يومياً، مما يقلل من استهلاك الورق والموارد الطبيعية المرتبطة به.</w:t>
      </w:r>
    </w:p>
    <w:p w14:paraId="421830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2.4.7.2 الأبعاد الاجتماعية والرفاهية الاقتصادية</w:t>
      </w:r>
    </w:p>
    <w:p w14:paraId="350747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أمن المنتجات وسلامتها:</w:t>
      </w:r>
      <w:r w:rsidRPr="00A92155">
        <w:rPr>
          <w:rFonts w:asciiTheme="majorBidi" w:hAnsiTheme="majorBidi" w:cstheme="majorBidi"/>
          <w:sz w:val="26"/>
          <w:szCs w:val="26"/>
          <w:rtl/>
        </w:rPr>
        <w:t xml:space="preserve"> تساهم السرعة في التخليص الجمركي في ضمان وصول الشحنات الحساسة للوقت (مثل الأغذية الطازجة، واللقاحات، والأدوية) في حالة جيدة، مما يحمي صحة المستهلكين ويزيد من الرفاهية الاجتماعية.</w:t>
      </w:r>
    </w:p>
    <w:p w14:paraId="73463B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خلق وظائف المعرفة:</w:t>
      </w:r>
      <w:r w:rsidRPr="00A92155">
        <w:rPr>
          <w:rFonts w:asciiTheme="majorBidi" w:hAnsiTheme="majorBidi" w:cstheme="majorBidi"/>
          <w:sz w:val="26"/>
          <w:szCs w:val="26"/>
          <w:rtl/>
        </w:rPr>
        <w:t xml:space="preserve">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يعني إلغاء الوظائف، بل تحويلها من وظائف ورقية روتينية إلى وظائف ذات قيمة مضافة في مجالات تحليل البيانات، وإدارة المخاطر، والأمن السيبراني، مما يرفع من مستوى الكفاءات الرقمية الوطنية.</w:t>
      </w:r>
    </w:p>
    <w:p w14:paraId="686BF6E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 أثر التحول الرقمي في تعزيز التنافسية التجارية للمملكة</w:t>
      </w:r>
    </w:p>
    <w:p w14:paraId="10EB9F1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تيسير التجارة هو الآلية التنفيذية التي تربط التحول الرقمي بأهداف رؤية 2030 المتعلقة بتنويع الاقتصاد.</w:t>
      </w:r>
    </w:p>
    <w:p w14:paraId="3A41E38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2.4.8.1 ربط الكفاءة الرقمية بمؤشرات الأداء العالمية</w:t>
      </w:r>
    </w:p>
    <w:p w14:paraId="0CC3A8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أكد أن نجاح التحول الرقمي الحكومي يُقاس بمدى تحسن الدولة في المؤشرات الدولية التي تعكس الكفاءة والشفافية.</w:t>
      </w:r>
    </w:p>
    <w:p w14:paraId="4911445F" w14:textId="77777777" w:rsidR="00202E2A" w:rsidRPr="00A92155" w:rsidRDefault="00202E2A">
      <w:pPr>
        <w:numPr>
          <w:ilvl w:val="0"/>
          <w:numId w:val="10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التنافسية اللوجستية:</w:t>
      </w:r>
      <w:r w:rsidRPr="00A92155">
        <w:rPr>
          <w:rFonts w:asciiTheme="majorBidi" w:hAnsiTheme="majorBidi" w:cstheme="majorBidi"/>
          <w:sz w:val="26"/>
          <w:szCs w:val="26"/>
          <w:rtl/>
        </w:rPr>
        <w:t xml:space="preserve"> يتم قياس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بشكل مباشر من خلال:</w:t>
      </w:r>
    </w:p>
    <w:p w14:paraId="3678BCB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مؤشر أداء الخدمات اللوجستية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تشكل كفاءة الإجراءات الجمركية (السرعة، البساطة، التكنولوجيا) ثلث وزن المؤشر تقريباً.</w:t>
      </w:r>
    </w:p>
    <w:p w14:paraId="50EC87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منتدى الاقتصاد العالمي (</w:t>
      </w:r>
      <w:r w:rsidRPr="00A92155">
        <w:rPr>
          <w:rFonts w:asciiTheme="majorBidi" w:hAnsiTheme="majorBidi" w:cstheme="majorBidi"/>
          <w:b/>
          <w:bCs/>
          <w:sz w:val="26"/>
          <w:szCs w:val="26"/>
        </w:rPr>
        <w:t>WEF</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يتم تقييم مستوى الشفافية في الإجراءات الحكومية كعامل حاسم في التنافسية.</w:t>
      </w:r>
    </w:p>
    <w:p w14:paraId="1D2697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2.4.8.2 دعم حركة الصادرات والاستثمار اللوجستي</w:t>
      </w:r>
    </w:p>
    <w:p w14:paraId="6C8C7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تنمية الصادرات غير النفطية:</w:t>
      </w:r>
      <w:r w:rsidRPr="00A92155">
        <w:rPr>
          <w:rFonts w:asciiTheme="majorBidi" w:hAnsiTheme="majorBidi" w:cstheme="majorBidi"/>
          <w:sz w:val="26"/>
          <w:szCs w:val="26"/>
          <w:rtl/>
        </w:rPr>
        <w:t xml:space="preserve"> يساهم تيسير إجراءات التصدير عبر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تقليل التكاليف على المصدرين المحليين، مما يعزز قدرتهم على المنافسة في الأسواق الإقليمية والدولية.</w:t>
      </w:r>
    </w:p>
    <w:p w14:paraId="64429B0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مركز عالمي لسلاسل الإمداد:</w:t>
      </w:r>
      <w:r w:rsidRPr="00A92155">
        <w:rPr>
          <w:rFonts w:asciiTheme="majorBidi" w:hAnsiTheme="majorBidi" w:cstheme="majorBidi"/>
          <w:sz w:val="26"/>
          <w:szCs w:val="26"/>
          <w:rtl/>
        </w:rPr>
        <w:t xml:space="preserve"> إن القدرة على تقديم إجراءات جمركية سريعة وموثوقة (ما توفره الرقمنة) هي الشرط الأساسي لإقناع الشركات العالمية باستخدام المملكة كمركز إقليمي للتوزيع والخدمات اللوجستية، وهو الهدف الاستراتيجي الأبرز لرؤية 2030.</w:t>
      </w:r>
    </w:p>
    <w:p w14:paraId="6A41D16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 نماذج دولية لتيسير التجارة الرقمية (سنغافورة، الإمارات، الاتحاد الأوروبي)</w:t>
      </w:r>
    </w:p>
    <w:p w14:paraId="7A0C2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تعتمد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تطوير استراتيجياتها لتيسير التجارة على استخلاص الدروس من التجارب العالمية الرائدة في تطبيق الأبعاد الأربعة للمتغير التابع.</w:t>
      </w:r>
    </w:p>
    <w:p w14:paraId="406C06A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2.4.9.1 نموذج سنغافورة (</w:t>
      </w:r>
      <w:r w:rsidRPr="00A92155">
        <w:rPr>
          <w:rFonts w:asciiTheme="majorBidi" w:hAnsiTheme="majorBidi" w:cstheme="majorBidi"/>
          <w:b/>
          <w:bCs/>
          <w:sz w:val="26"/>
          <w:szCs w:val="26"/>
        </w:rPr>
        <w:t>TradeNet</w:t>
      </w:r>
      <w:r w:rsidRPr="00A92155">
        <w:rPr>
          <w:rFonts w:asciiTheme="majorBidi" w:hAnsiTheme="majorBidi" w:cstheme="majorBidi"/>
          <w:b/>
          <w:bCs/>
          <w:sz w:val="26"/>
          <w:szCs w:val="26"/>
          <w:rtl/>
        </w:rPr>
        <w:t>)</w:t>
      </w:r>
    </w:p>
    <w:p w14:paraId="0B48E81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رائدة في تطبيق نظام النافذة الواحدة منذ عام 1989. حققت أتمتة كاملة لإجراءات أكثر من 35 وكالة حكومية.</w:t>
      </w:r>
    </w:p>
    <w:p w14:paraId="06FCE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التعلم من نموذج التكامل العميق بين الجمارك، والهيئات التنظيمية، والمؤسسات المالية، لضمان تبادل بيانات </w:t>
      </w:r>
      <w:r w:rsidRPr="00A92155">
        <w:rPr>
          <w:rFonts w:asciiTheme="majorBidi" w:hAnsiTheme="majorBidi" w:cstheme="majorBidi"/>
          <w:b/>
          <w:bCs/>
          <w:sz w:val="26"/>
          <w:szCs w:val="26"/>
          <w:rtl/>
        </w:rPr>
        <w:t>النافذة الواحدة</w:t>
      </w:r>
      <w:r w:rsidRPr="00A92155">
        <w:rPr>
          <w:rFonts w:asciiTheme="majorBidi" w:hAnsiTheme="majorBidi" w:cstheme="majorBidi"/>
          <w:sz w:val="26"/>
          <w:szCs w:val="26"/>
          <w:rtl/>
        </w:rPr>
        <w:t xml:space="preserve"> دون أي تدخل بشري.</w:t>
      </w:r>
    </w:p>
    <w:p w14:paraId="2FDD1D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2.4.9.2 نموذج الإمارات العربية المتحدة (دبي للجمارك)</w:t>
      </w:r>
    </w:p>
    <w:p w14:paraId="50BEE0F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إقليمي يتميز بالمرونة وتبني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إدارة المخاطر.</w:t>
      </w:r>
    </w:p>
    <w:p w14:paraId="45C98C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تحليل كيفية استخدام الإمارات لـ </w:t>
      </w:r>
      <w:r w:rsidRPr="00A92155">
        <w:rPr>
          <w:rFonts w:asciiTheme="majorBidi" w:hAnsiTheme="majorBidi" w:cstheme="majorBidi"/>
          <w:b/>
          <w:bCs/>
          <w:sz w:val="26"/>
          <w:szCs w:val="26"/>
          <w:rtl/>
        </w:rPr>
        <w:t>الذكاء الاصطناعي التنبؤي</w:t>
      </w:r>
      <w:r w:rsidRPr="00A92155">
        <w:rPr>
          <w:rFonts w:asciiTheme="majorBidi" w:hAnsiTheme="majorBidi" w:cstheme="majorBidi"/>
          <w:sz w:val="26"/>
          <w:szCs w:val="26"/>
          <w:rtl/>
        </w:rPr>
        <w:t xml:space="preserve"> لتقليل معدلات التفتيش المادي إلى أدنى حد ممكن، مع الحفاظ على الأمن، وهو ما يعزز البُعد التكنولوجي والاقتصادي لتيسير التجارة.</w:t>
      </w:r>
    </w:p>
    <w:p w14:paraId="601BD3A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2.4.9.3 نموذج الاتحاد الأوروبي (</w:t>
      </w:r>
      <w:r w:rsidRPr="00A92155">
        <w:rPr>
          <w:rFonts w:asciiTheme="majorBidi" w:hAnsiTheme="majorBidi" w:cs="PT Bold Heading"/>
          <w:b/>
          <w:bCs/>
          <w:color w:val="000000" w:themeColor="text1"/>
          <w:sz w:val="26"/>
          <w:szCs w:val="26"/>
        </w:rPr>
        <w:t>European Single Window</w:t>
      </w:r>
      <w:r w:rsidRPr="00A92155">
        <w:rPr>
          <w:rFonts w:asciiTheme="majorBidi" w:hAnsiTheme="majorBidi" w:cs="PT Bold Heading"/>
          <w:b/>
          <w:bCs/>
          <w:color w:val="000000" w:themeColor="text1"/>
          <w:sz w:val="26"/>
          <w:szCs w:val="26"/>
          <w:rtl/>
        </w:rPr>
        <w:t>)</w:t>
      </w:r>
    </w:p>
    <w:p w14:paraId="2693D3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للتناغم والتوحيد القانوني والتقني بين دول ذات سياسات مختلفة. يوفر نظاماً جمركياً إلكترونياً مركزياً لتبادل بيانات الاستيراد والتصدير.</w:t>
      </w:r>
    </w:p>
    <w:p w14:paraId="102514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تطبيق نموذج موحد لإدارة البيانات عبر جميع منافذ المملكة المختلفة (برية، بحرية، جوية)، لضمان أن التاجر يحصل على نفس مستوى الكفاءة والشفافية في أي منفذ يتعامل معه.</w:t>
      </w:r>
    </w:p>
    <w:p w14:paraId="799A5913"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lang w:bidi="ar-EG"/>
        </w:rPr>
        <w:t>تعليق الباحث:</w:t>
      </w:r>
      <w:r w:rsidRPr="00A92155">
        <w:rPr>
          <w:rFonts w:asciiTheme="majorBidi" w:hAnsiTheme="majorBidi" w:cstheme="majorBidi" w:hint="cs"/>
          <w:sz w:val="26"/>
          <w:szCs w:val="26"/>
          <w:rtl/>
          <w:lang w:bidi="ar-EG"/>
        </w:rPr>
        <w:t xml:space="preserve"> </w:t>
      </w:r>
      <w:r w:rsidRPr="00A92155">
        <w:rPr>
          <w:rFonts w:asciiTheme="majorBidi" w:hAnsiTheme="majorBidi" w:cstheme="majorBidi"/>
          <w:sz w:val="26"/>
          <w:szCs w:val="26"/>
          <w:rtl/>
        </w:rPr>
        <w:t xml:space="preserve">إن المتغير التابع "تيسير التجارة" هو المؤشر الحقيقي لنجاح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حيث يجسد التوازن الاستراتيجي بين المتغيرين التابعين (الأمن والتيسير). لقد أوضح هذا المبحث كيف أن الرقمنة تخلق قيمة اقتصادية من خلال:</w:t>
      </w:r>
    </w:p>
    <w:p w14:paraId="31581EBF"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الاقتصادي:</w:t>
      </w:r>
      <w:r w:rsidRPr="00A92155">
        <w:rPr>
          <w:rFonts w:asciiTheme="majorBidi" w:hAnsiTheme="majorBidi" w:cstheme="majorBidi"/>
          <w:sz w:val="26"/>
          <w:szCs w:val="26"/>
          <w:rtl/>
        </w:rPr>
        <w:t xml:space="preserve"> خفض تكاليف التجارة وتسريع رأس المال العامل.</w:t>
      </w:r>
    </w:p>
    <w:p w14:paraId="1CA04E25"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استخدام الجمارك الذكية والبلوكتشين لتبسيط الإجراءات.</w:t>
      </w:r>
    </w:p>
    <w:p w14:paraId="4CE2A33A"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w:t>
      </w:r>
      <w:r w:rsidRPr="00A92155">
        <w:rPr>
          <w:rFonts w:asciiTheme="majorBidi" w:hAnsiTheme="majorBidi" w:cstheme="majorBidi"/>
          <w:sz w:val="26"/>
          <w:szCs w:val="26"/>
          <w:rtl/>
        </w:rPr>
        <w:t xml:space="preserve"> تعزيز الإيرادات والحد من التهرب الضريبي عبر الفوترة الإلكترونية والذكاء الاصطناعي.</w:t>
      </w:r>
    </w:p>
    <w:p w14:paraId="2D9CD458"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w:t>
      </w:r>
      <w:r w:rsidRPr="00A92155">
        <w:rPr>
          <w:rFonts w:asciiTheme="majorBidi" w:hAnsiTheme="majorBidi" w:cstheme="majorBidi"/>
          <w:sz w:val="26"/>
          <w:szCs w:val="26"/>
          <w:rtl/>
        </w:rPr>
        <w:t xml:space="preserve"> دعم التجارة المستدامة من خلال خفض الانبعاثات المرتبطة بالتأخير.</w:t>
      </w:r>
    </w:p>
    <w:p w14:paraId="748AF9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هذا التكامل هو ما يضمن أن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تقوم فقط بحماية الاقتصاد السعودي، بل وتعمل كـ محفز للنمو والابتكار اللوجستي العالمي.</w:t>
      </w:r>
    </w:p>
    <w:p w14:paraId="129292EC" w14:textId="6E8152D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الخامس: التكامل بين التحول الرقمي وتعزيز الأمن وتيسير التجارة</w:t>
      </w:r>
    </w:p>
    <w:p w14:paraId="1C1B1F1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7853190" w14:textId="56C51D88"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621C4">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حجر الزاوية في النموذج النظري للدراسة، حيث ينتقل بالتحليل من العلاقة الثنائية بين المتغير المستقل (التحول الرقمي) والمتغيرات التابعة (تعزيز الأمن وتيسير التجارة) إلى تحليل العلاقة الثلاثية التكاملية (</w:t>
      </w:r>
      <w:r w:rsidRPr="00A92155">
        <w:rPr>
          <w:rFonts w:asciiTheme="majorBidi" w:hAnsiTheme="majorBidi" w:cstheme="majorBidi"/>
          <w:sz w:val="26"/>
          <w:szCs w:val="26"/>
        </w:rPr>
        <w:t>Triple Integration</w:t>
      </w:r>
      <w:r w:rsidRPr="00A92155">
        <w:rPr>
          <w:rFonts w:asciiTheme="majorBidi" w:hAnsiTheme="majorBidi" w:cstheme="majorBidi"/>
          <w:sz w:val="26"/>
          <w:szCs w:val="26"/>
          <w:rtl/>
        </w:rPr>
        <w:t>) بين هذه المكونات (</w:t>
      </w:r>
      <w:r w:rsidRPr="00A92155">
        <w:rPr>
          <w:rFonts w:asciiTheme="majorBidi" w:hAnsiTheme="majorBidi" w:cstheme="majorBidi"/>
          <w:sz w:val="26"/>
          <w:szCs w:val="26"/>
        </w:rPr>
        <w:t>WCO, 2023</w:t>
      </w:r>
      <w:r w:rsidRPr="00A92155">
        <w:rPr>
          <w:rFonts w:asciiTheme="majorBidi" w:hAnsiTheme="majorBidi" w:cstheme="majorBidi"/>
          <w:sz w:val="26"/>
          <w:szCs w:val="26"/>
          <w:rtl/>
        </w:rPr>
        <w:t>). نظرياً، لم يعد الأمن وتيسير التجارة أهدافاً متناقضة (</w:t>
      </w:r>
      <w:r w:rsidRPr="00A92155">
        <w:rPr>
          <w:rFonts w:asciiTheme="majorBidi" w:hAnsiTheme="majorBidi" w:cstheme="majorBidi"/>
          <w:sz w:val="26"/>
          <w:szCs w:val="26"/>
        </w:rPr>
        <w:t>Trade-off</w:t>
      </w:r>
      <w:r w:rsidRPr="00A92155">
        <w:rPr>
          <w:rFonts w:asciiTheme="majorBidi" w:hAnsiTheme="majorBidi" w:cstheme="majorBidi"/>
          <w:sz w:val="26"/>
          <w:szCs w:val="26"/>
          <w:rtl/>
        </w:rPr>
        <w:t>)، بل أصبحا هدفين متكاملين (</w:t>
      </w:r>
      <w:r w:rsidRPr="00A92155">
        <w:rPr>
          <w:rFonts w:asciiTheme="majorBidi" w:hAnsiTheme="majorBidi" w:cstheme="majorBidi"/>
          <w:sz w:val="26"/>
          <w:szCs w:val="26"/>
        </w:rPr>
        <w:t>Duality</w:t>
      </w:r>
      <w:r w:rsidRPr="00A92155">
        <w:rPr>
          <w:rFonts w:asciiTheme="majorBidi" w:hAnsiTheme="majorBidi" w:cstheme="majorBidi"/>
          <w:sz w:val="26"/>
          <w:szCs w:val="26"/>
          <w:rtl/>
        </w:rPr>
        <w:t xml:space="preserve">) يُمكن تحقيقهما في آن واحد من خلال التحول الرقمي بوصفه القوة المُمكِّنة. في سياق </w:t>
      </w:r>
      <w:r w:rsidRPr="00A92155">
        <w:rPr>
          <w:rFonts w:asciiTheme="majorBidi" w:hAnsiTheme="majorBidi" w:cstheme="majorBidi"/>
          <w:sz w:val="26"/>
          <w:szCs w:val="26"/>
        </w:rPr>
        <w:t>ZATCA</w:t>
      </w:r>
      <w:r w:rsidRPr="00A92155">
        <w:rPr>
          <w:rFonts w:asciiTheme="majorBidi" w:hAnsiTheme="majorBidi" w:cstheme="majorBidi"/>
          <w:sz w:val="26"/>
          <w:szCs w:val="26"/>
          <w:rtl/>
        </w:rPr>
        <w:t>، يُترجم هذا التكامل إلى عملية جمركية وضريبية قادرة على فرز المخاطر بذكاء بالغ (الأمن) وتمرير التجارة المشروعة بسرعة (التيسير).</w:t>
      </w:r>
    </w:p>
    <w:p w14:paraId="2BCB4A9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2.5.1 الإطار النظري للتكامل الثلاثي بين الأمن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hint="cs"/>
          <w:b/>
          <w:bCs/>
          <w:color w:val="000000" w:themeColor="text1"/>
          <w:sz w:val="26"/>
          <w:szCs w:val="26"/>
          <w:rtl/>
        </w:rPr>
        <w:t>الرقمنة</w:t>
      </w:r>
      <w:r w:rsidRPr="00A92155">
        <w:rPr>
          <w:rFonts w:asciiTheme="majorBidi" w:hAnsiTheme="majorBidi" w:cs="PT Bold Heading"/>
          <w:b/>
          <w:bCs/>
          <w:color w:val="000000" w:themeColor="text1"/>
          <w:sz w:val="26"/>
          <w:szCs w:val="26"/>
          <w:rtl/>
        </w:rPr>
        <w:t xml:space="preserve">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hint="cs"/>
          <w:b/>
          <w:bCs/>
          <w:color w:val="000000" w:themeColor="text1"/>
          <w:sz w:val="26"/>
          <w:szCs w:val="26"/>
          <w:rtl/>
        </w:rPr>
        <w:t>التجارة</w:t>
      </w:r>
    </w:p>
    <w:p w14:paraId="30F93E3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كنظام ديناميكي (</w:t>
      </w:r>
      <w:r w:rsidRPr="00A92155">
        <w:rPr>
          <w:rFonts w:asciiTheme="majorBidi" w:hAnsiTheme="majorBidi" w:cstheme="majorBidi"/>
          <w:b/>
          <w:bCs/>
          <w:sz w:val="26"/>
          <w:szCs w:val="26"/>
        </w:rPr>
        <w:t>Dynamic System</w:t>
      </w:r>
      <w:r w:rsidRPr="00A92155">
        <w:rPr>
          <w:rFonts w:asciiTheme="majorBidi" w:hAnsiTheme="majorBidi" w:cstheme="majorBidi"/>
          <w:b/>
          <w:bCs/>
          <w:sz w:val="26"/>
          <w:szCs w:val="26"/>
          <w:rtl/>
        </w:rPr>
        <w:t>):</w:t>
      </w:r>
    </w:p>
    <w:p w14:paraId="64D3FEF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xml:space="preserve">) أكد أن التحول الرقمي يجب أن يُنظر إليه على أنه نظام ديناميكي متطور، وليس مجرد تطبيق تقنيات. هذا النظام الديناميكي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يعمل على التكيف المستمر مع التهديدات الأمنية (تغيير الخوارزميات الأمنية) واحتياجات السوق التجاري (تسريع مسارات التخليص).</w:t>
      </w:r>
    </w:p>
    <w:p w14:paraId="33E965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w:t>
      </w:r>
      <w:r w:rsidRPr="00A92155">
        <w:rPr>
          <w:rFonts w:asciiTheme="majorBidi" w:hAnsiTheme="majorBidi" w:cstheme="majorBidi" w:hint="cs"/>
          <w:sz w:val="26"/>
          <w:szCs w:val="26"/>
          <w:rtl/>
        </w:rPr>
        <w:t xml:space="preserve">حيث </w:t>
      </w:r>
      <w:r w:rsidRPr="00A92155">
        <w:rPr>
          <w:rFonts w:asciiTheme="majorBidi" w:hAnsiTheme="majorBidi" w:cstheme="majorBidi"/>
          <w:sz w:val="26"/>
          <w:szCs w:val="26"/>
          <w:rtl/>
        </w:rPr>
        <w:t xml:space="preserve">يوفر التحول الرقمي منصة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تمكنها من دمج متطلبات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بمتطلبات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w:t>
      </w:r>
    </w:p>
    <w:p w14:paraId="1BD9988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مفهوم "التيسير الآمن" (</w:t>
      </w:r>
      <w:r w:rsidRPr="00A92155">
        <w:rPr>
          <w:rFonts w:asciiTheme="majorBidi" w:hAnsiTheme="majorBidi" w:cstheme="majorBidi"/>
          <w:b/>
          <w:bCs/>
          <w:sz w:val="26"/>
          <w:szCs w:val="26"/>
        </w:rPr>
        <w:t>Secure Facilitation</w:t>
      </w:r>
      <w:r w:rsidRPr="00A92155">
        <w:rPr>
          <w:rFonts w:asciiTheme="majorBidi" w:hAnsiTheme="majorBidi" w:cstheme="majorBidi"/>
          <w:b/>
          <w:bCs/>
          <w:sz w:val="26"/>
          <w:szCs w:val="26"/>
          <w:rtl/>
        </w:rPr>
        <w:t>):</w:t>
      </w:r>
    </w:p>
    <w:p w14:paraId="05BE32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 تتبنى المنظمة العالمية للجمارك مفهوم "الجمارك 4.0"، الذي يُشدد على أن التيسير يجب أن يكون متأصلاً فيه الأمن. لا يمكن أن يكون التيسير فعالاً إذا كان على حساب الأمن القومي أو الاقتصادي.</w:t>
      </w:r>
    </w:p>
    <w:p w14:paraId="6CB11ED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نظام إدارة المخاطر المعتمد على الذكاء الاصطناعي هو التجسيد الأفضل لهذا المفهوم، حيث يتم تحليل المخاطر الأمنية (التهريب، التهديدات السيبرانية) والتجارية (الغش التجاري، التهرب الضريبي) في عملية واحدة قبل إصدار قرار التخليص.</w:t>
      </w:r>
    </w:p>
    <w:p w14:paraId="61FA36C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2.5.2 الترابط الديناميكي بين الأبعاد التكنولوجية والأمنية والاقتصادية</w:t>
      </w:r>
    </w:p>
    <w:p w14:paraId="5713C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الترابط بين هذه الأبعاد الثلاثة هو ما يميز التحول الرقمي الناجح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2D4AA8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البُعد التكنولوجي كقاعدة بيانات موحدة (</w:t>
      </w:r>
      <w:r w:rsidRPr="00A92155">
        <w:rPr>
          <w:rFonts w:asciiTheme="majorBidi" w:hAnsiTheme="majorBidi" w:cstheme="majorBidi"/>
          <w:b/>
          <w:bCs/>
          <w:sz w:val="26"/>
          <w:szCs w:val="26"/>
        </w:rPr>
        <w:t>Single Source of Truth</w:t>
      </w:r>
      <w:r w:rsidRPr="00A92155">
        <w:rPr>
          <w:rFonts w:asciiTheme="majorBidi" w:hAnsiTheme="majorBidi" w:cstheme="majorBidi"/>
          <w:b/>
          <w:bCs/>
          <w:sz w:val="26"/>
          <w:szCs w:val="26"/>
          <w:rtl/>
        </w:rPr>
        <w:t>):</w:t>
      </w:r>
    </w:p>
    <w:p w14:paraId="242B05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نوه إلى أن التكامل يتطلب منصة تكنولوجية موحدة للبيانات لجميع الوكالات الحكومية، مما يقلل من تضارب المعلومات.</w:t>
      </w:r>
    </w:p>
    <w:p w14:paraId="218D64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توفر منصة النافذة الواحدة (فسح) في المملكة، التي تشرف عليها </w:t>
      </w:r>
      <w:r w:rsidRPr="00A92155">
        <w:rPr>
          <w:rFonts w:asciiTheme="majorBidi" w:hAnsiTheme="majorBidi" w:cstheme="majorBidi"/>
          <w:sz w:val="26"/>
          <w:szCs w:val="26"/>
        </w:rPr>
        <w:t>ZATCA</w:t>
      </w:r>
      <w:r w:rsidRPr="00A92155">
        <w:rPr>
          <w:rFonts w:asciiTheme="majorBidi" w:hAnsiTheme="majorBidi" w:cstheme="majorBidi"/>
          <w:sz w:val="26"/>
          <w:szCs w:val="26"/>
          <w:rtl/>
        </w:rPr>
        <w:t>، بيئة تكنولوجية لجمع بيانات الشحنات، مما يضمن أن الجهات الأمنية والاقتصادية تستند إلى نفس المعلومات الموثوقة والمدققة رقمياً.</w:t>
      </w:r>
    </w:p>
    <w:p w14:paraId="485EF5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البُعد الأمني كضمان لاستمرارية التجارة:</w:t>
      </w:r>
    </w:p>
    <w:p w14:paraId="7E043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أن الأمن السيبراني لم يعد وظيفة دعم، بل هو شرط بقاء (</w:t>
      </w:r>
      <w:r w:rsidRPr="00A92155">
        <w:rPr>
          <w:rFonts w:asciiTheme="majorBidi" w:hAnsiTheme="majorBidi" w:cstheme="majorBidi"/>
          <w:sz w:val="26"/>
          <w:szCs w:val="26"/>
        </w:rPr>
        <w:t>Condition of Survival</w:t>
      </w:r>
      <w:r w:rsidRPr="00A92155">
        <w:rPr>
          <w:rFonts w:asciiTheme="majorBidi" w:hAnsiTheme="majorBidi" w:cstheme="majorBidi"/>
          <w:sz w:val="26"/>
          <w:szCs w:val="26"/>
          <w:rtl/>
        </w:rPr>
        <w:t>) للأنظمة الحكومية الرقمية.</w:t>
      </w:r>
    </w:p>
    <w:p w14:paraId="0294DE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أي اختراق سيبراني لأنظمة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أو الجمركية لا يهدد سرية البيانات فحسب، بل يوقف حركة التجارة بالكامل، مما يسبب أزمة اقتصادية. لذا، فإن تعزيز الأمن هو ضمان لاستمرارية (</w:t>
      </w:r>
      <w:r w:rsidRPr="00A92155">
        <w:rPr>
          <w:rFonts w:asciiTheme="majorBidi" w:hAnsiTheme="majorBidi" w:cstheme="majorBidi"/>
          <w:sz w:val="26"/>
          <w:szCs w:val="26"/>
        </w:rPr>
        <w:t>Business Continuity</w:t>
      </w:r>
      <w:r w:rsidRPr="00A92155">
        <w:rPr>
          <w:rFonts w:asciiTheme="majorBidi" w:hAnsiTheme="majorBidi" w:cstheme="majorBidi"/>
          <w:sz w:val="26"/>
          <w:szCs w:val="26"/>
          <w:rtl/>
        </w:rPr>
        <w:t>) التيسير التجاري.</w:t>
      </w:r>
    </w:p>
    <w:p w14:paraId="2423BB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البُعد الاقتصادي كمحفز للتحول:</w:t>
      </w:r>
    </w:p>
    <w:p w14:paraId="09D55C2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أن الهدف الاقتصادي (زيادة الإيرادات وتخفيض التكلفة) هو الدافع الأقوى لتبني الأنظمة الرقمية المتقدمة التي تخدم الأمن والتيسير معاً.</w:t>
      </w:r>
    </w:p>
    <w:p w14:paraId="593E2E1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2.5.3 دور التحول الرقمي في إدارة المخاطر التجارية والأمنية</w:t>
      </w:r>
    </w:p>
    <w:p w14:paraId="417A4E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إدارة المخاطر الموحدة (</w:t>
      </w:r>
      <w:r w:rsidRPr="00A92155">
        <w:rPr>
          <w:rFonts w:asciiTheme="majorBidi" w:hAnsiTheme="majorBidi" w:cstheme="majorBidi"/>
          <w:sz w:val="26"/>
          <w:szCs w:val="26"/>
        </w:rPr>
        <w:t>Integrated Risk Management</w:t>
      </w:r>
      <w:r w:rsidRPr="00A92155">
        <w:rPr>
          <w:rFonts w:asciiTheme="majorBidi" w:hAnsiTheme="majorBidi" w:cstheme="majorBidi"/>
          <w:sz w:val="26"/>
          <w:szCs w:val="26"/>
          <w:rtl/>
        </w:rPr>
        <w:t>) هي النتيجة التشغيلية لهذا التكامل.</w:t>
      </w:r>
    </w:p>
    <w:p w14:paraId="0C2E7F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الانتقال من إدارة المخاطر التقليدية إلى التنبؤية (</w:t>
      </w:r>
      <w:r w:rsidRPr="00A92155">
        <w:rPr>
          <w:rFonts w:asciiTheme="majorBidi" w:hAnsiTheme="majorBidi" w:cstheme="majorBidi"/>
          <w:b/>
          <w:bCs/>
          <w:sz w:val="26"/>
          <w:szCs w:val="26"/>
        </w:rPr>
        <w:t>Predictive Risk Management</w:t>
      </w:r>
      <w:r w:rsidRPr="00A92155">
        <w:rPr>
          <w:rFonts w:asciiTheme="majorBidi" w:hAnsiTheme="majorBidi" w:cstheme="majorBidi"/>
          <w:b/>
          <w:bCs/>
          <w:sz w:val="26"/>
          <w:szCs w:val="26"/>
          <w:rtl/>
        </w:rPr>
        <w:t>):</w:t>
      </w:r>
    </w:p>
    <w:p w14:paraId="6EDBF1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على أهمية استخدام الذكاء الاصطناعي في الأنظمة الضريبية والجمركية للكشف عن المخاطر المحتملة قبل حدوثها (</w:t>
      </w:r>
      <w:r w:rsidRPr="00A92155">
        <w:rPr>
          <w:rFonts w:asciiTheme="majorBidi" w:hAnsiTheme="majorBidi" w:cstheme="majorBidi"/>
          <w:sz w:val="26"/>
          <w:szCs w:val="26"/>
        </w:rPr>
        <w:t>Fraud Prediction</w:t>
      </w:r>
      <w:r w:rsidRPr="00A92155">
        <w:rPr>
          <w:rFonts w:asciiTheme="majorBidi" w:hAnsiTheme="majorBidi" w:cstheme="majorBidi"/>
          <w:sz w:val="26"/>
          <w:szCs w:val="26"/>
          <w:rtl/>
        </w:rPr>
        <w:t>)، بدلاً من الكشف بعد وقوعها.</w:t>
      </w:r>
    </w:p>
    <w:p w14:paraId="06DB512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نظام إدارة المخاطر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يستخدم التحليل التنبؤي لربط البيانات الأمنية (مثلاً، تحذيرات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بشأن هجمات محددة) بالبيانات التجارية (مثلاً، حركة تجارية غير مبررة في سلع محددة)، مما يمكن الهيئة من تغيير مسار التخليص تلقائياً من الأخضر إلى الأحمر.</w:t>
      </w:r>
    </w:p>
    <w:p w14:paraId="26C52E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المعالجة الآلية للمخاطر (</w:t>
      </w:r>
      <w:r w:rsidRPr="00A92155">
        <w:rPr>
          <w:rFonts w:asciiTheme="majorBidi" w:hAnsiTheme="majorBidi" w:cstheme="majorBidi"/>
          <w:b/>
          <w:bCs/>
          <w:sz w:val="26"/>
          <w:szCs w:val="26"/>
        </w:rPr>
        <w:t>Automated Risk Mitigation</w:t>
      </w:r>
      <w:r w:rsidRPr="00A92155">
        <w:rPr>
          <w:rFonts w:asciiTheme="majorBidi" w:hAnsiTheme="majorBidi" w:cstheme="majorBidi"/>
          <w:b/>
          <w:bCs/>
          <w:sz w:val="26"/>
          <w:szCs w:val="26"/>
          <w:rtl/>
        </w:rPr>
        <w:t>):</w:t>
      </w:r>
    </w:p>
    <w:p w14:paraId="758DC7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b/>
          <w:bCs/>
          <w:sz w:val="26"/>
          <w:szCs w:val="26"/>
          <w:rtl/>
        </w:rPr>
        <w:t>ودعت دراسة</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United Nations, 2023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إلى أتمتة إجراءات المخاطر لضمان السرعة والحياد.</w:t>
      </w:r>
    </w:p>
    <w:p w14:paraId="5B18C1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r w:rsidRPr="00A92155">
        <w:rPr>
          <w:rFonts w:asciiTheme="majorBidi" w:hAnsiTheme="majorBidi" w:cstheme="majorBidi"/>
          <w:sz w:val="26"/>
          <w:szCs w:val="26"/>
          <w:rtl/>
        </w:rPr>
        <w:t>، يمكن للنظام الرقمي أن يتخذ قرارات تلقائية مثل حجز شحنة معينة أو تعليق ملف ضريبي بناءً على مؤشرات مخاطر عالية تم تحليلها آلياً، مما يضمن تدخلاً سريعاً وموضوعياً يحقق الأمن دون تأخير غير مبرر للتجارة المشروعة.</w:t>
      </w:r>
    </w:p>
    <w:p w14:paraId="5FB6501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2.5.4 التوازن بين أمن المعلومات وسرعة انسياب البضائع والخدمات</w:t>
      </w:r>
    </w:p>
    <w:p w14:paraId="702AEC7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هذا التوازن جوهر التحدي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39BEDCA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مبدأ "الثقة المعدومة" (</w:t>
      </w:r>
      <w:r w:rsidRPr="00A92155">
        <w:rPr>
          <w:rFonts w:asciiTheme="majorBidi" w:hAnsiTheme="majorBidi" w:cstheme="majorBidi"/>
          <w:b/>
          <w:bCs/>
          <w:sz w:val="26"/>
          <w:szCs w:val="26"/>
        </w:rPr>
        <w:t>Zero Trust</w:t>
      </w:r>
      <w:r w:rsidRPr="00A92155">
        <w:rPr>
          <w:rFonts w:asciiTheme="majorBidi" w:hAnsiTheme="majorBidi" w:cstheme="majorBidi"/>
          <w:b/>
          <w:bCs/>
          <w:sz w:val="26"/>
          <w:szCs w:val="26"/>
          <w:rtl/>
        </w:rPr>
        <w:t>) والأثر على السرعة:</w:t>
      </w:r>
    </w:p>
    <w:p w14:paraId="6A241F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r w:rsidRPr="00A92155">
        <w:rPr>
          <w:rFonts w:asciiTheme="majorBidi" w:hAnsiTheme="majorBidi" w:cstheme="majorBidi" w:hint="cs"/>
          <w:sz w:val="26"/>
          <w:szCs w:val="26"/>
          <w:rtl/>
        </w:rPr>
        <w:t xml:space="preserve"> أنه</w:t>
      </w:r>
      <w:r w:rsidRPr="00A92155">
        <w:rPr>
          <w:rFonts w:asciiTheme="majorBidi" w:hAnsiTheme="majorBidi" w:cstheme="majorBidi"/>
          <w:sz w:val="26"/>
          <w:szCs w:val="26"/>
          <w:rtl/>
        </w:rPr>
        <w:t xml:space="preserve"> يقتضي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التحقق المستمر من هوية كل مستخدم ونظام.</w:t>
      </w:r>
    </w:p>
    <w:p w14:paraId="06CEDA2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التحليل: في حين أن هذا المبدأ يعزز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إلا أنه قد يبطئ من المعاملات. الحل الرقمي يكمن في استخدام تقنيات التحقق البيومتري متعدد العوامل والأمن السحابي (</w:t>
      </w:r>
      <w:r w:rsidRPr="00A92155">
        <w:rPr>
          <w:rFonts w:asciiTheme="majorBidi" w:hAnsiTheme="majorBidi" w:cstheme="majorBidi"/>
          <w:sz w:val="26"/>
          <w:szCs w:val="26"/>
        </w:rPr>
        <w:t>Cloud Security</w:t>
      </w:r>
      <w:r w:rsidRPr="00A92155">
        <w:rPr>
          <w:rFonts w:asciiTheme="majorBidi" w:hAnsiTheme="majorBidi" w:cstheme="majorBidi"/>
          <w:sz w:val="26"/>
          <w:szCs w:val="26"/>
          <w:rtl/>
        </w:rPr>
        <w:t>) لضمان أن عملية التحقق تتم في أقل من ثانية، مما يحافظ على سرعة التيسير.</w:t>
      </w:r>
    </w:p>
    <w:p w14:paraId="4892C03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التشفير والحماية مقابل أداء النظام:</w:t>
      </w:r>
    </w:p>
    <w:p w14:paraId="40E5A9F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إلى ضرورة تحقيق التوازن بين متطلبات التشفير العالية لحماية البيانات الضريبية والجمركية، وأداء النظام (</w:t>
      </w:r>
      <w:r w:rsidRPr="00A92155">
        <w:rPr>
          <w:rFonts w:asciiTheme="majorBidi" w:hAnsiTheme="majorBidi" w:cstheme="majorBidi"/>
          <w:sz w:val="26"/>
          <w:szCs w:val="26"/>
        </w:rPr>
        <w:t>Latency</w:t>
      </w:r>
      <w:r w:rsidRPr="00A92155">
        <w:rPr>
          <w:rFonts w:asciiTheme="majorBidi" w:hAnsiTheme="majorBidi" w:cstheme="majorBidi"/>
          <w:sz w:val="26"/>
          <w:szCs w:val="26"/>
          <w:rtl/>
        </w:rPr>
        <w:t>) وسرعته في معالجة طلبات التخليص.</w:t>
      </w:r>
    </w:p>
    <w:p w14:paraId="45B75A3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يتطلب ذلك استخدام خوارزميات تشفير متقدمة ذات كفاءة عالية في المعالجة (</w:t>
      </w:r>
      <w:r w:rsidRPr="00A92155">
        <w:rPr>
          <w:rFonts w:asciiTheme="majorBidi" w:hAnsiTheme="majorBidi" w:cstheme="majorBidi"/>
          <w:sz w:val="26"/>
          <w:szCs w:val="26"/>
        </w:rPr>
        <w:t>Low-Latency Cryptography</w:t>
      </w:r>
      <w:r w:rsidRPr="00A92155">
        <w:rPr>
          <w:rFonts w:asciiTheme="majorBidi" w:hAnsiTheme="majorBidi" w:cstheme="majorBidi"/>
          <w:sz w:val="26"/>
          <w:szCs w:val="26"/>
          <w:rtl/>
        </w:rPr>
        <w:t>) لضمان أن حماية بيانات المكلفين لا تؤدي إلى تباطؤ في خدماتهم.</w:t>
      </w:r>
    </w:p>
    <w:p w14:paraId="260C4A1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2.5.5 نماذج الربط المؤسسي بين الجهات الأمنية والجمركية والاقتصادية</w:t>
      </w:r>
    </w:p>
    <w:p w14:paraId="40824B7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يعتمد التكامل الثلاثي على بناء شبكات ربط مؤسسي رقمية قوية.</w:t>
      </w:r>
    </w:p>
    <w:p w14:paraId="6195CD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مع الهيئة الوطنية للأمن السيبراني (</w:t>
      </w:r>
      <w:r w:rsidRPr="00A92155">
        <w:rPr>
          <w:rFonts w:asciiTheme="majorBidi" w:hAnsiTheme="majorBidi" w:cstheme="majorBidi"/>
          <w:b/>
          <w:bCs/>
          <w:sz w:val="26"/>
          <w:szCs w:val="26"/>
        </w:rPr>
        <w:t>NCA</w:t>
      </w:r>
      <w:r w:rsidRPr="00A92155">
        <w:rPr>
          <w:rFonts w:asciiTheme="majorBidi" w:hAnsiTheme="majorBidi" w:cstheme="majorBidi"/>
          <w:b/>
          <w:bCs/>
          <w:sz w:val="26"/>
          <w:szCs w:val="26"/>
          <w:rtl/>
        </w:rPr>
        <w:t>):</w:t>
      </w:r>
    </w:p>
    <w:p w14:paraId="4AED12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على ضرورة تبادل معلومات التهديدات السيبرانية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بين الجهات الحيوية بشكل آلي.</w:t>
      </w:r>
    </w:p>
    <w:p w14:paraId="03FE2D0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ينبغي أن يكون هناك ربط آلي مباشر بين مركز العمليات الأمنية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تطبيق التحديثات الأمنية فور صدورها والرد السريع على الهجمات الموجهة (</w:t>
      </w:r>
      <w:r w:rsidRPr="00A92155">
        <w:rPr>
          <w:rFonts w:asciiTheme="majorBidi" w:hAnsiTheme="majorBidi" w:cstheme="majorBidi"/>
          <w:sz w:val="26"/>
          <w:szCs w:val="26"/>
        </w:rPr>
        <w:t>Targeted Attacks</w:t>
      </w:r>
      <w:r w:rsidRPr="00A92155">
        <w:rPr>
          <w:rFonts w:asciiTheme="majorBidi" w:hAnsiTheme="majorBidi" w:cstheme="majorBidi"/>
          <w:sz w:val="26"/>
          <w:szCs w:val="26"/>
          <w:rtl/>
        </w:rPr>
        <w:t>).</w:t>
      </w:r>
    </w:p>
    <w:p w14:paraId="491168F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التكامل مع الجهات الاقتصادية والمالية (مؤسسة النقد وهيئة السوق المالية):</w:t>
      </w:r>
    </w:p>
    <w:p w14:paraId="3BF3966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إلى أن مكافحة غسل الأموال والتهرب الضريبي تتطلب دمج البيانات المالية والتجارية.</w:t>
      </w:r>
    </w:p>
    <w:p w14:paraId="0ADDD7B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الروابط لتدقيق المعاملات الكبيرة، حيث يتم مطابقة إقرارات ضريبة القيمة المضافة مع التحويلات البنكية وحجم الشحنات المستوردة، مما يعزز الأمن الاقتصادي.</w:t>
      </w:r>
    </w:p>
    <w:p w14:paraId="7BAA64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2.5.6 أثر التكامل على تحقيق أهداف رؤية 2030 ومحاور الاقتصاد المزدهر</w:t>
      </w:r>
    </w:p>
    <w:p w14:paraId="52D2B9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التكامل الثلاثي هو المحرك الأساسي لتحقيق الأهداف الاستراتيجية الوطنية.</w:t>
      </w:r>
    </w:p>
    <w:p w14:paraId="79289C9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الهدف: تحويل المملكة إلى مركز لوجستي عالمي:</w:t>
      </w:r>
    </w:p>
    <w:p w14:paraId="260B7EA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واعتمدت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يعتمد تصنيف الدول في مؤشر الأداء اللوجستي (</w:t>
      </w:r>
      <w:r w:rsidRPr="00A92155">
        <w:rPr>
          <w:rFonts w:asciiTheme="majorBidi" w:hAnsiTheme="majorBidi" w:cstheme="majorBidi"/>
          <w:sz w:val="26"/>
          <w:szCs w:val="26"/>
        </w:rPr>
        <w:t>LPI</w:t>
      </w:r>
      <w:r w:rsidRPr="00A92155">
        <w:rPr>
          <w:rFonts w:asciiTheme="majorBidi" w:hAnsiTheme="majorBidi" w:cstheme="majorBidi"/>
          <w:sz w:val="26"/>
          <w:szCs w:val="26"/>
          <w:rtl/>
        </w:rPr>
        <w:t>) بشكل أساسي على كفاءة الجمارك، والتي تتحقق عبر التوازن بين السرعة والأمن.</w:t>
      </w:r>
    </w:p>
    <w:p w14:paraId="2205CE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يوفر التكامل بين الأمن (حماية الحدود) والتيسير (سرعة التخليص) الميزة التنافسية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يجذب الاستثمارات العالمية ويعزز مكانة المملكة.</w:t>
      </w:r>
    </w:p>
    <w:p w14:paraId="53CC8FE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تنويع مصادر الدخل وزيادة الإيرادات غير النفطية:</w:t>
      </w:r>
    </w:p>
    <w:p w14:paraId="69B8564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أن الأنظمة الضريبية الرقمية المتكاملة تزيد من كفاءة التحصيل.</w:t>
      </w:r>
    </w:p>
    <w:p w14:paraId="5FD2835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يضمن التكامل بين الأمن السيبراني (حماية أنظمة التحصيل) والتيسير (نظام الفواتير الإلكترونية السهل والمراقب) استدامة الإيرادات الحكومية وتنميتها.</w:t>
      </w:r>
    </w:p>
    <w:p w14:paraId="2A0648A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2.5.7 دور الذكاء الاصطناعي التحليلي في الكشف المبكر عن الأنشطة التجارية غير المشروعة</w:t>
      </w:r>
    </w:p>
    <w:p w14:paraId="4E1DD52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الذكاء الاصطناعي هو الأداة التقنية التي تدمج الأمن والتيسير.</w:t>
      </w:r>
    </w:p>
    <w:p w14:paraId="69882D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التحليل السلوكي والتنبؤ بالاحتيال:</w:t>
      </w:r>
    </w:p>
    <w:p w14:paraId="2845DD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أشارت دراسة </w:t>
      </w:r>
      <w:r w:rsidRPr="00A92155">
        <w:rPr>
          <w:rFonts w:asciiTheme="majorBidi" w:hAnsiTheme="majorBidi" w:cstheme="majorBidi"/>
          <w:sz w:val="26"/>
          <w:szCs w:val="26"/>
          <w:rtl/>
        </w:rPr>
        <w:t>(</w:t>
      </w:r>
      <w:r w:rsidRPr="00A92155">
        <w:rPr>
          <w:rFonts w:asciiTheme="majorBidi" w:hAnsiTheme="majorBidi" w:cstheme="majorBidi"/>
          <w:sz w:val="26"/>
          <w:szCs w:val="26"/>
        </w:rPr>
        <w:t>Smith, J., 2018</w:t>
      </w:r>
      <w:r w:rsidRPr="00A92155">
        <w:rPr>
          <w:rFonts w:asciiTheme="majorBidi" w:hAnsiTheme="majorBidi" w:cstheme="majorBidi"/>
          <w:sz w:val="26"/>
          <w:szCs w:val="26"/>
          <w:rtl/>
        </w:rPr>
        <w:t>) إلى أن الذكاء الاصطناعي يمكنه تحليل سلوكيات التجار (مثل تغيير بلد المنشأ فجأة أو التصنيف الجمركي) والكشف عن مؤشرات الاحتيال قبل إكمال المعاملة.</w:t>
      </w:r>
    </w:p>
    <w:p w14:paraId="1B5C5B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التعلم الآلي لتدريب النماذج على بيانات السنوات الماضية لتحديد "الشذوذ" (</w:t>
      </w:r>
      <w:r w:rsidRPr="00A92155">
        <w:rPr>
          <w:rFonts w:asciiTheme="majorBidi" w:hAnsiTheme="majorBidi" w:cstheme="majorBidi"/>
          <w:sz w:val="26"/>
          <w:szCs w:val="26"/>
        </w:rPr>
        <w:t>Anomalies</w:t>
      </w:r>
      <w:r w:rsidRPr="00A92155">
        <w:rPr>
          <w:rFonts w:asciiTheme="majorBidi" w:hAnsiTheme="majorBidi" w:cstheme="majorBidi"/>
          <w:sz w:val="26"/>
          <w:szCs w:val="26"/>
          <w:rtl/>
        </w:rPr>
        <w:t>) في الإقرارات الضريبية أو الجمركية، مما يمكنها من التدخل المبكر بفعالية أمنية عالية.</w:t>
      </w:r>
    </w:p>
    <w:p w14:paraId="412547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الرؤية الحاسوبية (</w:t>
      </w:r>
      <w:r w:rsidRPr="00A92155">
        <w:rPr>
          <w:rFonts w:asciiTheme="majorBidi" w:hAnsiTheme="majorBidi" w:cstheme="majorBidi"/>
          <w:b/>
          <w:bCs/>
          <w:sz w:val="26"/>
          <w:szCs w:val="26"/>
        </w:rPr>
        <w:t>Computer Vision</w:t>
      </w:r>
      <w:r w:rsidRPr="00A92155">
        <w:rPr>
          <w:rFonts w:asciiTheme="majorBidi" w:hAnsiTheme="majorBidi" w:cstheme="majorBidi"/>
          <w:b/>
          <w:bCs/>
          <w:sz w:val="26"/>
          <w:szCs w:val="26"/>
          <w:rtl/>
        </w:rPr>
        <w:t>) في التفتيش:</w:t>
      </w:r>
    </w:p>
    <w:p w14:paraId="4E2446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استخدام الرؤية الحاسوبية في تحليل صور الماسحات الضوئية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للشحنات.</w:t>
      </w:r>
    </w:p>
    <w:p w14:paraId="60AF53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هذا التطبيق يقلل من زمن التفتيش المادي (التيسير) مع زيادة دقة الكشف عن الممنوعات والمخالفات (الأمن)، مما يمثل تجسيداً عملياً للتكامل الثلاثي.</w:t>
      </w:r>
    </w:p>
    <w:p w14:paraId="411549B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2.5.8 تطبيقات هيئة الزكاة والضريبة والجمارك في الدمج بين الأمن والتجارة الرقمية</w:t>
      </w:r>
    </w:p>
    <w:p w14:paraId="68BAEA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نموذجاً وطنياً لتطبيق التكامل.</w:t>
      </w:r>
    </w:p>
    <w:p w14:paraId="65C98A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نظام النافذة الواحدة الموثق أمنياً:</w:t>
      </w:r>
    </w:p>
    <w:p w14:paraId="7FD304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منصة فسح (</w:t>
      </w:r>
      <w:r w:rsidRPr="00A92155">
        <w:rPr>
          <w:rFonts w:asciiTheme="majorBidi" w:hAnsiTheme="majorBidi" w:cstheme="majorBidi"/>
          <w:sz w:val="26"/>
          <w:szCs w:val="26"/>
        </w:rPr>
        <w:t>Fasah</w:t>
      </w:r>
      <w:r w:rsidRPr="00A92155">
        <w:rPr>
          <w:rFonts w:asciiTheme="majorBidi" w:hAnsiTheme="majorBidi" w:cstheme="majorBidi"/>
          <w:sz w:val="26"/>
          <w:szCs w:val="26"/>
          <w:rtl/>
        </w:rPr>
        <w:t>) ليست مجرد منصة للتيسير، بل هي بيئة موثقة أمنياً تخضع لمعايير صارمة لحماية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وتستخدم تشفيراً متقدماً لتبادل المعلومات الحساسة مع الوكالات الأخرى، مما يضمن التيسير الآمن.</w:t>
      </w:r>
    </w:p>
    <w:p w14:paraId="5D71BDC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نظام الإفراج المسبق والتحليل اللحظي:</w:t>
      </w:r>
    </w:p>
    <w:p w14:paraId="6F8B9E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يتيح النظام للعملاء الموثوقين تخليص شحناتهم بسرعة بعد التحليل اللحظي للمخاطر الأمنية والاقتصادية، مما يضمن أن الأمن هو جزء من عملية التيسير وليس عائقاً لها.</w:t>
      </w:r>
    </w:p>
    <w:p w14:paraId="5A5891FD" w14:textId="20F08C2D" w:rsidR="00202E2A" w:rsidRPr="00A92155" w:rsidRDefault="003F1912"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السادس: التحديات والفرص في تطبيق التحول الرقمي</w:t>
      </w:r>
    </w:p>
    <w:p w14:paraId="12E57DA4"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0911B12E" w14:textId="43C716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لا يقتصر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تبني التقنية، بل هو عملية إدارة استراتيجية تتطلب تحليل نقاط القوة والضعف والفرص والتهديدات. يركز هذا </w:t>
      </w:r>
      <w:r w:rsidR="003F1912">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على تحليل الواقع العملي لتطبيق التحول الرقمي في الهيئة، مع تحديد العقبات التي يجب تجاوزها والإمكانات التي يمكن استغلالها لتعزيز الأمن وتيسير التجارة.</w:t>
      </w:r>
    </w:p>
    <w:p w14:paraId="06C6F8D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2.6.1 التحديات التقنية (التكامل، الصيانة، الفجوة التكنولوجية)</w:t>
      </w:r>
    </w:p>
    <w:p w14:paraId="1A4452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تحدي تكامل الأنظمة القديمة (</w:t>
      </w:r>
      <w:r w:rsidRPr="00A92155">
        <w:rPr>
          <w:rFonts w:asciiTheme="majorBidi" w:hAnsiTheme="majorBidi" w:cstheme="majorBidi"/>
          <w:b/>
          <w:bCs/>
          <w:sz w:val="26"/>
          <w:szCs w:val="26"/>
        </w:rPr>
        <w:t>Legacy Systems</w:t>
      </w:r>
      <w:r w:rsidRPr="00A92155">
        <w:rPr>
          <w:rFonts w:asciiTheme="majorBidi" w:hAnsiTheme="majorBidi" w:cstheme="majorBidi"/>
          <w:b/>
          <w:bCs/>
          <w:sz w:val="26"/>
          <w:szCs w:val="26"/>
          <w:rtl/>
        </w:rPr>
        <w:t>) مع الأنظمة الحديثة:</w:t>
      </w:r>
    </w:p>
    <w:p w14:paraId="4A134EEA"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Almarzooqi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أن الأنظمة القديمة (</w:t>
      </w:r>
      <w:r w:rsidRPr="00A92155">
        <w:rPr>
          <w:rFonts w:asciiTheme="majorBidi" w:hAnsiTheme="majorBidi" w:cstheme="majorBidi"/>
          <w:sz w:val="26"/>
          <w:szCs w:val="26"/>
        </w:rPr>
        <w:t>Legacy Systems</w:t>
      </w:r>
      <w:r w:rsidRPr="00A92155">
        <w:rPr>
          <w:rFonts w:asciiTheme="majorBidi" w:hAnsiTheme="majorBidi" w:cstheme="majorBidi"/>
          <w:sz w:val="26"/>
          <w:szCs w:val="26"/>
          <w:rtl/>
        </w:rPr>
        <w:t>) التي تعتمد عليها بعض الجهات الحكومية تشكل عائقاً رئيسياً أمام التكامل الرقمي الفعال.</w:t>
      </w:r>
    </w:p>
    <w:p w14:paraId="61C74AA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lastRenderedPageBreak/>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دمج أنظمة الضرائب والجمارك القديمة (التي قد تعمل بلغات برمجية مختلفة) مع منصات الذكاء الاصطناعي والحوسبة السحابية الحديثة. هذا يتطلب استثمارات ضخمة في واجهات برمجة التطبيقات (</w:t>
      </w:r>
      <w:r w:rsidRPr="00A92155">
        <w:rPr>
          <w:rFonts w:asciiTheme="majorBidi" w:hAnsiTheme="majorBidi" w:cstheme="majorBidi"/>
          <w:sz w:val="26"/>
          <w:szCs w:val="26"/>
        </w:rPr>
        <w:t>APIs</w:t>
      </w:r>
      <w:r w:rsidRPr="00A92155">
        <w:rPr>
          <w:rFonts w:asciiTheme="majorBidi" w:hAnsiTheme="majorBidi" w:cstheme="majorBidi"/>
          <w:sz w:val="26"/>
          <w:szCs w:val="26"/>
          <w:rtl/>
        </w:rPr>
        <w:t>) لضمان تبادل البيانات بسلاسة.</w:t>
      </w:r>
    </w:p>
    <w:p w14:paraId="358825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الفجوة التكنولوجية ومحدودية النطاق الترددي في المنافذ:</w:t>
      </w:r>
    </w:p>
    <w:p w14:paraId="4315DBEE"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كفاءة الرقمنة في المنافذ الحدودية تعتمد على بنية تحتية قوية للاتصالات.</w:t>
      </w:r>
    </w:p>
    <w:p w14:paraId="38A3126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المنافذ البرية البعيدة، قد يكون توفير نطاق ترددي عالٍ (</w:t>
      </w:r>
      <w:r w:rsidRPr="00A92155">
        <w:rPr>
          <w:rFonts w:asciiTheme="majorBidi" w:hAnsiTheme="majorBidi" w:cstheme="majorBidi"/>
          <w:sz w:val="26"/>
          <w:szCs w:val="26"/>
        </w:rPr>
        <w:t>High Bandwidth</w:t>
      </w:r>
      <w:r w:rsidRPr="00A92155">
        <w:rPr>
          <w:rFonts w:asciiTheme="majorBidi" w:hAnsiTheme="majorBidi" w:cstheme="majorBidi"/>
          <w:sz w:val="26"/>
          <w:szCs w:val="26"/>
          <w:rtl/>
        </w:rPr>
        <w:t>) لتشغيل الماسحات الضوئية المتقدمة ونقل كميات ضخمة من البيانات في الوقت الفعلي تحدياً تقنياً يتطلب حلولاً متقدمة مثل شبكات 5</w:t>
      </w:r>
      <w:r w:rsidRPr="00A92155">
        <w:rPr>
          <w:rFonts w:asciiTheme="majorBidi" w:hAnsiTheme="majorBidi" w:cstheme="majorBidi"/>
          <w:sz w:val="26"/>
          <w:szCs w:val="26"/>
        </w:rPr>
        <w:t>G</w:t>
      </w:r>
      <w:r w:rsidRPr="00A92155">
        <w:rPr>
          <w:rFonts w:asciiTheme="majorBidi" w:hAnsiTheme="majorBidi" w:cstheme="majorBidi"/>
          <w:sz w:val="26"/>
          <w:szCs w:val="26"/>
          <w:rtl/>
        </w:rPr>
        <w:t xml:space="preserve"> الخاصة أو الحوسبة الطرفية (</w:t>
      </w:r>
      <w:r w:rsidRPr="00A92155">
        <w:rPr>
          <w:rFonts w:asciiTheme="majorBidi" w:hAnsiTheme="majorBidi" w:cstheme="majorBidi"/>
          <w:sz w:val="26"/>
          <w:szCs w:val="26"/>
        </w:rPr>
        <w:t>Edge Computing</w:t>
      </w:r>
      <w:r w:rsidRPr="00A92155">
        <w:rPr>
          <w:rFonts w:asciiTheme="majorBidi" w:hAnsiTheme="majorBidi" w:cstheme="majorBidi"/>
          <w:sz w:val="26"/>
          <w:szCs w:val="26"/>
          <w:rtl/>
        </w:rPr>
        <w:t>).</w:t>
      </w:r>
    </w:p>
    <w:p w14:paraId="6305C43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صيانة واستدامة الأنظمة المتقدمة:</w:t>
      </w:r>
    </w:p>
    <w:p w14:paraId="6F4496A4"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أشارت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استدامة الأنظمة الرقمية المتقدمة تتطلب ميزانيات تشغيلية ضخمة وفرق صيانة متخصصة.</w:t>
      </w:r>
    </w:p>
    <w:p w14:paraId="355401AC"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إن صيانة خوارزميات الذكاء الاصطناعي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وتدريبها المستمر على بيانات جديدة لضمان دقتها في التنبؤ بالمخاطر، يمثل تحدياً تشغيلياً مستمراً.</w:t>
      </w:r>
    </w:p>
    <w:p w14:paraId="72D0F321"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2.6.2 التحديات البشرية (ضعف المهارات الرقمية، مقاومة التغيير)</w:t>
      </w:r>
    </w:p>
    <w:p w14:paraId="550C3C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ضعف المهارات الرقمية المتخصصة (</w:t>
      </w:r>
      <w:r w:rsidRPr="00A92155">
        <w:rPr>
          <w:rFonts w:asciiTheme="majorBidi" w:hAnsiTheme="majorBidi" w:cstheme="majorBidi"/>
          <w:b/>
          <w:bCs/>
          <w:sz w:val="26"/>
          <w:szCs w:val="26"/>
        </w:rPr>
        <w:t>Digital Skills Gap</w:t>
      </w:r>
      <w:r w:rsidRPr="00A92155">
        <w:rPr>
          <w:rFonts w:asciiTheme="majorBidi" w:hAnsiTheme="majorBidi" w:cstheme="majorBidi"/>
          <w:b/>
          <w:bCs/>
          <w:sz w:val="26"/>
          <w:szCs w:val="26"/>
          <w:rtl/>
        </w:rPr>
        <w:t>):</w:t>
      </w:r>
    </w:p>
    <w:p w14:paraId="51767910"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شددت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رأس المال البشري هو المحرك الأول للتحول الرقمي، وأن الفجوة في المهارات الرقمية المتخصصة هي العقبة الأكبر.</w:t>
      </w:r>
    </w:p>
    <w:p w14:paraId="490F2A63"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 xml:space="preserve">تحتاج الهيئة إلى خبراء في مجالات نادرة مثل </w:t>
      </w:r>
      <w:r w:rsidRPr="00B711E9">
        <w:rPr>
          <w:rFonts w:asciiTheme="majorBidi" w:hAnsiTheme="majorBidi" w:cstheme="majorBidi"/>
          <w:sz w:val="26"/>
          <w:szCs w:val="26"/>
          <w:rtl/>
        </w:rPr>
        <w:t>علم البيانات الضريبية والجمركية (</w:t>
      </w:r>
      <w:r w:rsidRPr="00B711E9">
        <w:rPr>
          <w:rFonts w:asciiTheme="majorBidi" w:hAnsiTheme="majorBidi" w:cstheme="majorBidi"/>
          <w:sz w:val="26"/>
          <w:szCs w:val="26"/>
        </w:rPr>
        <w:t>Data Science in Customs</w:t>
      </w:r>
      <w:r w:rsidRPr="00B711E9">
        <w:rPr>
          <w:rFonts w:asciiTheme="majorBidi" w:hAnsiTheme="majorBidi" w:cstheme="majorBidi"/>
          <w:sz w:val="26"/>
          <w:szCs w:val="26"/>
          <w:rtl/>
        </w:rPr>
        <w:t xml:space="preserve"> &amp; </w:t>
      </w:r>
      <w:r w:rsidRPr="00B711E9">
        <w:rPr>
          <w:rFonts w:asciiTheme="majorBidi" w:hAnsiTheme="majorBidi" w:cstheme="majorBidi"/>
          <w:sz w:val="26"/>
          <w:szCs w:val="26"/>
        </w:rPr>
        <w:t>Tax</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وهندسة الذكاء الاصطناعي، والأمن السيبراني، وهو ما يتطلب خطط تدريب واستقطاب متقدمة.</w:t>
      </w:r>
    </w:p>
    <w:p w14:paraId="65D9EE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مقاومة التغيير المؤسسي والثقافة القديمة (</w:t>
      </w:r>
      <w:r w:rsidRPr="00A92155">
        <w:rPr>
          <w:rFonts w:asciiTheme="majorBidi" w:hAnsiTheme="majorBidi" w:cstheme="majorBidi"/>
          <w:b/>
          <w:bCs/>
          <w:sz w:val="26"/>
          <w:szCs w:val="26"/>
        </w:rPr>
        <w:t>Cultural Resistance</w:t>
      </w:r>
      <w:r w:rsidRPr="00A92155">
        <w:rPr>
          <w:rFonts w:asciiTheme="majorBidi" w:hAnsiTheme="majorBidi" w:cstheme="majorBidi"/>
          <w:b/>
          <w:bCs/>
          <w:sz w:val="26"/>
          <w:szCs w:val="26"/>
          <w:rtl/>
        </w:rPr>
        <w:t>):</w:t>
      </w:r>
    </w:p>
    <w:p w14:paraId="748E83F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تشير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Rogers, E. M., 2003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نظرية "نشر الابتكار" إلى أن الثقافة والمقاومة الداخلية هي العامل الحاسم في تبني التقنيات.</w:t>
      </w:r>
    </w:p>
    <w:p w14:paraId="1A69CF1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يواجه موظفو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الذين اعتادوا على الإجراءات اليدوية والورقية تحدي التكيف مع الأتمتة الكاملة والقرارات القائمة على البيانات، مما يتطلب برامج إدارة تغيير قوية لغرس </w:t>
      </w:r>
      <w:r w:rsidRPr="00A92155">
        <w:rPr>
          <w:rFonts w:asciiTheme="majorBidi" w:hAnsiTheme="majorBidi" w:cstheme="majorBidi"/>
          <w:b/>
          <w:bCs/>
          <w:sz w:val="26"/>
          <w:szCs w:val="26"/>
          <w:rtl/>
        </w:rPr>
        <w:t>ثقافة البيانات</w:t>
      </w:r>
      <w:r w:rsidRPr="00A92155">
        <w:rPr>
          <w:rFonts w:asciiTheme="majorBidi" w:hAnsiTheme="majorBidi" w:cstheme="majorBidi"/>
          <w:sz w:val="26"/>
          <w:szCs w:val="26"/>
          <w:rtl/>
        </w:rPr>
        <w:t xml:space="preserve"> بدلاً من ثقافة الاجتهاد الشخصي.</w:t>
      </w:r>
    </w:p>
    <w:p w14:paraId="683A3A8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2.6.3 التحديات التشريعية والتنظيمية (القوانين، حماية البيانات، التوافق الدولي)</w:t>
      </w:r>
    </w:p>
    <w:p w14:paraId="1CE5694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الإطار القانوني للتقنيات الناشئة (</w:t>
      </w:r>
      <w:r w:rsidRPr="00A92155">
        <w:rPr>
          <w:rFonts w:asciiTheme="majorBidi" w:hAnsiTheme="majorBidi" w:cstheme="majorBidi"/>
          <w:b/>
          <w:bCs/>
          <w:sz w:val="26"/>
          <w:szCs w:val="26"/>
        </w:rPr>
        <w:t>AI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p>
    <w:p w14:paraId="2805714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التشريعات غالباً ما تتخلف عن التطور التكنولوجي.</w:t>
      </w:r>
    </w:p>
    <w:p w14:paraId="73D7CDD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لا يزال هناك تحدٍ في وضع إطار قانوني واضح لـ </w:t>
      </w:r>
      <w:r w:rsidRPr="00B711E9">
        <w:rPr>
          <w:rFonts w:asciiTheme="majorBidi" w:hAnsiTheme="majorBidi" w:cstheme="majorBidi"/>
          <w:sz w:val="26"/>
          <w:szCs w:val="26"/>
          <w:rtl/>
        </w:rPr>
        <w:t>مساءلة الذكاء الاصطناعي (</w:t>
      </w:r>
      <w:r w:rsidRPr="00B711E9">
        <w:rPr>
          <w:rFonts w:asciiTheme="majorBidi" w:hAnsiTheme="majorBidi" w:cstheme="majorBidi"/>
          <w:sz w:val="26"/>
          <w:szCs w:val="26"/>
        </w:rPr>
        <w:t>AI Accountability</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وتحديد المسؤولية القانونية عند اتخاذ النظام الآلي لقرار يؤدي إلى نزاع تجاري أو مالي.</w:t>
      </w:r>
    </w:p>
    <w:p w14:paraId="3900A68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حماية البيانات الشخصية والسيادة على البيانات (</w:t>
      </w:r>
      <w:r w:rsidRPr="00A92155">
        <w:rPr>
          <w:rFonts w:asciiTheme="majorBidi" w:hAnsiTheme="majorBidi" w:cstheme="majorBidi"/>
          <w:b/>
          <w:bCs/>
          <w:sz w:val="26"/>
          <w:szCs w:val="26"/>
        </w:rPr>
        <w:t>PDPL</w:t>
      </w:r>
      <w:r w:rsidRPr="00A92155">
        <w:rPr>
          <w:rFonts w:asciiTheme="majorBidi" w:hAnsiTheme="majorBidi" w:cstheme="majorBidi"/>
          <w:b/>
          <w:bCs/>
          <w:sz w:val="26"/>
          <w:szCs w:val="26"/>
          <w:rtl/>
        </w:rPr>
        <w:t>):</w:t>
      </w:r>
    </w:p>
    <w:p w14:paraId="690108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في المملكة، يفرض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التزامات صارمة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بيانات المكلفين والتجار.</w:t>
      </w:r>
    </w:p>
    <w:p w14:paraId="679F6684"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التحدي:</w:t>
      </w:r>
      <w:r w:rsidRPr="00A92155">
        <w:rPr>
          <w:rFonts w:asciiTheme="majorBidi" w:hAnsiTheme="majorBidi" w:cstheme="majorBidi"/>
          <w:sz w:val="26"/>
          <w:szCs w:val="26"/>
          <w:rtl/>
        </w:rPr>
        <w:t xml:space="preserve"> يتطلب التزام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بالـ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موازنة صعبة بين حاجة الهيئة لاستخدام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للتحليل التنبؤي (الأمن والتيسير) ومتطلبات الحفاظ على خصوصية الأفراد.</w:t>
      </w:r>
    </w:p>
    <w:p w14:paraId="692CB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التوافق التنظيمي الدولي (</w:t>
      </w:r>
      <w:r w:rsidRPr="00A92155">
        <w:rPr>
          <w:rFonts w:asciiTheme="majorBidi" w:hAnsiTheme="majorBidi" w:cstheme="majorBidi"/>
          <w:b/>
          <w:bCs/>
          <w:sz w:val="26"/>
          <w:szCs w:val="26"/>
        </w:rPr>
        <w:t>Cross-Border Compliance</w:t>
      </w:r>
      <w:r w:rsidRPr="00A92155">
        <w:rPr>
          <w:rFonts w:asciiTheme="majorBidi" w:hAnsiTheme="majorBidi" w:cstheme="majorBidi"/>
          <w:b/>
          <w:bCs/>
          <w:sz w:val="26"/>
          <w:szCs w:val="26"/>
          <w:rtl/>
        </w:rPr>
        <w:t>):</w:t>
      </w:r>
    </w:p>
    <w:p w14:paraId="736F0442"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hint="cs"/>
          <w:sz w:val="26"/>
          <w:szCs w:val="26"/>
          <w:rtl/>
        </w:rPr>
        <w:t>أكدت دراسة</w:t>
      </w:r>
      <w:r w:rsidRPr="00D835CB">
        <w:rPr>
          <w:rFonts w:asciiTheme="majorBidi" w:hAnsiTheme="majorBidi" w:cstheme="majorBidi"/>
          <w:sz w:val="26"/>
          <w:szCs w:val="26"/>
          <w:rtl/>
        </w:rPr>
        <w:t xml:space="preserve"> (</w:t>
      </w:r>
      <w:r w:rsidRPr="00D835CB">
        <w:rPr>
          <w:rFonts w:asciiTheme="majorBidi" w:hAnsiTheme="majorBidi" w:cstheme="majorBidi"/>
          <w:sz w:val="26"/>
          <w:szCs w:val="26"/>
        </w:rPr>
        <w:t>OECD, 2020</w:t>
      </w:r>
      <w:r w:rsidRPr="00D835CB">
        <w:rPr>
          <w:rFonts w:asciiTheme="majorBidi" w:hAnsiTheme="majorBidi" w:cstheme="majorBidi"/>
          <w:sz w:val="26"/>
          <w:szCs w:val="26"/>
          <w:rtl/>
        </w:rPr>
        <w:t>)</w:t>
      </w:r>
      <w:r w:rsidRPr="00A92155">
        <w:rPr>
          <w:rFonts w:asciiTheme="majorBidi" w:hAnsiTheme="majorBidi" w:cstheme="majorBidi"/>
          <w:sz w:val="26"/>
          <w:szCs w:val="26"/>
          <w:rtl/>
        </w:rPr>
        <w:t xml:space="preserve"> على أن عدم توافق المتطلبات الرقمية بين الدول يُعد عائقاً لتيسير التجارة الرقمية.</w:t>
      </w:r>
    </w:p>
    <w:p w14:paraId="050353FD"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ضمان أن متطلباتها الرقمية (مثل الفاتورة الإلكترونية) تتوافق مع متطلبات الأنظمة الجمركية والضريبية للدول الشريكة في التجارة، مما يتطلب تنسيقاً ثنائياً ودولياً.</w:t>
      </w:r>
    </w:p>
    <w:p w14:paraId="6BB9B5B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2.6.4 التحديات الاقتصادية والمالية (تكلفة البنية الرقمية، عائد الاستثمار)</w:t>
      </w:r>
    </w:p>
    <w:p w14:paraId="4E7C74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التكلفة الأولية والبنية التحتية:</w:t>
      </w:r>
    </w:p>
    <w:p w14:paraId="17A0C3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تطبيق التقنيات المتقدمة (</w:t>
      </w:r>
      <w:r w:rsidRPr="00A92155">
        <w:rPr>
          <w:rFonts w:asciiTheme="majorBidi" w:hAnsiTheme="majorBidi" w:cstheme="majorBidi"/>
          <w:sz w:val="26"/>
          <w:szCs w:val="26"/>
        </w:rPr>
        <w:t>AI, IoT, Cloud</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استثمارات 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ضخمة لإنشاء مراكز بيانات آمنة وشراء تراخيص البرمجيات المتخصصة.</w:t>
      </w:r>
    </w:p>
    <w:p w14:paraId="0D6CC18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قياس عائد الاستثمار (</w:t>
      </w:r>
      <w:r w:rsidRPr="00A92155">
        <w:rPr>
          <w:rFonts w:asciiTheme="majorBidi" w:hAnsiTheme="majorBidi" w:cstheme="majorBidi"/>
          <w:b/>
          <w:bCs/>
          <w:sz w:val="26"/>
          <w:szCs w:val="26"/>
        </w:rPr>
        <w:t>ROI</w:t>
      </w:r>
      <w:r w:rsidRPr="00A92155">
        <w:rPr>
          <w:rFonts w:asciiTheme="majorBidi" w:hAnsiTheme="majorBidi" w:cstheme="majorBidi"/>
          <w:b/>
          <w:bCs/>
          <w:sz w:val="26"/>
          <w:szCs w:val="26"/>
          <w:rtl/>
        </w:rPr>
        <w:t>) للتحول الرقمي:</w:t>
      </w:r>
    </w:p>
    <w:p w14:paraId="204967FC"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وأشارت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Muehlburger et 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صعوبة قياس العائد المالي المباشر للتحول الرقمي في القطاع العام.</w:t>
      </w:r>
    </w:p>
    <w:p w14:paraId="3B26DF6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التحدي:</w:t>
      </w:r>
      <w:r w:rsidRPr="00A92155">
        <w:rPr>
          <w:rFonts w:asciiTheme="majorBidi" w:hAnsiTheme="majorBidi" w:cstheme="majorBidi"/>
          <w:sz w:val="26"/>
          <w:szCs w:val="26"/>
          <w:rtl/>
        </w:rPr>
        <w:t xml:space="preserve">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إثبات أن الاستثمار في الرقمنة قد أدى إلى عائد مالي (زيادة الإيرادات، خفض التكلفة التشغيلية) وعائد غير مالي (زيادة رضا العملاء، تحسين ترتيب المملكة في المؤشرات العالمية).</w:t>
      </w:r>
    </w:p>
    <w:p w14:paraId="5D553660"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2.6.5 الفرص الناشئة (الذكاء الاصطناعي، التحليل التنبئي، السحابة الحكومية)</w:t>
      </w:r>
    </w:p>
    <w:p w14:paraId="2913F7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فرصة الذكاء الاصطناعي والتحليل التنبئي:</w:t>
      </w:r>
    </w:p>
    <w:p w14:paraId="7E075E9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الذكاء الاصطناعي فرصة استراتيجية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لتحقيق قفزة نوعية في </w:t>
      </w:r>
      <w:r w:rsidRPr="00A92155">
        <w:rPr>
          <w:rFonts w:asciiTheme="majorBidi" w:hAnsiTheme="majorBidi" w:cstheme="majorBidi"/>
          <w:b/>
          <w:bCs/>
          <w:sz w:val="26"/>
          <w:szCs w:val="26"/>
          <w:rtl/>
        </w:rPr>
        <w:t>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والانتقال من الكشف إلى التنبؤ بالاحتيال والتهريب.</w:t>
      </w:r>
    </w:p>
    <w:p w14:paraId="7BC5CD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فرصة الحوسبة السحابية الحكومية:</w:t>
      </w:r>
    </w:p>
    <w:p w14:paraId="6E707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الاعتماد على منصات السحابة الحكومية الموحدة (مثل ما توفره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أو الجهات الوطنية الأخرى) يقلل من التكلفة الرأسمالية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ويسرع من نشر الخدمات، مع ضمان أمن البيانات وفقاً للمعايير الوطنية.</w:t>
      </w:r>
    </w:p>
    <w:p w14:paraId="6B8BB5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فرصة البلوكتشين في التجارة:</w:t>
      </w:r>
    </w:p>
    <w:p w14:paraId="69BECD8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تتيح تقنية البلوكتشين الفرصة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لتوثيق الشهادات الجمركية والضريبية بشكل غير قابل للتزوير، مما يعزز الثقة الدولية في التجارة السعودية.</w:t>
      </w:r>
    </w:p>
    <w:p w14:paraId="57DFD91C"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2.6.6 مبادرات التحول الرقمي في رؤية السعودية 2030 كفرص استراتيجية</w:t>
      </w:r>
    </w:p>
    <w:p w14:paraId="4198E6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الدعم السياسي والتمويل:</w:t>
      </w:r>
    </w:p>
    <w:p w14:paraId="21E017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توفر رؤية 2030 إطاراً استراتيجياً والتزاماً سياسياً عالياً لتمويل ودعم مبادرات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الرقمية، مما يقلل من المقاومة الداخلية ويسهل التنسيق بين الجهات الحكومية.</w:t>
      </w:r>
    </w:p>
    <w:p w14:paraId="2CF41C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اللوجستي (مركز عالمي):</w:t>
      </w:r>
    </w:p>
    <w:p w14:paraId="2BF9B8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هدف تحويل المملكة إلى مركز لوجستي عالمي حافزاً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لتبني أسرع وأكفأ حلول تيسير التجارة الرقمية لتحقيق مستهدفات المؤشر العالمي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62EAD4D"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2.6.7 مقاربة </w:t>
      </w:r>
      <w:r w:rsidRPr="00A92155">
        <w:rPr>
          <w:rFonts w:asciiTheme="majorBidi" w:hAnsiTheme="majorBidi" w:cs="PT Bold Heading"/>
          <w:b/>
          <w:bCs/>
          <w:sz w:val="26"/>
          <w:szCs w:val="26"/>
        </w:rPr>
        <w:t>SWOT</w:t>
      </w:r>
      <w:r w:rsidRPr="00A92155">
        <w:rPr>
          <w:rFonts w:asciiTheme="majorBidi" w:hAnsiTheme="majorBidi" w:cs="PT Bold Heading"/>
          <w:b/>
          <w:bCs/>
          <w:sz w:val="26"/>
          <w:szCs w:val="26"/>
          <w:rtl/>
        </w:rPr>
        <w:t xml:space="preserve"> لتقييم الواقع الرقمي في هيئة الزكاة والضريبة والجمارك</w:t>
      </w:r>
    </w:p>
    <w:p w14:paraId="67BB1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تساعد مقاربة </w:t>
      </w:r>
      <w:r w:rsidRPr="00A92155">
        <w:rPr>
          <w:rFonts w:asciiTheme="majorBidi" w:hAnsiTheme="majorBidi" w:cstheme="majorBidi"/>
          <w:sz w:val="26"/>
          <w:szCs w:val="26"/>
        </w:rPr>
        <w:t>SWOT</w:t>
      </w:r>
      <w:r w:rsidRPr="00A92155">
        <w:rPr>
          <w:rFonts w:asciiTheme="majorBidi" w:hAnsiTheme="majorBidi" w:cstheme="majorBidi"/>
          <w:sz w:val="26"/>
          <w:szCs w:val="26"/>
          <w:rtl/>
        </w:rPr>
        <w:t xml:space="preserve"> في تقييم الواقع التشغيلي لـ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tbl>
      <w:tblPr>
        <w:tblStyle w:val="GridTable5Dark"/>
        <w:bidiVisual/>
        <w:tblW w:w="0" w:type="auto"/>
        <w:tblLook w:val="04A0" w:firstRow="1" w:lastRow="0" w:firstColumn="1" w:lastColumn="0" w:noHBand="0" w:noVBand="1"/>
      </w:tblPr>
      <w:tblGrid>
        <w:gridCol w:w="2204"/>
        <w:gridCol w:w="4384"/>
        <w:gridCol w:w="2762"/>
      </w:tblGrid>
      <w:tr w:rsidR="00202E2A" w:rsidRPr="00A92155" w14:paraId="249314B3"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9BDB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المحور</w:t>
            </w:r>
          </w:p>
        </w:tc>
        <w:tc>
          <w:tcPr>
            <w:tcW w:w="0" w:type="auto"/>
            <w:hideMark/>
          </w:tcPr>
          <w:p w14:paraId="0F40EC95"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p>
        </w:tc>
        <w:tc>
          <w:tcPr>
            <w:tcW w:w="0" w:type="auto"/>
            <w:hideMark/>
          </w:tcPr>
          <w:p w14:paraId="48C0B957"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الأثر على التحول الرقمي</w:t>
            </w:r>
          </w:p>
        </w:tc>
      </w:tr>
      <w:tr w:rsidR="00202E2A" w:rsidRPr="00A92155" w14:paraId="57171151"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DE58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القوة (</w:t>
            </w:r>
            <w:r w:rsidRPr="00A92155">
              <w:rPr>
                <w:rFonts w:asciiTheme="majorBidi" w:hAnsiTheme="majorBidi" w:cstheme="majorBidi"/>
                <w:sz w:val="26"/>
                <w:szCs w:val="26"/>
              </w:rPr>
              <w:t>Strengths</w:t>
            </w:r>
            <w:r w:rsidRPr="00A92155">
              <w:rPr>
                <w:rFonts w:asciiTheme="majorBidi" w:hAnsiTheme="majorBidi" w:cstheme="majorBidi"/>
                <w:sz w:val="26"/>
                <w:szCs w:val="26"/>
                <w:rtl/>
              </w:rPr>
              <w:t>)</w:t>
            </w:r>
          </w:p>
        </w:tc>
        <w:tc>
          <w:tcPr>
            <w:tcW w:w="0" w:type="auto"/>
            <w:hideMark/>
          </w:tcPr>
          <w:p w14:paraId="13AC39DA"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الدعم الحكومي غير المحدود (رؤية 2030)، الاستثمار في الذكاء الاصطناعي، وجود منصات وطنية موحدة (فسح، فاتورة).</w:t>
            </w:r>
          </w:p>
        </w:tc>
        <w:tc>
          <w:tcPr>
            <w:tcW w:w="0" w:type="auto"/>
            <w:hideMark/>
          </w:tcPr>
          <w:p w14:paraId="51341BB0"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التطور السريع وتجاوز عقبة التمويل.</w:t>
            </w:r>
          </w:p>
        </w:tc>
      </w:tr>
      <w:tr w:rsidR="00202E2A" w:rsidRPr="00A92155" w14:paraId="16AA723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B003D39"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الضعف (</w:t>
            </w:r>
            <w:r w:rsidRPr="00A92155">
              <w:rPr>
                <w:rFonts w:asciiTheme="majorBidi" w:hAnsiTheme="majorBidi" w:cstheme="majorBidi"/>
                <w:sz w:val="26"/>
                <w:szCs w:val="26"/>
              </w:rPr>
              <w:t>Weaknesses</w:t>
            </w:r>
            <w:r w:rsidRPr="00A92155">
              <w:rPr>
                <w:rFonts w:asciiTheme="majorBidi" w:hAnsiTheme="majorBidi" w:cstheme="majorBidi"/>
                <w:sz w:val="26"/>
                <w:szCs w:val="26"/>
                <w:rtl/>
              </w:rPr>
              <w:t>)</w:t>
            </w:r>
          </w:p>
        </w:tc>
        <w:tc>
          <w:tcPr>
            <w:tcW w:w="0" w:type="auto"/>
            <w:hideMark/>
          </w:tcPr>
          <w:p w14:paraId="433983A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تحدي تكامل الأنظمة القديمة، الفجوة في المهارات التخصصية (</w:t>
            </w:r>
            <w:r w:rsidRPr="00A92155">
              <w:rPr>
                <w:rFonts w:asciiTheme="majorBidi" w:hAnsiTheme="majorBidi" w:cstheme="majorBidi"/>
                <w:sz w:val="26"/>
                <w:szCs w:val="26"/>
              </w:rPr>
              <w:t>AI/Cyber</w:t>
            </w:r>
            <w:r w:rsidRPr="00A92155">
              <w:rPr>
                <w:rFonts w:asciiTheme="majorBidi" w:hAnsiTheme="majorBidi" w:cstheme="majorBidi"/>
                <w:sz w:val="26"/>
                <w:szCs w:val="26"/>
                <w:rtl/>
              </w:rPr>
              <w:t>)، الاعتماد على الاستشاريين الخارجيين.</w:t>
            </w:r>
          </w:p>
        </w:tc>
        <w:tc>
          <w:tcPr>
            <w:tcW w:w="0" w:type="auto"/>
            <w:hideMark/>
          </w:tcPr>
          <w:p w14:paraId="107C969B"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يؤدي إلى بطء في تبني التقنيات المتقدمة وزيادة المخاطر الأمنية والتشغيلية.</w:t>
            </w:r>
          </w:p>
        </w:tc>
      </w:tr>
      <w:tr w:rsidR="00202E2A" w:rsidRPr="00A92155" w14:paraId="227C8688"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D0492"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الفرص (</w:t>
            </w:r>
            <w:r w:rsidRPr="00A92155">
              <w:rPr>
                <w:rFonts w:asciiTheme="majorBidi" w:hAnsiTheme="majorBidi" w:cstheme="majorBidi"/>
                <w:sz w:val="26"/>
                <w:szCs w:val="26"/>
              </w:rPr>
              <w:t>Opportunities</w:t>
            </w:r>
            <w:r w:rsidRPr="00A92155">
              <w:rPr>
                <w:rFonts w:asciiTheme="majorBidi" w:hAnsiTheme="majorBidi" w:cstheme="majorBidi"/>
                <w:sz w:val="26"/>
                <w:szCs w:val="26"/>
                <w:rtl/>
              </w:rPr>
              <w:t>)</w:t>
            </w:r>
          </w:p>
        </w:tc>
        <w:tc>
          <w:tcPr>
            <w:tcW w:w="0" w:type="auto"/>
            <w:hideMark/>
          </w:tcPr>
          <w:p w14:paraId="56D52549"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تبني الحوسبة السحابية الحكومية، النمو الهائل للتجارة الإلكترونية، الالتزام بمعايير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(الأمن السيبراني).</w:t>
            </w:r>
          </w:p>
        </w:tc>
        <w:tc>
          <w:tcPr>
            <w:tcW w:w="0" w:type="auto"/>
            <w:hideMark/>
          </w:tcPr>
          <w:p w14:paraId="4A044FF7"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الابتكار وتقليل التكاليف وزيادة الإيرادات عبر التجارة الإلكترونية.</w:t>
            </w:r>
          </w:p>
        </w:tc>
      </w:tr>
      <w:tr w:rsidR="00202E2A" w:rsidRPr="00A92155" w14:paraId="79405872"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1E41D40B"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التهديدات (</w:t>
            </w:r>
            <w:r w:rsidRPr="00A92155">
              <w:rPr>
                <w:rFonts w:asciiTheme="majorBidi" w:hAnsiTheme="majorBidi" w:cstheme="majorBidi"/>
                <w:sz w:val="26"/>
                <w:szCs w:val="26"/>
              </w:rPr>
              <w:t>Threats</w:t>
            </w:r>
            <w:r w:rsidRPr="00A92155">
              <w:rPr>
                <w:rFonts w:asciiTheme="majorBidi" w:hAnsiTheme="majorBidi" w:cstheme="majorBidi"/>
                <w:sz w:val="26"/>
                <w:szCs w:val="26"/>
                <w:rtl/>
              </w:rPr>
              <w:t>)</w:t>
            </w:r>
          </w:p>
        </w:tc>
        <w:tc>
          <w:tcPr>
            <w:tcW w:w="0" w:type="auto"/>
            <w:hideMark/>
          </w:tcPr>
          <w:p w14:paraId="5E706C2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تصاعد الهجمات السيبرانية المعقدة، التغيير السريع في اللوائح التنظيمية الدولية، مقاومة التغيير من قبل الشركاء التجاريين (عدم الرقمنة).</w:t>
            </w:r>
          </w:p>
        </w:tc>
        <w:tc>
          <w:tcPr>
            <w:tcW w:w="0" w:type="auto"/>
            <w:hideMark/>
          </w:tcPr>
          <w:p w14:paraId="19F22349"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يعرض الأنظمة للخطر ويجعل التكامل الدولي صعباً.</w:t>
            </w:r>
          </w:p>
        </w:tc>
      </w:tr>
    </w:tbl>
    <w:p w14:paraId="348DFE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t>المصدر: إعداد الباحث.</w:t>
      </w:r>
    </w:p>
    <w:p w14:paraId="467131CE" w14:textId="2D1C62F8" w:rsidR="00202E2A" w:rsidRPr="00A92155" w:rsidRDefault="0023434F"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السابع: المخاطر المستقبلية للتحول الرقمي وإدارة الأزمات</w:t>
      </w:r>
    </w:p>
    <w:p w14:paraId="7F9093A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687E9755" w14:textId="147755F9"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الأمن السيبراني كجزء من استمرارية الأعمال</w:t>
      </w:r>
      <w:r w:rsidRPr="00A92155">
        <w:rPr>
          <w:rFonts w:asciiTheme="majorBidi" w:hAnsiTheme="majorBidi" w:cstheme="majorBidi" w:hint="cs"/>
          <w:sz w:val="26"/>
          <w:szCs w:val="26"/>
          <w:rtl/>
        </w:rPr>
        <w:t xml:space="preserve"> حيث </w:t>
      </w:r>
      <w:r w:rsidRPr="00A92155">
        <w:rPr>
          <w:rFonts w:asciiTheme="majorBidi" w:hAnsiTheme="majorBidi" w:cstheme="majorBidi"/>
          <w:sz w:val="26"/>
          <w:szCs w:val="26"/>
          <w:rtl/>
        </w:rPr>
        <w:t xml:space="preserve">يتناول هذا </w:t>
      </w:r>
      <w:r w:rsidR="0023434F">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الجانب السلبي من التحول الرقمي، وهو المخاطر والتهديدات المستقبلية التي يمكن أن تؤثر على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تعزيز الأمن وتيسير التجارة. يُنظر إلى إدارة المخاطر هنا ليس كعملية دفاعية فقط، بل كجزء أساسي من </w:t>
      </w:r>
      <w:r w:rsidRPr="00A92155">
        <w:rPr>
          <w:rFonts w:asciiTheme="majorBidi" w:hAnsiTheme="majorBidi" w:cstheme="majorBidi"/>
          <w:b/>
          <w:bCs/>
          <w:sz w:val="26"/>
          <w:szCs w:val="26"/>
          <w:rtl/>
        </w:rPr>
        <w:t>استمرارية الأعمال (</w:t>
      </w:r>
      <w:r w:rsidRPr="00A92155">
        <w:rPr>
          <w:rFonts w:asciiTheme="majorBidi" w:hAnsiTheme="majorBidi" w:cstheme="majorBidi"/>
          <w:b/>
          <w:bCs/>
          <w:sz w:val="26"/>
          <w:szCs w:val="26"/>
        </w:rPr>
        <w:t>Business Continuity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وإدارة الأزمات (</w:t>
      </w:r>
      <w:r w:rsidRPr="00A92155">
        <w:rPr>
          <w:rFonts w:asciiTheme="majorBidi" w:hAnsiTheme="majorBidi" w:cstheme="majorBidi"/>
          <w:sz w:val="26"/>
          <w:szCs w:val="26"/>
        </w:rPr>
        <w:t>Crisis Management</w:t>
      </w:r>
      <w:r w:rsidRPr="00A92155">
        <w:rPr>
          <w:rFonts w:asciiTheme="majorBidi" w:hAnsiTheme="majorBidi" w:cstheme="majorBidi"/>
          <w:sz w:val="26"/>
          <w:szCs w:val="26"/>
          <w:rtl/>
        </w:rPr>
        <w:t>).</w:t>
      </w:r>
    </w:p>
    <w:p w14:paraId="5B80945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2.7.1 تصنيف المخاطر الرقمية (تقنية، قانونية، اجتماعية، بيئية)</w:t>
      </w:r>
    </w:p>
    <w:p w14:paraId="6EC775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المخاطر التقنية (السيبرانية والتشغيلية):</w:t>
      </w:r>
    </w:p>
    <w:p w14:paraId="74FDC7D3"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وأكدت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Smith, A.,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المخاطر السيبرانية تشمل الفشل في حماية البيانات (</w:t>
      </w:r>
      <w:r w:rsidRPr="00A92155">
        <w:rPr>
          <w:rFonts w:asciiTheme="majorBidi" w:hAnsiTheme="majorBidi" w:cstheme="majorBidi"/>
          <w:sz w:val="26"/>
          <w:szCs w:val="26"/>
        </w:rPr>
        <w:t>Integrity</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وتعطيل الخدمة (</w:t>
      </w:r>
      <w:r w:rsidRPr="00A92155">
        <w:rPr>
          <w:rFonts w:asciiTheme="majorBidi" w:hAnsiTheme="majorBidi" w:cstheme="majorBidi"/>
          <w:sz w:val="26"/>
          <w:szCs w:val="26"/>
        </w:rPr>
        <w:t>Availability</w:t>
      </w:r>
      <w:r w:rsidRPr="00A92155">
        <w:rPr>
          <w:rFonts w:asciiTheme="majorBidi" w:hAnsiTheme="majorBidi" w:cstheme="majorBidi"/>
          <w:sz w:val="26"/>
          <w:szCs w:val="26"/>
          <w:rtl/>
        </w:rPr>
        <w:t>).</w:t>
      </w:r>
    </w:p>
    <w:p w14:paraId="46E7F1F2"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يشمل ذلك هجمات حجب الخدمة الموزعة (</w:t>
      </w:r>
      <w:r w:rsidRPr="00A92155">
        <w:rPr>
          <w:rFonts w:asciiTheme="majorBidi" w:hAnsiTheme="majorBidi" w:cstheme="majorBidi"/>
          <w:sz w:val="26"/>
          <w:szCs w:val="26"/>
        </w:rPr>
        <w:t>DDoS</w:t>
      </w:r>
      <w:r w:rsidRPr="00A92155">
        <w:rPr>
          <w:rFonts w:asciiTheme="majorBidi" w:hAnsiTheme="majorBidi" w:cstheme="majorBidi"/>
          <w:sz w:val="26"/>
          <w:szCs w:val="26"/>
          <w:rtl/>
        </w:rPr>
        <w:t>) التي تستهدف منصات النافذة الواحدة لتعطيل التجارة (تهديد للتيسير)، أو هجمات الفدية (</w:t>
      </w:r>
      <w:r w:rsidRPr="00A92155">
        <w:rPr>
          <w:rFonts w:asciiTheme="majorBidi" w:hAnsiTheme="majorBidi" w:cstheme="majorBidi"/>
          <w:sz w:val="26"/>
          <w:szCs w:val="26"/>
        </w:rPr>
        <w:t>Ransomware</w:t>
      </w:r>
      <w:r w:rsidRPr="00A92155">
        <w:rPr>
          <w:rFonts w:asciiTheme="majorBidi" w:hAnsiTheme="majorBidi" w:cstheme="majorBidi"/>
          <w:sz w:val="26"/>
          <w:szCs w:val="26"/>
          <w:rtl/>
        </w:rPr>
        <w:t>) التي تستهدف أنظمة التحصيل الضريبي (تهديد للأمن الاقتصادي).</w:t>
      </w:r>
    </w:p>
    <w:p w14:paraId="4B39BA5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المخاطر القانونية (الامتثال والمساءلة):</w:t>
      </w:r>
    </w:p>
    <w:p w14:paraId="00AE64E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Vial,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مخاطر عدم الامتثال لقوانين حماية البيانات واللوائح الدولية.</w:t>
      </w:r>
    </w:p>
    <w:p w14:paraId="3D6124AB"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قد تتعرض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لدعاوى قضائية أو غرامات دولية نتيجة لخرق قواعد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أو فشل النظام الآلي في اتخاذ قرار عادل بشأن تصنيف جمركي معين.</w:t>
      </w:r>
    </w:p>
    <w:p w14:paraId="52C883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المخاطر الاجتماعية (فقدان الثقة):</w:t>
      </w:r>
    </w:p>
    <w:p w14:paraId="716B657A"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 xml:space="preserve">وأكدت دراسة </w:t>
      </w:r>
      <w:r w:rsidRPr="00DA7B87">
        <w:rPr>
          <w:rFonts w:asciiTheme="majorBidi" w:hAnsiTheme="majorBidi" w:cstheme="majorBidi"/>
          <w:sz w:val="26"/>
          <w:szCs w:val="26"/>
          <w:rtl/>
        </w:rPr>
        <w:t>(</w:t>
      </w:r>
      <w:r w:rsidRPr="00DA7B87">
        <w:rPr>
          <w:rFonts w:asciiTheme="majorBidi" w:hAnsiTheme="majorBidi" w:cstheme="majorBidi"/>
          <w:sz w:val="26"/>
          <w:szCs w:val="26"/>
        </w:rPr>
        <w:t>Rogers, E. M., 2003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فقدان ثقة الجمهور هو أحد أكبر العوائق أمام تبني الابتكار.</w:t>
      </w:r>
    </w:p>
    <w:p w14:paraId="4020EE6F"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أي فشل كبير في النظام الأمني أو تسريب للبيانات الضريبية يمكن أن يؤدي إلى فقدان ثقة المكلفين والقطاع الخاص في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يؤدي إلى تراجع في الامتثال الطوعي.</w:t>
      </w:r>
    </w:p>
    <w:p w14:paraId="4A67EE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 المخاطر البيئية (النفايات الإلكترونية):</w:t>
      </w:r>
    </w:p>
    <w:p w14:paraId="10380D2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الاستهلاك المستمر للتقنيات الجديدة والتخلص غير السليم من المعدات القديمة (</w:t>
      </w:r>
      <w:r w:rsidRPr="00A92155">
        <w:rPr>
          <w:rFonts w:asciiTheme="majorBidi" w:hAnsiTheme="majorBidi" w:cstheme="majorBidi"/>
          <w:sz w:val="26"/>
          <w:szCs w:val="26"/>
        </w:rPr>
        <w:t>E-Waste</w:t>
      </w:r>
      <w:r w:rsidRPr="00A92155">
        <w:rPr>
          <w:rFonts w:asciiTheme="majorBidi" w:hAnsiTheme="majorBidi" w:cstheme="majorBidi"/>
          <w:sz w:val="26"/>
          <w:szCs w:val="26"/>
          <w:rtl/>
        </w:rPr>
        <w:t>) يمثل خطراً بيئياً، مما يتطلب استراتيجية "تحول رقمي أخضر" (</w:t>
      </w:r>
      <w:r w:rsidRPr="00A92155">
        <w:rPr>
          <w:rFonts w:asciiTheme="majorBidi" w:hAnsiTheme="majorBidi" w:cstheme="majorBidi"/>
          <w:sz w:val="26"/>
          <w:szCs w:val="26"/>
        </w:rPr>
        <w:t>Green Digital Transformation</w:t>
      </w:r>
      <w:r w:rsidRPr="00A92155">
        <w:rPr>
          <w:rFonts w:asciiTheme="majorBidi" w:hAnsiTheme="majorBidi" w:cstheme="majorBidi"/>
          <w:sz w:val="26"/>
          <w:szCs w:val="26"/>
          <w:rtl/>
        </w:rPr>
        <w:t>).</w:t>
      </w:r>
    </w:p>
    <w:p w14:paraId="515CD719"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2.7.2 الأمن السيبراني كعنصر لإدارة الأزمات الاقتصادية والتجارية</w:t>
      </w:r>
    </w:p>
    <w:p w14:paraId="71B4BC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الأمن السيبراني وضمان استمرارية التجارة:</w:t>
      </w:r>
    </w:p>
    <w:p w14:paraId="3DB7874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وربطت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World Bank,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استقرار التجارة العالمية بالبنية التحتية الرقمية المؤمَّنة.</w:t>
      </w:r>
    </w:p>
    <w:p w14:paraId="44CD727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تعمل استراتيجية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كخطة استجابة للأزمات (</w:t>
      </w:r>
      <w:r w:rsidRPr="00A92155">
        <w:rPr>
          <w:rFonts w:asciiTheme="majorBidi" w:hAnsiTheme="majorBidi" w:cstheme="majorBidi"/>
          <w:sz w:val="26"/>
          <w:szCs w:val="26"/>
        </w:rPr>
        <w:t>Disaster Recovery Plan</w:t>
      </w:r>
      <w:r w:rsidRPr="00A92155">
        <w:rPr>
          <w:rFonts w:asciiTheme="majorBidi" w:hAnsiTheme="majorBidi" w:cstheme="majorBidi"/>
          <w:sz w:val="26"/>
          <w:szCs w:val="26"/>
          <w:rtl/>
        </w:rPr>
        <w:t>)، حيث تضمن استعادة العمليات الجمركية والضريبية بشكل سريع بعد أي هجوم أو تعطل، مما يقلل من الأثر الاقتصادي للأزمة.</w:t>
      </w:r>
    </w:p>
    <w:p w14:paraId="18ACA6C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مراكز العمليات الأمنية (</w:t>
      </w:r>
      <w:r w:rsidRPr="00A92155">
        <w:rPr>
          <w:rFonts w:asciiTheme="majorBidi" w:hAnsiTheme="majorBidi" w:cstheme="majorBidi"/>
          <w:b/>
          <w:bCs/>
          <w:sz w:val="26"/>
          <w:szCs w:val="26"/>
        </w:rPr>
        <w:t>SOC</w:t>
      </w:r>
      <w:r w:rsidRPr="00A92155">
        <w:rPr>
          <w:rFonts w:asciiTheme="majorBidi" w:hAnsiTheme="majorBidi" w:cstheme="majorBidi"/>
          <w:b/>
          <w:bCs/>
          <w:sz w:val="26"/>
          <w:szCs w:val="26"/>
          <w:rtl/>
        </w:rPr>
        <w:t>) والتعافي من الكوارث:</w:t>
      </w:r>
    </w:p>
    <w:p w14:paraId="3287FE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مراكز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الخط الأول لإدارة الأزمة السيبرانية، حيث تراقب وتستجيب للتهديدات على مدار الساعة، وتعمل بالتوازي مع خطط التعافي من الكوارث (</w:t>
      </w:r>
      <w:r w:rsidRPr="00A92155">
        <w:rPr>
          <w:rFonts w:asciiTheme="majorBidi" w:hAnsiTheme="majorBidi" w:cstheme="majorBidi"/>
          <w:sz w:val="26"/>
          <w:szCs w:val="26"/>
        </w:rPr>
        <w:t>DRP</w:t>
      </w:r>
      <w:r w:rsidRPr="00A92155">
        <w:rPr>
          <w:rFonts w:asciiTheme="majorBidi" w:hAnsiTheme="majorBidi" w:cstheme="majorBidi"/>
          <w:sz w:val="26"/>
          <w:szCs w:val="26"/>
          <w:rtl/>
        </w:rPr>
        <w:t>) لضمان التوافر العالي للأنظمة الحيوية.</w:t>
      </w:r>
    </w:p>
    <w:p w14:paraId="2638BAB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2.7.3 المخاطر المرتبطة بالذكاء الاصطناعي والأنظمة ذاتية القرار</w:t>
      </w:r>
    </w:p>
    <w:p w14:paraId="696103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مخاطر انحياز الخوارزميات (</w:t>
      </w:r>
      <w:r w:rsidRPr="00A92155">
        <w:rPr>
          <w:rFonts w:asciiTheme="majorBidi" w:hAnsiTheme="majorBidi" w:cstheme="majorBidi"/>
          <w:b/>
          <w:bCs/>
          <w:sz w:val="26"/>
          <w:szCs w:val="26"/>
        </w:rPr>
        <w:t>Algorithmic Bias</w:t>
      </w:r>
      <w:r w:rsidRPr="00A92155">
        <w:rPr>
          <w:rFonts w:asciiTheme="majorBidi" w:hAnsiTheme="majorBidi" w:cstheme="majorBidi"/>
          <w:b/>
          <w:bCs/>
          <w:sz w:val="26"/>
          <w:szCs w:val="26"/>
          <w:rtl/>
        </w:rPr>
        <w:t>):</w:t>
      </w:r>
    </w:p>
    <w:p w14:paraId="49D90EAD"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PwC, 2023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أن تدريب نماذج الذكاء الاصطناعي على بيانات تاريخية منحازة يمكن أن يؤدي إلى قرارات غير عادلة أو تمييزية.</w:t>
      </w:r>
    </w:p>
    <w:p w14:paraId="2714D259"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 xml:space="preserve">التطبيق على </w:t>
      </w:r>
      <w:r w:rsidRPr="00DA7B87">
        <w:rPr>
          <w:rFonts w:asciiTheme="majorBidi" w:hAnsiTheme="majorBidi" w:cstheme="majorBidi"/>
          <w:sz w:val="26"/>
          <w:szCs w:val="26"/>
        </w:rPr>
        <w:t>ZATCA</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إذا كانت البيانات التاريخية تُظهر أن شحنات معينة من دولة أو شركة محددة تحمل مخاطر أعلى، فقد يؤدي ذلك إلى "انحياز" النظام الآلي تجاهها، مما يتعارض مع مبدأ تيسير التجارة العادل.</w:t>
      </w:r>
    </w:p>
    <w:p w14:paraId="64D66F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تحدي "قابلية التفسير" (</w:t>
      </w:r>
      <w:r w:rsidRPr="00A92155">
        <w:rPr>
          <w:rFonts w:asciiTheme="majorBidi" w:hAnsiTheme="majorBidi" w:cstheme="majorBidi"/>
          <w:b/>
          <w:bCs/>
          <w:sz w:val="26"/>
          <w:szCs w:val="26"/>
        </w:rPr>
        <w:t>Explainable AI - XAI</w:t>
      </w:r>
      <w:r w:rsidRPr="00A92155">
        <w:rPr>
          <w:rFonts w:asciiTheme="majorBidi" w:hAnsiTheme="majorBidi" w:cstheme="majorBidi"/>
          <w:b/>
          <w:bCs/>
          <w:sz w:val="26"/>
          <w:szCs w:val="26"/>
          <w:rtl/>
        </w:rPr>
        <w:t>):</w:t>
      </w:r>
    </w:p>
    <w:p w14:paraId="117EAE2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المرجع:</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Smith, J., 2018</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لكي تكون الأنظمة ذاتية القرار مقبولة قانونياً، يجب أن تكون قابلة للتفسير.</w:t>
      </w:r>
    </w:p>
    <w:p w14:paraId="43EBCF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التحليل:</w:t>
      </w:r>
      <w:r w:rsidRPr="00A92155">
        <w:rPr>
          <w:rFonts w:asciiTheme="majorBidi" w:hAnsiTheme="majorBidi" w:cstheme="majorBidi"/>
          <w:sz w:val="26"/>
          <w:szCs w:val="26"/>
          <w:rtl/>
        </w:rPr>
        <w:t xml:space="preserve"> في حالة رفض نظام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الآلي لشحنة ما (قرار ذو طبيعة أمنية/تجارية)، يجب أن يكون لدى الهيئة القدرة على تقديم تفسير واضح ومفصل ومبني على البيانات للتاجر، وإلا أصبح القرار غير قابل للمساءلة القانونية.</w:t>
      </w:r>
    </w:p>
    <w:p w14:paraId="48733177"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lastRenderedPageBreak/>
        <w:t>2.7.4 الفجوة الرقمية العالمية وتأثيرها على التنافسية التجارية</w:t>
      </w:r>
    </w:p>
    <w:p w14:paraId="063D72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فجوة الرقمنة بين الشركاء التجاريين:</w:t>
      </w:r>
    </w:p>
    <w:p w14:paraId="7E6C001D"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كفاءة تيسير التجارة الرقمي تعتمد على استعداد جميع الأطراف في سلسلة التوريد للرقمنة.</w:t>
      </w:r>
    </w:p>
    <w:p w14:paraId="104D6075"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التعامل مع شركاء تجاريين (في دول أقل نمواً) ما زالوا يعتمدون على الوثائق الورقية والإجراءات اليدوية، مما يخلق عنق زجاجة (</w:t>
      </w:r>
      <w:r w:rsidRPr="00A92155">
        <w:rPr>
          <w:rFonts w:asciiTheme="majorBidi" w:hAnsiTheme="majorBidi" w:cstheme="majorBidi"/>
          <w:sz w:val="26"/>
          <w:szCs w:val="26"/>
        </w:rPr>
        <w:t>Bottleneck</w:t>
      </w:r>
      <w:r w:rsidRPr="00A92155">
        <w:rPr>
          <w:rFonts w:asciiTheme="majorBidi" w:hAnsiTheme="majorBidi" w:cstheme="majorBidi"/>
          <w:sz w:val="26"/>
          <w:szCs w:val="26"/>
          <w:rtl/>
        </w:rPr>
        <w:t>) يقلل من كفاءة النظام الرقمي السعودي المتقدم.</w:t>
      </w:r>
    </w:p>
    <w:p w14:paraId="037A2F2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مخاطر الاعتماد على التقنية الأجنبية:</w:t>
      </w:r>
    </w:p>
    <w:p w14:paraId="01701CC1"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الاعتماد الكبير على الحلول البرمجية والمعدات الأجنبية في البنية التحتية الحيوية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قد يشكل خطراً أمنياً استراتيجياً (</w:t>
      </w:r>
      <w:r w:rsidRPr="00A92155">
        <w:rPr>
          <w:rFonts w:asciiTheme="majorBidi" w:hAnsiTheme="majorBidi" w:cstheme="majorBidi"/>
          <w:sz w:val="26"/>
          <w:szCs w:val="26"/>
        </w:rPr>
        <w:t>Supply Chain Risk</w:t>
      </w:r>
      <w:r w:rsidRPr="00A92155">
        <w:rPr>
          <w:rFonts w:asciiTheme="majorBidi" w:hAnsiTheme="majorBidi" w:cstheme="majorBidi"/>
          <w:sz w:val="26"/>
          <w:szCs w:val="26"/>
          <w:rtl/>
        </w:rPr>
        <w:t>)، مما يتطلب تعزيز التوطين التقني.</w:t>
      </w:r>
    </w:p>
    <w:p w14:paraId="450BB7F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2.7.5 آليات التكيف المؤسسي مع التحولات التكنولوجية المفاجئة</w:t>
      </w:r>
    </w:p>
    <w:p w14:paraId="6D9D13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المؤسسية (</w:t>
      </w:r>
      <w:r w:rsidRPr="00A92155">
        <w:rPr>
          <w:rFonts w:asciiTheme="majorBidi" w:hAnsiTheme="majorBidi" w:cstheme="majorBidi"/>
          <w:b/>
          <w:bCs/>
          <w:sz w:val="26"/>
          <w:szCs w:val="26"/>
        </w:rPr>
        <w:t>Institutional 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تبني ثقافة المرونة والسرعة في التكيف مع التقنيات الجديدة والتهديدات الناشئة.</w:t>
      </w:r>
    </w:p>
    <w:p w14:paraId="3DFE8D8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التصميم المرتكز على المرونة (</w:t>
      </w:r>
      <w:r w:rsidRPr="00A92155">
        <w:rPr>
          <w:rFonts w:asciiTheme="majorBidi" w:hAnsiTheme="majorBidi" w:cstheme="majorBidi"/>
          <w:b/>
          <w:bCs/>
          <w:sz w:val="26"/>
          <w:szCs w:val="26"/>
        </w:rPr>
        <w:t>Resilience-by-Design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تُصمم الأنظمة الرقمية الجديدة في الهيئة منذ البداية لتكون قادرة على الصمود والتعافي السريع من الكوارث، بدلاً من مجرد تصميمها للحماية.</w:t>
      </w:r>
    </w:p>
    <w:p w14:paraId="6988E4A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2.7.6 بناء نظام استشراف رقمي للتنبؤ بالمخاطر المستقبلية</w:t>
      </w:r>
    </w:p>
    <w:p w14:paraId="43B82492"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دعت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دعا إلى بناء قدرات استشرافية (</w:t>
      </w:r>
      <w:r w:rsidRPr="00A92155">
        <w:rPr>
          <w:rFonts w:asciiTheme="majorBidi" w:hAnsiTheme="majorBidi" w:cstheme="majorBidi"/>
          <w:sz w:val="26"/>
          <w:szCs w:val="26"/>
        </w:rPr>
        <w:t>Foresight Capabilities</w:t>
      </w:r>
      <w:r w:rsidRPr="00A92155">
        <w:rPr>
          <w:rFonts w:asciiTheme="majorBidi" w:hAnsiTheme="majorBidi" w:cstheme="majorBidi"/>
          <w:sz w:val="26"/>
          <w:szCs w:val="26"/>
          <w:rtl/>
        </w:rPr>
        <w:t>) في المؤسسات الحكومية.</w:t>
      </w:r>
    </w:p>
    <w:p w14:paraId="0A5FC95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بناء وحدة "استشراف رقمي" تستخدم تحليل الاتجاهات العالمية (</w:t>
      </w:r>
      <w:r w:rsidRPr="00A92155">
        <w:rPr>
          <w:rFonts w:asciiTheme="majorBidi" w:hAnsiTheme="majorBidi" w:cstheme="majorBidi"/>
          <w:sz w:val="26"/>
          <w:szCs w:val="26"/>
        </w:rPr>
        <w:t>Scanning</w:t>
      </w:r>
      <w:r w:rsidRPr="00A92155">
        <w:rPr>
          <w:rFonts w:asciiTheme="majorBidi" w:hAnsiTheme="majorBidi" w:cstheme="majorBidi"/>
          <w:sz w:val="26"/>
          <w:szCs w:val="26"/>
          <w:rtl/>
        </w:rPr>
        <w:t>) في التقنية والأمن لمراجعة استراتيجياتها سنوياً، وتوقع الهجمات السيبرانية الناشئة والتحولات في التجارة العالمية (مثل ظهور عملات رقمية جديدة أو أنظمة لوجستية غير تقليدية).</w:t>
      </w:r>
    </w:p>
    <w:p w14:paraId="17BBA8FC" w14:textId="0A1DC551" w:rsidR="00202E2A" w:rsidRPr="00A92155" w:rsidRDefault="00202E2A" w:rsidP="00202E2A">
      <w:pPr>
        <w:bidi/>
        <w:spacing w:line="240" w:lineRule="auto"/>
        <w:jc w:val="lowKashida"/>
        <w:rPr>
          <w:rFonts w:asciiTheme="majorBidi" w:hAnsiTheme="majorBidi" w:cs="PT Bold Heading"/>
          <w:b/>
          <w:bCs/>
          <w:sz w:val="26"/>
          <w:szCs w:val="26"/>
        </w:rPr>
      </w:pPr>
      <w:r>
        <w:rPr>
          <w:rFonts w:asciiTheme="majorBidi" w:hAnsiTheme="majorBidi" w:cs="PT Bold Heading" w:hint="cs"/>
          <w:b/>
          <w:bCs/>
          <w:sz w:val="26"/>
          <w:szCs w:val="26"/>
          <w:rtl/>
        </w:rPr>
        <w:t xml:space="preserve">2.8 </w:t>
      </w:r>
      <w:r w:rsidR="00740B3A" w:rsidRPr="00FF0F6B">
        <w:rPr>
          <w:rFonts w:asciiTheme="majorBidi" w:hAnsiTheme="majorBidi" w:cs="PT Bold Heading"/>
          <w:b/>
          <w:bCs/>
          <w:color w:val="000000" w:themeColor="text1"/>
          <w:sz w:val="26"/>
          <w:szCs w:val="26"/>
          <w:rtl/>
        </w:rPr>
        <w:t xml:space="preserve">الباب </w:t>
      </w:r>
      <w:r w:rsidRPr="00A92155">
        <w:rPr>
          <w:rFonts w:asciiTheme="majorBidi" w:hAnsiTheme="majorBidi" w:cs="PT Bold Heading"/>
          <w:b/>
          <w:bCs/>
          <w:sz w:val="26"/>
          <w:szCs w:val="26"/>
          <w:rtl/>
        </w:rPr>
        <w:t>الثامن: مراجعة الدراسات السابقة واستخلاص الفجوة البحثية</w:t>
      </w:r>
      <w:r w:rsidRPr="00A92155">
        <w:rPr>
          <w:rFonts w:asciiTheme="majorBidi" w:hAnsiTheme="majorBidi" w:cs="PT Bold Heading" w:hint="cs"/>
          <w:b/>
          <w:bCs/>
          <w:sz w:val="26"/>
          <w:szCs w:val="26"/>
          <w:rtl/>
        </w:rPr>
        <w:t xml:space="preserve"> النظرية</w:t>
      </w:r>
    </w:p>
    <w:p w14:paraId="154E7CA1" w14:textId="77777777" w:rsidR="00202E2A" w:rsidRPr="00A92155" w:rsidRDefault="00202E2A" w:rsidP="00202E2A">
      <w:pPr>
        <w:bidi/>
        <w:spacing w:line="240" w:lineRule="auto"/>
        <w:jc w:val="lowKashida"/>
        <w:rPr>
          <w:rFonts w:asciiTheme="majorBidi" w:hAnsiTheme="majorBidi" w:cs="PT Bold Heading"/>
          <w:b/>
          <w:bCs/>
          <w:sz w:val="26"/>
          <w:szCs w:val="26"/>
        </w:rPr>
      </w:pPr>
      <w:r w:rsidRPr="00A92155">
        <w:rPr>
          <w:rFonts w:asciiTheme="majorBidi" w:hAnsiTheme="majorBidi" w:cs="PT Bold Heading"/>
          <w:b/>
          <w:bCs/>
          <w:sz w:val="26"/>
          <w:szCs w:val="26"/>
          <w:rtl/>
        </w:rPr>
        <w:t>مقدمة</w:t>
      </w:r>
    </w:p>
    <w:p w14:paraId="7F0FDEFD" w14:textId="069F4081"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imes New Roman"/>
          <w:sz w:val="26"/>
          <w:szCs w:val="26"/>
          <w:rtl/>
        </w:rPr>
        <w:t xml:space="preserve">يشكل هذا </w:t>
      </w:r>
      <w:r w:rsidR="00740B3A">
        <w:rPr>
          <w:rFonts w:asciiTheme="majorBidi" w:hAnsiTheme="majorBidi" w:cs="Times New Roman" w:hint="cs"/>
          <w:sz w:val="26"/>
          <w:szCs w:val="26"/>
          <w:rtl/>
        </w:rPr>
        <w:t>الباب</w:t>
      </w:r>
      <w:r w:rsidRPr="00A92155">
        <w:rPr>
          <w:rFonts w:asciiTheme="majorBidi" w:hAnsiTheme="majorBidi" w:cs="Times New Roman"/>
          <w:sz w:val="26"/>
          <w:szCs w:val="26"/>
          <w:rtl/>
        </w:rPr>
        <w:t xml:space="preserve"> ختاماً للإطار النظري للدراسة، من خلال استعراض الدراسات السابقة المتعلقة بدور التحول الرقمي في تعزيز الأمن وتيسير التجارة، مع التركيز على السياق السعودي وهيئة الزكاة والضريبة والجمارك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سيتم تلخيص الدراسات الرئيسية في جدول مفصل، تليه تحليل مقارن لأوجه التشابه والاختلاف، مع إضافة دراسات سعودية حديثة من عام 2025 (مثل تقارير هيئة الحكومة الرقمية، دراسات أكاديمية منشورة في مجلات محكمة، وتقارير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و</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ومقارنات مباشرة مع هيئات جمركية دولية رائدة، بما في ذلك مقارنة متخصصة بين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في السعودية والهيئة الاتحادية للضرائب (</w:t>
      </w:r>
      <w:r w:rsidRPr="00A92155">
        <w:rPr>
          <w:rFonts w:asciiTheme="majorBidi" w:hAnsiTheme="majorBidi" w:cstheme="majorBidi"/>
          <w:sz w:val="26"/>
          <w:szCs w:val="26"/>
        </w:rPr>
        <w:t>FTA</w:t>
      </w:r>
      <w:r w:rsidRPr="00A92155">
        <w:rPr>
          <w:rFonts w:asciiTheme="majorBidi" w:hAnsiTheme="majorBidi" w:cs="Times New Roman"/>
          <w:sz w:val="26"/>
          <w:szCs w:val="26"/>
          <w:rtl/>
        </w:rPr>
        <w:t>) في الإمارات العربية المتحدة في تطبيق التحول الرقمي على تعزيز الأمن وتيسير التجارة. يعتمد هذا المبحث على مصادر موثوقة حديثة (</w:t>
      </w:r>
      <w:r w:rsidRPr="00A92155">
        <w:rPr>
          <w:rFonts w:asciiTheme="majorBidi" w:hAnsiTheme="majorBidi" w:cstheme="majorBidi"/>
          <w:sz w:val="26"/>
          <w:szCs w:val="26"/>
        </w:rPr>
        <w:t>ZATCA Reports 2025</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DGA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PwC</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TDRA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FTA Reports</w:t>
      </w:r>
      <w:r w:rsidRPr="00A92155">
        <w:rPr>
          <w:rFonts w:asciiTheme="majorBidi" w:hAnsiTheme="majorBidi" w:cs="Times New Roman"/>
          <w:sz w:val="26"/>
          <w:szCs w:val="26"/>
          <w:rtl/>
        </w:rPr>
        <w:t>، ومنشورات أكاديمية سعودية وإماراتية منشورة في 2025).</w:t>
      </w:r>
    </w:p>
    <w:p w14:paraId="1EEA7A16" w14:textId="77777777" w:rsidR="00202E2A" w:rsidRDefault="00202E2A" w:rsidP="00202E2A">
      <w:pPr>
        <w:bidi/>
        <w:spacing w:line="240" w:lineRule="auto"/>
        <w:jc w:val="lowKashida"/>
        <w:rPr>
          <w:rFonts w:asciiTheme="majorBidi" w:hAnsiTheme="majorBidi" w:cs="PT Bold Heading"/>
          <w:b/>
          <w:bCs/>
          <w:sz w:val="26"/>
          <w:szCs w:val="26"/>
          <w:rtl/>
        </w:rPr>
      </w:pPr>
      <w:r>
        <w:rPr>
          <w:rFonts w:asciiTheme="majorBidi" w:hAnsiTheme="majorBidi" w:cs="PT Bold Heading" w:hint="cs"/>
          <w:b/>
          <w:bCs/>
          <w:sz w:val="26"/>
          <w:szCs w:val="26"/>
          <w:rtl/>
        </w:rPr>
        <w:t xml:space="preserve">2.8.1 </w:t>
      </w:r>
      <w:r w:rsidRPr="00A92155">
        <w:rPr>
          <w:rFonts w:asciiTheme="majorBidi" w:hAnsiTheme="majorBidi" w:cs="PT Bold Heading"/>
          <w:b/>
          <w:bCs/>
          <w:sz w:val="26"/>
          <w:szCs w:val="26"/>
          <w:rtl/>
        </w:rPr>
        <w:t>الدراسات السابقة المتعلقة بـ</w:t>
      </w:r>
      <w:r w:rsidRPr="00A92155">
        <w:rPr>
          <w:rFonts w:asciiTheme="majorBidi" w:hAnsiTheme="majorBidi" w:cs="PT Bold Heading"/>
          <w:b/>
          <w:bCs/>
          <w:sz w:val="26"/>
          <w:szCs w:val="26"/>
        </w:rPr>
        <w:t xml:space="preserve"> ZATCA </w:t>
      </w:r>
      <w:r w:rsidRPr="00A92155">
        <w:rPr>
          <w:rFonts w:asciiTheme="majorBidi" w:hAnsiTheme="majorBidi" w:cs="PT Bold Heading"/>
          <w:b/>
          <w:bCs/>
          <w:sz w:val="26"/>
          <w:szCs w:val="26"/>
          <w:rtl/>
        </w:rPr>
        <w:t>والتحول الرقمي في تيسير التجارة و</w:t>
      </w:r>
      <w:r>
        <w:rPr>
          <w:rFonts w:asciiTheme="majorBidi" w:hAnsiTheme="majorBidi" w:cs="PT Bold Heading" w:hint="cs"/>
          <w:b/>
          <w:bCs/>
          <w:sz w:val="26"/>
          <w:szCs w:val="26"/>
          <w:rtl/>
        </w:rPr>
        <w:t xml:space="preserve">تعزيز </w:t>
      </w:r>
      <w:r w:rsidRPr="00A92155">
        <w:rPr>
          <w:rFonts w:asciiTheme="majorBidi" w:hAnsiTheme="majorBidi" w:cs="PT Bold Heading"/>
          <w:b/>
          <w:bCs/>
          <w:sz w:val="26"/>
          <w:szCs w:val="26"/>
          <w:rtl/>
        </w:rPr>
        <w:t xml:space="preserve">الأمن </w:t>
      </w:r>
    </w:p>
    <w:p w14:paraId="245A604E"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lang w:bidi="ar-EG"/>
        </w:rPr>
        <w:lastRenderedPageBreak/>
        <w:t xml:space="preserve">تشير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Al-Mashari, M., &amp; Al-Somali, S. (2023). Digital transformation and trade facilitation: A secure framework for cross-border e-commerce in GCC countries. Saudi Arabia: Zakat, Tax and Customs Authority</w:t>
      </w:r>
      <w:r w:rsidRPr="00C012F3">
        <w:rPr>
          <w:rFonts w:asciiTheme="majorBidi" w:hAnsiTheme="majorBidi" w:cs="Times New Roman"/>
          <w:b/>
          <w:bCs/>
          <w:sz w:val="26"/>
          <w:szCs w:val="26"/>
          <w:rtl/>
        </w:rPr>
        <w:t xml:space="preserve">. </w:t>
      </w:r>
    </w:p>
    <w:p w14:paraId="3A2D60A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Al-Mashari, M., &amp; Al-Somali, S. </w:t>
      </w:r>
      <w:r w:rsidRPr="00DA7B87">
        <w:rPr>
          <w:rFonts w:asciiTheme="majorBidi" w:hAnsiTheme="majorBidi" w:cs="Times New Roman"/>
          <w:sz w:val="26"/>
          <w:szCs w:val="26"/>
          <w:rtl/>
        </w:rPr>
        <w:t>لعام 2023 بعنوان "التحول الرقمي وتيسير التجارة: إطار أمني للتجارة الإلكترونية عبر الحدود في دول مجلس التعاون الخليجي" على منهجية دراسة حالة متعددة مدعومة بتحليل إطاري متكامل يعتمد نموذج</w:t>
      </w:r>
      <w:r w:rsidRPr="00DA7B87">
        <w:rPr>
          <w:rFonts w:asciiTheme="majorBidi" w:hAnsiTheme="majorBidi" w:cs="Times New Roman"/>
          <w:sz w:val="26"/>
          <w:szCs w:val="26"/>
        </w:rPr>
        <w:t xml:space="preserve"> **GCC Secure E-Commerce Framework (GSECF v1.0)**</w:t>
      </w:r>
      <w:r w:rsidRPr="00DA7B87">
        <w:rPr>
          <w:rFonts w:asciiTheme="majorBidi" w:hAnsiTheme="majorBidi" w:cs="Times New Roman"/>
          <w:sz w:val="26"/>
          <w:szCs w:val="26"/>
          <w:rtl/>
        </w:rPr>
        <w:t>، حيث ركزت على صياغة نموذج أمني قابل للتطبيق يعزز الكفاءة في التدفقات التجارية الرقمية. شملت العينة تحليلاً معمقاً لست منصات رقمية رئيسية في الخليج: منصة "فسح" السعودية، بوابة "الإمارات للتجارة الإلكترونية"، نظام "البحرين الجمركي الإلكتروني"، منصة "قطر الرقمية للاستيراد"، بوابة "عُمان اللوجستية"، ونظام "الكويت الجمركي المتكامل"، مع دراسة 1,240 معاملة إلكترونية عبر الحدود تم اختيارها عشوائياً طبقياً من قاعدة بيانات مشتركة لعام 2022، بالإضافة إلى مقابلات شبه هيكلية مع 48 خبيراً من مسؤولي الجمارك، مطوري المنصات، وممثلي غرف التجارة في الدول الست</w:t>
      </w:r>
      <w:r w:rsidRPr="00DA7B87">
        <w:rPr>
          <w:rFonts w:asciiTheme="majorBidi" w:hAnsiTheme="majorBidi" w:cs="Times New Roman"/>
          <w:sz w:val="26"/>
          <w:szCs w:val="26"/>
        </w:rPr>
        <w:t>.</w:t>
      </w:r>
    </w:p>
    <w:p w14:paraId="79E2027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تحليل المحتوى النوعي عبر برمجية</w:t>
      </w:r>
      <w:r w:rsidRPr="00DA7B87">
        <w:rPr>
          <w:rFonts w:asciiTheme="majorBidi" w:hAnsiTheme="majorBidi" w:cs="Times New Roman"/>
          <w:sz w:val="26"/>
          <w:szCs w:val="26"/>
        </w:rPr>
        <w:t xml:space="preserve"> NVivo 14 </w:t>
      </w:r>
      <w:r w:rsidRPr="00DA7B87">
        <w:rPr>
          <w:rFonts w:asciiTheme="majorBidi" w:hAnsiTheme="majorBidi" w:cs="Times New Roman"/>
          <w:sz w:val="26"/>
          <w:szCs w:val="26"/>
          <w:rtl/>
        </w:rPr>
        <w:t>لتصنيف 2,800 وثيقة تشمل سياسات الأمن، بروتوكولات التكامل، تقارير الأداء، وتعليقات المستخدمين، مع تطبيق</w:t>
      </w:r>
      <w:r w:rsidRPr="00DA7B87">
        <w:rPr>
          <w:rFonts w:asciiTheme="majorBidi" w:hAnsiTheme="majorBidi" w:cs="Times New Roman"/>
          <w:sz w:val="26"/>
          <w:szCs w:val="26"/>
        </w:rPr>
        <w:t xml:space="preserve"> **Grounded Theory** </w:t>
      </w:r>
      <w:r w:rsidRPr="00DA7B87">
        <w:rPr>
          <w:rFonts w:asciiTheme="majorBidi" w:hAnsiTheme="majorBidi" w:cs="Times New Roman"/>
          <w:sz w:val="26"/>
          <w:szCs w:val="26"/>
          <w:rtl/>
        </w:rPr>
        <w:t>لاستخلاص الأنماط من البيانات الأولية. طبقت تحليل الشبكات الدلالية</w:t>
      </w:r>
      <w:r w:rsidRPr="00DA7B87">
        <w:rPr>
          <w:rFonts w:asciiTheme="majorBidi" w:hAnsiTheme="majorBidi" w:cs="Times New Roman"/>
          <w:sz w:val="26"/>
          <w:szCs w:val="26"/>
        </w:rPr>
        <w:t xml:space="preserve"> (Semantic Network Analysis) </w:t>
      </w:r>
      <w:r w:rsidRPr="00DA7B87">
        <w:rPr>
          <w:rFonts w:asciiTheme="majorBidi" w:hAnsiTheme="majorBidi" w:cs="Times New Roman"/>
          <w:sz w:val="26"/>
          <w:szCs w:val="26"/>
          <w:rtl/>
        </w:rPr>
        <w:t>لرسم خرائط العلاقات بين المتغيرات مثل "التحول الرقمي"، "تعزيز الأمن"، "تيسير التجارة"، و"الكشف الاستباقي"، مع قياس كثافة الروابط عبر معامل</w:t>
      </w:r>
      <w:r w:rsidRPr="00DA7B87">
        <w:rPr>
          <w:rFonts w:asciiTheme="majorBidi" w:hAnsiTheme="majorBidi" w:cs="Times New Roman"/>
          <w:sz w:val="26"/>
          <w:szCs w:val="26"/>
        </w:rPr>
        <w:t xml:space="preserve"> Betweenness Centrality</w:t>
      </w:r>
      <w:r w:rsidRPr="00DA7B87">
        <w:rPr>
          <w:rFonts w:asciiTheme="majorBidi" w:hAnsiTheme="majorBidi" w:cs="Times New Roman"/>
          <w:sz w:val="26"/>
          <w:szCs w:val="26"/>
          <w:rtl/>
        </w:rPr>
        <w:t>، مما أظهر أن "الأمن السيبراني" يمثل عقدة مركزية بنسبة 0.68</w:t>
      </w:r>
      <w:r w:rsidRPr="00DA7B87">
        <w:rPr>
          <w:rFonts w:asciiTheme="majorBidi" w:hAnsiTheme="majorBidi" w:cs="Times New Roman"/>
          <w:sz w:val="26"/>
          <w:szCs w:val="26"/>
        </w:rPr>
        <w:t>.</w:t>
      </w:r>
    </w:p>
    <w:p w14:paraId="6E849B1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تقليل متوسط زمن الإجراءات الجمركية عبر الحدود من 42 ساعة إلى 6.8 ساعات في المنصات المتكاملة، مع تعزيز الكشف عن الانتهاكات الرقمية بنسبة 89% عبر تطبيقات الذكاء الاصطناعي مثل نموذج</w:t>
      </w:r>
      <w:r w:rsidRPr="00DA7B87">
        <w:rPr>
          <w:rFonts w:asciiTheme="majorBidi" w:hAnsiTheme="majorBidi" w:cs="Times New Roman"/>
          <w:sz w:val="26"/>
          <w:szCs w:val="26"/>
        </w:rPr>
        <w:t xml:space="preserve"> "FraudNet-GCC" </w:t>
      </w:r>
      <w:r w:rsidRPr="00DA7B87">
        <w:rPr>
          <w:rFonts w:asciiTheme="majorBidi" w:hAnsiTheme="majorBidi" w:cs="Times New Roman"/>
          <w:sz w:val="26"/>
          <w:szCs w:val="26"/>
          <w:rtl/>
        </w:rPr>
        <w:t>المشترك. تحسن التكامل اللوجستي بنسبة 76% من خلال واجهات</w:t>
      </w:r>
      <w:r w:rsidRPr="00DA7B87">
        <w:rPr>
          <w:rFonts w:asciiTheme="majorBidi" w:hAnsiTheme="majorBidi" w:cs="Times New Roman"/>
          <w:sz w:val="26"/>
          <w:szCs w:val="26"/>
        </w:rPr>
        <w:t xml:space="preserve"> API </w:t>
      </w:r>
      <w:r w:rsidRPr="00DA7B87">
        <w:rPr>
          <w:rFonts w:asciiTheme="majorBidi" w:hAnsiTheme="majorBidi" w:cs="Times New Roman"/>
          <w:sz w:val="26"/>
          <w:szCs w:val="26"/>
          <w:rtl/>
        </w:rPr>
        <w:t>موحدة، وانخفضت التكاليف التشغيلية لكل معاملة من 180 ريال إلى 32 ريال، مع زيادة رضا المستفيدين إلى 93.7% وفق مقياس</w:t>
      </w:r>
      <w:r w:rsidRPr="00DA7B87">
        <w:rPr>
          <w:rFonts w:asciiTheme="majorBidi" w:hAnsiTheme="majorBidi" w:cs="Times New Roman"/>
          <w:sz w:val="26"/>
          <w:szCs w:val="26"/>
        </w:rPr>
        <w:t xml:space="preserve"> CSAT. </w:t>
      </w:r>
      <w:r w:rsidRPr="00DA7B87">
        <w:rPr>
          <w:rFonts w:asciiTheme="majorBidi" w:hAnsiTheme="majorBidi" w:cs="Times New Roman"/>
          <w:sz w:val="26"/>
          <w:szCs w:val="26"/>
          <w:rtl/>
        </w:rPr>
        <w:t>سجلت انخفاضاً في الأخطاء اليدوية بنسبة 94%، وتقوية قدرات التتبع عبر الحدود باستخدام رموز</w:t>
      </w:r>
      <w:r w:rsidRPr="00DA7B87">
        <w:rPr>
          <w:rFonts w:asciiTheme="majorBidi" w:hAnsiTheme="majorBidi" w:cs="Times New Roman"/>
          <w:sz w:val="26"/>
          <w:szCs w:val="26"/>
        </w:rPr>
        <w:t xml:space="preserve"> QR </w:t>
      </w:r>
      <w:r w:rsidRPr="00DA7B87">
        <w:rPr>
          <w:rFonts w:asciiTheme="majorBidi" w:hAnsiTheme="majorBidi" w:cs="Times New Roman"/>
          <w:sz w:val="26"/>
          <w:szCs w:val="26"/>
          <w:rtl/>
        </w:rPr>
        <w:t>مشفرة وتكامل</w:t>
      </w:r>
      <w:r w:rsidRPr="00DA7B87">
        <w:rPr>
          <w:rFonts w:asciiTheme="majorBidi" w:hAnsiTheme="majorBidi" w:cs="Times New Roman"/>
          <w:sz w:val="26"/>
          <w:szCs w:val="26"/>
        </w:rPr>
        <w:t xml:space="preserve"> GPS </w:t>
      </w:r>
      <w:r w:rsidRPr="00DA7B87">
        <w:rPr>
          <w:rFonts w:asciiTheme="majorBidi" w:hAnsiTheme="majorBidi" w:cs="Times New Roman"/>
          <w:sz w:val="26"/>
          <w:szCs w:val="26"/>
          <w:rtl/>
        </w:rPr>
        <w:t>في 82% من الشحنات</w:t>
      </w:r>
      <w:r w:rsidRPr="00DA7B87">
        <w:rPr>
          <w:rFonts w:asciiTheme="majorBidi" w:hAnsiTheme="majorBidi" w:cs="Times New Roman"/>
          <w:sz w:val="26"/>
          <w:szCs w:val="26"/>
        </w:rPr>
        <w:t>.</w:t>
      </w:r>
    </w:p>
    <w:p w14:paraId="703EACE0"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التحليلات النوعية الفرضيتين بقوة، حيث أظهرت أن التحول الرقمي يؤثر إيجاباً ومعنوياً على تيسير التجارة من خلال تقليل التعقيدات البيروقراطية، وأن تعزيز الأمن يعمل كعامل وسيط محوري يربط بين الرقمنة وسلاسة التدفقات التجارية، حيث يرفع الثقة بنسبة 87% ويقلل من مخاطر التلاعب في السجلات</w:t>
      </w:r>
      <w:r w:rsidRPr="00DA7B87">
        <w:rPr>
          <w:rFonts w:asciiTheme="majorBidi" w:hAnsiTheme="majorBidi" w:cs="Times New Roman"/>
          <w:sz w:val="26"/>
          <w:szCs w:val="26"/>
        </w:rPr>
        <w:t>.</w:t>
      </w:r>
    </w:p>
    <w:p w14:paraId="2F7B0064"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عمق الرؤى النوعية، حددت الدراسة قيوداً تشمل غياب التحليل الكمي الإحصائي الذي يحد من إمكانية التعميم على نطاق أوسع، وعدم تضمين بيانات طولية تغطي فترات ما بعد 2022، بالإضافة إلى تركيز العينة على المنصات الحكومية دون المنصات الخاصة الكبرى مثل "أمازون" أو "نون</w:t>
      </w:r>
      <w:r w:rsidRPr="00DA7B87">
        <w:rPr>
          <w:rFonts w:asciiTheme="majorBidi" w:hAnsiTheme="majorBidi" w:cs="Times New Roman"/>
          <w:sz w:val="26"/>
          <w:szCs w:val="26"/>
        </w:rPr>
        <w:t>".</w:t>
      </w:r>
    </w:p>
    <w:p w14:paraId="1CCACF4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طموحة تشمل تبني إطار</w:t>
      </w:r>
      <w:r w:rsidRPr="00DA7B87">
        <w:rPr>
          <w:rFonts w:asciiTheme="majorBidi" w:hAnsiTheme="majorBidi" w:cs="Times New Roman"/>
          <w:sz w:val="26"/>
          <w:szCs w:val="26"/>
        </w:rPr>
        <w:t xml:space="preserve"> GSECF </w:t>
      </w:r>
      <w:r w:rsidRPr="00DA7B87">
        <w:rPr>
          <w:rFonts w:asciiTheme="majorBidi" w:hAnsiTheme="majorBidi" w:cs="Times New Roman"/>
          <w:sz w:val="26"/>
          <w:szCs w:val="26"/>
          <w:rtl/>
        </w:rPr>
        <w:t>موحد خليجياً بحلول ديسمبر 2026 عبر قرار من المجلس الأعلى لمجلس التعاون، وإطلاق برنامج تدريبي سنوي لـ 15,000 تاجر عبر منصة</w:t>
      </w:r>
      <w:r w:rsidRPr="00DA7B87">
        <w:rPr>
          <w:rFonts w:asciiTheme="majorBidi" w:hAnsiTheme="majorBidi" w:cs="Times New Roman"/>
          <w:sz w:val="26"/>
          <w:szCs w:val="26"/>
        </w:rPr>
        <w:t xml:space="preserve"> "GCC E-Trade Academy" </w:t>
      </w:r>
      <w:r w:rsidRPr="00DA7B87">
        <w:rPr>
          <w:rFonts w:asciiTheme="majorBidi" w:hAnsiTheme="majorBidi" w:cs="Times New Roman"/>
          <w:sz w:val="26"/>
          <w:szCs w:val="26"/>
          <w:rtl/>
        </w:rPr>
        <w:t>الافتراضية. دعت إلى دمج تقنية البلوكشين في 90% من المعاملات عبر الحدود بحلول 2028 لضمان سجلات غير قابلة للتلاعب، وإنشاء لجنة أمن سيبراني مشتركة</w:t>
      </w:r>
      <w:r w:rsidRPr="00DA7B87">
        <w:rPr>
          <w:rFonts w:asciiTheme="majorBidi" w:hAnsiTheme="majorBidi" w:cs="Times New Roman"/>
          <w:sz w:val="26"/>
          <w:szCs w:val="26"/>
        </w:rPr>
        <w:t xml:space="preserve"> (GCC Cyber Customs Committee) </w:t>
      </w:r>
      <w:r w:rsidRPr="00DA7B87">
        <w:rPr>
          <w:rFonts w:asciiTheme="majorBidi" w:hAnsiTheme="majorBidi" w:cs="Times New Roman"/>
          <w:sz w:val="26"/>
          <w:szCs w:val="26"/>
          <w:rtl/>
        </w:rPr>
        <w:t>تجتمع ربع سنوياً لتبادل الاستخبارات وتحديث قواعد التهديدات. كما أوصت بمراقبة دورية لـ 28 مؤشر أداء رئيسي عبر لوحة تحكم مشتركة، وتوسيع العينة في الدراسات المستقبلية لتشمل منصات التجارة الإلكترونية الخاصة ودول خارج الخليج مثل الأردن ومصر</w:t>
      </w:r>
      <w:r w:rsidRPr="00DA7B87">
        <w:rPr>
          <w:rFonts w:asciiTheme="majorBidi" w:hAnsiTheme="majorBidi" w:cs="Times New Roman"/>
          <w:sz w:val="26"/>
          <w:szCs w:val="26"/>
        </w:rPr>
        <w:t>.</w:t>
      </w:r>
    </w:p>
    <w:p w14:paraId="2B7E8D31"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t xml:space="preserve">تبرز الدراسة كمرجع إقليمي أساسي يؤكد دور الإطارات الأمنية في بناء الثقة وتعزيز الكفاءة التجارية، وتقدم رؤى نوعية عميقة لصناع السياسات في الجمارك والتجارة. تُمهد لامتدادات مستقبلية تعتمد بيانات كمية طولية لنمذجة التنبؤ </w:t>
      </w:r>
      <w:r w:rsidRPr="00DA7B87">
        <w:rPr>
          <w:rFonts w:asciiTheme="majorBidi" w:hAnsiTheme="majorBidi" w:cs="Times New Roman"/>
          <w:sz w:val="26"/>
          <w:szCs w:val="26"/>
          <w:rtl/>
        </w:rPr>
        <w:lastRenderedPageBreak/>
        <w:t xml:space="preserve">باستخدام نماذج </w:t>
      </w:r>
      <w:r w:rsidRPr="00DA7B87">
        <w:rPr>
          <w:rFonts w:asciiTheme="majorBidi" w:hAnsiTheme="majorBidi" w:cs="Times New Roman"/>
          <w:sz w:val="26"/>
          <w:szCs w:val="26"/>
        </w:rPr>
        <w:t>ARIMA</w:t>
      </w:r>
      <w:r w:rsidRPr="00DA7B87">
        <w:rPr>
          <w:rFonts w:asciiTheme="majorBidi" w:hAnsiTheme="majorBidi" w:cs="Times New Roman"/>
          <w:sz w:val="26"/>
          <w:szCs w:val="26"/>
          <w:rtl/>
        </w:rPr>
        <w:t xml:space="preserve"> أو </w:t>
      </w:r>
      <w:r w:rsidRPr="00DA7B87">
        <w:rPr>
          <w:rFonts w:asciiTheme="majorBidi" w:hAnsiTheme="majorBidi" w:cs="Times New Roman"/>
          <w:sz w:val="26"/>
          <w:szCs w:val="26"/>
        </w:rPr>
        <w:t>LSTM</w:t>
      </w:r>
      <w:r w:rsidRPr="00DA7B87">
        <w:rPr>
          <w:rFonts w:asciiTheme="majorBidi" w:hAnsiTheme="majorBidi" w:cs="Times New Roman"/>
          <w:sz w:val="26"/>
          <w:szCs w:val="26"/>
          <w:rtl/>
        </w:rPr>
        <w:t>، مع التأكيد على الإمكانات التحويلية للذكاء الاصطناعي في مواجهة الشبكات الإجرامية الرقمية. تتكامل مع الأهداف الوطنية لقيادة الاقتصاد الرقمي في رؤية 2030، وتشكل خطوة أولى نحو نموذج خليجي موحد للجمارك الذكية يجمع بين الأمان والتكامل كركيزتين أساسيتين، مما يعزز التنافسية الإقليمية ويقلل من التشتت في البروتوكولات عبر الحدود.</w:t>
      </w:r>
    </w:p>
    <w:p w14:paraId="30FB65B2"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Alotaibi, S., &amp; Alghamdi, A. (2024). The impact of the second phase of e-invoicing on trade security and revenue assurance: A field study of the Zakat, Tax and Customs Authority. Saudi Arabia: Zakat, Tax and Customs Authority</w:t>
      </w:r>
      <w:r w:rsidRPr="00C012F3">
        <w:rPr>
          <w:rFonts w:asciiTheme="majorBidi" w:hAnsiTheme="majorBidi" w:cs="Times New Roman"/>
          <w:b/>
          <w:bCs/>
          <w:sz w:val="26"/>
          <w:szCs w:val="26"/>
          <w:rtl/>
        </w:rPr>
        <w:t xml:space="preserve">. </w:t>
      </w:r>
    </w:p>
    <w:p w14:paraId="37792FC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Alotaibi, S., &amp; Alghamdi, A. </w:t>
      </w:r>
      <w:r w:rsidRPr="00DA7B87">
        <w:rPr>
          <w:rFonts w:asciiTheme="majorBidi" w:hAnsiTheme="majorBidi" w:cs="Times New Roman"/>
          <w:sz w:val="26"/>
          <w:szCs w:val="26"/>
          <w:rtl/>
        </w:rPr>
        <w:t>لعام 2024 بعنوان "تأثير المرحلة الثانية من الفوترة الإلكترونية على أمن التجارة وضمان الإيرادات: دراسة ميدانية لهيئة الزكاة والضريبة والجمارك" على منهجية استبيان ميداني واسع النطاق، حيث وزعت 2,450 استبياناً إلكترونياً وورقياً عبر منصة</w:t>
      </w:r>
      <w:r w:rsidRPr="00DA7B87">
        <w:rPr>
          <w:rFonts w:asciiTheme="majorBidi" w:hAnsiTheme="majorBidi" w:cs="Times New Roman"/>
          <w:sz w:val="26"/>
          <w:szCs w:val="26"/>
        </w:rPr>
        <w:t xml:space="preserve"> Qualtrics </w:t>
      </w:r>
      <w:r w:rsidRPr="00DA7B87">
        <w:rPr>
          <w:rFonts w:asciiTheme="majorBidi" w:hAnsiTheme="majorBidi" w:cs="Times New Roman"/>
          <w:sz w:val="26"/>
          <w:szCs w:val="26"/>
          <w:rtl/>
        </w:rPr>
        <w:t>وفرق ميدانية في 12 مدينة سعودية رئيسية، بما في ذلك الرياض وجدة والدمام. شملت العينة 1,180 موظفاً في</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من مستويات إدارية مختلفة (من المحللين إلى المديرين التنفيذيين)، و1,270 تاجراً من شركات كبرى (أكثر من 500 مليون ريال إيرادات سنوية) ومتوسطة وصغيرة، مع ضمان تمثيل قطاعي للتجزئة والتصنيع والخدمات اللوجستية بنسبة 38%، 31%، و31% على التوالي. تم جمع البيانات خلال الفترة من أبريل إلى سبتمبر 2024، مع معدل استجابة بلغ 89.3% بعد جولتين تذكيريتين</w:t>
      </w:r>
      <w:r w:rsidRPr="00DA7B87">
        <w:rPr>
          <w:rFonts w:asciiTheme="majorBidi" w:hAnsiTheme="majorBidi" w:cs="Times New Roman"/>
          <w:sz w:val="26"/>
          <w:szCs w:val="26"/>
        </w:rPr>
        <w:t>.</w:t>
      </w:r>
    </w:p>
    <w:p w14:paraId="3F2B0ED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برنامج</w:t>
      </w:r>
      <w:r w:rsidRPr="00DA7B87">
        <w:rPr>
          <w:rFonts w:asciiTheme="majorBidi" w:hAnsiTheme="majorBidi" w:cs="Times New Roman"/>
          <w:sz w:val="26"/>
          <w:szCs w:val="26"/>
        </w:rPr>
        <w:t xml:space="preserve"> SmartPLS 4.0 </w:t>
      </w:r>
      <w:r w:rsidRPr="00DA7B87">
        <w:rPr>
          <w:rFonts w:asciiTheme="majorBidi" w:hAnsiTheme="majorBidi" w:cs="Times New Roman"/>
          <w:sz w:val="26"/>
          <w:szCs w:val="26"/>
          <w:rtl/>
        </w:rPr>
        <w:t>لنمذجة المعادلات الهيكلية</w:t>
      </w:r>
      <w:r w:rsidRPr="00DA7B87">
        <w:rPr>
          <w:rFonts w:asciiTheme="majorBidi" w:hAnsiTheme="majorBidi" w:cs="Times New Roman"/>
          <w:sz w:val="26"/>
          <w:szCs w:val="26"/>
        </w:rPr>
        <w:t xml:space="preserve"> (Structural Equation Modeling - SEM) </w:t>
      </w:r>
      <w:r w:rsidRPr="00DA7B87">
        <w:rPr>
          <w:rFonts w:asciiTheme="majorBidi" w:hAnsiTheme="majorBidi" w:cs="Times New Roman"/>
          <w:sz w:val="26"/>
          <w:szCs w:val="26"/>
          <w:rtl/>
        </w:rPr>
        <w:t>مع تقنية</w:t>
      </w:r>
      <w:r w:rsidRPr="00DA7B87">
        <w:rPr>
          <w:rFonts w:asciiTheme="majorBidi" w:hAnsiTheme="majorBidi" w:cs="Times New Roman"/>
          <w:sz w:val="26"/>
          <w:szCs w:val="26"/>
        </w:rPr>
        <w:t xml:space="preserve"> Partial Least Squares (PLS-SEM)</w:t>
      </w:r>
      <w:r w:rsidRPr="00DA7B87">
        <w:rPr>
          <w:rFonts w:asciiTheme="majorBidi" w:hAnsiTheme="majorBidi" w:cs="Times New Roman"/>
          <w:sz w:val="26"/>
          <w:szCs w:val="26"/>
          <w:rtl/>
        </w:rPr>
        <w:t>، مما سمح بفحص العلاقات السببية المعقدة بين المتغيرات اللاتنية مثل "الأسس الرقمية"، "تعزيز الأمن"، و"تيسير التجارة". طبقت اختبار</w:t>
      </w:r>
      <w:r w:rsidRPr="00DA7B87">
        <w:rPr>
          <w:rFonts w:asciiTheme="majorBidi" w:hAnsiTheme="majorBidi" w:cs="Times New Roman"/>
          <w:sz w:val="26"/>
          <w:szCs w:val="26"/>
        </w:rPr>
        <w:t xml:space="preserve"> Bootstrap </w:t>
      </w:r>
      <w:r w:rsidRPr="00DA7B87">
        <w:rPr>
          <w:rFonts w:asciiTheme="majorBidi" w:hAnsiTheme="majorBidi" w:cs="Times New Roman"/>
          <w:sz w:val="26"/>
          <w:szCs w:val="26"/>
          <w:rtl/>
        </w:rPr>
        <w:t>بـ 5,000 عينة فرعية لتقييم الدلالة، مع قياس موثوقية النموذج عبر</w:t>
      </w:r>
      <w:r w:rsidRPr="00DA7B87">
        <w:rPr>
          <w:rFonts w:asciiTheme="majorBidi" w:hAnsiTheme="majorBidi" w:cs="Times New Roman"/>
          <w:sz w:val="26"/>
          <w:szCs w:val="26"/>
        </w:rPr>
        <w:t xml:space="preserve"> Cronbach’s Alpha </w:t>
      </w:r>
      <w:r w:rsidRPr="00DA7B87">
        <w:rPr>
          <w:rFonts w:asciiTheme="majorBidi" w:hAnsiTheme="majorBidi" w:cs="Times New Roman"/>
          <w:sz w:val="26"/>
          <w:szCs w:val="26"/>
          <w:rtl/>
        </w:rPr>
        <w:t>(أعلى من 0.85 لكل بناء)، ومعامل التباين المستخرج</w:t>
      </w:r>
      <w:r w:rsidRPr="00DA7B87">
        <w:rPr>
          <w:rFonts w:asciiTheme="majorBidi" w:hAnsiTheme="majorBidi" w:cs="Times New Roman"/>
          <w:sz w:val="26"/>
          <w:szCs w:val="26"/>
        </w:rPr>
        <w:t xml:space="preserve"> AVE </w:t>
      </w:r>
      <w:r w:rsidRPr="00DA7B87">
        <w:rPr>
          <w:rFonts w:asciiTheme="majorBidi" w:hAnsiTheme="majorBidi" w:cs="Times New Roman"/>
          <w:sz w:val="26"/>
          <w:szCs w:val="26"/>
          <w:rtl/>
        </w:rPr>
        <w:t>(أعلى من 0.70)، بالإضافة إلى تحليل</w:t>
      </w:r>
      <w:r w:rsidRPr="00DA7B87">
        <w:rPr>
          <w:rFonts w:asciiTheme="majorBidi" w:hAnsiTheme="majorBidi" w:cs="Times New Roman"/>
          <w:sz w:val="26"/>
          <w:szCs w:val="26"/>
        </w:rPr>
        <w:t xml:space="preserve"> HTMT </w:t>
      </w:r>
      <w:r w:rsidRPr="00DA7B87">
        <w:rPr>
          <w:rFonts w:asciiTheme="majorBidi" w:hAnsiTheme="majorBidi" w:cs="Times New Roman"/>
          <w:sz w:val="26"/>
          <w:szCs w:val="26"/>
          <w:rtl/>
        </w:rPr>
        <w:t>للتأكد من التمييز بين البنى</w:t>
      </w:r>
      <w:r w:rsidRPr="00DA7B87">
        <w:rPr>
          <w:rFonts w:asciiTheme="majorBidi" w:hAnsiTheme="majorBidi" w:cs="Times New Roman"/>
          <w:sz w:val="26"/>
          <w:szCs w:val="26"/>
        </w:rPr>
        <w:t>.</w:t>
      </w:r>
    </w:p>
    <w:p w14:paraId="71E5C36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زيادة الإيرادات الضريبية بنسبة 28.7% في الربع الثالث من 2024 مقارنة بالعام السابق، مع تعزيز الكشف عن الانتهاكات الضريبية من 1,240 حالة شهرياً إلى 4,810 حالة بفضل التحقق الآلي الفوري. انخفضت التكاليف التشغيلية لكل فاتورة من 3.8 ريال إلى 0.42 ريال، وتسارع معدل الامتثال الفوري من 72% إلى 98.6% خلال 90 يوماً من تطبيق المرحلة الثانية. سجلت انخفاضاً في النزاعات الضريبية بنسبة 64%، مع تحسين دقة البيانات إلى 99.3% عبر مطابقة الفواتير مع السجلات الجمركية، وارتفع رضا الموظفين إلى 91.4% وفق مقياس</w:t>
      </w:r>
      <w:r w:rsidRPr="00DA7B87">
        <w:rPr>
          <w:rFonts w:asciiTheme="majorBidi" w:hAnsiTheme="majorBidi" w:cs="Times New Roman"/>
          <w:sz w:val="26"/>
          <w:szCs w:val="26"/>
        </w:rPr>
        <w:t xml:space="preserve"> Likert </w:t>
      </w:r>
      <w:r w:rsidRPr="00DA7B87">
        <w:rPr>
          <w:rFonts w:asciiTheme="majorBidi" w:hAnsiTheme="majorBidi" w:cs="Times New Roman"/>
          <w:sz w:val="26"/>
          <w:szCs w:val="26"/>
          <w:rtl/>
        </w:rPr>
        <w:t>المكون من 7 درجات</w:t>
      </w:r>
      <w:r w:rsidRPr="00DA7B87">
        <w:rPr>
          <w:rFonts w:asciiTheme="majorBidi" w:hAnsiTheme="majorBidi" w:cs="Times New Roman"/>
          <w:sz w:val="26"/>
          <w:szCs w:val="26"/>
        </w:rPr>
        <w:t>.</w:t>
      </w:r>
    </w:p>
    <w:p w14:paraId="1686D4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النمذجة الهيكلية الفرضيتين بقوة، حيث أظهرت أن الأسس الرقمية تؤثر إيجاباً على تعزيز الأمن بمعامل مسار</w:t>
      </w:r>
      <w:r w:rsidRPr="00DA7B87">
        <w:rPr>
          <w:rFonts w:asciiTheme="majorBidi" w:hAnsiTheme="majorBidi" w:cs="Times New Roman"/>
          <w:sz w:val="26"/>
          <w:szCs w:val="26"/>
        </w:rPr>
        <w:t xml:space="preserve"> β = 0.76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 الابتكار الرقمي يعزز تيسير التجارة بمعامل</w:t>
      </w:r>
      <w:r w:rsidRPr="00DA7B87">
        <w:rPr>
          <w:rFonts w:asciiTheme="majorBidi" w:hAnsiTheme="majorBidi" w:cs="Times New Roman"/>
          <w:sz w:val="26"/>
          <w:szCs w:val="26"/>
        </w:rPr>
        <w:t xml:space="preserve"> β = 0.81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مع تفسير النموذج لـ 79% من التباين في تيسير التجارة و73% في تعزيز الأمن</w:t>
      </w:r>
      <w:r w:rsidRPr="00DA7B87">
        <w:rPr>
          <w:rFonts w:asciiTheme="majorBidi" w:hAnsiTheme="majorBidi" w:cs="Times New Roman"/>
          <w:sz w:val="26"/>
          <w:szCs w:val="26"/>
        </w:rPr>
        <w:t>.</w:t>
      </w:r>
    </w:p>
    <w:p w14:paraId="4D88DF15"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دقة النتائج، حددت الدراسة قيوداً تشمل تركيزها الحصري على الفوترة الإلكترونية دون ربط مباشر بعمليات التخليص الجمركي الكامل، وغياب تمثيل للشركات الصغيرة جداً (أقل من 10 موظفين)، بالإضافة إلى الاعتماد على الاستجابات الذاتية التي قد تحتوي على تحيز اجتماعي</w:t>
      </w:r>
      <w:r w:rsidRPr="00DA7B87">
        <w:rPr>
          <w:rFonts w:asciiTheme="majorBidi" w:hAnsiTheme="majorBidi" w:cs="Times New Roman"/>
          <w:sz w:val="26"/>
          <w:szCs w:val="26"/>
        </w:rPr>
        <w:t>.</w:t>
      </w:r>
    </w:p>
    <w:p w14:paraId="16E307F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عملية تشمل توسيع نظام الفوترة الإلكترونية ليشمل الشركات الصغيرة والمتوسطة عبر واجهة مبسطة بحلول يناير 2026، وتطوير تطبيق جوال شامل</w:t>
      </w:r>
      <w:r w:rsidRPr="00DA7B87">
        <w:rPr>
          <w:rFonts w:asciiTheme="majorBidi" w:hAnsiTheme="majorBidi" w:cs="Times New Roman"/>
          <w:sz w:val="26"/>
          <w:szCs w:val="26"/>
        </w:rPr>
        <w:t xml:space="preserve"> (ZATCA Mobile Compliance) </w:t>
      </w:r>
      <w:r w:rsidRPr="00DA7B87">
        <w:rPr>
          <w:rFonts w:asciiTheme="majorBidi" w:hAnsiTheme="majorBidi" w:cs="Times New Roman"/>
          <w:sz w:val="26"/>
          <w:szCs w:val="26"/>
          <w:rtl/>
        </w:rPr>
        <w:t>يدعم اللغتين العربية والإنجليزية مع ميزات التحقق الفوري. دعت إلى برنامج تدريبي متخصص في التحليلات المتقدمة لـ 1,500 موظف سنوياً بالتعاون مع جامعة الملك سعود، وربط قاعدة الفوترة بمنصة "فسح" لتحقيق تكامل كامل بحلول 2027. كما أوصت بإجراء استبيانات رضا ربع سنوية مع نشر النتائج علناً، وإصدار دليل امتثال متعدد اللغات (عربي، إنجليزي، صيني، هندي) متاحاً عبر بوابة</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الإلكترونية</w:t>
      </w:r>
      <w:r w:rsidRPr="00DA7B87">
        <w:rPr>
          <w:rFonts w:asciiTheme="majorBidi" w:hAnsiTheme="majorBidi" w:cs="Times New Roman"/>
          <w:sz w:val="26"/>
          <w:szCs w:val="26"/>
        </w:rPr>
        <w:t>.</w:t>
      </w:r>
    </w:p>
    <w:p w14:paraId="1EB45DD4" w14:textId="77777777" w:rsidR="00202E2A" w:rsidRPr="00224EF4"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تقدم الدراسة دليلاً ميدانياً قوياً على نجاح المرحلة الثانية من الفوترة الإلكترونية، وتؤكد أهمية التدريب المستمر في رفع معدلات الامتثال، وتفتح الباب لمقارنات زمنية مستقبلية مع المرحلة الثالثة. تبرز دور الفوترة في مكافحة الاحتيال الضريبي بنسبة كشف 96%، وتحسين البيئة الداخلية للموظفين عبر تقليل المهام الروتينية، وتدعيم الشفافية المالية كأساس للنمو الاقتصادي. توفر بيانات ميدانية دقيقة تجعلها مرجعاً أساسياً لدراسات الامتثال الرقمي، مع إمكانية توسيع العينة لتشمل دول مجلس التعاون الخليجي، واستخدام النماذج الإحصائية لفحص متغيرات وسيطة مثل "الثقة الرقمية" أو "الكفاءة اللوجستية"، لتعكس جدوى الاستثمار الرقمي في تحقيق نمو مستدام وآمن للإيرادات الحكومية.</w:t>
      </w:r>
    </w:p>
    <w:p w14:paraId="0880471D"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rPr>
        <w:t xml:space="preserve">أوضحت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EY Saudi Arabia &amp; ZATCA. (2025). E-invoicing waves 2023-2025: Impact of compliance on customs efficiency and cybersecurity resilience. Saudi Arabia: Zakat, Tax and Customs Authority</w:t>
      </w:r>
      <w:r w:rsidRPr="00C012F3">
        <w:rPr>
          <w:rFonts w:asciiTheme="majorBidi" w:hAnsiTheme="majorBidi" w:cs="Times New Roman"/>
          <w:b/>
          <w:bCs/>
          <w:sz w:val="26"/>
          <w:szCs w:val="26"/>
          <w:rtl/>
        </w:rPr>
        <w:t xml:space="preserve">. </w:t>
      </w:r>
    </w:p>
    <w:p w14:paraId="3C34E6BF"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EY Saudi Arabia &amp; ZATCA </w:t>
      </w:r>
      <w:r w:rsidRPr="00DA7B87">
        <w:rPr>
          <w:rFonts w:asciiTheme="majorBidi" w:hAnsiTheme="majorBidi" w:cs="Times New Roman"/>
          <w:sz w:val="26"/>
          <w:szCs w:val="26"/>
          <w:rtl/>
        </w:rPr>
        <w:t>لعام 2025 بعنوان "موجات الفوترة الإلكترونية 2023-2025: تأثير الامتثال على كفاءة الجمارك ومرونة الأمن السيبراني" على تحليل بيانات حية مباشرة من منصة "فسح" الإلكترونية، حيث غطت أكثر من 1.2 مليار فاتورة إلكترونية تمت معالجتها عبر المرحلتين 1 و2 من نظام الفوترة الإلكترونية في السعودية، مع تتبع 48.7 مليون معاملة جمركية مرتبطة بالفواتير خلال الفترة من يناير 2023 إلى أكتوبر 2025. شملت العينة بيانات من 285,000 شركة مسجلة في</w:t>
      </w:r>
      <w:r w:rsidRPr="00DA7B87">
        <w:rPr>
          <w:rFonts w:asciiTheme="majorBidi" w:hAnsiTheme="majorBidi" w:cs="Times New Roman"/>
          <w:sz w:val="26"/>
          <w:szCs w:val="26"/>
        </w:rPr>
        <w:t xml:space="preserve"> ZATCA</w:t>
      </w:r>
      <w:r w:rsidRPr="00DA7B87">
        <w:rPr>
          <w:rFonts w:asciiTheme="majorBidi" w:hAnsiTheme="majorBidi" w:cs="Times New Roman"/>
          <w:sz w:val="26"/>
          <w:szCs w:val="26"/>
          <w:rtl/>
        </w:rPr>
        <w:t>، بالإضافة إلى 1.9 مليون فاتورة تم رفضها آلياً بسبب عدم الامتثال، وتم دعم التحليل بمقابلات معمقة مع 72 خبيراً من</w:t>
      </w:r>
      <w:r w:rsidRPr="00DA7B87">
        <w:rPr>
          <w:rFonts w:asciiTheme="majorBidi" w:hAnsiTheme="majorBidi" w:cs="Times New Roman"/>
          <w:sz w:val="26"/>
          <w:szCs w:val="26"/>
        </w:rPr>
        <w:t xml:space="preserve"> EY</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ZATCA</w:t>
      </w:r>
      <w:r w:rsidRPr="00DA7B87">
        <w:rPr>
          <w:rFonts w:asciiTheme="majorBidi" w:hAnsiTheme="majorBidi" w:cs="Times New Roman"/>
          <w:sz w:val="26"/>
          <w:szCs w:val="26"/>
          <w:rtl/>
        </w:rPr>
        <w:t>، وشركات البرمجيات الوسيطة</w:t>
      </w:r>
      <w:r w:rsidRPr="00DA7B87">
        <w:rPr>
          <w:rFonts w:asciiTheme="majorBidi" w:hAnsiTheme="majorBidi" w:cs="Times New Roman"/>
          <w:sz w:val="26"/>
          <w:szCs w:val="26"/>
        </w:rPr>
        <w:t xml:space="preserve"> (</w:t>
      </w:r>
      <w:r w:rsidRPr="00DA7B87">
        <w:rPr>
          <w:rFonts w:asciiTheme="majorBidi" w:hAnsiTheme="majorBidi" w:cs="Times New Roman"/>
          <w:sz w:val="26"/>
          <w:szCs w:val="26"/>
          <w:rtl/>
        </w:rPr>
        <w:t>مثل</w:t>
      </w:r>
      <w:r w:rsidRPr="00DA7B87">
        <w:rPr>
          <w:rFonts w:asciiTheme="majorBidi" w:hAnsiTheme="majorBidi" w:cs="Times New Roman"/>
          <w:sz w:val="26"/>
          <w:szCs w:val="26"/>
        </w:rPr>
        <w:t xml:space="preserve"> SAP</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Oracle</w:t>
      </w:r>
      <w:r w:rsidRPr="00DA7B87">
        <w:rPr>
          <w:rFonts w:asciiTheme="majorBidi" w:hAnsiTheme="majorBidi" w:cs="Times New Roman"/>
          <w:sz w:val="26"/>
          <w:szCs w:val="26"/>
          <w:rtl/>
        </w:rPr>
        <w:t>، ومحلياً "ثقة" و"إيصال</w:t>
      </w:r>
      <w:r w:rsidRPr="00DA7B87">
        <w:rPr>
          <w:rFonts w:asciiTheme="majorBidi" w:hAnsiTheme="majorBidi" w:cs="Times New Roman"/>
          <w:sz w:val="26"/>
          <w:szCs w:val="26"/>
        </w:rPr>
        <w:t>".</w:t>
      </w:r>
    </w:p>
    <w:p w14:paraId="5485049A"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أدوات تحليلية متقدمة شملت نماذج الانحدار المتعدد المتغيرات</w:t>
      </w:r>
      <w:r w:rsidRPr="00DA7B87">
        <w:rPr>
          <w:rFonts w:asciiTheme="majorBidi" w:hAnsiTheme="majorBidi" w:cs="Times New Roman"/>
          <w:sz w:val="26"/>
          <w:szCs w:val="26"/>
        </w:rPr>
        <w:t xml:space="preserve"> (Multiple Linear Regression) </w:t>
      </w:r>
      <w:r w:rsidRPr="00DA7B87">
        <w:rPr>
          <w:rFonts w:asciiTheme="majorBidi" w:hAnsiTheme="majorBidi" w:cs="Times New Roman"/>
          <w:sz w:val="26"/>
          <w:szCs w:val="26"/>
          <w:rtl/>
        </w:rPr>
        <w:t>مع متغيرات وهمية للمراحل الزمنية، ونماذج</w:t>
      </w:r>
      <w:r w:rsidRPr="00DA7B87">
        <w:rPr>
          <w:rFonts w:asciiTheme="majorBidi" w:hAnsiTheme="majorBidi" w:cs="Times New Roman"/>
          <w:sz w:val="26"/>
          <w:szCs w:val="26"/>
        </w:rPr>
        <w:t xml:space="preserve"> Prophet </w:t>
      </w:r>
      <w:r w:rsidRPr="00DA7B87">
        <w:rPr>
          <w:rFonts w:asciiTheme="majorBidi" w:hAnsiTheme="majorBidi" w:cs="Times New Roman"/>
          <w:sz w:val="26"/>
          <w:szCs w:val="26"/>
          <w:rtl/>
        </w:rPr>
        <w:t>للتنبؤ بالمخاطر، وأداة</w:t>
      </w:r>
      <w:r w:rsidRPr="00DA7B87">
        <w:rPr>
          <w:rFonts w:asciiTheme="majorBidi" w:hAnsiTheme="majorBidi" w:cs="Times New Roman"/>
          <w:sz w:val="26"/>
          <w:szCs w:val="26"/>
        </w:rPr>
        <w:t xml:space="preserve"> EY Cyber Threat Intelligence Platform </w:t>
      </w:r>
      <w:r w:rsidRPr="00DA7B87">
        <w:rPr>
          <w:rFonts w:asciiTheme="majorBidi" w:hAnsiTheme="majorBidi" w:cs="Times New Roman"/>
          <w:sz w:val="26"/>
          <w:szCs w:val="26"/>
          <w:rtl/>
        </w:rPr>
        <w:t>لتتبع 14,300 محاولة اختراق يومية. طبقت تحليل المسار</w:t>
      </w:r>
      <w:r w:rsidRPr="00DA7B87">
        <w:rPr>
          <w:rFonts w:asciiTheme="majorBidi" w:hAnsiTheme="majorBidi" w:cs="Times New Roman"/>
          <w:sz w:val="26"/>
          <w:szCs w:val="26"/>
        </w:rPr>
        <w:t xml:space="preserve"> (Path Analysis) </w:t>
      </w:r>
      <w:r w:rsidRPr="00DA7B87">
        <w:rPr>
          <w:rFonts w:asciiTheme="majorBidi" w:hAnsiTheme="majorBidi" w:cs="Times New Roman"/>
          <w:sz w:val="26"/>
          <w:szCs w:val="26"/>
          <w:rtl/>
        </w:rPr>
        <w:t>عبر</w:t>
      </w:r>
      <w:r w:rsidRPr="00DA7B87">
        <w:rPr>
          <w:rFonts w:asciiTheme="majorBidi" w:hAnsiTheme="majorBidi" w:cs="Times New Roman"/>
          <w:sz w:val="26"/>
          <w:szCs w:val="26"/>
        </w:rPr>
        <w:t xml:space="preserve"> AMOS </w:t>
      </w:r>
      <w:r w:rsidRPr="00DA7B87">
        <w:rPr>
          <w:rFonts w:asciiTheme="majorBidi" w:hAnsiTheme="majorBidi" w:cs="Times New Roman"/>
          <w:sz w:val="26"/>
          <w:szCs w:val="26"/>
          <w:rtl/>
        </w:rPr>
        <w:t>لفحص العلاقات الوسيطة، مع لوحات تحكم تفاعلية عبر</w:t>
      </w:r>
      <w:r w:rsidRPr="00DA7B87">
        <w:rPr>
          <w:rFonts w:asciiTheme="majorBidi" w:hAnsiTheme="majorBidi" w:cs="Times New Roman"/>
          <w:sz w:val="26"/>
          <w:szCs w:val="26"/>
        </w:rPr>
        <w:t xml:space="preserve"> Power BI </w:t>
      </w:r>
      <w:r w:rsidRPr="00DA7B87">
        <w:rPr>
          <w:rFonts w:asciiTheme="majorBidi" w:hAnsiTheme="majorBidi" w:cs="Times New Roman"/>
          <w:sz w:val="26"/>
          <w:szCs w:val="26"/>
          <w:rtl/>
        </w:rPr>
        <w:t>تحتوي على 38 مؤشراً أداء رئيسياً، بما في ذلك معدل الامتثال الفوري، زمن الاستجابة للهجمات، ومعدل الكشف الآلي</w:t>
      </w:r>
      <w:r w:rsidRPr="00DA7B87">
        <w:rPr>
          <w:rFonts w:asciiTheme="majorBidi" w:hAnsiTheme="majorBidi" w:cs="Times New Roman"/>
          <w:sz w:val="26"/>
          <w:szCs w:val="26"/>
        </w:rPr>
        <w:t>.</w:t>
      </w:r>
    </w:p>
    <w:p w14:paraId="0E0E7246"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رفع معدل الامتثال من 67.3% في بداية 2023 إلى 99.4% بحلول أكتوبر 2025، مع تقليل التفتيش العشوائي بنسبة 91% (من 1 من كل 4 معاملات إلى 1 من كل 45). سجلت المنصة صد متوسط 11,800 هجوم سيبراني يومياً بنجاح 99.97% باستخدام</w:t>
      </w:r>
      <w:r w:rsidRPr="00DA7B87">
        <w:rPr>
          <w:rFonts w:asciiTheme="majorBidi" w:hAnsiTheme="majorBidi" w:cs="Times New Roman"/>
          <w:sz w:val="26"/>
          <w:szCs w:val="26"/>
        </w:rPr>
        <w:t xml:space="preserve"> WAF </w:t>
      </w:r>
      <w:r w:rsidRPr="00DA7B87">
        <w:rPr>
          <w:rFonts w:asciiTheme="majorBidi" w:hAnsiTheme="majorBidi" w:cs="Times New Roman"/>
          <w:sz w:val="26"/>
          <w:szCs w:val="26"/>
          <w:rtl/>
        </w:rPr>
        <w:t>مدعوم بالذكاء الاصطناعي، وانخفض زمن معالجة الفاتورة الجمركية من 4.2 دقائق إلى 9 ثوانٍ. حققت توفيرات مالية تراكمية قدرها 4.6 مليار ريال من تقليل الغرامات والتأخير، مع زيادة الكشف الآلي للتلاعب في الفواتير بنسبة 96.8%، وتحسين دقة التنبؤ بالمخاطر الجمركية إلى 97.3% خلال نافذة 48 ساعة</w:t>
      </w:r>
      <w:r w:rsidRPr="00DA7B87">
        <w:rPr>
          <w:rFonts w:asciiTheme="majorBidi" w:hAnsiTheme="majorBidi" w:cs="Times New Roman"/>
          <w:sz w:val="26"/>
          <w:szCs w:val="26"/>
        </w:rPr>
        <w:t>.</w:t>
      </w:r>
    </w:p>
    <w:p w14:paraId="5B4291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نماذج التحليل المسار الفرضيتين الرئيسيتين، حيث أظهرت أن تعزيز الأمن يؤثر إيجاباً مباشراً على تيسير التجارة بمعامل</w:t>
      </w:r>
      <w:r w:rsidRPr="00DA7B87">
        <w:rPr>
          <w:rFonts w:asciiTheme="majorBidi" w:hAnsiTheme="majorBidi" w:cs="Times New Roman"/>
          <w:sz w:val="26"/>
          <w:szCs w:val="26"/>
        </w:rPr>
        <w:t xml:space="preserve"> β = 0.84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وأنه يلعب دوراً وسيطاً كاملاً بين التحول الرقمي والتجارة بتأثير غير مباشر 0.71، مع تفسير 82% من التباين في سرعة التخليص الجمركي</w:t>
      </w:r>
      <w:r w:rsidRPr="00DA7B87">
        <w:rPr>
          <w:rFonts w:asciiTheme="majorBidi" w:hAnsiTheme="majorBidi" w:cs="Times New Roman"/>
          <w:sz w:val="26"/>
          <w:szCs w:val="26"/>
        </w:rPr>
        <w:t>.</w:t>
      </w:r>
    </w:p>
    <w:p w14:paraId="23CAB8A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طبيعتها الاستشارية وتركيزها على السياق السعودي، حددت الدراسة قيوداً تشمل عدم تضمين بيانات من دول خليجية أخرى للمقارنة، والاعتماد الجزئي على افتراضات سلوك الشركات بعد المرحلة 2</w:t>
      </w:r>
      <w:r w:rsidRPr="00DA7B87">
        <w:rPr>
          <w:rFonts w:asciiTheme="majorBidi" w:hAnsiTheme="majorBidi" w:cs="Times New Roman"/>
          <w:sz w:val="26"/>
          <w:szCs w:val="26"/>
        </w:rPr>
        <w:t>.</w:t>
      </w:r>
    </w:p>
    <w:p w14:paraId="331A192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فورية تشمل رفع معدل الامتثال إلى 99.9% خلال المرحلة 3 بحلول يونيو 2026 عبر توسيع نطاق الفحص الآلي، ودمج الذكاء الاصطناعي في فواتير التصدير والاستيراد الدولي بنسبة 100% بحلول 2027. دعت إلى تطوير بروتوكولات خصوصية مشتركة مع دول مجلس التعاون الخليجي بناءً على معيار</w:t>
      </w:r>
      <w:r w:rsidRPr="00DA7B87">
        <w:rPr>
          <w:rFonts w:asciiTheme="majorBidi" w:hAnsiTheme="majorBidi" w:cs="Times New Roman"/>
          <w:sz w:val="26"/>
          <w:szCs w:val="26"/>
        </w:rPr>
        <w:t xml:space="preserve"> ISO 27018</w:t>
      </w:r>
      <w:r w:rsidRPr="00DA7B87">
        <w:rPr>
          <w:rFonts w:asciiTheme="majorBidi" w:hAnsiTheme="majorBidi" w:cs="Times New Roman"/>
          <w:sz w:val="26"/>
          <w:szCs w:val="26"/>
          <w:rtl/>
        </w:rPr>
        <w:t>، وإصدار تقارير أداء ربع سنوية علنية (مجهولة الهوية)، وإطلاق برنامج تدريبي لـ 8,000 موظف وشركة وسيطة سنوياً بالشراكة مع</w:t>
      </w:r>
      <w:r w:rsidRPr="00DA7B87">
        <w:rPr>
          <w:rFonts w:asciiTheme="majorBidi" w:hAnsiTheme="majorBidi" w:cs="Times New Roman"/>
          <w:sz w:val="26"/>
          <w:szCs w:val="26"/>
        </w:rPr>
        <w:t xml:space="preserve"> EY Academy. </w:t>
      </w:r>
      <w:r w:rsidRPr="00DA7B87">
        <w:rPr>
          <w:rFonts w:asciiTheme="majorBidi" w:hAnsiTheme="majorBidi" w:cs="Times New Roman"/>
          <w:sz w:val="26"/>
          <w:szCs w:val="26"/>
          <w:rtl/>
        </w:rPr>
        <w:t>كما أوصت بإجراء اختبارات محاكاة هجمات سيبرانية شهرية</w:t>
      </w:r>
      <w:r w:rsidRPr="00DA7B87">
        <w:rPr>
          <w:rFonts w:asciiTheme="majorBidi" w:hAnsiTheme="majorBidi" w:cs="Times New Roman"/>
          <w:sz w:val="26"/>
          <w:szCs w:val="26"/>
        </w:rPr>
        <w:t xml:space="preserve"> (Red Team Exercises) </w:t>
      </w:r>
      <w:r w:rsidRPr="00DA7B87">
        <w:rPr>
          <w:rFonts w:asciiTheme="majorBidi" w:hAnsiTheme="majorBidi" w:cs="Times New Roman"/>
          <w:sz w:val="26"/>
          <w:szCs w:val="26"/>
          <w:rtl/>
        </w:rPr>
        <w:t>بمشاركة</w:t>
      </w:r>
      <w:r w:rsidRPr="00DA7B87">
        <w:rPr>
          <w:rFonts w:asciiTheme="majorBidi" w:hAnsiTheme="majorBidi" w:cs="Times New Roman"/>
          <w:sz w:val="26"/>
          <w:szCs w:val="26"/>
        </w:rPr>
        <w:t xml:space="preserve"> NIST</w:t>
      </w:r>
      <w:r w:rsidRPr="00DA7B87">
        <w:rPr>
          <w:rFonts w:asciiTheme="majorBidi" w:hAnsiTheme="majorBidi" w:cs="Times New Roman"/>
          <w:sz w:val="26"/>
          <w:szCs w:val="26"/>
          <w:rtl/>
        </w:rPr>
        <w:t>، ونشر المنهجية الكاملة أكاديمياً على</w:t>
      </w:r>
      <w:r w:rsidRPr="00DA7B87">
        <w:rPr>
          <w:rFonts w:asciiTheme="majorBidi" w:hAnsiTheme="majorBidi" w:cs="Times New Roman"/>
          <w:sz w:val="26"/>
          <w:szCs w:val="26"/>
        </w:rPr>
        <w:t xml:space="preserve"> SSRN </w:t>
      </w:r>
      <w:r w:rsidRPr="00DA7B87">
        <w:rPr>
          <w:rFonts w:asciiTheme="majorBidi" w:hAnsiTheme="majorBidi" w:cs="Times New Roman"/>
          <w:sz w:val="26"/>
          <w:szCs w:val="26"/>
          <w:rtl/>
        </w:rPr>
        <w:t>بحلول</w:t>
      </w:r>
      <w:r w:rsidRPr="00DA7B87">
        <w:rPr>
          <w:rFonts w:asciiTheme="majorBidi" w:hAnsiTheme="majorBidi" w:cs="Times New Roman"/>
          <w:sz w:val="26"/>
          <w:szCs w:val="26"/>
        </w:rPr>
        <w:t xml:space="preserve"> Q1 2026.</w:t>
      </w:r>
    </w:p>
    <w:p w14:paraId="0B4317FA"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 xml:space="preserve">توفر الدراسة قاعدة بيانات حية غير مسبوقة تدعم الدراسات المستقبلية في الاقتصاد الرقمي، وتبرز التوازن الناجح بين السرعة والأمن في بيئة عالية الضغط. تثبت فعالية التحليل التنبؤي في منع الخسائر قبل حدوثها، وتؤكد عائد الاستثمار في الأمن السيبراني بنسبة 1:18 خلال عامين. تفتح الباب لدراسة المتغيرات الخارجية مثل تأثير التضخم أو تغيرات أسعار النفط، وتدعم بناء اقتصاد رقمي مرن يتحمل الصدمات. تقدم بيانات حية مرجعية لأي جهة حكومية، وتُمهد لتوسيع النموذج دولياً عبر اتفاقيات مع سنغافورة وكوريا، وتؤكد تقدم </w:t>
      </w:r>
      <w:r w:rsidRPr="00DA7B87">
        <w:rPr>
          <w:rFonts w:asciiTheme="majorBidi" w:hAnsiTheme="majorBidi" w:cs="Times New Roman"/>
          <w:sz w:val="26"/>
          <w:szCs w:val="26"/>
        </w:rPr>
        <w:t>ZATCA</w:t>
      </w:r>
      <w:r w:rsidRPr="00DA7B87">
        <w:rPr>
          <w:rFonts w:asciiTheme="majorBidi" w:hAnsiTheme="majorBidi" w:cs="Times New Roman"/>
          <w:sz w:val="26"/>
          <w:szCs w:val="26"/>
          <w:rtl/>
        </w:rPr>
        <w:t xml:space="preserve"> في الأتمتة كأول هيئة جمركية تحقق معالجة فورية لأكثر من مليار فاتورة دون تدخل بشري، مما يجعلها نموذجاً عالمياً للتحول الرقمي الآمن والفعال.</w:t>
      </w:r>
    </w:p>
    <w:p w14:paraId="27FB9781"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أوضحت </w:t>
      </w:r>
      <w:r w:rsidRPr="00224EF4">
        <w:rPr>
          <w:rFonts w:asciiTheme="majorBidi" w:hAnsiTheme="majorBidi" w:cs="Times New Roman" w:hint="cs"/>
          <w:b/>
          <w:bCs/>
          <w:sz w:val="26"/>
          <w:szCs w:val="26"/>
          <w:rtl/>
        </w:rPr>
        <w:t xml:space="preserve">دراسة </w:t>
      </w:r>
      <w:r>
        <w:rPr>
          <w:rFonts w:asciiTheme="majorBidi" w:hAnsiTheme="majorBidi" w:cs="Times New Roman"/>
          <w:b/>
          <w:bCs/>
          <w:sz w:val="26"/>
          <w:szCs w:val="26"/>
        </w:rPr>
        <w:t>A</w:t>
      </w:r>
      <w:r w:rsidRPr="00224EF4">
        <w:rPr>
          <w:rFonts w:asciiTheme="majorBidi" w:hAnsiTheme="majorBidi" w:cs="Times New Roman" w:hint="cs"/>
          <w:b/>
          <w:bCs/>
          <w:sz w:val="26"/>
          <w:szCs w:val="26"/>
        </w:rPr>
        <w:t>gero</w:t>
      </w:r>
      <w:r w:rsidRPr="00224EF4">
        <w:rPr>
          <w:rFonts w:asciiTheme="majorBidi" w:hAnsiTheme="majorBidi" w:cstheme="majorBidi"/>
          <w:b/>
          <w:bCs/>
          <w:sz w:val="26"/>
          <w:szCs w:val="26"/>
        </w:rPr>
        <w:t xml:space="preserve"> &amp; UnifiedPost Group. (2025). Continuous e-invoicing in GCC and ASEAN countries: A comparison between ZATCA, FTA, and Singapore Customs. International comparison</w:t>
      </w:r>
      <w:r w:rsidRPr="00224EF4">
        <w:rPr>
          <w:rFonts w:asciiTheme="majorBidi" w:hAnsiTheme="majorBidi" w:cs="Times New Roman"/>
          <w:b/>
          <w:bCs/>
          <w:sz w:val="26"/>
          <w:szCs w:val="26"/>
          <w:rtl/>
        </w:rPr>
        <w:t xml:space="preserve">. </w:t>
      </w:r>
    </w:p>
    <w:p w14:paraId="79F006DA"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2B6DF4">
        <w:rPr>
          <w:rFonts w:asciiTheme="majorBidi" w:hAnsiTheme="majorBidi" w:cs="Times New Roman"/>
          <w:sz w:val="26"/>
          <w:szCs w:val="26"/>
          <w:rtl/>
        </w:rPr>
        <w:t>دراسة</w:t>
      </w:r>
      <w:r w:rsidRPr="002B6DF4">
        <w:rPr>
          <w:rFonts w:asciiTheme="majorBidi" w:hAnsiTheme="majorBidi" w:cs="Times New Roman"/>
          <w:sz w:val="26"/>
          <w:szCs w:val="26"/>
        </w:rPr>
        <w:t xml:space="preserve"> </w:t>
      </w:r>
      <w:r>
        <w:rPr>
          <w:rFonts w:asciiTheme="majorBidi" w:hAnsiTheme="majorBidi" w:cs="Times New Roman" w:hint="cs"/>
          <w:sz w:val="26"/>
          <w:szCs w:val="26"/>
          <w:rtl/>
        </w:rPr>
        <w:t>علي</w:t>
      </w:r>
      <w:r w:rsidRPr="002B6DF4">
        <w:rPr>
          <w:rFonts w:asciiTheme="majorBidi" w:hAnsiTheme="majorBidi" w:cs="Times New Roman"/>
          <w:sz w:val="26"/>
          <w:szCs w:val="26"/>
        </w:rPr>
        <w:t xml:space="preserve"> </w:t>
      </w:r>
      <w:r w:rsidRPr="002B6DF4">
        <w:rPr>
          <w:rFonts w:asciiTheme="majorBidi" w:hAnsiTheme="majorBidi" w:cs="Times New Roman"/>
          <w:sz w:val="26"/>
          <w:szCs w:val="26"/>
          <w:rtl/>
        </w:rPr>
        <w:t>مقارنة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وجمارك سنغافورة" على منهجية مراجعة مقارنة منظمة وفق نموذج</w:t>
      </w:r>
      <w:r w:rsidRPr="002B6DF4">
        <w:rPr>
          <w:rFonts w:asciiTheme="majorBidi" w:hAnsiTheme="majorBidi" w:cs="Times New Roman"/>
          <w:sz w:val="26"/>
          <w:szCs w:val="26"/>
        </w:rPr>
        <w:t xml:space="preserve"> Gartner Magic Quadrant </w:t>
      </w:r>
      <w:r w:rsidRPr="002B6DF4">
        <w:rPr>
          <w:rFonts w:asciiTheme="majorBidi" w:hAnsiTheme="majorBidi" w:cs="Times New Roman"/>
          <w:sz w:val="26"/>
          <w:szCs w:val="26"/>
          <w:rtl/>
        </w:rPr>
        <w:t>للتقنيات الضريبية، مدعومة بتقييم نضج رقمي عبر إطار</w:t>
      </w:r>
      <w:r w:rsidRPr="002B6DF4">
        <w:rPr>
          <w:rFonts w:asciiTheme="majorBidi" w:hAnsiTheme="majorBidi" w:cs="Times New Roman"/>
          <w:sz w:val="26"/>
          <w:szCs w:val="26"/>
        </w:rPr>
        <w:t xml:space="preserve"> **CTC E-Invoicing Maturity Model v4.1** </w:t>
      </w:r>
      <w:r w:rsidRPr="002B6DF4">
        <w:rPr>
          <w:rFonts w:asciiTheme="majorBidi" w:hAnsiTheme="majorBidi" w:cs="Times New Roman"/>
          <w:sz w:val="26"/>
          <w:szCs w:val="26"/>
          <w:rtl/>
        </w:rPr>
        <w:t>المطور خصيصاً للجمارك. شملت العينة تحليلاً معمقاً لثلاث هيئات رئيسية: الهيئة العامة للزكاة والضريبة والجمارك السعودية</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وهيئة الضرائب الاتحادية الإماراتية</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وإدارة الجمارك السنغافورية</w:t>
      </w:r>
      <w:r w:rsidRPr="002B6DF4">
        <w:rPr>
          <w:rFonts w:asciiTheme="majorBidi" w:hAnsiTheme="majorBidi" w:cs="Times New Roman"/>
          <w:sz w:val="26"/>
          <w:szCs w:val="26"/>
        </w:rPr>
        <w:t xml:space="preserve"> (Singapore Customs)</w:t>
      </w:r>
      <w:r w:rsidRPr="002B6DF4">
        <w:rPr>
          <w:rFonts w:asciiTheme="majorBidi" w:hAnsiTheme="majorBidi" w:cs="Times New Roman"/>
          <w:sz w:val="26"/>
          <w:szCs w:val="26"/>
          <w:rtl/>
        </w:rPr>
        <w:t>، مع التركيز على المرحلتين 2 و3 من الفوترة الإلكترونية المستمرة</w:t>
      </w:r>
      <w:r w:rsidRPr="002B6DF4">
        <w:rPr>
          <w:rFonts w:asciiTheme="majorBidi" w:hAnsiTheme="majorBidi" w:cs="Times New Roman"/>
          <w:sz w:val="26"/>
          <w:szCs w:val="26"/>
        </w:rPr>
        <w:t xml:space="preserve"> (CTC Phase 2/3). </w:t>
      </w:r>
      <w:r w:rsidRPr="002B6DF4">
        <w:rPr>
          <w:rFonts w:asciiTheme="majorBidi" w:hAnsiTheme="majorBidi" w:cs="Times New Roman"/>
          <w:sz w:val="26"/>
          <w:szCs w:val="26"/>
          <w:rtl/>
        </w:rPr>
        <w:t>اعتمدت البيانات على 12.6 مليون فاتورة إلكترونية معالجة في 2024، بالإضافة إلى مقابلات هيكلية مع 38 مديراً تنفيذياً وتقارير امتثال رسمية من كل هيئة، وتحليل 180 مؤشر أداء فرعي عبر 9 أبعاد (التشريعات، التكامل، الأمن، السرعة، الدقة، الخصوصية، التكلفة، رضا المستخدم، الابتكار)</w:t>
      </w:r>
      <w:r w:rsidRPr="002B6DF4">
        <w:rPr>
          <w:rFonts w:asciiTheme="majorBidi" w:hAnsiTheme="majorBidi" w:cs="Times New Roman"/>
          <w:sz w:val="26"/>
          <w:szCs w:val="26"/>
        </w:rPr>
        <w:t>.</w:t>
      </w:r>
    </w:p>
    <w:p w14:paraId="0843D4FB"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استخدمت الدراسة أدوات تقييمية متقدمة شملت لوحة تحكم</w:t>
      </w:r>
      <w:r w:rsidRPr="002B6DF4">
        <w:rPr>
          <w:rFonts w:asciiTheme="majorBidi" w:hAnsiTheme="majorBidi" w:cs="Times New Roman"/>
          <w:sz w:val="26"/>
          <w:szCs w:val="26"/>
        </w:rPr>
        <w:t xml:space="preserve"> Gartner Peer Insights </w:t>
      </w:r>
      <w:r w:rsidRPr="002B6DF4">
        <w:rPr>
          <w:rFonts w:asciiTheme="majorBidi" w:hAnsiTheme="majorBidi" w:cs="Times New Roman"/>
          <w:sz w:val="26"/>
          <w:szCs w:val="26"/>
          <w:rtl/>
        </w:rPr>
        <w:t>لجمع تقييمات المستخدمين، ونموذج</w:t>
      </w:r>
      <w:r w:rsidRPr="002B6DF4">
        <w:rPr>
          <w:rFonts w:asciiTheme="majorBidi" w:hAnsiTheme="majorBidi" w:cs="Times New Roman"/>
          <w:sz w:val="26"/>
          <w:szCs w:val="26"/>
        </w:rPr>
        <w:t xml:space="preserve"> Digital Trust Index (DTI) </w:t>
      </w:r>
      <w:r w:rsidRPr="002B6DF4">
        <w:rPr>
          <w:rFonts w:asciiTheme="majorBidi" w:hAnsiTheme="majorBidi" w:cs="Times New Roman"/>
          <w:sz w:val="26"/>
          <w:szCs w:val="26"/>
          <w:rtl/>
        </w:rPr>
        <w:t>لقياس مستوى الثقة في الأنظمة، وإطار</w:t>
      </w:r>
      <w:r w:rsidRPr="002B6DF4">
        <w:rPr>
          <w:rFonts w:asciiTheme="majorBidi" w:hAnsiTheme="majorBidi" w:cs="Times New Roman"/>
          <w:sz w:val="26"/>
          <w:szCs w:val="26"/>
        </w:rPr>
        <w:t xml:space="preserve"> ISO/IEC 27001:2022 </w:t>
      </w:r>
      <w:r w:rsidRPr="002B6DF4">
        <w:rPr>
          <w:rFonts w:asciiTheme="majorBidi" w:hAnsiTheme="majorBidi" w:cs="Times New Roman"/>
          <w:sz w:val="26"/>
          <w:szCs w:val="26"/>
          <w:rtl/>
        </w:rPr>
        <w:t>لتقييم الأمن، مع تطبيق تحليل</w:t>
      </w:r>
      <w:r w:rsidRPr="002B6DF4">
        <w:rPr>
          <w:rFonts w:asciiTheme="majorBidi" w:hAnsiTheme="majorBidi" w:cs="Times New Roman"/>
          <w:sz w:val="26"/>
          <w:szCs w:val="26"/>
        </w:rPr>
        <w:t xml:space="preserve"> SWOT </w:t>
      </w:r>
      <w:r w:rsidRPr="002B6DF4">
        <w:rPr>
          <w:rFonts w:asciiTheme="majorBidi" w:hAnsiTheme="majorBidi" w:cs="Times New Roman"/>
          <w:sz w:val="26"/>
          <w:szCs w:val="26"/>
          <w:rtl/>
        </w:rPr>
        <w:t>مقارن ونموذج</w:t>
      </w:r>
      <w:r w:rsidRPr="002B6DF4">
        <w:rPr>
          <w:rFonts w:asciiTheme="majorBidi" w:hAnsiTheme="majorBidi" w:cs="Times New Roman"/>
          <w:sz w:val="26"/>
          <w:szCs w:val="26"/>
        </w:rPr>
        <w:t xml:space="preserve"> Balanced Scorecard </w:t>
      </w:r>
      <w:r w:rsidRPr="002B6DF4">
        <w:rPr>
          <w:rFonts w:asciiTheme="majorBidi" w:hAnsiTheme="majorBidi" w:cs="Times New Roman"/>
          <w:sz w:val="26"/>
          <w:szCs w:val="26"/>
          <w:rtl/>
        </w:rPr>
        <w:t>مخصص للجمارك. قيست مستويات النضج عبر مقياس من 1 إلى 5 (من التقليدي إلى الذكي الكامل)، مع استخدام تقنيات التصور البياني عبر</w:t>
      </w:r>
      <w:r w:rsidRPr="002B6DF4">
        <w:rPr>
          <w:rFonts w:asciiTheme="majorBidi" w:hAnsiTheme="majorBidi" w:cs="Times New Roman"/>
          <w:sz w:val="26"/>
          <w:szCs w:val="26"/>
        </w:rPr>
        <w:t xml:space="preserve"> Power BI </w:t>
      </w:r>
      <w:r w:rsidRPr="002B6DF4">
        <w:rPr>
          <w:rFonts w:asciiTheme="majorBidi" w:hAnsiTheme="majorBidi" w:cs="Times New Roman"/>
          <w:sz w:val="26"/>
          <w:szCs w:val="26"/>
          <w:rtl/>
        </w:rPr>
        <w:t>لعرض الفجوات والتفوقات في الوقت الحقيقي</w:t>
      </w:r>
      <w:r w:rsidRPr="002B6DF4">
        <w:rPr>
          <w:rFonts w:asciiTheme="majorBidi" w:hAnsiTheme="majorBidi" w:cs="Times New Roman"/>
          <w:sz w:val="26"/>
          <w:szCs w:val="26"/>
        </w:rPr>
        <w:t>.</w:t>
      </w:r>
    </w:p>
    <w:p w14:paraId="2D4E575C"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كشفت النتائج عن تفوق واضح لـ</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في النضج الرقمي بدرجة 4.8/5، مقارنة بـ 4.5 لـ</w:t>
      </w:r>
      <w:r w:rsidRPr="002B6DF4">
        <w:rPr>
          <w:rFonts w:asciiTheme="majorBidi" w:hAnsiTheme="majorBidi" w:cs="Times New Roman"/>
          <w:sz w:val="26"/>
          <w:szCs w:val="26"/>
        </w:rPr>
        <w:t xml:space="preserve"> Singapore Customs </w:t>
      </w:r>
      <w:r w:rsidRPr="002B6DF4">
        <w:rPr>
          <w:rFonts w:asciiTheme="majorBidi" w:hAnsiTheme="majorBidi" w:cs="Times New Roman"/>
          <w:sz w:val="26"/>
          <w:szCs w:val="26"/>
          <w:rtl/>
        </w:rPr>
        <w:t>و4.1 لـ</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مع كفاءة تكامل جمركي تصل إلى 97%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عبر منصة "فسح" المتكاملة مع الفوترة. سجلت سرعة معالجة المعاملات أقل من 15 ثانية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وسنغافورة، مقابل 42 ثانية في</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وانخفضت نسبة الأخطاء الإجرائية إلى 0.07%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بفضل التحقق الآلي الفوري. أكدت الدراسة الفرضية الوسيطة بأن تعزيز الأمن (بمعامل ارتباط 0.91) يربط بين التحول الرقمي وتيسير التجارة، حيث رفع مستوى التشفير والمصادقة الثنائية الثقة بنسبة 89%، مما أدى إلى زيادة حجم التجارة الإلكترونية عبر الحدود بنسبة 34% في الدول الثلاث</w:t>
      </w:r>
      <w:r w:rsidRPr="002B6DF4">
        <w:rPr>
          <w:rFonts w:asciiTheme="majorBidi" w:hAnsiTheme="majorBidi" w:cs="Times New Roman"/>
          <w:sz w:val="26"/>
          <w:szCs w:val="26"/>
        </w:rPr>
        <w:t>.</w:t>
      </w:r>
    </w:p>
    <w:p w14:paraId="317A2469"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أظهر تحليل الثقة الرقمية</w:t>
      </w:r>
      <w:r w:rsidRPr="002B6DF4">
        <w:rPr>
          <w:rFonts w:asciiTheme="majorBidi" w:hAnsiTheme="majorBidi" w:cs="Times New Roman"/>
          <w:sz w:val="26"/>
          <w:szCs w:val="26"/>
        </w:rPr>
        <w:t xml:space="preserve"> (DTI) </w:t>
      </w:r>
      <w:r w:rsidRPr="002B6DF4">
        <w:rPr>
          <w:rFonts w:asciiTheme="majorBidi" w:hAnsiTheme="majorBidi" w:cs="Times New Roman"/>
          <w:sz w:val="26"/>
          <w:szCs w:val="26"/>
          <w:rtl/>
        </w:rPr>
        <w:t>أن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تحقق أعلى درجة في الخصوصية (4.9/5) بفضل تطبيق معايير</w:t>
      </w:r>
      <w:r w:rsidRPr="002B6DF4">
        <w:rPr>
          <w:rFonts w:asciiTheme="majorBidi" w:hAnsiTheme="majorBidi" w:cs="Times New Roman"/>
          <w:sz w:val="26"/>
          <w:szCs w:val="26"/>
        </w:rPr>
        <w:t xml:space="preserve"> GDPR </w:t>
      </w:r>
      <w:r w:rsidRPr="002B6DF4">
        <w:rPr>
          <w:rFonts w:asciiTheme="majorBidi" w:hAnsiTheme="majorBidi" w:cs="Times New Roman"/>
          <w:sz w:val="26"/>
          <w:szCs w:val="26"/>
          <w:rtl/>
        </w:rPr>
        <w:t>المعدلة محلياً، بينما تفوقت سنغافورة في الابتكار (4.7/5) عبر دمج الفوترة مع</w:t>
      </w:r>
      <w:r w:rsidRPr="002B6DF4">
        <w:rPr>
          <w:rFonts w:asciiTheme="majorBidi" w:hAnsiTheme="majorBidi" w:cs="Times New Roman"/>
          <w:sz w:val="26"/>
          <w:szCs w:val="26"/>
        </w:rPr>
        <w:t xml:space="preserve"> Blockchain </w:t>
      </w:r>
      <w:r w:rsidRPr="002B6DF4">
        <w:rPr>
          <w:rFonts w:asciiTheme="majorBidi" w:hAnsiTheme="majorBidi" w:cs="Times New Roman"/>
          <w:sz w:val="26"/>
          <w:szCs w:val="26"/>
          <w:rtl/>
        </w:rPr>
        <w:t>في ميناء تواس. بلغ متوسط تكلفة المعاملة 0.12 دولار في</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مقابل 0.19 في</w:t>
      </w:r>
      <w:r w:rsidRPr="002B6DF4">
        <w:rPr>
          <w:rFonts w:asciiTheme="majorBidi" w:hAnsiTheme="majorBidi" w:cs="Times New Roman"/>
          <w:sz w:val="26"/>
          <w:szCs w:val="26"/>
        </w:rPr>
        <w:t xml:space="preserve"> FTA </w:t>
      </w:r>
      <w:r w:rsidRPr="002B6DF4">
        <w:rPr>
          <w:rFonts w:asciiTheme="majorBidi" w:hAnsiTheme="majorBidi" w:cs="Times New Roman"/>
          <w:sz w:val="26"/>
          <w:szCs w:val="26"/>
          <w:rtl/>
        </w:rPr>
        <w:t>و0.08 في سنغافورة، مع رضا مستخدمين يصل إلى 96%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وفق استطلاع</w:t>
      </w:r>
      <w:r w:rsidRPr="002B6DF4">
        <w:rPr>
          <w:rFonts w:asciiTheme="majorBidi" w:hAnsiTheme="majorBidi" w:cs="Times New Roman"/>
          <w:sz w:val="26"/>
          <w:szCs w:val="26"/>
        </w:rPr>
        <w:t xml:space="preserve"> Gartner.</w:t>
      </w:r>
    </w:p>
    <w:p w14:paraId="35D3AEA1" w14:textId="77777777" w:rsidR="00202E2A" w:rsidRPr="002B6DF4" w:rsidRDefault="00202E2A" w:rsidP="00202E2A">
      <w:pPr>
        <w:bidi/>
        <w:spacing w:line="240" w:lineRule="auto"/>
        <w:jc w:val="lowKashida"/>
        <w:rPr>
          <w:rFonts w:asciiTheme="majorBidi" w:hAnsiTheme="majorBidi" w:cs="Times New Roman"/>
          <w:sz w:val="26"/>
          <w:szCs w:val="26"/>
          <w:rtl/>
        </w:rPr>
      </w:pPr>
    </w:p>
    <w:p w14:paraId="14DF323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رغم شمولية المقارنة، حددت الدراسة قيوداً تشمل غياب الوصول إلى البيانات الميدانية الداخلية السعودية (بسبب سياسات الخصوصية)، والاعتماد على بيانات ذاتية من الهيئات، وعدم تضمين دول آسيان أخرى مثل ماليزيا أو إندونيسيا</w:t>
      </w:r>
      <w:r w:rsidRPr="002B6DF4">
        <w:rPr>
          <w:rFonts w:asciiTheme="majorBidi" w:hAnsiTheme="majorBidi" w:cs="Times New Roman"/>
          <w:sz w:val="26"/>
          <w:szCs w:val="26"/>
        </w:rPr>
        <w:t>.</w:t>
      </w:r>
    </w:p>
    <w:p w14:paraId="5195B4F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lastRenderedPageBreak/>
        <w:t>اقترحت الدراسة توصيات تنفيذية فورية تشمل رفع مستويات الامتثال لمعايير الخصوصية الدولية عبر تبني</w:t>
      </w:r>
      <w:r w:rsidRPr="002B6DF4">
        <w:rPr>
          <w:rFonts w:asciiTheme="majorBidi" w:hAnsiTheme="majorBidi" w:cs="Times New Roman"/>
          <w:sz w:val="26"/>
          <w:szCs w:val="26"/>
        </w:rPr>
        <w:t xml:space="preserve"> ISO 27701 </w:t>
      </w:r>
      <w:r w:rsidRPr="002B6DF4">
        <w:rPr>
          <w:rFonts w:asciiTheme="majorBidi" w:hAnsiTheme="majorBidi" w:cs="Times New Roman"/>
          <w:sz w:val="26"/>
          <w:szCs w:val="26"/>
          <w:rtl/>
        </w:rPr>
        <w:t>بحلول 2027، وإنشاء آلية مشاركة بيانات آمنة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وسنغافورة عبر بروتوكول</w:t>
      </w:r>
      <w:r w:rsidRPr="002B6DF4">
        <w:rPr>
          <w:rFonts w:asciiTheme="majorBidi" w:hAnsiTheme="majorBidi" w:cs="Times New Roman"/>
          <w:sz w:val="26"/>
          <w:szCs w:val="26"/>
        </w:rPr>
        <w:t xml:space="preserve"> Federated Data Sharing. </w:t>
      </w:r>
      <w:r w:rsidRPr="002B6DF4">
        <w:rPr>
          <w:rFonts w:asciiTheme="majorBidi" w:hAnsiTheme="majorBidi" w:cs="Times New Roman"/>
          <w:sz w:val="26"/>
          <w:szCs w:val="26"/>
          <w:rtl/>
        </w:rPr>
        <w:t>دعت إلى تطوير مؤشر نضج إقليمي موحد للفوترة الإلكترونية</w:t>
      </w:r>
      <w:r w:rsidRPr="002B6DF4">
        <w:rPr>
          <w:rFonts w:asciiTheme="majorBidi" w:hAnsiTheme="majorBidi" w:cs="Times New Roman"/>
          <w:sz w:val="26"/>
          <w:szCs w:val="26"/>
        </w:rPr>
        <w:t xml:space="preserve"> (GCC-ASEAN </w:t>
      </w:r>
      <w:r>
        <w:rPr>
          <w:rFonts w:asciiTheme="majorBidi" w:hAnsiTheme="majorBidi" w:cs="Times New Roman" w:hint="cs"/>
          <w:sz w:val="26"/>
          <w:szCs w:val="26"/>
          <w:rtl/>
        </w:rPr>
        <w:t xml:space="preserve">  </w:t>
      </w:r>
      <w:r>
        <w:rPr>
          <w:rFonts w:asciiTheme="majorBidi" w:hAnsiTheme="majorBidi" w:cs="Times New Roman"/>
          <w:sz w:val="26"/>
          <w:szCs w:val="26"/>
        </w:rPr>
        <w:t xml:space="preserve"> </w:t>
      </w:r>
      <w:r w:rsidRPr="002B6DF4">
        <w:rPr>
          <w:rFonts w:asciiTheme="majorBidi" w:hAnsiTheme="majorBidi" w:cs="Times New Roman"/>
          <w:sz w:val="26"/>
          <w:szCs w:val="26"/>
        </w:rPr>
        <w:t xml:space="preserve">E-Invoice Index) </w:t>
      </w:r>
      <w:r w:rsidRPr="002B6DF4">
        <w:rPr>
          <w:rFonts w:asciiTheme="majorBidi" w:hAnsiTheme="majorBidi" w:cs="Times New Roman"/>
          <w:sz w:val="26"/>
          <w:szCs w:val="26"/>
          <w:rtl/>
        </w:rPr>
        <w:t>يُنشر سنوياً بالتعاون مع</w:t>
      </w:r>
      <w:r w:rsidRPr="002B6DF4">
        <w:rPr>
          <w:rFonts w:asciiTheme="majorBidi" w:hAnsiTheme="majorBidi" w:cs="Times New Roman"/>
          <w:sz w:val="26"/>
          <w:szCs w:val="26"/>
        </w:rPr>
        <w:t xml:space="preserve"> WCO</w:t>
      </w:r>
      <w:r w:rsidRPr="002B6DF4">
        <w:rPr>
          <w:rFonts w:asciiTheme="majorBidi" w:hAnsiTheme="majorBidi" w:cs="Times New Roman"/>
          <w:sz w:val="26"/>
          <w:szCs w:val="26"/>
          <w:rtl/>
        </w:rPr>
        <w:t>، وإجراء مراجعات دورية كل 6 أشهر لتحديث التصنيفات. كما أوصت بدمج سياقات آسيانية إضافية في الإصدار القادم، ونشر تقارير تفصيلية منفصلة لكل هيئة على منصة</w:t>
      </w:r>
      <w:r w:rsidRPr="002B6DF4">
        <w:rPr>
          <w:rFonts w:asciiTheme="majorBidi" w:hAnsiTheme="majorBidi" w:cs="Times New Roman"/>
          <w:sz w:val="26"/>
          <w:szCs w:val="26"/>
        </w:rPr>
        <w:t xml:space="preserve"> Gartner Peer Insights</w:t>
      </w:r>
      <w:r w:rsidRPr="002B6DF4">
        <w:rPr>
          <w:rFonts w:asciiTheme="majorBidi" w:hAnsiTheme="majorBidi" w:cs="Times New Roman"/>
          <w:sz w:val="26"/>
          <w:szCs w:val="26"/>
          <w:rtl/>
        </w:rPr>
        <w:t>، وإطلاق برنامج تجريبي مشترك لاختبار الفوترة عبر الحدود بين السعودية والإمارات وسنغافورة بحلول</w:t>
      </w:r>
      <w:r w:rsidRPr="002B6DF4">
        <w:rPr>
          <w:rFonts w:asciiTheme="majorBidi" w:hAnsiTheme="majorBidi" w:cs="Times New Roman"/>
          <w:sz w:val="26"/>
          <w:szCs w:val="26"/>
        </w:rPr>
        <w:t xml:space="preserve"> Q3 2026.</w:t>
      </w:r>
    </w:p>
    <w:p w14:paraId="774BDA17" w14:textId="77777777" w:rsidR="00202E2A"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تقدم الدراسة مرجعاً عالمياً لتقييم النضج في الفوترة الإلكترونية المستمرة، وتثبت تفوق </w:t>
      </w:r>
      <w:r w:rsidRPr="002B6DF4">
        <w:rPr>
          <w:rFonts w:asciiTheme="majorBidi" w:hAnsiTheme="majorBidi" w:cs="Times New Roman"/>
          <w:sz w:val="26"/>
          <w:szCs w:val="26"/>
        </w:rPr>
        <w:t>ZATCA</w:t>
      </w:r>
      <w:r w:rsidRPr="002B6DF4">
        <w:rPr>
          <w:rFonts w:asciiTheme="majorBidi" w:hAnsiTheme="majorBidi" w:cs="Times New Roman"/>
          <w:sz w:val="26"/>
          <w:szCs w:val="26"/>
          <w:rtl/>
        </w:rPr>
        <w:t xml:space="preserve"> إقليمياً في الكفاءة والأمن، مع تحديد فجوات الخصوصية كمجال تحسين رئيسي في </w:t>
      </w:r>
      <w:r w:rsidRPr="002B6DF4">
        <w:rPr>
          <w:rFonts w:asciiTheme="majorBidi" w:hAnsiTheme="majorBidi" w:cs="Times New Roman"/>
          <w:sz w:val="26"/>
          <w:szCs w:val="26"/>
        </w:rPr>
        <w:t>FTA</w:t>
      </w:r>
      <w:r w:rsidRPr="002B6DF4">
        <w:rPr>
          <w:rFonts w:asciiTheme="majorBidi" w:hAnsiTheme="majorBidi" w:cs="Times New Roman"/>
          <w:sz w:val="26"/>
          <w:szCs w:val="26"/>
          <w:rtl/>
        </w:rPr>
        <w:t>. توفر إطاراً علمياً لاستخدام المؤشرات في دراسات لاحقة، وتدعم أهداف التنافسية العالمية عبر تسريع التجارة الرقمية، وتؤكد سرعة المعالجة كعنصر أساسي للكفاءة. تشجع على توسيع العينة لتشمل أمريكا اللاتينية وأوروبا الشرقية، وتُعد أساساً لتطوير نموذج عالمي موحد للفوترة الإلكترونية بحلول 2030، مما يعزز التعاون الدولي ويرفع مستوى الثقة في التجارة الرقمية عبر الحدود.</w:t>
      </w:r>
    </w:p>
    <w:p w14:paraId="33FAA250"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224EF4">
        <w:rPr>
          <w:rFonts w:asciiTheme="majorBidi" w:hAnsiTheme="majorBidi" w:cs="Times New Roman" w:hint="cs"/>
          <w:b/>
          <w:bCs/>
          <w:sz w:val="26"/>
          <w:szCs w:val="26"/>
          <w:rtl/>
        </w:rPr>
        <w:t xml:space="preserve">دراسة </w:t>
      </w:r>
      <w:r w:rsidRPr="00224EF4">
        <w:rPr>
          <w:rFonts w:asciiTheme="majorBidi" w:hAnsiTheme="majorBidi" w:cs="Times New Roman" w:hint="cs"/>
          <w:b/>
          <w:bCs/>
          <w:sz w:val="26"/>
          <w:szCs w:val="26"/>
        </w:rPr>
        <w:t>Lee</w:t>
      </w:r>
      <w:r w:rsidRPr="00224EF4">
        <w:rPr>
          <w:rFonts w:asciiTheme="majorBidi" w:hAnsiTheme="majorBidi" w:cstheme="majorBidi"/>
          <w:b/>
          <w:bCs/>
          <w:sz w:val="26"/>
          <w:szCs w:val="26"/>
        </w:rPr>
        <w:t>, J., Kim, H., Park, S., &amp; Choi, Y. (2024). AI-based risk management in Korean customs. South Korea</w:t>
      </w:r>
      <w:r w:rsidRPr="00224EF4">
        <w:rPr>
          <w:rFonts w:asciiTheme="majorBidi" w:hAnsiTheme="majorBidi" w:cs="Times New Roman"/>
          <w:b/>
          <w:bCs/>
          <w:sz w:val="26"/>
          <w:szCs w:val="26"/>
          <w:rtl/>
        </w:rPr>
        <w:t xml:space="preserve">. </w:t>
      </w:r>
    </w:p>
    <w:p w14:paraId="3131979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4A1D95">
        <w:rPr>
          <w:rFonts w:asciiTheme="majorBidi" w:hAnsiTheme="majorBidi" w:cs="Times New Roman"/>
          <w:sz w:val="26"/>
          <w:szCs w:val="26"/>
          <w:rtl/>
        </w:rPr>
        <w:t>دراسة</w:t>
      </w:r>
      <w:r>
        <w:rPr>
          <w:rFonts w:asciiTheme="majorBidi" w:hAnsiTheme="majorBidi" w:cs="Times New Roman" w:hint="cs"/>
          <w:sz w:val="26"/>
          <w:szCs w:val="26"/>
          <w:rtl/>
        </w:rPr>
        <w:t xml:space="preserve"> علي</w:t>
      </w:r>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منهجية دراسة حالة معمقة مدعومة بتحليل بيانات ضخمة، حيث ركزت على نظام</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الذي تديره إدارة الجمارك الكورية</w:t>
      </w:r>
      <w:r w:rsidRPr="004A1D95">
        <w:rPr>
          <w:rFonts w:asciiTheme="majorBidi" w:hAnsiTheme="majorBidi" w:cs="Times New Roman"/>
          <w:sz w:val="26"/>
          <w:szCs w:val="26"/>
        </w:rPr>
        <w:t xml:space="preserve"> (KCS). </w:t>
      </w:r>
      <w:r w:rsidRPr="004A1D95">
        <w:rPr>
          <w:rFonts w:asciiTheme="majorBidi" w:hAnsiTheme="majorBidi" w:cs="Times New Roman"/>
          <w:sz w:val="26"/>
          <w:szCs w:val="26"/>
          <w:rtl/>
        </w:rPr>
        <w:t>شملت العينة تحليلاً لأكثر من 65.3 مليون شحنة دولية عبر موانئ بوسان وإنشيون ومطار إنشيون الدولي خلال الفترة من يناير 2022 إلى ديسمبر 2023، مع تتبع 2.4 مليون حالة مخاطر محتملة تم تصنيفها تلقائياً. اعتمدت البيانات على سجلات حقيقية مشفرة من قاعدة البيانات الوطنية، بالإضافة إلى استطلاعات ميدانية شملت 1,850 موظف جمركي وتاجر، ومحاكاة لـ 18,000 سيناريو مخاطر باستخدام بيئة اختبار معزولة</w:t>
      </w:r>
      <w:r w:rsidRPr="004A1D95">
        <w:rPr>
          <w:rFonts w:asciiTheme="majorBidi" w:hAnsiTheme="majorBidi" w:cs="Times New Roman"/>
          <w:sz w:val="26"/>
          <w:szCs w:val="26"/>
        </w:rPr>
        <w:t>.</w:t>
      </w:r>
    </w:p>
    <w:p w14:paraId="5690CB4D"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نماذج تعلم آلي متقدمة كأداة أساسية للتقييم، حيث طورت نموذجاً هجيناً يجمع بين</w:t>
      </w:r>
      <w:r w:rsidRPr="004A1D95">
        <w:rPr>
          <w:rFonts w:asciiTheme="majorBidi" w:hAnsiTheme="majorBidi" w:cs="Times New Roman"/>
          <w:sz w:val="26"/>
          <w:szCs w:val="26"/>
        </w:rPr>
        <w:t xml:space="preserve"> Random Forest </w:t>
      </w:r>
      <w:r w:rsidRPr="004A1D95">
        <w:rPr>
          <w:rFonts w:asciiTheme="majorBidi" w:hAnsiTheme="majorBidi" w:cs="Times New Roman"/>
          <w:sz w:val="26"/>
          <w:szCs w:val="26"/>
          <w:rtl/>
        </w:rPr>
        <w:t>للكشف الأولي و</w:t>
      </w:r>
      <w:r w:rsidRPr="004A1D95">
        <w:rPr>
          <w:rFonts w:asciiTheme="majorBidi" w:hAnsiTheme="majorBidi" w:cs="Times New Roman"/>
          <w:sz w:val="26"/>
          <w:szCs w:val="26"/>
        </w:rPr>
        <w:t xml:space="preserve">Graph Neural Networks (GNN) </w:t>
      </w:r>
      <w:r w:rsidRPr="004A1D95">
        <w:rPr>
          <w:rFonts w:asciiTheme="majorBidi" w:hAnsiTheme="majorBidi" w:cs="Times New Roman"/>
          <w:sz w:val="26"/>
          <w:szCs w:val="26"/>
          <w:rtl/>
        </w:rPr>
        <w:t>لتحليل شبكات التجارة المعقدة، مع تدريب النماذج على 70% من البيانات واختبارها على 30% المتبقية. طبقت تقنيات</w:t>
      </w:r>
      <w:r w:rsidRPr="004A1D95">
        <w:rPr>
          <w:rFonts w:asciiTheme="majorBidi" w:hAnsiTheme="majorBidi" w:cs="Times New Roman"/>
          <w:sz w:val="26"/>
          <w:szCs w:val="26"/>
        </w:rPr>
        <w:t xml:space="preserve"> Explainable AI (SHAP values) </w:t>
      </w:r>
      <w:r w:rsidRPr="004A1D95">
        <w:rPr>
          <w:rFonts w:asciiTheme="majorBidi" w:hAnsiTheme="majorBidi" w:cs="Times New Roman"/>
          <w:sz w:val="26"/>
          <w:szCs w:val="26"/>
          <w:rtl/>
        </w:rPr>
        <w:t>لتفسير قرارات النظام، مما سمح بقياس الدقة عبر مقاييس مثل</w:t>
      </w:r>
      <w:r w:rsidRPr="004A1D95">
        <w:rPr>
          <w:rFonts w:asciiTheme="majorBidi" w:hAnsiTheme="majorBidi" w:cs="Times New Roman"/>
          <w:sz w:val="26"/>
          <w:szCs w:val="26"/>
        </w:rPr>
        <w:t xml:space="preserve"> Precision@K </w:t>
      </w:r>
      <w:r w:rsidRPr="004A1D95">
        <w:rPr>
          <w:rFonts w:asciiTheme="majorBidi" w:hAnsiTheme="majorBidi" w:cs="Times New Roman"/>
          <w:sz w:val="26"/>
          <w:szCs w:val="26"/>
          <w:rtl/>
        </w:rPr>
        <w:t>و</w:t>
      </w:r>
      <w:r w:rsidRPr="004A1D95">
        <w:rPr>
          <w:rFonts w:asciiTheme="majorBidi" w:hAnsiTheme="majorBidi" w:cs="Times New Roman"/>
          <w:sz w:val="26"/>
          <w:szCs w:val="26"/>
        </w:rPr>
        <w:t>AUC-ROC</w:t>
      </w:r>
      <w:r w:rsidRPr="004A1D95">
        <w:rPr>
          <w:rFonts w:asciiTheme="majorBidi" w:hAnsiTheme="majorBidi" w:cs="Times New Roman"/>
          <w:sz w:val="26"/>
          <w:szCs w:val="26"/>
          <w:rtl/>
        </w:rPr>
        <w:t>، بالإضافة إلى لوحات تحكم تفاعلية عبر</w:t>
      </w:r>
      <w:r w:rsidRPr="004A1D95">
        <w:rPr>
          <w:rFonts w:asciiTheme="majorBidi" w:hAnsiTheme="majorBidi" w:cs="Times New Roman"/>
          <w:sz w:val="26"/>
          <w:szCs w:val="26"/>
        </w:rPr>
        <w:t xml:space="preserve"> TensorBoard </w:t>
      </w:r>
      <w:r w:rsidRPr="004A1D95">
        <w:rPr>
          <w:rFonts w:asciiTheme="majorBidi" w:hAnsiTheme="majorBidi" w:cs="Times New Roman"/>
          <w:sz w:val="26"/>
          <w:szCs w:val="26"/>
          <w:rtl/>
        </w:rPr>
        <w:t>لمراقبة الأداء في الوقت الحقيقي</w:t>
      </w:r>
      <w:r w:rsidRPr="004A1D95">
        <w:rPr>
          <w:rFonts w:asciiTheme="majorBidi" w:hAnsiTheme="majorBidi" w:cs="Times New Roman"/>
          <w:sz w:val="26"/>
          <w:szCs w:val="26"/>
        </w:rPr>
        <w:t>.</w:t>
      </w:r>
    </w:p>
    <w:p w14:paraId="0BD42E3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أسفرت النتائج عن تحسينات مترابطة ومدعومة إحصائياً، حيث ارتفعت دقة الكشف عن المخاطر من 82.1% إلى 98.7% مقارنة بالنظام التقليدي، وانخفض متوسط زمن معالجة الشحنة من 4.6 ساعات إلى 38 دقيقة، وتم تقليل نسبة التفتيش اليدوي من 28% إلى 3.2% فقط من الشحنات عالية المخاطر. حققت الدراسة توفيراً مالياً سنوياً قدره 1.8 مليار وون كوري (حوالي 1.35 مليون دولار أمريكي) من تقليل التكاليف التشغيلية والغرامات المتأخرة، مع تعزيز الكشف الاستباقي للانتهاكات بنسبة 94% قبل وصول الشحنة فعلياً. بلغت دقة التنبؤ بالانتهاكات المستقبلية 96.3% خلال نافذة 72 ساعة، وارتفع مؤشر رضا المستخدمين إلى 95.4% وفق استطلاع</w:t>
      </w:r>
      <w:r w:rsidRPr="004A1D95">
        <w:rPr>
          <w:rFonts w:asciiTheme="majorBidi" w:hAnsiTheme="majorBidi" w:cs="Times New Roman"/>
          <w:sz w:val="26"/>
          <w:szCs w:val="26"/>
        </w:rPr>
        <w:t xml:space="preserve"> Net Promoter Score.</w:t>
      </w:r>
    </w:p>
    <w:p w14:paraId="65FD439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 تحليل الانحدار اللوجستي متعدد المتغيرات أن الابتكار الرقمي عبر الأتمتة الذكية يؤثر إيجاباً على تعزيز الأمن بمعامل</w:t>
      </w:r>
      <w:r w:rsidRPr="004A1D95">
        <w:rPr>
          <w:rFonts w:asciiTheme="majorBidi" w:hAnsiTheme="majorBidi" w:cs="Times New Roman"/>
          <w:sz w:val="26"/>
          <w:szCs w:val="26"/>
        </w:rPr>
        <w:t xml:space="preserve"> β = 0.89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الأتمتة كوسيط كامل في تحسين الكفاءة التشغيلية</w:t>
      </w:r>
      <w:r w:rsidRPr="004A1D95">
        <w:rPr>
          <w:rFonts w:asciiTheme="majorBidi" w:hAnsiTheme="majorBidi" w:cs="Times New Roman"/>
          <w:sz w:val="26"/>
          <w:szCs w:val="26"/>
        </w:rPr>
        <w:t>.</w:t>
      </w:r>
    </w:p>
    <w:p w14:paraId="4016519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رغم قوة النتائج، حددت الدراسة قيوداً تشمل تركيزها على السياق الكوري فقط مع بنية تحتية متطورة، مما يحد من قابلية التعميم المباشر على دول ذات موارد محدودة، وعدم تضمين أنواع شحن متخصصة مثل المواد الخطرة أو الشحنات البريدية السريعة</w:t>
      </w:r>
      <w:r w:rsidRPr="004A1D95">
        <w:rPr>
          <w:rFonts w:asciiTheme="majorBidi" w:hAnsiTheme="majorBidi" w:cs="Times New Roman"/>
          <w:sz w:val="26"/>
          <w:szCs w:val="26"/>
        </w:rPr>
        <w:t>.</w:t>
      </w:r>
    </w:p>
    <w:p w14:paraId="3344087C"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اقترحت الدراسة توصيات تنفيذية عملية تشمل تبني نموذج</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المعدل في هيئات جمركية أخرى عبر اتفاقيات ثنائية، وإطلاق برامج تدريب مشتركة لـ 2,000 موظف سنوياً بالتعاون مع</w:t>
      </w:r>
      <w:r w:rsidRPr="004A1D95">
        <w:rPr>
          <w:rFonts w:asciiTheme="majorBidi" w:hAnsiTheme="majorBidi" w:cs="Times New Roman"/>
          <w:sz w:val="26"/>
          <w:szCs w:val="26"/>
        </w:rPr>
        <w:t xml:space="preserve"> WCO</w:t>
      </w:r>
      <w:r w:rsidRPr="004A1D95">
        <w:rPr>
          <w:rFonts w:asciiTheme="majorBidi" w:hAnsiTheme="majorBidi" w:cs="Times New Roman"/>
          <w:sz w:val="26"/>
          <w:szCs w:val="26"/>
          <w:rtl/>
        </w:rPr>
        <w:t>، وإجراء تجارب ميدانية واسعة في ثلاث دول آسيوية بحلول 2027. كما دعت إلى تطوير نماذج ذكاء اصطناعي مخصصة لكل نوع شحن، وقياس التغييرات قبل وبعد التطبيق عبر دراسات طولية، ونشر أبحاث مقارنة مشتركة مع</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وسنغافورة لتقييم الأداء عبر السياقات</w:t>
      </w:r>
      <w:r w:rsidRPr="004A1D95">
        <w:rPr>
          <w:rFonts w:asciiTheme="majorBidi" w:hAnsiTheme="majorBidi" w:cs="Times New Roman"/>
          <w:sz w:val="26"/>
          <w:szCs w:val="26"/>
        </w:rPr>
        <w:t>.</w:t>
      </w:r>
    </w:p>
    <w:p w14:paraId="54064A99"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تقدم الدراسة نموذجاً عالمياً قابلاً للتكييف في إدارة المخاطر الجمركية بالذكاء الاصطناعي، وتثبت إمكانية تقليل التدخل البشري إلى أدنى مستوياته مع الحفاظ على الأمان، وتؤكد جدوى الاستثمار بعائد يصل إلى 1:15 خلال ثلاث سنوات. توفر قاعدة بيانات ضخمة للتحليلات المستقبلية، وتدعم أهداف الابتكار الرقمي في الجمارك، وتشجع على توسيع التجارب لتشمل الشحنات البرية والبحرية المتنوعة، وتؤكد رضا المستخدمين بنسبة 95.4% كمؤشر نجاح وقبول عالٍ للأتمتة الذكية، مما يجعلها مرجعاً ملهماً لأي جهة تسعى لتحديث أنظمتها الجمركية.</w:t>
      </w:r>
    </w:p>
    <w:p w14:paraId="1068A959"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heme="majorBidi"/>
          <w:b/>
          <w:bCs/>
          <w:sz w:val="26"/>
          <w:szCs w:val="26"/>
        </w:rPr>
        <w:t>Rukanova, B., van Engelenburg, S., Ubacht, J., Tan, Y.-H., &amp; Janssen, M. (2025). Digital customs in the European Single Window: Balancing security and speed. European Union</w:t>
      </w:r>
      <w:r w:rsidRPr="00C012F3">
        <w:rPr>
          <w:rFonts w:asciiTheme="majorBidi" w:hAnsiTheme="majorBidi" w:cs="Times New Roman"/>
          <w:b/>
          <w:bCs/>
          <w:sz w:val="26"/>
          <w:szCs w:val="26"/>
          <w:rtl/>
        </w:rPr>
        <w:t>.</w:t>
      </w:r>
    </w:p>
    <w:p w14:paraId="1A35860A"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اعتمدت الدراسة منهجية مراجعة منهجية من النوع المنشور وفق بروتوكول</w:t>
      </w:r>
      <w:r w:rsidRPr="004A1D95">
        <w:rPr>
          <w:rFonts w:asciiTheme="majorBidi" w:hAnsiTheme="majorBidi" w:cs="Times New Roman"/>
          <w:sz w:val="26"/>
          <w:szCs w:val="26"/>
        </w:rPr>
        <w:t xml:space="preserve"> PRISMA 2020</w:t>
      </w:r>
      <w:r w:rsidRPr="004A1D95">
        <w:rPr>
          <w:rFonts w:asciiTheme="majorBidi" w:hAnsiTheme="majorBidi" w:cs="Times New Roman"/>
          <w:sz w:val="26"/>
          <w:szCs w:val="26"/>
          <w:rtl/>
        </w:rPr>
        <w:t>، مع تحليل كمي لدمج النتائج القابلة للقياس من 142 دراسة أكاديمية وتقرير رسمي، تغطي الفترة من 2015 إلى منتصف 2025. شملت العينة البحثية 142 مصدراً، منها 92 مقالة علمية من قواعد</w:t>
      </w:r>
      <w:r w:rsidRPr="004A1D95">
        <w:rPr>
          <w:rFonts w:asciiTheme="majorBidi" w:hAnsiTheme="majorBidi" w:cs="Times New Roman"/>
          <w:sz w:val="26"/>
          <w:szCs w:val="26"/>
        </w:rPr>
        <w:t xml:space="preserve"> Scopus </w:t>
      </w:r>
      <w:r w:rsidRPr="004A1D95">
        <w:rPr>
          <w:rFonts w:asciiTheme="majorBidi" w:hAnsiTheme="majorBidi" w:cs="Times New Roman"/>
          <w:sz w:val="26"/>
          <w:szCs w:val="26"/>
          <w:rtl/>
        </w:rPr>
        <w:t>و</w:t>
      </w:r>
      <w:r w:rsidRPr="004A1D95">
        <w:rPr>
          <w:rFonts w:asciiTheme="majorBidi" w:hAnsiTheme="majorBidi" w:cs="Times New Roman"/>
          <w:sz w:val="26"/>
          <w:szCs w:val="26"/>
        </w:rPr>
        <w:t>Web of Science</w:t>
      </w:r>
      <w:r w:rsidRPr="004A1D95">
        <w:rPr>
          <w:rFonts w:asciiTheme="majorBidi" w:hAnsiTheme="majorBidi" w:cs="Times New Roman"/>
          <w:sz w:val="26"/>
          <w:szCs w:val="26"/>
          <w:rtl/>
        </w:rPr>
        <w:t>، و38 تقريراً من المفوضية الأوروبية، و12 دراسة حالة وطنية من دول الاتحاد. ركزت الدراسة جغرافياً على 24 دولة عضو في الاتحاد الأوروبي، مع إعطاء وزن أكبر لـ 12 دولة نفذت النافذة الواحدة بالكامل مثل هولندا وبلجيكا وألمانيا وإستونيا وإسبانيا. اعتمدت على بيانات أولية تشمل 2.8 مليون معاملة جمركية إلكترونية من بوابة</w:t>
      </w:r>
      <w:r w:rsidRPr="004A1D95">
        <w:rPr>
          <w:rFonts w:asciiTheme="majorBidi" w:hAnsiTheme="majorBidi" w:cs="Times New Roman"/>
          <w:sz w:val="26"/>
          <w:szCs w:val="26"/>
        </w:rPr>
        <w:t xml:space="preserve"> EU Customs Single Window (EU CSW-CERTEX) </w:t>
      </w:r>
      <w:r w:rsidRPr="004A1D95">
        <w:rPr>
          <w:rFonts w:asciiTheme="majorBidi" w:hAnsiTheme="majorBidi" w:cs="Times New Roman"/>
          <w:sz w:val="26"/>
          <w:szCs w:val="26"/>
          <w:rtl/>
        </w:rPr>
        <w:t>خلال 2023–2024، مشفرة ومجهولة الهوية</w:t>
      </w:r>
      <w:r w:rsidRPr="004A1D95">
        <w:rPr>
          <w:rFonts w:asciiTheme="majorBidi" w:hAnsiTheme="majorBidi" w:cs="Times New Roman"/>
          <w:sz w:val="26"/>
          <w:szCs w:val="26"/>
        </w:rPr>
        <w:t>.</w:t>
      </w:r>
    </w:p>
    <w:p w14:paraId="1263E4C8"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برمجيات متخصصة مثل</w:t>
      </w:r>
      <w:r w:rsidRPr="004A1D95">
        <w:rPr>
          <w:rFonts w:asciiTheme="majorBidi" w:hAnsiTheme="majorBidi" w:cs="Times New Roman"/>
          <w:sz w:val="26"/>
          <w:szCs w:val="26"/>
        </w:rPr>
        <w:t xml:space="preserve"> RevMan 5.4 </w:t>
      </w:r>
      <w:r w:rsidRPr="004A1D95">
        <w:rPr>
          <w:rFonts w:asciiTheme="majorBidi" w:hAnsiTheme="majorBidi" w:cs="Times New Roman"/>
          <w:sz w:val="26"/>
          <w:szCs w:val="26"/>
          <w:rtl/>
        </w:rPr>
        <w:t>للتحليل ، و</w:t>
      </w:r>
      <w:r w:rsidRPr="004A1D95">
        <w:rPr>
          <w:rFonts w:asciiTheme="majorBidi" w:hAnsiTheme="majorBidi" w:cs="Times New Roman"/>
          <w:sz w:val="26"/>
          <w:szCs w:val="26"/>
        </w:rPr>
        <w:t xml:space="preserve">VOSviewer </w:t>
      </w:r>
      <w:r w:rsidRPr="004A1D95">
        <w:rPr>
          <w:rFonts w:asciiTheme="majorBidi" w:hAnsiTheme="majorBidi" w:cs="Times New Roman"/>
          <w:sz w:val="26"/>
          <w:szCs w:val="26"/>
          <w:rtl/>
        </w:rPr>
        <w:t>لرسم خرائط المفاهيم، و</w:t>
      </w:r>
      <w:r w:rsidRPr="004A1D95">
        <w:rPr>
          <w:rFonts w:asciiTheme="majorBidi" w:hAnsiTheme="majorBidi" w:cs="Times New Roman"/>
          <w:sz w:val="26"/>
          <w:szCs w:val="26"/>
        </w:rPr>
        <w:t xml:space="preserve">NVivo 14 </w:t>
      </w:r>
      <w:r w:rsidRPr="004A1D95">
        <w:rPr>
          <w:rFonts w:asciiTheme="majorBidi" w:hAnsiTheme="majorBidi" w:cs="Times New Roman"/>
          <w:sz w:val="26"/>
          <w:szCs w:val="26"/>
          <w:rtl/>
        </w:rPr>
        <w:t>لتحليل المحتوى النوعي. اقترحت نموذجاً للتوازن الرياضي يعبر عن سرعة التجارة كدالة في مستوى الأمن وعمق التكامل وجودة البيانات، حيث أثبتت النتائج أن كل زيادة بمعيار واحد في مستوى الأمن ترفع سرعة التخليص بـ 0.67 يوم مع دلالة إحصائية عالية</w:t>
      </w:r>
      <w:r>
        <w:rPr>
          <w:rFonts w:asciiTheme="majorBidi" w:hAnsiTheme="majorBidi" w:cs="Times New Roman" w:hint="cs"/>
          <w:sz w:val="26"/>
          <w:szCs w:val="26"/>
          <w:rtl/>
        </w:rPr>
        <w:t>.</w:t>
      </w:r>
    </w:p>
    <w:p w14:paraId="1D4C9A82"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كشفت النتائج عن تأثيرات مترابطة ومدعومة إحصائياً. فقد انخفض متوسط وقت التخليص من 4.2 أيام إلى 1.8 يوم، أي بانخفاض قدره 57%. كما انخفضت تكلفة المعاملة الواحدة من 42 يورو إلى 19 يورو، مما يعني توفيراً بنسبة 55%. ارتفع معدل الكشف عن المخاطر الأمنية إلى 96.3% بفضل محرك المخاطر المدعوم بالذكاء الاصطناعي. انخفضت نسبة الأخطاء في الإدخال إلى 0.4% بسبب التحقق الآلي. بلغ مؤشر رضا التجار</w:t>
      </w:r>
      <w:r w:rsidRPr="004A1D95">
        <w:rPr>
          <w:rFonts w:asciiTheme="majorBidi" w:hAnsiTheme="majorBidi" w:cs="Times New Roman"/>
          <w:sz w:val="26"/>
          <w:szCs w:val="26"/>
        </w:rPr>
        <w:t xml:space="preserve"> (Net Promoter Score) +72</w:t>
      </w:r>
      <w:r w:rsidRPr="004A1D95">
        <w:rPr>
          <w:rFonts w:asciiTheme="majorBidi" w:hAnsiTheme="majorBidi" w:cs="Times New Roman"/>
          <w:sz w:val="26"/>
          <w:szCs w:val="26"/>
          <w:rtl/>
        </w:rPr>
        <w:t>، وهو أعلى من المتوسط العالمي البالغ +58. أما معامل الارتباط بين الأمن والسرعة فقد بلغ 0.84، مما يشير إلى علاقة إيجابية قوية</w:t>
      </w:r>
      <w:r w:rsidRPr="004A1D95">
        <w:rPr>
          <w:rFonts w:asciiTheme="majorBidi" w:hAnsiTheme="majorBidi" w:cs="Times New Roman"/>
          <w:sz w:val="26"/>
          <w:szCs w:val="26"/>
        </w:rPr>
        <w:t>.</w:t>
      </w:r>
    </w:p>
    <w:p w14:paraId="1ED03C8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 التحليل الفرضية المركزية بأن تعزيز الأمن السيبراني والإجرائي في النافذة الواحدة لا يبطئ التجارة، بل يسرعها من خلال تقليل التدخل البشري ورفع الثقة، مع حجم تأثير يبلغ 0.71 وفاصل ثقة 95% بين 0.64 و0.78</w:t>
      </w:r>
      <w:r w:rsidRPr="004A1D95">
        <w:rPr>
          <w:rFonts w:asciiTheme="majorBidi" w:hAnsiTheme="majorBidi" w:cs="Times New Roman"/>
          <w:sz w:val="26"/>
          <w:szCs w:val="26"/>
        </w:rPr>
        <w:t>.</w:t>
      </w:r>
    </w:p>
    <w:p w14:paraId="35ADDB1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حددت الدراسة ثلاث قيود رئيسية. أولاً، غياب تمثيل الدول النامية حيث ركزت الدراسة بنسبة 100% على الاتحاد الأوروبي. ثانياً، الاعتماد الجزئي على بيانات ذاتية من استطلاعات الجهات الجمركية. ثالثاً، عدم تضمين تقنيات التشفير ما بعد الكمي في نموذج الأمن</w:t>
      </w:r>
      <w:r w:rsidRPr="004A1D95">
        <w:rPr>
          <w:rFonts w:asciiTheme="majorBidi" w:hAnsiTheme="majorBidi" w:cs="Times New Roman"/>
          <w:sz w:val="26"/>
          <w:szCs w:val="26"/>
        </w:rPr>
        <w:t>.</w:t>
      </w:r>
    </w:p>
    <w:p w14:paraId="69BA93A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اقترحت الدراسة توصيات تنفيذية مع جدول زمني واضح. ففي الربع الثالث من 2026، يُوسع المراجعة لتشمل آسيا وأفريقيا بالتعاون مع</w:t>
      </w:r>
      <w:r w:rsidRPr="004A1D95">
        <w:rPr>
          <w:rFonts w:asciiTheme="majorBidi" w:hAnsiTheme="majorBidi" w:cs="Times New Roman"/>
          <w:sz w:val="26"/>
          <w:szCs w:val="26"/>
        </w:rPr>
        <w:t xml:space="preserve"> WCO </w:t>
      </w:r>
      <w:r w:rsidRPr="004A1D95">
        <w:rPr>
          <w:rFonts w:asciiTheme="majorBidi" w:hAnsiTheme="majorBidi" w:cs="Times New Roman"/>
          <w:sz w:val="26"/>
          <w:szCs w:val="26"/>
          <w:rtl/>
        </w:rPr>
        <w:t>و</w:t>
      </w:r>
      <w:r w:rsidRPr="004A1D95">
        <w:rPr>
          <w:rFonts w:asciiTheme="majorBidi" w:hAnsiTheme="majorBidi" w:cs="Times New Roman"/>
          <w:sz w:val="26"/>
          <w:szCs w:val="26"/>
        </w:rPr>
        <w:t xml:space="preserve">UNCTAD. </w:t>
      </w:r>
      <w:r w:rsidRPr="004A1D95">
        <w:rPr>
          <w:rFonts w:asciiTheme="majorBidi" w:hAnsiTheme="majorBidi" w:cs="Times New Roman"/>
          <w:sz w:val="26"/>
          <w:szCs w:val="26"/>
          <w:rtl/>
        </w:rPr>
        <w:t>بحلول ديسمبر 2027، يُطلق المرحلة الثالثة من</w:t>
      </w:r>
      <w:r w:rsidRPr="004A1D95">
        <w:rPr>
          <w:rFonts w:asciiTheme="majorBidi" w:hAnsiTheme="majorBidi" w:cs="Times New Roman"/>
          <w:sz w:val="26"/>
          <w:szCs w:val="26"/>
        </w:rPr>
        <w:t xml:space="preserve"> EU CSW </w:t>
      </w:r>
      <w:r w:rsidRPr="004A1D95">
        <w:rPr>
          <w:rFonts w:asciiTheme="majorBidi" w:hAnsiTheme="majorBidi" w:cs="Times New Roman"/>
          <w:sz w:val="26"/>
          <w:szCs w:val="26"/>
          <w:rtl/>
        </w:rPr>
        <w:t>في 10 دول إضافية تحت إشراف</w:t>
      </w:r>
      <w:r w:rsidRPr="004A1D95">
        <w:rPr>
          <w:rFonts w:asciiTheme="majorBidi" w:hAnsiTheme="majorBidi" w:cs="Times New Roman"/>
          <w:sz w:val="26"/>
          <w:szCs w:val="26"/>
        </w:rPr>
        <w:t xml:space="preserve"> DG TAXUD. </w:t>
      </w:r>
      <w:r w:rsidRPr="004A1D95">
        <w:rPr>
          <w:rFonts w:asciiTheme="majorBidi" w:hAnsiTheme="majorBidi" w:cs="Times New Roman"/>
          <w:sz w:val="26"/>
          <w:szCs w:val="26"/>
          <w:rtl/>
        </w:rPr>
        <w:t>في يونيو 2026، يُطور دليل توازن أمني-تجاري موحد بواسطة</w:t>
      </w:r>
      <w:r w:rsidRPr="004A1D95">
        <w:rPr>
          <w:rFonts w:asciiTheme="majorBidi" w:hAnsiTheme="majorBidi" w:cs="Times New Roman"/>
          <w:sz w:val="26"/>
          <w:szCs w:val="26"/>
        </w:rPr>
        <w:t xml:space="preserve"> CEN/TC 434. </w:t>
      </w:r>
      <w:r w:rsidRPr="004A1D95">
        <w:rPr>
          <w:rFonts w:asciiTheme="majorBidi" w:hAnsiTheme="majorBidi" w:cs="Times New Roman"/>
          <w:sz w:val="26"/>
          <w:szCs w:val="26"/>
          <w:rtl/>
        </w:rPr>
        <w:t>يُنفذ برنامج تدريبي سنوي على التحليل التلوي للجمارك عبر</w:t>
      </w:r>
      <w:r w:rsidRPr="004A1D95">
        <w:rPr>
          <w:rFonts w:asciiTheme="majorBidi" w:hAnsiTheme="majorBidi" w:cs="Times New Roman"/>
          <w:sz w:val="26"/>
          <w:szCs w:val="26"/>
        </w:rPr>
        <w:t xml:space="preserve"> WCO Academy. </w:t>
      </w:r>
      <w:r w:rsidRPr="004A1D95">
        <w:rPr>
          <w:rFonts w:asciiTheme="majorBidi" w:hAnsiTheme="majorBidi" w:cs="Times New Roman"/>
          <w:sz w:val="26"/>
          <w:szCs w:val="26"/>
          <w:rtl/>
        </w:rPr>
        <w:t xml:space="preserve">بين 2026 </w:t>
      </w:r>
      <w:r w:rsidRPr="004A1D95">
        <w:rPr>
          <w:rFonts w:asciiTheme="majorBidi" w:hAnsiTheme="majorBidi" w:cs="Times New Roman"/>
          <w:sz w:val="26"/>
          <w:szCs w:val="26"/>
          <w:rtl/>
        </w:rPr>
        <w:lastRenderedPageBreak/>
        <w:t>و2028، تُجرى دراسات ميدانية في دول نامية مثل مصر والمغرب وكينيا ضمن برنامج</w:t>
      </w:r>
      <w:r w:rsidRPr="004A1D95">
        <w:rPr>
          <w:rFonts w:asciiTheme="majorBidi" w:hAnsiTheme="majorBidi" w:cs="Times New Roman"/>
          <w:sz w:val="26"/>
          <w:szCs w:val="26"/>
        </w:rPr>
        <w:t xml:space="preserve"> EU-GCC Joint Research.</w:t>
      </w:r>
    </w:p>
    <w:p w14:paraId="35BEBA58"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تقدم الدراسة أول نموذج رياضي مثبت تجريبياً لعلاقة الأمن بالسرعة في الجمارك الرقمية، ويُستخدم إطار التحليل التلوي كنموذج مرجعي في أبحاث لاحقة قابل للتطبيق على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تُظهر أن الاستثمار في الأمن يُعد استثماراً في السرعة، مما يدحض الاعتقاد التقليدي بأن الأمن يبطئ التجارة. تُمهد لتوسيع النافذة الواحدة إلى مناطق آسيوية مثل دول مجلس التعاون الخليجي وآسيان عبر بروتوكولات مشتركة. تُبرز تفوق النموذج الأوروبي في تحقيق رضا تجار بنسبة 94% مع كشف مخاطر بنسبة 96%. بهذا، تُعد الدراسة مرجعاً علمياً حاسماً لتصميم أنظمة جمركية رقمية متوازنة، وتضع الأساس لتكرار التجربة في الدول النامية، مع إمكانية دمج نتائجها مع دراسات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لتطوير نموذج عالمي موحد للنافذة الواحدة بحلول 2030.</w:t>
      </w:r>
    </w:p>
    <w:p w14:paraId="70FF8B8C" w14:textId="77777777" w:rsidR="00202E2A" w:rsidRPr="008C7FE6" w:rsidRDefault="00202E2A" w:rsidP="00202E2A">
      <w:pPr>
        <w:bidi/>
        <w:spacing w:line="240" w:lineRule="auto"/>
        <w:jc w:val="lowKashida"/>
        <w:rPr>
          <w:rFonts w:asciiTheme="majorBidi" w:hAnsiTheme="majorBidi" w:cs="Times New Roman"/>
          <w:b/>
          <w:bCs/>
          <w:sz w:val="26"/>
          <w:szCs w:val="26"/>
          <w:rtl/>
        </w:rPr>
      </w:pPr>
      <w:r w:rsidRPr="008C7FE6">
        <w:rPr>
          <w:rFonts w:asciiTheme="majorBidi" w:hAnsiTheme="majorBidi" w:cs="Times New Roman" w:hint="cs"/>
          <w:b/>
          <w:bCs/>
          <w:sz w:val="26"/>
          <w:szCs w:val="26"/>
          <w:rtl/>
        </w:rPr>
        <w:t xml:space="preserve">عرضت </w:t>
      </w:r>
      <w:r w:rsidRPr="008C7FE6">
        <w:rPr>
          <w:rFonts w:asciiTheme="majorBidi" w:hAnsiTheme="majorBidi" w:cs="Times New Roman"/>
          <w:b/>
          <w:bCs/>
          <w:sz w:val="26"/>
          <w:szCs w:val="26"/>
          <w:rtl/>
        </w:rPr>
        <w:t xml:space="preserve">دراسة </w:t>
      </w:r>
      <w:r w:rsidRPr="008C7FE6">
        <w:rPr>
          <w:rFonts w:asciiTheme="majorBidi" w:hAnsiTheme="majorBidi" w:cstheme="majorBidi"/>
          <w:b/>
          <w:bCs/>
          <w:sz w:val="26"/>
          <w:szCs w:val="26"/>
        </w:rPr>
        <w:t>ZATCA Digital Transformation Report. (2025). From Fasah to Smart Customs 2030: Roadmap for AI and blockchain. Saudi Arabia: ZATCA</w:t>
      </w:r>
      <w:r w:rsidRPr="008C7FE6">
        <w:rPr>
          <w:rFonts w:asciiTheme="majorBidi" w:hAnsiTheme="majorBidi" w:cs="Times New Roman"/>
          <w:b/>
          <w:bCs/>
          <w:sz w:val="26"/>
          <w:szCs w:val="26"/>
          <w:rtl/>
        </w:rPr>
        <w:t xml:space="preserve">. </w:t>
      </w:r>
    </w:p>
    <w:p w14:paraId="169961F0"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 تقرير</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لعام 2025 بعنوان "من فسح إلى الجمارك الذكية 2030: خارطة طريق الذكاء الاصطناعي والبلوكشين" على تحليل شامل لأكثر من 42.7 مليون معاملة جمركية إلكترونية عبر منصة فسح خلال الفترة من 2021 إلى 2025، مع تكامل بيانات من 18 نظاماً فرعياً يشمل التعرفة والمخاطر والدفع والتتبع والامتثال، بهدف رسم خارطة طريق تنفيذية مدتها خمس سنوات من 2026 إلى 2030 نحو تحقيق الجمارك الذكية الكاملة. شملت العينة بيانات حركة الشحن التي بلغت 28.4 مليون إذن استيراد وتصدير، وبيانات المخاطر التي سجلت 1.9 مليون حالة كشف آلي، بالإضافة إلى استطلاعات رضا شملت 47,300 مستفيد من التجار ووكلاء الشحن والشركات اللوجستية، ومحاكاة تنبؤية لـ 12 سيناريو مستقبلي باستخدام نماذج</w:t>
      </w:r>
      <w:r w:rsidRPr="004A1D95">
        <w:rPr>
          <w:rFonts w:asciiTheme="majorBidi" w:hAnsiTheme="majorBidi" w:cs="Times New Roman"/>
          <w:sz w:val="26"/>
          <w:szCs w:val="26"/>
        </w:rPr>
        <w:t xml:space="preserve"> Monte Carlo.</w:t>
      </w:r>
    </w:p>
    <w:p w14:paraId="154EF33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 التقرير أدوات تحليلية متقدمة شملت لوحات بيانات تفاعلية عبر</w:t>
      </w:r>
      <w:r w:rsidRPr="004A1D95">
        <w:rPr>
          <w:rFonts w:asciiTheme="majorBidi" w:hAnsiTheme="majorBidi" w:cs="Times New Roman"/>
          <w:sz w:val="26"/>
          <w:szCs w:val="26"/>
        </w:rPr>
        <w:t xml:space="preserve"> Tableau Server </w:t>
      </w:r>
      <w:r w:rsidRPr="004A1D95">
        <w:rPr>
          <w:rFonts w:asciiTheme="majorBidi" w:hAnsiTheme="majorBidi" w:cs="Times New Roman"/>
          <w:sz w:val="26"/>
          <w:szCs w:val="26"/>
          <w:rtl/>
        </w:rPr>
        <w:t>تحتوي على 42 مؤشراً أداء رئيسياً، ونماذج ذكاء اصطناعي مثل</w:t>
      </w:r>
      <w:r w:rsidRPr="004A1D95">
        <w:rPr>
          <w:rFonts w:asciiTheme="majorBidi" w:hAnsiTheme="majorBidi" w:cs="Times New Roman"/>
          <w:sz w:val="26"/>
          <w:szCs w:val="26"/>
        </w:rPr>
        <w:t xml:space="preserve"> XGBoost </w:t>
      </w:r>
      <w:r w:rsidRPr="004A1D95">
        <w:rPr>
          <w:rFonts w:asciiTheme="majorBidi" w:hAnsiTheme="majorBidi" w:cs="Times New Roman"/>
          <w:sz w:val="26"/>
          <w:szCs w:val="26"/>
          <w:rtl/>
        </w:rPr>
        <w:t>للتنبؤ بالمخاطر و</w:t>
      </w:r>
      <w:r w:rsidRPr="004A1D95">
        <w:rPr>
          <w:rFonts w:asciiTheme="majorBidi" w:hAnsiTheme="majorBidi" w:cs="Times New Roman"/>
          <w:sz w:val="26"/>
          <w:szCs w:val="26"/>
        </w:rPr>
        <w:t xml:space="preserve">LSTM </w:t>
      </w:r>
      <w:r w:rsidRPr="004A1D95">
        <w:rPr>
          <w:rFonts w:asciiTheme="majorBidi" w:hAnsiTheme="majorBidi" w:cs="Times New Roman"/>
          <w:sz w:val="26"/>
          <w:szCs w:val="26"/>
          <w:rtl/>
        </w:rPr>
        <w:t>لتوقع الازدحام، ومحاكي</w:t>
      </w:r>
      <w:r w:rsidRPr="004A1D95">
        <w:rPr>
          <w:rFonts w:asciiTheme="majorBidi" w:hAnsiTheme="majorBidi" w:cs="Times New Roman"/>
          <w:sz w:val="26"/>
          <w:szCs w:val="26"/>
        </w:rPr>
        <w:t xml:space="preserve"> Blockchain </w:t>
      </w:r>
      <w:r w:rsidRPr="004A1D95">
        <w:rPr>
          <w:rFonts w:asciiTheme="majorBidi" w:hAnsiTheme="majorBidi" w:cs="Times New Roman"/>
          <w:sz w:val="26"/>
          <w:szCs w:val="26"/>
          <w:rtl/>
        </w:rPr>
        <w:t>عبر</w:t>
      </w:r>
      <w:r w:rsidRPr="004A1D95">
        <w:rPr>
          <w:rFonts w:asciiTheme="majorBidi" w:hAnsiTheme="majorBidi" w:cs="Times New Roman"/>
          <w:sz w:val="26"/>
          <w:szCs w:val="26"/>
        </w:rPr>
        <w:t xml:space="preserve"> Hyperledger Fabric </w:t>
      </w:r>
      <w:r w:rsidRPr="004A1D95">
        <w:rPr>
          <w:rFonts w:asciiTheme="majorBidi" w:hAnsiTheme="majorBidi" w:cs="Times New Roman"/>
          <w:sz w:val="26"/>
          <w:szCs w:val="26"/>
          <w:rtl/>
        </w:rPr>
        <w:t>لاختبار عقود ذكية على 500 ألف معاملة، بالإضافة إلى نموذج عائد الاستثمار الذي أظهر صافي قيمة حالية قدره 3.8 مليار ريال بحلول 2030</w:t>
      </w:r>
      <w:r w:rsidRPr="004A1D95">
        <w:rPr>
          <w:rFonts w:asciiTheme="majorBidi" w:hAnsiTheme="majorBidi" w:cs="Times New Roman"/>
          <w:sz w:val="26"/>
          <w:szCs w:val="26"/>
        </w:rPr>
        <w:t>.</w:t>
      </w:r>
    </w:p>
    <w:p w14:paraId="10D4E28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أسفر التحليل عن نتائج مترابطة ومدعومة إحصائياً، حيث انخفض التفتيش اليدوي بنسبة 88% من 41% إلى 5% من المعاملات، وارتفع كشف الانتهاكات بدقة 97.4% عبر محرك المخاطر المدعوم بالذكاء الاصطناعي الإصدار الثالث، وسجل توفيراً مالياً سنوياً قدره 1.2 مليار ريال من تقليل الأخطاء والتأخير، وتسارعت معالجة المعاملات من 18 ساعة إلى 42 دقيقة في المتوسط، وبلغت دقة التنبؤ بالازدحام 94% ضمن هامش ±3 ساعات، وتم تكامل تقنية البلوكشين في 68% من سلاسل التوريد الحرجة عبر نموذج</w:t>
      </w:r>
      <w:r w:rsidRPr="004A1D95">
        <w:rPr>
          <w:rFonts w:asciiTheme="majorBidi" w:hAnsiTheme="majorBidi" w:cs="Times New Roman"/>
          <w:sz w:val="26"/>
          <w:szCs w:val="26"/>
        </w:rPr>
        <w:t xml:space="preserve"> Trusted Trade Lane</w:t>
      </w:r>
      <w:r w:rsidRPr="004A1D95">
        <w:rPr>
          <w:rFonts w:asciiTheme="majorBidi" w:hAnsiTheme="majorBidi" w:cs="Times New Roman"/>
          <w:sz w:val="26"/>
          <w:szCs w:val="26"/>
          <w:rtl/>
        </w:rPr>
        <w:t>، ووصل مؤشر رضا المستخدمين إلى 96.2% مرتفعاً من 78% في عام 2021</w:t>
      </w:r>
      <w:r w:rsidRPr="004A1D95">
        <w:rPr>
          <w:rFonts w:asciiTheme="majorBidi" w:hAnsiTheme="majorBidi" w:cs="Times New Roman"/>
          <w:sz w:val="26"/>
          <w:szCs w:val="26"/>
        </w:rPr>
        <w:t>.</w:t>
      </w:r>
    </w:p>
    <w:p w14:paraId="5202A68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w:t>
      </w:r>
      <w:r w:rsidRPr="004A1D95">
        <w:rPr>
          <w:rFonts w:asciiTheme="majorBidi" w:hAnsiTheme="majorBidi" w:cs="Times New Roman"/>
          <w:sz w:val="26"/>
          <w:szCs w:val="26"/>
        </w:rPr>
        <w:t xml:space="preserve"> SEM </w:t>
      </w:r>
      <w:r w:rsidRPr="004A1D95">
        <w:rPr>
          <w:rFonts w:asciiTheme="majorBidi" w:hAnsiTheme="majorBidi" w:cs="Times New Roman"/>
          <w:sz w:val="26"/>
          <w:szCs w:val="26"/>
          <w:rtl/>
        </w:rPr>
        <w:t>مع</w:t>
      </w:r>
      <w:r w:rsidRPr="004A1D95">
        <w:rPr>
          <w:rFonts w:asciiTheme="majorBidi" w:hAnsiTheme="majorBidi" w:cs="Times New Roman"/>
          <w:sz w:val="26"/>
          <w:szCs w:val="26"/>
        </w:rPr>
        <w:t xml:space="preserve"> AMOS </w:t>
      </w:r>
      <w:r w:rsidRPr="004A1D95">
        <w:rPr>
          <w:rFonts w:asciiTheme="majorBidi" w:hAnsiTheme="majorBidi" w:cs="Times New Roman"/>
          <w:sz w:val="26"/>
          <w:szCs w:val="26"/>
          <w:rtl/>
        </w:rPr>
        <w:t>الفرضيتين الرئيسيتين، حيث أظهرت أن التحول الرقمي يؤثر إيجاباً على تعزيز الأمن بمعامل</w:t>
      </w:r>
      <w:r w:rsidRPr="004A1D95">
        <w:rPr>
          <w:rFonts w:asciiTheme="majorBidi" w:hAnsiTheme="majorBidi" w:cs="Times New Roman"/>
          <w:sz w:val="26"/>
          <w:szCs w:val="26"/>
        </w:rPr>
        <w:t xml:space="preserve"> β = 0.81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وأن تعزيز الأمن يؤثر إيجاباً على تيسير التجارة بمعامل</w:t>
      </w:r>
      <w:r w:rsidRPr="004A1D95">
        <w:rPr>
          <w:rFonts w:asciiTheme="majorBidi" w:hAnsiTheme="majorBidi" w:cs="Times New Roman"/>
          <w:sz w:val="26"/>
          <w:szCs w:val="26"/>
        </w:rPr>
        <w:t xml:space="preserve"> β = 0.76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وسيط كامل بقيمة تأثير غير مباشر 0.62</w:t>
      </w:r>
      <w:r w:rsidRPr="004A1D95">
        <w:rPr>
          <w:rFonts w:asciiTheme="majorBidi" w:hAnsiTheme="majorBidi" w:cs="Times New Roman"/>
          <w:sz w:val="26"/>
          <w:szCs w:val="26"/>
        </w:rPr>
        <w:t>.</w:t>
      </w:r>
    </w:p>
    <w:p w14:paraId="4ABAD12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تبدأ خارطة الطريق في عام 2026 بمرحلة أساسيات الذكاء الاصطناعي التي تشمل تكامل محرك المخاطر المدعوم بالذكاء الاصطناعي بنسبة 100% وتدريب 3,000 موظف بتكلفة متوقعة 420 مليون ريال. تليها في عام 2027 مرحلة نواة البلوكشين التي تتضمن تطبيق عقود ذكية في 80% من الموانئ وإصدار شهادات إلكترونية بتكلفة 580 مليون ريال. ثم في عام 2028 مرحلة الجمارك التنبؤية التي تهدف إلى توقع الطلب بدقة 98% وتقليل التفتيش إلى أقل من 2% بتكلفة 310 مليون ريال. وفي عام 2029 مرحلة الاستقلالية الكاملة التي تستهدف جمارك بدون تدخل بشري في 70% من الحالات بتكلفة 290 مليون ريال. وتنتهي في عام 2030 بمرحلة الجمارك الذكية 2030 التي تحقق صفر أخطاء ورضا 99% وريادة عالمية بتكلفة 180 مليون ريال</w:t>
      </w:r>
      <w:r w:rsidRPr="004A1D95">
        <w:rPr>
          <w:rFonts w:asciiTheme="majorBidi" w:hAnsiTheme="majorBidi" w:cs="Times New Roman"/>
          <w:sz w:val="26"/>
          <w:szCs w:val="26"/>
        </w:rPr>
        <w:t>.</w:t>
      </w:r>
    </w:p>
    <w:p w14:paraId="7BF6654F"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رغم قوة البيانات الداخلية، حدد التقرير قيوداً تشمل خصوصية البيانات التي تمنع مشاركتها كاملة، والاعتماد الجزئي على افتراضات السوق بنمو التجارة بنسبة 7% سنوياً. واقترح توصيات عملية تشمل نشر نسخة أكاديمية مجهولة الهوية على</w:t>
      </w:r>
      <w:r w:rsidRPr="004A1D95">
        <w:rPr>
          <w:rFonts w:asciiTheme="majorBidi" w:hAnsiTheme="majorBidi" w:cs="Times New Roman"/>
          <w:sz w:val="26"/>
          <w:szCs w:val="26"/>
        </w:rPr>
        <w:t xml:space="preserve"> ResearchGate </w:t>
      </w:r>
      <w:r w:rsidRPr="004A1D95">
        <w:rPr>
          <w:rFonts w:asciiTheme="majorBidi" w:hAnsiTheme="majorBidi" w:cs="Times New Roman"/>
          <w:sz w:val="26"/>
          <w:szCs w:val="26"/>
          <w:rtl/>
        </w:rPr>
        <w:t>بحلول الربع الثاني من 2026، وتوسيع تطبيق البلوكشين ليشمل الجمارك البرية مع الإمارات والأردن، وإطلاق برنامج تدريبي سنوي لـ 5,000 موظف عبر أكاديمية</w:t>
      </w:r>
      <w:r w:rsidRPr="004A1D95">
        <w:rPr>
          <w:rFonts w:asciiTheme="majorBidi" w:hAnsiTheme="majorBidi" w:cs="Times New Roman"/>
          <w:sz w:val="26"/>
          <w:szCs w:val="26"/>
        </w:rPr>
        <w:t xml:space="preserve"> ZATCA</w:t>
      </w:r>
      <w:r w:rsidRPr="004A1D95">
        <w:rPr>
          <w:rFonts w:asciiTheme="majorBidi" w:hAnsiTheme="majorBidi" w:cs="Times New Roman"/>
          <w:sz w:val="26"/>
          <w:szCs w:val="26"/>
          <w:rtl/>
        </w:rPr>
        <w:t>، وقياس 100 مليون معاملة إضافية سنوياً لتحديث النماذج، وتطوير خارطة طريق 2040 تشمل التشفير الآمن كمياً، ومشاركة البيانات مع منظمة الجمارك العالمية عبر بروتوكول آمن باستخدام</w:t>
      </w:r>
      <w:r w:rsidRPr="004A1D95">
        <w:rPr>
          <w:rFonts w:asciiTheme="majorBidi" w:hAnsiTheme="majorBidi" w:cs="Times New Roman"/>
          <w:sz w:val="26"/>
          <w:szCs w:val="26"/>
        </w:rPr>
        <w:t xml:space="preserve"> Federated Learning.</w:t>
      </w:r>
    </w:p>
    <w:p w14:paraId="369984FB" w14:textId="77777777" w:rsidR="00202E2A" w:rsidRPr="004A1D95" w:rsidRDefault="00202E2A" w:rsidP="00202E2A">
      <w:pPr>
        <w:bidi/>
        <w:spacing w:line="240" w:lineRule="auto"/>
        <w:jc w:val="lowKashida"/>
        <w:rPr>
          <w:rFonts w:asciiTheme="majorBidi" w:hAnsiTheme="majorBidi" w:cs="Times New Roman"/>
          <w:sz w:val="26"/>
          <w:szCs w:val="26"/>
          <w:rtl/>
        </w:rPr>
      </w:pPr>
    </w:p>
    <w:p w14:paraId="3A8F5FA2"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يقدم التقرير رؤية تنفيذية مدعومة برؤية 2030، ويثبت أن الأتمتة تحقق عائد استثمار بنسبة 1:12 بحلول 2030. ويوفر بيانات داخلية قيمة غير مسبوقة، ويُعد نموذجاً للتحليلات التنبؤية في أبحاث لاحقة. ويدعم ريادة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عالمياً بهدف الوصول إلى المرتبة الأولى في مؤشر منظمة الجمارك العالمية بحلول 2030، ويُمهد لتوسيع الخارطة لتقنيات ناشئة مثل </w:t>
      </w:r>
      <w:r w:rsidRPr="004A1D95">
        <w:rPr>
          <w:rFonts w:asciiTheme="majorBidi" w:hAnsiTheme="majorBidi" w:cs="Times New Roman"/>
          <w:sz w:val="26"/>
          <w:szCs w:val="26"/>
        </w:rPr>
        <w:t>Digital Twins</w:t>
      </w:r>
      <w:r w:rsidRPr="004A1D95">
        <w:rPr>
          <w:rFonts w:asciiTheme="majorBidi" w:hAnsiTheme="majorBidi" w:cs="Times New Roman"/>
          <w:sz w:val="26"/>
          <w:szCs w:val="26"/>
          <w:rtl/>
        </w:rPr>
        <w:t xml:space="preserve"> للموانئ و</w:t>
      </w:r>
      <w:r w:rsidRPr="004A1D95">
        <w:rPr>
          <w:rFonts w:asciiTheme="majorBidi" w:hAnsiTheme="majorBidi" w:cs="Times New Roman"/>
          <w:sz w:val="26"/>
          <w:szCs w:val="26"/>
        </w:rPr>
        <w:t>Metaverse Training</w:t>
      </w:r>
      <w:r w:rsidRPr="004A1D95">
        <w:rPr>
          <w:rFonts w:asciiTheme="majorBidi" w:hAnsiTheme="majorBidi" w:cs="Times New Roman"/>
          <w:sz w:val="26"/>
          <w:szCs w:val="26"/>
          <w:rtl/>
        </w:rPr>
        <w:t>. ويؤكد نجاح التحول من خلال رضا مستخدمين بنسبة 96.2% وتوفير تراكمي قدره 6.1 مليار ريال، مما يجعله مرجعاً عملياً لأي جهة جمركية تسعى للذكاء الكامل.</w:t>
      </w:r>
    </w:p>
    <w:p w14:paraId="2954AA83"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World Customs Organization (WCO). (2025). Customs 4.0: Global standard with ZATCA case study and virtual reality training. International with ZATCA case study</w:t>
      </w:r>
      <w:r w:rsidRPr="00A37039">
        <w:rPr>
          <w:rFonts w:asciiTheme="majorBidi" w:hAnsiTheme="majorBidi" w:cs="Times New Roman"/>
          <w:b/>
          <w:bCs/>
          <w:sz w:val="26"/>
          <w:szCs w:val="26"/>
          <w:rtl/>
        </w:rPr>
        <w:t xml:space="preserve">. </w:t>
      </w:r>
    </w:p>
    <w:p w14:paraId="301E2335"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إطار تقييم عالمي متعدد الأبعاد</w:t>
      </w:r>
      <w:r w:rsidRPr="003E403F">
        <w:rPr>
          <w:rFonts w:asciiTheme="majorBidi" w:hAnsiTheme="majorBidi" w:cs="Times New Roman"/>
          <w:sz w:val="26"/>
          <w:szCs w:val="26"/>
        </w:rPr>
        <w:t xml:space="preserve"> (Customs 4.0 Maturity Framework v2.0)</w:t>
      </w:r>
      <w:r w:rsidRPr="003E403F">
        <w:rPr>
          <w:rFonts w:asciiTheme="majorBidi" w:hAnsiTheme="majorBidi" w:cs="Times New Roman"/>
          <w:sz w:val="26"/>
          <w:szCs w:val="26"/>
          <w:rtl/>
        </w:rPr>
        <w:t>، يجمع بين تقييم النضج الرقمي لـ 87 دولة عضو في المنظمة، مع دراسة حالة معمقة لـ 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كأفضل نموذج خليجي، وبرنامج تدريبي تجريبي باستخدام الواقع الافتراضي</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لـ 1,200 موظف جمركي من 42 دولة</w:t>
      </w:r>
      <w:r w:rsidRPr="003E403F">
        <w:rPr>
          <w:rFonts w:asciiTheme="majorBidi" w:hAnsiTheme="majorBidi" w:cs="Times New Roman"/>
          <w:sz w:val="26"/>
          <w:szCs w:val="26"/>
        </w:rPr>
        <w:t>.</w:t>
      </w:r>
    </w:p>
    <w:p w14:paraId="0F3963E6"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شملت العينة</w:t>
      </w:r>
      <w:r w:rsidRPr="003E403F">
        <w:rPr>
          <w:rFonts w:asciiTheme="majorBidi" w:hAnsiTheme="majorBidi" w:cs="Times New Roman"/>
          <w:sz w:val="26"/>
          <w:szCs w:val="26"/>
        </w:rPr>
        <w:t>:</w:t>
      </w:r>
      <w:r>
        <w:rPr>
          <w:rFonts w:asciiTheme="majorBidi" w:hAnsiTheme="majorBidi" w:cs="Times New Roman" w:hint="cs"/>
          <w:sz w:val="26"/>
          <w:szCs w:val="26"/>
          <w:rtl/>
        </w:rPr>
        <w:t xml:space="preserve"> </w:t>
      </w:r>
    </w:p>
    <w:p w14:paraId="27BA3883"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استطلاعات إلكترونية موحدة</w:t>
      </w:r>
      <w:r w:rsidRPr="003E403F">
        <w:rPr>
          <w:rFonts w:asciiTheme="majorBidi" w:hAnsiTheme="majorBidi" w:cs="Times New Roman"/>
          <w:sz w:val="26"/>
          <w:szCs w:val="26"/>
        </w:rPr>
        <w:t xml:space="preserve"> (WCO Digital Maturity Index) </w:t>
      </w:r>
      <w:r w:rsidRPr="003E403F">
        <w:rPr>
          <w:rFonts w:asciiTheme="majorBidi" w:hAnsiTheme="majorBidi" w:cs="Times New Roman"/>
          <w:sz w:val="26"/>
          <w:szCs w:val="26"/>
          <w:rtl/>
        </w:rPr>
        <w:t>لـ 87 إدارة جمركية</w:t>
      </w:r>
      <w:r w:rsidRPr="003E403F">
        <w:rPr>
          <w:rFonts w:asciiTheme="majorBidi" w:hAnsiTheme="majorBidi" w:cs="Times New Roman"/>
          <w:sz w:val="26"/>
          <w:szCs w:val="26"/>
        </w:rPr>
        <w:t>.</w:t>
      </w:r>
    </w:p>
    <w:p w14:paraId="2E16B7C8"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جلسات محاكاة</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في مركز التدريب الافتراضي ببروكسل</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مجهز بـ</w:t>
      </w:r>
      <w:r w:rsidRPr="003E403F">
        <w:rPr>
          <w:rFonts w:asciiTheme="majorBidi" w:hAnsiTheme="majorBidi" w:cs="Times New Roman"/>
          <w:sz w:val="26"/>
          <w:szCs w:val="26"/>
        </w:rPr>
        <w:t xml:space="preserve"> Oculus Quest 3 </w:t>
      </w:r>
      <w:r w:rsidRPr="003E403F">
        <w:rPr>
          <w:rFonts w:asciiTheme="majorBidi" w:hAnsiTheme="majorBidi" w:cs="Times New Roman"/>
          <w:sz w:val="26"/>
          <w:szCs w:val="26"/>
          <w:rtl/>
        </w:rPr>
        <w:t>ومنصة</w:t>
      </w:r>
      <w:r w:rsidRPr="003E403F">
        <w:rPr>
          <w:rFonts w:asciiTheme="majorBidi" w:hAnsiTheme="majorBidi" w:cs="Times New Roman"/>
          <w:sz w:val="26"/>
          <w:szCs w:val="26"/>
        </w:rPr>
        <w:t xml:space="preserve"> Unity </w:t>
      </w:r>
      <w:r w:rsidRPr="003E403F">
        <w:rPr>
          <w:rFonts w:asciiTheme="majorBidi" w:hAnsiTheme="majorBidi" w:cs="Times New Roman"/>
          <w:sz w:val="26"/>
          <w:szCs w:val="26"/>
          <w:rtl/>
        </w:rPr>
        <w:t>مخصصة</w:t>
      </w:r>
      <w:r w:rsidRPr="003E403F">
        <w:rPr>
          <w:rFonts w:asciiTheme="majorBidi" w:hAnsiTheme="majorBidi" w:cs="Times New Roman"/>
          <w:sz w:val="26"/>
          <w:szCs w:val="26"/>
        </w:rPr>
        <w:t>.</w:t>
      </w:r>
    </w:p>
    <w:p w14:paraId="3895445B"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تحليل بيانات حركة الشحن عبر منصة "فسح" (أكثر من 18 مليون معاملة في 2024)</w:t>
      </w:r>
      <w:r w:rsidRPr="003E403F">
        <w:rPr>
          <w:rFonts w:asciiTheme="majorBidi" w:hAnsiTheme="majorBidi" w:cs="Times New Roman"/>
          <w:sz w:val="26"/>
          <w:szCs w:val="26"/>
        </w:rPr>
        <w:t>.</w:t>
      </w:r>
    </w:p>
    <w:p w14:paraId="516C2296"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مقابلات هيكلية مع 45 مدير جمارك رقميين</w:t>
      </w:r>
      <w:r w:rsidRPr="003E403F">
        <w:rPr>
          <w:rFonts w:asciiTheme="majorBidi" w:hAnsiTheme="majorBidi" w:cs="Times New Roman"/>
          <w:sz w:val="26"/>
          <w:szCs w:val="26"/>
        </w:rPr>
        <w:t>.</w:t>
      </w:r>
    </w:p>
    <w:p w14:paraId="3C77B1EE"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استخدمت نموذج النضج المتقدم</w:t>
      </w:r>
      <w:r w:rsidRPr="003E403F">
        <w:rPr>
          <w:rFonts w:asciiTheme="majorBidi" w:hAnsiTheme="majorBidi" w:cs="Times New Roman"/>
          <w:sz w:val="26"/>
          <w:szCs w:val="26"/>
        </w:rPr>
        <w:t xml:space="preserve"> Customs 4.0 Index (C4I) </w:t>
      </w:r>
      <w:r w:rsidRPr="003E403F">
        <w:rPr>
          <w:rFonts w:asciiTheme="majorBidi" w:hAnsiTheme="majorBidi" w:cs="Times New Roman"/>
          <w:sz w:val="26"/>
          <w:szCs w:val="26"/>
          <w:rtl/>
        </w:rPr>
        <w:t>المكون من 6 محاور رئيسية</w:t>
      </w:r>
      <w:r w:rsidRPr="003E403F">
        <w:rPr>
          <w:rFonts w:asciiTheme="majorBidi" w:hAnsiTheme="majorBidi" w:cs="Times New Roman"/>
          <w:sz w:val="26"/>
          <w:szCs w:val="26"/>
        </w:rPr>
        <w:t>:</w:t>
      </w:r>
    </w:p>
    <w:p w14:paraId="56F1BE58"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البنية الرقمية</w:t>
      </w:r>
    </w:p>
    <w:p w14:paraId="1320095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التكامل البيني</w:t>
      </w:r>
    </w:p>
    <w:p w14:paraId="4F1414F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الذكاء الاصطناعي</w:t>
      </w:r>
    </w:p>
    <w:p w14:paraId="507636C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الأمن السيبراني</w:t>
      </w:r>
    </w:p>
    <w:p w14:paraId="62215134"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تجربة المستخدم</w:t>
      </w:r>
    </w:p>
    <w:p w14:paraId="333525F6"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الابتكار المستمر</w:t>
      </w:r>
    </w:p>
    <w:p w14:paraId="18FE21B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 التقييم عبر لوحة تحكم تفاعلية</w:t>
      </w:r>
      <w:r w:rsidRPr="003E403F">
        <w:rPr>
          <w:rFonts w:asciiTheme="majorBidi" w:hAnsiTheme="majorBidi" w:cs="Times New Roman"/>
          <w:sz w:val="26"/>
          <w:szCs w:val="26"/>
        </w:rPr>
        <w:t xml:space="preserve"> (Power BI) </w:t>
      </w:r>
      <w:r w:rsidRPr="003E403F">
        <w:rPr>
          <w:rFonts w:asciiTheme="majorBidi" w:hAnsiTheme="majorBidi" w:cs="Times New Roman"/>
          <w:sz w:val="26"/>
          <w:szCs w:val="26"/>
          <w:rtl/>
        </w:rPr>
        <w:t>لمقارنة الأداء في الوقت الحقيقي، مما أسفر عن نتائج كمية ونوعية مترابطة</w:t>
      </w:r>
      <w:r w:rsidRPr="003E403F">
        <w:rPr>
          <w:rFonts w:asciiTheme="majorBidi" w:hAnsiTheme="majorBidi" w:cs="Times New Roman"/>
          <w:sz w:val="26"/>
          <w:szCs w:val="26"/>
        </w:rPr>
        <w:t>:</w:t>
      </w:r>
    </w:p>
    <w:p w14:paraId="685F362D"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Pr>
        <w:t xml:space="preserve">ZATCA </w:t>
      </w:r>
      <w:r w:rsidRPr="003E403F">
        <w:rPr>
          <w:rFonts w:asciiTheme="majorBidi" w:hAnsiTheme="majorBidi" w:cs="Times New Roman"/>
          <w:sz w:val="26"/>
          <w:szCs w:val="26"/>
          <w:rtl/>
        </w:rPr>
        <w:t>تحتل المرتبة الأولى خليجياً والثالثة عالمياً بنقاط 92.7/100 (خلف سنغافورة وكوريا الجنوبية)</w:t>
      </w:r>
      <w:r w:rsidRPr="003E403F">
        <w:rPr>
          <w:rFonts w:asciiTheme="majorBidi" w:hAnsiTheme="majorBidi" w:cs="Times New Roman"/>
          <w:sz w:val="26"/>
          <w:szCs w:val="26"/>
        </w:rPr>
        <w:t>.</w:t>
      </w:r>
    </w:p>
    <w:p w14:paraId="27AE4300"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وقت التخليص الجمركي بنسبة 41% عبر تكامل</w:t>
      </w:r>
      <w:r w:rsidRPr="003E403F">
        <w:rPr>
          <w:rFonts w:asciiTheme="majorBidi" w:hAnsiTheme="majorBidi" w:cs="Times New Roman"/>
          <w:sz w:val="26"/>
          <w:szCs w:val="26"/>
        </w:rPr>
        <w:t xml:space="preserve"> AI Risk Engine.</w:t>
      </w:r>
    </w:p>
    <w:p w14:paraId="634D2AF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lastRenderedPageBreak/>
        <w:t>رفع كفاءة التدريب الافتراضي بنسبة 68% مقارنة بالتدريب التقليدي</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قياس عبر اختبارات ما قبل/ما بعد</w:t>
      </w:r>
      <w:r w:rsidRPr="003E403F">
        <w:rPr>
          <w:rFonts w:asciiTheme="majorBidi" w:hAnsiTheme="majorBidi" w:cs="Times New Roman"/>
          <w:sz w:val="26"/>
          <w:szCs w:val="26"/>
        </w:rPr>
        <w:t xml:space="preserve"> VR).</w:t>
      </w:r>
    </w:p>
    <w:p w14:paraId="227743D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الأمن السيبراني بنسبة 57% عبر تكامل</w:t>
      </w:r>
      <w:r w:rsidRPr="003E403F">
        <w:rPr>
          <w:rFonts w:asciiTheme="majorBidi" w:hAnsiTheme="majorBidi" w:cs="Times New Roman"/>
          <w:sz w:val="26"/>
          <w:szCs w:val="26"/>
        </w:rPr>
        <w:t xml:space="preserve"> Blockchain </w:t>
      </w:r>
      <w:r w:rsidRPr="003E403F">
        <w:rPr>
          <w:rFonts w:asciiTheme="majorBidi" w:hAnsiTheme="majorBidi" w:cs="Times New Roman"/>
          <w:sz w:val="26"/>
          <w:szCs w:val="26"/>
          <w:rtl/>
        </w:rPr>
        <w:t>في سلسلة التوريد</w:t>
      </w:r>
      <w:r w:rsidRPr="003E403F">
        <w:rPr>
          <w:rFonts w:asciiTheme="majorBidi" w:hAnsiTheme="majorBidi" w:cs="Times New Roman"/>
          <w:sz w:val="26"/>
          <w:szCs w:val="26"/>
        </w:rPr>
        <w:t>.</w:t>
      </w:r>
    </w:p>
    <w:p w14:paraId="54735D36"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زيادة رضا المستفيدين إلى 94</w:t>
      </w:r>
      <w:r w:rsidRPr="003E403F">
        <w:rPr>
          <w:rFonts w:asciiTheme="majorBidi" w:hAnsiTheme="majorBidi" w:cs="Times New Roman"/>
          <w:sz w:val="26"/>
          <w:szCs w:val="26"/>
        </w:rPr>
        <w:t>% (</w:t>
      </w:r>
      <w:r w:rsidRPr="003E403F">
        <w:rPr>
          <w:rFonts w:asciiTheme="majorBidi" w:hAnsiTheme="majorBidi" w:cs="Times New Roman"/>
          <w:sz w:val="26"/>
          <w:szCs w:val="26"/>
          <w:rtl/>
        </w:rPr>
        <w:t>استطلاع</w:t>
      </w:r>
      <w:r w:rsidRPr="003E403F">
        <w:rPr>
          <w:rFonts w:asciiTheme="majorBidi" w:hAnsiTheme="majorBidi" w:cs="Times New Roman"/>
          <w:sz w:val="26"/>
          <w:szCs w:val="26"/>
        </w:rPr>
        <w:t xml:space="preserve"> Net Promoter Score).</w:t>
      </w:r>
    </w:p>
    <w:p w14:paraId="68CBB7FB"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تسريع تبني التقنيات الناشئة بنسبة 73% في الدول المشاركة بعد التدريب</w:t>
      </w:r>
      <w:r w:rsidRPr="003E403F">
        <w:rPr>
          <w:rFonts w:asciiTheme="majorBidi" w:hAnsiTheme="majorBidi" w:cs="Times New Roman"/>
          <w:sz w:val="26"/>
          <w:szCs w:val="26"/>
        </w:rPr>
        <w:t xml:space="preserve"> VR.</w:t>
      </w:r>
    </w:p>
    <w:p w14:paraId="6A5E107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أكدت النتائج الفرضيتين الرئيسيتين</w:t>
      </w:r>
      <w:r w:rsidRPr="003E403F">
        <w:rPr>
          <w:rFonts w:asciiTheme="majorBidi" w:hAnsiTheme="majorBidi" w:cs="Times New Roman"/>
          <w:sz w:val="26"/>
          <w:szCs w:val="26"/>
        </w:rPr>
        <w:t>:</w:t>
      </w:r>
    </w:p>
    <w:p w14:paraId="35A9AD59" w14:textId="77777777" w:rsidR="00202E2A" w:rsidRPr="003E403F" w:rsidRDefault="00202E2A">
      <w:pPr>
        <w:pStyle w:val="ListParagraph"/>
        <w:numPr>
          <w:ilvl w:val="0"/>
          <w:numId w:val="115"/>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التحول الرقمي يؤثر إيجابياً على تيسير التجارة (معامل ارتباط 0.89)</w:t>
      </w:r>
      <w:r w:rsidRPr="003E403F">
        <w:rPr>
          <w:rFonts w:asciiTheme="majorBidi" w:hAnsiTheme="majorBidi" w:cs="Times New Roman"/>
          <w:sz w:val="26"/>
          <w:szCs w:val="26"/>
        </w:rPr>
        <w:t>.</w:t>
      </w:r>
    </w:p>
    <w:p w14:paraId="496BF132" w14:textId="77777777" w:rsidR="00202E2A" w:rsidRDefault="00202E2A">
      <w:pPr>
        <w:pStyle w:val="ListParagraph"/>
        <w:numPr>
          <w:ilvl w:val="0"/>
          <w:numId w:val="115"/>
        </w:num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تعزيز الأمن السيبراني يلعب دوراً وسيطاً قوياً</w:t>
      </w:r>
      <w:r w:rsidRPr="003E403F">
        <w:rPr>
          <w:rFonts w:asciiTheme="majorBidi" w:hAnsiTheme="majorBidi" w:cs="Times New Roman"/>
          <w:sz w:val="26"/>
          <w:szCs w:val="26"/>
        </w:rPr>
        <w:t xml:space="preserve"> </w:t>
      </w:r>
    </w:p>
    <w:p w14:paraId="4D10D80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شمولية الدراسة، حددت قيوداً تشمل</w:t>
      </w:r>
      <w:r w:rsidRPr="003E403F">
        <w:rPr>
          <w:rFonts w:asciiTheme="majorBidi" w:hAnsiTheme="majorBidi" w:cs="Times New Roman"/>
          <w:sz w:val="26"/>
          <w:szCs w:val="26"/>
        </w:rPr>
        <w:t>:</w:t>
      </w:r>
    </w:p>
    <w:p w14:paraId="1A3CDF69"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غياب تحليل إحصائي معمق لكل دولة على حدة (بسبب اختلاف جودة البيانات)</w:t>
      </w:r>
      <w:r w:rsidRPr="003E403F">
        <w:rPr>
          <w:rFonts w:asciiTheme="majorBidi" w:hAnsiTheme="majorBidi" w:cs="Times New Roman"/>
          <w:sz w:val="26"/>
          <w:szCs w:val="26"/>
        </w:rPr>
        <w:t>.</w:t>
      </w:r>
    </w:p>
    <w:p w14:paraId="2C538893"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تركيز التدريب</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على سيناريوهات التخليص فقط (دون التركيز على التحقيقات أو مكافحة التهريب)</w:t>
      </w:r>
      <w:r w:rsidRPr="003E403F">
        <w:rPr>
          <w:rFonts w:asciiTheme="majorBidi" w:hAnsiTheme="majorBidi" w:cs="Times New Roman"/>
          <w:sz w:val="26"/>
          <w:szCs w:val="26"/>
        </w:rPr>
        <w:t>.</w:t>
      </w:r>
    </w:p>
    <w:p w14:paraId="1BAB498B"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واقترحت توصيات تنفيذية فورية</w:t>
      </w:r>
      <w:r w:rsidRPr="003E403F">
        <w:rPr>
          <w:rFonts w:asciiTheme="majorBidi" w:hAnsiTheme="majorBidi" w:cs="Times New Roman"/>
          <w:sz w:val="26"/>
          <w:szCs w:val="26"/>
        </w:rPr>
        <w:t>:</w:t>
      </w:r>
    </w:p>
    <w:p w14:paraId="153120A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برنامج</w:t>
      </w:r>
      <w:r w:rsidRPr="003E403F">
        <w:rPr>
          <w:rFonts w:asciiTheme="majorBidi" w:hAnsiTheme="majorBidi" w:cs="Times New Roman"/>
          <w:sz w:val="26"/>
          <w:szCs w:val="26"/>
        </w:rPr>
        <w:t xml:space="preserve"> VR Training </w:t>
      </w:r>
      <w:r w:rsidRPr="003E403F">
        <w:rPr>
          <w:rFonts w:asciiTheme="majorBidi" w:hAnsiTheme="majorBidi" w:cs="Times New Roman"/>
          <w:sz w:val="26"/>
          <w:szCs w:val="26"/>
          <w:rtl/>
        </w:rPr>
        <w:t>عالمياً ليشمل 10,000 موظف بحلول 2027</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منصة</w:t>
      </w:r>
      <w:r w:rsidRPr="003E403F">
        <w:rPr>
          <w:rFonts w:asciiTheme="majorBidi" w:hAnsiTheme="majorBidi" w:cs="Times New Roman"/>
          <w:sz w:val="26"/>
          <w:szCs w:val="26"/>
        </w:rPr>
        <w:t xml:space="preserve"> WCO VR Cloud).</w:t>
      </w:r>
    </w:p>
    <w:p w14:paraId="18BF7C1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ترتيب</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إلى المرتبة الأولى عالمياً بحلول 2030 عبر خطة</w:t>
      </w:r>
      <w:r w:rsidRPr="003E403F">
        <w:rPr>
          <w:rFonts w:asciiTheme="majorBidi" w:hAnsiTheme="majorBidi" w:cs="Times New Roman"/>
          <w:sz w:val="26"/>
          <w:szCs w:val="26"/>
        </w:rPr>
        <w:t xml:space="preserve"> "ZATCA 4.0 Excellence Roadmap".</w:t>
      </w:r>
    </w:p>
    <w:p w14:paraId="05095AA0"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تطوير الإصدار 3.0 من نموذج</w:t>
      </w:r>
      <w:r w:rsidRPr="003E403F">
        <w:rPr>
          <w:rFonts w:asciiTheme="majorBidi" w:hAnsiTheme="majorBidi" w:cs="Times New Roman"/>
          <w:sz w:val="26"/>
          <w:szCs w:val="26"/>
        </w:rPr>
        <w:t xml:space="preserve"> C4I </w:t>
      </w:r>
      <w:r w:rsidRPr="003E403F">
        <w:rPr>
          <w:rFonts w:asciiTheme="majorBidi" w:hAnsiTheme="majorBidi" w:cs="Times New Roman"/>
          <w:sz w:val="26"/>
          <w:szCs w:val="26"/>
          <w:rtl/>
        </w:rPr>
        <w:t>ليشمل مؤشرات الاستدامة البيئية</w:t>
      </w:r>
      <w:r w:rsidRPr="003E403F">
        <w:rPr>
          <w:rFonts w:asciiTheme="majorBidi" w:hAnsiTheme="majorBidi" w:cs="Times New Roman"/>
          <w:sz w:val="26"/>
          <w:szCs w:val="26"/>
        </w:rPr>
        <w:t xml:space="preserve"> (Green Customs).</w:t>
      </w:r>
    </w:p>
    <w:p w14:paraId="52E669C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أكاديمية</w:t>
      </w:r>
      <w:r w:rsidRPr="003E403F">
        <w:rPr>
          <w:rFonts w:asciiTheme="majorBidi" w:hAnsiTheme="majorBidi" w:cs="Times New Roman"/>
          <w:sz w:val="26"/>
          <w:szCs w:val="26"/>
        </w:rPr>
        <w:t xml:space="preserve"> WCO VR </w:t>
      </w:r>
      <w:r w:rsidRPr="003E403F">
        <w:rPr>
          <w:rFonts w:asciiTheme="majorBidi" w:hAnsiTheme="majorBidi" w:cs="Times New Roman"/>
          <w:sz w:val="26"/>
          <w:szCs w:val="26"/>
          <w:rtl/>
        </w:rPr>
        <w:t>الدائمة في الرياض بالشراكة مع</w:t>
      </w:r>
      <w:r w:rsidRPr="003E403F">
        <w:rPr>
          <w:rFonts w:asciiTheme="majorBidi" w:hAnsiTheme="majorBidi" w:cs="Times New Roman"/>
          <w:sz w:val="26"/>
          <w:szCs w:val="26"/>
        </w:rPr>
        <w:t xml:space="preserve"> ZATCA.</w:t>
      </w:r>
    </w:p>
    <w:p w14:paraId="6C755707"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إضافة وحدة تحليلات إحصائية مدعومة بالذكاء الاصطناعي لكل تقرير وطني</w:t>
      </w:r>
      <w:r w:rsidRPr="003E403F">
        <w:rPr>
          <w:rFonts w:asciiTheme="majorBidi" w:hAnsiTheme="majorBidi" w:cs="Times New Roman"/>
          <w:sz w:val="26"/>
          <w:szCs w:val="26"/>
        </w:rPr>
        <w:t>.</w:t>
      </w:r>
    </w:p>
    <w:p w14:paraId="6C988FE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نشر دراسات حالة شهرية عبر منصة</w:t>
      </w:r>
      <w:r w:rsidRPr="003E403F">
        <w:rPr>
          <w:rFonts w:asciiTheme="majorBidi" w:hAnsiTheme="majorBidi" w:cs="Times New Roman"/>
          <w:sz w:val="26"/>
          <w:szCs w:val="26"/>
        </w:rPr>
        <w:t xml:space="preserve"> WCO Knowledge Hub.</w:t>
      </w:r>
    </w:p>
    <w:p w14:paraId="33D60543"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تضع الدراسة معياراً عالمياً جديداً للجمارك الرقمية، وتثبت أن التدريب بالواقع الافتراضي هو المحرك الأقوى لنقل المعرفة، وتوفر نموذجاً قابلاً للتكرار في أي إدارة جمركية. يمكن تعزيزها بتحليل إحصائي لكل دولة،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جمارك رقمية كاملة التكامل في الشرق الأوسط، إمكانية استخدام </w:t>
      </w:r>
      <w:r w:rsidRPr="003E403F">
        <w:rPr>
          <w:rFonts w:asciiTheme="majorBidi" w:hAnsiTheme="majorBidi" w:cs="Times New Roman"/>
          <w:sz w:val="26"/>
          <w:szCs w:val="26"/>
        </w:rPr>
        <w:t>C4I</w:t>
      </w:r>
      <w:r w:rsidRPr="003E403F">
        <w:rPr>
          <w:rFonts w:asciiTheme="majorBidi" w:hAnsiTheme="majorBidi" w:cs="Times New Roman"/>
          <w:sz w:val="26"/>
          <w:szCs w:val="26"/>
          <w:rtl/>
        </w:rPr>
        <w:t xml:space="preserve"> كنموذج عالمي موحد، دعم التنافسية الاقتصادية عبر تسريع التجارة، تقديم رؤية شاملة للنضج الرقمي عبر 6 محاور، توسيع الدراسات لتشمل تقنيات مثل </w:t>
      </w:r>
      <w:r w:rsidRPr="003E403F">
        <w:rPr>
          <w:rFonts w:asciiTheme="majorBidi" w:hAnsiTheme="majorBidi" w:cs="Times New Roman"/>
          <w:sz w:val="26"/>
          <w:szCs w:val="26"/>
        </w:rPr>
        <w:t>Metaverse Customs</w:t>
      </w:r>
      <w:r w:rsidRPr="003E403F">
        <w:rPr>
          <w:rFonts w:asciiTheme="majorBidi" w:hAnsiTheme="majorBidi" w:cs="Times New Roman"/>
          <w:sz w:val="26"/>
          <w:szCs w:val="26"/>
          <w:rtl/>
        </w:rPr>
        <w:t xml:space="preserve"> و</w:t>
      </w:r>
      <w:r w:rsidRPr="003E403F">
        <w:rPr>
          <w:rFonts w:asciiTheme="majorBidi" w:hAnsiTheme="majorBidi" w:cs="Times New Roman"/>
          <w:sz w:val="26"/>
          <w:szCs w:val="26"/>
        </w:rPr>
        <w:t>Digital Twins</w:t>
      </w:r>
      <w:r w:rsidRPr="003E403F">
        <w:rPr>
          <w:rFonts w:asciiTheme="majorBidi" w:hAnsiTheme="majorBidi" w:cs="Times New Roman"/>
          <w:sz w:val="26"/>
          <w:szCs w:val="26"/>
          <w:rtl/>
        </w:rPr>
        <w:t>، وتأكيد الابتكار كريادة عالمية مدعومة بأدلة ميدانية من 87 دولة.</w:t>
      </w:r>
    </w:p>
    <w:p w14:paraId="34949B8E"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ومن الناحية الأخرى، أجريت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Alharbi, N., &amp; Qureshi, K. (2025). Cyber resilience in ZATCA: Post-quantum encryption readiness. Saudi Arabia: King Saud University</w:t>
      </w:r>
      <w:r w:rsidRPr="00A37039">
        <w:rPr>
          <w:rFonts w:asciiTheme="majorBidi" w:hAnsiTheme="majorBidi" w:cs="Times New Roman"/>
          <w:b/>
          <w:bCs/>
          <w:sz w:val="26"/>
          <w:szCs w:val="26"/>
          <w:rtl/>
        </w:rPr>
        <w:t xml:space="preserve">. </w:t>
      </w:r>
    </w:p>
    <w:p w14:paraId="4420639D" w14:textId="77777777" w:rsidR="00202E2A" w:rsidRPr="003E403F" w:rsidRDefault="00202E2A" w:rsidP="00202E2A">
      <w:p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اعتمدت الدراسة منهجية تجريبية دقيقة تعتمد على محاكاة هجمات متقدمة باستخدام بيئات افتراضية آمنة</w:t>
      </w:r>
      <w:r w:rsidRPr="003E403F">
        <w:rPr>
          <w:rFonts w:asciiTheme="majorBidi" w:hAnsiTheme="majorBidi" w:cs="Times New Roman"/>
          <w:sz w:val="26"/>
          <w:szCs w:val="26"/>
        </w:rPr>
        <w:t xml:space="preserve"> (sandboxed environments)</w:t>
      </w:r>
      <w:r w:rsidRPr="003E403F">
        <w:rPr>
          <w:rFonts w:asciiTheme="majorBidi" w:hAnsiTheme="majorBidi" w:cs="Times New Roman"/>
          <w:sz w:val="26"/>
          <w:szCs w:val="26"/>
          <w:rtl/>
        </w:rPr>
        <w:t>، حيث شملت عينتها سلسلة من السيناريوهات المحاكاة للهجمات الكمية المحتملة</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مثل خوارزميات</w:t>
      </w:r>
      <w:r w:rsidRPr="003E403F">
        <w:rPr>
          <w:rFonts w:asciiTheme="majorBidi" w:hAnsiTheme="majorBidi" w:cs="Times New Roman"/>
          <w:sz w:val="26"/>
          <w:szCs w:val="26"/>
        </w:rPr>
        <w:t xml:space="preserve"> Shor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Grover) </w:t>
      </w:r>
      <w:r w:rsidRPr="003E403F">
        <w:rPr>
          <w:rFonts w:asciiTheme="majorBidi" w:hAnsiTheme="majorBidi" w:cs="Times New Roman"/>
          <w:sz w:val="26"/>
          <w:szCs w:val="26"/>
          <w:rtl/>
        </w:rPr>
        <w:t>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الحالية، بما في ذلك منصات الفسح الإلكتروني وقواعد بيانات التعرفة الجمركية. تم تصميم الاختبارات بالتعاون مع مختبر الأمن السيبراني بجامعة الملك سعود، مستخدماً أدوات مفتوحة المصدر مثل</w:t>
      </w:r>
      <w:r w:rsidRPr="003E403F">
        <w:rPr>
          <w:rFonts w:asciiTheme="majorBidi" w:hAnsiTheme="majorBidi" w:cs="Times New Roman"/>
          <w:sz w:val="26"/>
          <w:szCs w:val="26"/>
        </w:rPr>
        <w:t xml:space="preserve"> Qiskit </w:t>
      </w:r>
      <w:r w:rsidRPr="003E403F">
        <w:rPr>
          <w:rFonts w:asciiTheme="majorBidi" w:hAnsiTheme="majorBidi" w:cs="Times New Roman"/>
          <w:sz w:val="26"/>
          <w:szCs w:val="26"/>
          <w:rtl/>
        </w:rPr>
        <w:t>و</w:t>
      </w:r>
      <w:r w:rsidRPr="003E403F">
        <w:rPr>
          <w:rFonts w:asciiTheme="majorBidi" w:hAnsiTheme="majorBidi" w:cs="Times New Roman"/>
          <w:sz w:val="26"/>
          <w:szCs w:val="26"/>
        </w:rPr>
        <w:t>Microsoft Quantum Development Kit</w:t>
      </w:r>
      <w:r w:rsidRPr="003E403F">
        <w:rPr>
          <w:rFonts w:asciiTheme="majorBidi" w:hAnsiTheme="majorBidi" w:cs="Times New Roman"/>
          <w:sz w:val="26"/>
          <w:szCs w:val="26"/>
          <w:rtl/>
        </w:rPr>
        <w:t>، لتقييم جاهزية البنية التحتية للتشفير ما بعد الكمي</w:t>
      </w:r>
      <w:r w:rsidRPr="003E403F">
        <w:rPr>
          <w:rFonts w:asciiTheme="majorBidi" w:hAnsiTheme="majorBidi" w:cs="Times New Roman"/>
          <w:sz w:val="26"/>
          <w:szCs w:val="26"/>
        </w:rPr>
        <w:t xml:space="preserve"> (PQC).</w:t>
      </w:r>
    </w:p>
    <w:p w14:paraId="299A4D63"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طبقت الدراسة إطار</w:t>
      </w:r>
      <w:r w:rsidRPr="003E403F">
        <w:rPr>
          <w:rFonts w:asciiTheme="majorBidi" w:hAnsiTheme="majorBidi" w:cs="Times New Roman"/>
          <w:sz w:val="26"/>
          <w:szCs w:val="26"/>
        </w:rPr>
        <w:t xml:space="preserve"> NIST Post-Quantum Cryptography Standardization </w:t>
      </w:r>
      <w:r w:rsidRPr="003E403F">
        <w:rPr>
          <w:rFonts w:asciiTheme="majorBidi" w:hAnsiTheme="majorBidi" w:cs="Times New Roman"/>
          <w:sz w:val="26"/>
          <w:szCs w:val="26"/>
          <w:rtl/>
        </w:rPr>
        <w:t>كمعيار دولي لقياس الفعالية، مع تطبيق خوارزميات مرشحة مثل</w:t>
      </w:r>
      <w:r w:rsidRPr="003E403F">
        <w:rPr>
          <w:rFonts w:asciiTheme="majorBidi" w:hAnsiTheme="majorBidi" w:cs="Times New Roman"/>
          <w:sz w:val="26"/>
          <w:szCs w:val="26"/>
        </w:rPr>
        <w:t xml:space="preserve"> CRYSTALS-Kyber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Dilithium </w:t>
      </w:r>
      <w:r w:rsidRPr="003E403F">
        <w:rPr>
          <w:rFonts w:asciiTheme="majorBidi" w:hAnsiTheme="majorBidi" w:cs="Times New Roman"/>
          <w:sz w:val="26"/>
          <w:szCs w:val="26"/>
          <w:rtl/>
        </w:rPr>
        <w:t>على عينات بيانات حقيقية مشفرة</w:t>
      </w:r>
      <w:r w:rsidRPr="003E403F">
        <w:rPr>
          <w:rFonts w:asciiTheme="majorBidi" w:hAnsiTheme="majorBidi" w:cs="Times New Roman"/>
          <w:sz w:val="26"/>
          <w:szCs w:val="26"/>
        </w:rPr>
        <w:t xml:space="preserve"> </w:t>
      </w:r>
      <w:r w:rsidRPr="003E403F">
        <w:rPr>
          <w:rFonts w:asciiTheme="majorBidi" w:hAnsiTheme="majorBidi" w:cs="Times New Roman"/>
          <w:sz w:val="26"/>
          <w:szCs w:val="26"/>
        </w:rPr>
        <w:lastRenderedPageBreak/>
        <w:t xml:space="preserve">(anonymized) </w:t>
      </w:r>
      <w:r w:rsidRPr="003E403F">
        <w:rPr>
          <w:rFonts w:asciiTheme="majorBidi" w:hAnsiTheme="majorBidi" w:cs="Times New Roman"/>
          <w:sz w:val="26"/>
          <w:szCs w:val="26"/>
          <w:rtl/>
        </w:rPr>
        <w:t>من معاملات</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أسفر التحليل الكمي عن نتائج مترابطة ومدعومة إحصائياً</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اختبارات</w:t>
      </w:r>
      <w:r w:rsidRPr="003E403F">
        <w:rPr>
          <w:rFonts w:asciiTheme="majorBidi" w:hAnsiTheme="majorBidi" w:cs="Times New Roman"/>
          <w:sz w:val="26"/>
          <w:szCs w:val="26"/>
        </w:rPr>
        <w:t xml:space="preserve"> ANOVA </w:t>
      </w:r>
      <w:r w:rsidRPr="003E403F">
        <w:rPr>
          <w:rFonts w:asciiTheme="majorBidi" w:hAnsiTheme="majorBidi" w:cs="Times New Roman"/>
          <w:sz w:val="26"/>
          <w:szCs w:val="26"/>
          <w:rtl/>
        </w:rPr>
        <w:t>ومعاملات الارتباط</w:t>
      </w:r>
      <w:r w:rsidRPr="003E403F">
        <w:rPr>
          <w:rFonts w:asciiTheme="majorBidi" w:hAnsiTheme="majorBidi" w:cs="Times New Roman"/>
          <w:sz w:val="26"/>
          <w:szCs w:val="26"/>
        </w:rPr>
        <w:t>)</w:t>
      </w:r>
      <w:r w:rsidRPr="003E403F">
        <w:rPr>
          <w:rFonts w:asciiTheme="majorBidi" w:hAnsiTheme="majorBidi" w:cs="Times New Roman"/>
          <w:sz w:val="26"/>
          <w:szCs w:val="26"/>
          <w:rtl/>
        </w:rPr>
        <w:t>، تشمل</w:t>
      </w:r>
      <w:r w:rsidRPr="003E403F">
        <w:rPr>
          <w:rFonts w:asciiTheme="majorBidi" w:hAnsiTheme="majorBidi" w:cs="Times New Roman"/>
          <w:sz w:val="26"/>
          <w:szCs w:val="26"/>
        </w:rPr>
        <w:t>:</w:t>
      </w:r>
    </w:p>
    <w:p w14:paraId="1F979028"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مستوى الجاهزية للتشفير ما بعد الكمي بنسبة 78% مقارنة بالأنظمة التقليدية</w:t>
      </w:r>
      <w:r w:rsidRPr="003E403F">
        <w:rPr>
          <w:rFonts w:asciiTheme="majorBidi" w:hAnsiTheme="majorBidi" w:cs="Times New Roman"/>
          <w:sz w:val="26"/>
          <w:szCs w:val="26"/>
        </w:rPr>
        <w:t xml:space="preserve"> (RSA/ECC).</w:t>
      </w:r>
    </w:p>
    <w:p w14:paraId="1482030F"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مقاومة ناجحة لـ 92% من الهجمات المحاكاة الكمية</w:t>
      </w:r>
      <w:r w:rsidRPr="003E403F">
        <w:rPr>
          <w:rFonts w:asciiTheme="majorBidi" w:hAnsiTheme="majorBidi" w:cs="Times New Roman"/>
          <w:sz w:val="26"/>
          <w:szCs w:val="26"/>
        </w:rPr>
        <w:t>.</w:t>
      </w:r>
    </w:p>
    <w:p w14:paraId="5ABC1696"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زمن الاستجابة للكشف عن الاختراق من 14 دقيقة إلى أقل من 3 دقائق</w:t>
      </w:r>
      <w:r w:rsidRPr="003E403F">
        <w:rPr>
          <w:rFonts w:asciiTheme="majorBidi" w:hAnsiTheme="majorBidi" w:cs="Times New Roman"/>
          <w:sz w:val="26"/>
          <w:szCs w:val="26"/>
        </w:rPr>
        <w:t>.</w:t>
      </w:r>
    </w:p>
    <w:p w14:paraId="7CBB64E9"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تغطية شاملة لـ 85% من الأنظمة الحرجة بطبقات تشفير هجينة</w:t>
      </w:r>
      <w:r w:rsidRPr="003E403F">
        <w:rPr>
          <w:rFonts w:asciiTheme="majorBidi" w:hAnsiTheme="majorBidi" w:cs="Times New Roman"/>
          <w:sz w:val="26"/>
          <w:szCs w:val="26"/>
        </w:rPr>
        <w:t>.</w:t>
      </w:r>
    </w:p>
    <w:p w14:paraId="3C1B387A"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خفض المخاطر المحتملة بنسبة 64% وفق نموذج</w:t>
      </w:r>
      <w:r w:rsidRPr="003E403F">
        <w:rPr>
          <w:rFonts w:asciiTheme="majorBidi" w:hAnsiTheme="majorBidi" w:cs="Times New Roman"/>
          <w:sz w:val="26"/>
          <w:szCs w:val="26"/>
        </w:rPr>
        <w:t xml:space="preserve"> CVSS </w:t>
      </w:r>
      <w:r w:rsidRPr="003E403F">
        <w:rPr>
          <w:rFonts w:asciiTheme="majorBidi" w:hAnsiTheme="majorBidi" w:cs="Times New Roman"/>
          <w:sz w:val="26"/>
          <w:szCs w:val="26"/>
          <w:rtl/>
        </w:rPr>
        <w:t>المعدل</w:t>
      </w:r>
      <w:r w:rsidRPr="003E403F">
        <w:rPr>
          <w:rFonts w:asciiTheme="majorBidi" w:hAnsiTheme="majorBidi" w:cs="Times New Roman"/>
          <w:sz w:val="26"/>
          <w:szCs w:val="26"/>
        </w:rPr>
        <w:t>.</w:t>
      </w:r>
    </w:p>
    <w:p w14:paraId="7B5287A5"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دقة التشفير تصل إلى 99.7% في اختبارات التحقق من السلامة</w:t>
      </w:r>
      <w:r w:rsidRPr="003E403F">
        <w:rPr>
          <w:rFonts w:asciiTheme="majorBidi" w:hAnsiTheme="majorBidi" w:cs="Times New Roman"/>
          <w:sz w:val="26"/>
          <w:szCs w:val="26"/>
        </w:rPr>
        <w:t>.</w:t>
      </w:r>
    </w:p>
    <w:p w14:paraId="282AB14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دعمت النتائج الفرضية الرئيسية بأن التحول الرقمي الاستباقي يعزز الأمن السيبراني بشكل كبير، خاصة في مواجهة التهديدات الكمية المستقبلية، مع دور محوري للاستعداد المبكر في الحفاظ على استمرارية الأعمال</w:t>
      </w:r>
      <w:r w:rsidRPr="003E403F">
        <w:rPr>
          <w:rFonts w:asciiTheme="majorBidi" w:hAnsiTheme="majorBidi" w:cs="Times New Roman"/>
          <w:sz w:val="26"/>
          <w:szCs w:val="26"/>
        </w:rPr>
        <w:t>.</w:t>
      </w:r>
    </w:p>
    <w:p w14:paraId="08E0308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قوة المنهجية التجريبية، حددت الدراسة قيوداً تشمل حجم العينة المحدود (ناتج عن طبيعة البيانات الحساسة) وتركيز الاختبار 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فقط، مما قد يقلل من إمكانية التعميم. واقترحت توصيات تنفيذية قابلة للتطبيق فوراً</w:t>
      </w:r>
      <w:r w:rsidRPr="003E403F">
        <w:rPr>
          <w:rFonts w:asciiTheme="majorBidi" w:hAnsiTheme="majorBidi" w:cs="Times New Roman"/>
          <w:sz w:val="26"/>
          <w:szCs w:val="26"/>
        </w:rPr>
        <w:t>:</w:t>
      </w:r>
    </w:p>
    <w:p w14:paraId="1BB2CAA5"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نطاق المحاكاة ليشمل جميع الجهات الحكومية ضمن منظومة الحكومة الرقمية</w:t>
      </w:r>
      <w:r w:rsidRPr="003E403F">
        <w:rPr>
          <w:rFonts w:asciiTheme="majorBidi" w:hAnsiTheme="majorBidi" w:cs="Times New Roman"/>
          <w:sz w:val="26"/>
          <w:szCs w:val="26"/>
        </w:rPr>
        <w:t>.</w:t>
      </w:r>
    </w:p>
    <w:p w14:paraId="3514CB5F"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تطبيق التشفير ما بعد الكمي تدريجياً في جميع الأنظمة الحيوية بحلول 2028</w:t>
      </w:r>
      <w:r w:rsidRPr="003E403F">
        <w:rPr>
          <w:rFonts w:asciiTheme="majorBidi" w:hAnsiTheme="majorBidi" w:cs="Times New Roman"/>
          <w:sz w:val="26"/>
          <w:szCs w:val="26"/>
        </w:rPr>
        <w:t>.</w:t>
      </w:r>
    </w:p>
    <w:p w14:paraId="79CAD486"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برنامج تدريبي متخصص لـ 500 خبير أمني سنوياً بالتعاون مع</w:t>
      </w:r>
      <w:r w:rsidRPr="003E403F">
        <w:rPr>
          <w:rFonts w:asciiTheme="majorBidi" w:hAnsiTheme="majorBidi" w:cs="Times New Roman"/>
          <w:sz w:val="26"/>
          <w:szCs w:val="26"/>
        </w:rPr>
        <w:t xml:space="preserve"> DGA.</w:t>
      </w:r>
    </w:p>
    <w:p w14:paraId="754810C9"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التعاون الدولي مع</w:t>
      </w:r>
      <w:r w:rsidRPr="003E403F">
        <w:rPr>
          <w:rFonts w:asciiTheme="majorBidi" w:hAnsiTheme="majorBidi" w:cs="Times New Roman"/>
          <w:sz w:val="26"/>
          <w:szCs w:val="26"/>
        </w:rPr>
        <w:t xml:space="preserve"> NIST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ENISA </w:t>
      </w:r>
      <w:r w:rsidRPr="003E403F">
        <w:rPr>
          <w:rFonts w:asciiTheme="majorBidi" w:hAnsiTheme="majorBidi" w:cs="Times New Roman"/>
          <w:sz w:val="26"/>
          <w:szCs w:val="26"/>
          <w:rtl/>
        </w:rPr>
        <w:t>لتبادل التهديدات والحلول</w:t>
      </w:r>
      <w:r w:rsidRPr="003E403F">
        <w:rPr>
          <w:rFonts w:asciiTheme="majorBidi" w:hAnsiTheme="majorBidi" w:cs="Times New Roman"/>
          <w:sz w:val="26"/>
          <w:szCs w:val="26"/>
        </w:rPr>
        <w:t>.</w:t>
      </w:r>
    </w:p>
    <w:p w14:paraId="68B8F5D0"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إصدار تقرير سنوي عن "مؤشر الجاهزية الكمية" للقطاع العام</w:t>
      </w:r>
      <w:r w:rsidRPr="003E403F">
        <w:rPr>
          <w:rFonts w:asciiTheme="majorBidi" w:hAnsiTheme="majorBidi" w:cs="Times New Roman"/>
          <w:sz w:val="26"/>
          <w:szCs w:val="26"/>
        </w:rPr>
        <w:t>.</w:t>
      </w:r>
    </w:p>
    <w:p w14:paraId="1ABB2413"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إجراء اختبارات ميدانية</w:t>
      </w:r>
      <w:r w:rsidRPr="003E403F">
        <w:rPr>
          <w:rFonts w:asciiTheme="majorBidi" w:hAnsiTheme="majorBidi" w:cs="Times New Roman"/>
          <w:sz w:val="26"/>
          <w:szCs w:val="26"/>
        </w:rPr>
        <w:t xml:space="preserve"> (live-fire exercises) </w:t>
      </w:r>
      <w:r w:rsidRPr="003E403F">
        <w:rPr>
          <w:rFonts w:asciiTheme="majorBidi" w:hAnsiTheme="majorBidi" w:cs="Times New Roman"/>
          <w:sz w:val="26"/>
          <w:szCs w:val="26"/>
          <w:rtl/>
        </w:rPr>
        <w:t>في بيئات إنتاج تجريبية</w:t>
      </w:r>
      <w:r w:rsidRPr="003E403F">
        <w:rPr>
          <w:rFonts w:asciiTheme="majorBidi" w:hAnsiTheme="majorBidi" w:cs="Times New Roman"/>
          <w:sz w:val="26"/>
          <w:szCs w:val="26"/>
        </w:rPr>
        <w:t>.</w:t>
      </w:r>
    </w:p>
    <w:p w14:paraId="1863BBE1"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تُعد الدراسة رائدة عالمياً في تطبيق الأمن ما بعد الكمي على الجمارك الرقمية، وتحمي البنية التحتية الوطنية من مخاطر الحوسبة الكمية الوشيكة، وتوفر إطاراً علمياً قابلاً للتكرار في أبحاث لاحقة. يمكن تعزيزها بتكامل بيانات من دول أخرى، مع إظهار تقدم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جهة جمركية خليجية تختبر </w:t>
      </w:r>
      <w:r w:rsidRPr="003E403F">
        <w:rPr>
          <w:rFonts w:asciiTheme="majorBidi" w:hAnsiTheme="majorBidi" w:cs="Times New Roman"/>
          <w:sz w:val="26"/>
          <w:szCs w:val="26"/>
        </w:rPr>
        <w:t>PQC</w:t>
      </w:r>
      <w:r w:rsidRPr="003E403F">
        <w:rPr>
          <w:rFonts w:asciiTheme="majorBidi" w:hAnsiTheme="majorBidi" w:cs="Times New Roman"/>
          <w:sz w:val="26"/>
          <w:szCs w:val="26"/>
          <w:rtl/>
        </w:rPr>
        <w:t xml:space="preserve"> عملياً، تفوق مقارن على نماذج الاتحاد الأوروبي، دعم السياسات الوطنية للأمن السيبراني 2030، تقديم رؤية استشرافية لعقد قادم، توسيع الاختبارات لتشمل تقنيات ناشئة مثل </w:t>
      </w:r>
      <w:r w:rsidRPr="003E403F">
        <w:rPr>
          <w:rFonts w:asciiTheme="majorBidi" w:hAnsiTheme="majorBidi" w:cs="Times New Roman"/>
          <w:sz w:val="26"/>
          <w:szCs w:val="26"/>
        </w:rPr>
        <w:t>Homomorphic Encryption</w:t>
      </w:r>
      <w:r w:rsidRPr="003E403F">
        <w:rPr>
          <w:rFonts w:asciiTheme="majorBidi" w:hAnsiTheme="majorBidi" w:cs="Times New Roman"/>
          <w:sz w:val="26"/>
          <w:szCs w:val="26"/>
          <w:rtl/>
        </w:rPr>
        <w:t>، وتأكيد جاهزية عالية مدعومة بأدلة تجريبية صلبة.</w:t>
      </w:r>
    </w:p>
    <w:p w14:paraId="452B6B73" w14:textId="77777777" w:rsidR="00202E2A" w:rsidRPr="004D67F5" w:rsidRDefault="00202E2A" w:rsidP="00202E2A">
      <w:pPr>
        <w:bidi/>
        <w:spacing w:line="240" w:lineRule="auto"/>
        <w:jc w:val="lowKashida"/>
        <w:rPr>
          <w:rFonts w:asciiTheme="majorBidi" w:hAnsiTheme="majorBidi" w:cs="Times New Roman"/>
          <w:b/>
          <w:bCs/>
          <w:sz w:val="26"/>
          <w:szCs w:val="26"/>
          <w:rtl/>
        </w:rPr>
      </w:pPr>
      <w:r w:rsidRPr="004D67F5">
        <w:rPr>
          <w:rFonts w:asciiTheme="majorBidi" w:hAnsiTheme="majorBidi" w:cs="Times New Roman"/>
          <w:b/>
          <w:bCs/>
          <w:sz w:val="26"/>
          <w:szCs w:val="26"/>
          <w:rtl/>
        </w:rPr>
        <w:t xml:space="preserve">دراسة </w:t>
      </w:r>
      <w:r w:rsidRPr="004D67F5">
        <w:rPr>
          <w:rFonts w:asciiTheme="majorBidi" w:hAnsiTheme="majorBidi" w:cstheme="majorBidi"/>
          <w:b/>
          <w:bCs/>
          <w:sz w:val="26"/>
          <w:szCs w:val="26"/>
        </w:rPr>
        <w:t>Alharbi, T. D. (2025). The role of digital government in supporting entities in adopting emerging technologies: A case study of the Digital Government Authority with reference to ZATCA. Saudi Arabia: DGA &amp; ZATCA</w:t>
      </w:r>
      <w:r w:rsidRPr="004D67F5">
        <w:rPr>
          <w:rFonts w:asciiTheme="majorBidi" w:hAnsiTheme="majorBidi" w:cs="Times New Roman"/>
          <w:b/>
          <w:bCs/>
          <w:sz w:val="26"/>
          <w:szCs w:val="26"/>
          <w:rtl/>
        </w:rPr>
        <w:t xml:space="preserve">. </w:t>
      </w:r>
    </w:p>
    <w:p w14:paraId="2DC5E3E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نوعية تركز على تحليل الدعم المؤسسي، حيث شملت عينتها مقابلات معمقة مع خبراء ومسؤولين في هيئة الحكومة الرقمية</w:t>
      </w:r>
      <w:r w:rsidRPr="003E403F">
        <w:rPr>
          <w:rFonts w:asciiTheme="majorBidi" w:hAnsiTheme="majorBidi" w:cs="Times New Roman"/>
          <w:sz w:val="26"/>
          <w:szCs w:val="26"/>
        </w:rPr>
        <w:t xml:space="preserve"> (DGA) </w:t>
      </w:r>
      <w:r w:rsidRPr="003E403F">
        <w:rPr>
          <w:rFonts w:asciiTheme="majorBidi" w:hAnsiTheme="majorBidi" w:cs="Times New Roman"/>
          <w:sz w:val="26"/>
          <w:szCs w:val="26"/>
          <w:rtl/>
        </w:rPr>
        <w:t>والهيئة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أجري تحليل موضوعي للبيانات النوعية لاستخلاص الأنماط الرئيسية، مما كشف عن تأثيرات إيجابية مترابطة تشمل: تسريع عملية تبني التقنيات الناشئة مثل الذكاء الاصطناعي والبلوكشين، تحسين الكفاءة التشغيلية بنسبة ملحوظة، تعزيز الابتكار من خلال البرامج التدريبية، وزيادة رضا المستفيدين عبر آليات الدعم المستمر. أكدت النتائج الفرضيات الرئيسية بأن الدعم الحكومي الرقمي يعزز الأمن السيبراني بشكل مباشر، وأنه يلعب دوراً وسيطاً في تسهيل التجارة الإلكترونية عبر الحدود</w:t>
      </w:r>
      <w:r w:rsidRPr="003E403F">
        <w:rPr>
          <w:rFonts w:asciiTheme="majorBidi" w:hAnsiTheme="majorBidi" w:cs="Times New Roman"/>
          <w:sz w:val="26"/>
          <w:szCs w:val="26"/>
        </w:rPr>
        <w:t>.</w:t>
      </w:r>
    </w:p>
    <w:p w14:paraId="1BC51FEA"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تركيزها الرئيسي على آليات الدعم داخل السياق السعودي، أشارت الدراسة إلى قيود مثل محدودية نطاق العينة الجغرافي، واقترحت توصيات عملية تشمل: توسيع برامج الدعم لتشمل الشركات الصغيرة، إنشاء منصة إلكترونية </w:t>
      </w:r>
      <w:r w:rsidRPr="003E403F">
        <w:rPr>
          <w:rFonts w:asciiTheme="majorBidi" w:hAnsiTheme="majorBidi" w:cs="Times New Roman"/>
          <w:sz w:val="26"/>
          <w:szCs w:val="26"/>
          <w:rtl/>
        </w:rPr>
        <w:lastRenderedPageBreak/>
        <w:t xml:space="preserve">مشتركة لتبادل المعرفة، إجراء قياسات سنوية للأثر، تعزيز التعاون الدولي مع منظمات مثل </w:t>
      </w:r>
      <w:r w:rsidRPr="003E403F">
        <w:rPr>
          <w:rFonts w:asciiTheme="majorBidi" w:hAnsiTheme="majorBidi" w:cs="Times New Roman"/>
          <w:sz w:val="26"/>
          <w:szCs w:val="26"/>
        </w:rPr>
        <w:t>WCO</w:t>
      </w:r>
      <w:r w:rsidRPr="003E403F">
        <w:rPr>
          <w:rFonts w:asciiTheme="majorBidi" w:hAnsiTheme="majorBidi" w:cs="Times New Roman"/>
          <w:sz w:val="26"/>
          <w:szCs w:val="26"/>
          <w:rtl/>
        </w:rPr>
        <w:t>، وإصدار دليل إرشادي موحد. بهذا، تبرز الدراسة أهمية الدعم كمحرك أساسي للتحول الرقمي، وتوفر أساساً لتوسيع البحث نحو نماذج كمية، مع إثبات فعالية البرامج الحالية، تحديد فرص التحسين، ودعم الابتكار المستدام من خلال رؤى نوعية عميقة وإمكانية تعميم النتائج على سياقات حكومية مشابهة.</w:t>
      </w:r>
    </w:p>
    <w:p w14:paraId="7466054F"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 xml:space="preserve">دراسة </w:t>
      </w:r>
      <w:r w:rsidRPr="00357524">
        <w:rPr>
          <w:rFonts w:asciiTheme="majorBidi" w:hAnsiTheme="majorBidi" w:cstheme="majorBidi"/>
          <w:b/>
          <w:bCs/>
          <w:sz w:val="26"/>
          <w:szCs w:val="26"/>
        </w:rPr>
        <w:t>AJRSP. (2025). Digital transformation as a pathway to achieving an effective government within the targets of Vision 2030 (ZATCA case study). Saudi Arabia: ZATCA</w:t>
      </w:r>
      <w:r w:rsidRPr="00357524">
        <w:rPr>
          <w:rFonts w:asciiTheme="majorBidi" w:hAnsiTheme="majorBidi" w:cs="Times New Roman"/>
          <w:b/>
          <w:bCs/>
          <w:sz w:val="26"/>
          <w:szCs w:val="26"/>
          <w:rtl/>
        </w:rPr>
        <w:t xml:space="preserve">. </w:t>
      </w:r>
    </w:p>
    <w:p w14:paraId="08E6957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ميدانية كمية، حيث اعتمدت على استبيانات واسعة النطاق شملت موظفين ومستفيدين في</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لقياس مؤشرات التقدم الرقمي. طبق نماذج إحصائية متقدمة مثل التحليل الارتباطي والانحدار المتعدد لفحص العلاقات بين المتغيرات، مما أظهر نتائج قوية تشمل: تحقيق أهداف رؤية 2030 في الكفاءة الحكومية، رفع أداء المنصات الرقمية مثل "فسح"، تعزيز الأمن السيبراني عبر تكامل التقنيات، تقليل وقت الإجراءات الجمركية بنسبة كبيرة، وزيادة رضا المستخدمين من خلال البيانات التجريبية. دعمت النتائج الفرضيات بأن التحول الرقمي يؤثر إيجابياً على تعزيز الأمن وتيسير التجارة، مع دور وسيط للأمن في تعزيز الفعالية العامة</w:t>
      </w:r>
      <w:r w:rsidRPr="003E403F">
        <w:rPr>
          <w:rFonts w:asciiTheme="majorBidi" w:hAnsiTheme="majorBidi" w:cs="Times New Roman"/>
          <w:sz w:val="26"/>
          <w:szCs w:val="26"/>
        </w:rPr>
        <w:t>.</w:t>
      </w:r>
    </w:p>
    <w:p w14:paraId="1100FA7B"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قوة البيانات الميدانية، حددت الدراسة قيوداً مثل تركيز العينة على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فقط، واقترحت إجراءات تحسينية تشمل: توسيع الاستبيان ليشمل جهات حكومية أخرى، ربط المؤشرات بأهداف الأداء الرئيسية (</w:t>
      </w:r>
      <w:r w:rsidRPr="003E403F">
        <w:rPr>
          <w:rFonts w:asciiTheme="majorBidi" w:hAnsiTheme="majorBidi" w:cs="Times New Roman"/>
          <w:sz w:val="26"/>
          <w:szCs w:val="26"/>
        </w:rPr>
        <w:t>KPIs</w:t>
      </w:r>
      <w:r w:rsidRPr="003E403F">
        <w:rPr>
          <w:rFonts w:asciiTheme="majorBidi" w:hAnsiTheme="majorBidi" w:cs="Times New Roman"/>
          <w:sz w:val="26"/>
          <w:szCs w:val="26"/>
          <w:rtl/>
        </w:rPr>
        <w:t xml:space="preserve">) في الرؤية، تدريب الباحثين على أدوات التحليل المتقدمة، إجراء دراسات مقارنة مع دول الخليج، نشر تقارير دورية، وتطوير نموذج تنبؤي طويل الأمد. وبالتالي، تربط الدراسة التحول الرقمي مباشرة برؤية 2030، ويمكن تعزيزها ببيانات أوسع،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إقليمياً، توفير نماذج إحصائية قابلة للتطبيق في أبحاث مستقبلية، دعم السياسات الوطنية، تقديم أدلة تجريبية قوية، توسيع النطاق الجغرافي، وتأكيد القبول المجتمعي من خلال معدلات الرضا العالية.</w:t>
      </w:r>
    </w:p>
    <w:p w14:paraId="6D960B03"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دراسة</w:t>
      </w:r>
      <w:r w:rsidRPr="00357524">
        <w:rPr>
          <w:rFonts w:asciiTheme="majorBidi" w:hAnsiTheme="majorBidi" w:cs="Times New Roman" w:hint="cs"/>
          <w:b/>
          <w:bCs/>
          <w:sz w:val="26"/>
          <w:szCs w:val="26"/>
          <w:rtl/>
        </w:rPr>
        <w:t xml:space="preserve"> </w:t>
      </w:r>
      <w:r w:rsidRPr="00357524">
        <w:rPr>
          <w:rFonts w:asciiTheme="majorBidi" w:hAnsiTheme="majorBidi" w:cstheme="majorBidi"/>
          <w:b/>
          <w:bCs/>
          <w:sz w:val="26"/>
          <w:szCs w:val="26"/>
        </w:rPr>
        <w:t>Digital Government Authority (DGA). (2025). Digital experience maturity index 2025: ZATCA at 93.25%. Saudi Arabia: ZATCA</w:t>
      </w:r>
      <w:r w:rsidRPr="00357524">
        <w:rPr>
          <w:rFonts w:asciiTheme="majorBidi" w:hAnsiTheme="majorBidi" w:cs="Times New Roman"/>
          <w:b/>
          <w:bCs/>
          <w:sz w:val="26"/>
          <w:szCs w:val="26"/>
          <w:rtl/>
        </w:rPr>
        <w:t xml:space="preserve">. </w:t>
      </w:r>
    </w:p>
    <w:p w14:paraId="30315320" w14:textId="77777777" w:rsidR="00202E2A" w:rsidRPr="00224EF4" w:rsidRDefault="00202E2A" w:rsidP="00202E2A">
      <w:pPr>
        <w:bidi/>
        <w:spacing w:line="240" w:lineRule="auto"/>
        <w:jc w:val="lowKashida"/>
        <w:rPr>
          <w:rFonts w:asciiTheme="majorBidi" w:hAnsiTheme="majorBidi" w:cstheme="majorBidi"/>
          <w:sz w:val="26"/>
          <w:szCs w:val="26"/>
        </w:rPr>
      </w:pPr>
      <w:r w:rsidRPr="00224EF4">
        <w:rPr>
          <w:rFonts w:asciiTheme="majorBidi" w:hAnsiTheme="majorBidi" w:cs="Times New Roman"/>
          <w:sz w:val="26"/>
          <w:szCs w:val="26"/>
          <w:rtl/>
        </w:rPr>
        <w:t xml:space="preserve">اعتمد التقرير تقييماً شاملاً لمنصات حكومية، فشمل عينته معايير متعددة لقياس تجربة المستخدم، مما أتاح رؤية دقيقة للنضج الرقمي. استخدم منهجية متخصصة للتقييم، فكشف عن نتائج مترابطة في تجربة المستخدم، وتعزيز الأمان، وتسريع الخدمات، وتحسين التكامل، لتدعم الفرضية القائلة بأن التحول الرقمي يؤثر إيجابياً في تيسير التجارة. ورغم طبيعته الرسمية، فقد اقترح رفع النسبة، وتقييم منصات إضافية، وتطوير معايير، ونشر دوري، وتدريب على المنهجية، ومقارنات دولية. وهكذا، يضع معياراً وطنياً لتجربة المستخدم، ويمكن توسيعه دولياً، مع إظهار تفوق وطني، وقوة الأمان، وإمكانية استخدام المنهجية في أبحاث لاحقة، ودعم أهداف التجربة، وتقديم تقييم شامل، وتوسيع المعايير، وتأكيد الكفاءة بالتكامل. </w:t>
      </w:r>
    </w:p>
    <w:p w14:paraId="6F4EAECA" w14:textId="77777777" w:rsidR="00202E2A" w:rsidRPr="00C1773D" w:rsidRDefault="00202E2A" w:rsidP="00202E2A">
      <w:pPr>
        <w:bidi/>
        <w:spacing w:line="240" w:lineRule="auto"/>
        <w:jc w:val="lowKashida"/>
        <w:rPr>
          <w:rFonts w:asciiTheme="majorBidi" w:hAnsiTheme="majorBidi" w:cs="PT Bold Heading"/>
          <w:sz w:val="26"/>
          <w:szCs w:val="26"/>
        </w:rPr>
      </w:pPr>
      <w:r w:rsidRPr="00C1773D">
        <w:rPr>
          <w:rFonts w:asciiTheme="majorBidi" w:hAnsiTheme="majorBidi" w:cs="PT Bold Heading" w:hint="cs"/>
          <w:sz w:val="26"/>
          <w:szCs w:val="26"/>
          <w:rtl/>
        </w:rPr>
        <w:t xml:space="preserve">2.8.2 </w:t>
      </w:r>
      <w:r w:rsidRPr="00C1773D">
        <w:rPr>
          <w:rFonts w:asciiTheme="majorBidi" w:hAnsiTheme="majorBidi" w:cs="PT Bold Heading"/>
          <w:sz w:val="26"/>
          <w:szCs w:val="26"/>
          <w:rtl/>
        </w:rPr>
        <w:t xml:space="preserve">التعليق على الدراسات السابقة </w:t>
      </w:r>
    </w:p>
    <w:p w14:paraId="3894761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في سياق دراسة تأثير التحول الرقمي على تعزيز الأمن وتيسير التجارة في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ضمن إطار رؤية المملكة 2030، تُظهر الدراسات الحديثة تقارباً ملحوظاً في النتائج الكمية والكيفية، مما يعكس اتجاهاً إقليمياً وعالمياً نحو دمج التقنيات الناشئة في العمليات الجمركية والضريبية. </w:t>
      </w:r>
    </w:p>
    <w:p w14:paraId="328424C1" w14:textId="77777777" w:rsidR="00202E2A" w:rsidRPr="009C6000" w:rsidRDefault="00202E2A" w:rsidP="00202E2A">
      <w:pPr>
        <w:bidi/>
        <w:spacing w:line="240" w:lineRule="auto"/>
        <w:jc w:val="lowKashida"/>
        <w:rPr>
          <w:rFonts w:asciiTheme="majorBidi" w:hAnsiTheme="majorBidi" w:cstheme="majorBidi"/>
          <w:sz w:val="26"/>
          <w:szCs w:val="26"/>
        </w:rPr>
      </w:pPr>
      <w:r w:rsidRPr="00C1773D">
        <w:rPr>
          <w:rFonts w:asciiTheme="majorBidi" w:hAnsiTheme="majorBidi" w:cs="PT Bold Heading" w:hint="cs"/>
          <w:sz w:val="26"/>
          <w:szCs w:val="26"/>
          <w:rtl/>
        </w:rPr>
        <w:t xml:space="preserve">2.8.2.1 </w:t>
      </w:r>
      <w:r w:rsidRPr="00C1773D">
        <w:rPr>
          <w:rFonts w:asciiTheme="majorBidi" w:hAnsiTheme="majorBidi" w:cs="PT Bold Heading"/>
          <w:sz w:val="26"/>
          <w:szCs w:val="26"/>
          <w:rtl/>
        </w:rPr>
        <w:t>أوجه التشابه:</w:t>
      </w:r>
      <w:r w:rsidRPr="009C6000">
        <w:rPr>
          <w:rFonts w:asciiTheme="majorBidi" w:hAnsiTheme="majorBidi" w:cs="Times New Roman"/>
          <w:sz w:val="26"/>
          <w:szCs w:val="26"/>
          <w:rtl/>
        </w:rPr>
        <w:t xml:space="preserve">  </w:t>
      </w:r>
    </w:p>
    <w:p w14:paraId="1282E16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تتفق جميع الدراسات الحديثة، بما في ذلك تقارير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w:t>
      </w:r>
      <w:r w:rsidRPr="009C6000">
        <w:rPr>
          <w:rFonts w:asciiTheme="majorBidi" w:hAnsiTheme="majorBidi" w:cstheme="majorBidi"/>
          <w:sz w:val="26"/>
          <w:szCs w:val="26"/>
        </w:rPr>
        <w:t>Pagero &amp; Unified</w:t>
      </w:r>
      <w:r>
        <w:rPr>
          <w:rFonts w:asciiTheme="majorBidi" w:hAnsiTheme="majorBidi" w:cstheme="majorBidi" w:hint="cs"/>
          <w:sz w:val="26"/>
          <w:szCs w:val="26"/>
          <w:rtl/>
        </w:rPr>
        <w:t xml:space="preserve"> </w:t>
      </w:r>
      <w:r w:rsidRPr="009C6000">
        <w:rPr>
          <w:rFonts w:asciiTheme="majorBidi" w:hAnsiTheme="majorBidi" w:cstheme="majorBidi"/>
          <w:sz w:val="26"/>
          <w:szCs w:val="26"/>
        </w:rPr>
        <w:t>Post Group</w:t>
      </w:r>
      <w:r w:rsidRPr="009C6000">
        <w:rPr>
          <w:rFonts w:asciiTheme="majorBidi" w:hAnsiTheme="majorBidi" w:cs="Times New Roman"/>
          <w:sz w:val="26"/>
          <w:szCs w:val="26"/>
          <w:rtl/>
        </w:rPr>
        <w:t xml:space="preserve"> (2025)، و</w:t>
      </w:r>
      <w:r w:rsidRPr="009C6000">
        <w:rPr>
          <w:rFonts w:asciiTheme="majorBidi" w:hAnsiTheme="majorBidi" w:cstheme="majorBidi"/>
          <w:sz w:val="26"/>
          <w:szCs w:val="26"/>
        </w:rPr>
        <w:t>ZATCA Digital Transformation Report</w:t>
      </w:r>
      <w:r w:rsidRPr="009C6000">
        <w:rPr>
          <w:rFonts w:asciiTheme="majorBidi" w:hAnsiTheme="majorBidi" w:cs="Times New Roman"/>
          <w:sz w:val="26"/>
          <w:szCs w:val="26"/>
          <w:rtl/>
        </w:rPr>
        <w:t xml:space="preserve"> (2025)، على أن منصات مثل "فسح" و"فاتورة" الإلكترونية ساهمت في تقليل متوسط وقت التخليص الجمركي بنسب تتراوح بين 70% و85% مقارنة بالأنظمة التقليدية، معتمدةً على نماذج الذكاء الاصطناعي التنبؤي والبلوكشين لضمان الشفافية والتتبع اللحظي. </w:t>
      </w:r>
      <w:r w:rsidRPr="009C6000">
        <w:rPr>
          <w:rFonts w:asciiTheme="majorBidi" w:hAnsiTheme="majorBidi" w:cs="Times New Roman"/>
          <w:sz w:val="26"/>
          <w:szCs w:val="26"/>
          <w:rtl/>
        </w:rPr>
        <w:lastRenderedPageBreak/>
        <w:t>كما أكدت هذه الدراسات زيادة معدلات الكشف عن المخاطر الأمنية (مثل التهريب الرقمي والتهرب الضريبي) بنسب تصل إلى 50-75%، حيث يُعد تعزيز الأمن وسيطاً أساسياً يربط بين التحول الرقمي وتيسير التجارة، مما يدعم أهداف رؤية 2030 في بناء اقتصاد رقمي آمن وفعال. بالإضافة إلى ذلك، يبرز انتشار تقنيات متقدمة مثل التشفير ما بعد الكم (</w:t>
      </w:r>
      <w:r w:rsidRPr="009C6000">
        <w:rPr>
          <w:rFonts w:asciiTheme="majorBidi" w:hAnsiTheme="majorBidi" w:cstheme="majorBidi"/>
          <w:sz w:val="26"/>
          <w:szCs w:val="26"/>
        </w:rPr>
        <w:t>Post-Quantum Encryption</w:t>
      </w:r>
      <w:r w:rsidRPr="009C6000">
        <w:rPr>
          <w:rFonts w:asciiTheme="majorBidi" w:hAnsiTheme="majorBidi" w:cs="Times New Roman"/>
          <w:sz w:val="26"/>
          <w:szCs w:val="26"/>
          <w:rtl/>
        </w:rPr>
        <w:t>) وتدريب الواقع الافتراضي (</w:t>
      </w:r>
      <w:r w:rsidRPr="009C6000">
        <w:rPr>
          <w:rFonts w:asciiTheme="majorBidi" w:hAnsiTheme="majorBidi" w:cstheme="majorBidi"/>
          <w:sz w:val="26"/>
          <w:szCs w:val="26"/>
        </w:rPr>
        <w:t>VR Training</w:t>
      </w:r>
      <w:r w:rsidRPr="009C6000">
        <w:rPr>
          <w:rFonts w:asciiTheme="majorBidi" w:hAnsiTheme="majorBidi" w:cs="Times New Roman"/>
          <w:sz w:val="26"/>
          <w:szCs w:val="26"/>
          <w:rtl/>
        </w:rPr>
        <w:t xml:space="preserve">)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كما في تقرير منظمة الجمارك العالمية (</w:t>
      </w:r>
      <w:r w:rsidRPr="009C6000">
        <w:rPr>
          <w:rFonts w:asciiTheme="majorBidi" w:hAnsiTheme="majorBidi" w:cstheme="majorBidi"/>
          <w:sz w:val="26"/>
          <w:szCs w:val="26"/>
        </w:rPr>
        <w:t>WCO, 2025</w:t>
      </w:r>
      <w:r w:rsidRPr="009C6000">
        <w:rPr>
          <w:rFonts w:asciiTheme="majorBidi" w:hAnsiTheme="majorBidi" w:cs="Times New Roman"/>
          <w:sz w:val="26"/>
          <w:szCs w:val="26"/>
          <w:rtl/>
        </w:rPr>
        <w:t>)، مما يعكس انتقالاً جماعياً نحو "الجمارك الذكية" التي تجمع بين الأتمتة والأمان السيبراني لتحقيق التوازن المطلوب بين السرعة والحماية.</w:t>
      </w:r>
    </w:p>
    <w:p w14:paraId="420CCA82" w14:textId="77777777" w:rsidR="00202E2A" w:rsidRPr="00E130B5"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2.8.2.2 </w:t>
      </w:r>
      <w:r w:rsidRPr="00E130B5">
        <w:rPr>
          <w:rFonts w:asciiTheme="majorBidi" w:hAnsiTheme="majorBidi" w:cs="PT Bold Heading"/>
          <w:sz w:val="26"/>
          <w:szCs w:val="26"/>
          <w:rtl/>
        </w:rPr>
        <w:t xml:space="preserve">أوجه الاختلاف والمقارنات الدولية المباشرة:  </w:t>
      </w:r>
    </w:p>
    <w:p w14:paraId="7FC1C4A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رغم التشابهات، تكشف المقارنات الدولية عن فوارق استراتيجية تعكس السياقات الوطنية المختلفة. ففي مقارنة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جمارك سنغافورة، تفوقت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نسبة النضج الرقمي الجمركي بنسبة 93.4% (</w:t>
      </w:r>
      <w:r w:rsidRPr="009C6000">
        <w:rPr>
          <w:rFonts w:asciiTheme="majorBidi" w:hAnsiTheme="majorBidi" w:cstheme="majorBidi"/>
          <w:sz w:val="26"/>
          <w:szCs w:val="26"/>
        </w:rPr>
        <w:t>Pagero &amp; UnifiedPost Group, 2025</w:t>
      </w:r>
      <w:r w:rsidRPr="009C6000">
        <w:rPr>
          <w:rFonts w:asciiTheme="majorBidi" w:hAnsiTheme="majorBidi" w:cs="Times New Roman"/>
          <w:sz w:val="26"/>
          <w:szCs w:val="26"/>
          <w:rtl/>
        </w:rPr>
        <w:t xml:space="preserve">)، مما أدى إلى سرعة تخليص أعلى، إلا أن سنغافورة تتفوق في حماية الخصوصية بنسبة 99%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مما يشير إلى تركيز سنغافوري أكبر على الحوكمة الرقمية طويلة الأمد. أما بالنسبة للإمارات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فتتفوق في التكامل الجمركي-الضريبي بنسبة 93%، خاصة في مراحل الفوترة الإلكترونية، مقابل 91%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التركيز على الشراكات مع القطاع الخاص لضمان الامتثال السريع. وفي مواجهة إستونيا – النموذج العالمي في الشفافية الرقمية بنسبة 97.1% –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المركز الأول عربياً في السرعة والابتكار من خلال تدريب الواقع الافتراضي، مما يجعلها مرجعاً إقليمياً للدول النامية. أخيراً، مقارنة بكوريا الجنوبية (</w:t>
      </w:r>
      <w:r w:rsidRPr="009C6000">
        <w:rPr>
          <w:rFonts w:asciiTheme="majorBidi" w:hAnsiTheme="majorBidi" w:cstheme="majorBidi"/>
          <w:sz w:val="26"/>
          <w:szCs w:val="26"/>
        </w:rPr>
        <w:t>UNI-PASS 2.0</w:t>
      </w:r>
      <w:r w:rsidRPr="009C6000">
        <w:rPr>
          <w:rFonts w:asciiTheme="majorBidi" w:hAnsiTheme="majorBidi" w:cs="Times New Roman"/>
          <w:sz w:val="26"/>
          <w:szCs w:val="26"/>
          <w:rtl/>
        </w:rPr>
        <w:t xml:space="preserve">)، تتفوق كوريا في دقة الكشف بالذكاء الاصطناعي بنسبة 96.3%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لكن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تتميز بتكلفتها الأقل وتكاملها العميق مع رؤية 2030، مما يجعل نموذجها أكثر قابلية للتعميم في الاقتصادات الناشئة. هذه المقارنات تؤكد أن التحول الرقمي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يركز على العائد الاقتصادي المباشر، بينما تتبنى الدول الأخرى نماذج أكثر تركيزاً على الاستدامة أو الدقة التقنية.</w:t>
      </w:r>
    </w:p>
    <w:p w14:paraId="47A12171" w14:textId="77777777" w:rsidR="00202E2A" w:rsidRPr="00E130B5" w:rsidRDefault="00202E2A" w:rsidP="00202E2A">
      <w:pPr>
        <w:bidi/>
        <w:spacing w:line="240" w:lineRule="auto"/>
        <w:jc w:val="lowKashida"/>
        <w:rPr>
          <w:rFonts w:asciiTheme="majorBidi" w:hAnsiTheme="majorBidi" w:cs="PT Bold Heading"/>
          <w:sz w:val="26"/>
          <w:szCs w:val="26"/>
        </w:rPr>
      </w:pPr>
      <w:r w:rsidRPr="00E130B5">
        <w:rPr>
          <w:rFonts w:asciiTheme="majorBidi" w:hAnsiTheme="majorBidi" w:cs="PT Bold Heading"/>
          <w:sz w:val="26"/>
          <w:szCs w:val="26"/>
          <w:rtl/>
        </w:rPr>
        <w:t>2.8.3 مقارنة بين هيئة الزكاة والضريبة والجمارك بالمملكة العربية السعودية (</w:t>
      </w:r>
      <w:r w:rsidRPr="00E130B5">
        <w:rPr>
          <w:rFonts w:asciiTheme="majorBidi" w:hAnsiTheme="majorBidi" w:cs="PT Bold Heading"/>
          <w:sz w:val="26"/>
          <w:szCs w:val="26"/>
        </w:rPr>
        <w:t>ZATCA</w:t>
      </w:r>
      <w:r w:rsidRPr="00E130B5">
        <w:rPr>
          <w:rFonts w:asciiTheme="majorBidi" w:hAnsiTheme="majorBidi" w:cs="PT Bold Heading"/>
          <w:sz w:val="26"/>
          <w:szCs w:val="26"/>
          <w:rtl/>
        </w:rPr>
        <w:t>) والهيئة الاتحادية للضرائب بالإمارات العربية المتحدة (</w:t>
      </w:r>
      <w:r w:rsidRPr="00E130B5">
        <w:rPr>
          <w:rFonts w:asciiTheme="majorBidi" w:hAnsiTheme="majorBidi" w:cs="PT Bold Heading"/>
          <w:sz w:val="26"/>
          <w:szCs w:val="26"/>
        </w:rPr>
        <w:t>FTA</w:t>
      </w:r>
      <w:r w:rsidRPr="00E130B5">
        <w:rPr>
          <w:rFonts w:asciiTheme="majorBidi" w:hAnsiTheme="majorBidi" w:cs="PT Bold Heading"/>
          <w:sz w:val="26"/>
          <w:szCs w:val="26"/>
          <w:rtl/>
        </w:rPr>
        <w:t>) في تطبيق التحول الرقمي على تعزيز الأمن وتيسير التجارة</w:t>
      </w:r>
    </w:p>
    <w:p w14:paraId="0B8CB483"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تُمثل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في المملكة العربية السعودية والهيئة الاتحادية للضرائب (</w:t>
      </w:r>
      <w:r w:rsidRPr="009C6000">
        <w:rPr>
          <w:rFonts w:asciiTheme="majorBidi" w:hAnsiTheme="majorBidi" w:cstheme="majorBidi"/>
          <w:sz w:val="26"/>
          <w:szCs w:val="26"/>
        </w:rPr>
        <w:t>FTA</w:t>
      </w:r>
      <w:r w:rsidRPr="009C6000">
        <w:rPr>
          <w:rFonts w:asciiTheme="majorBidi" w:hAnsiTheme="majorBidi" w:cs="Times New Roman"/>
          <w:sz w:val="26"/>
          <w:szCs w:val="26"/>
          <w:rtl/>
        </w:rPr>
        <w:t>) في الإمارات العربية المتحدة نموذجين رائدين خليجياً في توظيف التحول الرقمي كأداة استراتيجية لتحقيق التوازن الدقيق بين تعزيز الأمن (من خلال الكشف الاستباقي عن التهريب والتهرب) وتيسير التجارة (عبر تقليل الوقت والتكاليف وتعزيز الشفافية)، وذلك في إطار رؤية المملكة 2030 واستراتيجية الإمارات الرقمية. وفقاً لأحدث التقارير (</w:t>
      </w:r>
      <w:r w:rsidRPr="009C6000">
        <w:rPr>
          <w:rFonts w:asciiTheme="majorBidi" w:hAnsiTheme="majorBidi" w:cstheme="majorBidi"/>
          <w:sz w:val="26"/>
          <w:szCs w:val="26"/>
        </w:rPr>
        <w:t>Pagero &amp; UnifiedPost Group, 2025; World Customs Organization [WCO], 2025; EY Saudi Arabia &amp; ZATCA, 2025; Digital Government Authority [DGA], 2025</w:t>
      </w:r>
      <w:r w:rsidRPr="009C6000">
        <w:rPr>
          <w:rFonts w:asciiTheme="majorBidi" w:hAnsiTheme="majorBidi" w:cs="Times New Roman"/>
          <w:sz w:val="26"/>
          <w:szCs w:val="26"/>
          <w:rtl/>
        </w:rPr>
        <w:t>)، يتضح الآتي:</w:t>
      </w:r>
    </w:p>
    <w:p w14:paraId="2FF5AB81"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lang w:bidi="ar-EG"/>
        </w:rPr>
        <w:t xml:space="preserve">2.8.3.1 </w:t>
      </w:r>
      <w:r w:rsidRPr="00CA6580">
        <w:rPr>
          <w:rFonts w:asciiTheme="majorBidi" w:hAnsiTheme="majorBidi" w:cs="PT Bold Heading"/>
          <w:sz w:val="26"/>
          <w:szCs w:val="26"/>
          <w:rtl/>
        </w:rPr>
        <w:t xml:space="preserve">التشابهات:  </w:t>
      </w:r>
    </w:p>
    <w:p w14:paraId="7EC14A41"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اعتمدت كلا الهيئتين نموذج الضوابط المعاملاتية المستمرة (</w:t>
      </w:r>
      <w:r w:rsidRPr="009C6000">
        <w:rPr>
          <w:rFonts w:asciiTheme="majorBidi" w:hAnsiTheme="majorBidi" w:cstheme="majorBidi"/>
          <w:sz w:val="26"/>
          <w:szCs w:val="26"/>
        </w:rPr>
        <w:t>Continuous Transaction Controls - CTC</w:t>
      </w:r>
      <w:r w:rsidRPr="009C6000">
        <w:rPr>
          <w:rFonts w:asciiTheme="majorBidi" w:hAnsiTheme="majorBidi" w:cs="Times New Roman"/>
          <w:sz w:val="26"/>
          <w:szCs w:val="26"/>
          <w:rtl/>
        </w:rPr>
        <w:t>) في الفوترة الإلكترونية الإلزامية، مما أدى إلى تقليل التفتيش العشوائي بنسب تتراوح بين 65% و80% وزيادة الكشف عن الأنشطة غير المشروعة بنسب 45-67%، مع دمج الذكاء الاصطناعي التنبؤي والبلوكشين لإدارة المخاطر في الوقت الفعلي. كما التزمتا بمعايير اتفاقية تيسير التجارة العالمية (</w:t>
      </w:r>
      <w:r w:rsidRPr="009C6000">
        <w:rPr>
          <w:rFonts w:asciiTheme="majorBidi" w:hAnsiTheme="majorBidi" w:cstheme="majorBidi"/>
          <w:sz w:val="26"/>
          <w:szCs w:val="26"/>
        </w:rPr>
        <w:t>TFA</w:t>
      </w:r>
      <w:r w:rsidRPr="009C6000">
        <w:rPr>
          <w:rFonts w:asciiTheme="majorBidi" w:hAnsiTheme="majorBidi" w:cs="Times New Roman"/>
          <w:sz w:val="26"/>
          <w:szCs w:val="26"/>
          <w:rtl/>
        </w:rPr>
        <w:t>)، مما عزز التكامل الإقليمي ودعم أهداف التنمية المستدامة.</w:t>
      </w:r>
    </w:p>
    <w:p w14:paraId="584A8A0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2.8.3.2 </w:t>
      </w:r>
      <w:r w:rsidRPr="00CA6580">
        <w:rPr>
          <w:rFonts w:asciiTheme="majorBidi" w:hAnsiTheme="majorBidi" w:cs="PT Bold Heading"/>
          <w:sz w:val="26"/>
          <w:szCs w:val="26"/>
          <w:rtl/>
        </w:rPr>
        <w:t xml:space="preserve">الاختلافات في تعزيز الأمن:  </w:t>
      </w:r>
    </w:p>
    <w:p w14:paraId="3E9D6C3B"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lastRenderedPageBreak/>
        <w:t xml:space="preserve">تتفوق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الجاهزية للتشفير ما بعد الكم بنسبة 89% (</w:t>
      </w:r>
      <w:r w:rsidRPr="009C6000">
        <w:rPr>
          <w:rFonts w:asciiTheme="majorBidi" w:hAnsiTheme="majorBidi" w:cstheme="majorBidi"/>
          <w:sz w:val="26"/>
          <w:szCs w:val="26"/>
        </w:rPr>
        <w:t>Alharbi &amp; Qureshi, 2025</w:t>
      </w:r>
      <w:r w:rsidRPr="009C6000">
        <w:rPr>
          <w:rFonts w:asciiTheme="majorBidi" w:hAnsiTheme="majorBidi" w:cs="Times New Roman"/>
          <w:sz w:val="26"/>
          <w:szCs w:val="26"/>
          <w:rtl/>
        </w:rPr>
        <w:t xml:space="preserve">)، مقارنة بـ81% في </w:t>
      </w:r>
      <w:r w:rsidRPr="009C6000">
        <w:rPr>
          <w:rFonts w:asciiTheme="majorBidi" w:hAnsiTheme="majorBidi" w:cstheme="majorBidi"/>
          <w:sz w:val="26"/>
          <w:szCs w:val="26"/>
        </w:rPr>
        <w:t>FTA</w:t>
      </w:r>
      <w:r w:rsidRPr="009C6000">
        <w:rPr>
          <w:rFonts w:asciiTheme="majorBidi" w:hAnsiTheme="majorBidi" w:cs="Times New Roman"/>
          <w:sz w:val="26"/>
          <w:szCs w:val="26"/>
          <w:rtl/>
        </w:rPr>
        <w:t>، مع قدرة يومية على صد 1,842 هجوم سيبراني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مما يجعلها أكثر مرونة أمام التهديدات المستقبلية الناتجة عن الحوسبة الكمية. في المقابل، تبرز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الخصوصية والامتثال لمعايير مشابهة لـ</w:t>
      </w:r>
      <w:r w:rsidRPr="009C6000">
        <w:rPr>
          <w:rFonts w:asciiTheme="majorBidi" w:hAnsiTheme="majorBidi" w:cstheme="majorBidi"/>
          <w:sz w:val="26"/>
          <w:szCs w:val="26"/>
        </w:rPr>
        <w:t>GDPR</w:t>
      </w:r>
      <w:r w:rsidRPr="009C6000">
        <w:rPr>
          <w:rFonts w:asciiTheme="majorBidi" w:hAnsiTheme="majorBidi" w:cs="Times New Roman"/>
          <w:sz w:val="26"/>
          <w:szCs w:val="26"/>
          <w:rtl/>
        </w:rPr>
        <w:t xml:space="preserve"> بنسبة 91.2% نضج رقمي، مع تركيز أعمق على الحوكمة الرقمية من خلال استراتيجية الحكومة الرقمية 2025.</w:t>
      </w:r>
    </w:p>
    <w:p w14:paraId="384DF6CA"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2.8.3.3 </w:t>
      </w:r>
      <w:r w:rsidRPr="00CA6580">
        <w:rPr>
          <w:rFonts w:asciiTheme="majorBidi" w:hAnsiTheme="majorBidi" w:cs="PT Bold Heading"/>
          <w:sz w:val="26"/>
          <w:szCs w:val="26"/>
          <w:rtl/>
        </w:rPr>
        <w:t xml:space="preserve">الاختلافات في تيسير التجارة:  </w:t>
      </w:r>
    </w:p>
    <w:p w14:paraId="220177A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تحقق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سرعة أعلى في التخليص بنسبة نضج 93.4% وتقليل الوقت إلى 4.1 ساعات عبر منصة "فسح"، مع توفير سنوي يبلغ 4.2 مليار ريال، بينما تتفوق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التكامل مع القطاع الخاص (امتثال 78% في موجات الفوترة مقابل 78.3%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المرتبة الرابعة عالمياً (</w:t>
      </w:r>
      <w:r w:rsidRPr="009C6000">
        <w:rPr>
          <w:rFonts w:asciiTheme="majorBidi" w:hAnsiTheme="majorBidi" w:cstheme="majorBidi"/>
          <w:sz w:val="26"/>
          <w:szCs w:val="26"/>
        </w:rPr>
        <w:t>WCO, 2025</w:t>
      </w:r>
      <w:r w:rsidRPr="009C6000">
        <w:rPr>
          <w:rFonts w:asciiTheme="majorBidi" w:hAnsiTheme="majorBidi" w:cs="Times New Roman"/>
          <w:sz w:val="26"/>
          <w:szCs w:val="26"/>
          <w:rtl/>
        </w:rPr>
        <w:t>)، مقابل المرتبة السابعة إقليمياً لـ</w:t>
      </w:r>
      <w:r w:rsidRPr="009C6000">
        <w:rPr>
          <w:rFonts w:asciiTheme="majorBidi" w:hAnsiTheme="majorBidi" w:cstheme="majorBidi"/>
          <w:sz w:val="26"/>
          <w:szCs w:val="26"/>
        </w:rPr>
        <w:t>FTA</w:t>
      </w:r>
      <w:r w:rsidRPr="009C6000">
        <w:rPr>
          <w:rFonts w:asciiTheme="majorBidi" w:hAnsiTheme="majorBidi" w:cs="Times New Roman"/>
          <w:sz w:val="26"/>
          <w:szCs w:val="26"/>
          <w:rtl/>
        </w:rPr>
        <w:t>.</w:t>
      </w:r>
    </w:p>
    <w:p w14:paraId="2D590EF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2.8.3.4 </w:t>
      </w:r>
      <w:r w:rsidRPr="00CA6580">
        <w:rPr>
          <w:rFonts w:asciiTheme="majorBidi" w:hAnsiTheme="majorBidi" w:cs="PT Bold Heading"/>
          <w:sz w:val="26"/>
          <w:szCs w:val="26"/>
          <w:rtl/>
        </w:rPr>
        <w:t xml:space="preserve">التقييم العام والمقارنة الاستراتيجية:  </w:t>
      </w:r>
    </w:p>
    <w:p w14:paraId="4C9F57B8"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تُعد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و</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نموذجين مكملين؛ فـ</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تركز على العائد الاقتصادي المباشر المرتبط برؤية 2030 من خلال السرعة والكفاءة، بينما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تبني منظومة شاملة تركز على الاستدامة والثقة الرقمية. </w:t>
      </w:r>
    </w:p>
    <w:p w14:paraId="17F506B6" w14:textId="77777777" w:rsidR="00202E2A" w:rsidRPr="009C6000" w:rsidRDefault="00202E2A" w:rsidP="00202E2A">
      <w:pPr>
        <w:bidi/>
        <w:spacing w:line="240" w:lineRule="auto"/>
        <w:jc w:val="lowKashida"/>
        <w:rPr>
          <w:rFonts w:asciiTheme="majorBidi" w:hAnsiTheme="majorBidi" w:cstheme="majorBidi"/>
          <w:sz w:val="26"/>
          <w:szCs w:val="26"/>
        </w:rPr>
      </w:pPr>
    </w:p>
    <w:p w14:paraId="2E0F37EE" w14:textId="77777777" w:rsidR="00202E2A" w:rsidRPr="00A92155" w:rsidRDefault="00202E2A" w:rsidP="00202E2A">
      <w:pPr>
        <w:bidi/>
        <w:spacing w:line="240" w:lineRule="auto"/>
        <w:jc w:val="center"/>
        <w:rPr>
          <w:rFonts w:asciiTheme="majorBidi" w:hAnsiTheme="majorBidi" w:cs="Times New Roman"/>
          <w:b/>
          <w:bCs/>
          <w:sz w:val="26"/>
          <w:szCs w:val="26"/>
        </w:rPr>
      </w:pPr>
      <w:r w:rsidRPr="00A92155">
        <w:rPr>
          <w:rFonts w:asciiTheme="majorBidi" w:hAnsiTheme="majorBidi" w:cs="Times New Roman"/>
          <w:b/>
          <w:bCs/>
          <w:sz w:val="26"/>
          <w:szCs w:val="26"/>
          <w:rtl/>
        </w:rPr>
        <w:t>جدول المقارنة المباشرة في الأداء الجمركي والضريبي</w:t>
      </w:r>
    </w:p>
    <w:tbl>
      <w:tblPr>
        <w:tblStyle w:val="GridTable5Dark"/>
        <w:tblW w:w="0" w:type="auto"/>
        <w:tblLook w:val="04A0" w:firstRow="1" w:lastRow="0" w:firstColumn="1" w:lastColumn="0" w:noHBand="0" w:noVBand="1"/>
      </w:tblPr>
      <w:tblGrid>
        <w:gridCol w:w="4153"/>
        <w:gridCol w:w="1872"/>
        <w:gridCol w:w="1899"/>
        <w:gridCol w:w="1426"/>
      </w:tblGrid>
      <w:tr w:rsidR="00202E2A" w:rsidRPr="00A92155" w14:paraId="4ADC3654"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167B3"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المؤشر الكمي والكيفي</w:t>
            </w:r>
          </w:p>
        </w:tc>
        <w:tc>
          <w:tcPr>
            <w:tcW w:w="0" w:type="auto"/>
            <w:hideMark/>
          </w:tcPr>
          <w:p w14:paraId="1A540763" w14:textId="77777777" w:rsidR="00202E2A" w:rsidRPr="00A92155" w:rsidRDefault="00202E2A" w:rsidP="00A62496">
            <w:pPr>
              <w:bidi/>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ZATCA </w:t>
            </w:r>
            <w:r w:rsidRPr="00A92155">
              <w:rPr>
                <w:rFonts w:ascii="Times New Roman" w:hAnsi="Times New Roman" w:cs="Times New Roman"/>
                <w:sz w:val="26"/>
                <w:szCs w:val="26"/>
                <w:rtl/>
              </w:rPr>
              <w:t>السعودية</w:t>
            </w:r>
          </w:p>
        </w:tc>
        <w:tc>
          <w:tcPr>
            <w:tcW w:w="0" w:type="auto"/>
            <w:hideMark/>
          </w:tcPr>
          <w:p w14:paraId="24AC0DC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FTA </w:t>
            </w:r>
            <w:r w:rsidRPr="00A92155">
              <w:rPr>
                <w:rFonts w:ascii="Times New Roman" w:hAnsi="Times New Roman" w:cs="Times New Roman"/>
                <w:sz w:val="26"/>
                <w:szCs w:val="26"/>
                <w:rtl/>
              </w:rPr>
              <w:t>الإمارات</w:t>
            </w:r>
          </w:p>
        </w:tc>
        <w:tc>
          <w:tcPr>
            <w:tcW w:w="0" w:type="auto"/>
            <w:hideMark/>
          </w:tcPr>
          <w:p w14:paraId="7799303B"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الجهة المتفوقة</w:t>
            </w:r>
          </w:p>
        </w:tc>
      </w:tr>
      <w:tr w:rsidR="00202E2A" w:rsidRPr="00A92155" w14:paraId="0BF66F4E"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D07C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النضج الرقمي الجمركي</w:t>
            </w:r>
            <w:r w:rsidRPr="00A92155">
              <w:rPr>
                <w:rFonts w:ascii="Times New Roman" w:hAnsi="Times New Roman" w:cs="Times New Roman"/>
                <w:sz w:val="26"/>
                <w:szCs w:val="26"/>
              </w:rPr>
              <w:t xml:space="preserve"> (WCO 2025)</w:t>
            </w:r>
          </w:p>
        </w:tc>
        <w:tc>
          <w:tcPr>
            <w:tcW w:w="0" w:type="auto"/>
            <w:hideMark/>
          </w:tcPr>
          <w:p w14:paraId="5DBF961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93.4%</w:t>
            </w:r>
          </w:p>
        </w:tc>
        <w:tc>
          <w:tcPr>
            <w:tcW w:w="0" w:type="auto"/>
            <w:hideMark/>
          </w:tcPr>
          <w:p w14:paraId="19EE9B19"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91.2%</w:t>
            </w:r>
          </w:p>
        </w:tc>
        <w:tc>
          <w:tcPr>
            <w:tcW w:w="0" w:type="auto"/>
            <w:hideMark/>
          </w:tcPr>
          <w:p w14:paraId="71C0C946"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742F467C"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0818B3F8"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متوسط زمن التخليص الجمركي</w:t>
            </w:r>
          </w:p>
        </w:tc>
        <w:tc>
          <w:tcPr>
            <w:tcW w:w="0" w:type="auto"/>
            <w:hideMark/>
          </w:tcPr>
          <w:p w14:paraId="36BCE0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4.1 </w:t>
            </w:r>
            <w:r w:rsidRPr="00A92155">
              <w:rPr>
                <w:rFonts w:ascii="Times New Roman" w:hAnsi="Times New Roman" w:cs="Times New Roman"/>
                <w:sz w:val="26"/>
                <w:szCs w:val="26"/>
                <w:rtl/>
              </w:rPr>
              <w:t>ساعات</w:t>
            </w:r>
          </w:p>
        </w:tc>
        <w:tc>
          <w:tcPr>
            <w:tcW w:w="0" w:type="auto"/>
            <w:hideMark/>
          </w:tcPr>
          <w:p w14:paraId="06EFEE5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5.8 </w:t>
            </w:r>
            <w:r w:rsidRPr="00A92155">
              <w:rPr>
                <w:rFonts w:ascii="Times New Roman" w:hAnsi="Times New Roman" w:cs="Times New Roman"/>
                <w:sz w:val="26"/>
                <w:szCs w:val="26"/>
                <w:rtl/>
              </w:rPr>
              <w:t>ساعات</w:t>
            </w:r>
          </w:p>
        </w:tc>
        <w:tc>
          <w:tcPr>
            <w:tcW w:w="0" w:type="auto"/>
            <w:hideMark/>
          </w:tcPr>
          <w:p w14:paraId="3D9765F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3107DEA"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0051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كشف التهريب والتهرب الضريبي</w:t>
            </w:r>
          </w:p>
        </w:tc>
        <w:tc>
          <w:tcPr>
            <w:tcW w:w="0" w:type="auto"/>
            <w:hideMark/>
          </w:tcPr>
          <w:p w14:paraId="7FC15CAF"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67</w:t>
            </w:r>
            <w:r w:rsidRPr="00A92155">
              <w:rPr>
                <w:rFonts w:ascii="Times New Roman" w:hAnsi="Times New Roman" w:cs="Times New Roman"/>
                <w:sz w:val="26"/>
                <w:szCs w:val="26"/>
              </w:rPr>
              <w:t>%</w:t>
            </w:r>
          </w:p>
        </w:tc>
        <w:tc>
          <w:tcPr>
            <w:tcW w:w="0" w:type="auto"/>
            <w:hideMark/>
          </w:tcPr>
          <w:p w14:paraId="380DB1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52</w:t>
            </w:r>
            <w:r w:rsidRPr="00A92155">
              <w:rPr>
                <w:rFonts w:ascii="Times New Roman" w:hAnsi="Times New Roman" w:cs="Times New Roman"/>
                <w:sz w:val="26"/>
                <w:szCs w:val="26"/>
              </w:rPr>
              <w:t>%</w:t>
            </w:r>
          </w:p>
        </w:tc>
        <w:tc>
          <w:tcPr>
            <w:tcW w:w="0" w:type="auto"/>
            <w:hideMark/>
          </w:tcPr>
          <w:p w14:paraId="005B2113"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D9A8A0D"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6ABB53B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الزيادة في الإيرادات الضريبية</w:t>
            </w:r>
          </w:p>
        </w:tc>
        <w:tc>
          <w:tcPr>
            <w:tcW w:w="0" w:type="auto"/>
            <w:hideMark/>
          </w:tcPr>
          <w:p w14:paraId="2F86CC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+28.7%</w:t>
            </w:r>
          </w:p>
        </w:tc>
        <w:tc>
          <w:tcPr>
            <w:tcW w:w="0" w:type="auto"/>
            <w:hideMark/>
          </w:tcPr>
          <w:p w14:paraId="6152AAA4"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+19.4%</w:t>
            </w:r>
          </w:p>
        </w:tc>
        <w:tc>
          <w:tcPr>
            <w:tcW w:w="0" w:type="auto"/>
            <w:hideMark/>
          </w:tcPr>
          <w:p w14:paraId="3B69317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5166DDD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EF1E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جاهزية التشفير ما بعد الكم</w:t>
            </w:r>
            <w:r w:rsidRPr="00A92155">
              <w:rPr>
                <w:rFonts w:ascii="Times New Roman" w:hAnsi="Times New Roman" w:cs="Times New Roman"/>
                <w:sz w:val="26"/>
                <w:szCs w:val="26"/>
              </w:rPr>
              <w:t xml:space="preserve"> (Post-Quantum)</w:t>
            </w:r>
          </w:p>
        </w:tc>
        <w:tc>
          <w:tcPr>
            <w:tcW w:w="0" w:type="auto"/>
            <w:hideMark/>
          </w:tcPr>
          <w:p w14:paraId="1E84362B"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11EC90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81%</w:t>
            </w:r>
          </w:p>
        </w:tc>
        <w:tc>
          <w:tcPr>
            <w:tcW w:w="0" w:type="auto"/>
            <w:hideMark/>
          </w:tcPr>
          <w:p w14:paraId="25127D8A"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138E162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725A531B"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مستوى الثقة الرقمية والخصوصية</w:t>
            </w:r>
          </w:p>
        </w:tc>
        <w:tc>
          <w:tcPr>
            <w:tcW w:w="0" w:type="auto"/>
            <w:hideMark/>
          </w:tcPr>
          <w:p w14:paraId="0E331B43"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9A994E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96%</w:t>
            </w:r>
          </w:p>
        </w:tc>
        <w:tc>
          <w:tcPr>
            <w:tcW w:w="0" w:type="auto"/>
            <w:hideMark/>
          </w:tcPr>
          <w:p w14:paraId="59C271A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136FECF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51995"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درجة التكامل مع القطاع الخاص</w:t>
            </w:r>
          </w:p>
        </w:tc>
        <w:tc>
          <w:tcPr>
            <w:tcW w:w="0" w:type="auto"/>
            <w:hideMark/>
          </w:tcPr>
          <w:p w14:paraId="71E3382D"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w:t>
            </w:r>
          </w:p>
        </w:tc>
        <w:tc>
          <w:tcPr>
            <w:tcW w:w="0" w:type="auto"/>
            <w:hideMark/>
          </w:tcPr>
          <w:p w14:paraId="34EF08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94%</w:t>
            </w:r>
          </w:p>
        </w:tc>
        <w:tc>
          <w:tcPr>
            <w:tcW w:w="0" w:type="auto"/>
            <w:hideMark/>
          </w:tcPr>
          <w:p w14:paraId="5121A97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609C3FAF"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47E371D0"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الترتيب العالمي في تقرير</w:t>
            </w:r>
            <w:r w:rsidRPr="00A92155">
              <w:rPr>
                <w:rFonts w:ascii="Times New Roman" w:hAnsi="Times New Roman" w:cs="Times New Roman"/>
                <w:sz w:val="26"/>
                <w:szCs w:val="26"/>
              </w:rPr>
              <w:t xml:space="preserve"> Customs 4.0</w:t>
            </w:r>
          </w:p>
        </w:tc>
        <w:tc>
          <w:tcPr>
            <w:tcW w:w="0" w:type="auto"/>
            <w:hideMark/>
          </w:tcPr>
          <w:p w14:paraId="7B921279"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الرابعة</w:t>
            </w:r>
          </w:p>
        </w:tc>
        <w:tc>
          <w:tcPr>
            <w:tcW w:w="0" w:type="auto"/>
            <w:hideMark/>
          </w:tcPr>
          <w:p w14:paraId="2DDBAAF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السابعة إقليمياً</w:t>
            </w:r>
          </w:p>
        </w:tc>
        <w:tc>
          <w:tcPr>
            <w:tcW w:w="0" w:type="auto"/>
            <w:hideMark/>
          </w:tcPr>
          <w:p w14:paraId="5F3A74B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bl>
    <w:p w14:paraId="6544070C" w14:textId="77777777" w:rsidR="00202E2A" w:rsidRPr="009C6000" w:rsidRDefault="00202E2A" w:rsidP="00202E2A">
      <w:pPr>
        <w:bidi/>
        <w:spacing w:line="240" w:lineRule="auto"/>
        <w:jc w:val="lowKashida"/>
        <w:rPr>
          <w:rFonts w:asciiTheme="majorBidi" w:hAnsiTheme="majorBidi" w:cs="Times New Roman"/>
          <w:b/>
          <w:bCs/>
          <w:rtl/>
        </w:rPr>
      </w:pPr>
      <w:r w:rsidRPr="009C6000">
        <w:rPr>
          <w:rFonts w:asciiTheme="majorBidi" w:hAnsiTheme="majorBidi" w:cs="Times New Roman" w:hint="cs"/>
          <w:b/>
          <w:bCs/>
          <w:rtl/>
        </w:rPr>
        <w:t>المصدر: إعداد الباحث وفقاً للتقارير السابق</w:t>
      </w:r>
      <w:r w:rsidRPr="009C6000">
        <w:rPr>
          <w:rFonts w:asciiTheme="majorBidi" w:hAnsiTheme="majorBidi" w:cs="Times New Roman" w:hint="eastAsia"/>
          <w:b/>
          <w:bCs/>
          <w:rtl/>
        </w:rPr>
        <w:t>ة</w:t>
      </w:r>
      <w:r w:rsidRPr="009C6000">
        <w:rPr>
          <w:rFonts w:asciiTheme="majorBidi" w:hAnsiTheme="majorBidi" w:cs="Times New Roman" w:hint="cs"/>
          <w:b/>
          <w:bCs/>
          <w:rtl/>
        </w:rPr>
        <w:t>.</w:t>
      </w:r>
    </w:p>
    <w:p w14:paraId="7DCF3577"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التحليل</w:t>
      </w:r>
      <w:r w:rsidRPr="00CA6580">
        <w:rPr>
          <w:rFonts w:asciiTheme="majorBidi" w:hAnsiTheme="majorBidi" w:cs="PT Bold Heading"/>
          <w:sz w:val="26"/>
          <w:szCs w:val="26"/>
          <w:rtl/>
        </w:rPr>
        <w:t xml:space="preserve"> التطبيقي:</w:t>
      </w:r>
    </w:p>
    <w:p w14:paraId="11431BD5"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نجحت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تحويل التحول الرقمي إلى أداة اقتصادية وطنية فعّالة تُحقق تيسير التجارة عبر تعزيز الأمن الجمركي كوسيط أساسي ضمن رؤية 2030، بينما ركزت الهيئة الاتحادية للضرائب </w:t>
      </w:r>
      <w:r w:rsidRPr="009C6000">
        <w:rPr>
          <w:rFonts w:asciiTheme="majorBidi" w:hAnsiTheme="majorBidi" w:cs="Times New Roman"/>
          <w:sz w:val="26"/>
          <w:szCs w:val="26"/>
          <w:rtl/>
        </w:rPr>
        <w:lastRenderedPageBreak/>
        <w:t>(</w:t>
      </w:r>
      <w:r w:rsidRPr="009C6000">
        <w:rPr>
          <w:rFonts w:asciiTheme="majorBidi" w:hAnsiTheme="majorBidi" w:cstheme="majorBidi"/>
          <w:sz w:val="26"/>
          <w:szCs w:val="26"/>
        </w:rPr>
        <w:t>FTA</w:t>
      </w:r>
      <w:r w:rsidRPr="009C6000">
        <w:rPr>
          <w:rFonts w:asciiTheme="majorBidi" w:hAnsiTheme="majorBidi" w:cs="Times New Roman"/>
          <w:sz w:val="26"/>
          <w:szCs w:val="26"/>
          <w:rtl/>
        </w:rPr>
        <w:t>) على بناء منظومة رقمية شاملة ومبتكرة تضمن استدامة الأمن والتجارة على المدى الطويل، مما يجعل النموذجين السعودي والإماراتي مكملين لبعضهما ومرجعاً عالمياً للدول الطامحة للريادة الرقمية.</w:t>
      </w:r>
    </w:p>
    <w:p w14:paraId="568F68C2" w14:textId="77777777" w:rsidR="00202E2A" w:rsidRPr="00CA6580" w:rsidRDefault="00202E2A" w:rsidP="00202E2A">
      <w:pPr>
        <w:bidi/>
        <w:spacing w:line="240" w:lineRule="auto"/>
        <w:jc w:val="lowKashida"/>
        <w:rPr>
          <w:rFonts w:asciiTheme="majorBidi" w:hAnsiTheme="majorBidi" w:cs="PT Bold Heading"/>
          <w:sz w:val="26"/>
          <w:szCs w:val="26"/>
        </w:rPr>
      </w:pPr>
      <w:r w:rsidRPr="00CA6580">
        <w:rPr>
          <w:rFonts w:asciiTheme="majorBidi" w:hAnsiTheme="majorBidi" w:cs="PT Bold Heading"/>
          <w:sz w:val="26"/>
          <w:szCs w:val="26"/>
          <w:rtl/>
        </w:rPr>
        <w:t>2.8.4 الفجوة البحثية</w:t>
      </w:r>
      <w:r>
        <w:rPr>
          <w:rFonts w:asciiTheme="majorBidi" w:hAnsiTheme="majorBidi" w:cs="PT Bold Heading" w:hint="cs"/>
          <w:sz w:val="26"/>
          <w:szCs w:val="26"/>
          <w:rtl/>
        </w:rPr>
        <w:t>:</w:t>
      </w:r>
    </w:p>
    <w:p w14:paraId="56B2C506" w14:textId="77777777" w:rsidR="00202E2A" w:rsidRPr="00624BF3" w:rsidRDefault="00202E2A" w:rsidP="00202E2A">
      <w:pPr>
        <w:bidi/>
        <w:spacing w:line="240" w:lineRule="auto"/>
        <w:jc w:val="lowKashida"/>
        <w:rPr>
          <w:rFonts w:asciiTheme="majorBidi" w:hAnsiTheme="majorBidi" w:cstheme="majorBidi"/>
          <w:b/>
          <w:bCs/>
          <w:sz w:val="26"/>
          <w:szCs w:val="26"/>
        </w:rPr>
      </w:pPr>
      <w:r w:rsidRPr="00624BF3">
        <w:rPr>
          <w:rFonts w:asciiTheme="majorBidi" w:hAnsiTheme="majorBidi" w:cs="Times New Roman"/>
          <w:b/>
          <w:bCs/>
          <w:sz w:val="26"/>
          <w:szCs w:val="26"/>
          <w:rtl/>
        </w:rPr>
        <w:t>رغم التقدم في الدراسات السعودية والإماراتية 2025:</w:t>
      </w:r>
    </w:p>
    <w:p w14:paraId="233D5C43"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لا توجد دراسة ميدانية سعودية تستخدم لاختبار تعزيز الأمن في </w:t>
      </w:r>
      <w:r w:rsidRPr="00624BF3">
        <w:rPr>
          <w:rFonts w:asciiTheme="majorBidi" w:hAnsiTheme="majorBidi" w:cstheme="majorBidi"/>
          <w:sz w:val="26"/>
          <w:szCs w:val="26"/>
        </w:rPr>
        <w:t>ZATCA</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Wave 23-25</w:t>
      </w:r>
      <w:r w:rsidRPr="00624BF3">
        <w:rPr>
          <w:rFonts w:asciiTheme="majorBidi" w:hAnsiTheme="majorBidi" w:cs="Times New Roman"/>
          <w:sz w:val="26"/>
          <w:szCs w:val="26"/>
          <w:rtl/>
        </w:rPr>
        <w:t xml:space="preserve">، مع مقارنة إحصائية مباشرة بـ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04092B18"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غياب تحليل كمي لبيانات </w:t>
      </w:r>
      <w:r w:rsidRPr="00624BF3">
        <w:rPr>
          <w:rFonts w:asciiTheme="majorBidi" w:hAnsiTheme="majorBidi" w:cstheme="majorBidi"/>
          <w:sz w:val="26"/>
          <w:szCs w:val="26"/>
        </w:rPr>
        <w:t>Fasah</w:t>
      </w:r>
      <w:r w:rsidRPr="00624BF3">
        <w:rPr>
          <w:rFonts w:asciiTheme="majorBidi" w:hAnsiTheme="majorBidi" w:cs="Times New Roman"/>
          <w:sz w:val="26"/>
          <w:szCs w:val="26"/>
          <w:rtl/>
        </w:rPr>
        <w:t xml:space="preserve"> </w:t>
      </w:r>
      <w:r w:rsidRPr="00624BF3">
        <w:rPr>
          <w:rFonts w:asciiTheme="majorBidi" w:hAnsiTheme="majorBidi" w:cstheme="majorBidi"/>
          <w:sz w:val="26"/>
          <w:szCs w:val="26"/>
        </w:rPr>
        <w:t>Post-Quantum</w:t>
      </w:r>
      <w:r w:rsidRPr="00624BF3">
        <w:rPr>
          <w:rFonts w:asciiTheme="majorBidi" w:hAnsiTheme="majorBidi" w:cs="Times New Roman"/>
          <w:sz w:val="26"/>
          <w:szCs w:val="26"/>
          <w:rtl/>
        </w:rPr>
        <w:t xml:space="preserve"> مقارنة بنظام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6EC6E666"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قلة المقارنات الإحصائية مع </w:t>
      </w:r>
      <w:r w:rsidRPr="00624BF3">
        <w:rPr>
          <w:rFonts w:asciiTheme="majorBidi" w:hAnsiTheme="majorBidi" w:cstheme="majorBidi"/>
          <w:sz w:val="26"/>
          <w:szCs w:val="26"/>
        </w:rPr>
        <w:t>FTA</w:t>
      </w:r>
      <w:r w:rsidRPr="00624BF3">
        <w:rPr>
          <w:rFonts w:asciiTheme="majorBidi" w:hAnsiTheme="majorBidi" w:cs="Times New Roman"/>
          <w:sz w:val="26"/>
          <w:szCs w:val="26"/>
          <w:rtl/>
        </w:rPr>
        <w:t xml:space="preserve"> في </w:t>
      </w:r>
      <w:r w:rsidRPr="00624BF3">
        <w:rPr>
          <w:rFonts w:asciiTheme="majorBidi" w:hAnsiTheme="majorBidi" w:cstheme="majorBidi"/>
          <w:sz w:val="26"/>
          <w:szCs w:val="26"/>
        </w:rPr>
        <w:t>Digital Trust</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VR Training</w:t>
      </w:r>
      <w:r w:rsidRPr="00624BF3">
        <w:rPr>
          <w:rFonts w:asciiTheme="majorBidi" w:hAnsiTheme="majorBidi" w:cs="Times New Roman"/>
          <w:sz w:val="26"/>
          <w:szCs w:val="26"/>
          <w:rtl/>
        </w:rPr>
        <w:t>.</w:t>
      </w:r>
    </w:p>
    <w:p w14:paraId="5F81B71C"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الدراسات تغطي حتى أكتوبر 2025، بينما البحث الحالي يستخدم بيانات نوفمبر 2025 (بعد </w:t>
      </w:r>
      <w:r w:rsidRPr="00624BF3">
        <w:rPr>
          <w:rFonts w:asciiTheme="majorBidi" w:hAnsiTheme="majorBidi" w:cstheme="majorBidi"/>
          <w:sz w:val="26"/>
          <w:szCs w:val="26"/>
        </w:rPr>
        <w:t>Phase 1 Smart Customs</w:t>
      </w:r>
      <w:r w:rsidRPr="00624BF3">
        <w:rPr>
          <w:rFonts w:asciiTheme="majorBidi" w:hAnsiTheme="majorBidi" w:cs="Times New Roman"/>
          <w:sz w:val="26"/>
          <w:szCs w:val="26"/>
          <w:rtl/>
        </w:rPr>
        <w:t>).</w:t>
      </w:r>
    </w:p>
    <w:p w14:paraId="0E5AA848" w14:textId="77777777" w:rsidR="00202E2A" w:rsidRPr="00624BF3" w:rsidRDefault="00202E2A" w:rsidP="00202E2A">
      <w:pPr>
        <w:bidi/>
        <w:spacing w:line="240" w:lineRule="auto"/>
        <w:jc w:val="lowKashida"/>
        <w:rPr>
          <w:rFonts w:asciiTheme="majorBidi" w:hAnsiTheme="majorBidi" w:cs="Times New Roman"/>
          <w:b/>
          <w:bCs/>
          <w:sz w:val="26"/>
          <w:szCs w:val="26"/>
        </w:rPr>
      </w:pPr>
      <w:r w:rsidRPr="00624BF3">
        <w:rPr>
          <w:rFonts w:asciiTheme="majorBidi" w:hAnsiTheme="majorBidi" w:cs="Times New Roman"/>
          <w:b/>
          <w:bCs/>
          <w:sz w:val="26"/>
          <w:szCs w:val="26"/>
          <w:rtl/>
        </w:rPr>
        <w:t>تسد الدراسة الحالية هذه الفجوات بشكل شامل ومنهجي من خلال:</w:t>
      </w:r>
    </w:p>
    <w:p w14:paraId="46F69657" w14:textId="37943A29"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جمع عينة بحثية واسعة ومتنوعة تضم </w:t>
      </w:r>
      <w:r w:rsidR="0074696B">
        <w:rPr>
          <w:rFonts w:asciiTheme="majorBidi" w:hAnsiTheme="majorBidi" w:cs="Times New Roman" w:hint="cs"/>
          <w:sz w:val="26"/>
          <w:szCs w:val="26"/>
          <w:rtl/>
        </w:rPr>
        <w:t>400</w:t>
      </w:r>
      <w:r w:rsidRPr="00624BF3">
        <w:rPr>
          <w:rFonts w:asciiTheme="majorBidi" w:hAnsiTheme="majorBidi" w:cs="Times New Roman"/>
          <w:sz w:val="26"/>
          <w:szCs w:val="26"/>
          <w:rtl/>
        </w:rPr>
        <w:t xml:space="preserve"> مشاركاً، تشمل موظفي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من مختلف الإدارات (الجمارك، الضرائب، الأمن السيبراني)، وتجاراً من القطاع الخاص (شركات صغيرة وكبرى)، وخبراء أكاديميين واستشاريين في التحول الرقمي، مما يضمن تمثيلاً شاملاً لجميع الأطراف المعنية ويعزز مصداقية النتائج وإمكانية تعميمها على الواقع العملي.</w:t>
      </w:r>
    </w:p>
    <w:p w14:paraId="7CF26CAE"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اختبار الفرضيات بدقة علمية عالية باستخدام بيانات حية ومحدثة مباشرة من منصات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الرسمية، مثل نظام "فسح" للتخليص الجمركي و"فاتورة" للفوترة الإلكترونية، وذلك بعد إطلاق المرحلة الأولى من مبادرة الجمارك الذكية (</w:t>
      </w:r>
      <w:r w:rsidRPr="00624BF3">
        <w:rPr>
          <w:rFonts w:asciiTheme="majorBidi" w:hAnsiTheme="majorBidi" w:cs="Times New Roman"/>
          <w:sz w:val="26"/>
          <w:szCs w:val="26"/>
        </w:rPr>
        <w:t>Phase 1 Smart Customs</w:t>
      </w:r>
      <w:r w:rsidRPr="00624BF3">
        <w:rPr>
          <w:rFonts w:asciiTheme="majorBidi" w:hAnsiTheme="majorBidi" w:cs="Times New Roman"/>
          <w:sz w:val="26"/>
          <w:szCs w:val="26"/>
          <w:rtl/>
        </w:rPr>
        <w:t>) في نوفمبر 2025، مما يتيح قياس التأثير الفعلي للتحديثات الرقمية الأخيرة على تعزيز الأمن (كشف التهريب، منع الهجمات السيبرانية) وتيسير التجارة (تقليل الوقت، خفض التكاليف، زيادة الامتثال).</w:t>
      </w:r>
    </w:p>
    <w:p w14:paraId="7B4050AF"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إجراء مقارنات إحصائية مباشرة ودقيقة مع الهيئة الاتحادية للضرائب (</w:t>
      </w:r>
      <w:r w:rsidRPr="00624BF3">
        <w:rPr>
          <w:rFonts w:asciiTheme="majorBidi" w:hAnsiTheme="majorBidi" w:cs="Times New Roman"/>
          <w:sz w:val="26"/>
          <w:szCs w:val="26"/>
        </w:rPr>
        <w:t>FTA</w:t>
      </w:r>
      <w:r w:rsidRPr="00624BF3">
        <w:rPr>
          <w:rFonts w:asciiTheme="majorBidi" w:hAnsiTheme="majorBidi" w:cs="Times New Roman"/>
          <w:sz w:val="26"/>
          <w:szCs w:val="26"/>
          <w:rtl/>
        </w:rPr>
        <w:t xml:space="preserve">) في الإمارات، بالإضافة إلى خمس هيئات جمركية و ضريبية دولية رائدة (جمارك سنغافورة، إستونيا، كوريا الجنوبية، الاتحاد الأوروبي عبر النافذة الواحدة، وجمارك دبي)، بحيث تُقارن مؤشرات الأداء الرئيسية مثل: زمن التخليص، نسبة الكشف عن المخاطر، مستوى الثقة الرقمية، جاهزية التشفير ما بعد الكم، ودرجة التكامل مع القطاع الخاص، مما يكشف نقاط القوة 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ويحدد مجالات التحسين الممكنة من خلال الاستفادة من التجارب العالمية.</w:t>
      </w:r>
    </w:p>
    <w:p w14:paraId="6D6444FB"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اقتراح نموذج نموذج الأمان بالتصميم (</w:t>
      </w:r>
      <w:r w:rsidRPr="00624BF3">
        <w:rPr>
          <w:rFonts w:asciiTheme="majorBidi" w:hAnsiTheme="majorBidi" w:cs="Times New Roman"/>
          <w:sz w:val="26"/>
          <w:szCs w:val="26"/>
        </w:rPr>
        <w:t>Secure-by-Design Model</w:t>
      </w:r>
      <w:r w:rsidRPr="00624BF3">
        <w:rPr>
          <w:rFonts w:asciiTheme="majorBidi" w:hAnsiTheme="majorBidi" w:cs="Times New Roman"/>
          <w:sz w:val="26"/>
          <w:szCs w:val="26"/>
          <w:rtl/>
        </w:rPr>
        <w:t>) الخليجي المبتكر، وهو إطار عملي متكامل وسهل التطبيق يُصمم فيه الأمن السيبراني والجمركي منذ المرحلة الأولى لأي نظام رقمي (وليس كإضافة لاحقة)، بحيث:</w:t>
      </w:r>
    </w:p>
    <w:p w14:paraId="3AB7315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يجمع أفضل ممارسات </w:t>
      </w:r>
      <w:r w:rsidRPr="00B77C3A">
        <w:rPr>
          <w:rFonts w:asciiTheme="majorBidi" w:hAnsiTheme="majorBidi" w:cs="Times New Roman"/>
          <w:sz w:val="26"/>
          <w:szCs w:val="26"/>
        </w:rPr>
        <w:t>ZATCA</w:t>
      </w:r>
      <w:r w:rsidRPr="00B77C3A">
        <w:rPr>
          <w:rFonts w:asciiTheme="majorBidi" w:hAnsiTheme="majorBidi" w:cs="Times New Roman"/>
          <w:sz w:val="26"/>
          <w:szCs w:val="26"/>
          <w:rtl/>
        </w:rPr>
        <w:t>: السرعة الفائقة في التخليص (4.1 ساعات)، التوفير الاقتصادي الكبير (4.2 مليار ريال سنوياً)، والتكامل العميق مع رؤية 2030 من خلال دعم الاقتصاد الرقمي والإيرادات الضريبية.</w:t>
      </w:r>
    </w:p>
    <w:p w14:paraId="20EBCC1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مع أفضل ممارسات </w:t>
      </w:r>
      <w:r w:rsidRPr="00B77C3A">
        <w:rPr>
          <w:rFonts w:asciiTheme="majorBidi" w:hAnsiTheme="majorBidi" w:cs="Times New Roman"/>
          <w:sz w:val="26"/>
          <w:szCs w:val="26"/>
        </w:rPr>
        <w:t>FTA</w:t>
      </w:r>
      <w:r w:rsidRPr="00B77C3A">
        <w:rPr>
          <w:rFonts w:asciiTheme="majorBidi" w:hAnsiTheme="majorBidi" w:cs="Times New Roman"/>
          <w:sz w:val="26"/>
          <w:szCs w:val="26"/>
          <w:rtl/>
        </w:rPr>
        <w:t xml:space="preserve">: مستوى عالٍ من الثقة الرقمية (96%)، حماية الخصوصية وفق معايير </w:t>
      </w:r>
      <w:r w:rsidRPr="00B77C3A">
        <w:rPr>
          <w:rFonts w:asciiTheme="majorBidi" w:hAnsiTheme="majorBidi" w:cs="Times New Roman"/>
          <w:sz w:val="26"/>
          <w:szCs w:val="26"/>
        </w:rPr>
        <w:t>GDPR</w:t>
      </w:r>
      <w:r w:rsidRPr="00B77C3A">
        <w:rPr>
          <w:rFonts w:asciiTheme="majorBidi" w:hAnsiTheme="majorBidi" w:cs="Times New Roman"/>
          <w:sz w:val="26"/>
          <w:szCs w:val="26"/>
          <w:rtl/>
        </w:rPr>
        <w:t xml:space="preserve">، والاستدامة طويلة الأمد من خلال منصات شاملة مثل </w:t>
      </w:r>
      <w:r w:rsidRPr="00B77C3A">
        <w:rPr>
          <w:rFonts w:asciiTheme="majorBidi" w:hAnsiTheme="majorBidi" w:cs="Times New Roman"/>
          <w:sz w:val="26"/>
          <w:szCs w:val="26"/>
        </w:rPr>
        <w:t>TAMM 4.0</w:t>
      </w:r>
      <w:r w:rsidRPr="00B77C3A">
        <w:rPr>
          <w:rFonts w:asciiTheme="majorBidi" w:hAnsiTheme="majorBidi" w:cs="Times New Roman"/>
          <w:sz w:val="26"/>
          <w:szCs w:val="26"/>
          <w:rtl/>
        </w:rPr>
        <w:t>.</w:t>
      </w:r>
    </w:p>
    <w:p w14:paraId="11006146"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يُطبق عبر مراحل واضحة: (1) تقييم المخاطر الأمنية قبل تصميم النظام، (2) دمج التشفير ما بعد الكم والبلوكشين في البنية الأساسية، (3) تدريب مستمر باستخدام الواقع الافتراضي، (4) اختبار دوري للأداء والأمان، (5) تحديث تلقائي بناءً على بيانات حية.</w:t>
      </w:r>
    </w:p>
    <w:p w14:paraId="56A07DA4" w14:textId="77777777" w:rsidR="00202E2A" w:rsidRPr="00A92155" w:rsidRDefault="00202E2A" w:rsidP="00202E2A">
      <w:pPr>
        <w:bidi/>
        <w:spacing w:line="240" w:lineRule="auto"/>
        <w:ind w:left="1440"/>
        <w:jc w:val="lowKashida"/>
        <w:rPr>
          <w:rFonts w:asciiTheme="majorBidi" w:hAnsiTheme="majorBidi" w:cstheme="majorBidi"/>
          <w:sz w:val="26"/>
          <w:szCs w:val="26"/>
          <w:rtl/>
        </w:rPr>
      </w:pPr>
      <w:r w:rsidRPr="00B77C3A">
        <w:rPr>
          <w:rFonts w:asciiTheme="majorBidi" w:hAnsiTheme="majorBidi" w:cs="Times New Roman"/>
          <w:sz w:val="26"/>
          <w:szCs w:val="26"/>
          <w:rtl/>
        </w:rPr>
        <w:lastRenderedPageBreak/>
        <w:t xml:space="preserve">    - يُقدم كدليل عملي قابل للتطبيق فوراً في دول مجلس التعاون الخليجي، وكمرجع عالمي للدول الطامحة لتحقيق الريادة الرقمية ضمن رؤى التنمية الوطنية (مثل رؤية 2030، رؤية الإمارات 2031)، مع إمكانية تخصيصه حسب حجم الاقتصاد واحتياجات السوق المحلية.</w:t>
      </w:r>
    </w:p>
    <w:p w14:paraId="1ACA1184" w14:textId="77777777" w:rsidR="007C0017" w:rsidRDefault="007C0017" w:rsidP="007A0B3B">
      <w:pPr>
        <w:pStyle w:val="BlockText"/>
        <w:spacing w:line="360" w:lineRule="auto"/>
        <w:jc w:val="center"/>
        <w:outlineLvl w:val="0"/>
        <w:rPr>
          <w:rFonts w:cs="Simplified Arabic"/>
          <w:b/>
          <w:bCs/>
          <w:sz w:val="144"/>
          <w:szCs w:val="144"/>
          <w:lang w:bidi="ar-EG"/>
        </w:rPr>
      </w:pPr>
    </w:p>
    <w:p w14:paraId="327F462C" w14:textId="77777777" w:rsidR="007C0017" w:rsidRDefault="007C0017" w:rsidP="007A0B3B">
      <w:pPr>
        <w:pStyle w:val="BlockText"/>
        <w:spacing w:line="360" w:lineRule="auto"/>
        <w:jc w:val="center"/>
        <w:outlineLvl w:val="0"/>
        <w:rPr>
          <w:rFonts w:cs="Simplified Arabic"/>
          <w:b/>
          <w:bCs/>
          <w:sz w:val="144"/>
          <w:szCs w:val="144"/>
          <w:lang w:bidi="ar-EG"/>
        </w:rPr>
      </w:pPr>
    </w:p>
    <w:p w14:paraId="281D702A" w14:textId="77777777" w:rsidR="007C0017" w:rsidRDefault="007C0017" w:rsidP="007A0B3B">
      <w:pPr>
        <w:pStyle w:val="BlockText"/>
        <w:spacing w:line="360" w:lineRule="auto"/>
        <w:jc w:val="center"/>
        <w:outlineLvl w:val="0"/>
        <w:rPr>
          <w:rFonts w:cs="Simplified Arabic"/>
          <w:b/>
          <w:bCs/>
          <w:sz w:val="144"/>
          <w:szCs w:val="144"/>
          <w:lang w:bidi="ar-EG"/>
        </w:rPr>
      </w:pPr>
    </w:p>
    <w:p w14:paraId="12FC9582" w14:textId="77777777" w:rsidR="007C0017" w:rsidRDefault="007C0017" w:rsidP="007A0B3B">
      <w:pPr>
        <w:pStyle w:val="BlockText"/>
        <w:spacing w:line="360" w:lineRule="auto"/>
        <w:jc w:val="center"/>
        <w:outlineLvl w:val="0"/>
        <w:rPr>
          <w:rFonts w:cs="Simplified Arabic"/>
          <w:b/>
          <w:bCs/>
          <w:sz w:val="144"/>
          <w:szCs w:val="144"/>
          <w:lang w:bidi="ar-EG"/>
        </w:rPr>
      </w:pPr>
    </w:p>
    <w:p w14:paraId="4A96D735" w14:textId="77777777" w:rsidR="007C0017" w:rsidRDefault="007C0017" w:rsidP="007A0B3B">
      <w:pPr>
        <w:pStyle w:val="BlockText"/>
        <w:spacing w:line="360" w:lineRule="auto"/>
        <w:jc w:val="center"/>
        <w:outlineLvl w:val="0"/>
        <w:rPr>
          <w:rFonts w:cs="Simplified Arabic"/>
          <w:b/>
          <w:bCs/>
          <w:sz w:val="144"/>
          <w:szCs w:val="144"/>
          <w:lang w:bidi="ar-EG"/>
        </w:rPr>
      </w:pPr>
    </w:p>
    <w:p w14:paraId="5F9EE4BB" w14:textId="77777777" w:rsidR="007C0017" w:rsidRDefault="007C0017" w:rsidP="007A0B3B">
      <w:pPr>
        <w:pStyle w:val="BlockText"/>
        <w:spacing w:line="360" w:lineRule="auto"/>
        <w:jc w:val="center"/>
        <w:outlineLvl w:val="0"/>
        <w:rPr>
          <w:rFonts w:cs="Simplified Arabic"/>
          <w:b/>
          <w:bCs/>
          <w:sz w:val="144"/>
          <w:szCs w:val="144"/>
          <w:lang w:bidi="ar-EG"/>
        </w:rPr>
      </w:pPr>
    </w:p>
    <w:p w14:paraId="17DDB005" w14:textId="17CAF17C" w:rsidR="007A0B3B" w:rsidRPr="00404D88" w:rsidRDefault="007A0B3B" w:rsidP="007A0B3B">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الفصل الثالث</w:t>
      </w:r>
    </w:p>
    <w:p w14:paraId="2EB66923" w14:textId="1E877567" w:rsidR="007A0B3B" w:rsidRPr="00404D88" w:rsidRDefault="00FD18AC" w:rsidP="007A0B3B">
      <w:pPr>
        <w:pStyle w:val="BlockText"/>
        <w:spacing w:line="360" w:lineRule="auto"/>
        <w:jc w:val="center"/>
        <w:outlineLvl w:val="0"/>
        <w:rPr>
          <w:rFonts w:cs="Simplified Arabic"/>
          <w:b/>
          <w:bCs/>
          <w:sz w:val="144"/>
          <w:szCs w:val="144"/>
          <w:rtl/>
          <w:lang w:bidi="ar-EG"/>
        </w:rPr>
      </w:pPr>
      <w:r>
        <w:rPr>
          <w:rFonts w:cs="Simplified Arabic" w:hint="cs"/>
          <w:b/>
          <w:bCs/>
          <w:sz w:val="144"/>
          <w:szCs w:val="144"/>
          <w:rtl/>
          <w:lang w:bidi="ar-EG"/>
        </w:rPr>
        <w:t>منهج</w:t>
      </w:r>
      <w:r w:rsidR="002B3443">
        <w:rPr>
          <w:rFonts w:cs="Simplified Arabic" w:hint="cs"/>
          <w:b/>
          <w:bCs/>
          <w:sz w:val="144"/>
          <w:szCs w:val="144"/>
          <w:rtl/>
          <w:lang w:bidi="ar-EG"/>
        </w:rPr>
        <w:t>ية</w:t>
      </w:r>
      <w:r>
        <w:rPr>
          <w:rFonts w:cs="Simplified Arabic" w:hint="cs"/>
          <w:b/>
          <w:bCs/>
          <w:sz w:val="144"/>
          <w:szCs w:val="144"/>
          <w:rtl/>
          <w:lang w:bidi="ar-EG"/>
        </w:rPr>
        <w:t xml:space="preserve"> البحث</w:t>
      </w:r>
    </w:p>
    <w:p w14:paraId="26EC3BD5"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FC0253B"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196133E2"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1102AB6"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38E782D3" w14:textId="77777777" w:rsidR="007A0B3B" w:rsidRDefault="007A0B3B" w:rsidP="007A0B3B">
      <w:pPr>
        <w:pStyle w:val="BlockText"/>
        <w:spacing w:line="360" w:lineRule="auto"/>
        <w:jc w:val="lowKashida"/>
        <w:outlineLvl w:val="0"/>
        <w:rPr>
          <w:rFonts w:cs="Simplified Arabic"/>
          <w:b/>
          <w:bCs/>
          <w:sz w:val="28"/>
          <w:rtl/>
          <w:lang w:bidi="ar-EG"/>
        </w:rPr>
      </w:pPr>
      <w:r w:rsidRPr="00941E8A">
        <w:rPr>
          <w:rFonts w:cs="Simplified Arabic" w:hint="cs"/>
          <w:b/>
          <w:bCs/>
          <w:sz w:val="28"/>
          <w:rtl/>
        </w:rPr>
        <w:lastRenderedPageBreak/>
        <w:t>3/1 المقدمة:</w:t>
      </w:r>
      <w:r w:rsidRPr="00941E8A">
        <w:rPr>
          <w:rFonts w:cs="Simplified Arabic" w:hint="cs"/>
          <w:b/>
          <w:bCs/>
          <w:sz w:val="28"/>
          <w:rtl/>
          <w:lang w:bidi="ar-EG"/>
        </w:rPr>
        <w:t xml:space="preserve"> </w:t>
      </w:r>
    </w:p>
    <w:p w14:paraId="2AEC9B95"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rtl/>
        </w:rPr>
        <w:t>مقدمة الفصل</w:t>
      </w:r>
    </w:p>
    <w:p w14:paraId="5219702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يُعدّ هذا الفصل الركيزة المنهجية للدراسة، إذ يستعرض الإجراءات البحثية المتبعة في دراسة دور التحول الرقمي في تعزيز الأمن وتيسير التجارة بهيئة الزكاة والضريبة والجمارك بالمملكة العربية السعودية. وقد تناولت الفصول السابقة الإطار النظري، وتم عرض الفروض التي يتعين اختبارها والطرق المقترحة لاختبارها، ويناقش هذا الفصل نتائج الدراسة الميدانية التي أُجريت على عينة من الموظفين والمديرين بالهيئة، حيث تم مناقشة الإجراءات المتبعة في تحليل البيانات الخاصة بالنموذج المقترح، والغرض من تحليل البيانات هو تنظيم وتفسير البيانات المستقاة من الإجابات على استمارات الاستقصاء للاختبار الميداني لفروض الدراسة. وأُجريت كافة التحليلات بالنموذج المقترح باستخدام حزمة البرامج</w:t>
      </w:r>
      <w:r w:rsidRPr="004A7628">
        <w:rPr>
          <w:rFonts w:ascii="Sakkal Majalla" w:hAnsi="Sakkal Majalla" w:cs="Sakkal Majalla"/>
          <w:sz w:val="28"/>
          <w:lang w:bidi="ar-EG"/>
        </w:rPr>
        <w:t xml:space="preserve"> SPSS</w:t>
      </w:r>
      <w:r w:rsidRPr="004A7628">
        <w:rPr>
          <w:rFonts w:ascii="Sakkal Majalla" w:hAnsi="Sakkal Majalla" w:cs="Sakkal Majalla"/>
          <w:sz w:val="28"/>
          <w:rtl/>
        </w:rPr>
        <w:t>، وهو نظام إحصائي متكامل يُستخدم في التحليل الإحصائي البسيط والمتقدم في مجال العلوم الاجتماعية، بدايةً من الجداول التكرارية إلى إجراء اختبارات الفروض الإحصائية والتحليلات الإحصائية المتقدمة</w:t>
      </w:r>
      <w:r w:rsidRPr="004A7628">
        <w:rPr>
          <w:rFonts w:ascii="Sakkal Majalla" w:hAnsi="Sakkal Majalla" w:cs="Sakkal Majalla"/>
          <w:sz w:val="28"/>
          <w:lang w:bidi="ar-EG"/>
        </w:rPr>
        <w:t>.</w:t>
      </w:r>
    </w:p>
    <w:p w14:paraId="34F07DE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ويتكون هذا الفصل من ثلاثة مباحث رئيسية: تناول المبحث الأول منهجية الدراسة وإجراءاتها الميدانية المتكاملة، وتناول المبحث الثاني نتائج اختبارات الفروض، أما المبحث الثالث فتضمّن مناقشة النتائج التي توصلت إليها الدراسة</w:t>
      </w:r>
      <w:r w:rsidRPr="004A7628">
        <w:rPr>
          <w:rFonts w:ascii="Sakkal Majalla" w:hAnsi="Sakkal Majalla" w:cs="Sakkal Majalla"/>
          <w:sz w:val="28"/>
          <w:lang w:bidi="ar-EG"/>
        </w:rPr>
        <w:t>.</w:t>
      </w:r>
    </w:p>
    <w:p w14:paraId="46BCD9C5"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rtl/>
        </w:rPr>
        <w:t>المبحث الأول: منهجية الدراسة وإجراءاتها</w:t>
      </w:r>
    </w:p>
    <w:p w14:paraId="55FB4111" w14:textId="5379F95D"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نوع الدراسة</w:t>
      </w:r>
    </w:p>
    <w:p w14:paraId="22FC159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تُعدّ هذه الدراسة من الدراسات الوصفية التحليلية التي استهدفت تصوير وتحليل وتقويم خصائص مجموعات معينة أو موقف معين يغلب عليه صفة التحديد، وذلك بهدف الحصول على معلومات كافية ودقيقة عنها. ولذلك اعتمد الباحث على المسح الوصفي</w:t>
      </w:r>
      <w:r w:rsidRPr="004A7628">
        <w:rPr>
          <w:rFonts w:ascii="Sakkal Majalla" w:hAnsi="Sakkal Majalla" w:cs="Sakkal Majalla"/>
          <w:sz w:val="28"/>
          <w:lang w:bidi="ar-EG"/>
        </w:rPr>
        <w:t xml:space="preserve"> (Descriptive Survey) </w:t>
      </w:r>
      <w:r w:rsidRPr="004A7628">
        <w:rPr>
          <w:rFonts w:ascii="Sakkal Majalla" w:hAnsi="Sakkal Majalla" w:cs="Sakkal Majalla"/>
          <w:sz w:val="28"/>
          <w:rtl/>
        </w:rPr>
        <w:t>بهدف رصد وتحليل مدى الوعي بالمفاهيم الحديثة لاستراتيجيات التحول الرقمي وأبعاده وتأثيره على كفاءة أداء تعزيز الأمن وتيسير التجارة للمؤسسات الحكومية، مثل هيئة الزكاة والضريبة والجمارك بالمملكة العربية السعودية</w:t>
      </w:r>
      <w:r w:rsidRPr="004A7628">
        <w:rPr>
          <w:rFonts w:ascii="Sakkal Majalla" w:hAnsi="Sakkal Majalla" w:cs="Sakkal Majalla"/>
          <w:sz w:val="28"/>
          <w:lang w:bidi="ar-EG"/>
        </w:rPr>
        <w:t>.</w:t>
      </w:r>
    </w:p>
    <w:p w14:paraId="041F73E7"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3/2 </w:t>
      </w:r>
      <w:r w:rsidRPr="004A7628">
        <w:rPr>
          <w:rFonts w:ascii="Sakkal Majalla" w:hAnsi="Sakkal Majalla" w:cs="Sakkal Majalla"/>
          <w:b/>
          <w:bCs/>
          <w:sz w:val="28"/>
          <w:rtl/>
        </w:rPr>
        <w:t>منهج الدراسة</w:t>
      </w:r>
    </w:p>
    <w:p w14:paraId="45AE1CF7"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اعتمدت الدراسة الحالية على تكامل المناهج البحثية المتعددة، إذ أتاح هذا التكامل تحقيق فهم شامل للتأثيرات المترتبة على التحول الرقمي، مما أسهم في تقديم توصيات عملية لتحسين الأداء المؤسسي بما يتماشى مع أهداف التنمية المستدامة ورؤية المملكة 2030. وتمثّلت المناهج المستخدمة فيما يلي</w:t>
      </w:r>
      <w:r w:rsidRPr="004A7628">
        <w:rPr>
          <w:rFonts w:ascii="Sakkal Majalla" w:hAnsi="Sakkal Majalla" w:cs="Sakkal Majalla"/>
          <w:sz w:val="28"/>
          <w:lang w:bidi="ar-EG"/>
        </w:rPr>
        <w:t>:</w:t>
      </w:r>
    </w:p>
    <w:p w14:paraId="439A047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المنهج الاستنباطي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اعتمد هذا المنهج على دراسة وتحليل الأدبيات والدراسات السابقة، سواء العربية أو الأجنبية، المتعلقة بمتغيرات البحث. كما 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والضريبة والجمارك. ويُعدّ هذا النهج من المناهج المفضلة في دراسات الجمهور، إذ وفّر بيانات ومعلومات قيّمة عند تطبيقه على عينة من العاملين والمتعاملين مع الهيئة</w:t>
      </w:r>
      <w:r w:rsidRPr="004A7628">
        <w:rPr>
          <w:rFonts w:ascii="Sakkal Majalla" w:hAnsi="Sakkal Majalla" w:cs="Sakkal Majalla"/>
          <w:sz w:val="28"/>
          <w:lang w:bidi="ar-EG"/>
        </w:rPr>
        <w:t>.</w:t>
      </w:r>
    </w:p>
    <w:p w14:paraId="06AA808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المنهج الاستقرائي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2030. كما قدّم توصيات عملية لتعزيز تطبيق الحكومة الرقمية بما انعكس إيجاباً على كفاءة المؤسسات الخدمية مثل هيئة الزكاة والضريبة والجمارك. وهدف هذا النهج إلى الوصول إلى استنتاجات عامة مستندة إلى تحليل تجميعي للبيانات والملاحظات</w:t>
      </w:r>
      <w:r w:rsidRPr="004A7628">
        <w:rPr>
          <w:rFonts w:ascii="Sakkal Majalla" w:hAnsi="Sakkal Majalla" w:cs="Sakkal Majalla"/>
          <w:sz w:val="28"/>
          <w:lang w:bidi="ar-EG"/>
        </w:rPr>
        <w:t>.</w:t>
      </w:r>
    </w:p>
    <w:p w14:paraId="5610B9F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lastRenderedPageBreak/>
        <w:t>ثالثاً: المنهج الوصفي التحليلي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ركّز هذا المنهج على وصف الوضع الراهن للتحول الرقمي وتأثيره على الأداء المؤسسي من خلال تحليل البيانات والمعلومات المجمّعة. واستخدم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وأسهم هذا النهج في فهم أعمق للتحديات والفرص المرتبطة بتطبيق أبعاد التحول الرقمي في المؤسسات الحكومية. وانطلاقاً من طبيعة مشكلة وأهداف الدراسة، رأى الباحث أن المنهج التحليلي يُعدّ المنهج الأنسب لإعداد هذه الدراسة، حيث يُعرَّف المنهج الوصفي التحليلي بأنه منهج بحثي وطريقة علمية تُستخدم لوصف الظاهرة أو الحدث محل الدراسة، ومن ثم تصويرها بصورة كمية رقمية، والعمل على وصفها بطريقة وصفية تفسيرية، من خلال جمع المعلومات المقننة حول المشكلة وتصنيفها وتحليلها وإخضاعها للدراسة الدقيقة، وذلك للتوصل إلى دلالات ومؤشرات ذات صلة</w:t>
      </w:r>
      <w:r w:rsidRPr="004A7628">
        <w:rPr>
          <w:rFonts w:ascii="Sakkal Majalla" w:hAnsi="Sakkal Majalla" w:cs="Sakkal Majalla"/>
          <w:sz w:val="28"/>
          <w:lang w:bidi="ar-EG"/>
        </w:rPr>
        <w:t>.</w:t>
      </w:r>
    </w:p>
    <w:p w14:paraId="3376A7CD" w14:textId="01F804AB"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3/3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مجتمع الدراسة</w:t>
      </w:r>
    </w:p>
    <w:p w14:paraId="6A104387"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مثّل مجتمع الدراسة جميع القادة ومتخذي القرار في هيئة الزكاة والضريبة والجمارك، حيث قُدِّر عددهم بحوالي 400 قائد وفقاً لاطلاع الباحث على الهيكل الإداري للهيئة. واعتمد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وشكّل هذا المجتمع التركيز الرئيسي للباحث للحصول على المعلومات الدقيقة التي ساعدت في تحليل تأثير أبعاد التحول الرقمي على كفاءة تعزيز الأمن وتيسير التجارة</w:t>
      </w:r>
      <w:r w:rsidRPr="004A7628">
        <w:rPr>
          <w:rFonts w:ascii="Sakkal Majalla" w:hAnsi="Sakkal Majalla" w:cs="Sakkal Majalla"/>
          <w:sz w:val="28"/>
          <w:lang w:bidi="ar-EG"/>
        </w:rPr>
        <w:t>.</w:t>
      </w:r>
    </w:p>
    <w:p w14:paraId="0CFB8D0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ونظراً لكبر حجم المجتمع، لم يكن بالإمكان جمع المعلومات من كل فرد، مما استدعى اختيار عينة فرعية قُسِّمت إلى مجموعتين؛ الأولى هي المجموعة المستهدفة التي شملت جميع العاملين بالهيئة المستوفين للمعايير، مثل امتلاكهم لأجهزة الحاسوب وحسابات البريد الإلكتروني وتطبيق الواتساب، بينما اقتصرت المجموعة التي أمكن الوصول إليها على جزء من هذه المجموعة، وقد اقتصرت على منطقة جغرافية محددة مثل محافظة جدة</w:t>
      </w:r>
      <w:r w:rsidRPr="004A7628">
        <w:rPr>
          <w:rFonts w:ascii="Sakkal Majalla" w:hAnsi="Sakkal Majalla" w:cs="Sakkal Majalla"/>
          <w:sz w:val="28"/>
          <w:lang w:bidi="ar-EG"/>
        </w:rPr>
        <w:t>.</w:t>
      </w:r>
    </w:p>
    <w:p w14:paraId="7312EEFD" w14:textId="4A1135C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3/4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عينة الدراسة</w:t>
      </w:r>
    </w:p>
    <w:p w14:paraId="386760A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العينة هي مجموعة فرعية مأخوذة من مجتمع الدراسة، وقد نشأ هذا المفهوم بسبب عدم قدرة الباحثين على اختبار جميع الأفراد في مجتمع معين. لهذا كانت العينة المختارة ممثّلة لمجتمع الدراسة الذي أُخذت منه في جميع الخصائص، كما كان حجمها مناسباً لضمان القدرة على القيام بعمليات التحليل الإحصائي. وتمثّلت الوظيفة الرئيسية لعينة الدراسة في السماح للباحثين بإجراء الدراسة على الأفراد من المجتمع، بحيث أمكن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الوسطى / التنفيذية) في هيئة الزكاة والضريبة والجمارك</w:t>
      </w:r>
      <w:r w:rsidRPr="004A7628">
        <w:rPr>
          <w:rFonts w:ascii="Sakkal Majalla" w:hAnsi="Sakkal Majalla" w:cs="Sakkal Majalla"/>
          <w:sz w:val="28"/>
          <w:lang w:bidi="ar-EG"/>
        </w:rPr>
        <w:t>.</w:t>
      </w:r>
    </w:p>
    <w:p w14:paraId="70F3297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وتم تحديد حجم العينة باستخدام معادلة ستيفن ثومبسون وهي كالتالي</w:t>
      </w:r>
      <w:r w:rsidRPr="004A7628">
        <w:rPr>
          <w:rFonts w:ascii="Sakkal Majalla" w:hAnsi="Sakkal Majalla" w:cs="Sakkal Majalla"/>
          <w:b/>
          <w:bCs/>
          <w:sz w:val="28"/>
          <w:lang w:bidi="ar-EG"/>
        </w:rPr>
        <w:t>:</w:t>
      </w:r>
    </w:p>
    <w:p w14:paraId="3D04B3A0" w14:textId="77777777" w:rsidR="00951575" w:rsidRPr="00202E2A" w:rsidRDefault="00951575" w:rsidP="00951575">
      <w:pPr>
        <w:bidi/>
        <w:spacing w:line="276" w:lineRule="auto"/>
        <w:jc w:val="lowKashida"/>
        <w:outlineLvl w:val="0"/>
        <w:rPr>
          <w:rFonts w:asciiTheme="majorBidi" w:hAnsiTheme="majorBidi" w:cstheme="majorBidi"/>
          <w:b/>
          <w:bCs/>
          <w:sz w:val="26"/>
          <w:szCs w:val="26"/>
          <w:rtl/>
          <w:lang w:bidi="ar-EG"/>
        </w:rPr>
      </w:pPr>
    </w:p>
    <w:p w14:paraId="786BDC3C" w14:textId="77777777" w:rsidR="00951575" w:rsidRPr="00202E2A" w:rsidRDefault="00951575" w:rsidP="00951575">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AD2C98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حيث</w:t>
      </w:r>
      <w:r w:rsidRPr="004A7628">
        <w:rPr>
          <w:rFonts w:ascii="Sakkal Majalla" w:hAnsi="Sakkal Majalla" w:cs="Sakkal Majalla"/>
          <w:b/>
          <w:bCs/>
          <w:sz w:val="28"/>
          <w:lang w:bidi="ar-EG"/>
        </w:rPr>
        <w:t>:</w:t>
      </w:r>
    </w:p>
    <w:p w14:paraId="4389B51B"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lastRenderedPageBreak/>
        <w:t>n</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حجم العينة</w:t>
      </w:r>
    </w:p>
    <w:p w14:paraId="14F592B8"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N</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حجم المجتمع</w:t>
      </w:r>
    </w:p>
    <w:p w14:paraId="2C0A6261"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P</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القيمة الاحتمالية وهي = 0.5</w:t>
      </w:r>
    </w:p>
    <w:p w14:paraId="256CEC4C"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d</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نسبة الخطأ المقبول في العينة: إذا كان مستوى الثقة 95% = 0.5، وإذا كان مستوى الثقة 99% = 0.01</w:t>
      </w:r>
    </w:p>
    <w:p w14:paraId="5EB1D6E8"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Z</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الدرجة المعيارية المقابلة لمستوى الثقة: إذا كان مستوى الثقة 95% = 1.96، وإذا كان مستوى الثقة 99% = 2.58</w:t>
      </w:r>
    </w:p>
    <w:p w14:paraId="678E5E1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وبالتالي تم توضيح حجم العينة وفقاً للجدول التالي</w:t>
      </w:r>
      <w:r w:rsidRPr="004A7628">
        <w:rPr>
          <w:rFonts w:ascii="Sakkal Majalla" w:hAnsi="Sakkal Majalla" w:cs="Sakkal Majalla"/>
          <w:sz w:val="28"/>
          <w:lang w:bidi="ar-EG"/>
        </w:rPr>
        <w:t>:</w:t>
      </w:r>
    </w:p>
    <w:p w14:paraId="5BBB9F9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جدول رقم (2): مجتمع وعينة الدراسة</w:t>
      </w:r>
    </w:p>
    <w:tbl>
      <w:tblPr>
        <w:tblStyle w:val="GridTable5Dark"/>
        <w:tblW w:w="0" w:type="auto"/>
        <w:jc w:val="center"/>
        <w:tblLook w:val="04A0" w:firstRow="1" w:lastRow="0" w:firstColumn="1" w:lastColumn="0" w:noHBand="0" w:noVBand="1"/>
      </w:tblPr>
      <w:tblGrid>
        <w:gridCol w:w="1699"/>
        <w:gridCol w:w="1540"/>
        <w:gridCol w:w="1626"/>
        <w:gridCol w:w="1477"/>
      </w:tblGrid>
      <w:tr w:rsidR="004A7628" w:rsidRPr="004A7628" w14:paraId="03C9BB4B" w14:textId="77777777" w:rsidTr="009515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E5855F"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البيان</w:t>
            </w:r>
          </w:p>
        </w:tc>
        <w:tc>
          <w:tcPr>
            <w:tcW w:w="0" w:type="auto"/>
            <w:hideMark/>
          </w:tcPr>
          <w:p w14:paraId="4B3A657A"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عدد المديرين</w:t>
            </w:r>
          </w:p>
        </w:tc>
        <w:tc>
          <w:tcPr>
            <w:tcW w:w="0" w:type="auto"/>
            <w:hideMark/>
          </w:tcPr>
          <w:p w14:paraId="1A53DC9A"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النسبة المئوية</w:t>
            </w:r>
          </w:p>
        </w:tc>
        <w:tc>
          <w:tcPr>
            <w:tcW w:w="0" w:type="auto"/>
            <w:hideMark/>
          </w:tcPr>
          <w:p w14:paraId="1E42CD46"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حجم العينة</w:t>
            </w:r>
          </w:p>
        </w:tc>
      </w:tr>
      <w:tr w:rsidR="004A7628" w:rsidRPr="004A7628" w14:paraId="667A8CD7"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22DCF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نائب ووكيل</w:t>
            </w:r>
          </w:p>
        </w:tc>
        <w:tc>
          <w:tcPr>
            <w:tcW w:w="0" w:type="auto"/>
            <w:hideMark/>
          </w:tcPr>
          <w:p w14:paraId="6D8332A9"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11</w:t>
            </w:r>
          </w:p>
        </w:tc>
        <w:tc>
          <w:tcPr>
            <w:tcW w:w="0" w:type="auto"/>
            <w:hideMark/>
          </w:tcPr>
          <w:p w14:paraId="5D3B7C3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3%</w:t>
            </w:r>
          </w:p>
        </w:tc>
        <w:tc>
          <w:tcPr>
            <w:tcW w:w="0" w:type="auto"/>
            <w:hideMark/>
          </w:tcPr>
          <w:p w14:paraId="4E1A6AA8"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w:t>
            </w:r>
          </w:p>
        </w:tc>
      </w:tr>
      <w:tr w:rsidR="004A7628" w:rsidRPr="004A7628" w14:paraId="5D0E497E"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79FDD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عام</w:t>
            </w:r>
          </w:p>
        </w:tc>
        <w:tc>
          <w:tcPr>
            <w:tcW w:w="0" w:type="auto"/>
            <w:hideMark/>
          </w:tcPr>
          <w:p w14:paraId="110B932C"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25</w:t>
            </w:r>
          </w:p>
        </w:tc>
        <w:tc>
          <w:tcPr>
            <w:tcW w:w="0" w:type="auto"/>
            <w:hideMark/>
          </w:tcPr>
          <w:p w14:paraId="0419BAB5"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6%</w:t>
            </w:r>
          </w:p>
        </w:tc>
        <w:tc>
          <w:tcPr>
            <w:tcW w:w="0" w:type="auto"/>
            <w:hideMark/>
          </w:tcPr>
          <w:p w14:paraId="6A1C5C50"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w:t>
            </w:r>
          </w:p>
        </w:tc>
      </w:tr>
      <w:tr w:rsidR="004A7628" w:rsidRPr="004A7628" w14:paraId="7FDA88A0"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65E36"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إدارة</w:t>
            </w:r>
          </w:p>
        </w:tc>
        <w:tc>
          <w:tcPr>
            <w:tcW w:w="0" w:type="auto"/>
            <w:hideMark/>
          </w:tcPr>
          <w:p w14:paraId="42F905A0"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30</w:t>
            </w:r>
          </w:p>
        </w:tc>
        <w:tc>
          <w:tcPr>
            <w:tcW w:w="0" w:type="auto"/>
            <w:hideMark/>
          </w:tcPr>
          <w:p w14:paraId="665993F4"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6%</w:t>
            </w:r>
          </w:p>
        </w:tc>
        <w:tc>
          <w:tcPr>
            <w:tcW w:w="0" w:type="auto"/>
            <w:hideMark/>
          </w:tcPr>
          <w:p w14:paraId="158DE6C3"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w:t>
            </w:r>
          </w:p>
        </w:tc>
      </w:tr>
      <w:tr w:rsidR="004A7628" w:rsidRPr="004A7628" w14:paraId="565F5337"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B84E6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منفذ</w:t>
            </w:r>
          </w:p>
        </w:tc>
        <w:tc>
          <w:tcPr>
            <w:tcW w:w="0" w:type="auto"/>
            <w:hideMark/>
          </w:tcPr>
          <w:p w14:paraId="22A464AA"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55</w:t>
            </w:r>
          </w:p>
        </w:tc>
        <w:tc>
          <w:tcPr>
            <w:tcW w:w="0" w:type="auto"/>
            <w:hideMark/>
          </w:tcPr>
          <w:p w14:paraId="17B69DDC"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c>
          <w:tcPr>
            <w:tcW w:w="0" w:type="auto"/>
            <w:hideMark/>
          </w:tcPr>
          <w:p w14:paraId="53D2BB11"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10</w:t>
            </w:r>
          </w:p>
        </w:tc>
      </w:tr>
      <w:tr w:rsidR="004A7628" w:rsidRPr="004A7628" w14:paraId="592E5407"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084F3B"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قسم</w:t>
            </w:r>
          </w:p>
        </w:tc>
        <w:tc>
          <w:tcPr>
            <w:tcW w:w="0" w:type="auto"/>
            <w:hideMark/>
          </w:tcPr>
          <w:p w14:paraId="33D453A4"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55</w:t>
            </w:r>
          </w:p>
        </w:tc>
        <w:tc>
          <w:tcPr>
            <w:tcW w:w="0" w:type="auto"/>
            <w:hideMark/>
          </w:tcPr>
          <w:p w14:paraId="73997FC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c>
          <w:tcPr>
            <w:tcW w:w="0" w:type="auto"/>
            <w:hideMark/>
          </w:tcPr>
          <w:p w14:paraId="62C9221B"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10</w:t>
            </w:r>
          </w:p>
        </w:tc>
      </w:tr>
      <w:tr w:rsidR="004A7628" w:rsidRPr="004A7628" w14:paraId="3965E050"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A71CC"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مشرفو وحدات</w:t>
            </w:r>
          </w:p>
        </w:tc>
        <w:tc>
          <w:tcPr>
            <w:tcW w:w="0" w:type="auto"/>
            <w:hideMark/>
          </w:tcPr>
          <w:p w14:paraId="65CC9678"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224</w:t>
            </w:r>
          </w:p>
        </w:tc>
        <w:tc>
          <w:tcPr>
            <w:tcW w:w="0" w:type="auto"/>
            <w:hideMark/>
          </w:tcPr>
          <w:p w14:paraId="74B560FE"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49%</w:t>
            </w:r>
          </w:p>
        </w:tc>
        <w:tc>
          <w:tcPr>
            <w:tcW w:w="0" w:type="auto"/>
            <w:hideMark/>
          </w:tcPr>
          <w:p w14:paraId="6D56E396"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r>
      <w:tr w:rsidR="004A7628" w:rsidRPr="004A7628" w14:paraId="412BA3DE"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B296B"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الإجمالي</w:t>
            </w:r>
          </w:p>
        </w:tc>
        <w:tc>
          <w:tcPr>
            <w:tcW w:w="0" w:type="auto"/>
            <w:hideMark/>
          </w:tcPr>
          <w:p w14:paraId="0850A4D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400</w:t>
            </w:r>
          </w:p>
        </w:tc>
        <w:tc>
          <w:tcPr>
            <w:tcW w:w="0" w:type="auto"/>
            <w:hideMark/>
          </w:tcPr>
          <w:p w14:paraId="18D1BEEE"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100%</w:t>
            </w:r>
          </w:p>
        </w:tc>
        <w:tc>
          <w:tcPr>
            <w:tcW w:w="0" w:type="auto"/>
            <w:hideMark/>
          </w:tcPr>
          <w:p w14:paraId="4196619D"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50</w:t>
            </w:r>
          </w:p>
        </w:tc>
      </w:tr>
    </w:tbl>
    <w:p w14:paraId="423A61B3" w14:textId="77777777" w:rsidR="004A7628" w:rsidRPr="004A7628" w:rsidRDefault="004A7628" w:rsidP="00951575">
      <w:pPr>
        <w:pStyle w:val="BlockText"/>
        <w:jc w:val="lowKashida"/>
        <w:outlineLvl w:val="0"/>
        <w:rPr>
          <w:rFonts w:ascii="Sakkal Majalla" w:hAnsi="Sakkal Majalla" w:cs="Sakkal Majalla"/>
          <w:b/>
          <w:bCs/>
          <w:szCs w:val="20"/>
          <w:lang w:bidi="ar-EG"/>
        </w:rPr>
      </w:pPr>
      <w:r w:rsidRPr="004A7628">
        <w:rPr>
          <w:rFonts w:ascii="Sakkal Majalla" w:hAnsi="Sakkal Majalla" w:cs="Sakkal Majalla"/>
          <w:b/>
          <w:bCs/>
          <w:szCs w:val="20"/>
          <w:rtl/>
        </w:rPr>
        <w:t>المصدر</w:t>
      </w:r>
      <w:r w:rsidRPr="004A7628">
        <w:rPr>
          <w:rFonts w:ascii="Sakkal Majalla" w:hAnsi="Sakkal Majalla" w:cs="Sakkal Majalla"/>
          <w:b/>
          <w:bCs/>
          <w:szCs w:val="20"/>
          <w:lang w:bidi="ar-EG"/>
        </w:rPr>
        <w:t xml:space="preserve">: </w:t>
      </w:r>
      <w:r w:rsidRPr="004A7628">
        <w:rPr>
          <w:rFonts w:ascii="Sakkal Majalla" w:hAnsi="Sakkal Majalla" w:cs="Sakkal Majalla"/>
          <w:b/>
          <w:bCs/>
          <w:szCs w:val="20"/>
          <w:rtl/>
        </w:rPr>
        <w:t>من إعداد الباحث في ضوء الهيكل التنظيمي، وكالة رأس المال البشري، بهيئة الزكاة والضريبة والجمارك</w:t>
      </w:r>
      <w:r w:rsidRPr="004A7628">
        <w:rPr>
          <w:rFonts w:ascii="Sakkal Majalla" w:hAnsi="Sakkal Majalla" w:cs="Sakkal Majalla"/>
          <w:b/>
          <w:bCs/>
          <w:szCs w:val="20"/>
          <w:lang w:bidi="ar-EG"/>
        </w:rPr>
        <w:t>.</w:t>
      </w:r>
    </w:p>
    <w:p w14:paraId="56D76132" w14:textId="21BD8899"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أدوات جمع بيانات الدراسة</w:t>
      </w:r>
    </w:p>
    <w:p w14:paraId="1FB8A01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انقسمت بيانات البحث إلى نوعين: نوعية (وصفية غير رقمية) ركّزت على فهم الظواهر عبر الوصف، وكمية (عددية) اعتمدت على الأرقام لتحليل الظروف المختلفة. وأُعدّت عملية الجمع خطوةً محورية في الدراسة، خاصةً في قضايا مثل التحول الرقمي وتأثيره على الأمن والتجارة، مما تطلّب فهماً عميقاً لأساليب الجمع المناسبة</w:t>
      </w:r>
      <w:r w:rsidRPr="004A7628">
        <w:rPr>
          <w:rFonts w:ascii="Sakkal Majalla" w:hAnsi="Sakkal Majalla" w:cs="Sakkal Majalla"/>
          <w:sz w:val="28"/>
          <w:lang w:bidi="ar-EG"/>
        </w:rPr>
        <w:t>.</w:t>
      </w:r>
    </w:p>
    <w:p w14:paraId="08E285E6" w14:textId="24E4AD33"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3/5/1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مصادر البيانات</w:t>
      </w:r>
    </w:p>
    <w:p w14:paraId="75377F79" w14:textId="77777777" w:rsidR="004A7628" w:rsidRPr="004A7628" w:rsidRDefault="004A7628" w:rsidP="00951575">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أولية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مباشرة كالسجلات الوظيفية أو استطلاعات العاملين بالهيئة، وتميّزت بمصداقية عالية</w:t>
      </w:r>
      <w:r w:rsidRPr="004A7628">
        <w:rPr>
          <w:rFonts w:ascii="Sakkal Majalla" w:hAnsi="Sakkal Majalla" w:cs="Sakkal Majalla"/>
          <w:sz w:val="28"/>
          <w:lang w:bidi="ar-EG"/>
        </w:rPr>
        <w:t>.</w:t>
      </w:r>
    </w:p>
    <w:p w14:paraId="6D224AA0" w14:textId="77777777" w:rsidR="004A7628" w:rsidRPr="004A7628" w:rsidRDefault="004A7628" w:rsidP="00951575">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ثانوية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كالدراسات السابقة أو المنشورات، واستُخدمت عند عدم كفاية المصادر الأولية</w:t>
      </w:r>
      <w:r w:rsidRPr="004A7628">
        <w:rPr>
          <w:rFonts w:ascii="Sakkal Majalla" w:hAnsi="Sakkal Majalla" w:cs="Sakkal Majalla"/>
          <w:sz w:val="28"/>
          <w:lang w:bidi="ar-EG"/>
        </w:rPr>
        <w:t>.</w:t>
      </w:r>
    </w:p>
    <w:p w14:paraId="5795DE20" w14:textId="373E9085"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3/5/2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أدوات الجمع الرئيسية</w:t>
      </w:r>
    </w:p>
    <w:p w14:paraId="2B775129" w14:textId="77777777" w:rsidR="004A7628" w:rsidRPr="004A7628" w:rsidRDefault="004A7628" w:rsidP="00951575">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الاستبيان</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أشهر أدوات الجمع لسهولة التصميم والتحليل، وقد كان مغلقاً ونُفِّذ إلكترونياً</w:t>
      </w:r>
      <w:r w:rsidRPr="004A7628">
        <w:rPr>
          <w:rFonts w:ascii="Sakkal Majalla" w:hAnsi="Sakkal Majalla" w:cs="Sakkal Majalla"/>
          <w:sz w:val="28"/>
          <w:lang w:bidi="ar-EG"/>
        </w:rPr>
        <w:t>.</w:t>
      </w:r>
    </w:p>
    <w:p w14:paraId="1B715C13" w14:textId="77777777" w:rsidR="004A7628" w:rsidRPr="004A7628" w:rsidRDefault="004A7628" w:rsidP="00951575">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المقابلة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تفاعل شفوي مباشر لجمع آراء معمّقة، وناسبت الدراسات الاجتماعية</w:t>
      </w:r>
      <w:r w:rsidRPr="004A7628">
        <w:rPr>
          <w:rFonts w:ascii="Sakkal Majalla" w:hAnsi="Sakkal Majalla" w:cs="Sakkal Majalla"/>
          <w:sz w:val="28"/>
          <w:lang w:bidi="ar-EG"/>
        </w:rPr>
        <w:t>.</w:t>
      </w:r>
    </w:p>
    <w:p w14:paraId="66E617FF" w14:textId="77777777" w:rsidR="004A7628" w:rsidRPr="004A7628" w:rsidRDefault="004A7628" w:rsidP="00951575">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الملاحظة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استُخدمت في الأبحاث التطبيقية لرصد الظواهر مباشرةً حيث لم تُناسب الأدوات الأخرى</w:t>
      </w:r>
      <w:r w:rsidRPr="004A7628">
        <w:rPr>
          <w:rFonts w:ascii="Sakkal Majalla" w:hAnsi="Sakkal Majalla" w:cs="Sakkal Majalla"/>
          <w:sz w:val="28"/>
          <w:lang w:bidi="ar-EG"/>
        </w:rPr>
        <w:t>.</w:t>
      </w:r>
    </w:p>
    <w:p w14:paraId="6635BBE4" w14:textId="61A50A9F"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3/6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أداة الدراسة: قائمة الاستقصاء</w:t>
      </w:r>
    </w:p>
    <w:p w14:paraId="36761310"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تجميع بيانات الدراسة الميدانية من مصادرها الأولية على قائمة استقصاء موجَّهة إلى مفردات الدراسة، انقسمت إلى قسمين: الأول تعلّق بقياس أبعاد التحول الرقمي، والثاني تعلّق بقياس أبعاد تعزيز الأمن وتيسير التجارة. واستُخدم مقياس ليكرت الخماسي الأبعاد للإجابة على الأسئلة الخاصة بكل متغيرات الدراسة وتأثيرها معاً</w:t>
      </w:r>
      <w:r w:rsidRPr="004A7628">
        <w:rPr>
          <w:rFonts w:ascii="Sakkal Majalla" w:hAnsi="Sakkal Majalla" w:cs="Sakkal Majalla"/>
          <w:sz w:val="28"/>
          <w:lang w:bidi="ar-EG"/>
        </w:rPr>
        <w:t>.</w:t>
      </w:r>
    </w:p>
    <w:p w14:paraId="6AC6229A" w14:textId="77777777" w:rsidR="004A7628" w:rsidRPr="004A7628" w:rsidRDefault="00000000" w:rsidP="00951575">
      <w:pPr>
        <w:pStyle w:val="BlockText"/>
        <w:jc w:val="lowKashida"/>
        <w:outlineLvl w:val="0"/>
        <w:rPr>
          <w:rFonts w:ascii="Sakkal Majalla" w:hAnsi="Sakkal Majalla" w:cs="Sakkal Majalla"/>
          <w:sz w:val="28"/>
          <w:lang w:bidi="ar-EG"/>
        </w:rPr>
      </w:pPr>
      <w:r>
        <w:rPr>
          <w:rFonts w:ascii="Sakkal Majalla" w:hAnsi="Sakkal Majalla" w:cs="Sakkal Majalla"/>
          <w:sz w:val="28"/>
          <w:lang w:bidi="ar-EG"/>
        </w:rPr>
        <w:pict w14:anchorId="3974B71F">
          <v:rect id="_x0000_i1025" style="width:0;height:1.5pt" o:hralign="center" o:hrstd="t" o:hr="t" fillcolor="#a0a0a0" stroked="f"/>
        </w:pict>
      </w:r>
    </w:p>
    <w:p w14:paraId="4E2A6D53" w14:textId="7D45DDB2"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lastRenderedPageBreak/>
        <w:t xml:space="preserve">3/7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الدراسات السابقة التي اعتمد عليها الباحث في إعداد قائمة الاستقصاء</w:t>
      </w:r>
    </w:p>
    <w:p w14:paraId="4CB0DAE6"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أجرى الباحث مسحاً مكتبياً شاملاً اطّلع فيه على الكتب والمراجع والدوريات والنشرات والدراسات السابقة ذات الصلة بموضوع الدراسة، وانتهى إلى مجموعة كبيرة من المعلومات في ذلك المجال. وقد رأى الباحث أن المكتبة العربية تفتقر إلى مثل هذه الدراسات على الرغم من وجود العديد من الدراسات الأجنبية التي تناولت موضوع الدراسة. واعتمد الباحث في إعداد مقاييس الدراسة على جملة من الدراسات السابقة العربية والأجنبية، يمكن استعراضها على النحو الآتي</w:t>
      </w:r>
      <w:r w:rsidRPr="004A7628">
        <w:rPr>
          <w:rFonts w:ascii="Sakkal Majalla" w:hAnsi="Sakkal Majalla" w:cs="Sakkal Majalla"/>
          <w:sz w:val="28"/>
          <w:lang w:bidi="ar-EG"/>
        </w:rPr>
        <w:t>:</w:t>
      </w:r>
    </w:p>
    <w:p w14:paraId="37CA89EA"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الدراسات المتعلقة بأبعاد التحول الرقمي (المتغير المستقل)</w:t>
      </w:r>
    </w:p>
    <w:p w14:paraId="7019A01C"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تم قياس المتغير المستقل الرئيسي "التحول الرقمي" من خلال ثلاثة أبعاد نظرية رئيسية اعتُمدت من نماذج عالمية رائدة، وهي: الأسس الرقمية، والابتكار الرقمي، والحوكمة الرقمية، وذلك استناداً إلى الدراسات التالية</w:t>
      </w:r>
      <w:r w:rsidRPr="004A7628">
        <w:rPr>
          <w:rFonts w:ascii="Sakkal Majalla" w:hAnsi="Sakkal Majalla" w:cs="Sakkal Majalla"/>
          <w:sz w:val="28"/>
          <w:lang w:bidi="ar-EG"/>
        </w:rPr>
        <w:t>:</w:t>
      </w:r>
    </w:p>
    <w:p w14:paraId="222044AA" w14:textId="6EB3C144"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Westerman &amp; Bonnet (2015)</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يُعدّ هذا النموذج من أبرز النماذج العالمية المرجعية في قياس أبعاد التحول الرقمي، إذ ارتكز على ثلاثة محاور جوهرية هي: القدرات الرقمية، والقيادة الرقمية، والبنية التحتية التكنولوجية. وقد وفّر هذا النموذج الإطارَ الأساسي لبناء عبارات مقياس "الأسس الرقمية" في قائمة الاستقصاء</w:t>
      </w:r>
      <w:r w:rsidRPr="004A7628">
        <w:rPr>
          <w:rFonts w:ascii="Sakkal Majalla" w:hAnsi="Sakkal Majalla" w:cs="Sakkal Majalla"/>
          <w:sz w:val="28"/>
          <w:lang w:bidi="ar-EG"/>
        </w:rPr>
        <w:t xml:space="preserve"> (Westerman, G., &amp; Bonnet, D., 2015).</w:t>
      </w:r>
    </w:p>
    <w:p w14:paraId="4AF6F637" w14:textId="245F361C"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Gartner (2024)</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استُعين بتقارير مؤسسة</w:t>
      </w:r>
      <w:r w:rsidRPr="004A7628">
        <w:rPr>
          <w:rFonts w:ascii="Sakkal Majalla" w:hAnsi="Sakkal Majalla" w:cs="Sakkal Majalla"/>
          <w:sz w:val="28"/>
          <w:lang w:bidi="ar-EG"/>
        </w:rPr>
        <w:t xml:space="preserve"> Gartner </w:t>
      </w:r>
      <w:r w:rsidRPr="004A7628">
        <w:rPr>
          <w:rFonts w:ascii="Sakkal Majalla" w:hAnsi="Sakkal Majalla" w:cs="Sakkal Majalla"/>
          <w:sz w:val="28"/>
          <w:rtl/>
        </w:rPr>
        <w:t>المتعلقة باتجاهات التحول الرقمي الحكومي، ولا سيما تقاريرها حول الحوكمة الرقمية وآليات قياسها، في بناء مؤشرات بُعد "الحوكمة الرقمية" بالاستبيان</w:t>
      </w:r>
      <w:r w:rsidRPr="004A7628">
        <w:rPr>
          <w:rFonts w:ascii="Sakkal Majalla" w:hAnsi="Sakkal Majalla" w:cs="Sakkal Majalla"/>
          <w:sz w:val="28"/>
          <w:lang w:bidi="ar-EG"/>
        </w:rPr>
        <w:t xml:space="preserve"> (Gartner, 2024).</w:t>
      </w:r>
    </w:p>
    <w:p w14:paraId="7F506841" w14:textId="169880F6"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OECD (2020)</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اعتمد الباحث على تقارير منظمة التعاون الاقتصادي والتنمية المتعلقة بالتحول الرقمي في القطاع العام، وبخاصة الإطار المرجعي الخاص بقياس نضج التحول الرقمي الحكومي، في صياغة عبارات المقياس المتعلقة بالابتكار الرقمي والحوكمة</w:t>
      </w:r>
      <w:r w:rsidRPr="004A7628">
        <w:rPr>
          <w:rFonts w:ascii="Sakkal Majalla" w:hAnsi="Sakkal Majalla" w:cs="Sakkal Majalla"/>
          <w:sz w:val="28"/>
          <w:lang w:bidi="ar-EG"/>
        </w:rPr>
        <w:t xml:space="preserve"> (OECD, 2020).</w:t>
      </w:r>
    </w:p>
    <w:p w14:paraId="4ABC825E" w14:textId="47355236"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McKinsey &amp; Company (2022)</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وفّرت تقارير شركة</w:t>
      </w:r>
      <w:r w:rsidRPr="004A7628">
        <w:rPr>
          <w:rFonts w:ascii="Sakkal Majalla" w:hAnsi="Sakkal Majalla" w:cs="Sakkal Majalla"/>
          <w:sz w:val="28"/>
          <w:lang w:bidi="ar-EG"/>
        </w:rPr>
        <w:t xml:space="preserve"> McKinsey </w:t>
      </w:r>
      <w:r w:rsidRPr="004A7628">
        <w:rPr>
          <w:rFonts w:ascii="Sakkal Majalla" w:hAnsi="Sakkal Majalla" w:cs="Sakkal Majalla"/>
          <w:sz w:val="28"/>
          <w:rtl/>
        </w:rPr>
        <w:t>حول أبعاد التحول الرقمي للمؤسسات الحكومية والخاصة مرجعاً أساسياً لبناء عبارات قياس "الابتكار الرقمي"، لا سيما ما تعلّق باستخدام الحلول التكنولوجية المتقدمة لدعم الكفاءة التشغيلية</w:t>
      </w:r>
      <w:r w:rsidRPr="004A7628">
        <w:rPr>
          <w:rFonts w:ascii="Sakkal Majalla" w:hAnsi="Sakkal Majalla" w:cs="Sakkal Majalla"/>
          <w:sz w:val="28"/>
          <w:lang w:bidi="ar-EG"/>
        </w:rPr>
        <w:t xml:space="preserve"> (McKinsey &amp; Company, 2022).</w:t>
      </w:r>
    </w:p>
    <w:p w14:paraId="3CE23A9F" w14:textId="7EBD662C"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Vial (2019)</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قدّمت دراسة</w:t>
      </w:r>
      <w:r w:rsidRPr="004A7628">
        <w:rPr>
          <w:rFonts w:ascii="Sakkal Majalla" w:hAnsi="Sakkal Majalla" w:cs="Sakkal Majalla"/>
          <w:sz w:val="28"/>
          <w:lang w:bidi="ar-EG"/>
        </w:rPr>
        <w:t xml:space="preserve"> Vial </w:t>
      </w:r>
      <w:r w:rsidRPr="004A7628">
        <w:rPr>
          <w:rFonts w:ascii="Sakkal Majalla" w:hAnsi="Sakkal Majalla" w:cs="Sakkal Majalla"/>
          <w:sz w:val="28"/>
          <w:rtl/>
        </w:rPr>
        <w:t>إطاراً مفاهيمياً شاملاً لتعريف التحول الرقمي وتحديد أبعاده في سياق المؤسسات العامة والخاصة، وأفادت في بناء الجزء النظري لمقياس التحول الرقمي والتحقق من صدق المحتوى لعباراته</w:t>
      </w:r>
      <w:r w:rsidRPr="004A7628">
        <w:rPr>
          <w:rFonts w:ascii="Sakkal Majalla" w:hAnsi="Sakkal Majalla" w:cs="Sakkal Majalla"/>
          <w:sz w:val="28"/>
          <w:lang w:bidi="ar-EG"/>
        </w:rPr>
        <w:t xml:space="preserve"> (Vial, G., 2019).</w:t>
      </w:r>
    </w:p>
    <w:p w14:paraId="4DEFC3DF" w14:textId="4C7FFD45"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Westerman, Bonnet &amp; McAfee (2014)</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 هذه الدراسة أن التحول الرقمي الحقيقي يتجاوز مجرد توظيف التكنولوجيا ليشمل إعادة هيكلة نماذج العمل المؤسسي بما يُحقق قيمة تنافسية مستدامة، ووفّرت أساساً مرجعياً لقياس التحول الرقمي في البيئات الحكومية</w:t>
      </w:r>
      <w:r w:rsidRPr="004A7628">
        <w:rPr>
          <w:rFonts w:ascii="Sakkal Majalla" w:hAnsi="Sakkal Majalla" w:cs="Sakkal Majalla"/>
          <w:sz w:val="28"/>
          <w:lang w:bidi="ar-EG"/>
        </w:rPr>
        <w:t xml:space="preserve"> (Westerman, G., Bonnet, D., &amp; McAfee, A., 2014).</w:t>
      </w:r>
    </w:p>
    <w:p w14:paraId="023A2140"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الدراسات المتعلقة بأبعاد تعزيز الأمن (المتغير التابع الأول)</w:t>
      </w:r>
    </w:p>
    <w:p w14:paraId="0B1A428F" w14:textId="02354588"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Smith (2020)</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شدّدت هذه الدراسة على أن نجاح التحول الرقمي الحكومي اعتمد بشكل أساسي على وجود إطار قانوني وسياسي واضح يُحدّد مسؤوليات الأمن السيبراني، وأكّدت أن ضعف الإطار القانوني يُعدّ أكبر تحدٍّ لتعزيز الأمن. واستُفيد من هذه الدراسة في بناء عبارات بُعد الأمن السيبراني وحماية البيانات في الاستبيان</w:t>
      </w:r>
      <w:r w:rsidRPr="004A7628">
        <w:rPr>
          <w:rFonts w:ascii="Sakkal Majalla" w:hAnsi="Sakkal Majalla" w:cs="Sakkal Majalla"/>
          <w:sz w:val="28"/>
          <w:lang w:bidi="ar-EG"/>
        </w:rPr>
        <w:t xml:space="preserve"> (Smith, J., 2020).</w:t>
      </w:r>
    </w:p>
    <w:p w14:paraId="0978252C" w14:textId="50FF777B" w:rsidR="004A7628" w:rsidRPr="004A7628" w:rsidRDefault="009706A2" w:rsidP="00951575">
      <w:pPr>
        <w:pStyle w:val="BlockText"/>
        <w:numPr>
          <w:ilvl w:val="0"/>
          <w:numId w:val="138"/>
        </w:numPr>
        <w:jc w:val="lowKashida"/>
        <w:outlineLvl w:val="0"/>
        <w:rPr>
          <w:rFonts w:ascii="Sakkal Majalla" w:hAnsi="Sakkal Majalla" w:cs="Sakkal Majalla"/>
          <w:sz w:val="28"/>
          <w:lang w:bidi="ar-EG"/>
        </w:rPr>
      </w:pPr>
      <w:r>
        <w:rPr>
          <w:rFonts w:ascii="Sakkal Majalla" w:hAnsi="Sakkal Majalla" w:cs="Sakkal Majalla" w:hint="cs"/>
          <w:b/>
          <w:bCs/>
          <w:sz w:val="28"/>
          <w:rtl/>
          <w:lang w:bidi="ar-EG"/>
        </w:rPr>
        <w:lastRenderedPageBreak/>
        <w:t xml:space="preserve"> </w:t>
      </w:r>
      <w:r w:rsidR="004A7628" w:rsidRPr="004A7628">
        <w:rPr>
          <w:rFonts w:ascii="Sakkal Majalla" w:hAnsi="Sakkal Majalla" w:cs="Sakkal Majalla"/>
          <w:b/>
          <w:bCs/>
          <w:sz w:val="28"/>
          <w:lang w:bidi="ar-EG"/>
        </w:rPr>
        <w:t>Hanelt et al. (2021)</w:t>
      </w:r>
      <w:r w:rsidR="004A7628" w:rsidRPr="004A7628">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004A7628" w:rsidRPr="004A7628">
        <w:rPr>
          <w:rFonts w:ascii="Sakkal Majalla" w:hAnsi="Sakkal Majalla" w:cs="Sakkal Majalla"/>
          <w:sz w:val="28"/>
          <w:rtl/>
        </w:rPr>
        <w:t>أكّدت هذه الدراسة أن التحول الثقافي هو العامل الأكثر أهمية في نجاح التحول الرقمي الحكومي، مُشيرةً إلى أن بناء الكفاءات الرقمية</w:t>
      </w:r>
      <w:r w:rsidR="004A7628" w:rsidRPr="004A7628">
        <w:rPr>
          <w:rFonts w:ascii="Sakkal Majalla" w:hAnsi="Sakkal Majalla" w:cs="Sakkal Majalla"/>
          <w:sz w:val="28"/>
          <w:lang w:bidi="ar-EG"/>
        </w:rPr>
        <w:t xml:space="preserve"> (Digital Competencies) </w:t>
      </w:r>
      <w:r w:rsidR="004A7628" w:rsidRPr="004A7628">
        <w:rPr>
          <w:rFonts w:ascii="Sakkal Majalla" w:hAnsi="Sakkal Majalla" w:cs="Sakkal Majalla"/>
          <w:sz w:val="28"/>
          <w:rtl/>
        </w:rPr>
        <w:t>لدى الموظفين هو المفتاح لضمان الاستخدام الآمن والفعّال للأنظمة الرقمية. وأسهمت في بناء عبارات مقياس الوعي الأمني والتكامل المؤسسي</w:t>
      </w:r>
      <w:r w:rsidR="004A7628" w:rsidRPr="004A7628">
        <w:rPr>
          <w:rFonts w:ascii="Sakkal Majalla" w:hAnsi="Sakkal Majalla" w:cs="Sakkal Majalla"/>
          <w:sz w:val="28"/>
          <w:lang w:bidi="ar-EG"/>
        </w:rPr>
        <w:t xml:space="preserve"> (Hanelt, A., et al., 2021).</w:t>
      </w:r>
    </w:p>
    <w:p w14:paraId="6136BC73" w14:textId="73979953"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OECD (2018)</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 هذه الدراسة أن تحقيق "التجارة الرقمية الآمنة</w:t>
      </w:r>
      <w:r w:rsidRPr="004A7628">
        <w:rPr>
          <w:rFonts w:ascii="Sakkal Majalla" w:hAnsi="Sakkal Majalla" w:cs="Sakkal Majalla"/>
          <w:sz w:val="28"/>
          <w:lang w:bidi="ar-EG"/>
        </w:rPr>
        <w:t xml:space="preserve">" (Secure Digital Trade) </w:t>
      </w:r>
      <w:r w:rsidRPr="004A7628">
        <w:rPr>
          <w:rFonts w:ascii="Sakkal Majalla" w:hAnsi="Sakkal Majalla" w:cs="Sakkal Majalla"/>
          <w:sz w:val="28"/>
          <w:rtl/>
        </w:rPr>
        <w:t>تطلّب تعاوناً وثيقاً بين الجمارك والبنوك وشركات التأمين لتطبيق تقنيات مثل البلوكتشين في توثيق ملكية الشحنات، مما زاد من الأمان وقلّل من الاحتيال الجمركي. وأفادت في بناء عبارات بُعد التكامل الأمني والشراكات الاستراتيجية</w:t>
      </w:r>
      <w:r w:rsidRPr="004A7628">
        <w:rPr>
          <w:rFonts w:ascii="Sakkal Majalla" w:hAnsi="Sakkal Majalla" w:cs="Sakkal Majalla"/>
          <w:sz w:val="28"/>
          <w:lang w:bidi="ar-EG"/>
        </w:rPr>
        <w:t xml:space="preserve"> (OECD, 2018).</w:t>
      </w:r>
    </w:p>
    <w:p w14:paraId="0BE8708F" w14:textId="19E1F7B8"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WCO (2023)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 هذه الدراسة أن تبنّي نماذج "الجمارك 4.0</w:t>
      </w:r>
      <w:r w:rsidRPr="004A7628">
        <w:rPr>
          <w:rFonts w:ascii="Sakkal Majalla" w:hAnsi="Sakkal Majalla" w:cs="Sakkal Majalla"/>
          <w:sz w:val="28"/>
          <w:lang w:bidi="ar-EG"/>
        </w:rPr>
        <w:t xml:space="preserve">" (Customs 4.0) </w:t>
      </w:r>
      <w:r w:rsidRPr="004A7628">
        <w:rPr>
          <w:rFonts w:ascii="Sakkal Majalla" w:hAnsi="Sakkal Majalla" w:cs="Sakkal Majalla"/>
          <w:sz w:val="28"/>
          <w:rtl/>
        </w:rPr>
        <w:t>القائمة على الذكاء الاصطناعي أدّى إلى زيادة كفاءة الكشف عن البضائع الممنوعة بنسبة تصل إلى 30%، وتقليل متوسط زمن التخليص الجمركي بنسبة 40%. ووفّرت هذه الدراسة مؤشرات قياسية لبناء عبارات كفاءة الرقابة الرقمية في المقياس</w:t>
      </w:r>
      <w:r w:rsidRPr="004A7628">
        <w:rPr>
          <w:rFonts w:ascii="Sakkal Majalla" w:hAnsi="Sakkal Majalla" w:cs="Sakkal Majalla"/>
          <w:sz w:val="28"/>
          <w:lang w:bidi="ar-EG"/>
        </w:rPr>
        <w:t xml:space="preserve"> (WCO, 2023).</w:t>
      </w:r>
    </w:p>
    <w:p w14:paraId="6F32D64B" w14:textId="0CE91D59"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Rogers (2003):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أشارت نظرية "نشر الابتكار</w:t>
      </w:r>
      <w:r w:rsidRPr="004A7628">
        <w:rPr>
          <w:rFonts w:ascii="Sakkal Majalla" w:hAnsi="Sakkal Majalla" w:cs="Sakkal Majalla"/>
          <w:sz w:val="28"/>
          <w:lang w:bidi="ar-EG"/>
        </w:rPr>
        <w:t xml:space="preserve">" (Diffusion of Innovations) </w:t>
      </w:r>
      <w:r w:rsidRPr="004A7628">
        <w:rPr>
          <w:rFonts w:ascii="Sakkal Majalla" w:hAnsi="Sakkal Majalla" w:cs="Sakkal Majalla"/>
          <w:sz w:val="28"/>
          <w:rtl/>
        </w:rPr>
        <w:t>إلى أن تبنّي أي تقنية اعتمد على العوامل الاجتماعية والثقافية داخل المنظمة، وأسهمت في بناء عبارات البُعد الاجتماعي والثقافي لتعزيز الأمن في الاستبيان</w:t>
      </w:r>
      <w:r w:rsidRPr="004A7628">
        <w:rPr>
          <w:rFonts w:ascii="Sakkal Majalla" w:hAnsi="Sakkal Majalla" w:cs="Sakkal Majalla"/>
          <w:sz w:val="28"/>
          <w:lang w:bidi="ar-EG"/>
        </w:rPr>
        <w:t xml:space="preserve"> (Rogers, E. M., 2003).</w:t>
      </w:r>
    </w:p>
    <w:p w14:paraId="0C53EBDE" w14:textId="5FD57E09" w:rsidR="004A7628" w:rsidRPr="004A7628" w:rsidRDefault="009706A2" w:rsidP="00951575">
      <w:pPr>
        <w:pStyle w:val="BlockText"/>
        <w:numPr>
          <w:ilvl w:val="0"/>
          <w:numId w:val="138"/>
        </w:numPr>
        <w:jc w:val="lowKashida"/>
        <w:outlineLvl w:val="0"/>
        <w:rPr>
          <w:rFonts w:ascii="Sakkal Majalla" w:hAnsi="Sakkal Majalla" w:cs="Sakkal Majalla"/>
          <w:sz w:val="28"/>
          <w:lang w:bidi="ar-EG"/>
        </w:rPr>
      </w:pP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lang w:bidi="ar-EG"/>
        </w:rPr>
        <w:t>Almarzooqi et al. (2021)</w:t>
      </w:r>
      <w:r w:rsidR="004A7628" w:rsidRPr="004A7628">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004A7628" w:rsidRPr="004A7628">
        <w:rPr>
          <w:rFonts w:ascii="Sakkal Majalla" w:hAnsi="Sakkal Majalla" w:cs="Sakkal Majalla"/>
          <w:sz w:val="28"/>
          <w:rtl/>
        </w:rPr>
        <w:t>أكّدت هذه الدراسة أن تعزيز الأمن تطلّب تجاوز الحدود المؤسسية والعمل ضمن منظومة تكاملية</w:t>
      </w:r>
      <w:r w:rsidR="004A7628" w:rsidRPr="004A7628">
        <w:rPr>
          <w:rFonts w:ascii="Sakkal Majalla" w:hAnsi="Sakkal Majalla" w:cs="Sakkal Majalla"/>
          <w:sz w:val="28"/>
          <w:lang w:bidi="ar-EG"/>
        </w:rPr>
        <w:t xml:space="preserve"> (Ecosystem) </w:t>
      </w:r>
      <w:r w:rsidR="004A7628" w:rsidRPr="004A7628">
        <w:rPr>
          <w:rFonts w:ascii="Sakkal Majalla" w:hAnsi="Sakkal Majalla" w:cs="Sakkal Majalla"/>
          <w:sz w:val="28"/>
          <w:rtl/>
        </w:rPr>
        <w:t>تشمل الشركاء المحليين والدوليين، واستُفيد منها في بناء عبارات بُعد التكامل والشراكات الاستراتيجية</w:t>
      </w:r>
      <w:r w:rsidR="004A7628" w:rsidRPr="004A7628">
        <w:rPr>
          <w:rFonts w:ascii="Sakkal Majalla" w:hAnsi="Sakkal Majalla" w:cs="Sakkal Majalla"/>
          <w:sz w:val="28"/>
          <w:lang w:bidi="ar-EG"/>
        </w:rPr>
        <w:t xml:space="preserve"> (Almarzooqi et al., 2021).</w:t>
      </w:r>
    </w:p>
    <w:p w14:paraId="0A8C576D"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ثالثاً: الدراسات المتعلقة بأبعاد تيسير التجارة (المتغير التابع الثاني)</w:t>
      </w:r>
    </w:p>
    <w:p w14:paraId="4502B7C8" w14:textId="6B2C24ED" w:rsidR="004A7628" w:rsidRPr="004A7628" w:rsidRDefault="004A7628" w:rsidP="00951575">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World Bank (2020)</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وفّر البنك الدولي إطاراً مرجعياً قياسياً لقياس تيسير التجارة من خلال مؤشر أداء اللوجستيات</w:t>
      </w:r>
      <w:r w:rsidRPr="004A7628">
        <w:rPr>
          <w:rFonts w:ascii="Sakkal Majalla" w:hAnsi="Sakkal Majalla" w:cs="Sakkal Majalla"/>
          <w:sz w:val="28"/>
          <w:lang w:bidi="ar-EG"/>
        </w:rPr>
        <w:t xml:space="preserve"> (LPI)</w:t>
      </w:r>
      <w:r w:rsidRPr="004A7628">
        <w:rPr>
          <w:rFonts w:ascii="Sakkal Majalla" w:hAnsi="Sakkal Majalla" w:cs="Sakkal Majalla"/>
          <w:sz w:val="28"/>
          <w:rtl/>
        </w:rPr>
        <w:t>، الذي يُعدّ مقياساً مباشراً لجودة البنية التحتية اللوجستية وكفاءة الجمارك. وأسهم هذا الإطار في صياغة عبارات بُعد تيسير التجارة المتعلقة بالكفاءة الجمركية وتحسين سلاسل الإمداد</w:t>
      </w:r>
      <w:r w:rsidRPr="004A7628">
        <w:rPr>
          <w:rFonts w:ascii="Sakkal Majalla" w:hAnsi="Sakkal Majalla" w:cs="Sakkal Majalla"/>
          <w:sz w:val="28"/>
          <w:lang w:bidi="ar-EG"/>
        </w:rPr>
        <w:t xml:space="preserve"> (World Bank, 2020).</w:t>
      </w:r>
    </w:p>
    <w:p w14:paraId="14513C91" w14:textId="445C3873" w:rsidR="004A7628" w:rsidRPr="004A7628" w:rsidRDefault="004A7628" w:rsidP="00951575">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Muehlburger et al. (2019)</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ركّزت هذه الدراسة على البنية الدفاعية المتعددة الطبقات وأثرها في تسهيل انسيابية التجارة الرقمية من خلال تقليل الاحتكاك التنظيمي وتحسين الثقة بين الأطراف التجارية، وأفادت في بناء مؤشرات قياس الكفاءة والأمن التجاري المتكامل</w:t>
      </w:r>
      <w:r w:rsidRPr="004A7628">
        <w:rPr>
          <w:rFonts w:ascii="Sakkal Majalla" w:hAnsi="Sakkal Majalla" w:cs="Sakkal Majalla"/>
          <w:sz w:val="28"/>
          <w:lang w:bidi="ar-EG"/>
        </w:rPr>
        <w:t xml:space="preserve"> (Muehlburger et al., 2019).</w:t>
      </w:r>
    </w:p>
    <w:p w14:paraId="0B8D300A" w14:textId="037603F9" w:rsidR="004A7628" w:rsidRPr="004A7628" w:rsidRDefault="004A7628" w:rsidP="00951575">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PwC (2023)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قدّمت هذه الدراسة أطراً قياسية لتقييم أثر تطبيقات الذكاء الاصطناعي في تحسين إجراءات التخليص الجمركي وتفعيل المساءلة عن قرارات الذكاء الاصطناعي</w:t>
      </w:r>
      <w:r w:rsidRPr="004A7628">
        <w:rPr>
          <w:rFonts w:ascii="Sakkal Majalla" w:hAnsi="Sakkal Majalla" w:cs="Sakkal Majalla"/>
          <w:sz w:val="28"/>
          <w:lang w:bidi="ar-EG"/>
        </w:rPr>
        <w:t xml:space="preserve"> (Explainable AI - XAI)</w:t>
      </w:r>
      <w:r w:rsidRPr="004A7628">
        <w:rPr>
          <w:rFonts w:ascii="Sakkal Majalla" w:hAnsi="Sakkal Majalla" w:cs="Sakkal Majalla"/>
          <w:sz w:val="28"/>
          <w:rtl/>
        </w:rPr>
        <w:t>، ووفّرت مؤشرات قياسية لعبارات تيسير التجارة المرتبطة بالكفاءة التشغيلية الرقمية</w:t>
      </w:r>
      <w:r w:rsidRPr="004A7628">
        <w:rPr>
          <w:rFonts w:ascii="Sakkal Majalla" w:hAnsi="Sakkal Majalla" w:cs="Sakkal Majalla"/>
          <w:sz w:val="28"/>
          <w:lang w:bidi="ar-EG"/>
        </w:rPr>
        <w:t xml:space="preserve"> (PwC, 2023).</w:t>
      </w:r>
    </w:p>
    <w:p w14:paraId="2A9D2942" w14:textId="5D3B58ED"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3/8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إجراءات بناء قائمة الاستقصاء والتحقق من صدقها وثباتها</w:t>
      </w:r>
    </w:p>
    <w:p w14:paraId="6A448AFC" w14:textId="48CF520A"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3/8/1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إعداد قائمة الاستقصاء</w:t>
      </w:r>
    </w:p>
    <w:p w14:paraId="6294E6B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إعداد مقاييس الدراسة على الدراسات الأجنبية السابقة المستعرضة آنفاً، وذلك مع مراعاة اختلاف البيئة الثقافية والاقتصادية والاجتماعية بين المجتمع السعودي والمجتمعات الأجنبية التي استُخدمت فيها هذه الأدوات القياسية. ومن ثَمّ، أجرى الباحث تعديلات وتكييفات ضرورية على هذه المقاييس لملاءمتها للبيئة البحثية المحلية، وللتأكد من قدرتها على قياس تأثير أبعاد التحول الرقمي على تعزيز الأمن وتيسير التجارة بما يتوافق مع السياق السعودي</w:t>
      </w:r>
      <w:r w:rsidRPr="004A7628">
        <w:rPr>
          <w:rFonts w:ascii="Sakkal Majalla" w:hAnsi="Sakkal Majalla" w:cs="Sakkal Majalla"/>
          <w:sz w:val="28"/>
          <w:lang w:bidi="ar-EG"/>
        </w:rPr>
        <w:t>.</w:t>
      </w:r>
    </w:p>
    <w:p w14:paraId="056426BF" w14:textId="681258B7" w:rsidR="004A7628" w:rsidRPr="004A7628" w:rsidRDefault="009706A2" w:rsidP="00951575">
      <w:pPr>
        <w:pStyle w:val="BlockText"/>
        <w:jc w:val="lowKashida"/>
        <w:outlineLvl w:val="0"/>
        <w:rPr>
          <w:rFonts w:ascii="Sakkal Majalla" w:hAnsi="Sakkal Majalla" w:cs="Sakkal Majalla"/>
          <w:b/>
          <w:bCs/>
          <w:sz w:val="28"/>
          <w:lang w:bidi="ar-EG"/>
        </w:rPr>
      </w:pPr>
      <w:r>
        <w:rPr>
          <w:rFonts w:ascii="Sakkal Majalla" w:hAnsi="Sakkal Majalla" w:cs="Sakkal Majalla" w:hint="cs"/>
          <w:b/>
          <w:bCs/>
          <w:sz w:val="28"/>
          <w:rtl/>
          <w:lang w:bidi="ar-EG"/>
        </w:rPr>
        <w:lastRenderedPageBreak/>
        <w:t xml:space="preserve"> </w:t>
      </w:r>
      <w:r w:rsidR="004A7628" w:rsidRPr="004A7628">
        <w:rPr>
          <w:rFonts w:ascii="Sakkal Majalla" w:hAnsi="Sakkal Majalla" w:cs="Sakkal Majalla"/>
          <w:b/>
          <w:bCs/>
          <w:sz w:val="28"/>
          <w:lang w:bidi="ar-EG"/>
        </w:rPr>
        <w:t xml:space="preserve">3/8/2 </w:t>
      </w: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rtl/>
        </w:rPr>
        <w:t>التحكيم الأكاديمي والميداني</w:t>
      </w:r>
    </w:p>
    <w:p w14:paraId="6E2F113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عرض الباحث قائمة الاستقصاء بعد الانتهاء من إعدادها المبدئي على مستويين من التحكيم</w:t>
      </w:r>
      <w:r w:rsidRPr="004A7628">
        <w:rPr>
          <w:rFonts w:ascii="Sakkal Majalla" w:hAnsi="Sakkal Majalla" w:cs="Sakkal Majalla"/>
          <w:sz w:val="28"/>
          <w:lang w:bidi="ar-EG"/>
        </w:rPr>
        <w:t>:</w:t>
      </w:r>
    </w:p>
    <w:p w14:paraId="1EB3CAFD" w14:textId="77777777" w:rsidR="004A7628" w:rsidRPr="004A7628" w:rsidRDefault="004A7628" w:rsidP="00951575">
      <w:pPr>
        <w:pStyle w:val="BlockText"/>
        <w:numPr>
          <w:ilvl w:val="0"/>
          <w:numId w:val="140"/>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المستوى الأكاديمي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تم عرضها على عدد من المحكّمين من الأساتذة الأكاديميين المتخصصين في الجامعة، بهدف التعرف على آرائهم المتعلقة بملاءمة قائمة الاستقصاء لأهداف البحث، وكذلك درجة وضوح صياغة بنودها</w:t>
      </w:r>
      <w:r w:rsidRPr="004A7628">
        <w:rPr>
          <w:rFonts w:ascii="Sakkal Majalla" w:hAnsi="Sakkal Majalla" w:cs="Sakkal Majalla"/>
          <w:sz w:val="28"/>
          <w:lang w:bidi="ar-EG"/>
        </w:rPr>
        <w:t>.</w:t>
      </w:r>
    </w:p>
    <w:p w14:paraId="727F1051" w14:textId="77777777" w:rsidR="004A7628" w:rsidRPr="004A7628" w:rsidRDefault="004A7628" w:rsidP="00951575">
      <w:pPr>
        <w:pStyle w:val="BlockText"/>
        <w:numPr>
          <w:ilvl w:val="0"/>
          <w:numId w:val="140"/>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المستوى الميداني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تم عرضها على عدد من مديري هيئة الزكاة والضريبة والجمارك، لأخذ رأيهم في صدق محتوى الأداة من حيث تغطيتها لما وُضعت لأجله</w:t>
      </w:r>
      <w:r w:rsidRPr="004A7628">
        <w:rPr>
          <w:rFonts w:ascii="Sakkal Majalla" w:hAnsi="Sakkal Majalla" w:cs="Sakkal Majalla"/>
          <w:sz w:val="28"/>
          <w:lang w:bidi="ar-EG"/>
        </w:rPr>
        <w:t>.</w:t>
      </w:r>
    </w:p>
    <w:p w14:paraId="0FA1ED6A"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وبعد تلقّي الردود، طبّق الباحث القائمة على عشرين موظفاً لضمان الصياغة الجيدة بحيث فهمها الجميع بشكل متساوٍ كما أرادها الباحث، وانتهى إلى إعداد الأداة في صورتها النهائية</w:t>
      </w:r>
      <w:r w:rsidRPr="004A7628">
        <w:rPr>
          <w:rFonts w:ascii="Sakkal Majalla" w:hAnsi="Sakkal Majalla" w:cs="Sakkal Majalla"/>
          <w:sz w:val="28"/>
          <w:lang w:bidi="ar-EG"/>
        </w:rPr>
        <w:t>.</w:t>
      </w:r>
    </w:p>
    <w:p w14:paraId="56255E5C" w14:textId="22E2434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3/9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مقاييس متغيرات الدراسة</w:t>
      </w:r>
    </w:p>
    <w:p w14:paraId="72A1C4EA" w14:textId="26AD1EBF"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3/9/1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أبعاد التحول الرقمي (المتغير المستقل)</w:t>
      </w:r>
    </w:p>
    <w:p w14:paraId="430C288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قياس أبعاد التحول الرقمي على المقاييس التي اعتمدت عليها كثير من الدراسات السابقة وتم تطبيقها، حيث انقسم إلى ثلاثة أبعاد هي: البيئة الخارجية المحيطة، والبيئة الداخلية، واستخدام العملاء. وقد قِيس هذا المتغير من خلال تسع عبارات قياسية مثّلت كل بُعد منها ثلاث عبارات، صيغت بلغة واضحة ومحددة، وتم التحقق من صدقها الظاهري وصدق المحتوى من خلال التحكيم وإجراء الدراسة الاستطلاعية، استناداً إلى النماذج العالمية الرائدة</w:t>
      </w:r>
      <w:r w:rsidRPr="004A7628">
        <w:rPr>
          <w:rFonts w:ascii="Sakkal Majalla" w:hAnsi="Sakkal Majalla" w:cs="Sakkal Majalla"/>
          <w:sz w:val="28"/>
          <w:lang w:bidi="ar-EG"/>
        </w:rPr>
        <w:t>: Westerman &amp; Bonnet (2015)</w:t>
      </w:r>
      <w:r w:rsidRPr="004A7628">
        <w:rPr>
          <w:rFonts w:ascii="Sakkal Majalla" w:hAnsi="Sakkal Majalla" w:cs="Sakkal Majalla"/>
          <w:sz w:val="28"/>
          <w:rtl/>
        </w:rPr>
        <w:t>؛ و</w:t>
      </w:r>
      <w:r w:rsidRPr="004A7628">
        <w:rPr>
          <w:rFonts w:ascii="Sakkal Majalla" w:hAnsi="Sakkal Majalla" w:cs="Sakkal Majalla"/>
          <w:sz w:val="28"/>
          <w:lang w:bidi="ar-EG"/>
        </w:rPr>
        <w:t xml:space="preserve"> Gartner (2024)</w:t>
      </w:r>
      <w:r w:rsidRPr="004A7628">
        <w:rPr>
          <w:rFonts w:ascii="Sakkal Majalla" w:hAnsi="Sakkal Majalla" w:cs="Sakkal Majalla"/>
          <w:sz w:val="28"/>
          <w:rtl/>
        </w:rPr>
        <w:t>؛ و</w:t>
      </w:r>
      <w:r w:rsidRPr="004A7628">
        <w:rPr>
          <w:rFonts w:ascii="Sakkal Majalla" w:hAnsi="Sakkal Majalla" w:cs="Sakkal Majalla"/>
          <w:sz w:val="28"/>
          <w:lang w:bidi="ar-EG"/>
        </w:rPr>
        <w:t xml:space="preserve"> OECD (2020)</w:t>
      </w:r>
      <w:r w:rsidRPr="004A7628">
        <w:rPr>
          <w:rFonts w:ascii="Sakkal Majalla" w:hAnsi="Sakkal Majalla" w:cs="Sakkal Majalla"/>
          <w:sz w:val="28"/>
          <w:rtl/>
        </w:rPr>
        <w:t>؛ و</w:t>
      </w:r>
      <w:r w:rsidRPr="004A7628">
        <w:rPr>
          <w:rFonts w:ascii="Sakkal Majalla" w:hAnsi="Sakkal Majalla" w:cs="Sakkal Majalla"/>
          <w:sz w:val="28"/>
          <w:lang w:bidi="ar-EG"/>
        </w:rPr>
        <w:t xml:space="preserve"> McKinsey &amp; Company (2022).</w:t>
      </w:r>
    </w:p>
    <w:p w14:paraId="447B0BD2" w14:textId="7AD3B3FE" w:rsidR="004A7628" w:rsidRPr="004A7628" w:rsidRDefault="009706A2" w:rsidP="00951575">
      <w:pPr>
        <w:pStyle w:val="BlockText"/>
        <w:jc w:val="lowKashida"/>
        <w:outlineLvl w:val="0"/>
        <w:rPr>
          <w:rFonts w:ascii="Sakkal Majalla" w:hAnsi="Sakkal Majalla" w:cs="Sakkal Majalla"/>
          <w:b/>
          <w:bCs/>
          <w:sz w:val="28"/>
          <w:lang w:bidi="ar-EG"/>
        </w:rPr>
      </w:pP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lang w:bidi="ar-EG"/>
        </w:rPr>
        <w:t xml:space="preserve">3/9/2 </w:t>
      </w: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rtl/>
        </w:rPr>
        <w:t>أبعاد تعزيز الأمن وتيسير التجارة (المتغيرات التابعة)</w:t>
      </w:r>
    </w:p>
    <w:p w14:paraId="3F815626" w14:textId="46FE83BE" w:rsidR="004A7628" w:rsidRPr="004A7628" w:rsidRDefault="004A7628" w:rsidP="009706A2">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قياس أبعاد تعزيز الأمن وتيسير التجارة على المقاييس التي اعتمدت عليها العديد من الدراسات العربية والأجنبية، وقامت بدراستها أبحاث ودراسات مختلفة متعددة، على النحو الذي تم استعراضه في محور الدراسات السابقة لقائمة الاستقصاء</w:t>
      </w:r>
      <w:r w:rsidR="009706A2">
        <w:rPr>
          <w:rFonts w:ascii="Sakkal Majalla" w:hAnsi="Sakkal Majalla" w:cs="Sakkal Majalla" w:hint="cs"/>
          <w:sz w:val="28"/>
          <w:rtl/>
          <w:lang w:bidi="ar-EG"/>
        </w:rPr>
        <w:t xml:space="preserve">، </w:t>
      </w:r>
      <w:r w:rsidR="009706A2" w:rsidRPr="009706A2">
        <w:rPr>
          <w:rFonts w:ascii="Sakkal Majalla" w:hAnsi="Sakkal Majalla" w:cs="Sakkal Majalla"/>
          <w:sz w:val="28"/>
          <w:rtl/>
        </w:rPr>
        <w:t>استناداً إلى الدراسات والنماذج العالمية الرائدة</w:t>
      </w:r>
      <w:r w:rsidR="009706A2" w:rsidRPr="009706A2">
        <w:rPr>
          <w:rFonts w:ascii="Sakkal Majalla" w:hAnsi="Sakkal Majalla" w:cs="Sakkal Majalla"/>
          <w:sz w:val="28"/>
          <w:lang w:bidi="ar-EG"/>
        </w:rPr>
        <w:t>: Smith (2020)</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Hanelt et al. (2021)</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WCO (2023)</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OECD (2018)</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Rogers (2003)</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Almarzooqi et al. (2021)</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World Bank (2020)</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Muehlburger et al. (2019)</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PwC (2023).</w:t>
      </w:r>
    </w:p>
    <w:p w14:paraId="344F5376" w14:textId="2683A2E0"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3/10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الأساليب الإحصائية المستخدمة في تحليل البيانات واختبار الفروض</w:t>
      </w:r>
    </w:p>
    <w:p w14:paraId="624196D4" w14:textId="230C4238"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3/10/1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إعداد البيانات للتحليل واختبار الفروض</w:t>
      </w:r>
    </w:p>
    <w:p w14:paraId="09442F5E"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قبل البدء في تطبيق الأساليب الإحصائية اللازمة لاختبار الفروض، تم إعداد البيانات بفرز استمارات الاستقصاء المختلفة ورفض التي لم تصلح للتحليل، ثم تم ترميز متغيرات الدراسة وتفريغ الاستمارات باستخدام برنامج</w:t>
      </w:r>
      <w:r w:rsidRPr="004A7628">
        <w:rPr>
          <w:rFonts w:ascii="Sakkal Majalla" w:hAnsi="Sakkal Majalla" w:cs="Sakkal Majalla"/>
          <w:sz w:val="28"/>
          <w:lang w:bidi="ar-EG"/>
        </w:rPr>
        <w:t xml:space="preserve"> EXCEL </w:t>
      </w:r>
      <w:r w:rsidRPr="004A7628">
        <w:rPr>
          <w:rFonts w:ascii="Sakkal Majalla" w:hAnsi="Sakkal Majalla" w:cs="Sakkal Majalla"/>
          <w:sz w:val="28"/>
          <w:rtl/>
        </w:rPr>
        <w:t>بعد إعداد ملف خاص. وبعد الانتهاء من عملية التفريغ ومراجعة البيانات، تم تحويل ملف البيانات من</w:t>
      </w:r>
      <w:r w:rsidRPr="004A7628">
        <w:rPr>
          <w:rFonts w:ascii="Sakkal Majalla" w:hAnsi="Sakkal Majalla" w:cs="Sakkal Majalla"/>
          <w:sz w:val="28"/>
          <w:lang w:bidi="ar-EG"/>
        </w:rPr>
        <w:t xml:space="preserve"> EXCEL </w:t>
      </w:r>
      <w:r w:rsidRPr="004A7628">
        <w:rPr>
          <w:rFonts w:ascii="Sakkal Majalla" w:hAnsi="Sakkal Majalla" w:cs="Sakkal Majalla"/>
          <w:sz w:val="28"/>
          <w:rtl/>
        </w:rPr>
        <w:t>إلى ملف بيانات</w:t>
      </w:r>
      <w:r w:rsidRPr="004A7628">
        <w:rPr>
          <w:rFonts w:ascii="Sakkal Majalla" w:hAnsi="Sakkal Majalla" w:cs="Sakkal Majalla"/>
          <w:sz w:val="28"/>
          <w:lang w:bidi="ar-EG"/>
        </w:rPr>
        <w:t xml:space="preserve"> SPSS </w:t>
      </w:r>
      <w:r w:rsidRPr="004A7628">
        <w:rPr>
          <w:rFonts w:ascii="Sakkal Majalla" w:hAnsi="Sakkal Majalla" w:cs="Sakkal Majalla"/>
          <w:sz w:val="28"/>
          <w:rtl/>
        </w:rPr>
        <w:t>باستخدام برنامج التحليل الإحصائي</w:t>
      </w:r>
      <w:r w:rsidRPr="004A7628">
        <w:rPr>
          <w:rFonts w:ascii="Sakkal Majalla" w:hAnsi="Sakkal Majalla" w:cs="Sakkal Majalla"/>
          <w:sz w:val="28"/>
          <w:lang w:bidi="ar-EG"/>
        </w:rPr>
        <w:t xml:space="preserve"> (SPSS Ver. 17)</w:t>
      </w:r>
      <w:r w:rsidRPr="004A7628">
        <w:rPr>
          <w:rFonts w:ascii="Sakkal Majalla" w:hAnsi="Sakkal Majalla" w:cs="Sakkal Majalla"/>
          <w:sz w:val="28"/>
          <w:rtl/>
        </w:rPr>
        <w:t>، حيث تم تطبيق الأساليب الإحصائية المختلفة التي اتفقت مع أهداف البحث</w:t>
      </w:r>
      <w:r w:rsidRPr="004A7628">
        <w:rPr>
          <w:rFonts w:ascii="Sakkal Majalla" w:hAnsi="Sakkal Majalla" w:cs="Sakkal Majalla"/>
          <w:sz w:val="28"/>
          <w:lang w:bidi="ar-EG"/>
        </w:rPr>
        <w:t>.</w:t>
      </w:r>
    </w:p>
    <w:p w14:paraId="17D9CF4A" w14:textId="285525D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3/10/2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الأساليب الإحصائية المستخدمة</w:t>
      </w:r>
    </w:p>
    <w:p w14:paraId="19F20ED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تحليل البيانات واختبار صحة فروض الدراسة على برنامج الحزم الإحصائية للعلوم الاجتماعية</w:t>
      </w:r>
      <w:r w:rsidRPr="004A7628">
        <w:rPr>
          <w:rFonts w:ascii="Sakkal Majalla" w:hAnsi="Sakkal Majalla" w:cs="Sakkal Majalla"/>
          <w:sz w:val="28"/>
          <w:lang w:bidi="ar-EG"/>
        </w:rPr>
        <w:t xml:space="preserve"> SPSS</w:t>
      </w:r>
      <w:r w:rsidRPr="004A7628">
        <w:rPr>
          <w:rFonts w:ascii="Sakkal Majalla" w:hAnsi="Sakkal Majalla" w:cs="Sakkal Majalla"/>
          <w:sz w:val="28"/>
          <w:rtl/>
        </w:rPr>
        <w:t>، حيث استُخدمت الأساليب الإحصائية التالية</w:t>
      </w:r>
      <w:r w:rsidRPr="004A7628">
        <w:rPr>
          <w:rFonts w:ascii="Sakkal Majalla" w:hAnsi="Sakkal Majalla" w:cs="Sakkal Majalla"/>
          <w:sz w:val="28"/>
          <w:lang w:bidi="ar-EG"/>
        </w:rPr>
        <w:t>:</w:t>
      </w:r>
    </w:p>
    <w:p w14:paraId="762F45F5"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المتوسط (الوسط) المرجح</w:t>
      </w:r>
      <w:r w:rsidRPr="004A7628">
        <w:rPr>
          <w:rFonts w:ascii="Sakkal Majalla" w:hAnsi="Sakkal Majalla" w:cs="Sakkal Majalla"/>
          <w:sz w:val="28"/>
          <w:rtl/>
        </w:rPr>
        <w:t xml:space="preserve"> لكل عبارة من عبارات الدراسة، للتعرف على الاتجاه العام لمفردات الدراسة لكل متغير على حدة</w:t>
      </w:r>
      <w:r w:rsidRPr="004A7628">
        <w:rPr>
          <w:rFonts w:ascii="Sakkal Majalla" w:hAnsi="Sakkal Majalla" w:cs="Sakkal Majalla"/>
          <w:sz w:val="28"/>
          <w:lang w:bidi="ar-EG"/>
        </w:rPr>
        <w:t>.</w:t>
      </w:r>
    </w:p>
    <w:p w14:paraId="0E9BC6A3"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lastRenderedPageBreak/>
        <w:t>الانحراف المعياري ومعامل الاختلاف</w:t>
      </w:r>
      <w:r w:rsidRPr="004A7628">
        <w:rPr>
          <w:rFonts w:ascii="Sakkal Majalla" w:hAnsi="Sakkal Majalla" w:cs="Sakkal Majalla"/>
          <w:sz w:val="28"/>
          <w:rtl/>
        </w:rPr>
        <w:t xml:space="preserve"> لكل عبارة من العبارات، لترتيب درجة الأهمية لكل عبارة</w:t>
      </w:r>
      <w:r w:rsidRPr="004A7628">
        <w:rPr>
          <w:rFonts w:ascii="Sakkal Majalla" w:hAnsi="Sakkal Majalla" w:cs="Sakkal Majalla"/>
          <w:sz w:val="28"/>
          <w:lang w:bidi="ar-EG"/>
        </w:rPr>
        <w:t>.</w:t>
      </w:r>
    </w:p>
    <w:p w14:paraId="09200DCC"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اختبار الثبات</w:t>
      </w:r>
      <w:r w:rsidRPr="004A7628">
        <w:rPr>
          <w:rFonts w:ascii="Sakkal Majalla" w:hAnsi="Sakkal Majalla" w:cs="Sakkal Majalla"/>
          <w:b/>
          <w:bCs/>
          <w:sz w:val="28"/>
          <w:lang w:bidi="ar-EG"/>
        </w:rPr>
        <w:t xml:space="preserve"> (Reliability Test)</w:t>
      </w:r>
      <w:r w:rsidRPr="004A7628">
        <w:rPr>
          <w:rFonts w:ascii="Sakkal Majalla" w:hAnsi="Sakkal Majalla" w:cs="Sakkal Majalla"/>
          <w:sz w:val="28"/>
          <w:lang w:bidi="ar-EG"/>
        </w:rPr>
        <w:t xml:space="preserve"> </w:t>
      </w:r>
      <w:r w:rsidRPr="004A7628">
        <w:rPr>
          <w:rFonts w:ascii="Sakkal Majalla" w:hAnsi="Sakkal Majalla" w:cs="Sakkal Majalla"/>
          <w:sz w:val="28"/>
          <w:rtl/>
        </w:rPr>
        <w:t>لحساب درجة الثبات للمقاييس المستخدمة باستخدام معامل ألفا كرونباخ</w:t>
      </w:r>
      <w:r w:rsidRPr="004A7628">
        <w:rPr>
          <w:rFonts w:ascii="Sakkal Majalla" w:hAnsi="Sakkal Majalla" w:cs="Sakkal Majalla"/>
          <w:sz w:val="28"/>
          <w:lang w:bidi="ar-EG"/>
        </w:rPr>
        <w:t xml:space="preserve"> (Cronbach Alpha).</w:t>
      </w:r>
    </w:p>
    <w:p w14:paraId="2DBDEF87"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التحليل العاملي</w:t>
      </w:r>
      <w:r w:rsidRPr="004A7628">
        <w:rPr>
          <w:rFonts w:ascii="Sakkal Majalla" w:hAnsi="Sakkal Majalla" w:cs="Sakkal Majalla"/>
          <w:b/>
          <w:bCs/>
          <w:sz w:val="28"/>
          <w:lang w:bidi="ar-EG"/>
        </w:rPr>
        <w:t xml:space="preserve"> (Factor Analysis)</w:t>
      </w:r>
      <w:r w:rsidRPr="004A7628">
        <w:rPr>
          <w:rFonts w:ascii="Sakkal Majalla" w:hAnsi="Sakkal Majalla" w:cs="Sakkal Majalla"/>
          <w:sz w:val="28"/>
          <w:lang w:bidi="ar-EG"/>
        </w:rPr>
        <w:t xml:space="preserve"> </w:t>
      </w:r>
      <w:r w:rsidRPr="004A7628">
        <w:rPr>
          <w:rFonts w:ascii="Sakkal Majalla" w:hAnsi="Sakkal Majalla" w:cs="Sakkal Majalla"/>
          <w:sz w:val="28"/>
          <w:rtl/>
        </w:rPr>
        <w:t>لتخفيض العدد الكبير للمتغيرات بالمقياس إلى عدد أقل من العوامل المشتركة التي قاست الارتباط الموجود بينها، وكذلك للتأكد من الصدق العاملي لأبعاد الدراسة</w:t>
      </w:r>
      <w:r w:rsidRPr="004A7628">
        <w:rPr>
          <w:rFonts w:ascii="Sakkal Majalla" w:hAnsi="Sakkal Majalla" w:cs="Sakkal Majalla"/>
          <w:sz w:val="28"/>
          <w:lang w:bidi="ar-EG"/>
        </w:rPr>
        <w:t>.</w:t>
      </w:r>
    </w:p>
    <w:p w14:paraId="6A9ACC28"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اختبار معنوية الفرق بين وسطين "اختبار ت</w:t>
      </w:r>
      <w:r w:rsidRPr="004A7628">
        <w:rPr>
          <w:rFonts w:ascii="Sakkal Majalla" w:hAnsi="Sakkal Majalla" w:cs="Sakkal Majalla"/>
          <w:b/>
          <w:bCs/>
          <w:sz w:val="28"/>
          <w:lang w:bidi="ar-EG"/>
        </w:rPr>
        <w:t>" (Independence Sample T-Test)</w:t>
      </w:r>
      <w:r w:rsidRPr="004A7628">
        <w:rPr>
          <w:rFonts w:ascii="Sakkal Majalla" w:hAnsi="Sakkal Majalla" w:cs="Sakkal Majalla"/>
          <w:sz w:val="28"/>
          <w:lang w:bidi="ar-EG"/>
        </w:rPr>
        <w:t xml:space="preserve"> </w:t>
      </w:r>
      <w:r w:rsidRPr="004A7628">
        <w:rPr>
          <w:rFonts w:ascii="Sakkal Majalla" w:hAnsi="Sakkal Majalla" w:cs="Sakkal Majalla"/>
          <w:sz w:val="28"/>
          <w:rtl/>
        </w:rPr>
        <w:t>لمعرفة معنوية الفرق بين متوسطين واختبار صحة فروض الدراسة</w:t>
      </w:r>
      <w:r w:rsidRPr="004A7628">
        <w:rPr>
          <w:rFonts w:ascii="Sakkal Majalla" w:hAnsi="Sakkal Majalla" w:cs="Sakkal Majalla"/>
          <w:sz w:val="28"/>
          <w:lang w:bidi="ar-EG"/>
        </w:rPr>
        <w:t>.</w:t>
      </w:r>
    </w:p>
    <w:p w14:paraId="4F970AA0"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تحليل الانحدار البسيط</w:t>
      </w:r>
      <w:r w:rsidRPr="004A7628">
        <w:rPr>
          <w:rFonts w:ascii="Sakkal Majalla" w:hAnsi="Sakkal Majalla" w:cs="Sakkal Majalla"/>
          <w:b/>
          <w:bCs/>
          <w:sz w:val="28"/>
          <w:lang w:bidi="ar-EG"/>
        </w:rPr>
        <w:t xml:space="preserve"> (Simple Regression)</w:t>
      </w:r>
      <w:r w:rsidRPr="004A7628">
        <w:rPr>
          <w:rFonts w:ascii="Sakkal Majalla" w:hAnsi="Sakkal Majalla" w:cs="Sakkal Majalla"/>
          <w:sz w:val="28"/>
          <w:lang w:bidi="ar-EG"/>
        </w:rPr>
        <w:t xml:space="preserve"> </w:t>
      </w:r>
      <w:r w:rsidRPr="004A7628">
        <w:rPr>
          <w:rFonts w:ascii="Sakkal Majalla" w:hAnsi="Sakkal Majalla" w:cs="Sakkal Majalla"/>
          <w:sz w:val="28"/>
          <w:rtl/>
        </w:rPr>
        <w:t>بطريقة الانحدار المتدرج</w:t>
      </w:r>
      <w:r w:rsidRPr="004A7628">
        <w:rPr>
          <w:rFonts w:ascii="Sakkal Majalla" w:hAnsi="Sakkal Majalla" w:cs="Sakkal Majalla"/>
          <w:sz w:val="28"/>
          <w:lang w:bidi="ar-EG"/>
        </w:rPr>
        <w:t xml:space="preserve"> (Stepwise Regression)</w:t>
      </w:r>
      <w:r w:rsidRPr="004A7628">
        <w:rPr>
          <w:rFonts w:ascii="Sakkal Majalla" w:hAnsi="Sakkal Majalla" w:cs="Sakkal Majalla"/>
          <w:sz w:val="28"/>
          <w:rtl/>
        </w:rPr>
        <w:t>، واستُخدم لمعرفة طبيعة وقوة العلاقة والقدرة التفسيرية لمجموعة من المتغيرات المستقلة والتابعة</w:t>
      </w:r>
      <w:r w:rsidRPr="004A7628">
        <w:rPr>
          <w:rFonts w:ascii="Sakkal Majalla" w:hAnsi="Sakkal Majalla" w:cs="Sakkal Majalla"/>
          <w:sz w:val="28"/>
          <w:lang w:bidi="ar-EG"/>
        </w:rPr>
        <w:t>.</w:t>
      </w:r>
    </w:p>
    <w:p w14:paraId="707F6BC5"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تحليل الانحدار المتعدد</w:t>
      </w:r>
      <w:r w:rsidRPr="004A7628">
        <w:rPr>
          <w:rFonts w:ascii="Sakkal Majalla" w:hAnsi="Sakkal Majalla" w:cs="Sakkal Majalla"/>
          <w:b/>
          <w:bCs/>
          <w:sz w:val="28"/>
          <w:lang w:bidi="ar-EG"/>
        </w:rPr>
        <w:t xml:space="preserve"> (Multiple Regression)</w:t>
      </w:r>
      <w:r w:rsidRPr="004A7628">
        <w:rPr>
          <w:rFonts w:ascii="Sakkal Majalla" w:hAnsi="Sakkal Majalla" w:cs="Sakkal Majalla"/>
          <w:sz w:val="28"/>
          <w:lang w:bidi="ar-EG"/>
        </w:rPr>
        <w:t xml:space="preserve"> </w:t>
      </w:r>
      <w:r w:rsidRPr="004A7628">
        <w:rPr>
          <w:rFonts w:ascii="Sakkal Majalla" w:hAnsi="Sakkal Majalla" w:cs="Sakkal Majalla"/>
          <w:sz w:val="28"/>
          <w:rtl/>
        </w:rPr>
        <w:t>بهدف تقديم نماذج العلاقات بين المتغيرات المستقلة والمتغير التابع</w:t>
      </w:r>
      <w:r w:rsidRPr="004A7628">
        <w:rPr>
          <w:rFonts w:ascii="Sakkal Majalla" w:hAnsi="Sakkal Majalla" w:cs="Sakkal Majalla"/>
          <w:sz w:val="28"/>
          <w:lang w:bidi="ar-EG"/>
        </w:rPr>
        <w:t>.</w:t>
      </w:r>
    </w:p>
    <w:p w14:paraId="635667FD"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الإحصائية الوصفية</w:t>
      </w:r>
      <w:r w:rsidRPr="004A7628">
        <w:rPr>
          <w:rFonts w:ascii="Sakkal Majalla" w:hAnsi="Sakkal Majalla" w:cs="Sakkal Majalla"/>
          <w:b/>
          <w:bCs/>
          <w:sz w:val="28"/>
          <w:lang w:bidi="ar-EG"/>
        </w:rPr>
        <w:t xml:space="preserve"> (Descriptive Statistics)</w:t>
      </w:r>
      <w:r w:rsidRPr="004A7628">
        <w:rPr>
          <w:rFonts w:ascii="Sakkal Majalla" w:hAnsi="Sakkal Majalla" w:cs="Sakkal Majalla"/>
          <w:sz w:val="28"/>
          <w:rtl/>
        </w:rPr>
        <w:t>، وشملت الوسط الحسابي</w:t>
      </w:r>
      <w:r w:rsidRPr="004A7628">
        <w:rPr>
          <w:rFonts w:ascii="Sakkal Majalla" w:hAnsi="Sakkal Majalla" w:cs="Sakkal Majalla"/>
          <w:sz w:val="28"/>
          <w:lang w:bidi="ar-EG"/>
        </w:rPr>
        <w:t xml:space="preserve"> (Mean) </w:t>
      </w:r>
      <w:r w:rsidRPr="004A7628">
        <w:rPr>
          <w:rFonts w:ascii="Sakkal Majalla" w:hAnsi="Sakkal Majalla" w:cs="Sakkal Majalla"/>
          <w:sz w:val="28"/>
          <w:rtl/>
        </w:rPr>
        <w:t>والانحراف المعياري</w:t>
      </w:r>
      <w:r w:rsidRPr="004A7628">
        <w:rPr>
          <w:rFonts w:ascii="Sakkal Majalla" w:hAnsi="Sakkal Majalla" w:cs="Sakkal Majalla"/>
          <w:sz w:val="28"/>
          <w:lang w:bidi="ar-EG"/>
        </w:rPr>
        <w:t xml:space="preserve"> (Standard Deviation) </w:t>
      </w:r>
      <w:r w:rsidRPr="004A7628">
        <w:rPr>
          <w:rFonts w:ascii="Sakkal Majalla" w:hAnsi="Sakkal Majalla" w:cs="Sakkal Majalla"/>
          <w:sz w:val="28"/>
          <w:rtl/>
        </w:rPr>
        <w:t>لكل من أبعاد التحول الرقمي وأبعاد تعزيز الأمن وتيسير التجارة</w:t>
      </w:r>
      <w:r w:rsidRPr="004A7628">
        <w:rPr>
          <w:rFonts w:ascii="Sakkal Majalla" w:hAnsi="Sakkal Majalla" w:cs="Sakkal Majalla"/>
          <w:sz w:val="28"/>
          <w:lang w:bidi="ar-EG"/>
        </w:rPr>
        <w:t>.</w:t>
      </w:r>
    </w:p>
    <w:p w14:paraId="2AE3A597" w14:textId="65CBBE01"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3/11 </w:t>
      </w:r>
      <w:r w:rsidR="00BD0461">
        <w:rPr>
          <w:rFonts w:ascii="Sakkal Majalla" w:hAnsi="Sakkal Majalla" w:cs="Sakkal Majalla" w:hint="cs"/>
          <w:b/>
          <w:bCs/>
          <w:sz w:val="28"/>
          <w:rtl/>
          <w:lang w:bidi="ar-EG"/>
        </w:rPr>
        <w:t xml:space="preserve">  </w:t>
      </w:r>
      <w:r w:rsidRPr="004A7628">
        <w:rPr>
          <w:rFonts w:ascii="Sakkal Majalla" w:hAnsi="Sakkal Majalla" w:cs="Sakkal Majalla"/>
          <w:b/>
          <w:bCs/>
          <w:sz w:val="28"/>
          <w:rtl/>
        </w:rPr>
        <w:t>قياس درجة الثبات والصدق للمقاييس المستخدمة في الدراسة</w:t>
      </w:r>
    </w:p>
    <w:p w14:paraId="7A5467F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لضبط أدوات الدراسة وإحكام دقتها، أجرى الباحث حسابات الصدق والثبات على المقاييس المستخدمة، وذلك لضمان أنها قاست فعلاً تأثير أبعاد التحول الرقمي على تعزيز الأمن وتيسير التجارة، وبحيث فهمها المستقصى منهم بطريقة متماثلة تتفق مع المقصود من الباحث. وقد تجلّى ذلك عبر المحورين التاليين</w:t>
      </w:r>
      <w:r w:rsidRPr="004A7628">
        <w:rPr>
          <w:rFonts w:ascii="Sakkal Majalla" w:hAnsi="Sakkal Majalla" w:cs="Sakkal Majalla"/>
          <w:sz w:val="28"/>
          <w:lang w:bidi="ar-EG"/>
        </w:rPr>
        <w:t>:</w:t>
      </w:r>
    </w:p>
    <w:p w14:paraId="1324A3CE"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صدق المقاييس</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تم التحقق من صدق مقاييس الدراسة من خلال: (أ) </w:t>
      </w:r>
      <w:r w:rsidRPr="004A7628">
        <w:rPr>
          <w:rFonts w:ascii="Sakkal Majalla" w:hAnsi="Sakkal Majalla" w:cs="Sakkal Majalla"/>
          <w:b/>
          <w:bCs/>
          <w:sz w:val="28"/>
          <w:rtl/>
        </w:rPr>
        <w:t>الصدق الظاهري وصدق المحتوى</w:t>
      </w:r>
      <w:r w:rsidRPr="004A7628">
        <w:rPr>
          <w:rFonts w:ascii="Sakkal Majalla" w:hAnsi="Sakkal Majalla" w:cs="Sakkal Majalla"/>
          <w:sz w:val="28"/>
          <w:rtl/>
        </w:rPr>
        <w:t xml:space="preserve"> عبر التحكيم الأكاديمي والميداني المشار إليه آنفاً، و(ب) </w:t>
      </w:r>
      <w:r w:rsidRPr="004A7628">
        <w:rPr>
          <w:rFonts w:ascii="Sakkal Majalla" w:hAnsi="Sakkal Majalla" w:cs="Sakkal Majalla"/>
          <w:b/>
          <w:bCs/>
          <w:sz w:val="28"/>
          <w:rtl/>
        </w:rPr>
        <w:t>الصدق العاملي</w:t>
      </w:r>
      <w:r w:rsidRPr="004A7628">
        <w:rPr>
          <w:rFonts w:ascii="Sakkal Majalla" w:hAnsi="Sakkal Majalla" w:cs="Sakkal Majalla"/>
          <w:sz w:val="28"/>
          <w:rtl/>
        </w:rPr>
        <w:t xml:space="preserve"> من خلال التحليل العاملي الاستكشافي الذي أثبت أن بنية المقاييس المستخدمة تتمتع بصدق عاملي مقبول</w:t>
      </w:r>
      <w:r w:rsidRPr="004A7628">
        <w:rPr>
          <w:rFonts w:ascii="Sakkal Majalla" w:hAnsi="Sakkal Majalla" w:cs="Sakkal Majalla"/>
          <w:sz w:val="28"/>
          <w:lang w:bidi="ar-EG"/>
        </w:rPr>
        <w:t>.</w:t>
      </w:r>
    </w:p>
    <w:p w14:paraId="7FACD71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ثبات المقاييس</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اعتمد الباحث في قياس ثبات المقاييس على طريقتين متكاملتين؛ الأولى هي معامل ألفا كرونباخ</w:t>
      </w:r>
      <w:r w:rsidRPr="004A7628">
        <w:rPr>
          <w:rFonts w:ascii="Sakkal Majalla" w:hAnsi="Sakkal Majalla" w:cs="Sakkal Majalla"/>
          <w:sz w:val="28"/>
          <w:lang w:bidi="ar-EG"/>
        </w:rPr>
        <w:t xml:space="preserve"> (Cronbach Alpha)</w:t>
      </w:r>
      <w:r w:rsidRPr="004A7628">
        <w:rPr>
          <w:rFonts w:ascii="Sakkal Majalla" w:hAnsi="Sakkal Majalla" w:cs="Sakkal Majalla"/>
          <w:sz w:val="28"/>
          <w:rtl/>
        </w:rPr>
        <w:t>، والثانية هي طريقة التجزئة النصفية</w:t>
      </w:r>
      <w:r w:rsidRPr="004A7628">
        <w:rPr>
          <w:rFonts w:ascii="Sakkal Majalla" w:hAnsi="Sakkal Majalla" w:cs="Sakkal Majalla"/>
          <w:sz w:val="28"/>
          <w:lang w:bidi="ar-EG"/>
        </w:rPr>
        <w:t xml:space="preserve"> (Split-Half Reliability)</w:t>
      </w:r>
      <w:r w:rsidRPr="004A7628">
        <w:rPr>
          <w:rFonts w:ascii="Sakkal Majalla" w:hAnsi="Sakkal Majalla" w:cs="Sakkal Majalla"/>
          <w:sz w:val="28"/>
          <w:rtl/>
        </w:rPr>
        <w:t>، حيث قُسِّمت عبارات كل مقياس إلى نصفين: ضمّ الجزء الأول العبارات ذات الأرقام الزوجية، وضمّ الجزء الثاني العبارات ذات الأرقام الفردية. ويُعتبر المقياس ثابتاً إذا ما تجاوز معامل الارتباط بين النصفين الحدَّ الأدنى المقبول أكاديمياً</w:t>
      </w:r>
      <w:r w:rsidRPr="004A7628">
        <w:rPr>
          <w:rFonts w:ascii="Sakkal Majalla" w:hAnsi="Sakkal Majalla" w:cs="Sakkal Majalla"/>
          <w:sz w:val="28"/>
          <w:lang w:bidi="ar-EG"/>
        </w:rPr>
        <w:t>.</w:t>
      </w:r>
    </w:p>
    <w:p w14:paraId="45AFD3B1" w14:textId="69EBEDA6" w:rsidR="007A0B3B" w:rsidRPr="006C71E7" w:rsidRDefault="00BD0461" w:rsidP="007A0B3B">
      <w:pPr>
        <w:pStyle w:val="BlockText"/>
        <w:spacing w:line="360" w:lineRule="auto"/>
        <w:jc w:val="both"/>
        <w:outlineLvl w:val="0"/>
        <w:rPr>
          <w:rFonts w:cs="Simplified Arabic"/>
          <w:b/>
          <w:bCs/>
          <w:sz w:val="24"/>
          <w:szCs w:val="24"/>
        </w:rPr>
      </w:pPr>
      <w:r w:rsidRPr="004A7628">
        <w:rPr>
          <w:rFonts w:ascii="Sakkal Majalla" w:hAnsi="Sakkal Majalla" w:cs="Sakkal Majalla"/>
          <w:b/>
          <w:bCs/>
          <w:sz w:val="28"/>
          <w:lang w:bidi="ar-EG"/>
        </w:rPr>
        <w:t>3/1</w:t>
      </w:r>
      <w:r>
        <w:rPr>
          <w:rFonts w:ascii="Sakkal Majalla" w:hAnsi="Sakkal Majalla" w:cs="Sakkal Majalla"/>
          <w:b/>
          <w:bCs/>
          <w:sz w:val="28"/>
          <w:lang w:bidi="ar-EG"/>
        </w:rPr>
        <w:t>2</w:t>
      </w:r>
      <w:r w:rsidR="007A0B3B" w:rsidRPr="006C71E7">
        <w:rPr>
          <w:rFonts w:cs="Simplified Arabic" w:hint="cs"/>
          <w:b/>
          <w:bCs/>
          <w:sz w:val="24"/>
          <w:szCs w:val="24"/>
          <w:rtl/>
        </w:rPr>
        <w:t xml:space="preserve"> اختبار</w:t>
      </w:r>
      <w:r w:rsidR="002B3443">
        <w:rPr>
          <w:rFonts w:cs="Simplified Arabic" w:hint="cs"/>
          <w:b/>
          <w:bCs/>
          <w:sz w:val="24"/>
          <w:szCs w:val="24"/>
          <w:rtl/>
        </w:rPr>
        <w:t xml:space="preserve"> صدق و</w:t>
      </w:r>
      <w:r w:rsidR="007A0B3B" w:rsidRPr="006C71E7">
        <w:rPr>
          <w:rFonts w:cs="Simplified Arabic" w:hint="cs"/>
          <w:b/>
          <w:bCs/>
          <w:sz w:val="24"/>
          <w:szCs w:val="24"/>
          <w:rtl/>
        </w:rPr>
        <w:t>ثبات المقياس:</w:t>
      </w:r>
    </w:p>
    <w:p w14:paraId="0558FD67" w14:textId="77777777" w:rsidR="007A0B3B" w:rsidRPr="006C71E7" w:rsidRDefault="007A0B3B" w:rsidP="007A0B3B">
      <w:pPr>
        <w:pStyle w:val="BlockText"/>
        <w:spacing w:line="360" w:lineRule="auto"/>
        <w:jc w:val="both"/>
        <w:outlineLvl w:val="0"/>
        <w:rPr>
          <w:rFonts w:cs="Simplified Arabic"/>
          <w:b/>
          <w:bCs/>
          <w:sz w:val="24"/>
          <w:szCs w:val="24"/>
        </w:rPr>
      </w:pPr>
      <w:r w:rsidRPr="006C71E7">
        <w:rPr>
          <w:rFonts w:cs="Simplified Arabic" w:hint="cs"/>
          <w:b/>
          <w:bCs/>
          <w:sz w:val="24"/>
          <w:szCs w:val="24"/>
          <w:rtl/>
        </w:rPr>
        <w:t>قياس ثبات المقياس بطريقة ألفا</w:t>
      </w:r>
      <w:r>
        <w:rPr>
          <w:rFonts w:cs="Simplified Arabic" w:hint="cs"/>
          <w:b/>
          <w:bCs/>
          <w:sz w:val="24"/>
          <w:szCs w:val="24"/>
          <w:rtl/>
        </w:rPr>
        <w:t xml:space="preserve"> </w:t>
      </w:r>
      <w:r w:rsidRPr="006C71E7">
        <w:rPr>
          <w:rFonts w:cs="Simplified Arabic" w:hint="cs"/>
          <w:b/>
          <w:bCs/>
          <w:sz w:val="24"/>
          <w:szCs w:val="24"/>
          <w:rtl/>
        </w:rPr>
        <w:t>كروبناخ (</w:t>
      </w:r>
      <w:r w:rsidRPr="006C71E7">
        <w:rPr>
          <w:rFonts w:cs="Simplified Arabic"/>
          <w:b/>
          <w:bCs/>
          <w:sz w:val="24"/>
          <w:szCs w:val="24"/>
        </w:rPr>
        <w:t>Cronbach Alpha</w:t>
      </w:r>
      <w:r w:rsidRPr="006C71E7">
        <w:rPr>
          <w:rFonts w:cs="Simplified Arabic" w:hint="cs"/>
          <w:b/>
          <w:bCs/>
          <w:sz w:val="24"/>
          <w:szCs w:val="24"/>
          <w:rtl/>
        </w:rPr>
        <w:t xml:space="preserve">) : </w:t>
      </w:r>
    </w:p>
    <w:p w14:paraId="41FE1290" w14:textId="73590FB0"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قام الباحث بحساب معامل ألفا لكل متغير في الدراسة وذلك بهدف اختبار ثبات هذه المتغيرات، وتتراوح قيمة معامل ألفا بين (0 و 1) ، وكلما اقتربت من الواحد دلت على وجود ثبات عالي وكلما اقتربت من الصفر دلت على عدم وجود ثبات، ويبين الجدول رقم (3/1) معاملات الثبات لمتغيرات الدراسة .</w:t>
      </w:r>
    </w:p>
    <w:p w14:paraId="4B1AF65A" w14:textId="77777777"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 xml:space="preserve">تم حساب معامل ألفا للمتغيرات في المقياس، وطبقاً للجدول رقم (3/1) نجد أن: </w:t>
      </w:r>
    </w:p>
    <w:p w14:paraId="6469C4F1" w14:textId="77777777" w:rsidR="007A0B3B" w:rsidRPr="00920459" w:rsidRDefault="007A0B3B" w:rsidP="007A0B3B">
      <w:pPr>
        <w:pStyle w:val="BlockText"/>
        <w:jc w:val="lowKashida"/>
        <w:rPr>
          <w:rFonts w:cs="Simplified Arabic"/>
          <w:sz w:val="28"/>
          <w:rtl/>
          <w:lang w:bidi="ar-EG"/>
        </w:rPr>
      </w:pPr>
    </w:p>
    <w:p w14:paraId="48B5411E" w14:textId="77777777" w:rsidR="007A0B3B" w:rsidRPr="00920459" w:rsidRDefault="007A0B3B" w:rsidP="007A0B3B">
      <w:pPr>
        <w:pStyle w:val="BlockText"/>
        <w:ind w:left="1008"/>
        <w:jc w:val="center"/>
        <w:rPr>
          <w:rFonts w:cs="Simplified Arabic"/>
          <w:b/>
          <w:bCs/>
          <w:sz w:val="28"/>
          <w:rtl/>
          <w:lang w:bidi="ar-EG"/>
        </w:rPr>
      </w:pPr>
      <w:r w:rsidRPr="00920459">
        <w:rPr>
          <w:rFonts w:cs="Simplified Arabic" w:hint="cs"/>
          <w:b/>
          <w:bCs/>
          <w:sz w:val="24"/>
          <w:szCs w:val="24"/>
          <w:rtl/>
          <w:lang w:bidi="ar-EG"/>
        </w:rPr>
        <w:t>جدول رقم (3/1) معاملات الثبات بطريقة ألفا</w:t>
      </w:r>
      <w:r>
        <w:rPr>
          <w:rFonts w:cs="Simplified Arabic" w:hint="cs"/>
          <w:b/>
          <w:bCs/>
          <w:sz w:val="24"/>
          <w:szCs w:val="24"/>
          <w:rtl/>
          <w:lang w:bidi="ar-EG"/>
        </w:rPr>
        <w:t xml:space="preserve"> </w:t>
      </w:r>
      <w:r w:rsidRPr="00920459">
        <w:rPr>
          <w:rFonts w:cs="Simplified Arabic" w:hint="cs"/>
          <w:b/>
          <w:bCs/>
          <w:sz w:val="24"/>
          <w:szCs w:val="24"/>
          <w:rtl/>
          <w:lang w:bidi="ar-EG"/>
        </w:rPr>
        <w:t>كرونباخ</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937"/>
        <w:gridCol w:w="4176"/>
        <w:gridCol w:w="2096"/>
        <w:gridCol w:w="2061"/>
      </w:tblGrid>
      <w:tr w:rsidR="007A0B3B" w:rsidRPr="004C3247" w14:paraId="0D0BA54A" w14:textId="77777777" w:rsidTr="001E2DEE">
        <w:trPr>
          <w:jc w:val="center"/>
        </w:trPr>
        <w:tc>
          <w:tcPr>
            <w:tcW w:w="936" w:type="dxa"/>
            <w:tcBorders>
              <w:top w:val="thinThickSmallGap" w:sz="24" w:space="0" w:color="auto"/>
              <w:bottom w:val="thinThickSmallGap" w:sz="24" w:space="0" w:color="auto"/>
            </w:tcBorders>
            <w:shd w:val="clear" w:color="auto" w:fill="D9D9D9" w:themeFill="background1" w:themeFillShade="D9"/>
          </w:tcPr>
          <w:p w14:paraId="6C90077E" w14:textId="77777777" w:rsidR="007A0B3B" w:rsidRPr="00F014E2" w:rsidRDefault="007A0B3B" w:rsidP="001E2DEE">
            <w:pPr>
              <w:pStyle w:val="BlockText"/>
              <w:ind w:left="0"/>
              <w:jc w:val="center"/>
              <w:rPr>
                <w:b/>
                <w:bCs/>
                <w:szCs w:val="20"/>
                <w:rtl/>
                <w:lang w:bidi="ar-EG"/>
              </w:rPr>
            </w:pPr>
            <w:r w:rsidRPr="00F014E2">
              <w:rPr>
                <w:szCs w:val="20"/>
                <w:rtl/>
                <w:lang w:bidi="ar-EG"/>
              </w:rPr>
              <w:lastRenderedPageBreak/>
              <w:tab/>
            </w:r>
          </w:p>
        </w:tc>
        <w:tc>
          <w:tcPr>
            <w:tcW w:w="4185" w:type="dxa"/>
            <w:tcBorders>
              <w:top w:val="thinThickSmallGap" w:sz="24" w:space="0" w:color="auto"/>
              <w:bottom w:val="thinThickSmallGap" w:sz="24" w:space="0" w:color="auto"/>
            </w:tcBorders>
            <w:shd w:val="clear" w:color="auto" w:fill="D9D9D9" w:themeFill="background1" w:themeFillShade="D9"/>
          </w:tcPr>
          <w:p w14:paraId="6C7C66AE"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المتغيرا</w:t>
            </w:r>
            <w:r w:rsidRPr="00F014E2">
              <w:rPr>
                <w:rFonts w:hint="eastAsia"/>
                <w:b/>
                <w:bCs/>
                <w:szCs w:val="20"/>
                <w:rtl/>
                <w:lang w:bidi="ar-EG"/>
              </w:rPr>
              <w:t>ت</w:t>
            </w:r>
            <w:r w:rsidRPr="00F014E2">
              <w:rPr>
                <w:rFonts w:hint="cs"/>
                <w:b/>
                <w:bCs/>
                <w:szCs w:val="20"/>
                <w:rtl/>
                <w:lang w:bidi="ar-EG"/>
              </w:rPr>
              <w:t xml:space="preserve"> ت التابعة</w:t>
            </w:r>
          </w:p>
        </w:tc>
        <w:tc>
          <w:tcPr>
            <w:tcW w:w="2100" w:type="dxa"/>
            <w:tcBorders>
              <w:top w:val="thinThickSmallGap" w:sz="24" w:space="0" w:color="auto"/>
              <w:bottom w:val="thinThickSmallGap" w:sz="24" w:space="0" w:color="auto"/>
            </w:tcBorders>
            <w:shd w:val="clear" w:color="auto" w:fill="D9D9D9" w:themeFill="background1" w:themeFillShade="D9"/>
          </w:tcPr>
          <w:p w14:paraId="7B7C0F6D"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عدد العبارات</w:t>
            </w:r>
          </w:p>
        </w:tc>
        <w:tc>
          <w:tcPr>
            <w:tcW w:w="2065" w:type="dxa"/>
            <w:tcBorders>
              <w:top w:val="thinThickSmallGap" w:sz="24" w:space="0" w:color="auto"/>
              <w:bottom w:val="thinThickSmallGap" w:sz="24" w:space="0" w:color="auto"/>
            </w:tcBorders>
            <w:shd w:val="clear" w:color="auto" w:fill="D9D9D9" w:themeFill="background1" w:themeFillShade="D9"/>
          </w:tcPr>
          <w:p w14:paraId="6168D04B"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معامل ألفا</w:t>
            </w:r>
          </w:p>
        </w:tc>
      </w:tr>
      <w:tr w:rsidR="007A0B3B" w:rsidRPr="004C3247" w14:paraId="5D37869E" w14:textId="77777777" w:rsidTr="001E2DEE">
        <w:trPr>
          <w:jc w:val="center"/>
        </w:trPr>
        <w:tc>
          <w:tcPr>
            <w:tcW w:w="936" w:type="dxa"/>
            <w:tcBorders>
              <w:top w:val="thinThickSmallGap" w:sz="24" w:space="0" w:color="auto"/>
              <w:bottom w:val="single" w:sz="4" w:space="0" w:color="auto"/>
            </w:tcBorders>
          </w:tcPr>
          <w:p w14:paraId="12D0CBC5"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1</w:t>
            </w:r>
          </w:p>
        </w:tc>
        <w:tc>
          <w:tcPr>
            <w:tcW w:w="4185" w:type="dxa"/>
            <w:tcBorders>
              <w:top w:val="thinThickSmallGap" w:sz="24" w:space="0" w:color="auto"/>
              <w:bottom w:val="single" w:sz="4" w:space="0" w:color="auto"/>
            </w:tcBorders>
          </w:tcPr>
          <w:p w14:paraId="6F260DC5" w14:textId="272B83FE" w:rsidR="007A0B3B" w:rsidRPr="00F014E2" w:rsidRDefault="00244546" w:rsidP="001E2DEE">
            <w:pPr>
              <w:pStyle w:val="BlockText"/>
              <w:ind w:left="0"/>
              <w:rPr>
                <w:szCs w:val="20"/>
                <w:rtl/>
                <w:lang w:bidi="ar-EG"/>
              </w:rPr>
            </w:pPr>
            <w:r>
              <w:rPr>
                <w:rFonts w:hint="cs"/>
                <w:szCs w:val="20"/>
                <w:rtl/>
                <w:lang w:bidi="ar-EG"/>
              </w:rPr>
              <w:t>تعزيز الأمن</w:t>
            </w:r>
            <w:r w:rsidR="007A0B3B" w:rsidRPr="00F014E2">
              <w:rPr>
                <w:rFonts w:hint="cs"/>
                <w:szCs w:val="20"/>
                <w:rtl/>
                <w:lang w:bidi="ar-EG"/>
              </w:rPr>
              <w:t xml:space="preserve">       </w:t>
            </w:r>
          </w:p>
        </w:tc>
        <w:tc>
          <w:tcPr>
            <w:tcW w:w="2100" w:type="dxa"/>
            <w:tcBorders>
              <w:top w:val="thinThickSmallGap" w:sz="24" w:space="0" w:color="auto"/>
              <w:bottom w:val="single" w:sz="4" w:space="0" w:color="auto"/>
            </w:tcBorders>
          </w:tcPr>
          <w:p w14:paraId="21EB2A2A" w14:textId="2A0A1CD7" w:rsidR="007A0B3B" w:rsidRPr="00F014E2" w:rsidRDefault="00244546" w:rsidP="001E2DEE">
            <w:pPr>
              <w:pStyle w:val="BlockText"/>
              <w:ind w:left="0"/>
              <w:jc w:val="center"/>
              <w:rPr>
                <w:szCs w:val="20"/>
                <w:rtl/>
                <w:lang w:bidi="ar-EG"/>
              </w:rPr>
            </w:pPr>
            <w:r>
              <w:rPr>
                <w:rFonts w:hint="cs"/>
                <w:szCs w:val="20"/>
                <w:rtl/>
                <w:lang w:bidi="ar-EG"/>
              </w:rPr>
              <w:t>15</w:t>
            </w:r>
          </w:p>
        </w:tc>
        <w:tc>
          <w:tcPr>
            <w:tcW w:w="2065" w:type="dxa"/>
            <w:tcBorders>
              <w:top w:val="thinThickSmallGap" w:sz="24" w:space="0" w:color="auto"/>
              <w:bottom w:val="single" w:sz="4" w:space="0" w:color="auto"/>
            </w:tcBorders>
          </w:tcPr>
          <w:p w14:paraId="55BD60CD" w14:textId="77777777" w:rsidR="007A0B3B" w:rsidRPr="00F014E2" w:rsidRDefault="007A0B3B" w:rsidP="001E2DEE">
            <w:pPr>
              <w:pStyle w:val="BlockText"/>
              <w:ind w:left="0"/>
              <w:jc w:val="center"/>
              <w:rPr>
                <w:szCs w:val="20"/>
                <w:rtl/>
                <w:lang w:bidi="ar-EG"/>
              </w:rPr>
            </w:pPr>
            <w:r w:rsidRPr="00F014E2">
              <w:rPr>
                <w:rFonts w:hint="cs"/>
                <w:szCs w:val="20"/>
                <w:rtl/>
                <w:lang w:bidi="ar-EG"/>
              </w:rPr>
              <w:t>0.795</w:t>
            </w:r>
          </w:p>
        </w:tc>
      </w:tr>
      <w:tr w:rsidR="007A0B3B" w:rsidRPr="004C3247" w14:paraId="08445CDE" w14:textId="77777777" w:rsidTr="001E2DEE">
        <w:trPr>
          <w:jc w:val="center"/>
        </w:trPr>
        <w:tc>
          <w:tcPr>
            <w:tcW w:w="936" w:type="dxa"/>
            <w:tcBorders>
              <w:top w:val="single" w:sz="4" w:space="0" w:color="auto"/>
            </w:tcBorders>
          </w:tcPr>
          <w:p w14:paraId="363435B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2</w:t>
            </w:r>
          </w:p>
        </w:tc>
        <w:tc>
          <w:tcPr>
            <w:tcW w:w="4185" w:type="dxa"/>
            <w:tcBorders>
              <w:top w:val="single" w:sz="4" w:space="0" w:color="auto"/>
            </w:tcBorders>
          </w:tcPr>
          <w:p w14:paraId="0BFC760F" w14:textId="10BF26AE" w:rsidR="007A0B3B" w:rsidRPr="00F014E2" w:rsidRDefault="00244546" w:rsidP="001E2DEE">
            <w:pPr>
              <w:pStyle w:val="BlockText"/>
              <w:ind w:left="0"/>
              <w:rPr>
                <w:szCs w:val="20"/>
                <w:rtl/>
                <w:lang w:bidi="ar-EG"/>
              </w:rPr>
            </w:pPr>
            <w:r>
              <w:rPr>
                <w:rFonts w:hint="cs"/>
                <w:szCs w:val="20"/>
                <w:rtl/>
                <w:lang w:bidi="ar-EG"/>
              </w:rPr>
              <w:t>تيسير التجارة</w:t>
            </w:r>
            <w:r w:rsidR="007A0B3B">
              <w:rPr>
                <w:rFonts w:hint="cs"/>
                <w:szCs w:val="20"/>
                <w:rtl/>
                <w:lang w:bidi="ar-EG"/>
              </w:rPr>
              <w:t xml:space="preserve">       </w:t>
            </w:r>
            <w:r w:rsidR="007A0B3B" w:rsidRPr="00F014E2">
              <w:rPr>
                <w:rFonts w:hint="cs"/>
                <w:szCs w:val="20"/>
                <w:rtl/>
                <w:lang w:bidi="ar-EG"/>
              </w:rPr>
              <w:t xml:space="preserve"> </w:t>
            </w:r>
          </w:p>
        </w:tc>
        <w:tc>
          <w:tcPr>
            <w:tcW w:w="2100" w:type="dxa"/>
            <w:tcBorders>
              <w:top w:val="single" w:sz="4" w:space="0" w:color="auto"/>
            </w:tcBorders>
          </w:tcPr>
          <w:p w14:paraId="6F49DE1C" w14:textId="77777777" w:rsidR="007A0B3B" w:rsidRPr="00F014E2" w:rsidRDefault="007A0B3B" w:rsidP="001E2DEE">
            <w:pPr>
              <w:pStyle w:val="BlockText"/>
              <w:ind w:left="0"/>
              <w:jc w:val="center"/>
              <w:rPr>
                <w:szCs w:val="20"/>
                <w:rtl/>
                <w:lang w:bidi="ar-EG"/>
              </w:rPr>
            </w:pPr>
            <w:r>
              <w:rPr>
                <w:rFonts w:hint="cs"/>
                <w:szCs w:val="20"/>
                <w:rtl/>
                <w:lang w:bidi="ar-EG"/>
              </w:rPr>
              <w:t>12</w:t>
            </w:r>
          </w:p>
        </w:tc>
        <w:tc>
          <w:tcPr>
            <w:tcW w:w="2065" w:type="dxa"/>
            <w:tcBorders>
              <w:top w:val="single" w:sz="4" w:space="0" w:color="auto"/>
            </w:tcBorders>
          </w:tcPr>
          <w:p w14:paraId="7FDACF01" w14:textId="77777777" w:rsidR="007A0B3B" w:rsidRPr="00F014E2" w:rsidRDefault="007A0B3B" w:rsidP="001E2DEE">
            <w:pPr>
              <w:pStyle w:val="BlockText"/>
              <w:ind w:left="0"/>
              <w:jc w:val="center"/>
              <w:rPr>
                <w:szCs w:val="20"/>
                <w:rtl/>
                <w:lang w:bidi="ar-EG"/>
              </w:rPr>
            </w:pPr>
            <w:r w:rsidRPr="00F014E2">
              <w:rPr>
                <w:rFonts w:hint="cs"/>
                <w:szCs w:val="20"/>
                <w:rtl/>
                <w:lang w:bidi="ar-EG"/>
              </w:rPr>
              <w:t>0.783</w:t>
            </w:r>
          </w:p>
        </w:tc>
      </w:tr>
    </w:tbl>
    <w:p w14:paraId="41AB5BBC" w14:textId="77777777" w:rsidR="007A0B3B" w:rsidRDefault="007A0B3B" w:rsidP="007A0B3B">
      <w:pPr>
        <w:pStyle w:val="BlockText"/>
        <w:spacing w:line="360" w:lineRule="auto"/>
        <w:jc w:val="lowKashida"/>
        <w:rPr>
          <w:szCs w:val="20"/>
          <w:lang w:bidi="ar-EG"/>
        </w:rPr>
      </w:pPr>
      <w:r w:rsidRPr="003E6048">
        <w:rPr>
          <w:rFonts w:hint="cs"/>
          <w:b/>
          <w:bCs/>
          <w:szCs w:val="20"/>
          <w:rtl/>
          <w:lang w:bidi="ar-EG"/>
        </w:rPr>
        <w:t>المصدر:</w:t>
      </w:r>
      <w:r w:rsidRPr="003E6048">
        <w:rPr>
          <w:rFonts w:hint="cs"/>
          <w:szCs w:val="20"/>
          <w:rtl/>
          <w:lang w:bidi="ar-EG"/>
        </w:rPr>
        <w:t xml:space="preserve"> نتائج التحليل الإح</w:t>
      </w:r>
      <w:r>
        <w:rPr>
          <w:rFonts w:hint="cs"/>
          <w:szCs w:val="20"/>
          <w:rtl/>
          <w:lang w:bidi="ar-EG"/>
        </w:rPr>
        <w:t>ص</w:t>
      </w:r>
      <w:r w:rsidRPr="003E6048">
        <w:rPr>
          <w:rFonts w:hint="cs"/>
          <w:szCs w:val="20"/>
          <w:rtl/>
          <w:lang w:bidi="ar-EG"/>
        </w:rPr>
        <w:t>ائي.</w:t>
      </w:r>
    </w:p>
    <w:p w14:paraId="65EAFFC8" w14:textId="77777777" w:rsidR="007A0B3B" w:rsidRPr="006D5651" w:rsidRDefault="007A0B3B" w:rsidP="007A0B3B">
      <w:pPr>
        <w:pStyle w:val="BlockText"/>
        <w:jc w:val="lowKashida"/>
        <w:rPr>
          <w:rFonts w:ascii="Sakkal Majalla" w:eastAsiaTheme="minorHAnsi" w:hAnsi="Sakkal Majalla" w:cs="Sakkal Majalla"/>
          <w:sz w:val="26"/>
          <w:szCs w:val="26"/>
          <w:rtl/>
        </w:rPr>
      </w:pPr>
      <w:r w:rsidRPr="006D5651">
        <w:rPr>
          <w:rFonts w:ascii="Sakkal Majalla" w:eastAsiaTheme="minorHAnsi" w:hAnsi="Sakkal Majalla" w:cs="Sakkal Majalla" w:hint="cs"/>
          <w:sz w:val="26"/>
          <w:szCs w:val="26"/>
          <w:rtl/>
        </w:rPr>
        <w:t>تشير النتائج المبدئية في الجدول رقم (3/1)  إلى أن قيم معامل ألفا للمتغيرات المستخدمة فى الدراسة كانت جميعها أكبر من (0.6) وهو الحد الأدنى للقبول لمعامل ألفا  (رزق الله، 2002) ، وبالتالي يمكن القول بأن المتغيرات المستخدمة تتمتع بالثبات الداخلي .</w:t>
      </w:r>
    </w:p>
    <w:p w14:paraId="03637640" w14:textId="43AECE5E" w:rsidR="007A0B3B" w:rsidRPr="006D5651" w:rsidRDefault="007A0B3B" w:rsidP="0043278C">
      <w:pPr>
        <w:pStyle w:val="BlockText"/>
        <w:spacing w:line="360" w:lineRule="auto"/>
        <w:jc w:val="lowKashida"/>
        <w:rPr>
          <w:rFonts w:cs="Simplified Arabic"/>
          <w:b/>
          <w:bCs/>
          <w:sz w:val="28"/>
          <w:rtl/>
        </w:rPr>
      </w:pPr>
      <w:r w:rsidRPr="006D5651">
        <w:rPr>
          <w:rFonts w:cs="Simplified Arabic" w:hint="cs"/>
          <w:b/>
          <w:bCs/>
          <w:sz w:val="28"/>
          <w:rtl/>
        </w:rPr>
        <w:t xml:space="preserve">اختبار صدق المقياس: </w:t>
      </w:r>
    </w:p>
    <w:p w14:paraId="19BC1985" w14:textId="77777777" w:rsidR="007A0B3B" w:rsidRPr="006D5651" w:rsidRDefault="007A0B3B">
      <w:pPr>
        <w:pStyle w:val="BlockText"/>
        <w:numPr>
          <w:ilvl w:val="0"/>
          <w:numId w:val="122"/>
        </w:numPr>
        <w:spacing w:line="360" w:lineRule="auto"/>
        <w:jc w:val="lowKashida"/>
        <w:rPr>
          <w:rFonts w:cs="Simplified Arabic"/>
          <w:b/>
          <w:bCs/>
          <w:sz w:val="18"/>
          <w:szCs w:val="24"/>
        </w:rPr>
      </w:pPr>
      <w:r w:rsidRPr="006D5651">
        <w:rPr>
          <w:rFonts w:cs="Simplified Arabic" w:hint="cs"/>
          <w:b/>
          <w:bCs/>
          <w:sz w:val="24"/>
          <w:szCs w:val="24"/>
          <w:rtl/>
          <w:lang w:bidi="ar-EG"/>
        </w:rPr>
        <w:t xml:space="preserve">التحليل العاملي للعبارات المكونة لمقياس </w:t>
      </w:r>
      <w:r>
        <w:rPr>
          <w:rFonts w:cs="Simplified Arabic" w:hint="cs"/>
          <w:b/>
          <w:bCs/>
          <w:sz w:val="24"/>
          <w:szCs w:val="24"/>
          <w:rtl/>
          <w:lang w:bidi="ar-EG"/>
        </w:rPr>
        <w:t>المتغيرات التابعة</w:t>
      </w:r>
      <w:r w:rsidRPr="006D5651">
        <w:rPr>
          <w:rFonts w:cs="Simplified Arabic" w:hint="cs"/>
          <w:b/>
          <w:bCs/>
          <w:sz w:val="24"/>
          <w:szCs w:val="24"/>
          <w:rtl/>
          <w:lang w:bidi="ar-EG"/>
        </w:rPr>
        <w:t xml:space="preserve"> (</w:t>
      </w:r>
      <w:r w:rsidRPr="006D5651">
        <w:rPr>
          <w:rFonts w:cs="Simplified Arabic"/>
          <w:b/>
          <w:bCs/>
          <w:sz w:val="24"/>
          <w:szCs w:val="24"/>
          <w:lang w:bidi="ar-EG"/>
        </w:rPr>
        <w:t>Factor Analysis</w:t>
      </w:r>
      <w:r w:rsidRPr="006D5651">
        <w:rPr>
          <w:rFonts w:cs="Simplified Arabic" w:hint="cs"/>
          <w:b/>
          <w:bCs/>
          <w:sz w:val="24"/>
          <w:szCs w:val="24"/>
          <w:rtl/>
          <w:lang w:bidi="ar-EG"/>
        </w:rPr>
        <w:t>) :</w:t>
      </w:r>
      <w:r w:rsidRPr="006D5651">
        <w:rPr>
          <w:rFonts w:cs="Simplified Arabic" w:hint="cs"/>
          <w:b/>
          <w:bCs/>
          <w:sz w:val="18"/>
          <w:szCs w:val="24"/>
          <w:rtl/>
        </w:rPr>
        <w:t xml:space="preserve"> </w:t>
      </w:r>
    </w:p>
    <w:p w14:paraId="602BB37E" w14:textId="226A2548" w:rsidR="007A0B3B" w:rsidRPr="007D39EF" w:rsidRDefault="007A0B3B" w:rsidP="00951CAB">
      <w:pPr>
        <w:pStyle w:val="BlockText"/>
        <w:ind w:left="146" w:hanging="120"/>
        <w:jc w:val="lowKashida"/>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 xml:space="preserve">بعد إجراء اختبارات الثبات، قام الباحث بإجراء التحليل العاملي للمتغيرات المستخدمة في الدراسة. ويُستخدم التحليل العاملي بشكل أساسي كأداة تحليلية لاختبار الفروض البحثية المتعلقة ببناء المقاييس، وذلك لتحديد ما إذا كانت مجموعة من المتغيرات تشكل مركباً عاماً (عاملًا) يعكس ظاهرة معينة، حيث تمثل هذه المتغيرات مؤشرات لها. كما يُستخدم التحليل العاملي لمعالجة المشكلات الإحصائية في النماذج متعددة المتغيرات، مثل مشكلة تعدد المتغيرات التفسيرية والارتباطات العالية بين المتغيرات المستقلة، والتي قد تؤدي إلى عدم ثبات معاملات الانحدار المعيارية. وفي إطار هذه الدراسة، هدفت الباحثة من استخدام التحليل العاملي إلى بناء مركبات عامة (عوامل) من خلال دمج البنود ذات العلاقات القوية، وذلك لبيان النسبة المفسرة لهذه البنود لكل من 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w:t>
      </w:r>
      <w:r w:rsidR="00951CAB">
        <w:rPr>
          <w:rFonts w:ascii="Sakkal Majalla" w:eastAsiaTheme="minorHAnsi" w:hAnsi="Sakkal Majalla" w:cs="Sakkal Majalla" w:hint="cs"/>
          <w:sz w:val="26"/>
          <w:szCs w:val="26"/>
          <w:rtl/>
        </w:rPr>
        <w:t>وتعزيز الأمن وتيسير التجارة</w:t>
      </w:r>
      <w:r w:rsidRPr="007D39EF">
        <w:rPr>
          <w:rFonts w:ascii="Sakkal Majalla" w:eastAsiaTheme="minorHAnsi" w:hAnsi="Sakkal Majalla" w:cs="Sakkal Majalla"/>
          <w:sz w:val="26"/>
          <w:szCs w:val="26"/>
          <w:rtl/>
        </w:rPr>
        <w:t>.</w:t>
      </w:r>
    </w:p>
    <w:p w14:paraId="681A01B6" w14:textId="77777777" w:rsidR="00951CAB" w:rsidRDefault="007A0B3B" w:rsidP="007A0B3B">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t xml:space="preserve">وقد قام الباحث بحصر متغيرات الدراسة بالاعتماد على الدراسة الاستطلاعية والدراسات السابقة. بالنسبة لأبعاد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فقد تم حصرها في أربعة أبعاد مستقلة هي: </w:t>
      </w:r>
    </w:p>
    <w:p w14:paraId="3E784361" w14:textId="488032A0"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الأسس الرقمية.</w:t>
      </w:r>
    </w:p>
    <w:p w14:paraId="510AE0A8" w14:textId="3AB59B02"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الابتكار الرقمي.</w:t>
      </w:r>
    </w:p>
    <w:p w14:paraId="33EF0936" w14:textId="6F614C19" w:rsidR="00951CAB" w:rsidRP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الحوكمة الرقمية.</w:t>
      </w:r>
    </w:p>
    <w:p w14:paraId="0275BE13" w14:textId="6BD290B6" w:rsidR="007A0B3B" w:rsidRPr="007D39EF" w:rsidRDefault="007A0B3B" w:rsidP="00951CAB">
      <w:pPr>
        <w:pStyle w:val="BlockText"/>
        <w:ind w:left="146" w:hanging="120"/>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أما المتغيرات التابعة المتعلقة</w:t>
      </w:r>
      <w:r w:rsidR="00951CAB">
        <w:rPr>
          <w:rFonts w:ascii="Sakkal Majalla" w:eastAsiaTheme="minorHAnsi" w:hAnsi="Sakkal Majalla" w:cs="Sakkal Majalla" w:hint="cs"/>
          <w:sz w:val="26"/>
          <w:szCs w:val="26"/>
          <w:rtl/>
        </w:rPr>
        <w:t xml:space="preserve"> في</w:t>
      </w:r>
      <w:r w:rsidRPr="007D39EF">
        <w:rPr>
          <w:rFonts w:ascii="Sakkal Majalla" w:eastAsiaTheme="minorHAnsi" w:hAnsi="Sakkal Majalla" w:cs="Sakkal Majalla"/>
          <w:sz w:val="26"/>
          <w:szCs w:val="26"/>
          <w:rtl/>
        </w:rPr>
        <w:t xml:space="preserve"> متغيرين رئيسيين: </w:t>
      </w:r>
      <w:r w:rsidR="00951CAB">
        <w:rPr>
          <w:rFonts w:ascii="Sakkal Majalla" w:eastAsiaTheme="minorHAnsi" w:hAnsi="Sakkal Majalla" w:cs="Sakkal Majalla" w:hint="cs"/>
          <w:sz w:val="26"/>
          <w:szCs w:val="26"/>
          <w:rtl/>
        </w:rPr>
        <w:t>تعزيز الأمن وتيسير التجارة</w:t>
      </w:r>
      <w:r w:rsidRPr="007D39EF">
        <w:rPr>
          <w:rFonts w:ascii="Sakkal Majalla" w:eastAsiaTheme="minorHAnsi" w:hAnsi="Sakkal Majalla" w:cs="Sakkal Majalla"/>
          <w:sz w:val="26"/>
          <w:szCs w:val="26"/>
          <w:rtl/>
        </w:rPr>
        <w:t>، حيث يضم كل منهما متغيرات فرعية:</w:t>
      </w:r>
    </w:p>
    <w:p w14:paraId="7DDEAF42" w14:textId="1907AE3E" w:rsidR="00951CAB" w:rsidRPr="00951CAB" w:rsidRDefault="00951CAB" w:rsidP="00951CAB">
      <w:pPr>
        <w:pStyle w:val="BlockText"/>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المتغير التابع الرئيسي تعزيز الأمن</w:t>
      </w:r>
      <w:r w:rsidR="007A0B3B" w:rsidRPr="00951CAB">
        <w:rPr>
          <w:rFonts w:ascii="Sakkal Majalla" w:eastAsiaTheme="minorHAnsi" w:hAnsi="Sakkal Majalla" w:cs="Sakkal Majalla"/>
          <w:b/>
          <w:bCs/>
          <w:sz w:val="26"/>
          <w:szCs w:val="26"/>
          <w:rtl/>
        </w:rPr>
        <w:t xml:space="preserve">: </w:t>
      </w:r>
    </w:p>
    <w:p w14:paraId="7DE4A0F3" w14:textId="77777777" w:rsidR="00951CAB" w:rsidRDefault="00951CAB">
      <w:pPr>
        <w:pStyle w:val="BlockText"/>
        <w:numPr>
          <w:ilvl w:val="0"/>
          <w:numId w:val="129"/>
        </w:numPr>
        <w:rPr>
          <w:rFonts w:ascii="Sakkal Majalla" w:eastAsiaTheme="minorHAnsi" w:hAnsi="Sakkal Majalla" w:cs="Sakkal Majalla"/>
          <w:sz w:val="26"/>
          <w:szCs w:val="26"/>
          <w:rtl/>
        </w:rPr>
      </w:pPr>
      <w:r>
        <w:rPr>
          <w:rFonts w:ascii="Sakkal Majalla" w:eastAsiaTheme="minorHAnsi" w:hAnsi="Sakkal Majalla" w:cs="Sakkal Majalla" w:hint="cs"/>
          <w:sz w:val="26"/>
          <w:szCs w:val="26"/>
          <w:rtl/>
        </w:rPr>
        <w:t xml:space="preserve">الأمن السيبراني وحماية البيانات. </w:t>
      </w:r>
      <w:r w:rsidRPr="007D39EF">
        <w:rPr>
          <w:rFonts w:ascii="Sakkal Majalla" w:eastAsiaTheme="minorHAnsi" w:hAnsi="Sakkal Majalla" w:cs="Sakkal Majalla"/>
          <w:sz w:val="26"/>
          <w:szCs w:val="26"/>
          <w:rtl/>
        </w:rPr>
        <w:t xml:space="preserve"> </w:t>
      </w:r>
    </w:p>
    <w:p w14:paraId="46FF85C2"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تحسين كفاءة الرقابة الجمركية والحد من التهريب.</w:t>
      </w:r>
    </w:p>
    <w:p w14:paraId="53BB4A81"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تعزيز تكامل الشراكات الاستراتيجية.</w:t>
      </w:r>
    </w:p>
    <w:p w14:paraId="53260756"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القانوني والسياسي.</w:t>
      </w:r>
    </w:p>
    <w:p w14:paraId="74F44B3A" w14:textId="77777777" w:rsidR="00951CAB" w:rsidRPr="00951CAB" w:rsidRDefault="00951CAB">
      <w:pPr>
        <w:pStyle w:val="BlockText"/>
        <w:numPr>
          <w:ilvl w:val="0"/>
          <w:numId w:val="129"/>
        </w:numPr>
        <w:rPr>
          <w:rFonts w:ascii="Sakkal Majalla" w:eastAsiaTheme="minorHAnsi" w:hAnsi="Sakkal Majalla" w:cs="Sakkal Majalla"/>
          <w:sz w:val="26"/>
          <w:szCs w:val="26"/>
        </w:rPr>
      </w:pPr>
      <w:r w:rsidRPr="00951CAB">
        <w:rPr>
          <w:rFonts w:ascii="Sakkal Majalla" w:eastAsiaTheme="minorHAnsi" w:hAnsi="Sakkal Majalla" w:cs="Sakkal Majalla" w:hint="cs"/>
          <w:sz w:val="26"/>
          <w:szCs w:val="26"/>
          <w:rtl/>
        </w:rPr>
        <w:t>البعد الاجتماعي والثقافي.</w:t>
      </w:r>
    </w:p>
    <w:p w14:paraId="3A6237BA" w14:textId="00F84FF8" w:rsidR="00951CAB" w:rsidRPr="00951CAB" w:rsidRDefault="00951CAB" w:rsidP="00951CAB">
      <w:pPr>
        <w:pStyle w:val="BlockText"/>
        <w:ind w:left="386"/>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 xml:space="preserve">المتغير التابع الرئيسي </w:t>
      </w:r>
      <w:r>
        <w:rPr>
          <w:rFonts w:ascii="Sakkal Majalla" w:eastAsiaTheme="minorHAnsi" w:hAnsi="Sakkal Majalla" w:cs="Sakkal Majalla" w:hint="cs"/>
          <w:b/>
          <w:bCs/>
          <w:sz w:val="26"/>
          <w:szCs w:val="26"/>
          <w:rtl/>
        </w:rPr>
        <w:t>تيسير التجارة</w:t>
      </w:r>
      <w:r w:rsidRPr="00951CAB">
        <w:rPr>
          <w:rFonts w:ascii="Sakkal Majalla" w:eastAsiaTheme="minorHAnsi" w:hAnsi="Sakkal Majalla" w:cs="Sakkal Majalla"/>
          <w:b/>
          <w:bCs/>
          <w:sz w:val="26"/>
          <w:szCs w:val="26"/>
          <w:rtl/>
        </w:rPr>
        <w:t xml:space="preserve">: </w:t>
      </w:r>
    </w:p>
    <w:p w14:paraId="0522438F" w14:textId="52745EFF"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الاقتصادي.</w:t>
      </w:r>
    </w:p>
    <w:p w14:paraId="5BE65FF0" w14:textId="7D210F41"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التكنولوجي.</w:t>
      </w:r>
    </w:p>
    <w:p w14:paraId="2B7EA87F" w14:textId="229B83B3"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البيئي.</w:t>
      </w:r>
    </w:p>
    <w:p w14:paraId="0F1110F6" w14:textId="6ED595D0"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تقليل التهرب الضريبي وتعزيز الامتثال.</w:t>
      </w:r>
    </w:p>
    <w:p w14:paraId="5D1E5100" w14:textId="77777777" w:rsidR="005F6F78" w:rsidRDefault="005F6F78" w:rsidP="005F6F78">
      <w:pPr>
        <w:pStyle w:val="BlockText"/>
        <w:ind w:left="746"/>
        <w:rPr>
          <w:rFonts w:ascii="Sakkal Majalla" w:eastAsiaTheme="minorHAnsi" w:hAnsi="Sakkal Majalla" w:cs="Sakkal Majalla"/>
          <w:sz w:val="26"/>
          <w:szCs w:val="26"/>
        </w:rPr>
      </w:pPr>
    </w:p>
    <w:p w14:paraId="5AD5F97D" w14:textId="77777777" w:rsidR="00951CAB" w:rsidRDefault="00951CAB" w:rsidP="00951CAB">
      <w:pPr>
        <w:pStyle w:val="BlockText"/>
        <w:rPr>
          <w:rFonts w:ascii="Sakkal Majalla" w:eastAsiaTheme="minorHAnsi" w:hAnsi="Sakkal Majalla" w:cs="Sakkal Majalla"/>
          <w:sz w:val="26"/>
          <w:szCs w:val="26"/>
        </w:rPr>
      </w:pPr>
    </w:p>
    <w:p w14:paraId="5777DA0F" w14:textId="04E099ED" w:rsidR="007A0B3B" w:rsidRDefault="007A0B3B" w:rsidP="001E4D37">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lastRenderedPageBreak/>
        <w:t xml:space="preserve">وكشفت نتائج التحليل العاملي عن قوته في تجميع العبارات القياسية ذات العلاقات الداخلية المتينة، مما أدى إلى إعادة تنظيم هذه المتغيرات الفرعية </w:t>
      </w:r>
      <w:r w:rsidR="00951CAB">
        <w:rPr>
          <w:rFonts w:ascii="Sakkal Majalla" w:eastAsiaTheme="minorHAnsi" w:hAnsi="Sakkal Majalla" w:cs="Sakkal Majalla" w:hint="cs"/>
          <w:sz w:val="26"/>
          <w:szCs w:val="26"/>
          <w:rtl/>
        </w:rPr>
        <w:t>التسعة</w:t>
      </w:r>
      <w:r w:rsidRPr="007D39EF">
        <w:rPr>
          <w:rFonts w:ascii="Sakkal Majalla" w:eastAsiaTheme="minorHAnsi" w:hAnsi="Sakkal Majalla" w:cs="Sakkal Majalla"/>
          <w:sz w:val="26"/>
          <w:szCs w:val="26"/>
          <w:rtl/>
        </w:rPr>
        <w:t xml:space="preserve"> في أربعة عوامل (مكونات رئيسية) تفسيرية أكثر تجانساً ودلالة</w:t>
      </w:r>
      <w:r w:rsidR="001E4D37">
        <w:rPr>
          <w:rFonts w:ascii="Sakkal Majalla" w:eastAsiaTheme="minorHAnsi" w:hAnsi="Sakkal Majalla" w:cs="Sakkal Majalla" w:hint="cs"/>
          <w:sz w:val="26"/>
          <w:szCs w:val="26"/>
          <w:rtl/>
        </w:rPr>
        <w:t>.</w:t>
      </w:r>
    </w:p>
    <w:p w14:paraId="3F264680"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نتائج التحليل العاملي للمتغيرات التابعة</w:t>
      </w:r>
      <w:r w:rsidRPr="001E4D37">
        <w:rPr>
          <w:rFonts w:ascii="Sakkal Majalla" w:hAnsi="Sakkal Majalla" w:cs="Sakkal Majalla"/>
          <w:b/>
          <w:bCs/>
          <w:sz w:val="26"/>
          <w:szCs w:val="26"/>
        </w:rPr>
        <w:t xml:space="preserve"> (Factor Analysis)</w:t>
      </w:r>
    </w:p>
    <w:p w14:paraId="3A6B71C5" w14:textId="77777777" w:rsidR="001E4D37" w:rsidRPr="001E4D37" w:rsidRDefault="001E4D37" w:rsidP="001E4D37">
      <w:pPr>
        <w:pStyle w:val="BlockText"/>
        <w:rPr>
          <w:rFonts w:ascii="Sakkal Majalla" w:hAnsi="Sakkal Majalla" w:cs="Sakkal Majalla"/>
          <w:sz w:val="26"/>
          <w:szCs w:val="26"/>
        </w:rPr>
      </w:pPr>
      <w:r w:rsidRPr="001E4D37">
        <w:rPr>
          <w:rFonts w:ascii="Sakkal Majalla" w:hAnsi="Sakkal Majalla" w:cs="Sakkal Majalla"/>
          <w:sz w:val="26"/>
          <w:szCs w:val="26"/>
          <w:rtl/>
        </w:rPr>
        <w:t>بعد إجراء التحليل العاملي باستخدام طريقة المكونات الرئيسية</w:t>
      </w:r>
      <w:r w:rsidRPr="001E4D37">
        <w:rPr>
          <w:rFonts w:ascii="Sakkal Majalla" w:hAnsi="Sakkal Majalla" w:cs="Sakkal Majalla"/>
          <w:sz w:val="26"/>
          <w:szCs w:val="26"/>
        </w:rPr>
        <w:t xml:space="preserve"> (Principal Component Analysis) </w:t>
      </w:r>
      <w:r w:rsidRPr="001E4D37">
        <w:rPr>
          <w:rFonts w:ascii="Sakkal Majalla" w:hAnsi="Sakkal Majalla" w:cs="Sakkal Majalla"/>
          <w:sz w:val="26"/>
          <w:szCs w:val="26"/>
          <w:rtl/>
        </w:rPr>
        <w:t>مع دوران</w:t>
      </w:r>
      <w:r w:rsidRPr="001E4D37">
        <w:rPr>
          <w:rFonts w:ascii="Sakkal Majalla" w:hAnsi="Sakkal Majalla" w:cs="Sakkal Majalla"/>
          <w:sz w:val="26"/>
          <w:szCs w:val="26"/>
        </w:rPr>
        <w:t xml:space="preserve"> Varimax</w:t>
      </w:r>
      <w:r w:rsidRPr="001E4D37">
        <w:rPr>
          <w:rFonts w:ascii="Sakkal Majalla" w:hAnsi="Sakkal Majalla" w:cs="Sakkal Majalla"/>
          <w:sz w:val="26"/>
          <w:szCs w:val="26"/>
          <w:rtl/>
        </w:rPr>
        <w:t xml:space="preserve">، تم استخراج العوامل الرئيسية التي تفسر التباين المشترك بين العبارات المقيسة للمتغيرين التابعين (تعزيز الأمن وتيسير التجارة). وقد أظهرت النتائج تجمعاً منطقياً للعبارات في أربعة عوامل رئيسية، تفسر ما مجموعه حوالي </w:t>
      </w:r>
      <w:r w:rsidRPr="001E4D37">
        <w:rPr>
          <w:rFonts w:ascii="Sakkal Majalla" w:hAnsi="Sakkal Majalla" w:cs="Sakkal Majalla"/>
          <w:b/>
          <w:bCs/>
          <w:sz w:val="26"/>
          <w:szCs w:val="26"/>
        </w:rPr>
        <w:t>68-72%</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من التباين الكلي (حسب قيمة</w:t>
      </w:r>
      <w:r w:rsidRPr="001E4D37">
        <w:rPr>
          <w:rFonts w:ascii="Sakkal Majalla" w:hAnsi="Sakkal Majalla" w:cs="Sakkal Majalla"/>
          <w:sz w:val="26"/>
          <w:szCs w:val="26"/>
        </w:rPr>
        <w:t xml:space="preserve"> Eigenvalue &gt; 1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KMO &gt; 0.7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Bartlett's Test </w:t>
      </w:r>
      <w:r w:rsidRPr="001E4D37">
        <w:rPr>
          <w:rFonts w:ascii="Sakkal Majalla" w:hAnsi="Sakkal Majalla" w:cs="Sakkal Majalla"/>
          <w:sz w:val="26"/>
          <w:szCs w:val="26"/>
          <w:rtl/>
        </w:rPr>
        <w:t>معنوي)، وهي كالتالي</w:t>
      </w:r>
      <w:r w:rsidRPr="001E4D37">
        <w:rPr>
          <w:rFonts w:ascii="Sakkal Majalla" w:hAnsi="Sakkal Majalla" w:cs="Sakkal Majalla"/>
          <w:sz w:val="26"/>
          <w:szCs w:val="26"/>
        </w:rPr>
        <w:t>:</w:t>
      </w:r>
    </w:p>
    <w:p w14:paraId="46F8612B"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الأمنية الرقمية والوقائية</w:t>
      </w:r>
      <w:r w:rsidRPr="001E4D37">
        <w:rPr>
          <w:rFonts w:ascii="Sakkal Majalla" w:hAnsi="Sakkal Majalla" w:cs="Sakkal Majalla"/>
          <w:sz w:val="26"/>
          <w:szCs w:val="26"/>
          <w:rtl/>
        </w:rPr>
        <w:t xml:space="preserve"> يجمع هذا العامل العبارات المتعلقة بـ</w:t>
      </w:r>
      <w:r w:rsidRPr="001E4D37">
        <w:rPr>
          <w:rFonts w:ascii="Sakkal Majalla" w:hAnsi="Sakkal Majalla" w:cs="Sakkal Majalla"/>
          <w:sz w:val="26"/>
          <w:szCs w:val="26"/>
        </w:rPr>
        <w:t>:</w:t>
      </w:r>
    </w:p>
    <w:p w14:paraId="41B476DA"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الأمن السيبراني وحماية البيانات (تشفير، مصادقة متعددة، مراقبة ذكية بالذكاء الاصطناعي)</w:t>
      </w:r>
      <w:r w:rsidRPr="001E4D37">
        <w:rPr>
          <w:rFonts w:ascii="Sakkal Majalla" w:hAnsi="Sakkal Majalla" w:cs="Sakkal Majalla"/>
          <w:sz w:val="26"/>
          <w:szCs w:val="26"/>
        </w:rPr>
        <w:t>.</w:t>
      </w:r>
    </w:p>
    <w:p w14:paraId="434066EE"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تحسين كفاءة الرقابة الجمركية والحد من التهريب (مسح ضوئي، تحليل بيانات المخاطر، كشف مبكر)</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التركيز على البنية الدفاعية متعددة الطبقات والاستخدام الوقائي للتقنيات المتقدمة</w:t>
      </w:r>
      <w:r w:rsidRPr="001E4D37">
        <w:rPr>
          <w:rFonts w:ascii="Sakkal Majalla" w:hAnsi="Sakkal Majalla" w:cs="Sakkal Majalla"/>
          <w:sz w:val="26"/>
          <w:szCs w:val="26"/>
        </w:rPr>
        <w:t xml:space="preserve"> (AI</w:t>
      </w:r>
      <w:r w:rsidRPr="001E4D37">
        <w:rPr>
          <w:rFonts w:ascii="Sakkal Majalla" w:hAnsi="Sakkal Majalla" w:cs="Sakkal Majalla"/>
          <w:sz w:val="26"/>
          <w:szCs w:val="26"/>
          <w:rtl/>
        </w:rPr>
        <w:t>، تحليلات بيانات ضخمة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لتعزيز الأمن دون التضحية بسرعة التدفق التجاري. يفسر هذا العامل نسبة كبيرة من التباين (~24-28%)، مما يدل على أن المستجيبين يرون الأمن السيبراني والرقابة الذكية كمحور مترابط وأساسي في بيئة التحول الرقمي بهيئة</w:t>
      </w:r>
      <w:r w:rsidRPr="001E4D37">
        <w:rPr>
          <w:rFonts w:ascii="Sakkal Majalla" w:hAnsi="Sakkal Majalla" w:cs="Sakkal Majalla"/>
          <w:sz w:val="26"/>
          <w:szCs w:val="26"/>
        </w:rPr>
        <w:t xml:space="preserve"> ZATCA.</w:t>
      </w:r>
    </w:p>
    <w:p w14:paraId="18B99B38"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التكامل المؤسسي والشراكات الاستراتيجية</w:t>
      </w:r>
      <w:r w:rsidRPr="001E4D37">
        <w:rPr>
          <w:rFonts w:ascii="Sakkal Majalla" w:hAnsi="Sakkal Majalla" w:cs="Sakkal Majalla"/>
          <w:sz w:val="26"/>
          <w:szCs w:val="26"/>
          <w:rtl/>
        </w:rPr>
        <w:t xml:space="preserve"> يشمل العبارات المتعلقة بـ</w:t>
      </w:r>
      <w:r w:rsidRPr="001E4D37">
        <w:rPr>
          <w:rFonts w:ascii="Sakkal Majalla" w:hAnsi="Sakkal Majalla" w:cs="Sakkal Majalla"/>
          <w:sz w:val="26"/>
          <w:szCs w:val="26"/>
        </w:rPr>
        <w:t>:</w:t>
      </w:r>
    </w:p>
    <w:p w14:paraId="23847642"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تعزيز التكامل والشراكات الاستراتيجية (تنسيق مع جهات حكومية وقطاع خاص، تعاون دولي)</w:t>
      </w:r>
      <w:r w:rsidRPr="001E4D37">
        <w:rPr>
          <w:rFonts w:ascii="Sakkal Majalla" w:hAnsi="Sakkal Majalla" w:cs="Sakkal Majalla"/>
          <w:sz w:val="26"/>
          <w:szCs w:val="26"/>
        </w:rPr>
        <w:t>.</w:t>
      </w:r>
    </w:p>
    <w:p w14:paraId="2BB97D52"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القانوني والسياسي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الالتزام بالاتفاقيات الدولية</w:t>
      </w:r>
      <w:r w:rsidRPr="001E4D37">
        <w:rPr>
          <w:rFonts w:ascii="Sakkal Majalla" w:hAnsi="Sakkal Majalla" w:cs="Sakkal Majalla"/>
          <w:sz w:val="26"/>
          <w:szCs w:val="26"/>
        </w:rPr>
        <w:t xml:space="preserve"> TFA</w:t>
      </w:r>
      <w:r w:rsidRPr="001E4D37">
        <w:rPr>
          <w:rFonts w:ascii="Sakkal Majalla" w:hAnsi="Sakkal Majalla" w:cs="Sakkal Majalla"/>
          <w:sz w:val="26"/>
          <w:szCs w:val="26"/>
          <w:rtl/>
        </w:rPr>
        <w:t>، شفافية، عدالة تجارية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يبرز هذا العامل أهمية الحوكمة الرقمية والتنسيق بين الجهات لتحقيق توازن بين الأمن والتيسير، ويعكس وعي المستجيبين بأن تعزيز الأمن لا يتم بمعزل عن الشراكات والتشريعات الداعمة (يفسر ~18-21% من التباين)</w:t>
      </w:r>
      <w:r w:rsidRPr="001E4D37">
        <w:rPr>
          <w:rFonts w:ascii="Sakkal Majalla" w:hAnsi="Sakkal Majalla" w:cs="Sakkal Majalla"/>
          <w:sz w:val="26"/>
          <w:szCs w:val="26"/>
        </w:rPr>
        <w:t>.</w:t>
      </w:r>
    </w:p>
    <w:p w14:paraId="0609873D"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الاقتصادية والتجارية الرقمية</w:t>
      </w:r>
      <w:r w:rsidRPr="001E4D37">
        <w:rPr>
          <w:rFonts w:ascii="Sakkal Majalla" w:hAnsi="Sakkal Majalla" w:cs="Sakkal Majalla"/>
          <w:sz w:val="26"/>
          <w:szCs w:val="26"/>
          <w:rtl/>
        </w:rPr>
        <w:t xml:space="preserve"> يجمع بين</w:t>
      </w:r>
      <w:r w:rsidRPr="001E4D37">
        <w:rPr>
          <w:rFonts w:ascii="Sakkal Majalla" w:hAnsi="Sakkal Majalla" w:cs="Sakkal Majalla"/>
          <w:sz w:val="26"/>
          <w:szCs w:val="26"/>
        </w:rPr>
        <w:t>:</w:t>
      </w:r>
    </w:p>
    <w:p w14:paraId="3695D779"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الاقتصادي (إدارة العرض والطلب، زيادة الصادرات، خفض التكاليف)</w:t>
      </w:r>
      <w:r w:rsidRPr="001E4D37">
        <w:rPr>
          <w:rFonts w:ascii="Sakkal Majalla" w:hAnsi="Sakkal Majalla" w:cs="Sakkal Majalla"/>
          <w:sz w:val="26"/>
          <w:szCs w:val="26"/>
        </w:rPr>
        <w:t>.</w:t>
      </w:r>
    </w:p>
    <w:p w14:paraId="2D780C28"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التكنولوجي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 xml:space="preserve">ذكاء اصطناعي، </w:t>
      </w:r>
      <w:r w:rsidRPr="001E4D37">
        <w:rPr>
          <w:rFonts w:ascii="Sakkal Majalla" w:hAnsi="Sakkal Majalla" w:cs="Sakkal Majalla"/>
          <w:sz w:val="26"/>
          <w:szCs w:val="26"/>
        </w:rPr>
        <w:t>Blockchain</w:t>
      </w:r>
      <w:r w:rsidRPr="001E4D37">
        <w:rPr>
          <w:rFonts w:ascii="Sakkal Majalla" w:hAnsi="Sakkal Majalla" w:cs="Sakkal Majalla"/>
          <w:sz w:val="26"/>
          <w:szCs w:val="26"/>
          <w:rtl/>
        </w:rPr>
        <w:t>، منصات موحدة</w:t>
      </w:r>
      <w:r w:rsidRPr="001E4D37">
        <w:rPr>
          <w:rFonts w:ascii="Sakkal Majalla" w:hAnsi="Sakkal Majalla" w:cs="Sakkal Majalla"/>
          <w:sz w:val="26"/>
          <w:szCs w:val="26"/>
        </w:rPr>
        <w:t>).</w:t>
      </w:r>
    </w:p>
    <w:p w14:paraId="71773425"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تقليل التهرب الضريبي وتعزيز الامتثال (فوترة إلكترونية، تحليل استباقي)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يعبر هذا العامل عن الرؤية الاقتصادية لتيسير التجارة كمحرك للنمو والتنافسية، مع الاستفادة من الأدوات الرقمية لرفع الكفاءة وتقليل المخالفات (يفسر ~15-19% من التباين)</w:t>
      </w:r>
      <w:r w:rsidRPr="001E4D37">
        <w:rPr>
          <w:rFonts w:ascii="Sakkal Majalla" w:hAnsi="Sakkal Majalla" w:cs="Sakkal Majalla"/>
          <w:sz w:val="26"/>
          <w:szCs w:val="26"/>
        </w:rPr>
        <w:t>.</w:t>
      </w:r>
    </w:p>
    <w:p w14:paraId="05185293"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الاستدامة الاجتماعية والبيئية للتجارة</w:t>
      </w:r>
      <w:r w:rsidRPr="001E4D37">
        <w:rPr>
          <w:rFonts w:ascii="Sakkal Majalla" w:hAnsi="Sakkal Majalla" w:cs="Sakkal Majalla"/>
          <w:sz w:val="26"/>
          <w:szCs w:val="26"/>
          <w:rtl/>
        </w:rPr>
        <w:t xml:space="preserve"> يشمل</w:t>
      </w:r>
      <w:r w:rsidRPr="001E4D37">
        <w:rPr>
          <w:rFonts w:ascii="Sakkal Majalla" w:hAnsi="Sakkal Majalla" w:cs="Sakkal Majalla"/>
          <w:sz w:val="26"/>
          <w:szCs w:val="26"/>
        </w:rPr>
        <w:t>:</w:t>
      </w:r>
    </w:p>
    <w:p w14:paraId="112490DF"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الاجتماعي والثقافي (فرص عمل، نمو اجتماعي، دعم المنتج الوطني)</w:t>
      </w:r>
      <w:r w:rsidRPr="001E4D37">
        <w:rPr>
          <w:rFonts w:ascii="Sakkal Majalla" w:hAnsi="Sakkal Majalla" w:cs="Sakkal Majalla"/>
          <w:sz w:val="26"/>
          <w:szCs w:val="26"/>
        </w:rPr>
        <w:t>.</w:t>
      </w:r>
    </w:p>
    <w:p w14:paraId="42D668B8"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البيئي (تجارة خضراء، تقليل البصمة الكربونية، الالتزام بالاتفاقيات البيئية)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التوجه المستقبلي نحو تجارة مستدامة اجتماعياً وبيئياً، وهو اتجاه يتزايد أهميته عالمياً ويتماشى مع أهداف التنمية المستدامة ورؤية 2030 (يفسر ~11-14% من التباين)</w:t>
      </w:r>
      <w:r w:rsidRPr="001E4D37">
        <w:rPr>
          <w:rFonts w:ascii="Sakkal Majalla" w:hAnsi="Sakkal Majalla" w:cs="Sakkal Majalla"/>
          <w:sz w:val="26"/>
          <w:szCs w:val="26"/>
        </w:rPr>
        <w:t>.</w:t>
      </w:r>
    </w:p>
    <w:p w14:paraId="367C2D0A"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ملاحظات عامة على التحليل العاملي</w:t>
      </w:r>
    </w:p>
    <w:p w14:paraId="54D8BC70"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t xml:space="preserve">جميع العوامل الأربعة حققت </w:t>
      </w:r>
      <w:r w:rsidRPr="001E4D37">
        <w:rPr>
          <w:rFonts w:ascii="Sakkal Majalla" w:hAnsi="Sakkal Majalla" w:cs="Sakkal Majalla"/>
          <w:b/>
          <w:bCs/>
          <w:sz w:val="26"/>
          <w:szCs w:val="26"/>
          <w:rtl/>
        </w:rPr>
        <w:t>حمل عاملي</w:t>
      </w:r>
      <w:r w:rsidRPr="001E4D37">
        <w:rPr>
          <w:rFonts w:ascii="Sakkal Majalla" w:hAnsi="Sakkal Majalla" w:cs="Sakkal Majalla"/>
          <w:sz w:val="26"/>
          <w:szCs w:val="26"/>
          <w:rtl/>
        </w:rPr>
        <w:t xml:space="preserve"> </w:t>
      </w:r>
      <w:r w:rsidRPr="001E4D37">
        <w:rPr>
          <w:rFonts w:ascii="Sakkal Majalla" w:hAnsi="Sakkal Majalla" w:cs="Sakkal Majalla"/>
          <w:sz w:val="26"/>
          <w:szCs w:val="26"/>
        </w:rPr>
        <w:t xml:space="preserve">(Factor Loading) </w:t>
      </w:r>
      <w:r w:rsidRPr="001E4D37">
        <w:rPr>
          <w:rFonts w:ascii="Sakkal Majalla" w:hAnsi="Sakkal Majalla" w:cs="Sakkal Majalla"/>
          <w:sz w:val="26"/>
          <w:szCs w:val="26"/>
          <w:rtl/>
        </w:rPr>
        <w:t>أعلى من 0.60 على العبارات المجمعة، مع إجمالي تباين مفسر يتجاوز 68%، مما يعطي دلالة إحصائية قوية على تماسك البنية العاملية</w:t>
      </w:r>
      <w:r w:rsidRPr="001E4D37">
        <w:rPr>
          <w:rFonts w:ascii="Sakkal Majalla" w:hAnsi="Sakkal Majalla" w:cs="Sakkal Majalla"/>
          <w:sz w:val="26"/>
          <w:szCs w:val="26"/>
        </w:rPr>
        <w:t>.</w:t>
      </w:r>
    </w:p>
    <w:p w14:paraId="19C1EC6E"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t>لم تظهر عبارات ذات حملات منخفضة أو ازدواجية كبيرة</w:t>
      </w:r>
      <w:r w:rsidRPr="001E4D37">
        <w:rPr>
          <w:rFonts w:ascii="Sakkal Majalla" w:hAnsi="Sakkal Majalla" w:cs="Sakkal Majalla"/>
          <w:sz w:val="26"/>
          <w:szCs w:val="26"/>
        </w:rPr>
        <w:t xml:space="preserve"> (Cross-loading)</w:t>
      </w:r>
      <w:r w:rsidRPr="001E4D37">
        <w:rPr>
          <w:rFonts w:ascii="Sakkal Majalla" w:hAnsi="Sakkal Majalla" w:cs="Sakkal Majalla"/>
          <w:sz w:val="26"/>
          <w:szCs w:val="26"/>
          <w:rtl/>
        </w:rPr>
        <w:t>، مما يدعم صدق البناء</w:t>
      </w:r>
      <w:r w:rsidRPr="001E4D37">
        <w:rPr>
          <w:rFonts w:ascii="Sakkal Majalla" w:hAnsi="Sakkal Majalla" w:cs="Sakkal Majalla"/>
          <w:sz w:val="26"/>
          <w:szCs w:val="26"/>
        </w:rPr>
        <w:t xml:space="preserve"> (Construct Validity) </w:t>
      </w:r>
      <w:r w:rsidRPr="001E4D37">
        <w:rPr>
          <w:rFonts w:ascii="Sakkal Majalla" w:hAnsi="Sakkal Majalla" w:cs="Sakkal Majalla"/>
          <w:sz w:val="26"/>
          <w:szCs w:val="26"/>
          <w:rtl/>
        </w:rPr>
        <w:t>للمقاييس المستخدمة</w:t>
      </w:r>
      <w:r w:rsidRPr="001E4D37">
        <w:rPr>
          <w:rFonts w:ascii="Sakkal Majalla" w:hAnsi="Sakkal Majalla" w:cs="Sakkal Majalla"/>
          <w:sz w:val="26"/>
          <w:szCs w:val="26"/>
        </w:rPr>
        <w:t>.</w:t>
      </w:r>
    </w:p>
    <w:p w14:paraId="3F980656"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lastRenderedPageBreak/>
        <w:t>تتسق هذه العوامل مع واقع المبادرات الفعلية في</w:t>
      </w:r>
      <w:r w:rsidRPr="001E4D37">
        <w:rPr>
          <w:rFonts w:ascii="Sakkal Majalla" w:hAnsi="Sakkal Majalla" w:cs="Sakkal Majalla"/>
          <w:sz w:val="26"/>
          <w:szCs w:val="26"/>
        </w:rPr>
        <w:t xml:space="preserve"> ZATCA </w:t>
      </w:r>
      <w:r w:rsidRPr="001E4D37">
        <w:rPr>
          <w:rFonts w:ascii="Sakkal Majalla" w:hAnsi="Sakkal Majalla" w:cs="Sakkal Majalla"/>
          <w:sz w:val="26"/>
          <w:szCs w:val="26"/>
          <w:rtl/>
        </w:rPr>
        <w:t>(مثل الفوترة الإلكترونية، الفسح خلال ساعتين، استخدام الذكاء الاصطناعي في الكشف عن المخاطر، النافذة الجمركية الموحدة)، وتعكس إدراك الموظفين للترابط الوثيق بين الأمن الرقمي وتيسير التجارة كجزء لا يتجزأ من استراتيجية الهيئة</w:t>
      </w:r>
      <w:r w:rsidRPr="001E4D37">
        <w:rPr>
          <w:rFonts w:ascii="Sakkal Majalla" w:hAnsi="Sakkal Majalla" w:cs="Sakkal Majalla"/>
          <w:sz w:val="26"/>
          <w:szCs w:val="26"/>
        </w:rPr>
        <w:t>.</w:t>
      </w:r>
    </w:p>
    <w:p w14:paraId="6470E8EE" w14:textId="0AE758B6" w:rsidR="007A0B3B" w:rsidRDefault="007A0B3B" w:rsidP="001E4D37">
      <w:pPr>
        <w:pStyle w:val="BlockText"/>
        <w:ind w:left="146" w:hanging="120"/>
        <w:jc w:val="center"/>
        <w:rPr>
          <w:rFonts w:cs="Simplified Arabic"/>
          <w:b/>
          <w:bCs/>
          <w:sz w:val="24"/>
          <w:szCs w:val="24"/>
          <w:rtl/>
          <w:lang w:bidi="ar-EG"/>
        </w:rPr>
      </w:pPr>
      <w:r w:rsidRPr="007D39EF">
        <w:rPr>
          <w:rFonts w:ascii="Sakkal Majalla" w:eastAsiaTheme="minorHAnsi" w:hAnsi="Sakkal Majalla" w:cs="Sakkal Majalla"/>
          <w:sz w:val="26"/>
          <w:szCs w:val="26"/>
          <w:rtl/>
        </w:rPr>
        <w:t>ويوضح الجدول رقم (3/2) مستوى ثبات قوي للعبارات المكونة لهذه العوامل الأربعة، مما يؤكد ملاءمتها واتساقها الداخلي كمقاييس للظواهر قيد الدراسة.</w:t>
      </w:r>
    </w:p>
    <w:p w14:paraId="5AA4D2F8" w14:textId="77777777" w:rsidR="007A0B3B" w:rsidRPr="00ED6AF1"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 xml:space="preserve">جدول رقم (3/2) </w:t>
      </w:r>
    </w:p>
    <w:p w14:paraId="003E4C24" w14:textId="72A18B5D" w:rsidR="007A0B3B"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التحليل العاملي</w:t>
      </w:r>
      <w:r w:rsidR="00104B0D">
        <w:rPr>
          <w:rFonts w:ascii="Sakkal Majalla" w:eastAsiaTheme="minorHAnsi" w:hAnsi="Sakkal Majalla" w:cs="Sakkal Majalla" w:hint="cs"/>
          <w:b/>
          <w:bCs/>
          <w:sz w:val="26"/>
          <w:szCs w:val="26"/>
          <w:rtl/>
        </w:rPr>
        <w:t xml:space="preserve"> لصدق </w:t>
      </w:r>
      <w:r w:rsidR="000472D5">
        <w:rPr>
          <w:rFonts w:ascii="Sakkal Majalla" w:eastAsiaTheme="minorHAnsi" w:hAnsi="Sakkal Majalla" w:cs="Sakkal Majalla" w:hint="cs"/>
          <w:b/>
          <w:bCs/>
          <w:sz w:val="26"/>
          <w:szCs w:val="26"/>
          <w:rtl/>
        </w:rPr>
        <w:t xml:space="preserve"> وثبات </w:t>
      </w:r>
      <w:r w:rsidR="00104B0D">
        <w:rPr>
          <w:rFonts w:ascii="Sakkal Majalla" w:eastAsiaTheme="minorHAnsi" w:hAnsi="Sakkal Majalla" w:cs="Sakkal Majalla" w:hint="cs"/>
          <w:b/>
          <w:bCs/>
          <w:sz w:val="26"/>
          <w:szCs w:val="26"/>
          <w:rtl/>
        </w:rPr>
        <w:t xml:space="preserve">المقياس </w:t>
      </w:r>
      <w:r w:rsidRPr="00ED6AF1">
        <w:rPr>
          <w:rFonts w:ascii="Sakkal Majalla" w:eastAsiaTheme="minorHAnsi" w:hAnsi="Sakkal Majalla" w:cs="Sakkal Majalla" w:hint="cs"/>
          <w:b/>
          <w:bCs/>
          <w:sz w:val="26"/>
          <w:szCs w:val="26"/>
          <w:rtl/>
        </w:rPr>
        <w:t xml:space="preserve"> للعبارات المكونة لمقياس </w:t>
      </w:r>
      <w:r>
        <w:rPr>
          <w:rFonts w:ascii="Sakkal Majalla" w:eastAsiaTheme="minorHAnsi" w:hAnsi="Sakkal Majalla" w:cs="Sakkal Majalla" w:hint="cs"/>
          <w:b/>
          <w:bCs/>
          <w:sz w:val="26"/>
          <w:szCs w:val="26"/>
          <w:rtl/>
        </w:rPr>
        <w:t>المتغيرات التابعة</w:t>
      </w:r>
    </w:p>
    <w:p w14:paraId="15D65A07" w14:textId="29B4E8EE" w:rsidR="002638AE" w:rsidRDefault="005F6F78" w:rsidP="007A0B3B">
      <w:pPr>
        <w:pStyle w:val="BlockText"/>
        <w:ind w:left="146" w:hanging="120"/>
        <w:jc w:val="center"/>
        <w:rPr>
          <w:rFonts w:ascii="Sakkal Majalla" w:eastAsiaTheme="minorHAnsi" w:hAnsi="Sakkal Majalla" w:cs="Sakkal Majalla"/>
          <w:b/>
          <w:bCs/>
          <w:sz w:val="26"/>
          <w:szCs w:val="26"/>
          <w:rtl/>
        </w:rPr>
      </w:pPr>
      <w:r w:rsidRPr="005F6F78">
        <w:rPr>
          <w:rFonts w:eastAsiaTheme="minorHAnsi"/>
          <w:noProof/>
          <w:szCs w:val="20"/>
          <w:rtl/>
        </w:rPr>
        <w:drawing>
          <wp:inline distT="0" distB="0" distL="0" distR="0" wp14:anchorId="59FEE14B" wp14:editId="4D105C5F">
            <wp:extent cx="5943600" cy="3997569"/>
            <wp:effectExtent l="0" t="0" r="0" b="3175"/>
            <wp:docPr id="1183812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6546" cy="3999550"/>
                    </a:xfrm>
                    <a:prstGeom prst="rect">
                      <a:avLst/>
                    </a:prstGeom>
                    <a:noFill/>
                    <a:ln>
                      <a:noFill/>
                    </a:ln>
                  </pic:spPr>
                </pic:pic>
              </a:graphicData>
            </a:graphic>
          </wp:inline>
        </w:drawing>
      </w:r>
    </w:p>
    <w:p w14:paraId="04DD3878" w14:textId="5C98232A" w:rsidR="005F6F78" w:rsidRDefault="001E4D37" w:rsidP="007A0B3B">
      <w:pPr>
        <w:pStyle w:val="BlockText"/>
        <w:ind w:left="146" w:hanging="120"/>
        <w:jc w:val="center"/>
        <w:rPr>
          <w:rFonts w:ascii="Sakkal Majalla" w:eastAsiaTheme="minorHAnsi" w:hAnsi="Sakkal Majalla" w:cs="Sakkal Majalla"/>
          <w:b/>
          <w:bCs/>
          <w:sz w:val="26"/>
          <w:szCs w:val="26"/>
          <w:rtl/>
        </w:rPr>
      </w:pPr>
      <w:r w:rsidRPr="001E4D37">
        <w:rPr>
          <w:rFonts w:eastAsiaTheme="minorHAnsi"/>
          <w:noProof/>
          <w:szCs w:val="20"/>
          <w:rtl/>
        </w:rPr>
        <w:lastRenderedPageBreak/>
        <w:drawing>
          <wp:inline distT="0" distB="0" distL="0" distR="0" wp14:anchorId="213726A4" wp14:editId="35111059">
            <wp:extent cx="5943600" cy="4798060"/>
            <wp:effectExtent l="0" t="0" r="0" b="2540"/>
            <wp:docPr id="20079121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798060"/>
                    </a:xfrm>
                    <a:prstGeom prst="rect">
                      <a:avLst/>
                    </a:prstGeom>
                    <a:noFill/>
                    <a:ln>
                      <a:noFill/>
                    </a:ln>
                  </pic:spPr>
                </pic:pic>
              </a:graphicData>
            </a:graphic>
          </wp:inline>
        </w:drawing>
      </w:r>
    </w:p>
    <w:p w14:paraId="04853DF1" w14:textId="77777777" w:rsidR="007A0B3B" w:rsidRPr="00020F95" w:rsidRDefault="007A0B3B" w:rsidP="007A0B3B">
      <w:pPr>
        <w:pStyle w:val="BlockText"/>
        <w:spacing w:line="360" w:lineRule="auto"/>
        <w:jc w:val="lowKashida"/>
        <w:rPr>
          <w:sz w:val="22"/>
          <w:szCs w:val="22"/>
          <w:rtl/>
          <w:lang w:bidi="ar-EG"/>
        </w:rPr>
      </w:pPr>
      <w:r w:rsidRPr="00020F95">
        <w:rPr>
          <w:rFonts w:hint="cs"/>
          <w:b/>
          <w:bCs/>
          <w:szCs w:val="20"/>
          <w:rtl/>
          <w:lang w:bidi="ar-EG"/>
        </w:rPr>
        <w:t>المصدر :</w:t>
      </w:r>
      <w:r w:rsidRPr="00020F95">
        <w:rPr>
          <w:rFonts w:hint="cs"/>
          <w:szCs w:val="20"/>
          <w:rtl/>
          <w:lang w:bidi="ar-EG"/>
        </w:rPr>
        <w:t xml:space="preserve"> نتائج التحليل الأحصائى .</w:t>
      </w:r>
    </w:p>
    <w:p w14:paraId="5D58A978" w14:textId="5BBF0C5A"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نتائج التحليل العاملي </w:t>
      </w:r>
      <w:r w:rsidR="000472D5">
        <w:rPr>
          <w:rFonts w:ascii="Sakkal Majalla" w:hAnsi="Sakkal Majalla" w:cs="Sakkal Majalla" w:hint="cs"/>
          <w:b/>
          <w:bCs/>
          <w:sz w:val="28"/>
          <w:rtl/>
          <w:lang w:bidi="ar-EG"/>
        </w:rPr>
        <w:t xml:space="preserve">لصدق وثبات المقياس </w:t>
      </w:r>
      <w:r w:rsidRPr="0003069F">
        <w:rPr>
          <w:rFonts w:ascii="Sakkal Majalla" w:hAnsi="Sakkal Majalla" w:cs="Sakkal Majalla"/>
          <w:b/>
          <w:bCs/>
          <w:sz w:val="28"/>
          <w:rtl/>
          <w:lang w:bidi="ar-EG"/>
        </w:rPr>
        <w:t>للمتغيرات التابعة</w:t>
      </w:r>
      <w:r>
        <w:rPr>
          <w:rFonts w:ascii="Sakkal Majalla" w:hAnsi="Sakkal Majalla" w:cs="Sakkal Majalla" w:hint="cs"/>
          <w:b/>
          <w:bCs/>
          <w:sz w:val="28"/>
          <w:rtl/>
          <w:lang w:bidi="ar-EG"/>
        </w:rPr>
        <w:t>:</w:t>
      </w:r>
    </w:p>
    <w:p w14:paraId="0948C091" w14:textId="6483B614"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أظهر التحليل العاملي (بطريقة المكونات الرئيسية </w:t>
      </w:r>
      <w:r w:rsidRPr="0003069F">
        <w:rPr>
          <w:rFonts w:ascii="Sakkal Majalla" w:hAnsi="Sakkal Majalla" w:cs="Sakkal Majalla"/>
          <w:sz w:val="28"/>
          <w:lang w:bidi="ar-EG"/>
        </w:rPr>
        <w:t>Principal Component Analysis</w:t>
      </w:r>
      <w:r w:rsidRPr="0003069F">
        <w:rPr>
          <w:rFonts w:ascii="Sakkal Majalla" w:hAnsi="Sakkal Majalla" w:cs="Sakkal Majalla"/>
          <w:sz w:val="28"/>
          <w:rtl/>
          <w:lang w:bidi="ar-EG"/>
        </w:rPr>
        <w:t xml:space="preserve"> مع دوران </w:t>
      </w:r>
      <w:r w:rsidRPr="0003069F">
        <w:rPr>
          <w:rFonts w:ascii="Sakkal Majalla" w:hAnsi="Sakkal Majalla" w:cs="Sakkal Majalla"/>
          <w:sz w:val="28"/>
          <w:lang w:bidi="ar-EG"/>
        </w:rPr>
        <w:t>Varimax</w:t>
      </w:r>
      <w:r w:rsidRPr="0003069F">
        <w:rPr>
          <w:rFonts w:ascii="Sakkal Majalla" w:hAnsi="Sakkal Majalla" w:cs="Sakkal Majalla"/>
          <w:sz w:val="28"/>
          <w:rtl/>
          <w:lang w:bidi="ar-EG"/>
        </w:rPr>
        <w:t xml:space="preserve">) إمكانية استخراج </w:t>
      </w:r>
      <w:r w:rsidRPr="0003069F">
        <w:rPr>
          <w:rFonts w:ascii="Sakkal Majalla" w:hAnsi="Sakkal Majalla" w:cs="Sakkal Majalla"/>
          <w:b/>
          <w:bCs/>
          <w:sz w:val="28"/>
          <w:rtl/>
          <w:lang w:bidi="ar-EG"/>
        </w:rPr>
        <w:t>تسعة عوامل رئيسية</w:t>
      </w:r>
      <w:r w:rsidRPr="0003069F">
        <w:rPr>
          <w:rFonts w:ascii="Sakkal Majalla" w:hAnsi="Sakkal Majalla" w:cs="Sakkal Majalla"/>
          <w:sz w:val="28"/>
          <w:rtl/>
          <w:lang w:bidi="ar-EG"/>
        </w:rPr>
        <w:t xml:space="preserve"> تتوافق إلى حد كبير مع الأبعاد التابعة التسعة المحددة مسبقًا في الدراسة، مما يدعم افتراض استقلالية نسبية لهذه الأبعاد في إدراك أفراد العينة. </w:t>
      </w:r>
      <w:r>
        <w:rPr>
          <w:rFonts w:ascii="Sakkal Majalla" w:hAnsi="Sakkal Majalla" w:cs="Sakkal Majalla" w:hint="cs"/>
          <w:sz w:val="28"/>
          <w:rtl/>
          <w:lang w:bidi="ar-EG"/>
        </w:rPr>
        <w:t>و</w:t>
      </w:r>
      <w:r w:rsidRPr="0003069F">
        <w:rPr>
          <w:rFonts w:ascii="Sakkal Majalla" w:hAnsi="Sakkal Majalla" w:cs="Sakkal Majalla"/>
          <w:sz w:val="28"/>
          <w:rtl/>
        </w:rPr>
        <w:t>بعد التحقق من شروط الصلاحية الإحصائية</w:t>
      </w:r>
      <w:r w:rsidRPr="0003069F">
        <w:rPr>
          <w:rFonts w:ascii="Sakkal Majalla" w:hAnsi="Sakkal Majalla" w:cs="Sakkal Majalla"/>
          <w:sz w:val="28"/>
          <w:lang w:bidi="ar-EG"/>
        </w:rPr>
        <w:t xml:space="preserve"> (KMO = 0.819</w:t>
      </w:r>
      <w:r w:rsidRPr="0003069F">
        <w:rPr>
          <w:rFonts w:ascii="Sakkal Majalla" w:hAnsi="Sakkal Majalla" w:cs="Sakkal Majalla"/>
          <w:sz w:val="28"/>
          <w:rtl/>
        </w:rPr>
        <w:t xml:space="preserve">، </w:t>
      </w:r>
      <w:r w:rsidRPr="0003069F">
        <w:rPr>
          <w:rFonts w:ascii="Sakkal Majalla" w:hAnsi="Sakkal Majalla" w:cs="Sakkal Majalla"/>
          <w:sz w:val="28"/>
          <w:lang w:bidi="ar-EG"/>
        </w:rPr>
        <w:t>Bartlett’s Test of Sphericity p = 0.000)</w:t>
      </w:r>
      <w:r w:rsidRPr="0003069F">
        <w:rPr>
          <w:rFonts w:ascii="Sakkal Majalla" w:hAnsi="Sakkal Majalla" w:cs="Sakkal Majalla"/>
          <w:sz w:val="28"/>
          <w:rtl/>
        </w:rPr>
        <w:t>، أسفر التحليل العاملي</w:t>
      </w:r>
      <w:r w:rsidRPr="0003069F">
        <w:rPr>
          <w:rFonts w:ascii="Sakkal Majalla" w:hAnsi="Sakkal Majalla" w:cs="Sakkal Majalla"/>
          <w:sz w:val="28"/>
          <w:lang w:bidi="ar-EG"/>
        </w:rPr>
        <w:t xml:space="preserve"> (Principal Component Analysis </w:t>
      </w:r>
      <w:r w:rsidRPr="0003069F">
        <w:rPr>
          <w:rFonts w:ascii="Sakkal Majalla" w:hAnsi="Sakkal Majalla" w:cs="Sakkal Majalla"/>
          <w:sz w:val="28"/>
          <w:rtl/>
        </w:rPr>
        <w:t>مع دوران</w:t>
      </w:r>
      <w:r w:rsidRPr="0003069F">
        <w:rPr>
          <w:rFonts w:ascii="Sakkal Majalla" w:hAnsi="Sakkal Majalla" w:cs="Sakkal Majalla"/>
          <w:sz w:val="28"/>
          <w:lang w:bidi="ar-EG"/>
        </w:rPr>
        <w:t xml:space="preserve"> Varimax) </w:t>
      </w:r>
      <w:r w:rsidRPr="0003069F">
        <w:rPr>
          <w:rFonts w:ascii="Sakkal Majalla" w:hAnsi="Sakkal Majalla" w:cs="Sakkal Majalla"/>
          <w:sz w:val="28"/>
          <w:rtl/>
        </w:rPr>
        <w:t>عن استخراج تسعة عوامل رئيسية تتوافق مع الأبعاد التابعة التسعة المحددة نظريًا، مما يدعم استقلاليتها النسبية في إدراك العينة. وفي الوقت نفسه، أمكن تجميع هذه الأبعاد في ستة عوامل عليا أكثر تماسكًا تفسر 82.7% من التباين الكلي نسبة مرتفعة جدًا مقارنة بدراسات مشابهة</w:t>
      </w:r>
      <w:r w:rsidRPr="0003069F">
        <w:rPr>
          <w:rFonts w:ascii="Sakkal Majalla" w:hAnsi="Sakkal Majalla" w:cs="Sakkal Majalla"/>
          <w:sz w:val="28"/>
          <w:lang w:bidi="ar-EG"/>
        </w:rPr>
        <w:t xml:space="preserve"> (68–75% </w:t>
      </w:r>
      <w:r w:rsidRPr="0003069F">
        <w:rPr>
          <w:rFonts w:ascii="Sakkal Majalla" w:hAnsi="Sakkal Majalla" w:cs="Sakkal Majalla"/>
          <w:sz w:val="28"/>
          <w:rtl/>
        </w:rPr>
        <w:t>في</w:t>
      </w:r>
      <w:r w:rsidRPr="0003069F">
        <w:rPr>
          <w:rFonts w:ascii="Sakkal Majalla" w:hAnsi="Sakkal Majalla" w:cs="Sakkal Majalla"/>
          <w:sz w:val="28"/>
          <w:lang w:bidi="ar-EG"/>
        </w:rPr>
        <w:t xml:space="preserve"> Hanelt et al., 2021</w:t>
      </w:r>
      <w:r w:rsidRPr="0003069F">
        <w:rPr>
          <w:rFonts w:ascii="Sakkal Majalla" w:hAnsi="Sakkal Majalla" w:cs="Sakkal Majalla"/>
          <w:sz w:val="28"/>
          <w:rtl/>
        </w:rPr>
        <w:t>؛</w:t>
      </w:r>
      <w:r w:rsidRPr="0003069F">
        <w:rPr>
          <w:rFonts w:ascii="Sakkal Majalla" w:hAnsi="Sakkal Majalla" w:cs="Sakkal Majalla"/>
          <w:sz w:val="28"/>
          <w:lang w:bidi="ar-EG"/>
        </w:rPr>
        <w:t xml:space="preserve"> WCO, 2025).</w:t>
      </w:r>
    </w:p>
    <w:p w14:paraId="61BA8A30" w14:textId="471023E3"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وفيما يلي وصف كل عامل مع العبارات المرتبطة به بشكل أساسي (بناءً على أعلى تشبع عاملي لكل عبارة):</w:t>
      </w:r>
    </w:p>
    <w:p w14:paraId="597B735D" w14:textId="74C57BF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العامل الأول – الأمن السيبراني وحماية البيانات  </w:t>
      </w:r>
    </w:p>
    <w:p w14:paraId="70058CA6"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 2، 3) بتشبعات تتراوح بين 0.624 و0.647، ومتوسط تشبع ≈ 0.639.  </w:t>
      </w:r>
    </w:p>
    <w:p w14:paraId="1FF1C2A7"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lastRenderedPageBreak/>
        <w:t xml:space="preserve">   يعكس هذا العامل دور الأسس الرقمية والابتكار والحوكمة في تعزيز حماية البيانات من الاختراقات والكشف المبكر عن الهجمات السيبرانية.</w:t>
      </w:r>
    </w:p>
    <w:p w14:paraId="645C53D9" w14:textId="288B235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2. العامل الثاني – تحسين كفاءة الرقابة الجمركية والحد من التهريب </w:t>
      </w:r>
    </w:p>
    <w:p w14:paraId="450994A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(4، 5، 6) بتشبعات تتراوح بين 0.583 و0.808، ومتوسط تشبع ≈ 0.698.  </w:t>
      </w:r>
    </w:p>
    <w:p w14:paraId="1B98CF4B"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تركيز المبحوثين على تحسين سرعة ودقة الفحص وتحديد الشحنات المخاطرة بدقة عالية عبر الابتكار والحوكمة.</w:t>
      </w:r>
    </w:p>
    <w:p w14:paraId="702DE083" w14:textId="4FEBD31F"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العامل الثالث – تعزيز تكامل الشراكات الاستراتيجية </w:t>
      </w:r>
    </w:p>
    <w:p w14:paraId="2B0AE5E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(7، 8، 9) بتشبعات تتراوح بين 0.591 و0.695، ومتوسط تشبع ≈ 0.627.  </w:t>
      </w:r>
    </w:p>
    <w:p w14:paraId="5C234A9A"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يعكس أهمية تسهيل تبادل المعلومات الأمنية وبناء شراكات دولية وتعزيز التنسيق الاستراتيجي.</w:t>
      </w:r>
    </w:p>
    <w:p w14:paraId="687DBB06" w14:textId="521B7AC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4. العامل الرابع – البعد القانوني والسياسي </w:t>
      </w:r>
    </w:p>
    <w:p w14:paraId="3A7CCD5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(10، 11، 12) بتشبعات تتراوح بين 0.712 و0.796، ومتوسط تشبع ≈ 0.740.  </w:t>
      </w:r>
    </w:p>
    <w:p w14:paraId="60DF501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تطوير الكفاءات الرقمية لمواجهة التهديدات، رفع الوعي الأمني، وبناء ثقافة أمنية مستدامة داخل الهيئة.</w:t>
      </w:r>
    </w:p>
    <w:p w14:paraId="183270D2" w14:textId="6BFE529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5. العامل الخامس – البعد الاجتماعي والثقافي  </w:t>
      </w:r>
    </w:p>
    <w:p w14:paraId="621EED4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(13، 14، 15) بتشبعات تتراوح بين 0.609 و0.725، ومتوسط تشبع ≈ 0.668.  </w:t>
      </w:r>
    </w:p>
    <w:p w14:paraId="5782619D"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يتعلق بتطوير الكفاءات البشرية، تغيير السلوكيات الاجتماعية تجاه التقنيات الآمنة، وبناء ثقافة أمن سيبراني مجتمعي.</w:t>
      </w:r>
    </w:p>
    <w:p w14:paraId="32C5F5E0" w14:textId="1B42D2D7"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6. العامل السادس – البعد الاقتصادي  </w:t>
      </w:r>
    </w:p>
    <w:p w14:paraId="6F76720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(16، 17، 18) بتشبعات تتراوح بين 0.574 و0.740، ومتوسط تشبع ≈ 0.659.  </w:t>
      </w:r>
    </w:p>
    <w:p w14:paraId="2E02819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خفض تكاليف التجارة، تسريع التدفقات التجارية، ورفع الكفاءة الاقتصادية عبر الشفافية والحوكمة.</w:t>
      </w:r>
    </w:p>
    <w:p w14:paraId="4E9DC07D" w14:textId="37FEDF4B"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7. العامل السابع – البعد التكنولوجي  </w:t>
      </w:r>
    </w:p>
    <w:p w14:paraId="14EE676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(19، 20، 21) بتشبعات تتراوح بين 0.408 و0.778، ومتوسط تشبع ≈ 0.649.  </w:t>
      </w:r>
    </w:p>
    <w:p w14:paraId="1900EAA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يغطي التحول من الجمرك الورقي إلى الذكي، تحسين سلاسل التوريد، وتكامل المنصات التكنولوجية.</w:t>
      </w:r>
    </w:p>
    <w:p w14:paraId="5352B6EB" w14:textId="0A9E3CC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8. العامل الثامن – البعد البيئي  </w:t>
      </w:r>
    </w:p>
    <w:p w14:paraId="27403F3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(22، 23، 24) بتشبعات تتراوح بين 0.661 و0.799، ومتوسط تشبع ≈ 0.739.  </w:t>
      </w:r>
    </w:p>
    <w:p w14:paraId="66C7209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دعم التجارة الخضراء، تقليل البصمة الكربونية، وتطبيق حلول لوجستية بيئية مستدامة.</w:t>
      </w:r>
    </w:p>
    <w:p w14:paraId="729D630B" w14:textId="1CFD2B7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9. العامل التاسع – تقليل التهرب الضريبي وتعزيز الامتثال  </w:t>
      </w:r>
    </w:p>
    <w:p w14:paraId="1AED9CC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(25، 26، 27) بتشبعات استثنائية تتراوح بين 0.969 و0.991، ومتوسط تشبع ≈ 0.978.  </w:t>
      </w:r>
    </w:p>
    <w:p w14:paraId="28A34E70"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يمثل أعلى درجة تماسك في الدراسة، ويعكس دور الأسس والابتكار والحوكمة في تعزيز الشفافية، الكشف المبكر عن التهرب، ورفع مستوى الامتثال الضريبي والجمركي.</w:t>
      </w:r>
    </w:p>
    <w:p w14:paraId="03F61948" w14:textId="3778DEBA"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lang w:bidi="ar-EG"/>
        </w:rPr>
        <w:lastRenderedPageBreak/>
        <w:t>استخلاص الاستنتاجات الرئيسية</w:t>
      </w:r>
    </w:p>
    <w:p w14:paraId="634EBDFF" w14:textId="3C6644A4"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القوة التفسيرية والاستقلالية  </w:t>
      </w:r>
    </w:p>
    <w:p w14:paraId="5EDBC23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تم استخراج تسعة عوامل تتوافق مع الأبعاد التسعة النظرية، مما يدعم افتراض الدراسة بأن هذه الأبعاد مستقلة نسبيًا في إدراك أفراد العينة (موظفي ومديري هيئة الزكاة والضريبة والجمارك). أعلى تماسك كان في بعد "تقليل التهرب الضريبي وتعزيز الامتثال" (متوسط تشبع 0.978)، يليه البعد البيئي (0.739) والبعد القانوني/السياسي (0.740).</w:t>
      </w:r>
    </w:p>
    <w:p w14:paraId="327CA4DF" w14:textId="778DB642"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2. نسب التباين والاشتراكات (</w:t>
      </w:r>
      <w:r w:rsidRPr="0003069F">
        <w:rPr>
          <w:rFonts w:ascii="Sakkal Majalla" w:hAnsi="Sakkal Majalla" w:cs="Sakkal Majalla"/>
          <w:b/>
          <w:bCs/>
          <w:sz w:val="28"/>
          <w:lang w:bidi="ar-EG"/>
        </w:rPr>
        <w:t>Communalities</w:t>
      </w:r>
      <w:r w:rsidRPr="0003069F">
        <w:rPr>
          <w:rFonts w:ascii="Sakkal Majalla" w:hAnsi="Sakkal Majalla" w:cs="Sakkal Majalla"/>
          <w:b/>
          <w:bCs/>
          <w:sz w:val="28"/>
          <w:rtl/>
          <w:lang w:bidi="ar-EG"/>
        </w:rPr>
        <w:t xml:space="preserve">) </w:t>
      </w:r>
    </w:p>
    <w:p w14:paraId="72CDD2B4"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تتراوح قيم الاشتراكات بين 0.336 و0.991، مع متوسط عام ≈ 0.592.  </w:t>
      </w:r>
    </w:p>
    <w:p w14:paraId="5D193F7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العالية جدًا (&gt; 0.85) في بعد الامتثال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تمثيل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ممتاز</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وتماسك</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قوي</w:t>
      </w:r>
      <w:r w:rsidRPr="0003069F">
        <w:rPr>
          <w:rFonts w:ascii="Sakkal Majalla" w:hAnsi="Sakkal Majalla" w:cs="Sakkal Majalla"/>
          <w:sz w:val="28"/>
          <w:rtl/>
          <w:lang w:bidi="ar-EG"/>
        </w:rPr>
        <w:t xml:space="preserve">.  </w:t>
      </w:r>
    </w:p>
    <w:p w14:paraId="2CA4D70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المنخفضة نسبيًا (0.336–0.489) في بعض عبارات الأمن السيبراني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مقبولة،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لكنها</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تشير</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إلى</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وجود</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تباين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إضافي</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يمكن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تفسيره</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بعوامل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خارجية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أو</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حاجة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لعينة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أكبر</w:t>
      </w:r>
      <w:r w:rsidRPr="0003069F">
        <w:rPr>
          <w:rFonts w:ascii="Sakkal Majalla" w:hAnsi="Sakkal Majalla" w:cs="Sakkal Majalla"/>
          <w:sz w:val="28"/>
          <w:rtl/>
          <w:lang w:bidi="ar-EG"/>
        </w:rPr>
        <w:t>.</w:t>
      </w:r>
    </w:p>
    <w:p w14:paraId="055D126C" w14:textId="1F79D4E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الملاحظة العامة  </w:t>
      </w:r>
    </w:p>
    <w:p w14:paraId="5E98607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النتائج تؤكد أن الأبعاد التسعة تمتلك درجة جيدة من التمييز والاستقلالية في سياق الدراسة، مع تفوق واضح للجوانب الامتثالية والتكنولوجية-البيئية في إدراك المبحوثين. هذا يعزز صلاحية المقاييس المستخدمة ويمهد لاستخدامها في اختبار الفروض عبر تحليل الانحدار.</w:t>
      </w:r>
    </w:p>
    <w:p w14:paraId="769E980C" w14:textId="5E28B6ED"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rPr>
        <w:t>مقارنة دولية استراتيجية وإحصائية مرتبطة بالدراسات السابقة</w:t>
      </w:r>
      <w:r>
        <w:rPr>
          <w:rFonts w:ascii="Sakkal Majalla" w:hAnsi="Sakkal Majalla" w:cs="Sakkal Majalla" w:hint="cs"/>
          <w:b/>
          <w:bCs/>
          <w:sz w:val="32"/>
          <w:szCs w:val="32"/>
          <w:rtl/>
        </w:rPr>
        <w:t>:</w:t>
      </w:r>
    </w:p>
    <w:p w14:paraId="3D3C0769"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rPr>
        <w:t xml:space="preserve">لتقييم موقع </w:t>
      </w:r>
      <w:r w:rsidRPr="0003069F">
        <w:rPr>
          <w:rFonts w:ascii="Sakkal Majalla" w:hAnsi="Sakkal Majalla" w:cs="Sakkal Majalla"/>
          <w:b/>
          <w:bCs/>
          <w:sz w:val="28"/>
          <w:rtl/>
        </w:rPr>
        <w:t>هيئة الزكاة والضريبة والجمارك</w:t>
      </w:r>
      <w:r w:rsidRPr="0003069F">
        <w:rPr>
          <w:rFonts w:ascii="Sakkal Majalla" w:hAnsi="Sakkal Majalla" w:cs="Sakkal Majalla"/>
          <w:b/>
          <w:bCs/>
          <w:sz w:val="28"/>
          <w:lang w:bidi="ar-EG"/>
        </w:rPr>
        <w:t xml:space="preserve"> (ZATCA)</w:t>
      </w:r>
      <w:r w:rsidRPr="0003069F">
        <w:rPr>
          <w:rFonts w:ascii="Sakkal Majalla" w:hAnsi="Sakkal Majalla" w:cs="Sakkal Majalla"/>
          <w:sz w:val="28"/>
          <w:lang w:bidi="ar-EG"/>
        </w:rPr>
        <w:t xml:space="preserve"> </w:t>
      </w:r>
      <w:r w:rsidRPr="0003069F">
        <w:rPr>
          <w:rFonts w:ascii="Sakkal Majalla" w:hAnsi="Sakkal Majalla" w:cs="Sakkal Majalla"/>
          <w:sz w:val="28"/>
          <w:rtl/>
        </w:rPr>
        <w:t>عالميًا، تمت مقارنة العوامل التسعة والتجميعات الستة مع تجارب رائدة (كوريا الجنوبية، سنغافورة، إستونيا، الإمارات)، مستندًا إلى دراسات حديثة (2023–2025) ومؤشرات كمية</w:t>
      </w:r>
      <w:r w:rsidRPr="0003069F">
        <w:rPr>
          <w:rFonts w:ascii="Sakkal Majalla" w:hAnsi="Sakkal Majalla" w:cs="Sakkal Majalla"/>
          <w:sz w:val="28"/>
          <w:lang w:bidi="ar-EG"/>
        </w:rPr>
        <w:t>:</w:t>
      </w:r>
    </w:p>
    <w:p w14:paraId="42F51525" w14:textId="5AFE8BD2"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الأمنية الوقائية والرقمية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1+2</w:t>
      </w:r>
      <w:r w:rsidRPr="0003069F">
        <w:rPr>
          <w:rFonts w:ascii="Sakkal Majalla" w:hAnsi="Sakkal Majalla" w:cs="Sakkal Majalla"/>
          <w:sz w:val="28"/>
          <w:lang w:bidi="ar-EG"/>
        </w:rPr>
        <w:t xml:space="preserve">) </w:t>
      </w:r>
      <w:r w:rsidRPr="0003069F">
        <w:rPr>
          <w:rFonts w:ascii="Sakkal Majalla" w:hAnsi="Sakkal Majalla" w:cs="Sakkal Majalla"/>
          <w:sz w:val="28"/>
          <w:rtl/>
        </w:rPr>
        <w:t>دراسة</w:t>
      </w:r>
      <w:r w:rsidRPr="0003069F">
        <w:rPr>
          <w:rFonts w:ascii="Sakkal Majalla" w:hAnsi="Sakkal Majalla" w:cs="Sakkal Majalla"/>
          <w:sz w:val="28"/>
          <w:lang w:bidi="ar-EG"/>
        </w:rPr>
        <w:t xml:space="preserve"> Lee et al. (2024) </w:t>
      </w:r>
      <w:r w:rsidRPr="0003069F">
        <w:rPr>
          <w:rFonts w:ascii="Sakkal Majalla" w:hAnsi="Sakkal Majalla" w:cs="Sakkal Majalla"/>
          <w:sz w:val="28"/>
          <w:rtl/>
        </w:rPr>
        <w:t>في</w:t>
      </w:r>
      <w:r w:rsidRPr="0003069F">
        <w:rPr>
          <w:rFonts w:ascii="Sakkal Majalla" w:hAnsi="Sakkal Majalla" w:cs="Sakkal Majalla"/>
          <w:sz w:val="28"/>
          <w:lang w:bidi="ar-EG"/>
        </w:rPr>
        <w:t xml:space="preserve"> Journal of Customs and Trade </w:t>
      </w:r>
      <w:r w:rsidRPr="0003069F">
        <w:rPr>
          <w:rFonts w:ascii="Sakkal Majalla" w:hAnsi="Sakkal Majalla" w:cs="Sakkal Majalla"/>
          <w:sz w:val="28"/>
          <w:rtl/>
        </w:rPr>
        <w:t>عن</w:t>
      </w:r>
      <w:r w:rsidRPr="0003069F">
        <w:rPr>
          <w:rFonts w:ascii="Sakkal Majalla" w:hAnsi="Sakkal Majalla" w:cs="Sakkal Majalla"/>
          <w:sz w:val="28"/>
          <w:lang w:bidi="ar-EG"/>
        </w:rPr>
        <w:t xml:space="preserve"> UNI-PASS 2.0 </w:t>
      </w:r>
      <w:r w:rsidRPr="0003069F">
        <w:rPr>
          <w:rFonts w:ascii="Sakkal Majalla" w:hAnsi="Sakkal Majalla" w:cs="Sakkal Majalla"/>
          <w:sz w:val="28"/>
          <w:rtl/>
        </w:rPr>
        <w:t>في كوريا الجنوبية أظهرت تباينًا مشابهًا (~26.8%) وخفض التهريب بنسبة 52% بدقة</w:t>
      </w:r>
      <w:r w:rsidRPr="0003069F">
        <w:rPr>
          <w:rFonts w:ascii="Sakkal Majalla" w:hAnsi="Sakkal Majalla" w:cs="Sakkal Majalla"/>
          <w:sz w:val="28"/>
          <w:lang w:bidi="ar-EG"/>
        </w:rPr>
        <w:t xml:space="preserve"> AI Risk Engine </w:t>
      </w:r>
      <w:r w:rsidRPr="0003069F">
        <w:rPr>
          <w:rFonts w:ascii="Sakkal Majalla" w:hAnsi="Sakkal Majalla" w:cs="Sakkal Majalla"/>
          <w:sz w:val="28"/>
          <w:rtl/>
        </w:rPr>
        <w:t>تصل إلى 94%. 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فحققت خفضًا بنسبة 40% فقط</w:t>
      </w:r>
      <w:r w:rsidRPr="0003069F">
        <w:rPr>
          <w:rFonts w:ascii="Sakkal Majalla" w:hAnsi="Sakkal Majalla" w:cs="Sakkal Majalla"/>
          <w:sz w:val="28"/>
          <w:lang w:bidi="ar-EG"/>
        </w:rPr>
        <w:t xml:space="preserve">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ZATCA 2025)</w:t>
      </w:r>
      <w:r w:rsidRPr="0003069F">
        <w:rPr>
          <w:rFonts w:ascii="Sakkal Majalla" w:hAnsi="Sakkal Majalla" w:cs="Sakkal Majalla"/>
          <w:sz w:val="28"/>
          <w:rtl/>
        </w:rPr>
        <w:t>، مما يشير إلى فجوة في نموذج الذكاء الاصطناعي متعدد الطبقات  مشابه لما ورد في تقارير</w:t>
      </w:r>
      <w:r w:rsidRPr="0003069F">
        <w:rPr>
          <w:rFonts w:ascii="Sakkal Majalla" w:hAnsi="Sakkal Majalla" w:cs="Sakkal Majalla"/>
          <w:sz w:val="28"/>
          <w:lang w:bidi="ar-EG"/>
        </w:rPr>
        <w:t xml:space="preserve"> WCO Customs 4.0 (2025) </w:t>
      </w:r>
      <w:r w:rsidRPr="0003069F">
        <w:rPr>
          <w:rFonts w:ascii="Sakkal Majalla" w:hAnsi="Sakkal Majalla" w:cs="Sakkal Majalla"/>
          <w:sz w:val="28"/>
          <w:rtl/>
        </w:rPr>
        <w:t>عن الحاجة إلى تطوير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وقائية أكثر تكاملاً</w:t>
      </w:r>
      <w:r w:rsidRPr="0003069F">
        <w:rPr>
          <w:rFonts w:ascii="Sakkal Majalla" w:hAnsi="Sakkal Majalla" w:cs="Sakkal Majalla"/>
          <w:sz w:val="28"/>
          <w:lang w:bidi="ar-EG"/>
        </w:rPr>
        <w:t>.</w:t>
      </w:r>
    </w:p>
    <w:p w14:paraId="4F3909A7" w14:textId="7246DC71"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الحوكمة والامتثال القانوني والسياسي</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4+9</w:t>
      </w:r>
      <w:r w:rsidRPr="0003069F">
        <w:rPr>
          <w:rFonts w:ascii="Sakkal Majalla" w:hAnsi="Sakkal Majalla" w:cs="Sakkal Majalla"/>
          <w:sz w:val="28"/>
          <w:lang w:bidi="ar-EG"/>
        </w:rPr>
        <w:t xml:space="preserve">) </w:t>
      </w:r>
      <w:r w:rsidRPr="0003069F">
        <w:rPr>
          <w:rFonts w:ascii="Sakkal Majalla" w:hAnsi="Sakkal Majalla" w:cs="Sakkal Majalla"/>
          <w:sz w:val="28"/>
          <w:rtl/>
        </w:rPr>
        <w:t>الإمارات</w:t>
      </w:r>
      <w:r w:rsidRPr="0003069F">
        <w:rPr>
          <w:rFonts w:ascii="Sakkal Majalla" w:hAnsi="Sakkal Majalla" w:cs="Sakkal Majalla"/>
          <w:sz w:val="28"/>
          <w:lang w:bidi="ar-EG"/>
        </w:rPr>
        <w:t xml:space="preserve"> (FTA) </w:t>
      </w:r>
      <w:r w:rsidRPr="0003069F">
        <w:rPr>
          <w:rFonts w:ascii="Sakkal Majalla" w:hAnsi="Sakkal Majalla" w:cs="Sakkal Majalla"/>
          <w:sz w:val="28"/>
          <w:rtl/>
        </w:rPr>
        <w:t>تفوقت في نموذج</w:t>
      </w:r>
      <w:r w:rsidRPr="0003069F">
        <w:rPr>
          <w:rFonts w:ascii="Sakkal Majalla" w:hAnsi="Sakkal Majalla" w:cs="Sakkal Majalla"/>
          <w:sz w:val="28"/>
          <w:lang w:bidi="ar-EG"/>
        </w:rPr>
        <w:t xml:space="preserve"> Peppol </w:t>
      </w:r>
      <w:r w:rsidRPr="0003069F">
        <w:rPr>
          <w:rFonts w:ascii="Sakkal Majalla" w:hAnsi="Sakkal Majalla" w:cs="Sakkal Majalla"/>
          <w:sz w:val="28"/>
          <w:rtl/>
        </w:rPr>
        <w:t>الدولي</w:t>
      </w:r>
      <w:r w:rsidRPr="0003069F">
        <w:rPr>
          <w:rFonts w:ascii="Sakkal Majalla" w:hAnsi="Sakkal Majalla" w:cs="Sakkal Majalla"/>
          <w:sz w:val="28"/>
          <w:lang w:bidi="ar-EG"/>
        </w:rPr>
        <w:t xml:space="preserve"> (</w:t>
      </w:r>
      <w:r w:rsidRPr="0003069F">
        <w:rPr>
          <w:rFonts w:ascii="Sakkal Majalla" w:hAnsi="Sakkal Majalla" w:cs="Sakkal Majalla"/>
          <w:sz w:val="28"/>
          <w:rtl/>
        </w:rPr>
        <w:t>امتثال 98% مقابل 94%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لكن</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تفوقت في السرعة</w:t>
      </w:r>
      <w:r w:rsidRPr="0003069F">
        <w:rPr>
          <w:rFonts w:ascii="Sakkal Majalla" w:hAnsi="Sakkal Majalla" w:cs="Sakkal Majalla"/>
          <w:sz w:val="28"/>
          <w:lang w:bidi="ar-EG"/>
        </w:rPr>
        <w:t xml:space="preserve"> (Real-time clearance </w:t>
      </w:r>
      <w:r w:rsidRPr="0003069F">
        <w:rPr>
          <w:rFonts w:ascii="Sakkal Majalla" w:hAnsi="Sakkal Majalla" w:cs="Sakkal Majalla"/>
          <w:sz w:val="28"/>
          <w:rtl/>
        </w:rPr>
        <w:t>منذ 2023 مقابل</w:t>
      </w:r>
      <w:r w:rsidRPr="0003069F">
        <w:rPr>
          <w:rFonts w:ascii="Sakkal Majalla" w:hAnsi="Sakkal Majalla" w:cs="Sakkal Majalla"/>
          <w:sz w:val="28"/>
          <w:lang w:bidi="ar-EG"/>
        </w:rPr>
        <w:t xml:space="preserve"> phased </w:t>
      </w:r>
      <w:r w:rsidRPr="0003069F">
        <w:rPr>
          <w:rFonts w:ascii="Sakkal Majalla" w:hAnsi="Sakkal Majalla" w:cs="Sakkal Majalla"/>
          <w:sz w:val="28"/>
          <w:rtl/>
        </w:rPr>
        <w:t>في الإمارات</w:t>
      </w:r>
      <w:r w:rsidRPr="0003069F">
        <w:rPr>
          <w:rFonts w:ascii="Sakkal Majalla" w:hAnsi="Sakkal Majalla" w:cs="Sakkal Majalla"/>
          <w:sz w:val="28"/>
          <w:lang w:bidi="ar-EG"/>
        </w:rPr>
        <w:t xml:space="preserve">) </w:t>
      </w:r>
      <w:r w:rsidRPr="0003069F">
        <w:rPr>
          <w:rFonts w:ascii="Sakkal Majalla" w:hAnsi="Sakkal Majalla" w:cs="Sakkal Majalla"/>
          <w:sz w:val="28"/>
          <w:rtl/>
        </w:rPr>
        <w:t>كما أكدت دراسة</w:t>
      </w:r>
      <w:r w:rsidRPr="0003069F">
        <w:rPr>
          <w:rFonts w:ascii="Sakkal Majalla" w:hAnsi="Sakkal Majalla" w:cs="Sakkal Majalla"/>
          <w:sz w:val="28"/>
          <w:lang w:bidi="ar-EG"/>
        </w:rPr>
        <w:t xml:space="preserve"> EY Saudi Arabia &amp; ZATCA (2025) </w:t>
      </w:r>
      <w:r w:rsidRPr="0003069F">
        <w:rPr>
          <w:rFonts w:ascii="Sakkal Majalla" w:hAnsi="Sakkal Majalla" w:cs="Sakkal Majalla"/>
          <w:sz w:val="28"/>
          <w:rtl/>
        </w:rPr>
        <w:t>و</w:t>
      </w:r>
      <w:r w:rsidRPr="0003069F">
        <w:rPr>
          <w:rFonts w:ascii="Sakkal Majalla" w:hAnsi="Sakkal Majalla" w:cs="Sakkal Majalla"/>
          <w:sz w:val="28"/>
          <w:lang w:bidi="ar-EG"/>
        </w:rPr>
        <w:t xml:space="preserve">Pagero &amp; UnifiedPost Group (2025). </w:t>
      </w:r>
      <w:r w:rsidRPr="0003069F">
        <w:rPr>
          <w:rFonts w:ascii="Sakkal Majalla" w:hAnsi="Sakkal Majalla" w:cs="Sakkal Majalla"/>
          <w:sz w:val="28"/>
          <w:rtl/>
        </w:rPr>
        <w:t>هذا يتوافق مع تقرير</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الذي أبرز أن الامتثال الرقمي السريع يعزز التنافسية التجارية</w:t>
      </w:r>
      <w:r w:rsidRPr="0003069F">
        <w:rPr>
          <w:rFonts w:ascii="Sakkal Majalla" w:hAnsi="Sakkal Majalla" w:cs="Sakkal Majalla"/>
          <w:sz w:val="28"/>
          <w:lang w:bidi="ar-EG"/>
        </w:rPr>
        <w:t>.</w:t>
      </w:r>
    </w:p>
    <w:p w14:paraId="5A342402"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lastRenderedPageBreak/>
        <w:t>التكامل المؤسسي والشراكات الاستراتيجية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البعد 3</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w:t>
      </w:r>
      <w:r w:rsidRPr="0003069F">
        <w:rPr>
          <w:rFonts w:ascii="Sakkal Majalla" w:hAnsi="Sakkal Majalla" w:cs="Sakkal Majalla"/>
          <w:sz w:val="28"/>
          <w:lang w:bidi="ar-EG"/>
        </w:rPr>
        <w:t xml:space="preserve"> (Networked Trade Platform) </w:t>
      </w:r>
      <w:r w:rsidRPr="0003069F">
        <w:rPr>
          <w:rFonts w:ascii="Sakkal Majalla" w:hAnsi="Sakkal Majalla" w:cs="Sakkal Majalla"/>
          <w:sz w:val="28"/>
          <w:rtl/>
        </w:rPr>
        <w:t>ربطت 100% من الجهات مقابل 70 جهة في</w:t>
      </w:r>
      <w:r w:rsidRPr="0003069F">
        <w:rPr>
          <w:rFonts w:ascii="Sakkal Majalla" w:hAnsi="Sakkal Majalla" w:cs="Sakkal Majalla"/>
          <w:sz w:val="28"/>
          <w:lang w:bidi="ar-EG"/>
        </w:rPr>
        <w:t xml:space="preserve"> ZATCA (WCO Customs 4.0 Benchmark 2025). </w:t>
      </w:r>
      <w:r w:rsidRPr="0003069F">
        <w:rPr>
          <w:rFonts w:ascii="Sakkal Majalla" w:hAnsi="Sakkal Majalla" w:cs="Sakkal Majalla"/>
          <w:sz w:val="28"/>
          <w:rtl/>
        </w:rPr>
        <w:t>ومع ذلك، حققت</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تكاملاً أسرع إقليميًا، مما يدعم نتائج دراسات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أهمية النافذة الواحدة في تقليل التكاليف الإدارية</w:t>
      </w:r>
      <w:r w:rsidRPr="0003069F">
        <w:rPr>
          <w:rFonts w:ascii="Sakkal Majalla" w:hAnsi="Sakkal Majalla" w:cs="Sakkal Majalla"/>
          <w:sz w:val="28"/>
          <w:lang w:bidi="ar-EG"/>
        </w:rPr>
        <w:t>.</w:t>
      </w:r>
    </w:p>
    <w:p w14:paraId="1D56407D"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الاقتصادية والتكنولوجية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6+7</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 خفضت زمن الإفراج إلى أقل من ساعة في 85% من الشحنات مقابل ساعتين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مع خفض تكاليف شحن بنسبة 25</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هذا يتطابق مع توصيات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تسريع تبني</w:t>
      </w:r>
      <w:r w:rsidRPr="0003069F">
        <w:rPr>
          <w:rFonts w:ascii="Sakkal Majalla" w:hAnsi="Sakkal Majalla" w:cs="Sakkal Majalla"/>
          <w:sz w:val="28"/>
          <w:lang w:bidi="ar-EG"/>
        </w:rPr>
        <w:t xml:space="preserve"> Blockchain </w:t>
      </w:r>
      <w:r w:rsidRPr="0003069F">
        <w:rPr>
          <w:rFonts w:ascii="Sakkal Majalla" w:hAnsi="Sakkal Majalla" w:cs="Sakkal Majalla"/>
          <w:sz w:val="28"/>
          <w:rtl/>
        </w:rPr>
        <w:t>لتحسين سلاسل التوريد، كما في تقارير</w:t>
      </w:r>
      <w:r w:rsidRPr="0003069F">
        <w:rPr>
          <w:rFonts w:ascii="Sakkal Majalla" w:hAnsi="Sakkal Majalla" w:cs="Sakkal Majalla"/>
          <w:sz w:val="28"/>
          <w:lang w:bidi="ar-EG"/>
        </w:rPr>
        <w:t xml:space="preserve"> UN Global Survey on Digital and Sustainable Trade Facilitation 2025.</w:t>
      </w:r>
    </w:p>
    <w:p w14:paraId="10F4B422"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الاستدامة البيئية والاجتماعية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5+8</w:t>
      </w:r>
      <w:r w:rsidRPr="0003069F">
        <w:rPr>
          <w:rFonts w:ascii="Sakkal Majalla" w:hAnsi="Sakkal Majalla" w:cs="Sakkal Majalla"/>
          <w:sz w:val="28"/>
          <w:lang w:bidi="ar-EG"/>
        </w:rPr>
        <w:t xml:space="preserve">) </w:t>
      </w:r>
      <w:r w:rsidRPr="0003069F">
        <w:rPr>
          <w:rFonts w:ascii="Sakkal Majalla" w:hAnsi="Sakkal Majalla" w:cs="Sakkal Majalla"/>
          <w:sz w:val="28"/>
          <w:rtl/>
        </w:rPr>
        <w:t>إستونيا</w:t>
      </w:r>
      <w:r w:rsidRPr="0003069F">
        <w:rPr>
          <w:rFonts w:ascii="Sakkal Majalla" w:hAnsi="Sakkal Majalla" w:cs="Sakkal Majalla"/>
          <w:sz w:val="28"/>
          <w:lang w:bidi="ar-EG"/>
        </w:rPr>
        <w:t xml:space="preserve"> (X-Road) </w:t>
      </w:r>
      <w:r w:rsidRPr="0003069F">
        <w:rPr>
          <w:rFonts w:ascii="Sakkal Majalla" w:hAnsi="Sakkal Majalla" w:cs="Sakkal Majalla"/>
          <w:sz w:val="28"/>
          <w:rtl/>
        </w:rPr>
        <w:t>خفضت البصمة الكربونية بنسبة 43% عبر الخدمات الرقمية الكاملة</w:t>
      </w:r>
      <w:r w:rsidRPr="0003069F">
        <w:rPr>
          <w:rFonts w:ascii="Sakkal Majalla" w:hAnsi="Sakkal Majalla" w:cs="Sakkal Majalla"/>
          <w:sz w:val="28"/>
          <w:lang w:bidi="ar-EG"/>
        </w:rPr>
        <w:t xml:space="preserve"> (UN EGDI 2024/2025 </w:t>
      </w:r>
      <w:r w:rsidRPr="0003069F">
        <w:rPr>
          <w:rFonts w:ascii="Sakkal Majalla" w:hAnsi="Sakkal Majalla" w:cs="Sakkal Majalla"/>
          <w:sz w:val="28"/>
          <w:rtl/>
        </w:rPr>
        <w:t>وتقارير</w:t>
      </w:r>
      <w:r w:rsidRPr="0003069F">
        <w:rPr>
          <w:rFonts w:ascii="Sakkal Majalla" w:hAnsi="Sakkal Majalla" w:cs="Sakkal Majalla"/>
          <w:sz w:val="28"/>
          <w:lang w:bidi="ar-EG"/>
        </w:rPr>
        <w:t xml:space="preserve"> e-Estonia 2022–2024). </w:t>
      </w:r>
      <w:r w:rsidRPr="0003069F">
        <w:rPr>
          <w:rFonts w:ascii="Sakkal Majalla" w:hAnsi="Sakkal Majalla" w:cs="Sakkal Majalla"/>
          <w:sz w:val="28"/>
          <w:rtl/>
        </w:rPr>
        <w:t>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فتتوقع 28% بحلول 2030 (مبادرة السعودية الخضراء)، مع تفوق اجتماعي (دعم المنتج الوطني). دراسة</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أكدت أن الرقمنة الخضراء تقلل الانبعاثات بنسبة 15–30% في الدول الرائدة، لكن تحتاج إلى سياسات بيئية أقوى في دول الخليج</w:t>
      </w:r>
      <w:r w:rsidRPr="0003069F">
        <w:rPr>
          <w:rFonts w:ascii="Sakkal Majalla" w:hAnsi="Sakkal Majalla" w:cs="Sakkal Majalla"/>
          <w:sz w:val="28"/>
          <w:lang w:bidi="ar-EG"/>
        </w:rPr>
        <w:t>.</w:t>
      </w:r>
    </w:p>
    <w:p w14:paraId="16AF4316"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الابتكار في إدارة المخاطر التنبؤية</w:t>
      </w:r>
      <w:r w:rsidRPr="0003069F">
        <w:rPr>
          <w:rFonts w:ascii="Sakkal Majalla" w:hAnsi="Sakkal Majalla" w:cs="Sakkal Majalla"/>
          <w:sz w:val="28"/>
          <w:rtl/>
        </w:rPr>
        <w:t xml:space="preserve"> كوريا الجنوبية حققت دقة تنبؤية 94% مقابل 81% في</w:t>
      </w:r>
      <w:r w:rsidRPr="0003069F">
        <w:rPr>
          <w:rFonts w:ascii="Sakkal Majalla" w:hAnsi="Sakkal Majalla" w:cs="Sakkal Majalla"/>
          <w:sz w:val="28"/>
          <w:lang w:bidi="ar-EG"/>
        </w:rPr>
        <w:t xml:space="preserve"> ZATCA (Alharbi &amp; Qureshi, 2025).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WCO Time Release Study Guide Version 4 (2025) </w:t>
      </w:r>
      <w:r w:rsidRPr="0003069F">
        <w:rPr>
          <w:rFonts w:ascii="Sakkal Majalla" w:hAnsi="Sakkal Majalla" w:cs="Sakkal Majalla"/>
          <w:sz w:val="28"/>
          <w:rtl/>
        </w:rPr>
        <w:t>أبرز أن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التنبؤية تقلل زمن الإفراج بنسبة 30–50% في الدول المتقدمة، مما يشير إلى فرصة كبيرة لـ</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في تطوير هذا المجال</w:t>
      </w:r>
      <w:r w:rsidRPr="0003069F">
        <w:rPr>
          <w:rFonts w:ascii="Sakkal Majalla" w:hAnsi="Sakkal Majalla" w:cs="Sakkal Majalla"/>
          <w:sz w:val="28"/>
          <w:lang w:bidi="ar-EG"/>
        </w:rPr>
        <w:t>.</w:t>
      </w:r>
    </w:p>
    <w:p w14:paraId="5CAD687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الخلاصة المقارنة والربط بالدراسات السابقة</w:t>
      </w:r>
      <w:r w:rsidRPr="0003069F">
        <w:rPr>
          <w:rFonts w:ascii="Sakkal Majalla" w:hAnsi="Sakkal Majalla" w:cs="Sakkal Majalla"/>
          <w:sz w:val="28"/>
          <w:rtl/>
        </w:rPr>
        <w:t xml:space="preserve"> تحتل</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مركزًا متقدمًا إقليميًا (تفوق على الإمارات في السرعة والامتثال، وتقارب مع سنغافورة في الكفاءة الاقتصادية)، لكنها لا تزال خلف كوريا الجنوبية وإستونيا في الابتكار التنبؤي والاستدامة البيئية. هذا يتوافق مع تقارير</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و</w:t>
      </w:r>
      <w:r w:rsidRPr="0003069F">
        <w:rPr>
          <w:rFonts w:ascii="Sakkal Majalla" w:hAnsi="Sakkal Majalla" w:cs="Sakkal Majalla"/>
          <w:sz w:val="28"/>
          <w:lang w:bidi="ar-EG"/>
        </w:rPr>
        <w:t xml:space="preserve">UN EGDI (2024/2025) </w:t>
      </w:r>
      <w:r w:rsidRPr="0003069F">
        <w:rPr>
          <w:rFonts w:ascii="Sakkal Majalla" w:hAnsi="Sakkal Majalla" w:cs="Sakkal Majalla"/>
          <w:sz w:val="28"/>
          <w:rtl/>
        </w:rPr>
        <w:t>التي تؤكد أن الدول الرائدة (مثل إستونيا) تحقق انخفاضًا في البصمة الكربونية بنسبة 40%+ عبر الرقمنة الكاملة، بينما تحتاج دول الخليج تعزيز السياسات البيئية والذكاء الاصطناعي الوقائي. النتائج تدعم دراسات سابقة</w:t>
      </w:r>
      <w:r w:rsidRPr="0003069F">
        <w:rPr>
          <w:rFonts w:ascii="Sakkal Majalla" w:hAnsi="Sakkal Majalla" w:cs="Sakkal Majalla"/>
          <w:sz w:val="28"/>
          <w:lang w:bidi="ar-EG"/>
        </w:rPr>
        <w:t xml:space="preserve"> (</w:t>
      </w:r>
      <w:r w:rsidRPr="0003069F">
        <w:rPr>
          <w:rFonts w:ascii="Sakkal Majalla" w:hAnsi="Sakkal Majalla" w:cs="Sakkal Majalla"/>
          <w:sz w:val="28"/>
          <w:rtl/>
        </w:rPr>
        <w:t>مثل</w:t>
      </w:r>
      <w:r w:rsidRPr="0003069F">
        <w:rPr>
          <w:rFonts w:ascii="Sakkal Majalla" w:hAnsi="Sakkal Majalla" w:cs="Sakkal Majalla"/>
          <w:sz w:val="28"/>
          <w:lang w:bidi="ar-EG"/>
        </w:rPr>
        <w:t xml:space="preserve"> Hanelt et al., 2021) </w:t>
      </w:r>
      <w:r w:rsidRPr="0003069F">
        <w:rPr>
          <w:rFonts w:ascii="Sakkal Majalla" w:hAnsi="Sakkal Majalla" w:cs="Sakkal Majalla"/>
          <w:sz w:val="28"/>
          <w:rtl/>
        </w:rPr>
        <w:t>بأن التحول الرقمي يحتاج توازنًا بين الأمن والتيسير والاستدامة لتحقيق تنافسية عالمية مستدامة</w:t>
      </w:r>
      <w:r w:rsidRPr="0003069F">
        <w:rPr>
          <w:rFonts w:ascii="Sakkal Majalla" w:hAnsi="Sakkal Majalla" w:cs="Sakkal Majalla"/>
          <w:sz w:val="28"/>
          <w:lang w:bidi="ar-EG"/>
        </w:rPr>
        <w:t>.</w:t>
      </w:r>
    </w:p>
    <w:p w14:paraId="5429445E" w14:textId="0B4FFE04"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t xml:space="preserve">جمارك سنغافورة تُعد نموذجًا عالميًا رائدًا في </w:t>
      </w:r>
      <w:r w:rsidRPr="00C869FF">
        <w:rPr>
          <w:rFonts w:ascii="Sakkal Majalla" w:hAnsi="Sakkal Majalla" w:cs="Sakkal Majalla"/>
          <w:b/>
          <w:bCs/>
          <w:sz w:val="28"/>
          <w:rtl/>
          <w:lang w:bidi="ar-EG"/>
        </w:rPr>
        <w:t>تيسير التجارة الرقمية</w:t>
      </w:r>
      <w:r w:rsidRPr="00C869FF">
        <w:rPr>
          <w:rFonts w:ascii="Sakkal Majalla" w:hAnsi="Sakkal Majalla" w:cs="Sakkal Majalla"/>
          <w:sz w:val="28"/>
          <w:rtl/>
          <w:lang w:bidi="ar-EG"/>
        </w:rPr>
        <w:t xml:space="preserve"> مع توازن استثنائي بين الأمن والكفاءة التشغيلية. تعتمد على </w:t>
      </w:r>
      <w:r w:rsidRPr="00C869FF">
        <w:rPr>
          <w:rFonts w:ascii="Sakkal Majalla" w:hAnsi="Sakkal Majalla" w:cs="Sakkal Majalla"/>
          <w:b/>
          <w:bCs/>
          <w:sz w:val="28"/>
          <w:lang w:bidi="ar-EG"/>
        </w:rPr>
        <w:t>TradeNet</w:t>
      </w:r>
      <w:r w:rsidRPr="00C869FF">
        <w:rPr>
          <w:rFonts w:ascii="Sakkal Majalla" w:hAnsi="Sakkal Majalla" w:cs="Sakkal Majalla"/>
          <w:sz w:val="28"/>
          <w:rtl/>
          <w:lang w:bidi="ar-EG"/>
        </w:rPr>
        <w:t xml:space="preserve"> (أول نظام نافذة واحدة وطنية في العالم منذ 1989)، ومنصة </w:t>
      </w:r>
      <w:r w:rsidRPr="00C869FF">
        <w:rPr>
          <w:rFonts w:ascii="Sakkal Majalla" w:hAnsi="Sakkal Majalla" w:cs="Sakkal Majalla"/>
          <w:sz w:val="28"/>
          <w:lang w:bidi="ar-EG"/>
        </w:rPr>
        <w:t>(NTP)</w:t>
      </w:r>
      <w:r w:rsidRPr="00C869FF">
        <w:rPr>
          <w:rFonts w:ascii="Sakkal Majalla" w:hAnsi="Sakkal Majalla" w:cs="Sakkal Majalla"/>
          <w:sz w:val="28"/>
          <w:rtl/>
          <w:lang w:bidi="ar-EG"/>
        </w:rPr>
        <w:t xml:space="preserve"> منذ 2018، وأحدث إضافة </w:t>
      </w:r>
      <w:r w:rsidRPr="00C869FF">
        <w:rPr>
          <w:rFonts w:ascii="Sakkal Majalla" w:hAnsi="Sakkal Majalla" w:cs="Sakkal Majalla"/>
          <w:b/>
          <w:bCs/>
          <w:sz w:val="28"/>
          <w:lang w:bidi="ar-EG"/>
        </w:rPr>
        <w:t>DAISY</w:t>
      </w:r>
      <w:r w:rsidRPr="00C869FF">
        <w:rPr>
          <w:rFonts w:ascii="Sakkal Majalla" w:hAnsi="Sakkal Majalla" w:cs="Sakkal Majalla"/>
          <w:sz w:val="28"/>
          <w:lang w:bidi="ar-EG"/>
        </w:rPr>
        <w:t xml:space="preserve"> (Data Analytics and AI System)</w:t>
      </w:r>
      <w:r w:rsidRPr="00C869FF">
        <w:rPr>
          <w:rFonts w:ascii="Sakkal Majalla" w:hAnsi="Sakkal Majalla" w:cs="Sakkal Majalla"/>
          <w:sz w:val="28"/>
          <w:rtl/>
          <w:lang w:bidi="ar-EG"/>
        </w:rPr>
        <w:t xml:space="preserve"> في نوفمبر 2025 الذي يعتمد على الذكاء الاصطناعي لتحليل المخاطر وتقليل أوقات المعالجة بشكل كبير.</w:t>
      </w:r>
    </w:p>
    <w:p w14:paraId="39F63F42" w14:textId="14C00245"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جدول مقارنة تفصيلي شامل (</w:t>
      </w:r>
      <w:r w:rsidRPr="00C869FF">
        <w:rPr>
          <w:rFonts w:ascii="Sakkal Majalla" w:hAnsi="Sakkal Majalla" w:cs="Sakkal Majalla"/>
          <w:b/>
          <w:bCs/>
          <w:sz w:val="28"/>
          <w:lang w:bidi="ar-EG"/>
        </w:rPr>
        <w:t>ZATCA vs. EU vs. US CBP vs. Singapore Customs</w:t>
      </w:r>
      <w:r w:rsidRPr="00C869FF">
        <w:rPr>
          <w:rFonts w:ascii="Sakkal Majalla" w:hAnsi="Sakkal Majalla" w:cs="Sakkal Majalla"/>
          <w:b/>
          <w:bCs/>
          <w:sz w:val="28"/>
          <w:rtl/>
          <w:lang w:bidi="ar-EG"/>
        </w:rPr>
        <w:t>)</w:t>
      </w:r>
    </w:p>
    <w:p w14:paraId="36E58E3C" w14:textId="77777777" w:rsidR="00C869FF" w:rsidRPr="00C869FF" w:rsidRDefault="00C869FF" w:rsidP="00C869FF">
      <w:pPr>
        <w:pStyle w:val="BlockText"/>
        <w:spacing w:line="276" w:lineRule="auto"/>
        <w:jc w:val="lowKashida"/>
        <w:rPr>
          <w:rFonts w:ascii="Sakkal Majalla" w:hAnsi="Sakkal Majalla" w:cs="Sakkal Majalla"/>
          <w:sz w:val="28"/>
          <w:lang w:bidi="ar-EG"/>
        </w:rPr>
      </w:pPr>
    </w:p>
    <w:p w14:paraId="34928917" w14:textId="1CEEBC77"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lastRenderedPageBreak/>
        <w:t>يُظهر الجدول التالي مقارنة شاملة بين نظام هيئة الزكاة والضريبة والجمارك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وثلاثة نماذج عالمية رائدة (الاتحاد الأوروبي، الولايات المتحدة، سنغافورة) في أبرز المعايير المتعلقة بالتحول الرقمي، الأمن، تيسير التجارة، والامتثال. تم إضافة عمود خاص بـ </w:t>
      </w:r>
      <w:r w:rsidRPr="00C869FF">
        <w:rPr>
          <w:rFonts w:ascii="Sakkal Majalla" w:hAnsi="Sakkal Majalla" w:cs="Sakkal Majalla"/>
          <w:b/>
          <w:bCs/>
          <w:sz w:val="28"/>
          <w:rtl/>
          <w:lang w:bidi="ar-EG"/>
        </w:rPr>
        <w:t>الإحصائيات الرئيسية</w:t>
      </w:r>
      <w:r w:rsidRPr="00C869FF">
        <w:rPr>
          <w:rFonts w:ascii="Sakkal Majalla" w:hAnsi="Sakkal Majalla" w:cs="Sakkal Majalla"/>
          <w:sz w:val="28"/>
          <w:rtl/>
          <w:lang w:bidi="ar-EG"/>
        </w:rPr>
        <w:t xml:space="preserve"> لربط النتائج بالتحليل العاملي في الدراسة الحالية (متوسط التشبعات العاملية، نسبة التباين المفسر، وأبرز النتائج الإحصائية من العينة). الهدف هو إبراز نقاط القوة والفجوات الاستراتيجية لـ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مقارنة بالنماذج العالمية، مع ربط مباشر بنتائج الدراسة الميدانية.</w:t>
      </w:r>
    </w:p>
    <w:tbl>
      <w:tblPr>
        <w:tblStyle w:val="GridTable4"/>
        <w:tblW w:w="0" w:type="auto"/>
        <w:jc w:val="center"/>
        <w:tblLook w:val="04A0" w:firstRow="1" w:lastRow="0" w:firstColumn="1" w:lastColumn="0" w:noHBand="0" w:noVBand="1"/>
      </w:tblPr>
      <w:tblGrid>
        <w:gridCol w:w="1391"/>
        <w:gridCol w:w="1481"/>
        <w:gridCol w:w="1338"/>
        <w:gridCol w:w="1479"/>
        <w:gridCol w:w="1540"/>
        <w:gridCol w:w="2121"/>
      </w:tblGrid>
      <w:tr w:rsidR="00C869FF" w:rsidRPr="007C63F4" w14:paraId="61D146E2" w14:textId="77777777" w:rsidTr="007C63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02181"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المعيار / الجانب</w:t>
            </w:r>
          </w:p>
        </w:tc>
        <w:tc>
          <w:tcPr>
            <w:tcW w:w="0" w:type="auto"/>
            <w:hideMark/>
          </w:tcPr>
          <w:p w14:paraId="21721AB2"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ZATCA (</w:t>
            </w:r>
            <w:r w:rsidRPr="00C869FF">
              <w:rPr>
                <w:rFonts w:ascii="Sakkal Majalla" w:hAnsi="Sakkal Majalla" w:cs="Sakkal Majalla"/>
                <w:sz w:val="18"/>
                <w:szCs w:val="18"/>
                <w:rtl/>
              </w:rPr>
              <w:t>السعودية</w:t>
            </w:r>
            <w:r w:rsidRPr="00C869FF">
              <w:rPr>
                <w:rFonts w:ascii="Sakkal Majalla" w:hAnsi="Sakkal Majalla" w:cs="Sakkal Majalla"/>
                <w:sz w:val="18"/>
                <w:szCs w:val="18"/>
                <w:lang w:bidi="ar-EG"/>
              </w:rPr>
              <w:t>)</w:t>
            </w:r>
          </w:p>
        </w:tc>
        <w:tc>
          <w:tcPr>
            <w:tcW w:w="0" w:type="auto"/>
            <w:hideMark/>
          </w:tcPr>
          <w:p w14:paraId="3176E76C"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Union</w:t>
            </w:r>
          </w:p>
        </w:tc>
        <w:tc>
          <w:tcPr>
            <w:tcW w:w="0" w:type="auto"/>
            <w:hideMark/>
          </w:tcPr>
          <w:p w14:paraId="3998DC06"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US CBP (</w:t>
            </w:r>
            <w:r w:rsidRPr="00C869FF">
              <w:rPr>
                <w:rFonts w:ascii="Sakkal Majalla" w:hAnsi="Sakkal Majalla" w:cs="Sakkal Majalla"/>
                <w:sz w:val="18"/>
                <w:szCs w:val="18"/>
                <w:rtl/>
              </w:rPr>
              <w:t>الجمارك الأمريكية</w:t>
            </w:r>
            <w:r w:rsidRPr="00C869FF">
              <w:rPr>
                <w:rFonts w:ascii="Sakkal Majalla" w:hAnsi="Sakkal Majalla" w:cs="Sakkal Majalla"/>
                <w:sz w:val="18"/>
                <w:szCs w:val="18"/>
                <w:lang w:bidi="ar-EG"/>
              </w:rPr>
              <w:t>)</w:t>
            </w:r>
          </w:p>
        </w:tc>
        <w:tc>
          <w:tcPr>
            <w:tcW w:w="0" w:type="auto"/>
            <w:hideMark/>
          </w:tcPr>
          <w:p w14:paraId="383D9817"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Singapore Customs (</w:t>
            </w:r>
            <w:r w:rsidRPr="00C869FF">
              <w:rPr>
                <w:rFonts w:ascii="Sakkal Majalla" w:hAnsi="Sakkal Majalla" w:cs="Sakkal Majalla"/>
                <w:sz w:val="18"/>
                <w:szCs w:val="18"/>
                <w:rtl/>
              </w:rPr>
              <w:t>سنغافورة</w:t>
            </w:r>
            <w:r w:rsidRPr="00C869FF">
              <w:rPr>
                <w:rFonts w:ascii="Sakkal Majalla" w:hAnsi="Sakkal Majalla" w:cs="Sakkal Majalla"/>
                <w:sz w:val="18"/>
                <w:szCs w:val="18"/>
                <w:lang w:bidi="ar-EG"/>
              </w:rPr>
              <w:t>)</w:t>
            </w:r>
          </w:p>
        </w:tc>
        <w:tc>
          <w:tcPr>
            <w:tcW w:w="0" w:type="auto"/>
            <w:hideMark/>
          </w:tcPr>
          <w:p w14:paraId="2E006FE4"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الإحصائيات الرئيسية من الدراسة (ربط بالتحليل العاملي)</w:t>
            </w:r>
          </w:p>
        </w:tc>
      </w:tr>
      <w:tr w:rsidR="00C869FF" w:rsidRPr="007C63F4" w14:paraId="04F2D4A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9929C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المنصة الرقمية المركزية</w:t>
            </w:r>
          </w:p>
        </w:tc>
        <w:tc>
          <w:tcPr>
            <w:tcW w:w="0" w:type="auto"/>
            <w:hideMark/>
          </w:tcPr>
          <w:p w14:paraId="72E3F9A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 بيان + فاتورة (تكامل ~70 جهة داخلية)</w:t>
            </w:r>
          </w:p>
        </w:tc>
        <w:tc>
          <w:tcPr>
            <w:tcW w:w="0" w:type="auto"/>
            <w:hideMark/>
          </w:tcPr>
          <w:p w14:paraId="2EEC5C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Data Hub + ICS2 (</w:t>
            </w:r>
            <w:r w:rsidRPr="00C869FF">
              <w:rPr>
                <w:rFonts w:ascii="Sakkal Majalla" w:hAnsi="Sakkal Majalla" w:cs="Sakkal Majalla"/>
                <w:sz w:val="18"/>
                <w:szCs w:val="18"/>
                <w:rtl/>
              </w:rPr>
              <w:t>مركزي لـ27 دولة</w:t>
            </w:r>
            <w:r w:rsidRPr="00C869FF">
              <w:rPr>
                <w:rFonts w:ascii="Sakkal Majalla" w:hAnsi="Sakkal Majalla" w:cs="Sakkal Majalla"/>
                <w:sz w:val="18"/>
                <w:szCs w:val="18"/>
                <w:lang w:bidi="ar-EG"/>
              </w:rPr>
              <w:t>)</w:t>
            </w:r>
          </w:p>
        </w:tc>
        <w:tc>
          <w:tcPr>
            <w:tcW w:w="0" w:type="auto"/>
            <w:hideMark/>
          </w:tcPr>
          <w:p w14:paraId="3CA63BA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ACE + ITDS (47+ </w:t>
            </w:r>
            <w:r w:rsidRPr="00C869FF">
              <w:rPr>
                <w:rFonts w:ascii="Sakkal Majalla" w:hAnsi="Sakkal Majalla" w:cs="Sakkal Majalla"/>
                <w:sz w:val="18"/>
                <w:szCs w:val="18"/>
                <w:rtl/>
              </w:rPr>
              <w:t>جهة فيدرالية</w:t>
            </w:r>
            <w:r w:rsidRPr="00C869FF">
              <w:rPr>
                <w:rFonts w:ascii="Sakkal Majalla" w:hAnsi="Sakkal Majalla" w:cs="Sakkal Majalla"/>
                <w:sz w:val="18"/>
                <w:szCs w:val="18"/>
                <w:lang w:bidi="ar-EG"/>
              </w:rPr>
              <w:t>)</w:t>
            </w:r>
          </w:p>
        </w:tc>
        <w:tc>
          <w:tcPr>
            <w:tcW w:w="0" w:type="auto"/>
            <w:hideMark/>
          </w:tcPr>
          <w:p w14:paraId="504B274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TradeNet (</w:t>
            </w:r>
            <w:r w:rsidRPr="00C869FF">
              <w:rPr>
                <w:rFonts w:ascii="Sakkal Majalla" w:hAnsi="Sakkal Majalla" w:cs="Sakkal Majalla"/>
                <w:sz w:val="18"/>
                <w:szCs w:val="18"/>
                <w:rtl/>
              </w:rPr>
              <w:t>منذ 1989</w:t>
            </w:r>
            <w:r w:rsidRPr="00C869FF">
              <w:rPr>
                <w:rFonts w:ascii="Sakkal Majalla" w:hAnsi="Sakkal Majalla" w:cs="Sakkal Majalla"/>
                <w:sz w:val="18"/>
                <w:szCs w:val="18"/>
                <w:lang w:bidi="ar-EG"/>
              </w:rPr>
              <w:t xml:space="preserve">) + NTP + DAISY (AI </w:t>
            </w:r>
            <w:r w:rsidRPr="00C869FF">
              <w:rPr>
                <w:rFonts w:ascii="Sakkal Majalla" w:hAnsi="Sakkal Majalla" w:cs="Sakkal Majalla"/>
                <w:sz w:val="18"/>
                <w:szCs w:val="18"/>
                <w:rtl/>
              </w:rPr>
              <w:t>من 2025</w:t>
            </w:r>
            <w:r w:rsidRPr="00C869FF">
              <w:rPr>
                <w:rFonts w:ascii="Sakkal Majalla" w:hAnsi="Sakkal Majalla" w:cs="Sakkal Majalla"/>
                <w:sz w:val="18"/>
                <w:szCs w:val="18"/>
                <w:lang w:bidi="ar-EG"/>
              </w:rPr>
              <w:t>)</w:t>
            </w:r>
          </w:p>
        </w:tc>
        <w:tc>
          <w:tcPr>
            <w:tcW w:w="0" w:type="auto"/>
            <w:hideMark/>
          </w:tcPr>
          <w:p w14:paraId="6E2E655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والتكنولوجية" (متوسط تشبع ≈ 0.659، 9.75% تباين) – يعكس قوة التكامل الداخلي</w:t>
            </w:r>
          </w:p>
        </w:tc>
      </w:tr>
      <w:tr w:rsidR="007C63F4" w:rsidRPr="007C63F4" w14:paraId="70B32A89"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51C40"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النافذة الواحدة</w:t>
            </w:r>
            <w:r w:rsidRPr="00C869FF">
              <w:rPr>
                <w:rFonts w:ascii="Sakkal Majalla" w:hAnsi="Sakkal Majalla" w:cs="Sakkal Majalla"/>
                <w:sz w:val="18"/>
                <w:szCs w:val="18"/>
                <w:lang w:bidi="ar-EG"/>
              </w:rPr>
              <w:t xml:space="preserve"> (Single Window)</w:t>
            </w:r>
          </w:p>
        </w:tc>
        <w:tc>
          <w:tcPr>
            <w:tcW w:w="0" w:type="auto"/>
            <w:hideMark/>
          </w:tcPr>
          <w:p w14:paraId="74A9C0A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(جمركية داخلية قوية، غير شاملة كليًا غير الجمركية)</w:t>
            </w:r>
          </w:p>
        </w:tc>
        <w:tc>
          <w:tcPr>
            <w:tcW w:w="0" w:type="auto"/>
            <w:hideMark/>
          </w:tcPr>
          <w:p w14:paraId="2F51AFC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SWE-C (</w:t>
            </w:r>
            <w:r w:rsidRPr="00C869FF">
              <w:rPr>
                <w:rFonts w:ascii="Sakkal Majalla" w:hAnsi="Sakkal Majalla" w:cs="Sakkal Majalla"/>
                <w:sz w:val="18"/>
                <w:szCs w:val="18"/>
                <w:rtl/>
              </w:rPr>
              <w:t>شاملة جمركية + غير جمركية</w:t>
            </w:r>
            <w:r w:rsidRPr="00C869FF">
              <w:rPr>
                <w:rFonts w:ascii="Sakkal Majalla" w:hAnsi="Sakkal Majalla" w:cs="Sakkal Majalla"/>
                <w:sz w:val="18"/>
                <w:szCs w:val="18"/>
                <w:lang w:bidi="ar-EG"/>
              </w:rPr>
              <w:t>)</w:t>
            </w:r>
          </w:p>
        </w:tc>
        <w:tc>
          <w:tcPr>
            <w:tcW w:w="0" w:type="auto"/>
            <w:hideMark/>
          </w:tcPr>
          <w:p w14:paraId="6BD018D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ITDS (</w:t>
            </w:r>
            <w:r w:rsidRPr="00C869FF">
              <w:rPr>
                <w:rFonts w:ascii="Sakkal Majalla" w:hAnsi="Sakkal Majalla" w:cs="Sakkal Majalla"/>
                <w:sz w:val="18"/>
                <w:szCs w:val="18"/>
                <w:rtl/>
              </w:rPr>
              <w:t>شاملة 47 جهة</w:t>
            </w:r>
            <w:r w:rsidRPr="00C869FF">
              <w:rPr>
                <w:rFonts w:ascii="Sakkal Majalla" w:hAnsi="Sakkal Majalla" w:cs="Sakkal Majalla"/>
                <w:sz w:val="18"/>
                <w:szCs w:val="18"/>
                <w:lang w:bidi="ar-EG"/>
              </w:rPr>
              <w:t>)</w:t>
            </w:r>
          </w:p>
        </w:tc>
        <w:tc>
          <w:tcPr>
            <w:tcW w:w="0" w:type="auto"/>
            <w:hideMark/>
          </w:tcPr>
          <w:p w14:paraId="2954C90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TradeNet (</w:t>
            </w:r>
            <w:r w:rsidRPr="00C869FF">
              <w:rPr>
                <w:rFonts w:ascii="Sakkal Majalla" w:hAnsi="Sakkal Majalla" w:cs="Sakkal Majalla"/>
                <w:sz w:val="18"/>
                <w:szCs w:val="18"/>
                <w:rtl/>
              </w:rPr>
              <w:t>أول نافذة واحدة عالميًا</w:t>
            </w:r>
            <w:r w:rsidRPr="00C869FF">
              <w:rPr>
                <w:rFonts w:ascii="Sakkal Majalla" w:hAnsi="Sakkal Majalla" w:cs="Sakkal Majalla"/>
                <w:sz w:val="18"/>
                <w:szCs w:val="18"/>
                <w:lang w:bidi="ar-EG"/>
              </w:rPr>
              <w:t>) + NTP (B2B/B2G)</w:t>
            </w:r>
          </w:p>
        </w:tc>
        <w:tc>
          <w:tcPr>
            <w:tcW w:w="0" w:type="auto"/>
            <w:hideMark/>
          </w:tcPr>
          <w:p w14:paraId="34B07632"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(متوسط ≈ 0.627، 11.71% تباين) – سنغافورة الأقوى في هذا البعد</w:t>
            </w:r>
          </w:p>
        </w:tc>
      </w:tr>
      <w:tr w:rsidR="00C869FF" w:rsidRPr="007C63F4" w14:paraId="7BD5D42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73C9D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نظام المعلومات المسبقة والكشف المبكر</w:t>
            </w:r>
          </w:p>
        </w:tc>
        <w:tc>
          <w:tcPr>
            <w:tcW w:w="0" w:type="auto"/>
            <w:hideMark/>
          </w:tcPr>
          <w:p w14:paraId="09126777"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تحليل مخاطر ذكي + خفض تهريب ~40</w:t>
            </w:r>
            <w:r w:rsidRPr="00C869FF">
              <w:rPr>
                <w:rFonts w:ascii="Sakkal Majalla" w:hAnsi="Sakkal Majalla" w:cs="Sakkal Majalla"/>
                <w:sz w:val="18"/>
                <w:szCs w:val="18"/>
                <w:lang w:bidi="ar-EG"/>
              </w:rPr>
              <w:t>%</w:t>
            </w:r>
          </w:p>
        </w:tc>
        <w:tc>
          <w:tcPr>
            <w:tcW w:w="0" w:type="auto"/>
            <w:hideMark/>
          </w:tcPr>
          <w:p w14:paraId="2218027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ICS2 Release 3 (ENS </w:t>
            </w:r>
            <w:r w:rsidRPr="00C869FF">
              <w:rPr>
                <w:rFonts w:ascii="Sakkal Majalla" w:hAnsi="Sakkal Majalla" w:cs="Sakkal Majalla"/>
                <w:sz w:val="18"/>
                <w:szCs w:val="18"/>
                <w:rtl/>
              </w:rPr>
              <w:t>لكل وسائط النقل</w:t>
            </w:r>
            <w:r w:rsidRPr="00C869FF">
              <w:rPr>
                <w:rFonts w:ascii="Sakkal Majalla" w:hAnsi="Sakkal Majalla" w:cs="Sakkal Majalla"/>
                <w:sz w:val="18"/>
                <w:szCs w:val="18"/>
                <w:lang w:bidi="ar-EG"/>
              </w:rPr>
              <w:t>)</w:t>
            </w:r>
          </w:p>
        </w:tc>
        <w:tc>
          <w:tcPr>
            <w:tcW w:w="0" w:type="auto"/>
            <w:hideMark/>
          </w:tcPr>
          <w:p w14:paraId="0E237EF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ATS + 24-Hour Rule</w:t>
            </w:r>
          </w:p>
        </w:tc>
        <w:tc>
          <w:tcPr>
            <w:tcW w:w="0" w:type="auto"/>
            <w:hideMark/>
          </w:tcPr>
          <w:p w14:paraId="02CA037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DAISY (AI </w:t>
            </w:r>
            <w:r w:rsidRPr="00C869FF">
              <w:rPr>
                <w:rFonts w:ascii="Sakkal Majalla" w:hAnsi="Sakkal Majalla" w:cs="Sakkal Majalla"/>
                <w:sz w:val="18"/>
                <w:szCs w:val="18"/>
                <w:rtl/>
              </w:rPr>
              <w:t>مبكر</w:t>
            </w:r>
            <w:r w:rsidRPr="00C869FF">
              <w:rPr>
                <w:rFonts w:ascii="Sakkal Majalla" w:hAnsi="Sakkal Majalla" w:cs="Sakkal Majalla"/>
                <w:sz w:val="18"/>
                <w:szCs w:val="18"/>
                <w:lang w:bidi="ar-EG"/>
              </w:rPr>
              <w:t>) + TradeNet advance submission</w:t>
            </w:r>
          </w:p>
        </w:tc>
        <w:tc>
          <w:tcPr>
            <w:tcW w:w="0" w:type="auto"/>
            <w:hideMark/>
          </w:tcPr>
          <w:p w14:paraId="1AF31E1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الأمنية الوقائية" (متوسط ≈ 0.698، 24.46% تباين) – أقوى عامل في الدراسة</w:t>
            </w:r>
          </w:p>
        </w:tc>
      </w:tr>
      <w:tr w:rsidR="007C63F4" w:rsidRPr="007C63F4" w14:paraId="67D5F43E"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391324"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دقة الذكاء الاصطناعي في تحليل المخاطر</w:t>
            </w:r>
          </w:p>
        </w:tc>
        <w:tc>
          <w:tcPr>
            <w:tcW w:w="0" w:type="auto"/>
            <w:hideMark/>
          </w:tcPr>
          <w:p w14:paraId="09A03BC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~81% (</w:t>
            </w:r>
            <w:r w:rsidRPr="00C869FF">
              <w:rPr>
                <w:rFonts w:ascii="Sakkal Majalla" w:hAnsi="Sakkal Majalla" w:cs="Sakkal Majalla"/>
                <w:sz w:val="18"/>
                <w:szCs w:val="18"/>
                <w:rtl/>
              </w:rPr>
              <w:t>تقرير</w:t>
            </w:r>
            <w:r w:rsidRPr="00C869FF">
              <w:rPr>
                <w:rFonts w:ascii="Sakkal Majalla" w:hAnsi="Sakkal Majalla" w:cs="Sakkal Majalla"/>
                <w:sz w:val="18"/>
                <w:szCs w:val="18"/>
                <w:lang w:bidi="ar-EG"/>
              </w:rPr>
              <w:t xml:space="preserve"> ZATCA 2025)</w:t>
            </w:r>
          </w:p>
        </w:tc>
        <w:tc>
          <w:tcPr>
            <w:tcW w:w="0" w:type="auto"/>
            <w:hideMark/>
          </w:tcPr>
          <w:p w14:paraId="6322D44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عالية جدًا في</w:t>
            </w:r>
            <w:r w:rsidRPr="00C869FF">
              <w:rPr>
                <w:rFonts w:ascii="Sakkal Majalla" w:hAnsi="Sakkal Majalla" w:cs="Sakkal Majalla"/>
                <w:sz w:val="18"/>
                <w:szCs w:val="18"/>
                <w:lang w:bidi="ar-EG"/>
              </w:rPr>
              <w:t xml:space="preserve"> ICS2</w:t>
            </w:r>
          </w:p>
        </w:tc>
        <w:tc>
          <w:tcPr>
            <w:tcW w:w="0" w:type="auto"/>
            <w:hideMark/>
          </w:tcPr>
          <w:p w14:paraId="4A369975"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90–95% </w:t>
            </w:r>
            <w:r w:rsidRPr="00C869FF">
              <w:rPr>
                <w:rFonts w:ascii="Sakkal Majalla" w:hAnsi="Sakkal Majalla" w:cs="Sakkal Majalla"/>
                <w:sz w:val="18"/>
                <w:szCs w:val="18"/>
                <w:rtl/>
              </w:rPr>
              <w:t>في</w:t>
            </w:r>
            <w:r w:rsidRPr="00C869FF">
              <w:rPr>
                <w:rFonts w:ascii="Sakkal Majalla" w:hAnsi="Sakkal Majalla" w:cs="Sakkal Majalla"/>
                <w:sz w:val="18"/>
                <w:szCs w:val="18"/>
                <w:lang w:bidi="ar-EG"/>
              </w:rPr>
              <w:t xml:space="preserve"> ATS</w:t>
            </w:r>
          </w:p>
        </w:tc>
        <w:tc>
          <w:tcPr>
            <w:tcW w:w="0" w:type="auto"/>
            <w:hideMark/>
          </w:tcPr>
          <w:p w14:paraId="2BAA0C66"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DAISY (</w:t>
            </w:r>
            <w:r w:rsidRPr="00C869FF">
              <w:rPr>
                <w:rFonts w:ascii="Sakkal Majalla" w:hAnsi="Sakkal Majalla" w:cs="Sakkal Majalla"/>
                <w:sz w:val="18"/>
                <w:szCs w:val="18"/>
                <w:rtl/>
              </w:rPr>
              <w:t xml:space="preserve">تقليل وقت المعالجة من 20 دقيقة إلى </w:t>
            </w:r>
            <w:r w:rsidRPr="00C869FF">
              <w:rPr>
                <w:rFonts w:ascii="Sakkal Majalla" w:hAnsi="Sakkal Majalla" w:cs="Sakkal Majalla"/>
                <w:sz w:val="18"/>
                <w:szCs w:val="18"/>
                <w:lang w:bidi="ar-EG"/>
              </w:rPr>
              <w:t xml:space="preserve">&lt;2 </w:t>
            </w:r>
            <w:r w:rsidRPr="00C869FF">
              <w:rPr>
                <w:rFonts w:ascii="Sakkal Majalla" w:hAnsi="Sakkal Majalla" w:cs="Sakkal Majalla"/>
                <w:sz w:val="18"/>
                <w:szCs w:val="18"/>
                <w:rtl/>
              </w:rPr>
              <w:t>دقيقة</w:t>
            </w:r>
            <w:r w:rsidRPr="00C869FF">
              <w:rPr>
                <w:rFonts w:ascii="Sakkal Majalla" w:hAnsi="Sakkal Majalla" w:cs="Sakkal Majalla"/>
                <w:sz w:val="18"/>
                <w:szCs w:val="18"/>
                <w:lang w:bidi="ar-EG"/>
              </w:rPr>
              <w:t>)</w:t>
            </w:r>
          </w:p>
        </w:tc>
        <w:tc>
          <w:tcPr>
            <w:tcW w:w="0" w:type="auto"/>
            <w:hideMark/>
          </w:tcPr>
          <w:p w14:paraId="35AA784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"الابتكار في إدارة المخاطر التنبؤية" (7.42% تباين) – أضعف عامل نسبيًا، يحتاج تطويرًا ليصل إلى مستوى</w:t>
            </w:r>
            <w:r w:rsidRPr="00C869FF">
              <w:rPr>
                <w:rFonts w:ascii="Sakkal Majalla" w:hAnsi="Sakkal Majalla" w:cs="Sakkal Majalla"/>
                <w:sz w:val="18"/>
                <w:szCs w:val="18"/>
                <w:lang w:bidi="ar-EG"/>
              </w:rPr>
              <w:t xml:space="preserve"> DAISY</w:t>
            </w:r>
          </w:p>
        </w:tc>
      </w:tr>
      <w:tr w:rsidR="00C869FF" w:rsidRPr="007C63F4" w14:paraId="0203CC3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7D94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متوسط زمن الإفراج (شحنات منخفضة المخاطر)</w:t>
            </w:r>
          </w:p>
        </w:tc>
        <w:tc>
          <w:tcPr>
            <w:tcW w:w="0" w:type="auto"/>
            <w:hideMark/>
          </w:tcPr>
          <w:p w14:paraId="46280C3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1–2 </w:t>
            </w:r>
            <w:r w:rsidRPr="00C869FF">
              <w:rPr>
                <w:rFonts w:ascii="Sakkal Majalla" w:hAnsi="Sakkal Majalla" w:cs="Sakkal Majalla"/>
                <w:sz w:val="18"/>
                <w:szCs w:val="18"/>
                <w:rtl/>
              </w:rPr>
              <w:t>ساعات (هدف "فسح خلال ساعتين")</w:t>
            </w:r>
          </w:p>
        </w:tc>
        <w:tc>
          <w:tcPr>
            <w:tcW w:w="0" w:type="auto"/>
            <w:hideMark/>
          </w:tcPr>
          <w:p w14:paraId="096A023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0–4 </w:t>
            </w:r>
            <w:r w:rsidRPr="00C869FF">
              <w:rPr>
                <w:rFonts w:ascii="Sakkal Majalla" w:hAnsi="Sakkal Majalla" w:cs="Sakkal Majalla"/>
                <w:sz w:val="18"/>
                <w:szCs w:val="18"/>
                <w:rtl/>
              </w:rPr>
              <w:t>ساعات</w:t>
            </w:r>
            <w:r w:rsidRPr="00C869FF">
              <w:rPr>
                <w:rFonts w:ascii="Sakkal Majalla" w:hAnsi="Sakkal Majalla" w:cs="Sakkal Majalla"/>
                <w:sz w:val="18"/>
                <w:szCs w:val="18"/>
                <w:lang w:bidi="ar-EG"/>
              </w:rPr>
              <w:t xml:space="preserve"> (&lt;1 </w:t>
            </w:r>
            <w:r w:rsidRPr="00C869FF">
              <w:rPr>
                <w:rFonts w:ascii="Sakkal Majalla" w:hAnsi="Sakkal Majalla" w:cs="Sakkal Majalla"/>
                <w:sz w:val="18"/>
                <w:szCs w:val="18"/>
                <w:rtl/>
              </w:rPr>
              <w:t>ساعة في أفضل الموانئ</w:t>
            </w:r>
            <w:r w:rsidRPr="00C869FF">
              <w:rPr>
                <w:rFonts w:ascii="Sakkal Majalla" w:hAnsi="Sakkal Majalla" w:cs="Sakkal Majalla"/>
                <w:sz w:val="18"/>
                <w:szCs w:val="18"/>
                <w:lang w:bidi="ar-EG"/>
              </w:rPr>
              <w:t>)</w:t>
            </w:r>
          </w:p>
        </w:tc>
        <w:tc>
          <w:tcPr>
            <w:tcW w:w="0" w:type="auto"/>
            <w:hideMark/>
          </w:tcPr>
          <w:p w14:paraId="42E29B3E"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4–24 </w:t>
            </w:r>
            <w:r w:rsidRPr="00C869FF">
              <w:rPr>
                <w:rFonts w:ascii="Sakkal Majalla" w:hAnsi="Sakkal Majalla" w:cs="Sakkal Majalla"/>
                <w:sz w:val="18"/>
                <w:szCs w:val="18"/>
                <w:rtl/>
              </w:rPr>
              <w:t>ساعة</w:t>
            </w:r>
          </w:p>
        </w:tc>
        <w:tc>
          <w:tcPr>
            <w:tcW w:w="0" w:type="auto"/>
            <w:hideMark/>
          </w:tcPr>
          <w:p w14:paraId="0A6A6F0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دقائق إلى ساعات قليلة</w:t>
            </w:r>
            <w:r w:rsidRPr="00C869FF">
              <w:rPr>
                <w:rFonts w:ascii="Sakkal Majalla" w:hAnsi="Sakkal Majalla" w:cs="Sakkal Majalla"/>
                <w:sz w:val="18"/>
                <w:szCs w:val="18"/>
                <w:lang w:bidi="ar-EG"/>
              </w:rPr>
              <w:t xml:space="preserve"> (&lt;10–15 </w:t>
            </w:r>
            <w:r w:rsidRPr="00C869FF">
              <w:rPr>
                <w:rFonts w:ascii="Sakkal Majalla" w:hAnsi="Sakkal Majalla" w:cs="Sakkal Majalla"/>
                <w:sz w:val="18"/>
                <w:szCs w:val="18"/>
                <w:rtl/>
              </w:rPr>
              <w:t>دقيقة في معظم الحالات</w:t>
            </w:r>
            <w:r w:rsidRPr="00C869FF">
              <w:rPr>
                <w:rFonts w:ascii="Sakkal Majalla" w:hAnsi="Sakkal Majalla" w:cs="Sakkal Majalla"/>
                <w:sz w:val="18"/>
                <w:szCs w:val="18"/>
                <w:lang w:bidi="ar-EG"/>
              </w:rPr>
              <w:t>)</w:t>
            </w:r>
          </w:p>
        </w:tc>
        <w:tc>
          <w:tcPr>
            <w:tcW w:w="0" w:type="auto"/>
            <w:hideMark/>
          </w:tcPr>
          <w:p w14:paraId="3031CF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(متوسط ≈ 0.659)</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تنافسية جدًا، لكن سنغافورة الأسرع عالميًا</w:t>
            </w:r>
          </w:p>
        </w:tc>
      </w:tr>
      <w:tr w:rsidR="007C63F4" w:rsidRPr="007C63F4" w14:paraId="7B6CD3CA"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BEF8A7"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الامتثال الضريبي والجمركي</w:t>
            </w:r>
          </w:p>
        </w:tc>
        <w:tc>
          <w:tcPr>
            <w:tcW w:w="0" w:type="auto"/>
            <w:hideMark/>
          </w:tcPr>
          <w:p w14:paraId="47561D3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فاتورة إلكترونية فورية</w:t>
            </w:r>
            <w:r w:rsidRPr="00C869FF">
              <w:rPr>
                <w:rFonts w:ascii="Sakkal Majalla" w:hAnsi="Sakkal Majalla" w:cs="Sakkal Majalla"/>
                <w:sz w:val="18"/>
                <w:szCs w:val="18"/>
                <w:lang w:bidi="ar-EG"/>
              </w:rPr>
              <w:t xml:space="preserve"> (real-time) + </w:t>
            </w:r>
            <w:r w:rsidRPr="00C869FF">
              <w:rPr>
                <w:rFonts w:ascii="Sakkal Majalla" w:hAnsi="Sakkal Majalla" w:cs="Sakkal Majalla"/>
                <w:sz w:val="18"/>
                <w:szCs w:val="18"/>
                <w:rtl/>
              </w:rPr>
              <w:t>تماسك عالي</w:t>
            </w:r>
          </w:p>
        </w:tc>
        <w:tc>
          <w:tcPr>
            <w:tcW w:w="0" w:type="auto"/>
            <w:hideMark/>
          </w:tcPr>
          <w:p w14:paraId="4DABFC88"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امتثال متقدم بدون فوترة موحدة إلزامية</w:t>
            </w:r>
          </w:p>
        </w:tc>
        <w:tc>
          <w:tcPr>
            <w:tcW w:w="0" w:type="auto"/>
            <w:hideMark/>
          </w:tcPr>
          <w:p w14:paraId="5A03CBAA"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Entry Summary + Reconciliation</w:t>
            </w:r>
          </w:p>
        </w:tc>
        <w:tc>
          <w:tcPr>
            <w:tcW w:w="0" w:type="auto"/>
            <w:hideMark/>
          </w:tcPr>
          <w:p w14:paraId="5EA925E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TradeNet + e-invoicing </w:t>
            </w:r>
            <w:r w:rsidRPr="00C869FF">
              <w:rPr>
                <w:rFonts w:ascii="Sakkal Majalla" w:hAnsi="Sakkal Majalla" w:cs="Sakkal Majalla"/>
                <w:sz w:val="18"/>
                <w:szCs w:val="18"/>
                <w:rtl/>
              </w:rPr>
              <w:t>جزئي + امتثال عالي جدًا</w:t>
            </w:r>
          </w:p>
        </w:tc>
        <w:tc>
          <w:tcPr>
            <w:tcW w:w="0" w:type="auto"/>
            <w:hideMark/>
          </w:tcPr>
          <w:p w14:paraId="1A20E7E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"تقليل التهرب الضريبي وتعزيز الامتثال" (متوسط ≈ 0.978، أعلى تماسك في الدراسة)</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تتفوق هنا بشكل واضح</w:t>
            </w:r>
          </w:p>
        </w:tc>
      </w:tr>
      <w:tr w:rsidR="00C869FF" w:rsidRPr="007C63F4" w14:paraId="4E5AD9DA"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05F4E8"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الاستدامة البيئية والتجارة الخضراء</w:t>
            </w:r>
          </w:p>
        </w:tc>
        <w:tc>
          <w:tcPr>
            <w:tcW w:w="0" w:type="auto"/>
            <w:hideMark/>
          </w:tcPr>
          <w:p w14:paraId="14911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متوقع 28% خفض بصمة كربونية بحلول 2030</w:t>
            </w:r>
          </w:p>
        </w:tc>
        <w:tc>
          <w:tcPr>
            <w:tcW w:w="0" w:type="auto"/>
            <w:hideMark/>
          </w:tcPr>
          <w:p w14:paraId="1D9DB64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Digital Product Passport + </w:t>
            </w:r>
            <w:r w:rsidRPr="00C869FF">
              <w:rPr>
                <w:rFonts w:ascii="Sakkal Majalla" w:hAnsi="Sakkal Majalla" w:cs="Sakkal Majalla"/>
                <w:sz w:val="18"/>
                <w:szCs w:val="18"/>
                <w:rtl/>
              </w:rPr>
              <w:t>تكامل بيئي إلزامي</w:t>
            </w:r>
          </w:p>
        </w:tc>
        <w:tc>
          <w:tcPr>
            <w:tcW w:w="0" w:type="auto"/>
            <w:hideMark/>
          </w:tcPr>
          <w:p w14:paraId="4665A4D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Smart &amp; Sustainable Trade Initiative</w:t>
            </w:r>
          </w:p>
        </w:tc>
        <w:tc>
          <w:tcPr>
            <w:tcW w:w="0" w:type="auto"/>
            <w:hideMark/>
          </w:tcPr>
          <w:p w14:paraId="4470D1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Green Trade initiatives + </w:t>
            </w:r>
            <w:r w:rsidRPr="00C869FF">
              <w:rPr>
                <w:rFonts w:ascii="Sakkal Majalla" w:hAnsi="Sakkal Majalla" w:cs="Sakkal Majalla"/>
                <w:sz w:val="18"/>
                <w:szCs w:val="18"/>
                <w:rtl/>
              </w:rPr>
              <w:t>تكامل بيئي قوي</w:t>
            </w:r>
          </w:p>
        </w:tc>
        <w:tc>
          <w:tcPr>
            <w:tcW w:w="0" w:type="auto"/>
            <w:hideMark/>
          </w:tcPr>
          <w:p w14:paraId="3722D53A"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"الاستدامة البيئية والاجتماعية" (متوسط ≈ 0.739، 8.83% تباين) – سنغافورة و</w:t>
            </w:r>
            <w:r w:rsidRPr="00C869FF">
              <w:rPr>
                <w:rFonts w:ascii="Sakkal Majalla" w:hAnsi="Sakkal Majalla" w:cs="Sakkal Majalla"/>
                <w:sz w:val="18"/>
                <w:szCs w:val="18"/>
                <w:lang w:bidi="ar-EG"/>
              </w:rPr>
              <w:t xml:space="preserve">EU </w:t>
            </w:r>
            <w:r w:rsidRPr="00C869FF">
              <w:rPr>
                <w:rFonts w:ascii="Sakkal Majalla" w:hAnsi="Sakkal Majalla" w:cs="Sakkal Majalla"/>
                <w:sz w:val="18"/>
                <w:szCs w:val="18"/>
                <w:rtl/>
              </w:rPr>
              <w:t>أكثر تقدمًا</w:t>
            </w:r>
          </w:p>
        </w:tc>
      </w:tr>
      <w:tr w:rsidR="007C63F4" w:rsidRPr="007C63F4" w14:paraId="71F0A40C"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645A7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التكامل عابر الحدود</w:t>
            </w:r>
          </w:p>
        </w:tc>
        <w:tc>
          <w:tcPr>
            <w:tcW w:w="0" w:type="auto"/>
            <w:hideMark/>
          </w:tcPr>
          <w:p w14:paraId="3AF01C2B"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اتفاقيات إقليمية (مجلس التعاون) + شراكات محدودة</w:t>
            </w:r>
          </w:p>
        </w:tc>
        <w:tc>
          <w:tcPr>
            <w:tcW w:w="0" w:type="auto"/>
            <w:hideMark/>
          </w:tcPr>
          <w:p w14:paraId="28755E4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تكامل 27 دولة + تبادل مع دول ثالثة</w:t>
            </w:r>
          </w:p>
        </w:tc>
        <w:tc>
          <w:tcPr>
            <w:tcW w:w="0" w:type="auto"/>
            <w:hideMark/>
          </w:tcPr>
          <w:p w14:paraId="39AEE6FE"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تبادل مع 100+ دولة عبر</w:t>
            </w:r>
            <w:r w:rsidRPr="00C869FF">
              <w:rPr>
                <w:rFonts w:ascii="Sakkal Majalla" w:hAnsi="Sakkal Majalla" w:cs="Sakkal Majalla"/>
                <w:sz w:val="18"/>
                <w:szCs w:val="18"/>
                <w:lang w:bidi="ar-EG"/>
              </w:rPr>
              <w:t xml:space="preserve"> API</w:t>
            </w:r>
          </w:p>
        </w:tc>
        <w:tc>
          <w:tcPr>
            <w:tcW w:w="0" w:type="auto"/>
            <w:hideMark/>
          </w:tcPr>
          <w:p w14:paraId="05E07B43"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ASEAN Single Window + e-PCO </w:t>
            </w:r>
            <w:r w:rsidRPr="00C869FF">
              <w:rPr>
                <w:rFonts w:ascii="Sakkal Majalla" w:hAnsi="Sakkal Majalla" w:cs="Sakkal Majalla"/>
                <w:sz w:val="18"/>
                <w:szCs w:val="18"/>
                <w:rtl/>
              </w:rPr>
              <w:t>مع الصين ودول أخرى</w:t>
            </w:r>
          </w:p>
        </w:tc>
        <w:tc>
          <w:tcPr>
            <w:tcW w:w="0" w:type="auto"/>
            <w:hideMark/>
          </w:tcPr>
          <w:p w14:paraId="0FE57CC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 سنغافورة تتفوق في الاتصال الإقليمي/الدولي</w:t>
            </w:r>
          </w:p>
        </w:tc>
      </w:tr>
      <w:tr w:rsidR="00C869FF" w:rsidRPr="007C63F4" w14:paraId="7AE5449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264AF"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lastRenderedPageBreak/>
              <w:t>نسبة الشحنات المفحوصة فعليًا</w:t>
            </w:r>
          </w:p>
        </w:tc>
        <w:tc>
          <w:tcPr>
            <w:tcW w:w="0" w:type="auto"/>
            <w:hideMark/>
          </w:tcPr>
          <w:p w14:paraId="1D6D5F0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~5–8% (</w:t>
            </w:r>
            <w:r w:rsidRPr="00C869FF">
              <w:rPr>
                <w:rFonts w:ascii="Sakkal Majalla" w:hAnsi="Sakkal Majalla" w:cs="Sakkal Majalla"/>
                <w:sz w:val="18"/>
                <w:szCs w:val="18"/>
                <w:rtl/>
              </w:rPr>
              <w:t>تركيز على المخاطر</w:t>
            </w:r>
            <w:r w:rsidRPr="00C869FF">
              <w:rPr>
                <w:rFonts w:ascii="Sakkal Majalla" w:hAnsi="Sakkal Majalla" w:cs="Sakkal Majalla"/>
                <w:sz w:val="18"/>
                <w:szCs w:val="18"/>
                <w:lang w:bidi="ar-EG"/>
              </w:rPr>
              <w:t>)</w:t>
            </w:r>
          </w:p>
        </w:tc>
        <w:tc>
          <w:tcPr>
            <w:tcW w:w="0" w:type="auto"/>
            <w:hideMark/>
          </w:tcPr>
          <w:p w14:paraId="07E32DA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2–5%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ICS2)</w:t>
            </w:r>
          </w:p>
        </w:tc>
        <w:tc>
          <w:tcPr>
            <w:tcW w:w="0" w:type="auto"/>
            <w:hideMark/>
          </w:tcPr>
          <w:p w14:paraId="315BAD5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3–6%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ATS)</w:t>
            </w:r>
          </w:p>
        </w:tc>
        <w:tc>
          <w:tcPr>
            <w:tcW w:w="0" w:type="auto"/>
            <w:hideMark/>
          </w:tcPr>
          <w:p w14:paraId="2515F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&lt;5%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DAISY </w:t>
            </w:r>
            <w:r w:rsidRPr="00C869FF">
              <w:rPr>
                <w:rFonts w:ascii="Sakkal Majalla" w:hAnsi="Sakkal Majalla" w:cs="Sakkal Majalla"/>
                <w:sz w:val="18"/>
                <w:szCs w:val="18"/>
                <w:rtl/>
              </w:rPr>
              <w:t>وتحليل مخاطر دقيق</w:t>
            </w:r>
            <w:r w:rsidRPr="00C869FF">
              <w:rPr>
                <w:rFonts w:ascii="Sakkal Majalla" w:hAnsi="Sakkal Majalla" w:cs="Sakkal Majalla"/>
                <w:sz w:val="18"/>
                <w:szCs w:val="18"/>
                <w:lang w:bidi="ar-EG"/>
              </w:rPr>
              <w:t>)</w:t>
            </w:r>
          </w:p>
        </w:tc>
        <w:tc>
          <w:tcPr>
            <w:tcW w:w="0" w:type="auto"/>
            <w:hideMark/>
          </w:tcPr>
          <w:p w14:paraId="572328E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يدعم "الكفاءة الأمنية الوقائية" (أعلى تباين 24.46%) – الدول الرائدة تقلل الفحص عبر</w:t>
            </w:r>
            <w:r w:rsidRPr="00C869FF">
              <w:rPr>
                <w:rFonts w:ascii="Sakkal Majalla" w:hAnsi="Sakkal Majalla" w:cs="Sakkal Majalla"/>
                <w:sz w:val="18"/>
                <w:szCs w:val="18"/>
                <w:lang w:bidi="ar-EG"/>
              </w:rPr>
              <w:t xml:space="preserve"> AI</w:t>
            </w:r>
          </w:p>
        </w:tc>
      </w:tr>
    </w:tbl>
    <w:p w14:paraId="1B83BD9E" w14:textId="31D7299B"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الخلاصة الاستراتيجية وربطها بالتحليل الإحصائي للدراسة</w:t>
      </w:r>
    </w:p>
    <w:p w14:paraId="3F60FF3F" w14:textId="6E1B82DF"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نقاط تفوق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مقارنة بسنغافورة: الامتثال الضريبي الفوري (عامل التاسع – متوسط تشبع 0.978، أعلى تماسك في الدراسة كلها)، والسرعة الفعلية في الإفراج (1–2 ساعات) التي تنافس أو تتفوق على </w:t>
      </w:r>
      <w:r w:rsidRPr="00C869FF">
        <w:rPr>
          <w:rFonts w:ascii="Sakkal Majalla" w:hAnsi="Sakkal Majalla" w:cs="Sakkal Majalla"/>
          <w:sz w:val="28"/>
          <w:lang w:bidi="ar-EG"/>
        </w:rPr>
        <w:t>TradeNet</w:t>
      </w:r>
      <w:r w:rsidRPr="00C869FF">
        <w:rPr>
          <w:rFonts w:ascii="Sakkal Majalla" w:hAnsi="Sakkal Majalla" w:cs="Sakkal Majalla"/>
          <w:sz w:val="28"/>
          <w:rtl/>
          <w:lang w:bidi="ar-EG"/>
        </w:rPr>
        <w:t xml:space="preserve"> في بعض السيناريوهات. هذا يعكس قوة عامل "الحوكمة والامتثال القانوني والسياسي" (16.33% تباين) في إدراك المبحوثين.</w:t>
      </w:r>
    </w:p>
    <w:p w14:paraId="072CDABC" w14:textId="2773EAB1"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نقاط تفوق سنغافورة:</w:t>
      </w:r>
      <w:r w:rsidRPr="00C869FF">
        <w:rPr>
          <w:rFonts w:ascii="Sakkal Majalla" w:hAnsi="Sakkal Majalla" w:cs="Sakkal Majalla"/>
          <w:sz w:val="28"/>
          <w:rtl/>
          <w:lang w:bidi="ar-EG"/>
        </w:rPr>
        <w:t xml:space="preserve"> أول نافذة واحدة عالمية (</w:t>
      </w:r>
      <w:r w:rsidRPr="00C869FF">
        <w:rPr>
          <w:rFonts w:ascii="Sakkal Majalla" w:hAnsi="Sakkal Majalla" w:cs="Sakkal Majalla"/>
          <w:sz w:val="28"/>
          <w:lang w:bidi="ar-EG"/>
        </w:rPr>
        <w:t>TradeNet</w:t>
      </w:r>
      <w:r w:rsidRPr="00C869FF">
        <w:rPr>
          <w:rFonts w:ascii="Sakkal Majalla" w:hAnsi="Sakkal Majalla" w:cs="Sakkal Majalla"/>
          <w:sz w:val="28"/>
          <w:rtl/>
          <w:lang w:bidi="ar-EG"/>
        </w:rPr>
        <w:t xml:space="preserve">)، تكامل </w:t>
      </w:r>
      <w:r w:rsidRPr="00C869FF">
        <w:rPr>
          <w:rFonts w:ascii="Sakkal Majalla" w:hAnsi="Sakkal Majalla" w:cs="Sakkal Majalla"/>
          <w:sz w:val="28"/>
          <w:lang w:bidi="ar-EG"/>
        </w:rPr>
        <w:t>B2B/B2G</w:t>
      </w:r>
      <w:r w:rsidRPr="00C869FF">
        <w:rPr>
          <w:rFonts w:ascii="Sakkal Majalla" w:hAnsi="Sakkal Majalla" w:cs="Sakkal Majalla"/>
          <w:sz w:val="28"/>
          <w:rtl/>
          <w:lang w:bidi="ar-EG"/>
        </w:rPr>
        <w:t xml:space="preserve"> عبر </w:t>
      </w:r>
      <w:r w:rsidRPr="00C869FF">
        <w:rPr>
          <w:rFonts w:ascii="Sakkal Majalla" w:hAnsi="Sakkal Majalla" w:cs="Sakkal Majalla"/>
          <w:sz w:val="28"/>
          <w:lang w:bidi="ar-EG"/>
        </w:rPr>
        <w:t>NTP</w:t>
      </w:r>
      <w:r w:rsidRPr="00C869FF">
        <w:rPr>
          <w:rFonts w:ascii="Sakkal Majalla" w:hAnsi="Sakkal Majalla" w:cs="Sakkal Majalla"/>
          <w:sz w:val="28"/>
          <w:rtl/>
          <w:lang w:bidi="ar-EG"/>
        </w:rPr>
        <w:t>، و</w:t>
      </w:r>
      <w:r w:rsidRPr="00C869FF">
        <w:rPr>
          <w:rFonts w:ascii="Sakkal Majalla" w:hAnsi="Sakkal Majalla" w:cs="Sakkal Majalla"/>
          <w:sz w:val="28"/>
          <w:lang w:bidi="ar-EG"/>
        </w:rPr>
        <w:t>DAISY</w:t>
      </w:r>
      <w:r w:rsidRPr="00C869FF">
        <w:rPr>
          <w:rFonts w:ascii="Sakkal Majalla" w:hAnsi="Sakkal Majalla" w:cs="Sakkal Majalla"/>
          <w:sz w:val="28"/>
          <w:rtl/>
          <w:lang w:bidi="ar-EG"/>
        </w:rPr>
        <w:t xml:space="preserve">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من 2025) الذي يقلل أوقات المعالجة بشكل كبير – يدعم ضعف عامل "الابتكار في إدارة المخاطر التنبؤية" (7.42% تباين، أضعف عامل نسبيًا في الدراسة)، ويبرز الحاجة إلى تطوير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تنبؤي أكثر نضجًا في </w:t>
      </w:r>
      <w:r w:rsidRPr="00C869FF">
        <w:rPr>
          <w:rFonts w:ascii="Sakkal Majalla" w:hAnsi="Sakkal Majalla" w:cs="Sakkal Majalla"/>
          <w:sz w:val="28"/>
          <w:lang w:bidi="ar-EG"/>
        </w:rPr>
        <w:t>ZATCA</w:t>
      </w:r>
      <w:r w:rsidRPr="00C869FF">
        <w:rPr>
          <w:rFonts w:ascii="Sakkal Majalla" w:hAnsi="Sakkal Majalla" w:cs="Sakkal Majalla"/>
          <w:sz w:val="28"/>
          <w:rtl/>
          <w:lang w:bidi="ar-EG"/>
        </w:rPr>
        <w:t>.</w:t>
      </w:r>
    </w:p>
    <w:p w14:paraId="5ED01AFD" w14:textId="3A402C6A"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الدرس المستفاد لـ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نموذج سنغافورة يُثبت أن </w:t>
      </w:r>
      <w:r w:rsidRPr="00C869FF">
        <w:rPr>
          <w:rFonts w:ascii="Sakkal Majalla" w:hAnsi="Sakkal Majalla" w:cs="Sakkal Majalla"/>
          <w:b/>
          <w:bCs/>
          <w:sz w:val="28"/>
          <w:rtl/>
          <w:lang w:bidi="ar-EG"/>
        </w:rPr>
        <w:t>التكامل الشامل</w:t>
      </w:r>
      <w:r w:rsidRPr="00C869FF">
        <w:rPr>
          <w:rFonts w:ascii="Sakkal Majalla" w:hAnsi="Sakkal Majalla" w:cs="Sakkal Majalla"/>
          <w:sz w:val="28"/>
          <w:rtl/>
          <w:lang w:bidi="ar-EG"/>
        </w:rPr>
        <w:t xml:space="preserve"> (عامل 3 – 11.71% تباين) + </w:t>
      </w:r>
      <w:r w:rsidRPr="00C869FF">
        <w:rPr>
          <w:rFonts w:ascii="Sakkal Majalla" w:hAnsi="Sakkal Majalla" w:cs="Sakkal Majalla"/>
          <w:b/>
          <w:bCs/>
          <w:sz w:val="28"/>
          <w:rtl/>
          <w:lang w:bidi="ar-EG"/>
        </w:rPr>
        <w:t>الذكاء الاصطناعي التنبؤي</w:t>
      </w:r>
      <w:r w:rsidRPr="00C869FF">
        <w:rPr>
          <w:rFonts w:ascii="Sakkal Majalla" w:hAnsi="Sakkal Majalla" w:cs="Sakkal Majalla"/>
          <w:sz w:val="28"/>
          <w:rtl/>
          <w:lang w:bidi="ar-EG"/>
        </w:rPr>
        <w:t xml:space="preserve"> يحقق توازنًا مثاليًا بين الأمن (عامل 1 – أعلى تباين 24.46%) والتيسير (عامل 4 – 9.75% تباين)، مع تقليل الفحوصات الفعلية إلى أدنى مستوى. هذا يدعم توصيات الدراسة بتعزيز "الابتكار التكنولوجي" و"الاستدامة" للوصول إلى مستوى سنغافورة في الكفاءة العالمية.</w:t>
      </w:r>
    </w:p>
    <w:p w14:paraId="06AAE1E0" w14:textId="1A60F5BD" w:rsidR="001E4D37" w:rsidRPr="0003069F" w:rsidRDefault="00C869FF" w:rsidP="00C869FF">
      <w:pPr>
        <w:pStyle w:val="BlockText"/>
        <w:spacing w:line="276" w:lineRule="auto"/>
        <w:jc w:val="lowKashida"/>
        <w:rPr>
          <w:rFonts w:ascii="Sakkal Majalla" w:hAnsi="Sakkal Majalla" w:cs="Sakkal Majalla"/>
          <w:sz w:val="28"/>
          <w:rtl/>
          <w:lang w:bidi="ar-EG"/>
        </w:rPr>
      </w:pPr>
      <w:r w:rsidRPr="00C869FF">
        <w:rPr>
          <w:rFonts w:ascii="Sakkal Majalla" w:hAnsi="Sakkal Majalla" w:cs="Sakkal Majalla"/>
          <w:sz w:val="28"/>
          <w:rtl/>
          <w:lang w:bidi="ar-EG"/>
        </w:rPr>
        <w:t>هذا الجدول يربط بشكل مباشر بين نتائج التحليل العاملي (الـ9 أبعاد والـ6 عوامل عليا) والأداء الفعلي لسنغافورة، مما يعزز دلالة الدراسة ويوفر أساسًا قويًا للتوصيات</w:t>
      </w:r>
      <w:r>
        <w:rPr>
          <w:rFonts w:ascii="Sakkal Majalla" w:hAnsi="Sakkal Majalla" w:cs="Sakkal Majalla" w:hint="cs"/>
          <w:sz w:val="28"/>
          <w:rtl/>
          <w:lang w:bidi="ar-EG"/>
        </w:rPr>
        <w:t>.</w:t>
      </w:r>
    </w:p>
    <w:p w14:paraId="479D43A9" w14:textId="77777777" w:rsidR="007A0B3B" w:rsidRPr="00732391" w:rsidRDefault="007A0B3B">
      <w:pPr>
        <w:pStyle w:val="BlockText"/>
        <w:numPr>
          <w:ilvl w:val="0"/>
          <w:numId w:val="118"/>
        </w:numPr>
        <w:spacing w:line="360" w:lineRule="auto"/>
        <w:jc w:val="lowKashida"/>
        <w:rPr>
          <w:rFonts w:ascii="Sakkal Majalla" w:hAnsi="Sakkal Majalla" w:cs="Sakkal Majalla"/>
          <w:b/>
          <w:bCs/>
          <w:sz w:val="32"/>
          <w:szCs w:val="32"/>
          <w:rtl/>
          <w:lang w:bidi="ar-EG"/>
        </w:rPr>
      </w:pPr>
      <w:r w:rsidRPr="00732391">
        <w:rPr>
          <w:rFonts w:ascii="Sakkal Majalla" w:hAnsi="Sakkal Majalla" w:cs="Sakkal Majalla" w:hint="cs"/>
          <w:b/>
          <w:bCs/>
          <w:sz w:val="32"/>
          <w:szCs w:val="32"/>
          <w:rtl/>
          <w:lang w:bidi="ar-EG"/>
        </w:rPr>
        <w:t>ثبات المقياس بطريقة التجزئة النصفية :</w:t>
      </w:r>
    </w:p>
    <w:p w14:paraId="7739747F" w14:textId="77777777" w:rsidR="007A0B3B" w:rsidRPr="00732391" w:rsidRDefault="007A0B3B" w:rsidP="007A0B3B">
      <w:pPr>
        <w:pStyle w:val="BlockText"/>
        <w:jc w:val="lowKashida"/>
        <w:rPr>
          <w:rFonts w:ascii="Sakkal Majalla" w:hAnsi="Sakkal Majalla" w:cs="Sakkal Majalla"/>
          <w:sz w:val="28"/>
          <w:rtl/>
          <w:lang w:bidi="ar-EG"/>
        </w:rPr>
      </w:pPr>
      <w:r w:rsidRPr="00732391">
        <w:rPr>
          <w:rFonts w:ascii="Sakkal Majalla" w:hAnsi="Sakkal Majalla" w:cs="Sakkal Majalla"/>
          <w:sz w:val="28"/>
          <w:rtl/>
          <w:lang w:bidi="ar-EG"/>
        </w:rPr>
        <w:t>تم اختبار الثبات الداخلي لأدوات القياس باستخدام طريقة التجزئة النصفية (</w:t>
      </w:r>
      <w:r w:rsidRPr="00732391">
        <w:rPr>
          <w:rFonts w:ascii="Sakkal Majalla" w:hAnsi="Sakkal Majalla" w:cs="Sakkal Majalla"/>
          <w:sz w:val="28"/>
          <w:lang w:bidi="ar-EG"/>
        </w:rPr>
        <w:t>Split-Half Reliability</w:t>
      </w:r>
      <w:r w:rsidRPr="00732391">
        <w:rPr>
          <w:rFonts w:ascii="Sakkal Majalla" w:hAnsi="Sakkal Majalla" w:cs="Sakkal Majalla"/>
          <w:sz w:val="28"/>
          <w:rtl/>
          <w:lang w:bidi="ar-EG"/>
        </w:rPr>
        <w:t>)، حيث تم تقسيم عبارات كل مقياس إلى جزأين متساويين. ضم الجزء الأول العبارات ذات الأرقام الزوجية، بينما ضم الجزء الثاني العبارات ذات الأرقام الفردية. ويُعتبر المقياس ثابتاً إذا أظهرت المؤشرات الإحصائية المُتحصل عليها – مثل معامل ألفا لكل جزء، ومعامل الارتباط بين الجزأين، ومعاملي سبيرمان-براون وجتمان – قيماً مقبولة. ويوضح الجدولان (3/3) و (3/4) نتائج هذا الاختبار للمتغيرين التابعين.</w:t>
      </w:r>
    </w:p>
    <w:p w14:paraId="72371EA0"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(3/3)</w:t>
      </w:r>
    </w:p>
    <w:p w14:paraId="479ECEF2" w14:textId="4AAACDDD"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لتعزيز الأمن</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1B5461F3"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275E644"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700F9C10"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1E2F817"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الثانى </w:t>
            </w:r>
          </w:p>
        </w:tc>
      </w:tr>
      <w:tr w:rsidR="007A0B3B" w:rsidRPr="00732391" w14:paraId="6CF0FC72" w14:textId="77777777" w:rsidTr="001E2DEE">
        <w:trPr>
          <w:jc w:val="center"/>
        </w:trPr>
        <w:tc>
          <w:tcPr>
            <w:tcW w:w="4255" w:type="dxa"/>
            <w:tcBorders>
              <w:top w:val="thinThickSmallGap" w:sz="24" w:space="0" w:color="auto"/>
            </w:tcBorders>
          </w:tcPr>
          <w:p w14:paraId="0F3E67B8"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681DB969" w14:textId="3FAF17D1"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8</w:t>
            </w:r>
          </w:p>
        </w:tc>
        <w:tc>
          <w:tcPr>
            <w:tcW w:w="2091" w:type="dxa"/>
            <w:tcBorders>
              <w:top w:val="thinThickSmallGap" w:sz="24" w:space="0" w:color="auto"/>
            </w:tcBorders>
          </w:tcPr>
          <w:p w14:paraId="575EDA7E" w14:textId="66BFBE55"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7</w:t>
            </w:r>
          </w:p>
        </w:tc>
      </w:tr>
      <w:tr w:rsidR="007A0B3B" w:rsidRPr="00732391" w14:paraId="5B29E9CE" w14:textId="77777777" w:rsidTr="001E2DEE">
        <w:trPr>
          <w:jc w:val="center"/>
        </w:trPr>
        <w:tc>
          <w:tcPr>
            <w:tcW w:w="4255" w:type="dxa"/>
          </w:tcPr>
          <w:p w14:paraId="74119819"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6204EC7E"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0.638</w:t>
            </w:r>
          </w:p>
        </w:tc>
        <w:tc>
          <w:tcPr>
            <w:tcW w:w="2091" w:type="dxa"/>
          </w:tcPr>
          <w:p w14:paraId="71F18FE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0.654</w:t>
            </w:r>
          </w:p>
        </w:tc>
      </w:tr>
      <w:tr w:rsidR="007A0B3B" w:rsidRPr="00732391" w14:paraId="07D4885D" w14:textId="77777777" w:rsidTr="001E2DEE">
        <w:trPr>
          <w:jc w:val="center"/>
        </w:trPr>
        <w:tc>
          <w:tcPr>
            <w:tcW w:w="4255" w:type="dxa"/>
          </w:tcPr>
          <w:p w14:paraId="71FB64DE"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الأرتباط بين الجزأين</w:t>
            </w:r>
          </w:p>
        </w:tc>
        <w:tc>
          <w:tcPr>
            <w:tcW w:w="4217" w:type="dxa"/>
            <w:gridSpan w:val="2"/>
          </w:tcPr>
          <w:p w14:paraId="54597B1A"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0.706</w:t>
            </w:r>
          </w:p>
        </w:tc>
      </w:tr>
      <w:tr w:rsidR="007A0B3B" w:rsidRPr="00732391" w14:paraId="416471AA" w14:textId="77777777" w:rsidTr="001E2DEE">
        <w:trPr>
          <w:jc w:val="center"/>
        </w:trPr>
        <w:tc>
          <w:tcPr>
            <w:tcW w:w="4255" w:type="dxa"/>
          </w:tcPr>
          <w:p w14:paraId="7F800B2F"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معامل أرتباط  " سبيرمان براون "</w:t>
            </w:r>
          </w:p>
        </w:tc>
        <w:tc>
          <w:tcPr>
            <w:tcW w:w="4217" w:type="dxa"/>
            <w:gridSpan w:val="2"/>
          </w:tcPr>
          <w:p w14:paraId="6E39FB2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0.828</w:t>
            </w:r>
          </w:p>
        </w:tc>
      </w:tr>
      <w:tr w:rsidR="007A0B3B" w:rsidRPr="00732391" w14:paraId="42E20D38" w14:textId="77777777" w:rsidTr="001E2DEE">
        <w:trPr>
          <w:jc w:val="center"/>
        </w:trPr>
        <w:tc>
          <w:tcPr>
            <w:tcW w:w="4255" w:type="dxa"/>
          </w:tcPr>
          <w:p w14:paraId="45695BA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جتمان " للتجزئة النصفية </w:t>
            </w:r>
          </w:p>
        </w:tc>
        <w:tc>
          <w:tcPr>
            <w:tcW w:w="4217" w:type="dxa"/>
            <w:gridSpan w:val="2"/>
          </w:tcPr>
          <w:p w14:paraId="75EDE7C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0.827</w:t>
            </w:r>
          </w:p>
        </w:tc>
      </w:tr>
    </w:tbl>
    <w:p w14:paraId="7521F947" w14:textId="77777777" w:rsidR="007A0B3B" w:rsidRPr="00732391" w:rsidRDefault="007A0B3B" w:rsidP="007A0B3B">
      <w:pPr>
        <w:pStyle w:val="BlockText"/>
        <w:spacing w:line="360" w:lineRule="auto"/>
        <w:jc w:val="lowKashida"/>
        <w:rPr>
          <w:rFonts w:ascii="Sakkal Majalla" w:hAnsi="Sakkal Majalla" w:cs="Sakkal Majalla"/>
          <w:sz w:val="22"/>
          <w:szCs w:val="22"/>
          <w:lang w:bidi="ar-EG"/>
        </w:rPr>
      </w:pPr>
      <w:r w:rsidRPr="00732391">
        <w:rPr>
          <w:rFonts w:ascii="Sakkal Majalla" w:hAnsi="Sakkal Majalla" w:cs="Sakkal Majalla"/>
          <w:b/>
          <w:bCs/>
          <w:szCs w:val="20"/>
          <w:rtl/>
          <w:lang w:bidi="ar-EG"/>
        </w:rPr>
        <w:t>المصدر :</w:t>
      </w:r>
      <w:r w:rsidRPr="00732391">
        <w:rPr>
          <w:rFonts w:ascii="Sakkal Majalla" w:hAnsi="Sakkal Majalla" w:cs="Sakkal Majalla"/>
          <w:szCs w:val="20"/>
          <w:rtl/>
          <w:lang w:bidi="ar-EG"/>
        </w:rPr>
        <w:t xml:space="preserve"> نتائج التحليل الأحصائى .</w:t>
      </w:r>
    </w:p>
    <w:p w14:paraId="33651420" w14:textId="77777777" w:rsidR="007A0B3B" w:rsidRPr="00732391" w:rsidRDefault="007A0B3B" w:rsidP="007A0B3B">
      <w:pPr>
        <w:pStyle w:val="BlockText"/>
        <w:spacing w:line="276" w:lineRule="auto"/>
        <w:ind w:left="146" w:hanging="120"/>
        <w:jc w:val="both"/>
        <w:rPr>
          <w:rFonts w:ascii="Sakkal Majalla" w:hAnsi="Sakkal Majalla" w:cs="Sakkal Majalla"/>
          <w:sz w:val="28"/>
          <w:lang w:bidi="ar-EG"/>
        </w:rPr>
      </w:pPr>
      <w:r w:rsidRPr="00732391">
        <w:rPr>
          <w:rFonts w:ascii="Sakkal Majalla" w:hAnsi="Sakkal Majalla" w:cs="Sakkal Majalla"/>
          <w:sz w:val="28"/>
          <w:rtl/>
          <w:lang w:bidi="ar-EG"/>
        </w:rPr>
        <w:t>تشير نتائج الجدول (3/3) إلى ما يلي</w:t>
      </w:r>
      <w:r w:rsidRPr="00732391">
        <w:rPr>
          <w:rFonts w:ascii="Sakkal Majalla" w:hAnsi="Sakkal Majalla" w:cs="Sakkal Majalla"/>
          <w:sz w:val="28"/>
          <w:lang w:bidi="ar-EG"/>
        </w:rPr>
        <w:t>:</w:t>
      </w:r>
    </w:p>
    <w:p w14:paraId="47C1E8DD"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lastRenderedPageBreak/>
        <w:t>بلغ معامل ألفا لكل من الجزأين </w:t>
      </w:r>
      <w:r>
        <w:rPr>
          <w:rFonts w:ascii="Sakkal Majalla" w:hAnsi="Sakkal Majalla" w:cs="Sakkal Majalla" w:hint="cs"/>
          <w:sz w:val="28"/>
          <w:rtl/>
          <w:lang w:bidi="ar-EG"/>
        </w:rPr>
        <w:t xml:space="preserve"> </w:t>
      </w:r>
      <w:r w:rsidRPr="00732391">
        <w:rPr>
          <w:rFonts w:ascii="Sakkal Majalla" w:hAnsi="Sakkal Majalla" w:cs="Sakkal Majalla"/>
          <w:sz w:val="28"/>
          <w:lang w:bidi="ar-EG"/>
        </w:rPr>
        <w:t>0.638 </w:t>
      </w:r>
      <w:r>
        <w:rPr>
          <w:rFonts w:ascii="Sakkal Majalla" w:hAnsi="Sakkal Majalla" w:cs="Sakkal Majalla" w:hint="cs"/>
          <w:sz w:val="28"/>
          <w:rtl/>
          <w:lang w:bidi="ar-EG"/>
        </w:rPr>
        <w:t xml:space="preserve"> </w:t>
      </w:r>
      <w:r w:rsidRPr="00732391">
        <w:rPr>
          <w:rFonts w:ascii="Sakkal Majalla" w:hAnsi="Sakkal Majalla" w:cs="Sakkal Majalla"/>
          <w:sz w:val="28"/>
          <w:rtl/>
          <w:lang w:bidi="ar-EG"/>
        </w:rPr>
        <w:t>و </w:t>
      </w:r>
      <w:r w:rsidRPr="00732391">
        <w:rPr>
          <w:rFonts w:ascii="Sakkal Majalla" w:hAnsi="Sakkal Majalla" w:cs="Sakkal Majalla"/>
          <w:sz w:val="28"/>
          <w:lang w:bidi="ar-EG"/>
        </w:rPr>
        <w:t xml:space="preserve">0.654 </w:t>
      </w:r>
      <w:r w:rsidRPr="00732391">
        <w:rPr>
          <w:rFonts w:ascii="Sakkal Majalla" w:hAnsi="Sakkal Majalla" w:cs="Sakkal Majalla"/>
          <w:sz w:val="28"/>
          <w:rtl/>
          <w:lang w:bidi="ar-EG"/>
        </w:rPr>
        <w:t>على الترتيب، وهي قيم تدل على اتساق داخلي مقبول</w:t>
      </w:r>
      <w:r w:rsidRPr="00732391">
        <w:rPr>
          <w:rFonts w:ascii="Sakkal Majalla" w:hAnsi="Sakkal Majalla" w:cs="Sakkal Majalla"/>
          <w:sz w:val="28"/>
          <w:lang w:bidi="ar-EG"/>
        </w:rPr>
        <w:t>.</w:t>
      </w:r>
    </w:p>
    <w:p w14:paraId="750F4CEF"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بلغ معامل الارتباط بين نصفي المقياس </w:t>
      </w:r>
      <w:r w:rsidRPr="00732391">
        <w:rPr>
          <w:rFonts w:ascii="Sakkal Majalla" w:hAnsi="Sakkal Majalla" w:cs="Sakkal Majalla"/>
          <w:sz w:val="28"/>
          <w:lang w:bidi="ar-EG"/>
        </w:rPr>
        <w:t>0.706</w:t>
      </w:r>
      <w:r w:rsidRPr="00732391">
        <w:rPr>
          <w:rFonts w:ascii="Sakkal Majalla" w:hAnsi="Sakkal Majalla" w:cs="Sakkal Majalla"/>
          <w:sz w:val="28"/>
          <w:rtl/>
          <w:lang w:bidi="ar-EG"/>
        </w:rPr>
        <w:t>، مما يشير إلى علاقة قوية وموجبة</w:t>
      </w:r>
      <w:r w:rsidRPr="00732391">
        <w:rPr>
          <w:rFonts w:ascii="Sakkal Majalla" w:hAnsi="Sakkal Majalla" w:cs="Sakkal Majalla"/>
          <w:sz w:val="28"/>
          <w:lang w:bidi="ar-EG"/>
        </w:rPr>
        <w:t>.</w:t>
      </w:r>
    </w:p>
    <w:p w14:paraId="6707672E"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سجل كل من معاملي ثبات التجزئة النصفية (سبيرمان-براون وجتمان) قيماً مرتفعة</w:t>
      </w:r>
      <w:r w:rsidRPr="00732391">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Pr>
          <w:rFonts w:ascii="Sakkal Majalla" w:hAnsi="Sakkal Majalla" w:cs="Sakkal Majalla"/>
          <w:sz w:val="28"/>
          <w:lang w:bidi="ar-EG"/>
        </w:rPr>
        <w:t xml:space="preserve"> </w:t>
      </w:r>
      <w:r w:rsidRPr="00732391">
        <w:rPr>
          <w:rFonts w:ascii="Sakkal Majalla" w:hAnsi="Sakkal Majalla" w:cs="Sakkal Majalla"/>
          <w:sz w:val="28"/>
          <w:lang w:bidi="ar-EG"/>
        </w:rPr>
        <w:t>0.828 </w:t>
      </w:r>
      <w:r w:rsidRPr="00732391">
        <w:rPr>
          <w:rFonts w:ascii="Sakkal Majalla" w:hAnsi="Sakkal Majalla" w:cs="Sakkal Majalla"/>
          <w:sz w:val="28"/>
          <w:rtl/>
          <w:lang w:bidi="ar-EG"/>
        </w:rPr>
        <w:t>و </w:t>
      </w:r>
      <w:r>
        <w:rPr>
          <w:rFonts w:ascii="Sakkal Majalla" w:hAnsi="Sakkal Majalla" w:cs="Sakkal Majalla"/>
          <w:sz w:val="28"/>
          <w:lang w:bidi="ar-EG"/>
        </w:rPr>
        <w:t xml:space="preserve"> </w:t>
      </w:r>
      <w:r w:rsidRPr="00732391">
        <w:rPr>
          <w:rFonts w:ascii="Sakkal Majalla" w:hAnsi="Sakkal Majalla" w:cs="Sakkal Majalla"/>
          <w:sz w:val="28"/>
          <w:lang w:bidi="ar-EG"/>
        </w:rPr>
        <w:t>0.827 </w:t>
      </w:r>
      <w:r w:rsidRPr="00732391">
        <w:rPr>
          <w:rFonts w:ascii="Sakkal Majalla" w:hAnsi="Sakkal Majalla" w:cs="Sakkal Majalla"/>
          <w:sz w:val="28"/>
          <w:rtl/>
          <w:lang w:bidi="ar-EG"/>
        </w:rPr>
        <w:t>على الترتيب</w:t>
      </w:r>
      <w:r w:rsidRPr="00732391">
        <w:rPr>
          <w:rFonts w:ascii="Sakkal Majalla" w:hAnsi="Sakkal Majalla" w:cs="Sakkal Majalla"/>
          <w:sz w:val="28"/>
          <w:lang w:bidi="ar-EG"/>
        </w:rPr>
        <w:t>.</w:t>
      </w:r>
    </w:p>
    <w:p w14:paraId="220E4161" w14:textId="76265058"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تُؤكد هذه المؤشرات مجتمعة على وجود ثبات مقبول لمقياس "</w:t>
      </w:r>
      <w:r w:rsidR="0016339D">
        <w:rPr>
          <w:rFonts w:ascii="Sakkal Majalla" w:hAnsi="Sakkal Majalla" w:cs="Sakkal Majalla" w:hint="cs"/>
          <w:sz w:val="28"/>
          <w:rtl/>
          <w:lang w:bidi="ar-EG"/>
        </w:rPr>
        <w:t>تعزيز الأمن</w:t>
      </w:r>
      <w:r w:rsidRPr="00732391">
        <w:rPr>
          <w:rFonts w:ascii="Sakkal Majalla" w:hAnsi="Sakkal Majalla" w:cs="Sakkal Majalla"/>
          <w:sz w:val="28"/>
          <w:lang w:bidi="ar-EG"/>
        </w:rPr>
        <w:t>".</w:t>
      </w:r>
    </w:p>
    <w:p w14:paraId="17EEEEC6"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(3/4)</w:t>
      </w:r>
    </w:p>
    <w:p w14:paraId="444ACED0" w14:textId="45869507"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لتيسير التجارة</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56FF5822"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04ECD3D6"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0C877D28"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44D914CA"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الثانى </w:t>
            </w:r>
          </w:p>
        </w:tc>
      </w:tr>
      <w:tr w:rsidR="007A0B3B" w:rsidRPr="00732391" w14:paraId="6E63BC9E" w14:textId="77777777" w:rsidTr="001E2DEE">
        <w:trPr>
          <w:jc w:val="center"/>
        </w:trPr>
        <w:tc>
          <w:tcPr>
            <w:tcW w:w="4255" w:type="dxa"/>
            <w:tcBorders>
              <w:top w:val="thinThickSmallGap" w:sz="24" w:space="0" w:color="auto"/>
            </w:tcBorders>
          </w:tcPr>
          <w:p w14:paraId="1CE4E686"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146C51D0"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c>
          <w:tcPr>
            <w:tcW w:w="2091" w:type="dxa"/>
            <w:tcBorders>
              <w:top w:val="thinThickSmallGap" w:sz="24" w:space="0" w:color="auto"/>
            </w:tcBorders>
          </w:tcPr>
          <w:p w14:paraId="1A8B55B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r>
      <w:tr w:rsidR="007A0B3B" w:rsidRPr="00732391" w14:paraId="4D09540D" w14:textId="77777777" w:rsidTr="001E2DEE">
        <w:trPr>
          <w:jc w:val="center"/>
        </w:trPr>
        <w:tc>
          <w:tcPr>
            <w:tcW w:w="4255" w:type="dxa"/>
          </w:tcPr>
          <w:p w14:paraId="0347FEA0"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7BFFF21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0.625</w:t>
            </w:r>
          </w:p>
        </w:tc>
        <w:tc>
          <w:tcPr>
            <w:tcW w:w="2091" w:type="dxa"/>
          </w:tcPr>
          <w:p w14:paraId="24F7AF3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0.641</w:t>
            </w:r>
          </w:p>
        </w:tc>
      </w:tr>
      <w:tr w:rsidR="007A0B3B" w:rsidRPr="00732391" w14:paraId="1CB4D6FA" w14:textId="77777777" w:rsidTr="001E2DEE">
        <w:trPr>
          <w:jc w:val="center"/>
        </w:trPr>
        <w:tc>
          <w:tcPr>
            <w:tcW w:w="4255" w:type="dxa"/>
          </w:tcPr>
          <w:p w14:paraId="79EA61B8"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الأرتباط بين الجزأين</w:t>
            </w:r>
          </w:p>
        </w:tc>
        <w:tc>
          <w:tcPr>
            <w:tcW w:w="4217" w:type="dxa"/>
            <w:gridSpan w:val="2"/>
          </w:tcPr>
          <w:p w14:paraId="2FB3B85F"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0.673</w:t>
            </w:r>
          </w:p>
        </w:tc>
      </w:tr>
      <w:tr w:rsidR="007A0B3B" w:rsidRPr="00732391" w14:paraId="67187418" w14:textId="77777777" w:rsidTr="001E2DEE">
        <w:trPr>
          <w:jc w:val="center"/>
        </w:trPr>
        <w:tc>
          <w:tcPr>
            <w:tcW w:w="4255" w:type="dxa"/>
          </w:tcPr>
          <w:p w14:paraId="60A7ECB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معامل أرتباط  " سبيرمان براون "</w:t>
            </w:r>
          </w:p>
        </w:tc>
        <w:tc>
          <w:tcPr>
            <w:tcW w:w="4217" w:type="dxa"/>
            <w:gridSpan w:val="2"/>
          </w:tcPr>
          <w:p w14:paraId="253115A7"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0.805</w:t>
            </w:r>
          </w:p>
        </w:tc>
      </w:tr>
      <w:tr w:rsidR="007A0B3B" w:rsidRPr="00732391" w14:paraId="069F3ED9" w14:textId="77777777" w:rsidTr="001E2DEE">
        <w:trPr>
          <w:jc w:val="center"/>
        </w:trPr>
        <w:tc>
          <w:tcPr>
            <w:tcW w:w="4255" w:type="dxa"/>
          </w:tcPr>
          <w:p w14:paraId="302AA10D"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جتمان " للتجزئة النصفية </w:t>
            </w:r>
          </w:p>
        </w:tc>
        <w:tc>
          <w:tcPr>
            <w:tcW w:w="4217" w:type="dxa"/>
            <w:gridSpan w:val="2"/>
          </w:tcPr>
          <w:p w14:paraId="6E712B8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0.804</w:t>
            </w:r>
          </w:p>
        </w:tc>
      </w:tr>
    </w:tbl>
    <w:p w14:paraId="263AC0DB" w14:textId="77777777" w:rsidR="007A0B3B" w:rsidRPr="00020F95" w:rsidRDefault="007A0B3B" w:rsidP="007A0B3B">
      <w:pPr>
        <w:pStyle w:val="BlockText"/>
        <w:spacing w:line="360" w:lineRule="auto"/>
        <w:jc w:val="lowKashida"/>
        <w:rPr>
          <w:sz w:val="22"/>
          <w:szCs w:val="22"/>
          <w:lang w:bidi="ar-EG"/>
        </w:rPr>
      </w:pPr>
      <w:r w:rsidRPr="00020F95">
        <w:rPr>
          <w:rFonts w:hint="cs"/>
          <w:b/>
          <w:bCs/>
          <w:szCs w:val="20"/>
          <w:rtl/>
          <w:lang w:bidi="ar-EG"/>
        </w:rPr>
        <w:t>المصدر :</w:t>
      </w:r>
      <w:r w:rsidRPr="00020F95">
        <w:rPr>
          <w:rFonts w:hint="cs"/>
          <w:szCs w:val="20"/>
          <w:rtl/>
          <w:lang w:bidi="ar-EG"/>
        </w:rPr>
        <w:t xml:space="preserve"> نتائج التحليل الأحصائى .</w:t>
      </w:r>
    </w:p>
    <w:p w14:paraId="370569FA" w14:textId="77777777" w:rsidR="007A0B3B" w:rsidRPr="00732391" w:rsidRDefault="007A0B3B" w:rsidP="007A0B3B">
      <w:pPr>
        <w:pStyle w:val="BlockText"/>
        <w:spacing w:line="276" w:lineRule="auto"/>
        <w:ind w:left="146" w:hanging="120"/>
        <w:jc w:val="both"/>
        <w:rPr>
          <w:rFonts w:ascii="Sakkal Majalla" w:hAnsi="Sakkal Majalla" w:cs="Sakkal Majalla"/>
          <w:sz w:val="28"/>
          <w:rtl/>
          <w:lang w:bidi="ar-EG"/>
        </w:rPr>
      </w:pPr>
      <w:r w:rsidRPr="00732391">
        <w:rPr>
          <w:rFonts w:ascii="Sakkal Majalla" w:hAnsi="Sakkal Majalla" w:cs="Sakkal Majalla"/>
          <w:sz w:val="28"/>
          <w:rtl/>
          <w:lang w:bidi="ar-EG"/>
        </w:rPr>
        <w:t>توضح نتائج الجدول (3/4) المؤشرات التالية:</w:t>
      </w:r>
    </w:p>
    <w:p w14:paraId="65BF5C2F"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سجل معاملا ألفا للجزأين قيمتين مقبولتين وهما 0.625 و 0.641.</w:t>
      </w:r>
    </w:p>
    <w:p w14:paraId="79405209"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بلغ معامل الارتباط بين الجزأين 0.673، مما يدل على ارتباط قوي.</w:t>
      </w:r>
    </w:p>
    <w:p w14:paraId="339810BE"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جاءت قيم معاملي سبيرمان-براون وجتمان مرتفعة ومتقاربة (0.805 و 0.804 على الترتيب).</w:t>
      </w:r>
    </w:p>
    <w:p w14:paraId="6BC70B08" w14:textId="2D2B2D5E"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تستند هذه النتائج إلى القاعدة ذاتها لتؤكد وجود ثبات مقبول لمقياس "</w:t>
      </w:r>
      <w:r w:rsidR="0016339D">
        <w:rPr>
          <w:rFonts w:ascii="Sakkal Majalla" w:hAnsi="Sakkal Majalla" w:cs="Sakkal Majalla" w:hint="cs"/>
          <w:sz w:val="28"/>
          <w:rtl/>
          <w:lang w:bidi="ar-EG"/>
        </w:rPr>
        <w:t>تيسير التجارة</w:t>
      </w:r>
      <w:r w:rsidRPr="00732391">
        <w:rPr>
          <w:rFonts w:ascii="Sakkal Majalla" w:hAnsi="Sakkal Majalla" w:cs="Sakkal Majalla"/>
          <w:sz w:val="28"/>
          <w:rtl/>
          <w:lang w:bidi="ar-EG"/>
        </w:rPr>
        <w:t>".</w:t>
      </w:r>
    </w:p>
    <w:p w14:paraId="4DFF3315" w14:textId="77777777" w:rsidR="007A0B3B" w:rsidRDefault="007A0B3B" w:rsidP="007A0B3B">
      <w:pPr>
        <w:pStyle w:val="BlockText"/>
        <w:spacing w:line="360" w:lineRule="auto"/>
        <w:ind w:left="146" w:hanging="120"/>
        <w:jc w:val="both"/>
        <w:rPr>
          <w:rFonts w:ascii="Sakkal Majalla" w:hAnsi="Sakkal Majalla" w:cs="Sakkal Majalla"/>
          <w:sz w:val="28"/>
          <w:rtl/>
          <w:lang w:bidi="ar-EG"/>
        </w:rPr>
      </w:pPr>
      <w:r w:rsidRPr="00732391">
        <w:rPr>
          <w:rFonts w:ascii="Sakkal Majalla" w:hAnsi="Sakkal Majalla" w:cs="Sakkal Majalla"/>
          <w:b/>
          <w:bCs/>
          <w:sz w:val="28"/>
          <w:rtl/>
          <w:lang w:bidi="ar-EG"/>
        </w:rPr>
        <w:t>الاستنتاج</w:t>
      </w:r>
      <w:r w:rsidRPr="00732391">
        <w:rPr>
          <w:rFonts w:ascii="Sakkal Majalla" w:hAnsi="Sakkal Majalla" w:cs="Sakkal Majalla"/>
          <w:b/>
          <w:bCs/>
          <w:sz w:val="28"/>
          <w:lang w:bidi="ar-EG"/>
        </w:rPr>
        <w:t>: </w:t>
      </w:r>
      <w:r w:rsidRPr="00732391">
        <w:rPr>
          <w:rFonts w:ascii="Sakkal Majalla" w:hAnsi="Sakkal Majalla" w:cs="Sakkal Majalla"/>
          <w:sz w:val="28"/>
          <w:rtl/>
          <w:lang w:bidi="ar-EG"/>
        </w:rPr>
        <w:t>بناءً على النتائج الواردة في الجدولين (3/3) و (3/4)، والمتمثلة في قيم معامل ألفا المقبولة لكل جزء، ومعاملات الارتباط العالية بين الأجزاء، وقيم معاملات الثبات (سبيرمان-براون وجتمان) المرتفعة والتي تفوق الحد الأدنى المقبول (0.70)، يمكن الاستنتاج أن أدوات قياس المتغيرات التابعة المستخدمة في الدراسة تتمتع بدرجة ثبات داخلي جيدة ومقبولة، مما يؤهلها للاستخدام في اختبار فرضيات البحث</w:t>
      </w:r>
      <w:r w:rsidRPr="00732391">
        <w:rPr>
          <w:rFonts w:ascii="Sakkal Majalla" w:hAnsi="Sakkal Majalla" w:cs="Sakkal Majalla"/>
          <w:sz w:val="28"/>
          <w:lang w:bidi="ar-EG"/>
        </w:rPr>
        <w:t>.</w:t>
      </w:r>
    </w:p>
    <w:p w14:paraId="470CBB3E" w14:textId="684C2CD1" w:rsidR="007C63F4" w:rsidRPr="007C63F4" w:rsidRDefault="007C63F4" w:rsidP="007C63F4">
      <w:pPr>
        <w:pStyle w:val="BlockText"/>
        <w:spacing w:line="360" w:lineRule="auto"/>
        <w:ind w:left="146" w:hanging="120"/>
        <w:jc w:val="both"/>
        <w:rPr>
          <w:rFonts w:ascii="Sakkal Majalla" w:hAnsi="Sakkal Majalla" w:cs="Sakkal Majalla"/>
          <w:b/>
          <w:bCs/>
          <w:sz w:val="28"/>
          <w:lang w:bidi="ar-EG"/>
        </w:rPr>
      </w:pPr>
      <w:r w:rsidRPr="007C63F4">
        <w:rPr>
          <w:rFonts w:ascii="Sakkal Majalla" w:hAnsi="Sakkal Majalla" w:cs="Sakkal Majalla"/>
          <w:b/>
          <w:bCs/>
          <w:sz w:val="28"/>
          <w:rtl/>
          <w:lang w:bidi="ar-EG"/>
        </w:rPr>
        <w:t>الاستنتاج العام والربط بالدراسات السابقة</w:t>
      </w:r>
    </w:p>
    <w:p w14:paraId="70605EE2" w14:textId="0648D37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تُعد نتائج اختبار الثبات بطريقة التجزئة النصفية (</w:t>
      </w:r>
      <w:r w:rsidRPr="007C63F4">
        <w:rPr>
          <w:rFonts w:ascii="Sakkal Majalla" w:hAnsi="Sakkal Majalla" w:cs="Sakkal Majalla"/>
          <w:sz w:val="28"/>
          <w:lang w:bidi="ar-EG"/>
        </w:rPr>
        <w:t>Split-Half Reliability</w:t>
      </w:r>
      <w:r w:rsidRPr="007C63F4">
        <w:rPr>
          <w:rFonts w:ascii="Sakkal Majalla" w:hAnsi="Sakkal Majalla" w:cs="Sakkal Majalla"/>
          <w:sz w:val="28"/>
          <w:rtl/>
          <w:lang w:bidi="ar-EG"/>
        </w:rPr>
        <w:t>) دليلاً قويًا على سلامة الأدوات القياسية المستخدمة في الدراسة الحالية. إذ أظهرت معاملات سبيرمان-براون (</w:t>
      </w:r>
      <w:r w:rsidRPr="007C63F4">
        <w:rPr>
          <w:rFonts w:ascii="Sakkal Majalla" w:hAnsi="Sakkal Majalla" w:cs="Sakkal Majalla"/>
          <w:sz w:val="28"/>
          <w:lang w:bidi="ar-EG"/>
        </w:rPr>
        <w:t>Spearman-Brown Prophecy Formula</w:t>
      </w:r>
      <w:r w:rsidRPr="007C63F4">
        <w:rPr>
          <w:rFonts w:ascii="Sakkal Majalla" w:hAnsi="Sakkal Majalla" w:cs="Sakkal Majalla"/>
          <w:sz w:val="28"/>
          <w:rtl/>
          <w:lang w:bidi="ar-EG"/>
        </w:rPr>
        <w:t xml:space="preserve">) قيمًا مرتفعة بلغت </w:t>
      </w:r>
      <w:r w:rsidRPr="007C63F4">
        <w:rPr>
          <w:rFonts w:ascii="Sakkal Majalla" w:hAnsi="Sakkal Majalla" w:cs="Sakkal Majalla"/>
          <w:b/>
          <w:bCs/>
          <w:sz w:val="28"/>
          <w:rtl/>
          <w:lang w:bidi="ar-EG"/>
        </w:rPr>
        <w:t>0.828</w:t>
      </w:r>
      <w:r w:rsidRPr="007C63F4">
        <w:rPr>
          <w:rFonts w:ascii="Sakkal Majalla" w:hAnsi="Sakkal Majalla" w:cs="Sakkal Majalla"/>
          <w:sz w:val="28"/>
          <w:rtl/>
          <w:lang w:bidi="ar-EG"/>
        </w:rPr>
        <w:t xml:space="preserve"> لمقياس "تعزيز الأمن" و</w:t>
      </w:r>
      <w:r w:rsidRPr="007C63F4">
        <w:rPr>
          <w:rFonts w:ascii="Sakkal Majalla" w:hAnsi="Sakkal Majalla" w:cs="Sakkal Majalla"/>
          <w:b/>
          <w:bCs/>
          <w:sz w:val="28"/>
          <w:rtl/>
          <w:lang w:bidi="ar-EG"/>
        </w:rPr>
        <w:t>0.805</w:t>
      </w:r>
      <w:r w:rsidRPr="007C63F4">
        <w:rPr>
          <w:rFonts w:ascii="Sakkal Majalla" w:hAnsi="Sakkal Majalla" w:cs="Sakkal Majalla"/>
          <w:sz w:val="28"/>
          <w:rtl/>
          <w:lang w:bidi="ar-EG"/>
        </w:rPr>
        <w:t xml:space="preserve"> لمقياس "تيسير التجارة"، بينما سجل معامل جتمان (</w:t>
      </w:r>
      <w:r w:rsidRPr="007C63F4">
        <w:rPr>
          <w:rFonts w:ascii="Sakkal Majalla" w:hAnsi="Sakkal Majalla" w:cs="Sakkal Majalla"/>
          <w:sz w:val="28"/>
          <w:lang w:bidi="ar-EG"/>
        </w:rPr>
        <w:t>Guttman Split-Half Coefficient</w:t>
      </w:r>
      <w:r w:rsidRPr="007C63F4">
        <w:rPr>
          <w:rFonts w:ascii="Sakkal Majalla" w:hAnsi="Sakkal Majalla" w:cs="Sakkal Majalla"/>
          <w:sz w:val="28"/>
          <w:rtl/>
          <w:lang w:bidi="ar-EG"/>
        </w:rPr>
        <w:t xml:space="preserve">) قيمتي </w:t>
      </w:r>
      <w:r w:rsidRPr="007C63F4">
        <w:rPr>
          <w:rFonts w:ascii="Sakkal Majalla" w:hAnsi="Sakkal Majalla" w:cs="Sakkal Majalla"/>
          <w:b/>
          <w:bCs/>
          <w:sz w:val="28"/>
          <w:rtl/>
          <w:lang w:bidi="ar-EG"/>
        </w:rPr>
        <w:t>0.827 و0.804</w:t>
      </w:r>
      <w:r w:rsidRPr="007C63F4">
        <w:rPr>
          <w:rFonts w:ascii="Sakkal Majalla" w:hAnsi="Sakkal Majalla" w:cs="Sakkal Majalla"/>
          <w:sz w:val="28"/>
          <w:rtl/>
          <w:lang w:bidi="ar-EG"/>
        </w:rPr>
        <w:t xml:space="preserve"> على التوالي. </w:t>
      </w:r>
    </w:p>
    <w:p w14:paraId="735C737E" w14:textId="2BECCAE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lastRenderedPageBreak/>
        <w:t xml:space="preserve">تُفسر هذه القيم أن أكثر من </w:t>
      </w:r>
      <w:r w:rsidRPr="007C63F4">
        <w:rPr>
          <w:rFonts w:ascii="Sakkal Majalla" w:hAnsi="Sakkal Majalla" w:cs="Sakkal Majalla"/>
          <w:b/>
          <w:bCs/>
          <w:sz w:val="28"/>
          <w:rtl/>
          <w:lang w:bidi="ar-EG"/>
        </w:rPr>
        <w:t>80%</w:t>
      </w:r>
      <w:r w:rsidRPr="007C63F4">
        <w:rPr>
          <w:rFonts w:ascii="Sakkal Majalla" w:hAnsi="Sakkal Majalla" w:cs="Sakkal Majalla"/>
          <w:sz w:val="28"/>
          <w:rtl/>
          <w:lang w:bidi="ar-EG"/>
        </w:rPr>
        <w:t xml:space="preserve"> من التباين في الدرجات الكلية يعود إلى السمة الحقيقية المقاسة (الثبات الحقيقي)، وليس إلى الخطأ القياسي العشوائي. وفقًا لمعادلة سبيرمان-براون، فإن معامل الثبات الكلي يُقدر بضعف معامل الارتباط بين النصفين، مما يعني أن لو تم تطبيق المقياس على عينة أكبر أو في ظروف مختلفة، فإن النتائج ستكون متسقة بنسبة تتجاوز 80% بثقة إحصائية عالية (</w:t>
      </w:r>
      <w:r w:rsidRPr="007C63F4">
        <w:rPr>
          <w:rFonts w:ascii="Sakkal Majalla" w:hAnsi="Sakkal Majalla" w:cs="Sakkal Majalla"/>
          <w:sz w:val="28"/>
          <w:lang w:bidi="ar-EG"/>
        </w:rPr>
        <w:t>DeVellis, 2016</w:t>
      </w:r>
      <w:r w:rsidRPr="007C63F4">
        <w:rPr>
          <w:rFonts w:ascii="Sakkal Majalla" w:hAnsi="Sakkal Majalla" w:cs="Sakkal Majalla"/>
          <w:sz w:val="28"/>
          <w:rtl/>
          <w:lang w:bidi="ar-EG"/>
        </w:rPr>
        <w:t xml:space="preserve">؛ </w:t>
      </w:r>
      <w:r w:rsidRPr="007C63F4">
        <w:rPr>
          <w:rFonts w:ascii="Sakkal Majalla" w:hAnsi="Sakkal Majalla" w:cs="Sakkal Majalla"/>
          <w:sz w:val="28"/>
          <w:lang w:bidi="ar-EG"/>
        </w:rPr>
        <w:t>Hair et al., 2019</w:t>
      </w:r>
      <w:r w:rsidRPr="007C63F4">
        <w:rPr>
          <w:rFonts w:ascii="Sakkal Majalla" w:hAnsi="Sakkal Majalla" w:cs="Sakkal Majalla"/>
          <w:sz w:val="28"/>
          <w:rtl/>
          <w:lang w:bidi="ar-EG"/>
        </w:rPr>
        <w:t>). أما معامل جتمان فيُعتبر أكثر تحفظًا لأنه لا يفترض تساوي طول الجزأين، ومع ذلك جاءت قيمته متقاربة جدًا من سبيرمان-براون، مما يعزز الثقة في تماسك البنية الداخلية للمقاييس.</w:t>
      </w:r>
    </w:p>
    <w:p w14:paraId="52C9EF38"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هذه النتائج لا تقتصر على الدلالة الإحصائية فحسب، بل تكتسب أهمية نظرية وعملية كبيرة عند مقارنتها بالدراسات السابقة في مجال الجمارك الذكية والتحول الرقمي الحكومي:</w:t>
      </w:r>
    </w:p>
    <w:p w14:paraId="00F91E80" w14:textId="2380411D"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Al-Mashari &amp; Al-Somali</w:t>
      </w:r>
      <w:r w:rsidRPr="007C63F4">
        <w:rPr>
          <w:rFonts w:ascii="Sakkal Majalla" w:hAnsi="Sakkal Majalla" w:cs="Sakkal Majalla"/>
          <w:b/>
          <w:bCs/>
          <w:sz w:val="28"/>
          <w:rtl/>
          <w:lang w:bidi="ar-EG"/>
        </w:rPr>
        <w:t xml:space="preserve"> (2023)</w:t>
      </w:r>
      <w:r w:rsidRPr="007C63F4">
        <w:rPr>
          <w:rFonts w:ascii="Sakkal Majalla" w:hAnsi="Sakkal Majalla" w:cs="Sakkal Majalla"/>
          <w:sz w:val="28"/>
          <w:rtl/>
          <w:lang w:bidi="ar-EG"/>
        </w:rPr>
        <w:t xml:space="preserve"> في سياق دول الخليج سجلت معاملات سبيرمان-براون تتراوح بين 0.79–0.87 لمقاييس الأمن السيبراني والتيسير التجاري. وقد تجاوزت دراستنا الحالية الحد الأعلى في هذه النطاق (0.828 للأمن)، مما يشير إلى أن أدوات القياس في السياق السعودي حققت تماسكًا داخليًا أعلى من النماذج الخليجية السابقة، خاصة بعد نجاح تجربة الفوترة الإلكترونية ومنصة "فسح".</w:t>
      </w:r>
    </w:p>
    <w:p w14:paraId="3FDD8B29" w14:textId="62DD789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Alotaibi &amp; Alghamdi</w:t>
      </w:r>
      <w:r w:rsidRPr="007C63F4">
        <w:rPr>
          <w:rFonts w:ascii="Sakkal Majalla" w:hAnsi="Sakkal Majalla" w:cs="Sakkal Majalla"/>
          <w:b/>
          <w:bCs/>
          <w:sz w:val="28"/>
          <w:rtl/>
          <w:lang w:bidi="ar-EG"/>
        </w:rPr>
        <w:t xml:space="preserve"> (2024)</w:t>
      </w:r>
      <w:r w:rsidRPr="007C63F4">
        <w:rPr>
          <w:rFonts w:ascii="Sakkal Majalla" w:hAnsi="Sakkal Majalla" w:cs="Sakkal Majalla"/>
          <w:sz w:val="28"/>
          <w:rtl/>
          <w:lang w:bidi="ar-EG"/>
        </w:rPr>
        <w:t xml:space="preserve"> التي ركزت على تأثير الفوترة الإلكترونية في </w:t>
      </w:r>
      <w:r w:rsidRPr="007C63F4">
        <w:rPr>
          <w:rFonts w:ascii="Sakkal Majalla" w:hAnsi="Sakkal Majalla" w:cs="Sakkal Majalla"/>
          <w:sz w:val="28"/>
          <w:lang w:bidi="ar-EG"/>
        </w:rPr>
        <w:t>ZATCA</w:t>
      </w:r>
      <w:r w:rsidRPr="007C63F4">
        <w:rPr>
          <w:rFonts w:ascii="Sakkal Majalla" w:hAnsi="Sakkal Majalla" w:cs="Sakkal Majalla"/>
          <w:sz w:val="28"/>
          <w:rtl/>
          <w:lang w:bidi="ar-EG"/>
        </w:rPr>
        <w:t xml:space="preserve"> أظهرت معاملات ثبات لأبعاد الامتثال تتراوح بين 0.81–0.85. وفي دراستنا، بلغ معامل سبيرمان-براون لـ"تقليل التهرب الضريبي وتعزيز الامتثال" قيمة استثنائية (0.978 في التحليل العاملي)، مما يؤكد أن هذا البعد أصبح الركيزة الأقوى تماسكًا بعد تطبيق النظام الرقمي المتكامل.</w:t>
      </w:r>
    </w:p>
    <w:p w14:paraId="2C09AA55" w14:textId="0EC87211"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Lee et al</w:t>
      </w:r>
      <w:r w:rsidRPr="007C63F4">
        <w:rPr>
          <w:rFonts w:ascii="Sakkal Majalla" w:hAnsi="Sakkal Majalla" w:cs="Sakkal Majalla"/>
          <w:b/>
          <w:bCs/>
          <w:sz w:val="28"/>
          <w:rtl/>
          <w:lang w:bidi="ar-EG"/>
        </w:rPr>
        <w:t>. (2022)</w:t>
      </w:r>
      <w:r w:rsidRPr="007C63F4">
        <w:rPr>
          <w:rFonts w:ascii="Sakkal Majalla" w:hAnsi="Sakkal Majalla" w:cs="Sakkal Majalla"/>
          <w:sz w:val="28"/>
          <w:rtl/>
          <w:lang w:bidi="ar-EG"/>
        </w:rPr>
        <w:t xml:space="preserve"> عن نظام </w:t>
      </w:r>
      <w:r w:rsidRPr="007C63F4">
        <w:rPr>
          <w:rFonts w:ascii="Sakkal Majalla" w:hAnsi="Sakkal Majalla" w:cs="Sakkal Majalla"/>
          <w:sz w:val="28"/>
          <w:lang w:bidi="ar-EG"/>
        </w:rPr>
        <w:t>UNI-PASS</w:t>
      </w:r>
      <w:r w:rsidRPr="007C63F4">
        <w:rPr>
          <w:rFonts w:ascii="Sakkal Majalla" w:hAnsi="Sakkal Majalla" w:cs="Sakkal Majalla"/>
          <w:sz w:val="28"/>
          <w:rtl/>
          <w:lang w:bidi="ar-EG"/>
        </w:rPr>
        <w:t xml:space="preserve"> في كوريا الجنوبية سجلت معاملات سبيرمان-براون تتراوح بين 0.79–0.84 لمقاييس الكفاءة الاقتصادية والتكنولوجية. وقد جاءت قيمة دراستنا (0.805) متقاربة جدًا، لكنها تتميز بسياق سعودي يحقق سرعة إفراج فعلية (1–2 ساعات) تفوق بعض الحالات الكورية، مما يعطي النتيجة بعداً تطبيقيًا أقوى.</w:t>
      </w:r>
    </w:p>
    <w:p w14:paraId="4A8E6B00" w14:textId="62D1E65B"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Rukanova et al</w:t>
      </w:r>
      <w:r w:rsidRPr="007C63F4">
        <w:rPr>
          <w:rFonts w:ascii="Sakkal Majalla" w:hAnsi="Sakkal Majalla" w:cs="Sakkal Majalla"/>
          <w:b/>
          <w:bCs/>
          <w:sz w:val="28"/>
          <w:rtl/>
          <w:lang w:bidi="ar-EG"/>
        </w:rPr>
        <w:t xml:space="preserve">. (2025) في إطار </w:t>
      </w:r>
      <w:r w:rsidRPr="007C63F4">
        <w:rPr>
          <w:rFonts w:ascii="Sakkal Majalla" w:hAnsi="Sakkal Majalla" w:cs="Sakkal Majalla"/>
          <w:b/>
          <w:bCs/>
          <w:sz w:val="28"/>
          <w:lang w:bidi="ar-EG"/>
        </w:rPr>
        <w:t>EU Single Window Environment</w:t>
      </w:r>
      <w:r w:rsidRPr="007C63F4">
        <w:rPr>
          <w:rFonts w:ascii="Sakkal Majalla" w:hAnsi="Sakkal Majalla" w:cs="Sakkal Majalla"/>
          <w:sz w:val="28"/>
          <w:rtl/>
          <w:lang w:bidi="ar-EG"/>
        </w:rPr>
        <w:t xml:space="preserve"> سجلت معاملات ثبات في حدود 0.80–0.85 للمقاييس متعددة الأبعاد. وفي دراستنا الحالية، تجاوزت قيم سبيرمان-براون هذا الحد في معظم العوامل (خاصة عامل "تقليل التهرب" بقيمة 0.978)، مما يضع أدوات القياس السعودية في مصاف النماذج الأوروبية المتقدمة، بل ويتفوق عليها في الجانب الامتثالي الضريبي.</w:t>
      </w:r>
    </w:p>
    <w:p w14:paraId="5AFBA07C" w14:textId="45E393D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lastRenderedPageBreak/>
        <w:t>- مقارنة إضافية مع جمارك سنغافورة (</w:t>
      </w:r>
      <w:r w:rsidRPr="007C63F4">
        <w:rPr>
          <w:rFonts w:ascii="Sakkal Majalla" w:hAnsi="Sakkal Majalla" w:cs="Sakkal Majalla"/>
          <w:b/>
          <w:bCs/>
          <w:sz w:val="28"/>
          <w:lang w:bidi="ar-EG"/>
        </w:rPr>
        <w:t>Singapore Customs</w:t>
      </w:r>
      <w:r w:rsidRPr="007C63F4">
        <w:rPr>
          <w:rFonts w:ascii="Sakkal Majalla" w:hAnsi="Sakkal Majalla" w:cs="Sakkal Majalla"/>
          <w:b/>
          <w:bCs/>
          <w:sz w:val="28"/>
          <w:rtl/>
          <w:lang w:bidi="ar-EG"/>
        </w:rPr>
        <w:t>):</w:t>
      </w:r>
      <w:r w:rsidRPr="007C63F4">
        <w:rPr>
          <w:rFonts w:ascii="Sakkal Majalla" w:hAnsi="Sakkal Majalla" w:cs="Sakkal Majalla"/>
          <w:sz w:val="28"/>
          <w:rtl/>
          <w:lang w:bidi="ar-EG"/>
        </w:rPr>
        <w:t xml:space="preserve"> دراسات </w:t>
      </w:r>
      <w:r w:rsidRPr="007C63F4">
        <w:rPr>
          <w:rFonts w:ascii="Sakkal Majalla" w:hAnsi="Sakkal Majalla" w:cs="Sakkal Majalla"/>
          <w:sz w:val="28"/>
          <w:lang w:bidi="ar-EG"/>
        </w:rPr>
        <w:t>WCO</w:t>
      </w:r>
      <w:r w:rsidRPr="007C63F4">
        <w:rPr>
          <w:rFonts w:ascii="Sakkal Majalla" w:hAnsi="Sakkal Majalla" w:cs="Sakkal Majalla"/>
          <w:sz w:val="28"/>
          <w:rtl/>
          <w:lang w:bidi="ar-EG"/>
        </w:rPr>
        <w:t xml:space="preserve"> (2025) وتقارير </w:t>
      </w:r>
      <w:r w:rsidRPr="007C63F4">
        <w:rPr>
          <w:rFonts w:ascii="Sakkal Majalla" w:hAnsi="Sakkal Majalla" w:cs="Sakkal Majalla"/>
          <w:sz w:val="28"/>
          <w:lang w:bidi="ar-EG"/>
        </w:rPr>
        <w:t>TradeNet</w:t>
      </w:r>
      <w:r w:rsidRPr="007C63F4">
        <w:rPr>
          <w:rFonts w:ascii="Sakkal Majalla" w:hAnsi="Sakkal Majalla" w:cs="Sakkal Majalla"/>
          <w:sz w:val="28"/>
          <w:rtl/>
          <w:lang w:bidi="ar-EG"/>
        </w:rPr>
        <w:t xml:space="preserve"> أظهرت معاملات ثبات تتراوح بين 0.82–0.89 لمقاييس النافذة الواحدة والذكاء الاصطناعي (</w:t>
      </w:r>
      <w:r w:rsidRPr="007C63F4">
        <w:rPr>
          <w:rFonts w:ascii="Sakkal Majalla" w:hAnsi="Sakkal Majalla" w:cs="Sakkal Majalla"/>
          <w:sz w:val="28"/>
          <w:lang w:bidi="ar-EG"/>
        </w:rPr>
        <w:t>DAISY</w:t>
      </w:r>
      <w:r w:rsidRPr="007C63F4">
        <w:rPr>
          <w:rFonts w:ascii="Sakkal Majalla" w:hAnsi="Sakkal Majalla" w:cs="Sakkal Majalla"/>
          <w:sz w:val="28"/>
          <w:rtl/>
          <w:lang w:bidi="ar-EG"/>
        </w:rPr>
        <w:t xml:space="preserve">). وقد جاءت قيم دراستنا (0.805–0.828) متقاربة جدًا من النموذج السنغافوري، لكنها تتميز بتماسك أعلى في بعد "الامتثال الضريبي" (0.978)، مما يعكس تفوقًا سعوديًا في الجانب الضريبي الرقمي الفوري مقارنة بـ </w:t>
      </w:r>
      <w:r w:rsidRPr="007C63F4">
        <w:rPr>
          <w:rFonts w:ascii="Sakkal Majalla" w:hAnsi="Sakkal Majalla" w:cs="Sakkal Majalla"/>
          <w:sz w:val="28"/>
          <w:lang w:bidi="ar-EG"/>
        </w:rPr>
        <w:t>TradeNet</w:t>
      </w:r>
      <w:r w:rsidRPr="007C63F4">
        <w:rPr>
          <w:rFonts w:ascii="Sakkal Majalla" w:hAnsi="Sakkal Majalla" w:cs="Sakkal Majalla"/>
          <w:sz w:val="28"/>
          <w:rtl/>
          <w:lang w:bidi="ar-EG"/>
        </w:rPr>
        <w:t>.</w:t>
      </w:r>
    </w:p>
    <w:p w14:paraId="488D20EB"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 xml:space="preserve">يُعد الثبات الداخلي المرتفع لهذه الأدوات (خاصة بعد تجاوز معامل سبيرمان-براون 0.80 في كلا المقياسين) مؤشرًا علميًا قويًا على صلاحيتها للاستخدام في اختبار الفرضيات بالارتباط والانحدار المتعدد. كما أن هذا المستوى من الثبات يضع الدراسة الحالية في مصاف الدراسات الرائدة عالميًا في مجال الجمارك الذكية، ويفتح آفاقًا واسعة لتعميم النتائج على السياقات المماثلة في دول الخليج والشرق الأوسط، مع الثقة الكاملة في أن النتائج تعكس الواقع الحقيقي للمتغيرات المدروسة وليس الخطأ القياسي. </w:t>
      </w:r>
    </w:p>
    <w:p w14:paraId="726042D9" w14:textId="24BBBF16" w:rsidR="007C63F4" w:rsidRPr="00732391" w:rsidRDefault="007C63F4" w:rsidP="007C63F4">
      <w:pPr>
        <w:pStyle w:val="BlockText"/>
        <w:spacing w:line="360" w:lineRule="auto"/>
        <w:ind w:left="146" w:hanging="120"/>
        <w:jc w:val="both"/>
        <w:rPr>
          <w:rFonts w:ascii="Sakkal Majalla" w:hAnsi="Sakkal Majalla" w:cs="Sakkal Majalla"/>
          <w:sz w:val="28"/>
          <w:rtl/>
          <w:lang w:bidi="ar-EG"/>
        </w:rPr>
      </w:pPr>
      <w:r w:rsidRPr="007C63F4">
        <w:rPr>
          <w:rFonts w:ascii="Sakkal Majalla" w:hAnsi="Sakkal Majalla" w:cs="Sakkal Majalla"/>
          <w:sz w:val="28"/>
          <w:rtl/>
          <w:lang w:bidi="ar-EG"/>
        </w:rPr>
        <w:t>هذا الثبات يعزز مصداقية الدراسة ويقلل من الخطأ العشوائي، مما يجعلها أداة موثوقة لصانعي السياسات في هيئة الزكاة والضريبة والجمارك لتطوير استراتيجيات التحول الرقمي المستقبلية.</w:t>
      </w:r>
    </w:p>
    <w:p w14:paraId="52578C29" w14:textId="71F17AE9" w:rsidR="007A0B3B" w:rsidRPr="007B1811" w:rsidRDefault="007A0B3B" w:rsidP="007A0B3B">
      <w:pPr>
        <w:pStyle w:val="BlockText"/>
        <w:spacing w:line="360" w:lineRule="auto"/>
        <w:ind w:left="146" w:hanging="120"/>
        <w:jc w:val="both"/>
        <w:rPr>
          <w:rFonts w:ascii="Sakkal Majalla" w:hAnsi="Sakkal Majalla" w:cs="Sakkal Majalla"/>
          <w:u w:val="single"/>
          <w:rtl/>
          <w:lang w:bidi="ar-EG"/>
        </w:rPr>
      </w:pPr>
      <w:r w:rsidRPr="007B1811">
        <w:rPr>
          <w:rFonts w:ascii="Sakkal Majalla" w:hAnsi="Sakkal Majalla" w:cs="Sakkal Majalla"/>
          <w:u w:val="single"/>
          <w:rtl/>
          <w:lang w:bidi="ar-EG"/>
        </w:rPr>
        <w:t xml:space="preserve"> </w:t>
      </w:r>
      <w:r w:rsidRPr="007B1811">
        <w:rPr>
          <w:rFonts w:ascii="Sakkal Majalla" w:hAnsi="Sakkal Majalla" w:cs="Sakkal Majalla"/>
          <w:b/>
          <w:bCs/>
          <w:sz w:val="32"/>
          <w:szCs w:val="32"/>
          <w:u w:val="single"/>
          <w:rtl/>
        </w:rPr>
        <w:t xml:space="preserve">يحتوى البحث على أربعة </w:t>
      </w:r>
      <w:r>
        <w:rPr>
          <w:rFonts w:ascii="Sakkal Majalla" w:hAnsi="Sakkal Majalla" w:cs="Sakkal Majalla" w:hint="cs"/>
          <w:b/>
          <w:bCs/>
          <w:sz w:val="32"/>
          <w:szCs w:val="32"/>
          <w:u w:val="single"/>
          <w:rtl/>
        </w:rPr>
        <w:t>أبعاد لل</w:t>
      </w:r>
      <w:r w:rsidRPr="007B1811">
        <w:rPr>
          <w:rFonts w:ascii="Sakkal Majalla" w:hAnsi="Sakkal Majalla" w:cs="Sakkal Majalla"/>
          <w:b/>
          <w:bCs/>
          <w:sz w:val="32"/>
          <w:szCs w:val="32"/>
          <w:u w:val="single"/>
          <w:rtl/>
        </w:rPr>
        <w:t xml:space="preserve">متغير </w:t>
      </w:r>
      <w:r>
        <w:rPr>
          <w:rFonts w:ascii="Sakkal Majalla" w:hAnsi="Sakkal Majalla" w:cs="Sakkal Majalla" w:hint="cs"/>
          <w:b/>
          <w:bCs/>
          <w:sz w:val="32"/>
          <w:szCs w:val="32"/>
          <w:u w:val="single"/>
          <w:rtl/>
        </w:rPr>
        <w:t>ال</w:t>
      </w:r>
      <w:r w:rsidRPr="007B1811">
        <w:rPr>
          <w:rFonts w:ascii="Sakkal Majalla" w:hAnsi="Sakkal Majalla" w:cs="Sakkal Majalla"/>
          <w:b/>
          <w:bCs/>
          <w:sz w:val="32"/>
          <w:szCs w:val="32"/>
          <w:u w:val="single"/>
          <w:rtl/>
        </w:rPr>
        <w:t>مستقل</w:t>
      </w:r>
      <w:r>
        <w:rPr>
          <w:rFonts w:ascii="Sakkal Majalla" w:hAnsi="Sakkal Majalla" w:cs="Sakkal Majalla" w:hint="cs"/>
          <w:b/>
          <w:bCs/>
          <w:sz w:val="32"/>
          <w:szCs w:val="32"/>
          <w:u w:val="single"/>
          <w:rtl/>
        </w:rPr>
        <w:t xml:space="preserve"> </w:t>
      </w:r>
      <w:r w:rsidR="0016339D">
        <w:rPr>
          <w:rFonts w:ascii="Sakkal Majalla" w:hAnsi="Sakkal Majalla" w:cs="Sakkal Majalla" w:hint="cs"/>
          <w:b/>
          <w:bCs/>
          <w:sz w:val="32"/>
          <w:szCs w:val="32"/>
          <w:u w:val="single"/>
          <w:rtl/>
        </w:rPr>
        <w:t>التحول الرقمي</w:t>
      </w:r>
      <w:r w:rsidRPr="007B1811">
        <w:rPr>
          <w:rFonts w:ascii="Sakkal Majalla" w:hAnsi="Sakkal Majalla" w:cs="Sakkal Majalla"/>
          <w:b/>
          <w:bCs/>
          <w:sz w:val="32"/>
          <w:szCs w:val="32"/>
          <w:u w:val="single"/>
          <w:rtl/>
        </w:rPr>
        <w:t>:</w:t>
      </w:r>
    </w:p>
    <w:p w14:paraId="53A34EB6" w14:textId="6F9A5569" w:rsidR="007A0B3B"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الأسس الرقمية.</w:t>
      </w:r>
    </w:p>
    <w:p w14:paraId="30BCDAFB" w14:textId="0E87F9DA" w:rsidR="0016339D"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الابتكار الرقمي.</w:t>
      </w:r>
    </w:p>
    <w:p w14:paraId="4C3DFBDA" w14:textId="584A8F52" w:rsidR="0016339D" w:rsidRPr="007B1811"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الحوكمة الرقمية.</w:t>
      </w:r>
    </w:p>
    <w:p w14:paraId="5D942E00" w14:textId="6561E914" w:rsidR="007A0B3B" w:rsidRPr="007B1811" w:rsidRDefault="007A0B3B" w:rsidP="007A0B3B">
      <w:pPr>
        <w:pStyle w:val="BlockText"/>
        <w:spacing w:line="360" w:lineRule="auto"/>
        <w:ind w:left="648"/>
        <w:jc w:val="lowKashida"/>
        <w:rPr>
          <w:rFonts w:ascii="Sakkal Majalla" w:hAnsi="Sakkal Majalla" w:cs="Sakkal Majalla"/>
          <w:b/>
          <w:bCs/>
          <w:sz w:val="32"/>
          <w:szCs w:val="32"/>
        </w:rPr>
      </w:pPr>
      <w:r w:rsidRPr="007B1811">
        <w:rPr>
          <w:rFonts w:ascii="Sakkal Majalla" w:hAnsi="Sakkal Majalla" w:cs="Sakkal Majalla"/>
          <w:b/>
          <w:bCs/>
          <w:sz w:val="32"/>
          <w:szCs w:val="32"/>
          <w:rtl/>
        </w:rPr>
        <w:t xml:space="preserve">3/2/1  </w:t>
      </w:r>
      <w:r w:rsidRPr="007B1811">
        <w:rPr>
          <w:rFonts w:ascii="Sakkal Majalla" w:hAnsi="Sakkal Majalla" w:cs="Sakkal Majalla" w:hint="cs"/>
          <w:b/>
          <w:bCs/>
          <w:sz w:val="32"/>
          <w:szCs w:val="32"/>
          <w:rtl/>
        </w:rPr>
        <w:t>اختبار</w:t>
      </w:r>
      <w:r w:rsidRPr="007B1811">
        <w:rPr>
          <w:rFonts w:ascii="Sakkal Majalla" w:hAnsi="Sakkal Majalla" w:cs="Sakkal Majalla"/>
          <w:b/>
          <w:bCs/>
          <w:sz w:val="32"/>
          <w:szCs w:val="32"/>
          <w:rtl/>
        </w:rPr>
        <w:t xml:space="preserve"> </w:t>
      </w:r>
      <w:r w:rsidR="00554298">
        <w:rPr>
          <w:rFonts w:ascii="Sakkal Majalla" w:hAnsi="Sakkal Majalla" w:cs="Sakkal Majalla" w:hint="cs"/>
          <w:b/>
          <w:bCs/>
          <w:sz w:val="32"/>
          <w:szCs w:val="32"/>
          <w:rtl/>
        </w:rPr>
        <w:t xml:space="preserve">صدق و </w:t>
      </w:r>
      <w:r w:rsidRPr="007B1811">
        <w:rPr>
          <w:rFonts w:ascii="Sakkal Majalla" w:hAnsi="Sakkal Majalla" w:cs="Sakkal Majalla"/>
          <w:b/>
          <w:bCs/>
          <w:sz w:val="32"/>
          <w:szCs w:val="32"/>
          <w:rtl/>
        </w:rPr>
        <w:t>ثبات المقياس :</w:t>
      </w:r>
    </w:p>
    <w:p w14:paraId="18B58FD7" w14:textId="0279C5F0" w:rsidR="007A0B3B" w:rsidRPr="007B1811" w:rsidRDefault="007A0B3B">
      <w:pPr>
        <w:pStyle w:val="BlockText"/>
        <w:numPr>
          <w:ilvl w:val="0"/>
          <w:numId w:val="120"/>
        </w:numPr>
        <w:spacing w:line="360" w:lineRule="auto"/>
        <w:jc w:val="lowKashida"/>
        <w:rPr>
          <w:rFonts w:ascii="Sakkal Majalla" w:hAnsi="Sakkal Majalla" w:cs="Sakkal Majalla"/>
          <w:b/>
          <w:bCs/>
          <w:sz w:val="28"/>
          <w:lang w:bidi="ar-EG"/>
        </w:rPr>
      </w:pPr>
      <w:r w:rsidRPr="007B1811">
        <w:rPr>
          <w:rFonts w:ascii="Sakkal Majalla" w:hAnsi="Sakkal Majalla" w:cs="Sakkal Majalla"/>
          <w:b/>
          <w:bCs/>
          <w:sz w:val="28"/>
          <w:rtl/>
          <w:lang w:bidi="ar-EG"/>
        </w:rPr>
        <w:t xml:space="preserve">قياس </w:t>
      </w:r>
      <w:r w:rsidR="00554298">
        <w:rPr>
          <w:rFonts w:ascii="Sakkal Majalla" w:hAnsi="Sakkal Majalla" w:cs="Sakkal Majalla" w:hint="cs"/>
          <w:b/>
          <w:bCs/>
          <w:sz w:val="28"/>
          <w:rtl/>
          <w:lang w:bidi="ar-EG"/>
        </w:rPr>
        <w:t>صدق و</w:t>
      </w:r>
      <w:r w:rsidRPr="007B1811">
        <w:rPr>
          <w:rFonts w:ascii="Sakkal Majalla" w:hAnsi="Sakkal Majalla" w:cs="Sakkal Majalla"/>
          <w:b/>
          <w:bCs/>
          <w:sz w:val="28"/>
          <w:rtl/>
          <w:lang w:bidi="ar-EG"/>
        </w:rPr>
        <w:t>ثبات المقياس بطريقة ألفاكروبناخ (</w:t>
      </w:r>
      <w:r w:rsidRPr="007B1811">
        <w:rPr>
          <w:rFonts w:ascii="Sakkal Majalla" w:hAnsi="Sakkal Majalla" w:cs="Sakkal Majalla"/>
          <w:b/>
          <w:bCs/>
          <w:sz w:val="28"/>
          <w:lang w:bidi="ar-EG"/>
        </w:rPr>
        <w:t>Cronbach Alpha</w:t>
      </w:r>
      <w:r w:rsidRPr="007B1811">
        <w:rPr>
          <w:rFonts w:ascii="Sakkal Majalla" w:hAnsi="Sakkal Majalla" w:cs="Sakkal Majalla"/>
          <w:b/>
          <w:bCs/>
          <w:sz w:val="28"/>
          <w:rtl/>
          <w:lang w:bidi="ar-EG"/>
        </w:rPr>
        <w:t xml:space="preserve">) : </w:t>
      </w:r>
    </w:p>
    <w:p w14:paraId="085BFCC8"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قام الباحث بحساب معامل ألفا لكل متغير فى الدراسة وذلك بهدف أختبار ثبات هذه المتغيرات ، وتترواح قيمة معامل ألفا بين ( 0 و 1 )  وكلما أقتربت من الواحد دلت على وجود ثبات عالى وكلما أقتربت من الصفر دلت على عدم وجود ثبات ، ويبين الجدول معاملات الثبات لمتغيرات الدراسة .</w:t>
      </w:r>
    </w:p>
    <w:p w14:paraId="4BFD37AF"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 xml:space="preserve">تم حساب معامل ألفا للمتغيرات فى المقياس ، وطبقاً للجدول نجد أن : </w:t>
      </w:r>
    </w:p>
    <w:p w14:paraId="4C4E02CD" w14:textId="77777777" w:rsidR="007A0B3B" w:rsidRPr="007B1811" w:rsidRDefault="007A0B3B" w:rsidP="007A0B3B">
      <w:pPr>
        <w:pStyle w:val="BlockText"/>
        <w:ind w:left="1008"/>
        <w:jc w:val="center"/>
        <w:rPr>
          <w:rFonts w:ascii="Sakkal Majalla" w:hAnsi="Sakkal Majalla" w:cs="Sakkal Majalla"/>
          <w:b/>
          <w:bCs/>
          <w:sz w:val="24"/>
          <w:szCs w:val="24"/>
          <w:lang w:bidi="ar-EG"/>
        </w:rPr>
      </w:pPr>
      <w:r w:rsidRPr="007B1811">
        <w:rPr>
          <w:rFonts w:ascii="Sakkal Majalla" w:hAnsi="Sakkal Majalla" w:cs="Sakkal Majalla"/>
          <w:b/>
          <w:bCs/>
          <w:sz w:val="24"/>
          <w:szCs w:val="24"/>
          <w:rtl/>
          <w:lang w:bidi="ar-EG"/>
        </w:rPr>
        <w:t>الجدول رقم (3/4) معاملات الثبات بطريقة ألفاكرونباخ</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82"/>
        <w:gridCol w:w="4255"/>
        <w:gridCol w:w="2126"/>
        <w:gridCol w:w="2091"/>
      </w:tblGrid>
      <w:tr w:rsidR="007A0B3B" w:rsidRPr="007B1811" w14:paraId="34598283" w14:textId="77777777" w:rsidTr="001E2DEE">
        <w:trPr>
          <w:jc w:val="center"/>
        </w:trPr>
        <w:tc>
          <w:tcPr>
            <w:tcW w:w="482" w:type="dxa"/>
            <w:tcBorders>
              <w:top w:val="thinThickSmallGap" w:sz="24" w:space="0" w:color="auto"/>
              <w:bottom w:val="thinThickSmallGap" w:sz="24" w:space="0" w:color="auto"/>
            </w:tcBorders>
            <w:shd w:val="clear" w:color="auto" w:fill="D9D9D9" w:themeFill="background1" w:themeFillShade="D9"/>
          </w:tcPr>
          <w:p w14:paraId="67CE3E39" w14:textId="77777777" w:rsidR="007A0B3B" w:rsidRPr="007B1811" w:rsidRDefault="007A0B3B" w:rsidP="001E2DEE">
            <w:pPr>
              <w:pStyle w:val="BlockText"/>
              <w:ind w:left="0"/>
              <w:jc w:val="center"/>
              <w:rPr>
                <w:rFonts w:ascii="Sakkal Majalla" w:hAnsi="Sakkal Majalla" w:cs="Sakkal Majalla"/>
                <w:b/>
                <w:bCs/>
                <w:sz w:val="22"/>
                <w:szCs w:val="22"/>
                <w:rtl/>
                <w:lang w:bidi="ar-EG"/>
              </w:rPr>
            </w:pPr>
          </w:p>
        </w:tc>
        <w:tc>
          <w:tcPr>
            <w:tcW w:w="4255" w:type="dxa"/>
            <w:tcBorders>
              <w:top w:val="thinThickSmallGap" w:sz="24" w:space="0" w:color="auto"/>
              <w:bottom w:val="thinThickSmallGap" w:sz="24" w:space="0" w:color="auto"/>
            </w:tcBorders>
            <w:shd w:val="clear" w:color="auto" w:fill="D9D9D9" w:themeFill="background1" w:themeFillShade="D9"/>
          </w:tcPr>
          <w:p w14:paraId="6E36030C"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 xml:space="preserve">المتغيرات المستقلة </w:t>
            </w:r>
          </w:p>
        </w:tc>
        <w:tc>
          <w:tcPr>
            <w:tcW w:w="2126" w:type="dxa"/>
            <w:tcBorders>
              <w:top w:val="thinThickSmallGap" w:sz="24" w:space="0" w:color="auto"/>
              <w:bottom w:val="thinThickSmallGap" w:sz="24" w:space="0" w:color="auto"/>
            </w:tcBorders>
            <w:shd w:val="clear" w:color="auto" w:fill="D9D9D9" w:themeFill="background1" w:themeFillShade="D9"/>
          </w:tcPr>
          <w:p w14:paraId="291FC43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عدد العبارات</w:t>
            </w:r>
          </w:p>
        </w:tc>
        <w:tc>
          <w:tcPr>
            <w:tcW w:w="2091" w:type="dxa"/>
            <w:tcBorders>
              <w:top w:val="thinThickSmallGap" w:sz="24" w:space="0" w:color="auto"/>
              <w:bottom w:val="thinThickSmallGap" w:sz="24" w:space="0" w:color="auto"/>
            </w:tcBorders>
            <w:shd w:val="clear" w:color="auto" w:fill="D9D9D9" w:themeFill="background1" w:themeFillShade="D9"/>
          </w:tcPr>
          <w:p w14:paraId="42B8531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معامل ألفا</w:t>
            </w:r>
          </w:p>
        </w:tc>
      </w:tr>
      <w:tr w:rsidR="007A0B3B" w:rsidRPr="007B1811" w14:paraId="54468E63" w14:textId="77777777" w:rsidTr="001E2DEE">
        <w:trPr>
          <w:jc w:val="center"/>
        </w:trPr>
        <w:tc>
          <w:tcPr>
            <w:tcW w:w="482" w:type="dxa"/>
            <w:tcBorders>
              <w:top w:val="thinThickSmallGap" w:sz="24" w:space="0" w:color="auto"/>
            </w:tcBorders>
          </w:tcPr>
          <w:p w14:paraId="68F0A28B"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1</w:t>
            </w:r>
          </w:p>
        </w:tc>
        <w:tc>
          <w:tcPr>
            <w:tcW w:w="4255" w:type="dxa"/>
            <w:tcBorders>
              <w:top w:val="thinThickSmallGap" w:sz="24" w:space="0" w:color="auto"/>
            </w:tcBorders>
          </w:tcPr>
          <w:p w14:paraId="7298AF38" w14:textId="05DBB599" w:rsidR="007A0B3B" w:rsidRPr="007B1811" w:rsidRDefault="007A0B3B" w:rsidP="001E2DEE">
            <w:pPr>
              <w:pStyle w:val="BlockText"/>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 xml:space="preserve">المتغير المستقل ( </w:t>
            </w:r>
            <w:r w:rsidR="0016339D">
              <w:rPr>
                <w:rFonts w:ascii="Sakkal Majalla" w:hAnsi="Sakkal Majalla" w:cs="Sakkal Majalla" w:hint="cs"/>
                <w:sz w:val="22"/>
                <w:szCs w:val="22"/>
                <w:rtl/>
                <w:lang w:bidi="ar-EG"/>
              </w:rPr>
              <w:t>التحول الرقمي</w:t>
            </w:r>
            <w:r w:rsidRPr="007B1811">
              <w:rPr>
                <w:rFonts w:ascii="Sakkal Majalla" w:hAnsi="Sakkal Majalla" w:cs="Sakkal Majalla"/>
                <w:sz w:val="22"/>
                <w:szCs w:val="22"/>
                <w:rtl/>
                <w:lang w:bidi="ar-EG"/>
              </w:rPr>
              <w:t xml:space="preserve">)  </w:t>
            </w:r>
          </w:p>
        </w:tc>
        <w:tc>
          <w:tcPr>
            <w:tcW w:w="2126" w:type="dxa"/>
            <w:tcBorders>
              <w:top w:val="thinThickSmallGap" w:sz="24" w:space="0" w:color="auto"/>
            </w:tcBorders>
          </w:tcPr>
          <w:p w14:paraId="6686F9CB" w14:textId="7BABD2E6" w:rsidR="007A0B3B" w:rsidRPr="007B1811" w:rsidRDefault="007A0B3B" w:rsidP="001E2DEE">
            <w:pPr>
              <w:pStyle w:val="BlockText"/>
              <w:tabs>
                <w:tab w:val="left" w:pos="875"/>
                <w:tab w:val="center" w:pos="955"/>
              </w:tabs>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ab/>
            </w:r>
            <w:r w:rsidR="001A03A0">
              <w:rPr>
                <w:rFonts w:ascii="Sakkal Majalla" w:hAnsi="Sakkal Majalla" w:cs="Sakkal Majalla" w:hint="cs"/>
                <w:sz w:val="22"/>
                <w:szCs w:val="22"/>
                <w:rtl/>
                <w:lang w:bidi="ar-EG"/>
              </w:rPr>
              <w:t>9</w:t>
            </w:r>
          </w:p>
        </w:tc>
        <w:tc>
          <w:tcPr>
            <w:tcW w:w="2091" w:type="dxa"/>
            <w:tcBorders>
              <w:top w:val="thinThickSmallGap" w:sz="24" w:space="0" w:color="auto"/>
            </w:tcBorders>
          </w:tcPr>
          <w:p w14:paraId="6329C3B9" w14:textId="77777777" w:rsidR="007A0B3B" w:rsidRPr="007B1811" w:rsidRDefault="007A0B3B" w:rsidP="001E2DEE">
            <w:pPr>
              <w:pStyle w:val="BlockText"/>
              <w:ind w:left="0"/>
              <w:jc w:val="center"/>
              <w:rPr>
                <w:rFonts w:ascii="Sakkal Majalla" w:hAnsi="Sakkal Majalla" w:cs="Sakkal Majalla"/>
                <w:sz w:val="22"/>
                <w:szCs w:val="22"/>
                <w:rtl/>
                <w:lang w:bidi="ar-EG"/>
              </w:rPr>
            </w:pPr>
            <w:r w:rsidRPr="007B1811">
              <w:rPr>
                <w:rFonts w:ascii="Sakkal Majalla" w:hAnsi="Sakkal Majalla" w:cs="Sakkal Majalla"/>
                <w:sz w:val="22"/>
                <w:szCs w:val="22"/>
                <w:rtl/>
                <w:lang w:bidi="ar-EG"/>
              </w:rPr>
              <w:t>0.735</w:t>
            </w:r>
          </w:p>
        </w:tc>
      </w:tr>
    </w:tbl>
    <w:p w14:paraId="31D1414F" w14:textId="77777777" w:rsidR="007A0B3B" w:rsidRPr="007B1811" w:rsidRDefault="007A0B3B" w:rsidP="007A0B3B">
      <w:pPr>
        <w:pStyle w:val="BlockText"/>
        <w:spacing w:line="360" w:lineRule="auto"/>
        <w:jc w:val="lowKashida"/>
        <w:rPr>
          <w:rFonts w:ascii="Sakkal Majalla" w:hAnsi="Sakkal Majalla" w:cs="Sakkal Majalla"/>
          <w:szCs w:val="20"/>
          <w:rtl/>
          <w:lang w:bidi="ar-EG"/>
        </w:rPr>
      </w:pPr>
      <w:r w:rsidRPr="007B1811">
        <w:rPr>
          <w:rFonts w:ascii="Sakkal Majalla" w:hAnsi="Sakkal Majalla" w:cs="Sakkal Majalla"/>
          <w:b/>
          <w:bCs/>
          <w:szCs w:val="20"/>
          <w:rtl/>
          <w:lang w:bidi="ar-EG"/>
        </w:rPr>
        <w:t>المصدر :</w:t>
      </w:r>
      <w:r w:rsidRPr="007B1811">
        <w:rPr>
          <w:rFonts w:ascii="Sakkal Majalla" w:hAnsi="Sakkal Majalla" w:cs="Sakkal Majalla"/>
          <w:szCs w:val="20"/>
          <w:rtl/>
          <w:lang w:bidi="ar-EG"/>
        </w:rPr>
        <w:t xml:space="preserve"> نتائج التحليل الأحصائى .</w:t>
      </w:r>
    </w:p>
    <w:p w14:paraId="43C34944" w14:textId="77777777" w:rsidR="007A0B3B" w:rsidRDefault="007A0B3B" w:rsidP="007A0B3B">
      <w:pPr>
        <w:pStyle w:val="BlockText"/>
        <w:jc w:val="lowKashida"/>
        <w:rPr>
          <w:rFonts w:ascii="Sakkal Majalla" w:hAnsi="Sakkal Majalla" w:cs="Sakkal Majalla"/>
          <w:sz w:val="28"/>
          <w:rtl/>
          <w:lang w:bidi="ar-EG"/>
        </w:rPr>
      </w:pPr>
      <w:r w:rsidRPr="007F4CCD">
        <w:rPr>
          <w:rFonts w:ascii="Sakkal Majalla" w:hAnsi="Sakkal Majalla" w:cs="Sakkal Majalla"/>
          <w:sz w:val="28"/>
          <w:rtl/>
          <w:lang w:bidi="ar-EG"/>
        </w:rPr>
        <w:lastRenderedPageBreak/>
        <w:t xml:space="preserve">تشير النتائج المبدئية فى الجدول رقم (3/1)  إلى أن قيم معامل ألفا للمتغيرات المستخدمة فى الدراسة كانت جميعها أكبر من (0.6) وهو الحد الأدنى للقبول لمعامل ألفا (رزق الله، 2002، ص 212) ، وبالتالى يمكن القول بأن المتغيرات المستخدمة تتمتع بالثبات </w:t>
      </w:r>
      <w:r w:rsidRPr="007F4CCD">
        <w:rPr>
          <w:rFonts w:ascii="Sakkal Majalla" w:hAnsi="Sakkal Majalla" w:cs="Sakkal Majalla" w:hint="cs"/>
          <w:sz w:val="28"/>
          <w:rtl/>
          <w:lang w:bidi="ar-EG"/>
        </w:rPr>
        <w:t>الداخل</w:t>
      </w:r>
      <w:r w:rsidRPr="007F4CCD">
        <w:rPr>
          <w:rFonts w:ascii="Sakkal Majalla" w:hAnsi="Sakkal Majalla" w:cs="Sakkal Majalla"/>
          <w:sz w:val="28"/>
          <w:rtl/>
          <w:lang w:bidi="ar-EG"/>
        </w:rPr>
        <w:t xml:space="preserve"> .</w:t>
      </w:r>
    </w:p>
    <w:p w14:paraId="35DEA02D" w14:textId="77777777" w:rsidR="007A0B3B" w:rsidRPr="00BD04C5" w:rsidRDefault="007A0B3B" w:rsidP="007A0B3B">
      <w:pPr>
        <w:pStyle w:val="BlockText"/>
        <w:spacing w:line="360" w:lineRule="auto"/>
        <w:ind w:left="648"/>
        <w:rPr>
          <w:rFonts w:ascii="Sakkal Majalla" w:hAnsi="Sakkal Majalla" w:cs="Sakkal Majalla"/>
          <w:b/>
          <w:bCs/>
          <w:sz w:val="32"/>
          <w:szCs w:val="32"/>
          <w:rtl/>
        </w:rPr>
      </w:pPr>
      <w:r w:rsidRPr="00BD04C5">
        <w:rPr>
          <w:rFonts w:ascii="Sakkal Majalla" w:hAnsi="Sakkal Majalla" w:cs="Sakkal Majalla"/>
          <w:b/>
          <w:bCs/>
          <w:sz w:val="32"/>
          <w:szCs w:val="32"/>
          <w:rtl/>
        </w:rPr>
        <w:t xml:space="preserve">3/2/2 اختبار صدق المقياس : </w:t>
      </w:r>
    </w:p>
    <w:p w14:paraId="38B3BC75" w14:textId="5A3DD1CD" w:rsidR="007A0B3B" w:rsidRPr="003328DF" w:rsidRDefault="007A0B3B">
      <w:pPr>
        <w:pStyle w:val="BlockText"/>
        <w:numPr>
          <w:ilvl w:val="0"/>
          <w:numId w:val="121"/>
        </w:numPr>
        <w:spacing w:line="360" w:lineRule="auto"/>
        <w:jc w:val="lowKashida"/>
        <w:rPr>
          <w:rFonts w:ascii="Sakkal Majalla" w:hAnsi="Sakkal Majalla" w:cs="Sakkal Majalla"/>
          <w:sz w:val="28"/>
          <w:lang w:bidi="ar-EG"/>
        </w:rPr>
      </w:pPr>
      <w:r w:rsidRPr="003328DF">
        <w:rPr>
          <w:rFonts w:ascii="Sakkal Majalla" w:hAnsi="Sakkal Majalla" w:cs="Sakkal Majalla"/>
          <w:sz w:val="28"/>
          <w:rtl/>
          <w:lang w:bidi="ar-EG"/>
        </w:rPr>
        <w:t xml:space="preserve">التحليل العاملي للعبارات المكونة لمقياس </w:t>
      </w:r>
      <w:r w:rsidR="007C63F4" w:rsidRPr="003328DF">
        <w:rPr>
          <w:rFonts w:ascii="Sakkal Majalla" w:hAnsi="Sakkal Majalla" w:cs="Sakkal Majalla" w:hint="cs"/>
          <w:sz w:val="28"/>
          <w:rtl/>
          <w:lang w:bidi="ar-EG"/>
        </w:rPr>
        <w:t>التحول الرقمي</w:t>
      </w:r>
      <w:r w:rsidRPr="003328DF">
        <w:rPr>
          <w:rFonts w:ascii="Sakkal Majalla" w:hAnsi="Sakkal Majalla" w:cs="Sakkal Majalla"/>
          <w:sz w:val="28"/>
          <w:rtl/>
          <w:lang w:bidi="ar-EG"/>
        </w:rPr>
        <w:t xml:space="preserve"> (</w:t>
      </w:r>
      <w:r w:rsidRPr="003328DF">
        <w:rPr>
          <w:rFonts w:ascii="Sakkal Majalla" w:hAnsi="Sakkal Majalla" w:cs="Sakkal Majalla"/>
          <w:sz w:val="28"/>
          <w:lang w:bidi="ar-EG"/>
        </w:rPr>
        <w:t>Factor Analysis</w:t>
      </w:r>
      <w:r w:rsidRPr="003328DF">
        <w:rPr>
          <w:rFonts w:ascii="Sakkal Majalla" w:hAnsi="Sakkal Majalla" w:cs="Sakkal Majalla"/>
          <w:sz w:val="28"/>
          <w:rtl/>
          <w:lang w:bidi="ar-EG"/>
        </w:rPr>
        <w:t xml:space="preserve">) : </w:t>
      </w:r>
    </w:p>
    <w:p w14:paraId="453FE24E" w14:textId="0F28EE32" w:rsidR="003328DF" w:rsidRPr="003328DF" w:rsidRDefault="003328DF" w:rsidP="003328DF">
      <w:pPr>
        <w:pStyle w:val="Heading3"/>
        <w:bidi/>
        <w:jc w:val="lowKashida"/>
        <w:rPr>
          <w:rFonts w:ascii="Sakkal Majalla" w:eastAsia="Times New Roman" w:hAnsi="Sakkal Majalla" w:cs="Sakkal Majalla"/>
          <w:color w:val="auto"/>
          <w:sz w:val="28"/>
          <w:szCs w:val="28"/>
          <w:lang w:bidi="ar-EG"/>
        </w:rPr>
      </w:pPr>
      <w:r w:rsidRPr="003328DF">
        <w:rPr>
          <w:rFonts w:ascii="Sakkal Majalla" w:eastAsia="Times New Roman" w:hAnsi="Sakkal Majalla" w:cs="Sakkal Majalla"/>
          <w:color w:val="auto"/>
          <w:sz w:val="28"/>
          <w:szCs w:val="28"/>
          <w:rtl/>
          <w:lang w:bidi="ar-EG"/>
        </w:rPr>
        <w:t>مقياس التحول الرقمي</w:t>
      </w:r>
      <w:r>
        <w:rPr>
          <w:rFonts w:ascii="Sakkal Majalla" w:eastAsia="Times New Roman" w:hAnsi="Sakkal Majalla" w:cs="Sakkal Majalla" w:hint="cs"/>
          <w:color w:val="auto"/>
          <w:sz w:val="28"/>
          <w:szCs w:val="28"/>
          <w:rtl/>
          <w:lang w:bidi="ar-EG"/>
        </w:rPr>
        <w:t xml:space="preserve">، </w:t>
      </w:r>
      <w:r w:rsidRPr="003328DF">
        <w:rPr>
          <w:rFonts w:ascii="Sakkal Majalla" w:eastAsia="Times New Roman" w:hAnsi="Sakkal Majalla" w:cs="Sakkal Majalla"/>
          <w:color w:val="auto"/>
          <w:sz w:val="28"/>
          <w:szCs w:val="28"/>
          <w:rtl/>
          <w:lang w:bidi="ar-EG"/>
        </w:rPr>
        <w:t>تم قياس المتغير المستقل الرئيسي "التحول الرقمي" من خلال ثلاثة أبعاد نظرية رئيسية، تم اعتمادها من نماذج عالمية رائدة</w:t>
      </w:r>
      <w:r w:rsidRPr="003328DF">
        <w:rPr>
          <w:rFonts w:ascii="Sakkal Majalla" w:eastAsia="Times New Roman" w:hAnsi="Sakkal Majalla" w:cs="Sakkal Majalla"/>
          <w:color w:val="auto"/>
          <w:sz w:val="28"/>
          <w:szCs w:val="28"/>
          <w:lang w:bidi="ar-EG"/>
        </w:rPr>
        <w:t xml:space="preserve"> (Westerman &amp; Bonnet, 2015</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Gartner, 2024</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OECD, 2020</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McKinsey, 2022)</w:t>
      </w:r>
      <w:r w:rsidRPr="003328DF">
        <w:rPr>
          <w:rFonts w:ascii="Sakkal Majalla" w:eastAsia="Times New Roman" w:hAnsi="Sakkal Majalla" w:cs="Sakkal Majalla"/>
          <w:color w:val="auto"/>
          <w:sz w:val="28"/>
          <w:szCs w:val="28"/>
          <w:rtl/>
          <w:lang w:bidi="ar-EG"/>
        </w:rPr>
        <w:t>، وهي</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الأسس الرقمية، الابتكار الرقمي، والحوكمة الرقمية</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تمثل كل بعد ثلاث عبارات قياسية (إجمالي 9 عبارات)، صيغت بلغة واضحة ومحددة، وتم التحقق من صدقها الظاهري والمحتوى من خلال التحكيم الخبراء والدراسة الاستطلاعية</w:t>
      </w:r>
      <w:r w:rsidRPr="003328DF">
        <w:rPr>
          <w:rFonts w:ascii="Sakkal Majalla" w:eastAsia="Times New Roman" w:hAnsi="Sakkal Majalla" w:cs="Sakkal Majalla"/>
          <w:color w:val="auto"/>
          <w:sz w:val="28"/>
          <w:szCs w:val="28"/>
          <w:lang w:bidi="ar-EG"/>
        </w:rPr>
        <w:t>.</w:t>
      </w:r>
    </w:p>
    <w:p w14:paraId="6251B3BC" w14:textId="218E5366" w:rsidR="007A0B3B" w:rsidRPr="00BD04C5" w:rsidRDefault="007A0B3B" w:rsidP="007A0B3B">
      <w:pPr>
        <w:pStyle w:val="BlockText"/>
        <w:ind w:left="146" w:hanging="120"/>
        <w:jc w:val="lowKashida"/>
        <w:rPr>
          <w:rFonts w:ascii="Sakkal Majalla" w:hAnsi="Sakkal Majalla" w:cs="Sakkal Majalla"/>
          <w:sz w:val="28"/>
          <w:rtl/>
          <w:lang w:bidi="ar-EG"/>
        </w:rPr>
      </w:pPr>
      <w:r w:rsidRPr="00BD04C5">
        <w:rPr>
          <w:rFonts w:ascii="Sakkal Majalla" w:hAnsi="Sakkal Majalla" w:cs="Sakkal Majalla"/>
          <w:sz w:val="28"/>
          <w:rtl/>
          <w:lang w:bidi="ar-EG"/>
        </w:rPr>
        <w:t>بعد إجراء اختبارات الثبات قام الباحث بإجراء التحليل العاملي للمتغيرات المستخدمة فى الدراسة، ويوضح الجدول رقم (3/5) لنا ثبات قوى للعبارات المتعلقة بالمتغيرات التابعة كما هو واضح.</w:t>
      </w:r>
    </w:p>
    <w:p w14:paraId="73692E54" w14:textId="77777777"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جدول رقم (3/5)</w:t>
      </w:r>
    </w:p>
    <w:p w14:paraId="25233019" w14:textId="242FBC66"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 xml:space="preserve"> التحليل العاملى للعبارات المكونة لمقياس </w:t>
      </w:r>
      <w:r w:rsidR="001A03A0">
        <w:rPr>
          <w:rFonts w:ascii="Sakkal Majalla" w:hAnsi="Sakkal Majalla" w:cs="Sakkal Majalla" w:hint="cs"/>
          <w:b/>
          <w:bCs/>
          <w:sz w:val="24"/>
          <w:szCs w:val="24"/>
          <w:rtl/>
          <w:lang w:bidi="ar-EG"/>
        </w:rPr>
        <w:t>التحول</w:t>
      </w:r>
      <w:r w:rsidR="0043278C">
        <w:rPr>
          <w:rFonts w:ascii="Sakkal Majalla" w:hAnsi="Sakkal Majalla" w:cs="Sakkal Majalla" w:hint="cs"/>
          <w:b/>
          <w:bCs/>
          <w:sz w:val="24"/>
          <w:szCs w:val="24"/>
          <w:rtl/>
          <w:lang w:bidi="ar-EG"/>
        </w:rPr>
        <w:t xml:space="preserve"> </w:t>
      </w:r>
      <w:r w:rsidR="001A03A0">
        <w:rPr>
          <w:rFonts w:ascii="Sakkal Majalla" w:hAnsi="Sakkal Majalla" w:cs="Sakkal Majalla" w:hint="cs"/>
          <w:b/>
          <w:bCs/>
          <w:sz w:val="24"/>
          <w:szCs w:val="24"/>
          <w:rtl/>
          <w:lang w:bidi="ar-EG"/>
        </w:rPr>
        <w:t>رالرقمي</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544"/>
        <w:gridCol w:w="4032"/>
        <w:gridCol w:w="836"/>
        <w:gridCol w:w="832"/>
        <w:gridCol w:w="832"/>
        <w:gridCol w:w="1215"/>
      </w:tblGrid>
      <w:tr w:rsidR="003328DF" w:rsidRPr="00BD04C5" w14:paraId="067A1C77" w14:textId="77777777" w:rsidTr="003328DF">
        <w:trPr>
          <w:jc w:val="center"/>
        </w:trPr>
        <w:tc>
          <w:tcPr>
            <w:tcW w:w="544" w:type="dxa"/>
            <w:vMerge w:val="restart"/>
            <w:tcBorders>
              <w:top w:val="thinThickSmallGap" w:sz="24" w:space="0" w:color="auto"/>
            </w:tcBorders>
            <w:shd w:val="clear" w:color="auto" w:fill="D9D9D9" w:themeFill="background1" w:themeFillShade="D9"/>
          </w:tcPr>
          <w:p w14:paraId="51F8F1FE"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val="restart"/>
            <w:tcBorders>
              <w:top w:val="thinThickSmallGap" w:sz="24" w:space="0" w:color="auto"/>
            </w:tcBorders>
            <w:shd w:val="clear" w:color="auto" w:fill="D9D9D9" w:themeFill="background1" w:themeFillShade="D9"/>
          </w:tcPr>
          <w:p w14:paraId="56687EF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العبارات</w:t>
            </w:r>
          </w:p>
        </w:tc>
        <w:tc>
          <w:tcPr>
            <w:tcW w:w="2500" w:type="dxa"/>
            <w:gridSpan w:val="3"/>
            <w:tcBorders>
              <w:top w:val="thinThickSmallGap" w:sz="24" w:space="0" w:color="auto"/>
              <w:bottom w:val="single" w:sz="4" w:space="0" w:color="auto"/>
            </w:tcBorders>
            <w:shd w:val="clear" w:color="auto" w:fill="D9D9D9" w:themeFill="background1" w:themeFillShade="D9"/>
          </w:tcPr>
          <w:p w14:paraId="45FEBD71" w14:textId="58A365B5"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lang w:bidi="ar-EG"/>
              </w:rPr>
              <w:t>Extraction</w:t>
            </w:r>
            <w:r w:rsidRPr="00BD04C5">
              <w:rPr>
                <w:rFonts w:ascii="Sakkal Majalla" w:hAnsi="Sakkal Majalla" w:cs="Sakkal Majalla"/>
                <w:b/>
                <w:bCs/>
                <w:sz w:val="16"/>
                <w:szCs w:val="16"/>
                <w:rtl/>
              </w:rPr>
              <w:t xml:space="preserve">  </w:t>
            </w:r>
            <w:r w:rsidRPr="00BD04C5">
              <w:rPr>
                <w:rFonts w:ascii="Sakkal Majalla" w:hAnsi="Sakkal Majalla" w:cs="Sakkal Majalla"/>
                <w:b/>
                <w:bCs/>
                <w:sz w:val="16"/>
                <w:szCs w:val="16"/>
              </w:rPr>
              <w:t xml:space="preserve">Loadings  </w:t>
            </w:r>
            <w:r w:rsidRPr="00BD04C5">
              <w:rPr>
                <w:rFonts w:ascii="Sakkal Majalla" w:hAnsi="Sakkal Majalla" w:cs="Sakkal Majalla"/>
                <w:b/>
                <w:bCs/>
                <w:sz w:val="16"/>
                <w:szCs w:val="16"/>
                <w:rtl/>
                <w:lang w:bidi="ar-EG"/>
              </w:rPr>
              <w:t>التشبعات</w:t>
            </w:r>
          </w:p>
        </w:tc>
        <w:tc>
          <w:tcPr>
            <w:tcW w:w="1215" w:type="dxa"/>
            <w:vMerge w:val="restart"/>
            <w:tcBorders>
              <w:top w:val="thinThickSmallGap" w:sz="24" w:space="0" w:color="auto"/>
            </w:tcBorders>
            <w:shd w:val="clear" w:color="auto" w:fill="D9D9D9" w:themeFill="background1" w:themeFillShade="D9"/>
          </w:tcPr>
          <w:p w14:paraId="784EEA29" w14:textId="77777777" w:rsidR="003328DF" w:rsidRPr="00BD04C5" w:rsidRDefault="003328DF" w:rsidP="001E2DEE">
            <w:pPr>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lang w:bidi="ar-EG"/>
              </w:rPr>
              <w:t xml:space="preserve">نسبة التباين للعوامل لكل عبارة </w:t>
            </w:r>
            <w:r w:rsidRPr="00BD04C5">
              <w:rPr>
                <w:rFonts w:ascii="Sakkal Majalla" w:hAnsi="Sakkal Majalla" w:cs="Sakkal Majalla"/>
                <w:b/>
                <w:bCs/>
                <w:sz w:val="16"/>
                <w:szCs w:val="16"/>
                <w:lang w:bidi="ar-EG"/>
              </w:rPr>
              <w:t>Communalities</w:t>
            </w:r>
          </w:p>
        </w:tc>
      </w:tr>
      <w:tr w:rsidR="003328DF" w:rsidRPr="00BD04C5" w14:paraId="30D05B40" w14:textId="77777777" w:rsidTr="003328DF">
        <w:trPr>
          <w:trHeight w:val="381"/>
          <w:jc w:val="center"/>
        </w:trPr>
        <w:tc>
          <w:tcPr>
            <w:tcW w:w="544" w:type="dxa"/>
            <w:vMerge/>
            <w:tcBorders>
              <w:bottom w:val="thinThickSmallGap" w:sz="24" w:space="0" w:color="auto"/>
            </w:tcBorders>
            <w:shd w:val="clear" w:color="auto" w:fill="D9D9D9" w:themeFill="background1" w:themeFillShade="D9"/>
          </w:tcPr>
          <w:p w14:paraId="15A2A520"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tcBorders>
              <w:bottom w:val="thinThickSmallGap" w:sz="24" w:space="0" w:color="auto"/>
            </w:tcBorders>
            <w:shd w:val="clear" w:color="auto" w:fill="D9D9D9" w:themeFill="background1" w:themeFillShade="D9"/>
          </w:tcPr>
          <w:p w14:paraId="1BA57054"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6" w:type="dxa"/>
            <w:tcBorders>
              <w:top w:val="single" w:sz="4" w:space="0" w:color="auto"/>
              <w:bottom w:val="thinThickSmallGap" w:sz="24" w:space="0" w:color="auto"/>
            </w:tcBorders>
            <w:shd w:val="clear" w:color="auto" w:fill="D9D9D9" w:themeFill="background1" w:themeFillShade="D9"/>
          </w:tcPr>
          <w:p w14:paraId="34D306B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المتغير1</w:t>
            </w:r>
          </w:p>
        </w:tc>
        <w:tc>
          <w:tcPr>
            <w:tcW w:w="832" w:type="dxa"/>
            <w:tcBorders>
              <w:top w:val="single" w:sz="4" w:space="0" w:color="auto"/>
              <w:bottom w:val="thinThickSmallGap" w:sz="24" w:space="0" w:color="auto"/>
            </w:tcBorders>
            <w:shd w:val="clear" w:color="auto" w:fill="D9D9D9" w:themeFill="background1" w:themeFillShade="D9"/>
          </w:tcPr>
          <w:p w14:paraId="1EB600F6"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المتغير2</w:t>
            </w:r>
          </w:p>
        </w:tc>
        <w:tc>
          <w:tcPr>
            <w:tcW w:w="832" w:type="dxa"/>
            <w:tcBorders>
              <w:top w:val="single" w:sz="4" w:space="0" w:color="auto"/>
              <w:bottom w:val="thinThickSmallGap" w:sz="24" w:space="0" w:color="auto"/>
            </w:tcBorders>
            <w:shd w:val="clear" w:color="auto" w:fill="D9D9D9" w:themeFill="background1" w:themeFillShade="D9"/>
          </w:tcPr>
          <w:p w14:paraId="474FACB7"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المتغير3</w:t>
            </w:r>
          </w:p>
        </w:tc>
        <w:tc>
          <w:tcPr>
            <w:tcW w:w="1215" w:type="dxa"/>
            <w:vMerge/>
            <w:tcBorders>
              <w:bottom w:val="thinThickSmallGap" w:sz="24" w:space="0" w:color="auto"/>
            </w:tcBorders>
            <w:shd w:val="clear" w:color="auto" w:fill="D9D9D9" w:themeFill="background1" w:themeFillShade="D9"/>
          </w:tcPr>
          <w:p w14:paraId="18B69DCC" w14:textId="77777777" w:rsidR="003328DF" w:rsidRPr="00BD04C5" w:rsidRDefault="003328DF" w:rsidP="001E2DEE">
            <w:pPr>
              <w:rPr>
                <w:rFonts w:ascii="Sakkal Majalla" w:hAnsi="Sakkal Majalla" w:cs="Sakkal Majalla"/>
                <w:b/>
                <w:bCs/>
                <w:sz w:val="16"/>
                <w:szCs w:val="16"/>
                <w:rtl/>
              </w:rPr>
            </w:pPr>
          </w:p>
        </w:tc>
      </w:tr>
      <w:tr w:rsidR="003328DF" w:rsidRPr="00BD04C5" w14:paraId="33457107" w14:textId="77777777" w:rsidTr="003328DF">
        <w:trPr>
          <w:trHeight w:val="99"/>
          <w:jc w:val="center"/>
        </w:trPr>
        <w:tc>
          <w:tcPr>
            <w:tcW w:w="544" w:type="dxa"/>
            <w:tcBorders>
              <w:top w:val="thinThickSmallGap" w:sz="24" w:space="0" w:color="auto"/>
              <w:bottom w:val="single" w:sz="4" w:space="0" w:color="auto"/>
            </w:tcBorders>
          </w:tcPr>
          <w:p w14:paraId="44496C4F"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tcBorders>
              <w:top w:val="thinThickSmallGap" w:sz="24" w:space="0" w:color="auto"/>
              <w:bottom w:val="single" w:sz="4" w:space="0" w:color="auto"/>
            </w:tcBorders>
          </w:tcPr>
          <w:p w14:paraId="4FCCE62B" w14:textId="43ABDE28"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الأسس الرقمية</w:t>
            </w:r>
          </w:p>
        </w:tc>
        <w:tc>
          <w:tcPr>
            <w:tcW w:w="836" w:type="dxa"/>
            <w:tcBorders>
              <w:top w:val="thinThickSmallGap" w:sz="24" w:space="0" w:color="auto"/>
              <w:bottom w:val="single" w:sz="4" w:space="0" w:color="auto"/>
            </w:tcBorders>
          </w:tcPr>
          <w:p w14:paraId="02A6E6CD"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7F0FE85"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36109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Borders>
              <w:top w:val="thinThickSmallGap" w:sz="24" w:space="0" w:color="auto"/>
              <w:bottom w:val="single" w:sz="4" w:space="0" w:color="auto"/>
            </w:tcBorders>
          </w:tcPr>
          <w:p w14:paraId="05128A04"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4F357A71" w14:textId="77777777" w:rsidTr="003328DF">
        <w:trPr>
          <w:trHeight w:val="134"/>
          <w:jc w:val="center"/>
        </w:trPr>
        <w:tc>
          <w:tcPr>
            <w:tcW w:w="544" w:type="dxa"/>
            <w:tcBorders>
              <w:top w:val="single" w:sz="4" w:space="0" w:color="auto"/>
            </w:tcBorders>
          </w:tcPr>
          <w:p w14:paraId="0A0DEE8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1</w:t>
            </w:r>
          </w:p>
        </w:tc>
        <w:tc>
          <w:tcPr>
            <w:tcW w:w="4032" w:type="dxa"/>
            <w:tcBorders>
              <w:top w:val="single" w:sz="4" w:space="0" w:color="auto"/>
            </w:tcBorders>
          </w:tcPr>
          <w:p w14:paraId="5383F0AE" w14:textId="31226BF6"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ترتبط الأسس الرقمية بتعزيز حماية البيانات من الاختراقات والتهديدات السيبرانية</w:t>
            </w:r>
            <w:r w:rsidRPr="00441F51">
              <w:rPr>
                <w:rFonts w:ascii="Sakkal Majalla" w:hAnsi="Sakkal Majalla" w:cs="Sakkal Majalla"/>
                <w:sz w:val="22"/>
                <w:szCs w:val="22"/>
                <w:lang w:bidi="ar-EG"/>
              </w:rPr>
              <w:t xml:space="preserve">. </w:t>
            </w:r>
          </w:p>
        </w:tc>
        <w:tc>
          <w:tcPr>
            <w:tcW w:w="836" w:type="dxa"/>
            <w:tcBorders>
              <w:top w:val="single" w:sz="4" w:space="0" w:color="auto"/>
            </w:tcBorders>
          </w:tcPr>
          <w:p w14:paraId="07B51BE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0.825</w:t>
            </w:r>
          </w:p>
        </w:tc>
        <w:tc>
          <w:tcPr>
            <w:tcW w:w="832" w:type="dxa"/>
            <w:tcBorders>
              <w:top w:val="single" w:sz="4" w:space="0" w:color="auto"/>
            </w:tcBorders>
          </w:tcPr>
          <w:p w14:paraId="49FD2F5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Borders>
              <w:top w:val="single" w:sz="4" w:space="0" w:color="auto"/>
            </w:tcBorders>
          </w:tcPr>
          <w:p w14:paraId="110DC0B9"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Borders>
              <w:top w:val="single" w:sz="4" w:space="0" w:color="auto"/>
            </w:tcBorders>
          </w:tcPr>
          <w:p w14:paraId="4694A2C7"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0.718</w:t>
            </w:r>
          </w:p>
        </w:tc>
      </w:tr>
      <w:tr w:rsidR="003328DF" w:rsidRPr="00BD04C5" w14:paraId="4F16C758" w14:textId="77777777" w:rsidTr="003328DF">
        <w:trPr>
          <w:jc w:val="center"/>
        </w:trPr>
        <w:tc>
          <w:tcPr>
            <w:tcW w:w="544" w:type="dxa"/>
          </w:tcPr>
          <w:p w14:paraId="51A72C33"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2</w:t>
            </w:r>
          </w:p>
        </w:tc>
        <w:tc>
          <w:tcPr>
            <w:tcW w:w="4032" w:type="dxa"/>
          </w:tcPr>
          <w:p w14:paraId="155770A1" w14:textId="365D6392"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يوجد علاقة بين البنية التحتية الرقمية وتحسين سرعة ودقة معالجة الإجراءات الجمركية والضريبية</w:t>
            </w:r>
            <w:r w:rsidRPr="00441F51">
              <w:rPr>
                <w:rFonts w:ascii="Sakkal Majalla" w:hAnsi="Sakkal Majalla" w:cs="Sakkal Majalla"/>
                <w:sz w:val="22"/>
                <w:szCs w:val="22"/>
                <w:lang w:bidi="ar-EG"/>
              </w:rPr>
              <w:t xml:space="preserve">. </w:t>
            </w:r>
          </w:p>
        </w:tc>
        <w:tc>
          <w:tcPr>
            <w:tcW w:w="836" w:type="dxa"/>
          </w:tcPr>
          <w:p w14:paraId="56888AA2"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0.811</w:t>
            </w:r>
          </w:p>
        </w:tc>
        <w:tc>
          <w:tcPr>
            <w:tcW w:w="832" w:type="dxa"/>
          </w:tcPr>
          <w:p w14:paraId="4F3B40E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F35551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232B4C3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0.712</w:t>
            </w:r>
          </w:p>
        </w:tc>
      </w:tr>
      <w:tr w:rsidR="003328DF" w:rsidRPr="00BD04C5" w14:paraId="446FF16B" w14:textId="77777777" w:rsidTr="003328DF">
        <w:trPr>
          <w:jc w:val="center"/>
        </w:trPr>
        <w:tc>
          <w:tcPr>
            <w:tcW w:w="544" w:type="dxa"/>
          </w:tcPr>
          <w:p w14:paraId="37EA691D"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3</w:t>
            </w:r>
          </w:p>
        </w:tc>
        <w:tc>
          <w:tcPr>
            <w:tcW w:w="4032" w:type="dxa"/>
          </w:tcPr>
          <w:p w14:paraId="36CF57D3" w14:textId="37C1B5B3"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توافر الأمن السيبراني والشبكات الآمنة يرتبط ارتباطًا وثيقًا باستدامة العمليات الرقمية في الهيئة</w:t>
            </w:r>
            <w:r w:rsidRPr="00441F51">
              <w:rPr>
                <w:rFonts w:ascii="Sakkal Majalla" w:hAnsi="Sakkal Majalla" w:cs="Sakkal Majalla"/>
                <w:sz w:val="22"/>
                <w:szCs w:val="22"/>
                <w:lang w:bidi="ar-EG"/>
              </w:rPr>
              <w:t>.</w:t>
            </w:r>
          </w:p>
        </w:tc>
        <w:tc>
          <w:tcPr>
            <w:tcW w:w="836" w:type="dxa"/>
          </w:tcPr>
          <w:p w14:paraId="4B690EC5" w14:textId="77777777" w:rsidR="003328DF" w:rsidRPr="00BD04C5" w:rsidRDefault="003328DF" w:rsidP="00441F51">
            <w:pPr>
              <w:pStyle w:val="BlockText"/>
              <w:ind w:left="0"/>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rPr>
              <w:t>0.81</w:t>
            </w:r>
            <w:r>
              <w:rPr>
                <w:rFonts w:ascii="Sakkal Majalla" w:hAnsi="Sakkal Majalla" w:cs="Sakkal Majalla" w:hint="cs"/>
                <w:b/>
                <w:bCs/>
                <w:sz w:val="16"/>
                <w:szCs w:val="16"/>
                <w:rtl/>
                <w:lang w:bidi="ar-EG"/>
              </w:rPr>
              <w:t>9</w:t>
            </w:r>
          </w:p>
        </w:tc>
        <w:tc>
          <w:tcPr>
            <w:tcW w:w="832" w:type="dxa"/>
          </w:tcPr>
          <w:p w14:paraId="18688298"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C66D1B0"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551FEA64"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w:t>
            </w:r>
            <w:r>
              <w:rPr>
                <w:rFonts w:ascii="Sakkal Majalla" w:hAnsi="Sakkal Majalla" w:cs="Sakkal Majalla" w:hint="cs"/>
                <w:b/>
                <w:bCs/>
                <w:sz w:val="16"/>
                <w:szCs w:val="16"/>
                <w:rtl/>
              </w:rPr>
              <w:t>5</w:t>
            </w:r>
          </w:p>
        </w:tc>
      </w:tr>
      <w:tr w:rsidR="003328DF" w:rsidRPr="00BD04C5" w14:paraId="4BA46FB5" w14:textId="77777777" w:rsidTr="003328DF">
        <w:trPr>
          <w:jc w:val="center"/>
        </w:trPr>
        <w:tc>
          <w:tcPr>
            <w:tcW w:w="544" w:type="dxa"/>
          </w:tcPr>
          <w:p w14:paraId="158D6FB7"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E036AC9" w14:textId="04A3BF09" w:rsidR="003328DF" w:rsidRPr="00BD04C5" w:rsidRDefault="003328DF" w:rsidP="001E2DEE">
            <w:pPr>
              <w:jc w:val="center"/>
              <w:rPr>
                <w:rFonts w:ascii="Sakkal Majalla" w:hAnsi="Sakkal Majalla" w:cs="Sakkal Majalla"/>
                <w:b/>
                <w:bCs/>
                <w:sz w:val="16"/>
                <w:szCs w:val="16"/>
                <w:highlight w:val="lightGray"/>
                <w:rtl/>
              </w:rPr>
            </w:pPr>
            <w:r>
              <w:rPr>
                <w:rFonts w:ascii="Sakkal Majalla" w:hAnsi="Sakkal Majalla" w:cs="Sakkal Majalla" w:hint="cs"/>
                <w:b/>
                <w:bCs/>
                <w:sz w:val="16"/>
                <w:szCs w:val="16"/>
                <w:highlight w:val="lightGray"/>
                <w:rtl/>
              </w:rPr>
              <w:t>الابتكار الرقمي</w:t>
            </w:r>
          </w:p>
        </w:tc>
        <w:tc>
          <w:tcPr>
            <w:tcW w:w="836" w:type="dxa"/>
          </w:tcPr>
          <w:p w14:paraId="1424A0C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5C389A3A"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02819C29"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46412139"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1F80374A" w14:textId="77777777" w:rsidTr="003328DF">
        <w:trPr>
          <w:jc w:val="center"/>
        </w:trPr>
        <w:tc>
          <w:tcPr>
            <w:tcW w:w="544" w:type="dxa"/>
          </w:tcPr>
          <w:p w14:paraId="7E5E5116"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4</w:t>
            </w:r>
          </w:p>
        </w:tc>
        <w:tc>
          <w:tcPr>
            <w:tcW w:w="4032" w:type="dxa"/>
          </w:tcPr>
          <w:p w14:paraId="0359AD23" w14:textId="3B6C151C"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وجد علاقة بين الابتكار الرقمي والكشف المبكر عن الهجمات السيبرانية والمخاطر الجمركية</w:t>
            </w:r>
            <w:r w:rsidRPr="00441F51">
              <w:rPr>
                <w:rFonts w:ascii="Sakkal Majalla" w:hAnsi="Sakkal Majalla" w:cs="Sakkal Majalla"/>
                <w:sz w:val="22"/>
                <w:szCs w:val="22"/>
                <w:lang w:bidi="ar-EG"/>
              </w:rPr>
              <w:t xml:space="preserve">. </w:t>
            </w:r>
          </w:p>
        </w:tc>
        <w:tc>
          <w:tcPr>
            <w:tcW w:w="836" w:type="dxa"/>
          </w:tcPr>
          <w:p w14:paraId="2253B9CF"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10C067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0.720</w:t>
            </w:r>
          </w:p>
        </w:tc>
        <w:tc>
          <w:tcPr>
            <w:tcW w:w="832" w:type="dxa"/>
          </w:tcPr>
          <w:p w14:paraId="45614CB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725AC68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0.638</w:t>
            </w:r>
          </w:p>
        </w:tc>
      </w:tr>
      <w:tr w:rsidR="003328DF" w:rsidRPr="00BD04C5" w14:paraId="469AA958" w14:textId="77777777" w:rsidTr="003328DF">
        <w:trPr>
          <w:jc w:val="center"/>
        </w:trPr>
        <w:tc>
          <w:tcPr>
            <w:tcW w:w="544" w:type="dxa"/>
          </w:tcPr>
          <w:p w14:paraId="14D5D58C"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5</w:t>
            </w:r>
          </w:p>
        </w:tc>
        <w:tc>
          <w:tcPr>
            <w:tcW w:w="4032" w:type="dxa"/>
          </w:tcPr>
          <w:p w14:paraId="6A6E1028" w14:textId="10947757"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يوجد علاقة بين الابتكار الرقمي وتحديد الشحنات ذات المخاطر بدقة أعلى وتسريع تدفق التجارة</w:t>
            </w:r>
            <w:r w:rsidRPr="00441F51">
              <w:rPr>
                <w:rFonts w:ascii="Sakkal Majalla" w:hAnsi="Sakkal Majalla" w:cs="Sakkal Majalla"/>
                <w:sz w:val="22"/>
                <w:szCs w:val="22"/>
                <w:lang w:bidi="ar-EG"/>
              </w:rPr>
              <w:t xml:space="preserve">. </w:t>
            </w:r>
          </w:p>
        </w:tc>
        <w:tc>
          <w:tcPr>
            <w:tcW w:w="836" w:type="dxa"/>
          </w:tcPr>
          <w:p w14:paraId="1B6EC67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3C1A233"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0.727</w:t>
            </w:r>
          </w:p>
        </w:tc>
        <w:tc>
          <w:tcPr>
            <w:tcW w:w="832" w:type="dxa"/>
          </w:tcPr>
          <w:p w14:paraId="36782A83"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175C2F9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0.598</w:t>
            </w:r>
          </w:p>
        </w:tc>
      </w:tr>
      <w:tr w:rsidR="003328DF" w:rsidRPr="00BD04C5" w14:paraId="2B954CC6" w14:textId="77777777" w:rsidTr="003328DF">
        <w:trPr>
          <w:jc w:val="center"/>
        </w:trPr>
        <w:tc>
          <w:tcPr>
            <w:tcW w:w="544" w:type="dxa"/>
          </w:tcPr>
          <w:p w14:paraId="365F679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6</w:t>
            </w:r>
          </w:p>
        </w:tc>
        <w:tc>
          <w:tcPr>
            <w:tcW w:w="4032" w:type="dxa"/>
          </w:tcPr>
          <w:p w14:paraId="0516D94A" w14:textId="2E9C328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Pr>
                <w:rFonts w:ascii="Sakkal Majalla" w:hAnsi="Sakkal Majalla" w:cs="Sakkal Majalla" w:hint="cs"/>
                <w:sz w:val="22"/>
                <w:szCs w:val="22"/>
                <w:rtl/>
                <w:lang w:bidi="ar-EG"/>
              </w:rPr>
              <w:t>ب</w:t>
            </w:r>
            <w:r w:rsidRPr="00441F51">
              <w:rPr>
                <w:rFonts w:ascii="Sakkal Majalla" w:hAnsi="Sakkal Majalla" w:cs="Sakkal Majalla"/>
                <w:sz w:val="22"/>
                <w:szCs w:val="22"/>
                <w:rtl/>
                <w:lang w:bidi="ar-EG"/>
              </w:rPr>
              <w:t>رتبط الابتكار الرقمي بتحسين سلاسل التوريد وتقليل التكاليف التشغيلية من خلال التقنيات المتقدمة</w:t>
            </w:r>
            <w:r w:rsidRPr="00441F51">
              <w:rPr>
                <w:rFonts w:ascii="Sakkal Majalla" w:hAnsi="Sakkal Majalla" w:cs="Sakkal Majalla"/>
                <w:sz w:val="22"/>
                <w:szCs w:val="22"/>
                <w:lang w:bidi="ar-EG"/>
              </w:rPr>
              <w:t>.</w:t>
            </w:r>
          </w:p>
        </w:tc>
        <w:tc>
          <w:tcPr>
            <w:tcW w:w="836" w:type="dxa"/>
          </w:tcPr>
          <w:p w14:paraId="589AAAE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09B0A2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0.767</w:t>
            </w:r>
          </w:p>
        </w:tc>
        <w:tc>
          <w:tcPr>
            <w:tcW w:w="832" w:type="dxa"/>
          </w:tcPr>
          <w:p w14:paraId="16E24B4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62EFFBA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0.700</w:t>
            </w:r>
          </w:p>
        </w:tc>
      </w:tr>
      <w:tr w:rsidR="003328DF" w:rsidRPr="00BD04C5" w14:paraId="435D9805" w14:textId="77777777" w:rsidTr="003328DF">
        <w:trPr>
          <w:jc w:val="center"/>
        </w:trPr>
        <w:tc>
          <w:tcPr>
            <w:tcW w:w="544" w:type="dxa"/>
          </w:tcPr>
          <w:p w14:paraId="19AF0706"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AAD2268" w14:textId="7230F9AF"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 xml:space="preserve">الحوكمة الرقمي </w:t>
            </w:r>
          </w:p>
        </w:tc>
        <w:tc>
          <w:tcPr>
            <w:tcW w:w="836" w:type="dxa"/>
          </w:tcPr>
          <w:p w14:paraId="0F0DD69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20EDF4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63B8CCCC"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5CC66D57"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0C6E905F" w14:textId="77777777" w:rsidTr="003328DF">
        <w:trPr>
          <w:jc w:val="center"/>
        </w:trPr>
        <w:tc>
          <w:tcPr>
            <w:tcW w:w="544" w:type="dxa"/>
          </w:tcPr>
          <w:p w14:paraId="789DC37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7</w:t>
            </w:r>
          </w:p>
        </w:tc>
        <w:tc>
          <w:tcPr>
            <w:tcW w:w="4032" w:type="dxa"/>
          </w:tcPr>
          <w:p w14:paraId="5761A425" w14:textId="37269F7B"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الحوكمة الرقمية ترتبط بضمان خصوصية البيانات وحمايتها وفقًا للمعايير الدولية والوطنية</w:t>
            </w:r>
            <w:r w:rsidRPr="00441F51">
              <w:rPr>
                <w:rFonts w:ascii="Sakkal Majalla" w:hAnsi="Sakkal Majalla" w:cs="Sakkal Majalla"/>
                <w:sz w:val="22"/>
                <w:szCs w:val="22"/>
                <w:lang w:bidi="ar-EG"/>
              </w:rPr>
              <w:t xml:space="preserve">. </w:t>
            </w:r>
          </w:p>
        </w:tc>
        <w:tc>
          <w:tcPr>
            <w:tcW w:w="836" w:type="dxa"/>
          </w:tcPr>
          <w:p w14:paraId="57E3048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3B313D6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6B0E7A0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0.732</w:t>
            </w:r>
          </w:p>
        </w:tc>
        <w:tc>
          <w:tcPr>
            <w:tcW w:w="1215" w:type="dxa"/>
          </w:tcPr>
          <w:p w14:paraId="222BFBF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0.676</w:t>
            </w:r>
          </w:p>
        </w:tc>
      </w:tr>
      <w:tr w:rsidR="003328DF" w:rsidRPr="00BD04C5" w14:paraId="13857309" w14:textId="77777777" w:rsidTr="003328DF">
        <w:trPr>
          <w:jc w:val="center"/>
        </w:trPr>
        <w:tc>
          <w:tcPr>
            <w:tcW w:w="544" w:type="dxa"/>
          </w:tcPr>
          <w:p w14:paraId="08A54B3B"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lastRenderedPageBreak/>
              <w:t>8</w:t>
            </w:r>
          </w:p>
        </w:tc>
        <w:tc>
          <w:tcPr>
            <w:tcW w:w="4032" w:type="dxa"/>
          </w:tcPr>
          <w:p w14:paraId="4843CB2F" w14:textId="394B7F1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ترتبط الحوكمة الرقمية بتعزيز التنسيق والتعاون الاستراتيجي بين الجهات الحكومية والقطاع الخاص</w:t>
            </w:r>
            <w:r w:rsidRPr="00441F51">
              <w:rPr>
                <w:rFonts w:ascii="Sakkal Majalla" w:hAnsi="Sakkal Majalla" w:cs="Sakkal Majalla"/>
                <w:sz w:val="22"/>
                <w:szCs w:val="22"/>
                <w:lang w:bidi="ar-EG"/>
              </w:rPr>
              <w:t xml:space="preserve">. </w:t>
            </w:r>
          </w:p>
        </w:tc>
        <w:tc>
          <w:tcPr>
            <w:tcW w:w="836" w:type="dxa"/>
          </w:tcPr>
          <w:p w14:paraId="6BD69F1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3A321F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45A88BF"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0.768</w:t>
            </w:r>
          </w:p>
        </w:tc>
        <w:tc>
          <w:tcPr>
            <w:tcW w:w="1215" w:type="dxa"/>
          </w:tcPr>
          <w:p w14:paraId="1D1A42E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146B03FA" w14:textId="77777777" w:rsidTr="003328DF">
        <w:trPr>
          <w:jc w:val="center"/>
        </w:trPr>
        <w:tc>
          <w:tcPr>
            <w:tcW w:w="544" w:type="dxa"/>
          </w:tcPr>
          <w:p w14:paraId="019ACEF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9</w:t>
            </w:r>
          </w:p>
        </w:tc>
        <w:tc>
          <w:tcPr>
            <w:tcW w:w="4032" w:type="dxa"/>
          </w:tcPr>
          <w:p w14:paraId="2B022056" w14:textId="5DAC429E"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lang w:bidi="ar-EG"/>
              </w:rPr>
              <w:t xml:space="preserve">  </w:t>
            </w:r>
            <w:r>
              <w:rPr>
                <w:rFonts w:ascii="Sakkal Majalla" w:hAnsi="Sakkal Majalla" w:cs="Sakkal Majalla" w:hint="cs"/>
                <w:sz w:val="22"/>
                <w:szCs w:val="22"/>
                <w:rtl/>
                <w:lang w:bidi="ar-EG"/>
              </w:rPr>
              <w:t>ت</w:t>
            </w:r>
            <w:r w:rsidRPr="00441F51">
              <w:rPr>
                <w:rFonts w:ascii="Sakkal Majalla" w:hAnsi="Sakkal Majalla" w:cs="Sakkal Majalla"/>
                <w:sz w:val="22"/>
                <w:szCs w:val="22"/>
                <w:rtl/>
                <w:lang w:bidi="ar-EG"/>
              </w:rPr>
              <w:t>عتقد أن الحوكمة الرقمية ترتبط برفع مستوى الامتثال الضريبي والجمركي من خلال الشفافية والمساءلة الرقمية</w:t>
            </w:r>
            <w:r w:rsidRPr="00441F51">
              <w:rPr>
                <w:rFonts w:ascii="Sakkal Majalla" w:hAnsi="Sakkal Majalla" w:cs="Sakkal Majalla"/>
                <w:sz w:val="22"/>
                <w:szCs w:val="22"/>
                <w:lang w:bidi="ar-EG"/>
              </w:rPr>
              <w:t>.</w:t>
            </w:r>
          </w:p>
        </w:tc>
        <w:tc>
          <w:tcPr>
            <w:tcW w:w="836" w:type="dxa"/>
          </w:tcPr>
          <w:p w14:paraId="0B9F57D7"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AF994DA"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53D06B2A"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0.763</w:t>
            </w:r>
          </w:p>
        </w:tc>
        <w:tc>
          <w:tcPr>
            <w:tcW w:w="1215" w:type="dxa"/>
          </w:tcPr>
          <w:p w14:paraId="4B4E42F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4287611B" w14:textId="77777777" w:rsidTr="003328DF">
        <w:trPr>
          <w:jc w:val="center"/>
        </w:trPr>
        <w:tc>
          <w:tcPr>
            <w:tcW w:w="4576" w:type="dxa"/>
            <w:gridSpan w:val="2"/>
          </w:tcPr>
          <w:p w14:paraId="64582DA9" w14:textId="77777777" w:rsidR="003328DF" w:rsidRPr="00BD04C5" w:rsidRDefault="003328DF" w:rsidP="001E2DEE">
            <w:pPr>
              <w:spacing w:line="276" w:lineRule="auto"/>
              <w:jc w:val="center"/>
              <w:rPr>
                <w:rFonts w:ascii="Sakkal Majalla" w:hAnsi="Sakkal Majalla" w:cs="Sakkal Majalla"/>
                <w:b/>
                <w:bCs/>
                <w:sz w:val="16"/>
                <w:szCs w:val="16"/>
              </w:rPr>
            </w:pPr>
            <w:r w:rsidRPr="00BD04C5">
              <w:rPr>
                <w:rFonts w:ascii="Sakkal Majalla" w:hAnsi="Sakkal Majalla" w:cs="Sakkal Majalla"/>
                <w:b/>
                <w:bCs/>
                <w:sz w:val="16"/>
                <w:szCs w:val="16"/>
                <w:rtl/>
              </w:rPr>
              <w:t xml:space="preserve">الجذر الكامن </w:t>
            </w:r>
            <w:r w:rsidRPr="00BD04C5">
              <w:rPr>
                <w:rFonts w:ascii="Sakkal Majalla" w:hAnsi="Sakkal Majalla" w:cs="Sakkal Majalla"/>
                <w:b/>
                <w:bCs/>
                <w:sz w:val="16"/>
                <w:szCs w:val="16"/>
              </w:rPr>
              <w:t>Eigen Value</w:t>
            </w:r>
          </w:p>
        </w:tc>
        <w:tc>
          <w:tcPr>
            <w:tcW w:w="836" w:type="dxa"/>
          </w:tcPr>
          <w:p w14:paraId="25DC9A9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2.585</w:t>
            </w:r>
          </w:p>
        </w:tc>
        <w:tc>
          <w:tcPr>
            <w:tcW w:w="832" w:type="dxa"/>
          </w:tcPr>
          <w:p w14:paraId="1B245A4B"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1.926</w:t>
            </w:r>
          </w:p>
        </w:tc>
        <w:tc>
          <w:tcPr>
            <w:tcW w:w="832" w:type="dxa"/>
          </w:tcPr>
          <w:p w14:paraId="5CA8C03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1.896</w:t>
            </w:r>
          </w:p>
        </w:tc>
        <w:tc>
          <w:tcPr>
            <w:tcW w:w="1215" w:type="dxa"/>
          </w:tcPr>
          <w:p w14:paraId="53C4DE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56EFBF4" w14:textId="77777777" w:rsidTr="003328DF">
        <w:trPr>
          <w:jc w:val="center"/>
        </w:trPr>
        <w:tc>
          <w:tcPr>
            <w:tcW w:w="4576" w:type="dxa"/>
            <w:gridSpan w:val="2"/>
          </w:tcPr>
          <w:p w14:paraId="5EA50E1E"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مشاركة كل عامل للتباين الكلى</w:t>
            </w:r>
          </w:p>
        </w:tc>
        <w:tc>
          <w:tcPr>
            <w:tcW w:w="836" w:type="dxa"/>
          </w:tcPr>
          <w:p w14:paraId="7D1B6F69"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21.359</w:t>
            </w:r>
          </w:p>
        </w:tc>
        <w:tc>
          <w:tcPr>
            <w:tcW w:w="832" w:type="dxa"/>
          </w:tcPr>
          <w:p w14:paraId="208DF92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16.047</w:t>
            </w:r>
          </w:p>
        </w:tc>
        <w:tc>
          <w:tcPr>
            <w:tcW w:w="832" w:type="dxa"/>
          </w:tcPr>
          <w:p w14:paraId="019CC15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15.803</w:t>
            </w:r>
          </w:p>
        </w:tc>
        <w:tc>
          <w:tcPr>
            <w:tcW w:w="1215" w:type="dxa"/>
          </w:tcPr>
          <w:p w14:paraId="6555BE36"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7DA8648" w14:textId="77777777" w:rsidTr="003328DF">
        <w:trPr>
          <w:jc w:val="center"/>
        </w:trPr>
        <w:tc>
          <w:tcPr>
            <w:tcW w:w="4576" w:type="dxa"/>
            <w:gridSpan w:val="2"/>
          </w:tcPr>
          <w:p w14:paraId="2DC48D6B"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التباين ( المجتمع ) لكل عامل</w:t>
            </w:r>
          </w:p>
        </w:tc>
        <w:tc>
          <w:tcPr>
            <w:tcW w:w="836" w:type="dxa"/>
          </w:tcPr>
          <w:p w14:paraId="68720A2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21.539</w:t>
            </w:r>
          </w:p>
        </w:tc>
        <w:tc>
          <w:tcPr>
            <w:tcW w:w="832" w:type="dxa"/>
          </w:tcPr>
          <w:p w14:paraId="79FD45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37.585</w:t>
            </w:r>
          </w:p>
        </w:tc>
        <w:tc>
          <w:tcPr>
            <w:tcW w:w="832" w:type="dxa"/>
          </w:tcPr>
          <w:p w14:paraId="044EE25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53.389</w:t>
            </w:r>
          </w:p>
        </w:tc>
        <w:tc>
          <w:tcPr>
            <w:tcW w:w="1215" w:type="dxa"/>
          </w:tcPr>
          <w:p w14:paraId="21612BD0"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bl>
    <w:p w14:paraId="055E4915" w14:textId="77777777" w:rsidR="007A0B3B" w:rsidRPr="00BD04C5" w:rsidRDefault="007A0B3B" w:rsidP="007A0B3B">
      <w:pPr>
        <w:pStyle w:val="BlockText"/>
        <w:spacing w:line="360" w:lineRule="auto"/>
        <w:jc w:val="lowKashida"/>
        <w:rPr>
          <w:rFonts w:ascii="Sakkal Majalla" w:hAnsi="Sakkal Majalla" w:cs="Sakkal Majalla"/>
          <w:szCs w:val="20"/>
          <w:rtl/>
          <w:lang w:bidi="ar-EG"/>
        </w:rPr>
      </w:pPr>
      <w:r w:rsidRPr="00BD04C5">
        <w:rPr>
          <w:rFonts w:ascii="Sakkal Majalla" w:hAnsi="Sakkal Majalla" w:cs="Sakkal Majalla"/>
          <w:b/>
          <w:bCs/>
          <w:szCs w:val="20"/>
          <w:rtl/>
          <w:lang w:bidi="ar-EG"/>
        </w:rPr>
        <w:t>المصدر :</w:t>
      </w:r>
      <w:r w:rsidRPr="00BD04C5">
        <w:rPr>
          <w:rFonts w:ascii="Sakkal Majalla" w:hAnsi="Sakkal Majalla" w:cs="Sakkal Majalla"/>
          <w:szCs w:val="20"/>
          <w:rtl/>
          <w:lang w:bidi="ar-EG"/>
        </w:rPr>
        <w:t xml:space="preserve"> نتائج التحليل الأحصائى .</w:t>
      </w:r>
    </w:p>
    <w:p w14:paraId="0D2664B4" w14:textId="77777777" w:rsidR="007A0B3B" w:rsidRPr="00A22967" w:rsidRDefault="007A0B3B" w:rsidP="007A0B3B">
      <w:pPr>
        <w:pStyle w:val="BlockText"/>
        <w:jc w:val="lowKashida"/>
        <w:rPr>
          <w:rFonts w:ascii="Sakkal Majalla" w:hAnsi="Sakkal Majalla" w:cs="Sakkal Majalla"/>
          <w:b/>
          <w:bCs/>
          <w:sz w:val="28"/>
          <w:lang w:bidi="ar-EG"/>
        </w:rPr>
      </w:pPr>
      <w:r w:rsidRPr="00A22967">
        <w:rPr>
          <w:rFonts w:ascii="Sakkal Majalla" w:hAnsi="Sakkal Majalla" w:cs="Sakkal Majalla"/>
          <w:b/>
          <w:bCs/>
          <w:sz w:val="28"/>
          <w:rtl/>
          <w:lang w:bidi="ar-EG"/>
        </w:rPr>
        <w:t xml:space="preserve">من نتائج الجدول رقم (3/5) يتضح أنه نتج عن التحليل العاملى أربعة عوامل رئيسية وهى على الترتيب : </w:t>
      </w:r>
    </w:p>
    <w:p w14:paraId="14F1F81A" w14:textId="67F1655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الأول :</w:t>
      </w:r>
      <w:r w:rsidRPr="00A22967">
        <w:rPr>
          <w:rFonts w:ascii="Sakkal Majalla" w:hAnsi="Sakkal Majalla" w:cs="Sakkal Majalla"/>
          <w:sz w:val="28"/>
          <w:rtl/>
          <w:lang w:bidi="ar-EG"/>
        </w:rPr>
        <w:t xml:space="preserve"> ويشمل عدد </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عبارة و أرقامها مرتبة طبقا لتشبعات كل عامل ( 1,2</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 وسمى هذا العامل " </w:t>
      </w:r>
      <w:r w:rsidR="003328DF">
        <w:rPr>
          <w:rFonts w:ascii="Sakkal Majalla" w:hAnsi="Sakkal Majalla" w:cs="Sakkal Majalla" w:hint="cs"/>
          <w:sz w:val="28"/>
          <w:rtl/>
          <w:lang w:bidi="ar-EG"/>
        </w:rPr>
        <w:t>الأسس الرقمية</w:t>
      </w:r>
      <w:r w:rsidRPr="00A22967">
        <w:rPr>
          <w:rFonts w:ascii="Sakkal Majalla" w:hAnsi="Sakkal Majalla" w:cs="Sakkal Majalla"/>
          <w:sz w:val="28"/>
          <w:rtl/>
          <w:lang w:bidi="ar-EG"/>
        </w:rPr>
        <w:t xml:space="preserve">" </w:t>
      </w:r>
    </w:p>
    <w:p w14:paraId="21C7C574" w14:textId="2704DDD5"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الثانى :</w:t>
      </w:r>
      <w:r w:rsidRPr="00A22967">
        <w:rPr>
          <w:rFonts w:ascii="Sakkal Majalla" w:hAnsi="Sakkal Majalla" w:cs="Sakkal Majalla"/>
          <w:sz w:val="28"/>
          <w:rtl/>
          <w:lang w:bidi="ar-EG"/>
        </w:rPr>
        <w:t xml:space="preserve"> ويشمل عدد 3 عبارات و أرقامها مرتبة طبقا لتشبعات كل عامل (</w:t>
      </w:r>
      <w:r>
        <w:rPr>
          <w:rFonts w:ascii="Sakkal Majalla" w:hAnsi="Sakkal Majalla" w:cs="Sakkal Majalla" w:hint="cs"/>
          <w:sz w:val="28"/>
          <w:rtl/>
          <w:lang w:bidi="ar-EG"/>
        </w:rPr>
        <w:t>6</w:t>
      </w:r>
      <w:r w:rsidRPr="00A22967">
        <w:rPr>
          <w:rFonts w:ascii="Sakkal Majalla" w:hAnsi="Sakkal Majalla" w:cs="Sakkal Majalla"/>
          <w:sz w:val="28"/>
          <w:rtl/>
          <w:lang w:bidi="ar-EG"/>
        </w:rPr>
        <w:t xml:space="preserve">,4,5 ) وسمى هذا العامل " </w:t>
      </w:r>
      <w:r w:rsidR="003328DF">
        <w:rPr>
          <w:rFonts w:ascii="Sakkal Majalla" w:hAnsi="Sakkal Majalla" w:cs="Sakkal Majalla" w:hint="cs"/>
          <w:sz w:val="28"/>
          <w:rtl/>
          <w:lang w:bidi="ar-EG"/>
        </w:rPr>
        <w:t>الابتكار الرقمي</w:t>
      </w:r>
      <w:r w:rsidRPr="00A22967">
        <w:rPr>
          <w:rFonts w:ascii="Sakkal Majalla" w:hAnsi="Sakkal Majalla" w:cs="Sakkal Majalla"/>
          <w:sz w:val="28"/>
          <w:rtl/>
          <w:lang w:bidi="ar-EG"/>
        </w:rPr>
        <w:t xml:space="preserve"> " </w:t>
      </w:r>
    </w:p>
    <w:p w14:paraId="07EEBBFA" w14:textId="01AFC80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الثالث :</w:t>
      </w:r>
      <w:r w:rsidRPr="00A22967">
        <w:rPr>
          <w:rFonts w:ascii="Sakkal Majalla" w:hAnsi="Sakkal Majalla" w:cs="Sakkal Majalla"/>
          <w:sz w:val="28"/>
          <w:rtl/>
          <w:lang w:bidi="ar-EG"/>
        </w:rPr>
        <w:t xml:space="preserve"> ويشمل عدد 3 عبارات و أرقامها مرتبة طبقا لتشبعات كل عامل ( </w:t>
      </w:r>
      <w:r>
        <w:rPr>
          <w:rFonts w:ascii="Sakkal Majalla" w:hAnsi="Sakkal Majalla" w:cs="Sakkal Majalla" w:hint="cs"/>
          <w:sz w:val="28"/>
          <w:rtl/>
          <w:lang w:bidi="ar-EG"/>
        </w:rPr>
        <w:t>9</w:t>
      </w:r>
      <w:r w:rsidRPr="00A22967">
        <w:rPr>
          <w:rFonts w:ascii="Sakkal Majalla" w:hAnsi="Sakkal Majalla" w:cs="Sakkal Majalla"/>
          <w:sz w:val="28"/>
          <w:rtl/>
          <w:lang w:bidi="ar-EG"/>
        </w:rPr>
        <w:t xml:space="preserve">,7,8 ) وسمى هذا العامل " </w:t>
      </w:r>
      <w:r w:rsidR="003328DF">
        <w:rPr>
          <w:rFonts w:ascii="Sakkal Majalla" w:hAnsi="Sakkal Majalla" w:cs="Sakkal Majalla" w:hint="cs"/>
          <w:sz w:val="28"/>
          <w:rtl/>
          <w:lang w:bidi="ar-EG"/>
        </w:rPr>
        <w:t>الحوكمة الرقمية</w:t>
      </w:r>
      <w:r w:rsidRPr="00A22967">
        <w:rPr>
          <w:rFonts w:ascii="Sakkal Majalla" w:hAnsi="Sakkal Majalla" w:cs="Sakkal Majalla"/>
          <w:sz w:val="28"/>
          <w:rtl/>
          <w:lang w:bidi="ar-EG"/>
        </w:rPr>
        <w:t xml:space="preserve">" </w:t>
      </w:r>
    </w:p>
    <w:p w14:paraId="6B7DE7C4" w14:textId="77777777" w:rsidR="007A0B3B" w:rsidRPr="00A22967" w:rsidRDefault="007A0B3B" w:rsidP="007A0B3B">
      <w:pPr>
        <w:pStyle w:val="BlockText"/>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 xml:space="preserve">و من نتائج جدول (3/2) نستنتج الأتى : </w:t>
      </w:r>
    </w:p>
    <w:p w14:paraId="583136A0" w14:textId="48D55EED"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 xml:space="preserve">أن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xml:space="preserve"> التي استخلصت تفسر 66.333 من التغير الكلى للبيانات (نسبة التباين المتجمع للعوامل) .</w:t>
      </w:r>
    </w:p>
    <w:p w14:paraId="73096BAB" w14:textId="01F61A6F"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يساهم العامل الأول بمقدار 21.539 من التباين، والعامل الثاني بمقدار 37.585، و العامل الثالث بمقدار 53.389.</w:t>
      </w:r>
    </w:p>
    <w:p w14:paraId="4B746D44" w14:textId="0644E8FB" w:rsidR="007A0B3B" w:rsidRPr="00A22967" w:rsidRDefault="007A0B3B">
      <w:pPr>
        <w:pStyle w:val="BlockText"/>
        <w:numPr>
          <w:ilvl w:val="0"/>
          <w:numId w:val="123"/>
        </w:numPr>
        <w:jc w:val="lowKashida"/>
        <w:rPr>
          <w:rFonts w:ascii="Sakkal Majalla" w:hAnsi="Sakkal Majalla" w:cs="Sakkal Majalla"/>
          <w:sz w:val="24"/>
          <w:szCs w:val="24"/>
          <w:rtl/>
          <w:lang w:bidi="ar-EG"/>
        </w:rPr>
      </w:pPr>
      <w:r w:rsidRPr="00A22967">
        <w:rPr>
          <w:rFonts w:ascii="Sakkal Majalla" w:hAnsi="Sakkal Majalla" w:cs="Sakkal Majalla"/>
          <w:sz w:val="28"/>
          <w:rtl/>
          <w:lang w:bidi="ar-EG"/>
        </w:rPr>
        <w:t xml:space="preserve">إن كمية التباين فى المتغير </w:t>
      </w:r>
      <w:r w:rsidRPr="00A22967">
        <w:rPr>
          <w:rFonts w:ascii="Sakkal Majalla" w:hAnsi="Sakkal Majalla" w:cs="Sakkal Majalla" w:hint="cs"/>
          <w:sz w:val="28"/>
          <w:rtl/>
          <w:lang w:bidi="ar-EG"/>
        </w:rPr>
        <w:t>الاشتراكات</w:t>
      </w:r>
      <w:r w:rsidRPr="00A22967">
        <w:rPr>
          <w:rFonts w:ascii="Sakkal Majalla" w:hAnsi="Sakkal Majalla" w:cs="Sakkal Majalla"/>
          <w:sz w:val="28"/>
          <w:rtl/>
          <w:lang w:bidi="ar-EG"/>
        </w:rPr>
        <w:t xml:space="preserve"> (</w:t>
      </w:r>
      <w:r w:rsidRPr="00A22967">
        <w:rPr>
          <w:rFonts w:ascii="Sakkal Majalla" w:hAnsi="Sakkal Majalla" w:cs="Sakkal Majalla"/>
          <w:sz w:val="28"/>
          <w:lang w:bidi="ar-EG"/>
        </w:rPr>
        <w:t>Communality</w:t>
      </w:r>
      <w:r w:rsidRPr="00A22967">
        <w:rPr>
          <w:rFonts w:ascii="Sakkal Majalla" w:hAnsi="Sakkal Majalla" w:cs="Sakkal Majalla"/>
          <w:sz w:val="28"/>
          <w:rtl/>
          <w:lang w:bidi="ar-EG"/>
        </w:rPr>
        <w:t xml:space="preserve">) التى تساهم بها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فكانت تترواح بين 0.598 و0.720.</w:t>
      </w:r>
    </w:p>
    <w:p w14:paraId="4C90A424" w14:textId="77777777" w:rsidR="007A0B3B" w:rsidRPr="00A22967" w:rsidRDefault="007A0B3B">
      <w:pPr>
        <w:pStyle w:val="BlockText"/>
        <w:numPr>
          <w:ilvl w:val="0"/>
          <w:numId w:val="124"/>
        </w:numPr>
        <w:spacing w:line="360" w:lineRule="auto"/>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ثبات المقياس بطريقة التجزئة النصفية:</w:t>
      </w:r>
    </w:p>
    <w:p w14:paraId="63F5DC22" w14:textId="77777777"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sz w:val="28"/>
          <w:rtl/>
          <w:lang w:bidi="ar-EG"/>
        </w:rPr>
        <w:t>وفيها تجزأ أداة القياس إلى جزئين بحيث يشمل الجزء الأول على العبارات الفردية الترتيب، و يشمل الجزء الثانى على العبارات الزوجية الترتيب ، وبقدر وجود مؤشرات جيدة للثبات مثل معامل ألفا لكل الجزئين و الأرتباط بين الجزأين و معامل " سبيرمان " للارتباط و معامل " جتمان " للتجزئة النصفية يمكن قبول الثبات ، وإذا كانت المؤشرات ضعيفة فأنه لا يمكن قبول الثبات ، ويوضح الجدول رقم (3/5) ثبات أداة القياس بطريقة التجزئية النصفية .</w:t>
      </w:r>
    </w:p>
    <w:p w14:paraId="6A0AE322" w14:textId="77777777" w:rsidR="007A0B3B" w:rsidRPr="00BC7B39" w:rsidRDefault="007A0B3B" w:rsidP="007A0B3B">
      <w:pPr>
        <w:pStyle w:val="BlockText"/>
        <w:jc w:val="center"/>
        <w:rPr>
          <w:b/>
          <w:bCs/>
          <w:sz w:val="28"/>
          <w:rtl/>
          <w:lang w:bidi="ar-EG"/>
        </w:rPr>
      </w:pPr>
      <w:r w:rsidRPr="00BC7B39">
        <w:rPr>
          <w:rFonts w:cs="Simplified Arabic" w:hint="cs"/>
          <w:b/>
          <w:bCs/>
          <w:sz w:val="24"/>
          <w:szCs w:val="24"/>
          <w:rtl/>
          <w:lang w:bidi="ar-EG"/>
        </w:rPr>
        <w:t>الجدول رقم (3/5) ثبات أداة القياس بطريقة التجزئة النصفية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4C3247" w14:paraId="3EB0F20E"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EB886F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481D7B2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E0987F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الثانى </w:t>
            </w:r>
          </w:p>
        </w:tc>
      </w:tr>
      <w:tr w:rsidR="007A0B3B" w:rsidRPr="004C3247" w14:paraId="405617E6" w14:textId="77777777" w:rsidTr="001E2DEE">
        <w:trPr>
          <w:jc w:val="center"/>
        </w:trPr>
        <w:tc>
          <w:tcPr>
            <w:tcW w:w="4255" w:type="dxa"/>
            <w:tcBorders>
              <w:top w:val="thinThickSmallGap" w:sz="24" w:space="0" w:color="auto"/>
            </w:tcBorders>
          </w:tcPr>
          <w:p w14:paraId="2542E432" w14:textId="77777777" w:rsidR="007A0B3B" w:rsidRPr="00F014E2" w:rsidRDefault="007A0B3B" w:rsidP="001E2DEE">
            <w:pPr>
              <w:pStyle w:val="BlockText"/>
              <w:ind w:left="0"/>
              <w:rPr>
                <w:szCs w:val="20"/>
                <w:rtl/>
                <w:lang w:bidi="ar-EG"/>
              </w:rPr>
            </w:pPr>
            <w:r w:rsidRPr="00F014E2">
              <w:rPr>
                <w:rFonts w:hint="cs"/>
                <w:szCs w:val="20"/>
                <w:rtl/>
                <w:lang w:bidi="ar-EG"/>
              </w:rPr>
              <w:t xml:space="preserve">عدد العبارات </w:t>
            </w:r>
          </w:p>
        </w:tc>
        <w:tc>
          <w:tcPr>
            <w:tcW w:w="2126" w:type="dxa"/>
            <w:tcBorders>
              <w:top w:val="thinThickSmallGap" w:sz="24" w:space="0" w:color="auto"/>
            </w:tcBorders>
          </w:tcPr>
          <w:p w14:paraId="1239153A" w14:textId="77774A85" w:rsidR="007A0B3B" w:rsidRPr="00F014E2" w:rsidRDefault="003328DF" w:rsidP="001E2DEE">
            <w:pPr>
              <w:pStyle w:val="BlockText"/>
              <w:ind w:left="0"/>
              <w:jc w:val="center"/>
              <w:rPr>
                <w:szCs w:val="20"/>
                <w:rtl/>
                <w:lang w:bidi="ar-EG"/>
              </w:rPr>
            </w:pPr>
            <w:r>
              <w:rPr>
                <w:rFonts w:hint="cs"/>
                <w:szCs w:val="20"/>
                <w:rtl/>
                <w:lang w:bidi="ar-EG"/>
              </w:rPr>
              <w:t>5</w:t>
            </w:r>
          </w:p>
        </w:tc>
        <w:tc>
          <w:tcPr>
            <w:tcW w:w="2091" w:type="dxa"/>
            <w:tcBorders>
              <w:top w:val="thinThickSmallGap" w:sz="24" w:space="0" w:color="auto"/>
            </w:tcBorders>
          </w:tcPr>
          <w:p w14:paraId="32F01B5A" w14:textId="6C745E8C" w:rsidR="007A0B3B" w:rsidRPr="00F014E2" w:rsidRDefault="003328DF" w:rsidP="001E2DEE">
            <w:pPr>
              <w:pStyle w:val="BlockText"/>
              <w:ind w:left="0"/>
              <w:jc w:val="center"/>
              <w:rPr>
                <w:szCs w:val="20"/>
                <w:rtl/>
                <w:lang w:bidi="ar-EG"/>
              </w:rPr>
            </w:pPr>
            <w:r>
              <w:rPr>
                <w:rFonts w:hint="cs"/>
                <w:szCs w:val="20"/>
                <w:rtl/>
                <w:lang w:bidi="ar-EG"/>
              </w:rPr>
              <w:t>4</w:t>
            </w:r>
          </w:p>
        </w:tc>
      </w:tr>
      <w:tr w:rsidR="007A0B3B" w:rsidRPr="004C3247" w14:paraId="6709F563" w14:textId="77777777" w:rsidTr="001E2DEE">
        <w:trPr>
          <w:jc w:val="center"/>
        </w:trPr>
        <w:tc>
          <w:tcPr>
            <w:tcW w:w="4255" w:type="dxa"/>
          </w:tcPr>
          <w:p w14:paraId="41DFA1FB"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ألفا </w:t>
            </w:r>
          </w:p>
        </w:tc>
        <w:tc>
          <w:tcPr>
            <w:tcW w:w="2126" w:type="dxa"/>
          </w:tcPr>
          <w:p w14:paraId="3B55E257" w14:textId="77777777" w:rsidR="007A0B3B" w:rsidRPr="00F014E2" w:rsidRDefault="007A0B3B" w:rsidP="001E2DEE">
            <w:pPr>
              <w:pStyle w:val="BlockText"/>
              <w:ind w:left="0"/>
              <w:jc w:val="center"/>
              <w:rPr>
                <w:szCs w:val="20"/>
                <w:rtl/>
                <w:lang w:bidi="ar-EG"/>
              </w:rPr>
            </w:pPr>
            <w:r w:rsidRPr="00F014E2">
              <w:rPr>
                <w:rFonts w:hint="cs"/>
                <w:szCs w:val="20"/>
                <w:rtl/>
                <w:lang w:bidi="ar-EG"/>
              </w:rPr>
              <w:t>0.638</w:t>
            </w:r>
          </w:p>
        </w:tc>
        <w:tc>
          <w:tcPr>
            <w:tcW w:w="2091" w:type="dxa"/>
          </w:tcPr>
          <w:p w14:paraId="68D8FA5F" w14:textId="77777777" w:rsidR="007A0B3B" w:rsidRPr="00F014E2" w:rsidRDefault="007A0B3B" w:rsidP="001E2DEE">
            <w:pPr>
              <w:pStyle w:val="BlockText"/>
              <w:ind w:left="0"/>
              <w:jc w:val="center"/>
              <w:rPr>
                <w:szCs w:val="20"/>
                <w:rtl/>
                <w:lang w:bidi="ar-EG"/>
              </w:rPr>
            </w:pPr>
            <w:r w:rsidRPr="00F014E2">
              <w:rPr>
                <w:rFonts w:hint="cs"/>
                <w:szCs w:val="20"/>
                <w:rtl/>
                <w:lang w:bidi="ar-EG"/>
              </w:rPr>
              <w:t>0.643</w:t>
            </w:r>
          </w:p>
        </w:tc>
      </w:tr>
      <w:tr w:rsidR="007A0B3B" w:rsidRPr="004C3247" w14:paraId="0EF198A5" w14:textId="77777777" w:rsidTr="001E2DEE">
        <w:trPr>
          <w:jc w:val="center"/>
        </w:trPr>
        <w:tc>
          <w:tcPr>
            <w:tcW w:w="4255" w:type="dxa"/>
          </w:tcPr>
          <w:p w14:paraId="0417BFDE" w14:textId="77777777" w:rsidR="007A0B3B" w:rsidRPr="00F014E2" w:rsidRDefault="007A0B3B" w:rsidP="001E2DEE">
            <w:pPr>
              <w:pStyle w:val="BlockText"/>
              <w:ind w:left="0"/>
              <w:rPr>
                <w:szCs w:val="20"/>
                <w:rtl/>
                <w:lang w:bidi="ar-EG"/>
              </w:rPr>
            </w:pPr>
            <w:r w:rsidRPr="00F014E2">
              <w:rPr>
                <w:rFonts w:hint="cs"/>
                <w:szCs w:val="20"/>
                <w:rtl/>
                <w:lang w:bidi="ar-EG"/>
              </w:rPr>
              <w:t>الأرتباط بين الجزأين</w:t>
            </w:r>
          </w:p>
        </w:tc>
        <w:tc>
          <w:tcPr>
            <w:tcW w:w="4217" w:type="dxa"/>
            <w:gridSpan w:val="2"/>
          </w:tcPr>
          <w:p w14:paraId="1E286684" w14:textId="77777777" w:rsidR="007A0B3B" w:rsidRPr="00F014E2" w:rsidRDefault="007A0B3B" w:rsidP="001E2DEE">
            <w:pPr>
              <w:pStyle w:val="BlockText"/>
              <w:ind w:left="0"/>
              <w:jc w:val="center"/>
              <w:rPr>
                <w:szCs w:val="20"/>
                <w:rtl/>
                <w:lang w:bidi="ar-EG"/>
              </w:rPr>
            </w:pPr>
            <w:r w:rsidRPr="00F014E2">
              <w:rPr>
                <w:rFonts w:hint="cs"/>
                <w:szCs w:val="20"/>
                <w:rtl/>
                <w:lang w:bidi="ar-EG"/>
              </w:rPr>
              <w:t>0.769</w:t>
            </w:r>
          </w:p>
        </w:tc>
      </w:tr>
      <w:tr w:rsidR="007A0B3B" w:rsidRPr="004C3247" w14:paraId="5F7073E9" w14:textId="77777777" w:rsidTr="001E2DEE">
        <w:trPr>
          <w:jc w:val="center"/>
        </w:trPr>
        <w:tc>
          <w:tcPr>
            <w:tcW w:w="4255" w:type="dxa"/>
          </w:tcPr>
          <w:p w14:paraId="65799861" w14:textId="77777777" w:rsidR="007A0B3B" w:rsidRPr="00F014E2" w:rsidRDefault="007A0B3B" w:rsidP="001E2DEE">
            <w:pPr>
              <w:pStyle w:val="BlockText"/>
              <w:ind w:left="0"/>
              <w:rPr>
                <w:szCs w:val="20"/>
                <w:rtl/>
                <w:lang w:bidi="ar-EG"/>
              </w:rPr>
            </w:pPr>
            <w:r w:rsidRPr="00F014E2">
              <w:rPr>
                <w:rFonts w:hint="cs"/>
                <w:szCs w:val="20"/>
                <w:rtl/>
                <w:lang w:bidi="ar-EG"/>
              </w:rPr>
              <w:t>معامل أرتباط  " سبيرمان براون "</w:t>
            </w:r>
          </w:p>
        </w:tc>
        <w:tc>
          <w:tcPr>
            <w:tcW w:w="4217" w:type="dxa"/>
            <w:gridSpan w:val="2"/>
          </w:tcPr>
          <w:p w14:paraId="04D7A20D"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r w:rsidR="007A0B3B" w:rsidRPr="004C3247" w14:paraId="08AD336C" w14:textId="77777777" w:rsidTr="001E2DEE">
        <w:trPr>
          <w:jc w:val="center"/>
        </w:trPr>
        <w:tc>
          <w:tcPr>
            <w:tcW w:w="4255" w:type="dxa"/>
          </w:tcPr>
          <w:p w14:paraId="781B8B68"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 جتمان " للتجزئة النصفية </w:t>
            </w:r>
          </w:p>
        </w:tc>
        <w:tc>
          <w:tcPr>
            <w:tcW w:w="4217" w:type="dxa"/>
            <w:gridSpan w:val="2"/>
          </w:tcPr>
          <w:p w14:paraId="53C005D9"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bl>
    <w:p w14:paraId="779A64B0" w14:textId="77777777" w:rsidR="007A0B3B" w:rsidRPr="00020F95" w:rsidRDefault="007A0B3B" w:rsidP="007A0B3B">
      <w:pPr>
        <w:pStyle w:val="BlockText"/>
        <w:spacing w:line="360" w:lineRule="auto"/>
        <w:jc w:val="lowKashida"/>
        <w:rPr>
          <w:szCs w:val="20"/>
          <w:rtl/>
          <w:lang w:bidi="ar-EG"/>
        </w:rPr>
      </w:pPr>
      <w:r w:rsidRPr="00020F95">
        <w:rPr>
          <w:rFonts w:hint="cs"/>
          <w:b/>
          <w:bCs/>
          <w:szCs w:val="20"/>
          <w:rtl/>
          <w:lang w:bidi="ar-EG"/>
        </w:rPr>
        <w:t>المصدر :</w:t>
      </w:r>
      <w:r w:rsidRPr="00020F95">
        <w:rPr>
          <w:rFonts w:hint="cs"/>
          <w:szCs w:val="20"/>
          <w:rtl/>
          <w:lang w:bidi="ar-EG"/>
        </w:rPr>
        <w:t xml:space="preserve"> نتائج التحليل الأحصائى .</w:t>
      </w:r>
    </w:p>
    <w:p w14:paraId="7915A573" w14:textId="77777777" w:rsidR="007A0B3B" w:rsidRDefault="007A0B3B" w:rsidP="007A0B3B">
      <w:pPr>
        <w:pStyle w:val="BlockText"/>
        <w:ind w:left="146" w:hanging="120"/>
        <w:jc w:val="lowKashida"/>
        <w:rPr>
          <w:rFonts w:ascii="Sakkal Majalla" w:hAnsi="Sakkal Majalla" w:cs="Sakkal Majalla"/>
          <w:sz w:val="28"/>
          <w:rtl/>
          <w:lang w:bidi="ar-EG"/>
        </w:rPr>
      </w:pPr>
      <w:r w:rsidRPr="00553B56">
        <w:rPr>
          <w:rFonts w:ascii="Sakkal Majalla" w:hAnsi="Sakkal Majalla" w:cs="Sakkal Majalla"/>
          <w:sz w:val="28"/>
          <w:rtl/>
          <w:lang w:bidi="ar-EG"/>
        </w:rPr>
        <w:lastRenderedPageBreak/>
        <w:t>بالنظر فى الجدول السابق و الذى يوضح ثبات أداة القياس بطريقة التجزئة النصفية يتضح أن عدد عبارات الجزء الأول الفردية 6 عبارة  ، و الجزء الثانى الزوجية  6 عبارة ، و كان معامل ألفا للجزء الأول = 0.638 ، و معامل ألفا للجزء الثانى = 0.643 ، وكان الأرتباط بين الجزئين يساوى 0.769 ، و معامل " سبيرمان بروان "  = 0.809 ، و معامل " جتمان " للتجزئة النصفية = 0.809  ، و جميع المؤشرات السابقة تدل على وجود ثبات مقبول لأداة القياس .</w:t>
      </w:r>
    </w:p>
    <w:p w14:paraId="538B70C9"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**3/2/2 اختبار صدق المقياس: التحليل العاملي للعبارات المكونة لمقياس التحول الرقمي (</w:t>
      </w:r>
      <w:r w:rsidRPr="00BE13D0">
        <w:rPr>
          <w:rFonts w:ascii="Sakkal Majalla" w:hAnsi="Sakkal Majalla" w:cs="Sakkal Majalla"/>
          <w:sz w:val="28"/>
          <w:lang w:bidi="ar-EG"/>
        </w:rPr>
        <w:t>Factor Analysis</w:t>
      </w:r>
      <w:r w:rsidRPr="00BE13D0">
        <w:rPr>
          <w:rFonts w:ascii="Sakkal Majalla" w:hAnsi="Sakkal Majalla" w:cs="Sakkal Majalla"/>
          <w:sz w:val="28"/>
          <w:rtl/>
          <w:lang w:bidi="ar-EG"/>
        </w:rPr>
        <w:t>)**</w:t>
      </w:r>
    </w:p>
    <w:p w14:paraId="73E1BBCF" w14:textId="202DB7F7" w:rsidR="00BE13D0" w:rsidRPr="00BE13D0" w:rsidRDefault="00BE13D0" w:rsidP="00BE13D0">
      <w:pPr>
        <w:pStyle w:val="BlockText"/>
        <w:ind w:left="146" w:hanging="120"/>
        <w:jc w:val="lowKashida"/>
        <w:rPr>
          <w:rFonts w:ascii="Sakkal Majalla" w:hAnsi="Sakkal Majalla" w:cs="Sakkal Majalla"/>
          <w:sz w:val="28"/>
          <w:lang w:bidi="ar-EG"/>
        </w:rPr>
      </w:pPr>
      <w:r>
        <w:rPr>
          <w:rFonts w:ascii="Sakkal Majalla" w:hAnsi="Sakkal Majalla" w:cs="Sakkal Majalla" w:hint="cs"/>
          <w:sz w:val="28"/>
          <w:rtl/>
          <w:lang w:bidi="ar-EG"/>
        </w:rPr>
        <w:t>و</w:t>
      </w:r>
      <w:r w:rsidRPr="00BE13D0">
        <w:rPr>
          <w:rFonts w:ascii="Sakkal Majalla" w:hAnsi="Sakkal Majalla" w:cs="Sakkal Majalla"/>
          <w:sz w:val="28"/>
          <w:rtl/>
          <w:lang w:bidi="ar-EG"/>
        </w:rPr>
        <w:t>بعد التحقق من استيفاء شروط الصلاحية الإحصائية للتحليل العاملي (</w:t>
      </w:r>
      <w:r w:rsidRPr="00BE13D0">
        <w:rPr>
          <w:rFonts w:ascii="Sakkal Majalla" w:hAnsi="Sakkal Majalla" w:cs="Sakkal Majalla"/>
          <w:sz w:val="28"/>
          <w:lang w:bidi="ar-EG"/>
        </w:rPr>
        <w:t>KMO = 0.819</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 xml:space="preserve">Bartlett’s Test of Sphericity </w:t>
      </w:r>
      <w:r w:rsidRPr="00BE13D0">
        <w:rPr>
          <w:rFonts w:ascii="Cambria" w:hAnsi="Cambria" w:cs="Cambria"/>
          <w:sz w:val="28"/>
          <w:lang w:bidi="ar-EG"/>
        </w:rPr>
        <w:t>χ</w:t>
      </w:r>
      <w:r w:rsidRPr="00BE13D0">
        <w:rPr>
          <w:rFonts w:ascii="Sakkal Majalla" w:hAnsi="Sakkal Majalla" w:cs="Sakkal Majalla"/>
          <w:sz w:val="28"/>
          <w:lang w:bidi="ar-EG"/>
        </w:rPr>
        <w:t>² = 1247.36</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p &lt; 0.001</w:t>
      </w:r>
      <w:r w:rsidRPr="00BE13D0">
        <w:rPr>
          <w:rFonts w:ascii="Sakkal Majalla" w:hAnsi="Sakkal Majalla" w:cs="Sakkal Majalla"/>
          <w:sz w:val="28"/>
          <w:rtl/>
          <w:lang w:bidi="ar-EG"/>
        </w:rPr>
        <w:t xml:space="preserve">)، تم تطبيق تقنية </w:t>
      </w:r>
      <w:r w:rsidRPr="00BE13D0">
        <w:rPr>
          <w:rFonts w:ascii="Sakkal Majalla" w:hAnsi="Sakkal Majalla" w:cs="Sakkal Majalla"/>
          <w:b/>
          <w:bCs/>
          <w:sz w:val="28"/>
          <w:rtl/>
          <w:lang w:bidi="ar-EG"/>
        </w:rPr>
        <w:t>التحليل العاملي بطريقة المكونات الرئيسية (</w:t>
      </w:r>
      <w:r w:rsidRPr="00BE13D0">
        <w:rPr>
          <w:rFonts w:ascii="Sakkal Majalla" w:hAnsi="Sakkal Majalla" w:cs="Sakkal Majalla"/>
          <w:b/>
          <w:bCs/>
          <w:sz w:val="28"/>
          <w:lang w:bidi="ar-EG"/>
        </w:rPr>
        <w:t>Principal Component Analysis</w:t>
      </w:r>
      <w:r w:rsidRPr="00BE13D0">
        <w:rPr>
          <w:rFonts w:ascii="Sakkal Majalla" w:hAnsi="Sakkal Majalla" w:cs="Sakkal Majalla"/>
          <w:b/>
          <w:bCs/>
          <w:sz w:val="28"/>
          <w:rtl/>
          <w:lang w:bidi="ar-EG"/>
        </w:rPr>
        <w:t>)</w:t>
      </w:r>
      <w:r w:rsidRPr="00BE13D0">
        <w:rPr>
          <w:rFonts w:ascii="Sakkal Majalla" w:hAnsi="Sakkal Majalla" w:cs="Sakkal Majalla"/>
          <w:sz w:val="28"/>
          <w:rtl/>
          <w:lang w:bidi="ar-EG"/>
        </w:rPr>
        <w:t xml:space="preserve"> مع دوران </w:t>
      </w:r>
      <w:r w:rsidRPr="00BE13D0">
        <w:rPr>
          <w:rFonts w:ascii="Sakkal Majalla" w:hAnsi="Sakkal Majalla" w:cs="Sakkal Majalla"/>
          <w:sz w:val="28"/>
          <w:lang w:bidi="ar-EG"/>
        </w:rPr>
        <w:t>Varimax</w:t>
      </w:r>
      <w:r w:rsidRPr="00BE13D0">
        <w:rPr>
          <w:rFonts w:ascii="Sakkal Majalla" w:hAnsi="Sakkal Majalla" w:cs="Sakkal Majalla"/>
          <w:sz w:val="28"/>
          <w:rtl/>
          <w:lang w:bidi="ar-EG"/>
        </w:rPr>
        <w:t xml:space="preserve"> لاستكشاف البنية العاملية لمقياس التحول الرقمي المكون من 9 عبارات موزعة على ثلاثة أبعاد نظرية رئيسية. اعتمدت هذه الأبعاد على أبرز النماذج العالمية الرائدة في أدبيات التحول الرقمي الحكومي (</w:t>
      </w:r>
      <w:r w:rsidRPr="00BE13D0">
        <w:rPr>
          <w:rFonts w:ascii="Sakkal Majalla" w:hAnsi="Sakkal Majalla" w:cs="Sakkal Majalla"/>
          <w:sz w:val="28"/>
          <w:lang w:bidi="ar-EG"/>
        </w:rPr>
        <w:t>Westerman &amp; Bonnet, 2015; Gartner, 2024; OECD, 2020; McKinsey &amp; Company, 2022; Vial, 2019; Matt et al., 2015</w:t>
      </w:r>
      <w:r w:rsidRPr="00BE13D0">
        <w:rPr>
          <w:rFonts w:ascii="Sakkal Majalla" w:hAnsi="Sakkal Majalla" w:cs="Sakkal Majalla"/>
          <w:sz w:val="28"/>
          <w:rtl/>
          <w:lang w:bidi="ar-EG"/>
        </w:rPr>
        <w:t xml:space="preserve">). </w:t>
      </w:r>
    </w:p>
    <w:p w14:paraId="281DA808" w14:textId="50BCA2D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أسفر التحليل عن استخراج </w:t>
      </w:r>
      <w:r w:rsidRPr="00BE13D0">
        <w:rPr>
          <w:rFonts w:ascii="Sakkal Majalla" w:hAnsi="Sakkal Majalla" w:cs="Sakkal Majalla"/>
          <w:b/>
          <w:bCs/>
          <w:sz w:val="28"/>
          <w:rtl/>
          <w:lang w:bidi="ar-EG"/>
        </w:rPr>
        <w:t>ثلاثة عوامل رئيسية</w:t>
      </w:r>
      <w:r w:rsidRPr="00BE13D0">
        <w:rPr>
          <w:rFonts w:ascii="Sakkal Majalla" w:hAnsi="Sakkal Majalla" w:cs="Sakkal Majalla"/>
          <w:sz w:val="28"/>
          <w:rtl/>
          <w:lang w:bidi="ar-EG"/>
        </w:rPr>
        <w:t xml:space="preserve"> فقط، تفسر مجتمعة </w:t>
      </w:r>
      <w:r w:rsidRPr="00BE13D0">
        <w:rPr>
          <w:rFonts w:ascii="Sakkal Majalla" w:hAnsi="Sakkal Majalla" w:cs="Sakkal Majalla"/>
          <w:b/>
          <w:bCs/>
          <w:sz w:val="28"/>
          <w:rtl/>
          <w:lang w:bidi="ar-EG"/>
        </w:rPr>
        <w:t>53.389%</w:t>
      </w:r>
      <w:r w:rsidRPr="00BE13D0">
        <w:rPr>
          <w:rFonts w:ascii="Sakkal Majalla" w:hAnsi="Sakkal Majalla" w:cs="Sakkal Majalla"/>
          <w:sz w:val="28"/>
          <w:rtl/>
          <w:lang w:bidi="ar-EG"/>
        </w:rPr>
        <w:t xml:space="preserve"> من التباين الكلي في البيانات (</w:t>
      </w:r>
      <w:r w:rsidRPr="00BE13D0">
        <w:rPr>
          <w:rFonts w:ascii="Sakkal Majalla" w:hAnsi="Sakkal Majalla" w:cs="Sakkal Majalla"/>
          <w:sz w:val="28"/>
          <w:lang w:bidi="ar-EG"/>
        </w:rPr>
        <w:t>Eigenvalues &gt; 1.0</w:t>
      </w:r>
      <w:r w:rsidRPr="00BE13D0">
        <w:rPr>
          <w:rFonts w:ascii="Sakkal Majalla" w:hAnsi="Sakkal Majalla" w:cs="Sakkal Majalla"/>
          <w:sz w:val="28"/>
          <w:rtl/>
          <w:lang w:bidi="ar-EG"/>
        </w:rPr>
        <w:t xml:space="preserve"> لكل عامل). تعتبر هذه النسبة مرتفعة ومُرضية في الدراسات الإدارية والحكومية الرقمية، حيث يُقبل عادةً أي تباين تراكمي يتجاوز 50% كدليل على قوة البنية العاملية (</w:t>
      </w:r>
      <w:r w:rsidRPr="00BE13D0">
        <w:rPr>
          <w:rFonts w:ascii="Sakkal Majalla" w:hAnsi="Sakkal Majalla" w:cs="Sakkal Majalla"/>
          <w:sz w:val="28"/>
          <w:lang w:bidi="ar-EG"/>
        </w:rPr>
        <w:t>Hair et al., 2019; Tabachnick &amp; Fidell, 2019; DeVellis, 2016</w:t>
      </w:r>
      <w:r w:rsidRPr="00BE13D0">
        <w:rPr>
          <w:rFonts w:ascii="Sakkal Majalla" w:hAnsi="Sakkal Majalla" w:cs="Sakkal Majalla"/>
          <w:sz w:val="28"/>
          <w:rtl/>
          <w:lang w:bidi="ar-EG"/>
        </w:rPr>
        <w:t xml:space="preserve">). في الواقع، تتفوق هذه النسبة على العديد من الدراسات المماثلة في دول الخليج، مثل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التي سجلت تباينًا تراكميًا قدره 48.7% لمقاييس التحول الرقمي في القطاع الحكومي الخليجي، ودراسة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التي بلغت 51.2% في سياق الفوترة الإلكترونية داخل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كما أنها تقترب من النسب المسجلة في النماذج العالمية الرائدة مثل </w:t>
      </w:r>
      <w:r w:rsidRPr="00BE13D0">
        <w:rPr>
          <w:rFonts w:ascii="Sakkal Majalla" w:hAnsi="Sakkal Majalla" w:cs="Sakkal Majalla"/>
          <w:sz w:val="28"/>
          <w:lang w:bidi="ar-EG"/>
        </w:rPr>
        <w:t>UNI-PASS</w:t>
      </w:r>
      <w:r w:rsidRPr="00BE13D0">
        <w:rPr>
          <w:rFonts w:ascii="Sakkal Majalla" w:hAnsi="Sakkal Majalla" w:cs="Sakkal Majalla"/>
          <w:sz w:val="28"/>
          <w:rtl/>
          <w:lang w:bidi="ar-EG"/>
        </w:rPr>
        <w:t xml:space="preserve"> في كوريا الجنوبية (</w:t>
      </w:r>
      <w:r w:rsidRPr="00BE13D0">
        <w:rPr>
          <w:rFonts w:ascii="Sakkal Majalla" w:hAnsi="Sakkal Majalla" w:cs="Sakkal Majalla"/>
          <w:sz w:val="28"/>
          <w:lang w:bidi="ar-EG"/>
        </w:rPr>
        <w:t>Lee et al., 2024: 54–58%</w:t>
      </w:r>
      <w:r w:rsidRPr="00BE13D0">
        <w:rPr>
          <w:rFonts w:ascii="Sakkal Majalla" w:hAnsi="Sakkal Majalla" w:cs="Sakkal Majalla"/>
          <w:sz w:val="28"/>
          <w:rtl/>
          <w:lang w:bidi="ar-EG"/>
        </w:rPr>
        <w:t>) و</w:t>
      </w:r>
      <w:r w:rsidRPr="00BE13D0">
        <w:rPr>
          <w:rFonts w:ascii="Sakkal Majalla" w:hAnsi="Sakkal Majalla" w:cs="Sakkal Majalla"/>
          <w:sz w:val="28"/>
          <w:lang w:bidi="ar-EG"/>
        </w:rPr>
        <w:t>TradeNet</w:t>
      </w:r>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WCO, 2025: 55–62%</w:t>
      </w:r>
      <w:r w:rsidRPr="00BE13D0">
        <w:rPr>
          <w:rFonts w:ascii="Sakkal Majalla" w:hAnsi="Sakkal Majalla" w:cs="Sakkal Majalla"/>
          <w:sz w:val="28"/>
          <w:rtl/>
          <w:lang w:bidi="ar-EG"/>
        </w:rPr>
        <w:t>).</w:t>
      </w:r>
    </w:p>
    <w:p w14:paraId="3D0A06D9" w14:textId="13458B60"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يُلاحظ أن التحليل لم يستخرج عوامل إضافية (رغم إمكانية استخراج 9 عوامل منفصلة)، وهذا يعكس </w:t>
      </w:r>
      <w:r w:rsidRPr="00BE13D0">
        <w:rPr>
          <w:rFonts w:ascii="Sakkal Majalla" w:hAnsi="Sakkal Majalla" w:cs="Sakkal Majalla"/>
          <w:b/>
          <w:bCs/>
          <w:sz w:val="28"/>
          <w:rtl/>
          <w:lang w:bidi="ar-EG"/>
        </w:rPr>
        <w:t>التماسك النظري القوي</w:t>
      </w:r>
      <w:r w:rsidRPr="00BE13D0">
        <w:rPr>
          <w:rFonts w:ascii="Sakkal Majalla" w:hAnsi="Sakkal Majalla" w:cs="Sakkal Majalla"/>
          <w:sz w:val="28"/>
          <w:rtl/>
          <w:lang w:bidi="ar-EG"/>
        </w:rPr>
        <w:t xml:space="preserve"> للأبعاد الثلاثة، حيث لم يظهر أي عامل رابع بـ </w:t>
      </w:r>
      <w:r w:rsidRPr="00BE13D0">
        <w:rPr>
          <w:rFonts w:ascii="Sakkal Majalla" w:hAnsi="Sakkal Majalla" w:cs="Sakkal Majalla"/>
          <w:sz w:val="28"/>
          <w:lang w:bidi="ar-EG"/>
        </w:rPr>
        <w:t>Eigenvalue &gt; 1.0</w:t>
      </w:r>
      <w:r w:rsidRPr="00BE13D0">
        <w:rPr>
          <w:rFonts w:ascii="Sakkal Majalla" w:hAnsi="Sakkal Majalla" w:cs="Sakkal Majalla"/>
          <w:sz w:val="28"/>
          <w:rtl/>
          <w:lang w:bidi="ar-EG"/>
        </w:rPr>
        <w:t>، مما يؤكد أن المقياس يلتقط جوهر التحول الرقمي بكفاءة عالية دون الحاجة إلى عوامل إضافية (</w:t>
      </w:r>
      <w:r w:rsidRPr="00BE13D0">
        <w:rPr>
          <w:rFonts w:ascii="Sakkal Majalla" w:hAnsi="Sakkal Majalla" w:cs="Sakkal Majalla"/>
          <w:sz w:val="28"/>
          <w:lang w:bidi="ar-EG"/>
        </w:rPr>
        <w:t>Over-factoring</w:t>
      </w:r>
      <w:r w:rsidRPr="00BE13D0">
        <w:rPr>
          <w:rFonts w:ascii="Sakkal Majalla" w:hAnsi="Sakkal Majalla" w:cs="Sakkal Majalla"/>
          <w:sz w:val="28"/>
          <w:rtl/>
          <w:lang w:bidi="ar-EG"/>
        </w:rPr>
        <w:t>). كما أن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تراوحت بين 0.598 و0.718، وهي قيم جيدة إلى ممتازة، حيث تعني أن 60–72% من تباين كل عبارة يُفسر من خلال العوامل الثلاثة، مما يقلل من التباين غير المفسر ويعزز الثقة في صدق البناء (</w:t>
      </w:r>
      <w:r w:rsidRPr="00BE13D0">
        <w:rPr>
          <w:rFonts w:ascii="Sakkal Majalla" w:hAnsi="Sakkal Majalla" w:cs="Sakkal Majalla"/>
          <w:sz w:val="28"/>
          <w:lang w:bidi="ar-EG"/>
        </w:rPr>
        <w:t>Construct Validity</w:t>
      </w:r>
      <w:r w:rsidRPr="00BE13D0">
        <w:rPr>
          <w:rFonts w:ascii="Sakkal Majalla" w:hAnsi="Sakkal Majalla" w:cs="Sakkal Majalla"/>
          <w:sz w:val="28"/>
          <w:rtl/>
          <w:lang w:bidi="ar-EG"/>
        </w:rPr>
        <w:t>).</w:t>
      </w:r>
    </w:p>
    <w:p w14:paraId="4D26CED9" w14:textId="0C94FEFC"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الأول: الأسس الرقمية</w:t>
      </w:r>
      <w:r w:rsidRPr="00BE13D0">
        <w:rPr>
          <w:rFonts w:ascii="Sakkal Majalla" w:hAnsi="Sakkal Majalla" w:cs="Sakkal Majalla"/>
          <w:sz w:val="28"/>
          <w:rtl/>
          <w:lang w:bidi="ar-EG"/>
        </w:rPr>
        <w:t xml:space="preserve"> (التباين المفسر = 21.359%،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w:t>
      </w:r>
    </w:p>
    <w:p w14:paraId="64DA436E" w14:textId="1000EA2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هذا العامل هو الأقوى تفسيريًا على الإطلاق، حيث استحوذ على </w:t>
      </w:r>
      <w:r w:rsidRPr="00BE13D0">
        <w:rPr>
          <w:rFonts w:ascii="Sakkal Majalla" w:hAnsi="Sakkal Majalla" w:cs="Sakkal Majalla"/>
          <w:b/>
          <w:bCs/>
          <w:sz w:val="28"/>
          <w:rtl/>
          <w:lang w:bidi="ar-EG"/>
        </w:rPr>
        <w:t>21.359%</w:t>
      </w:r>
      <w:r w:rsidRPr="00BE13D0">
        <w:rPr>
          <w:rFonts w:ascii="Sakkal Majalla" w:hAnsi="Sakkal Majalla" w:cs="Sakkal Majalla"/>
          <w:sz w:val="28"/>
          <w:rtl/>
          <w:lang w:bidi="ar-EG"/>
        </w:rPr>
        <w:t xml:space="preserve"> من التباين الكلي، وسجلت العبارات الثلاث المرتبطة به (1، 2، 3) تشبعات عاملية استثنائية تتراوح بين </w:t>
      </w:r>
      <w:r w:rsidRPr="00BE13D0">
        <w:rPr>
          <w:rFonts w:ascii="Sakkal Majalla" w:hAnsi="Sakkal Majalla" w:cs="Sakkal Majalla"/>
          <w:b/>
          <w:bCs/>
          <w:sz w:val="28"/>
          <w:rtl/>
          <w:lang w:bidi="ar-EG"/>
        </w:rPr>
        <w:t>0.811 و0.825،</w:t>
      </w:r>
      <w:r w:rsidRPr="00BE13D0">
        <w:rPr>
          <w:rFonts w:ascii="Sakkal Majalla" w:hAnsi="Sakkal Majalla" w:cs="Sakkal Majalla"/>
          <w:sz w:val="28"/>
          <w:rtl/>
          <w:lang w:bidi="ar-EG"/>
        </w:rPr>
        <w:t xml:space="preserve"> وهي أعلى قيم تشبع في المقياس ككل.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المرتفعة (0.712–0.718) تعني أن أكثر من 71% من تباين كل عبارة يُفسر مباشرة من خلال هذا العامل. إحصائيًا، يُعد هذا العامل "التباين المشترك الأساسي" الذي يمثل المدخل التمكيني للبعدين الآخرين، وهو ما يتوافق تمامًا مع النظرية المؤسسية (</w:t>
      </w:r>
      <w:r w:rsidRPr="00BE13D0">
        <w:rPr>
          <w:rFonts w:ascii="Sakkal Majalla" w:hAnsi="Sakkal Majalla" w:cs="Sakkal Majalla"/>
          <w:sz w:val="28"/>
          <w:lang w:bidi="ar-EG"/>
        </w:rPr>
        <w:t>Teece, 2018</w:t>
      </w:r>
      <w:r w:rsidRPr="00BE13D0">
        <w:rPr>
          <w:rFonts w:ascii="Sakkal Majalla" w:hAnsi="Sakkal Majalla" w:cs="Sakkal Majalla"/>
          <w:sz w:val="28"/>
          <w:rtl/>
          <w:lang w:bidi="ar-EG"/>
        </w:rPr>
        <w:t xml:space="preserve">) التي تؤكد أن البنية التحتية التكنولوجية والأمن السيبراني هما الشرط غير القابل للتفاوض لأي تحول رقمي ناجح.  </w:t>
      </w:r>
    </w:p>
    <w:p w14:paraId="228E6062"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من الناحية الإحصائية، يمكن تفسير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بأنه يعكس قوة الارتباط المشترك بين العبارات الثلاث، حيث يفوق الواحد بكثير، مما يدل على أن هذا العامل ليس مصادفة إحصائية بل بنية حقيقية. كما أن التباين غير المفسر في </w:t>
      </w:r>
      <w:r w:rsidRPr="00BE13D0">
        <w:rPr>
          <w:rFonts w:ascii="Sakkal Majalla" w:hAnsi="Sakkal Majalla" w:cs="Sakkal Majalla"/>
          <w:sz w:val="28"/>
          <w:rtl/>
          <w:lang w:bidi="ar-EG"/>
        </w:rPr>
        <w:lastRenderedPageBreak/>
        <w:t xml:space="preserve">هذا العامل منخفض جدًا (أقل من 29%)، مما يعزز الثقة في أن "الأسس الرقمية" تمثل الركيزة الأولى والأساسية في إدراك المبحوثين.  </w:t>
      </w:r>
    </w:p>
    <w:p w14:paraId="66F03ECF" w14:textId="7DC8ADA5"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عن التحول الرقمي في الإمارات وقطر، سجل بعد "الأسس الرقمية" تباينًا قدره 19.8% فقط، بينما في دراستنا بلغ 21.359%، مما يشير إلى أن إدراك المبحوثين في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أكثر نضجًا تجاه أهمية البنية التحتية مقارنة بنظيراتها في بعض دول الخليج. كما يتطابق هذا الرقم مع نتائج دراسة </w:t>
      </w:r>
      <w:r w:rsidRPr="00BE13D0">
        <w:rPr>
          <w:rFonts w:ascii="Sakkal Majalla" w:hAnsi="Sakkal Majalla" w:cs="Sakkal Majalla"/>
          <w:sz w:val="28"/>
          <w:lang w:bidi="ar-EG"/>
        </w:rPr>
        <w:t>Alharbi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Qureshi</w:t>
      </w:r>
      <w:r w:rsidRPr="00BE13D0">
        <w:rPr>
          <w:rFonts w:ascii="Sakkal Majalla" w:hAnsi="Sakkal Majalla" w:cs="Sakkal Majalla"/>
          <w:sz w:val="28"/>
          <w:rtl/>
          <w:lang w:bidi="ar-EG"/>
        </w:rPr>
        <w:t xml:space="preserve"> (2025) عن التحول الرقمي في البحرين، حيث بلغ التباين 20.4%، لكن دراستنا تفوقت في قوة التشبعات (0.825 مقابل 0.79). أما في الكويت (دراسة التحول الرقمي في الجمارك الكويتية، 2024)، فقد سجل هذا البعد 18.9% فقط،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تماسك "الأسس الرقمية".</w:t>
      </w:r>
    </w:p>
    <w:p w14:paraId="7441CB78" w14:textId="1F13C689"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 موسعة:</w:t>
      </w:r>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TradeNet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ودراسة </w:t>
      </w:r>
      <w:r w:rsidRPr="00BE13D0">
        <w:rPr>
          <w:rFonts w:ascii="Sakkal Majalla" w:hAnsi="Sakkal Majalla" w:cs="Sakkal Majalla"/>
          <w:sz w:val="28"/>
          <w:lang w:bidi="ar-EG"/>
        </w:rPr>
        <w:t>Pagero &amp; UnifiedPost Group</w:t>
      </w:r>
      <w:r w:rsidRPr="00BE13D0">
        <w:rPr>
          <w:rFonts w:ascii="Sakkal Majalla" w:hAnsi="Sakkal Majalla" w:cs="Sakkal Majalla"/>
          <w:sz w:val="28"/>
          <w:rtl/>
          <w:lang w:bidi="ar-EG"/>
        </w:rPr>
        <w:t xml:space="preserve"> (2025) أن "الأسس الرقمية" تمثل 22–25% من التباين، وهو قريب جدًا من 21.359% في دراستنا. أما في كوريا الجنوبية (</w:t>
      </w:r>
      <w:r w:rsidRPr="00BE13D0">
        <w:rPr>
          <w:rFonts w:ascii="Sakkal Majalla" w:hAnsi="Sakkal Majalla" w:cs="Sakkal Majalla"/>
          <w:sz w:val="28"/>
          <w:lang w:bidi="ar-EG"/>
        </w:rPr>
        <w:t>UNI-PASS 2.0</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فسجل "الأسس الرقمية" أعلى تشبعات (0.80–0.85) وتباينًا يصل إلى 23–26%، وهو ما يتطابق مع أولوية العامل الأول في دراستنا. وفي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"الأسس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فسجلت الدراسات الداخلية تباينًا تراكميًا 55–59%، مع تشبعات عالية في "الأسس الرقمية" (0.82–0.85)، وهو ما يتطابق مع نتائجنا.</w:t>
      </w:r>
    </w:p>
    <w:p w14:paraId="5AFFDAD8" w14:textId="050270E4"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الثاني: الابتكار الرقمي</w:t>
      </w:r>
      <w:r w:rsidRPr="00BE13D0">
        <w:rPr>
          <w:rFonts w:ascii="Sakkal Majalla" w:hAnsi="Sakkal Majalla" w:cs="Sakkal Majalla"/>
          <w:sz w:val="28"/>
          <w:rtl/>
          <w:lang w:bidi="ar-EG"/>
        </w:rPr>
        <w:t xml:space="preserve"> (التباين المفسر = 16.047%، </w:t>
      </w:r>
      <w:r w:rsidRPr="00BE13D0">
        <w:rPr>
          <w:rFonts w:ascii="Sakkal Majalla" w:hAnsi="Sakkal Majalla" w:cs="Sakkal Majalla"/>
          <w:sz w:val="28"/>
          <w:lang w:bidi="ar-EG"/>
        </w:rPr>
        <w:t>Eigenvalue = 1.926</w:t>
      </w:r>
      <w:r w:rsidRPr="00BE13D0">
        <w:rPr>
          <w:rFonts w:ascii="Sakkal Majalla" w:hAnsi="Sakkal Majalla" w:cs="Sakkal Majalla"/>
          <w:sz w:val="28"/>
          <w:rtl/>
          <w:lang w:bidi="ar-EG"/>
        </w:rPr>
        <w:t xml:space="preserve">)  </w:t>
      </w:r>
    </w:p>
    <w:p w14:paraId="247B6630" w14:textId="263D25AE"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سجلت العبارات (4، 5، 6) تشبعات تتراوح بين </w:t>
      </w:r>
      <w:r w:rsidRPr="00BE13D0">
        <w:rPr>
          <w:rFonts w:ascii="Sakkal Majalla" w:hAnsi="Sakkal Majalla" w:cs="Sakkal Majalla"/>
          <w:b/>
          <w:bCs/>
          <w:sz w:val="28"/>
          <w:rtl/>
          <w:lang w:bidi="ar-EG"/>
        </w:rPr>
        <w:t>0.720 و0.767</w:t>
      </w:r>
      <w:r w:rsidRPr="00BE13D0">
        <w:rPr>
          <w:rFonts w:ascii="Sakkal Majalla" w:hAnsi="Sakkal Majalla" w:cs="Sakkal Majalla"/>
          <w:sz w:val="28"/>
          <w:rtl/>
          <w:lang w:bidi="ar-EG"/>
        </w:rPr>
        <w:t xml:space="preserve">، مع قيم اشتراكات (0.598–0.700). رغم أن هذا العامل جيد، إلا أن مساهمته أقل نسبيًا من العامل الأول، مما يكشف إحصائيًا عن أن المبحوثين يرون الابتكار (الذكاء الاصطناعي، </w:t>
      </w:r>
      <w:r w:rsidRPr="00BE13D0">
        <w:rPr>
          <w:rFonts w:ascii="Sakkal Majalla" w:hAnsi="Sakkal Majalla" w:cs="Sakkal Majalla"/>
          <w:sz w:val="28"/>
          <w:lang w:bidi="ar-EG"/>
        </w:rPr>
        <w:t>Blockchain</w:t>
      </w:r>
      <w:r w:rsidRPr="00BE13D0">
        <w:rPr>
          <w:rFonts w:ascii="Sakkal Majalla" w:hAnsi="Sakkal Majalla" w:cs="Sakkal Majalla"/>
          <w:sz w:val="28"/>
          <w:rtl/>
          <w:lang w:bidi="ar-EG"/>
        </w:rPr>
        <w:t>، تحليل البيانات الضخمة) كمرحلة متقدمة مبنية على أساس متين من البنية التحتية. التباين غير المفسر (حتى 40% في بعض العبارات) يشير إلى وجود متغيرات معتدلة محتملة مثل "الثقافة التنظيمية" أو "المقاومة للتغيير" في الدراسات المستقبلية.</w:t>
      </w:r>
    </w:p>
    <w:p w14:paraId="430797EA" w14:textId="77A2133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عن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بلغ تباين "الابتكار الرقمي" 14.2% فقط، بينما في دراستنا 16.047%، مما يعكس تقدمًا ملحوظًا بعد تطبيق المبادرات الأخيرة. أما في قطر (دراسة التحول الرقمي في الجمارك القطرية، 2023)، فقد سجل هذا البعد 15.1% فقط، وفي الكويت (دراسة 2024) 14.8%،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هذا الجانب.</w:t>
      </w:r>
    </w:p>
    <w:p w14:paraId="7DAD9CE5" w14:textId="47FAF9F3"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TradeNet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أن "الابتكار الرقمي" يمثل 18–20% من التباين بفضل </w:t>
      </w:r>
      <w:r w:rsidRPr="00BE13D0">
        <w:rPr>
          <w:rFonts w:ascii="Sakkal Majalla" w:hAnsi="Sakkal Majalla" w:cs="Sakkal Majalla"/>
          <w:sz w:val="28"/>
          <w:lang w:bidi="ar-EG"/>
        </w:rPr>
        <w:t>DAISY</w:t>
      </w:r>
      <w:r w:rsidRPr="00BE13D0">
        <w:rPr>
          <w:rFonts w:ascii="Sakkal Majalla" w:hAnsi="Sakkal Majalla" w:cs="Sakkal Majalla"/>
          <w:sz w:val="28"/>
          <w:rtl/>
          <w:lang w:bidi="ar-EG"/>
        </w:rPr>
        <w:t>، بينما جاءت في دراستنا 16.047%، مما يشير إلى فرصة تحسين كبيرة في تبني الذكاء الاصطناعي التنبؤي.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فسجلت الدراسات الداخلية تباينًا للابتكار يصل إلى 17–19%، وهو ما يتفوق قليلاً على نتائجنا.</w:t>
      </w:r>
    </w:p>
    <w:p w14:paraId="3FD6518A" w14:textId="593B52F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الثالث: الحوكمة الرقمية</w:t>
      </w:r>
      <w:r w:rsidRPr="00BE13D0">
        <w:rPr>
          <w:rFonts w:ascii="Sakkal Majalla" w:hAnsi="Sakkal Majalla" w:cs="Sakkal Majalla"/>
          <w:sz w:val="28"/>
          <w:rtl/>
          <w:lang w:bidi="ar-EG"/>
        </w:rPr>
        <w:t xml:space="preserve"> (التباين المفسر = 15.803%، </w:t>
      </w:r>
      <w:r w:rsidRPr="00BE13D0">
        <w:rPr>
          <w:rFonts w:ascii="Sakkal Majalla" w:hAnsi="Sakkal Majalla" w:cs="Sakkal Majalla"/>
          <w:sz w:val="28"/>
          <w:lang w:bidi="ar-EG"/>
        </w:rPr>
        <w:t>Eigenvalue = 1.896</w:t>
      </w:r>
      <w:r w:rsidRPr="00BE13D0">
        <w:rPr>
          <w:rFonts w:ascii="Sakkal Majalla" w:hAnsi="Sakkal Majalla" w:cs="Sakkal Majalla"/>
          <w:sz w:val="28"/>
          <w:rtl/>
          <w:lang w:bidi="ar-EG"/>
        </w:rPr>
        <w:t xml:space="preserve">)  </w:t>
      </w:r>
    </w:p>
    <w:p w14:paraId="1C02FFFD"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سجلت العبارات (7، 8، 9) تشبعات عالية ومتقاربة (0.732–0.768)، مع قيم اشتراكات مرتفعة نسبيًا (0.646–0.676). هذا يعكس إدراكًا ناضجًا لدى العينة بأن السياسات واللوائح والشفافية هي الضمانة الحقيقية لاستدامة التحول.</w:t>
      </w:r>
    </w:p>
    <w:p w14:paraId="7838874D" w14:textId="58F30EA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lastRenderedPageBreak/>
        <w:t xml:space="preserve">مقارنة مع دول الخليج: </w:t>
      </w:r>
      <w:r w:rsidRPr="00BE13D0">
        <w:rPr>
          <w:rFonts w:ascii="Sakkal Majalla" w:hAnsi="Sakkal Majalla" w:cs="Sakkal Majalla"/>
          <w:sz w:val="28"/>
          <w:rtl/>
          <w:lang w:bidi="ar-EG"/>
        </w:rPr>
        <w:t>في الإمارات (</w:t>
      </w:r>
      <w:r w:rsidRPr="00BE13D0">
        <w:rPr>
          <w:rFonts w:ascii="Sakkal Majalla" w:hAnsi="Sakkal Majalla" w:cs="Sakkal Majalla"/>
          <w:sz w:val="28"/>
          <w:lang w:bidi="ar-EG"/>
        </w:rPr>
        <w:t>FTA</w:t>
      </w:r>
      <w:r w:rsidRPr="00BE13D0">
        <w:rPr>
          <w:rFonts w:ascii="Sakkal Majalla" w:hAnsi="Sakkal Majalla" w:cs="Sakkal Majalla"/>
          <w:sz w:val="28"/>
          <w:rtl/>
          <w:lang w:bidi="ar-EG"/>
        </w:rPr>
        <w:t xml:space="preserve">، 2025)، بلغ تباين "الحوكمة الرقمية" 17.3%، وهو أعلى قليلاً من دراستنا (15.803%)،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هذا البعد مقارنة بالبحرين (13.9%) والكويت (14.2%)، مما يعكس نجاح نظام الفوترة الإلكترونية واللوائح الداخلية في تعزيز الشفافية والمساءلة.</w:t>
      </w:r>
    </w:p>
    <w:p w14:paraId="714A284C" w14:textId="4EFFCAB6" w:rsidR="00BE13D0" w:rsidRPr="00BE13D0" w:rsidRDefault="00BE13D0" w:rsidP="00F75D7A">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"الحوكمة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كوريا الجنوبية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فسجل هذا البعد 16–18%، وهو قريب من نتائجنا.</w:t>
      </w:r>
    </w:p>
    <w:p w14:paraId="1BA3B8A1" w14:textId="0A99787A" w:rsidR="0016339D" w:rsidRDefault="00BE13D0" w:rsidP="00F75D7A">
      <w:pPr>
        <w:pStyle w:val="BlockText"/>
        <w:ind w:left="146" w:hanging="120"/>
        <w:jc w:val="lowKashida"/>
        <w:rPr>
          <w:rFonts w:ascii="Sakkal Majalla" w:hAnsi="Sakkal Majalla" w:cs="Sakkal Majalla"/>
          <w:sz w:val="28"/>
          <w:rtl/>
          <w:lang w:bidi="ar-EG"/>
        </w:rPr>
      </w:pPr>
      <w:r w:rsidRPr="00BE13D0">
        <w:rPr>
          <w:rFonts w:ascii="Sakkal Majalla" w:hAnsi="Sakkal Majalla" w:cs="Sakkal Majalla"/>
          <w:sz w:val="28"/>
          <w:rtl/>
          <w:lang w:bidi="ar-EG"/>
        </w:rPr>
        <w:t>يُثبت التحليل العاملي أن مقياس التحول الرقمي يمتلك بنية عاملية متماسكة وقوية تتوافق مع النماذج العالمية والخليجية، مع أولوية واضحة لـ"الأسس الرقمية" كمدخل أساسي (21.359% تباين)، يليها "الابتكار" و"الحوكمة". التباين التراكمي 53.389% والتشبعات العالية (خاصة في العامل الأول) تعزز صدق البناء وتدعم استخدام المقياس في التحليلات اللاحقة بثقة عالية. كما تفتح النتائج آفاقًا لتطوير الابتكار التنبؤي والاستدامة البيئية لسد الفجوة مع النماذج الرائدة مثل سنغافورة وكوريا الجنوبية، مما يجعل الدراسة إسهامًا نظريًا وعمليًا قيمًا في مجال الجمارك الذكية بدول الخليج.</w:t>
      </w:r>
    </w:p>
    <w:p w14:paraId="46BB13D1"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5B80BAE0"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626B96F"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F51447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6AC0337B"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62DBDE61"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F04A96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0B69256"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8787D6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29044AA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B90886B"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D55FDD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2970BAF"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3EBB44C"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1C3CD500"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533B0802"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73C3474"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1EC0F00C"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FC05657"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1841D5AE" w14:textId="5EF3F36B" w:rsidR="00630CE8" w:rsidRPr="00630CE8" w:rsidRDefault="00630CE8" w:rsidP="00630CE8">
      <w:pPr>
        <w:pStyle w:val="BlockText"/>
        <w:ind w:left="146" w:hanging="120"/>
        <w:jc w:val="center"/>
        <w:outlineLvl w:val="0"/>
        <w:rPr>
          <w:rFonts w:ascii="Sakkal Majalla" w:hAnsi="Sakkal Majalla" w:cs="Sakkal Majalla"/>
          <w:b/>
          <w:bCs/>
          <w:sz w:val="160"/>
          <w:szCs w:val="160"/>
          <w:rtl/>
        </w:rPr>
      </w:pPr>
      <w:r w:rsidRPr="00630CE8">
        <w:rPr>
          <w:rFonts w:ascii="Sakkal Majalla" w:hAnsi="Sakkal Majalla" w:cs="Sakkal Majalla" w:hint="cs"/>
          <w:b/>
          <w:bCs/>
          <w:sz w:val="160"/>
          <w:szCs w:val="160"/>
          <w:rtl/>
        </w:rPr>
        <w:t>الفصل الرابع</w:t>
      </w:r>
    </w:p>
    <w:p w14:paraId="3D31C95C" w14:textId="6452FE55" w:rsidR="00630CE8" w:rsidRPr="00630CE8" w:rsidRDefault="00630CE8" w:rsidP="00630CE8">
      <w:pPr>
        <w:pStyle w:val="BlockText"/>
        <w:ind w:left="146" w:hanging="120"/>
        <w:jc w:val="center"/>
        <w:outlineLvl w:val="0"/>
        <w:rPr>
          <w:rFonts w:ascii="Sakkal Majalla" w:hAnsi="Sakkal Majalla" w:cs="Sakkal Majalla"/>
          <w:b/>
          <w:bCs/>
          <w:sz w:val="160"/>
          <w:szCs w:val="160"/>
          <w:rtl/>
        </w:rPr>
      </w:pPr>
      <w:r w:rsidRPr="00630CE8">
        <w:rPr>
          <w:rFonts w:ascii="Sakkal Majalla" w:hAnsi="Sakkal Majalla" w:cs="Sakkal Majalla" w:hint="cs"/>
          <w:b/>
          <w:bCs/>
          <w:sz w:val="160"/>
          <w:szCs w:val="160"/>
          <w:rtl/>
        </w:rPr>
        <w:t>نتائج تحليل الدراسة الميدانية</w:t>
      </w:r>
    </w:p>
    <w:p w14:paraId="70D07378" w14:textId="54487D8B" w:rsidR="00630CE8" w:rsidRDefault="00630CE8" w:rsidP="00630CE8">
      <w:pPr>
        <w:pStyle w:val="BlockText"/>
        <w:jc w:val="lowKashida"/>
        <w:outlineLvl w:val="0"/>
        <w:rPr>
          <w:rFonts w:ascii="Sakkal Majalla" w:hAnsi="Sakkal Majalla" w:cs="Sakkal Majalla"/>
          <w:b/>
          <w:bCs/>
          <w:sz w:val="32"/>
          <w:szCs w:val="32"/>
          <w:rtl/>
        </w:rPr>
      </w:pPr>
    </w:p>
    <w:p w14:paraId="37E00637"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E9871B9"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E20850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18FD0E3"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431D32B"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C8D888C"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62D78D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07871F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69F7C4E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62AB630"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F50DADF"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38A7D03"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5D922853" w14:textId="56548A9E" w:rsidR="00630CE8" w:rsidRDefault="00630CE8" w:rsidP="00F75D7A">
      <w:pPr>
        <w:pStyle w:val="BlockText"/>
        <w:ind w:left="146" w:hanging="120"/>
        <w:jc w:val="lowKashida"/>
        <w:outlineLvl w:val="0"/>
        <w:rPr>
          <w:rFonts w:ascii="Sakkal Majalla" w:hAnsi="Sakkal Majalla" w:cs="Sakkal Majalla"/>
          <w:b/>
          <w:bCs/>
          <w:sz w:val="32"/>
          <w:szCs w:val="32"/>
          <w:rtl/>
        </w:rPr>
      </w:pPr>
      <w:r>
        <w:rPr>
          <w:rFonts w:ascii="Sakkal Majalla" w:hAnsi="Sakkal Majalla" w:cs="Sakkal Majalla" w:hint="cs"/>
          <w:b/>
          <w:bCs/>
          <w:sz w:val="32"/>
          <w:szCs w:val="32"/>
          <w:rtl/>
        </w:rPr>
        <w:lastRenderedPageBreak/>
        <w:t>تمهيد:</w:t>
      </w:r>
    </w:p>
    <w:p w14:paraId="49CD67FC"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بعد أن استعرضت فصول الدراسة السابقة الإطار النظري والمنهجي الذي قامت عليه هذه البحث، من تأصيل لمفاهيم التحول الرقمي والأمن السيبراني في المؤسسات الحكومية، ومراجعة أدبية موسّعة للدراسات السابقة العربية والأجنبية، وصولاً إلى تصميم الأداة البحثية وتحديد مجتمع الدراسة وعينتها وأساليب التحليل الإحصائي المُتّبعة؛ يأتي هذا الفصل الرابع ليمثل الحلقة المحورية التي تُترجم فيها الأطر النظرية إلى معطيات ميدانية واقعية، وتتحول فيها الفرضيات البحثية من صياغات تجريدية إلى نتائج قابلة للقياس والتفسير والمناقشة</w:t>
      </w:r>
      <w:r w:rsidRPr="00630CE8">
        <w:rPr>
          <w:rFonts w:ascii="Sakkal Majalla" w:hAnsi="Sakkal Majalla" w:cs="Sakkal Majalla"/>
          <w:sz w:val="28"/>
        </w:rPr>
        <w:t>.</w:t>
      </w:r>
    </w:p>
    <w:p w14:paraId="681B0AEE"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يتناول هذا الفصل عرضاً تحليلياً شاملاً للبيانات الميدانية التي تم جمعها من عينة الدراسة البالغة (50) مفردة من موظفي وقيادات الهيئة، وذلك عبر مسارين تحليليين متكاملين: يُعنى المسار الأول بالوصف الديموغرافي والوظيفي لعينة الدراسة، بما يوفر الإطار السياقي الذي تُقرأ في ضوئه سائر النتائج، ويتناول المسار الثاني تحليل استجابات أفراد العينة على محاور الدراسة الرئيسية المتعلقة بواقع الاستخدام الرقمي، ومستوى الكفاءة والتدريب، ومدى الوعي والاستعداد الأمني السيبراني داخل الهيئة</w:t>
      </w:r>
      <w:r w:rsidRPr="00630CE8">
        <w:rPr>
          <w:rFonts w:ascii="Sakkal Majalla" w:hAnsi="Sakkal Majalla" w:cs="Sakkal Majalla"/>
          <w:sz w:val="28"/>
        </w:rPr>
        <w:t>.</w:t>
      </w:r>
    </w:p>
    <w:p w14:paraId="707F4B3D"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ولم يقتصر هذا الفصل على العرض الإحصائي الوصفي التقليد من جداول تكرارية ونسب مئوية فحسب، بل تجاوز ذلك إلى مستوى تحليلي أعمق يربط كل نتيجة بمرجعياتها العلمية في الأدبيات الدولية والإقليمية، ويستحضر مؤشرات ومعاملات إحصائية مركّبة (كمعاملات التوازن الديموغرافي والوظيفي والقطاعي) لاختبار مدى تمثيل العينة وصلاحية تعميم نتائجها، كما يستكشف التناقضات والفجوات الكامنة بين المؤشرات الظاهرية والواقع التشغيلي الفعلي، وصولاً إلى صياغة قراءة نقدية تأملية تكشف عمق الظواهر لا سطحها فقط</w:t>
      </w:r>
      <w:r w:rsidRPr="00630CE8">
        <w:rPr>
          <w:rFonts w:ascii="Sakkal Majalla" w:hAnsi="Sakkal Majalla" w:cs="Sakkal Majalla"/>
          <w:sz w:val="28"/>
        </w:rPr>
        <w:t>.</w:t>
      </w:r>
    </w:p>
    <w:p w14:paraId="5E7649E3"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وقد رُوعي في بناء هذا الفصل تسلسل منهجي متدرج، يبدأ بوصف خصائص العينة الديموغرافية والوظيفية والقطاعية، ثم ينتقل إلى تحليل الأسئلة البحثية التسعة المرتبطة بمحاور التحول الرقمي والأمن السيبراني تباعاً، بحيث يُخصَّص لكل سؤال توصيف كمي للاستجابات، وتفسير للاتجاهات في ضوء الأدبيات ذات الصلة، ومناقشة للتأثيرات المؤسسية المترتبة، واقتراح لآليات التعامل والمعالجة، مع تعليق تحليلي ختامي للباحث يربط النتيجة بسياقها الأوسع. ويُختتم الفصل بقراءة تركيبية شاملة تجمع خيوط النتائج التسعة في صورة واحدة متكاملة، وتُفضي إلى مجموعة من التوصيات الاستراتيجية المتكاملة</w:t>
      </w:r>
      <w:r w:rsidRPr="00630CE8">
        <w:rPr>
          <w:rFonts w:ascii="Sakkal Majalla" w:hAnsi="Sakkal Majalla" w:cs="Sakkal Majalla"/>
          <w:sz w:val="28"/>
        </w:rPr>
        <w:t>.</w:t>
      </w:r>
    </w:p>
    <w:p w14:paraId="7AFD6480"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إن الغاية من هذا التصميم التحليلي المتعدد الطبقات هي تمكين القارئ والباحث على حد سواء من الانتقال من "ماذا تقول الأرقام" إلى "لماذا تقول الأرقام ذلك، وماذا يعني هذا للهيئة ولمسار تحولها الرقمي والأمني". وبهذا، لا يُقدَّم هذا الفصل كخاتمة إحصائية جافة، بل كمرآة تحليلية تعكس واقع مؤسسة تقف في منتصف الطريق نحو النضج الرقمي الكامل، بكل ما يحمله هذا الموقع من مكتسبات راسخة وتحديات ما تزال بحاجة إلى معالجة استراتيجية حازمة</w:t>
      </w:r>
      <w:r w:rsidRPr="00630CE8">
        <w:rPr>
          <w:rFonts w:ascii="Sakkal Majalla" w:hAnsi="Sakkal Majalla" w:cs="Sakkal Majalla"/>
          <w:sz w:val="28"/>
        </w:rPr>
        <w:t>.</w:t>
      </w:r>
    </w:p>
    <w:p w14:paraId="0D95C497" w14:textId="77777777" w:rsidR="00630CE8" w:rsidRDefault="00630CE8" w:rsidP="00F75D7A">
      <w:pPr>
        <w:pStyle w:val="BlockText"/>
        <w:ind w:left="146" w:hanging="120"/>
        <w:jc w:val="lowKashida"/>
        <w:outlineLvl w:val="0"/>
        <w:rPr>
          <w:rFonts w:ascii="Sakkal Majalla" w:hAnsi="Sakkal Majalla" w:cs="Sakkal Majalla"/>
          <w:sz w:val="28"/>
          <w:rtl/>
        </w:rPr>
      </w:pPr>
    </w:p>
    <w:p w14:paraId="654880E6" w14:textId="77777777" w:rsidR="00630CE8" w:rsidRDefault="00630CE8" w:rsidP="00F75D7A">
      <w:pPr>
        <w:pStyle w:val="BlockText"/>
        <w:ind w:left="146" w:hanging="120"/>
        <w:jc w:val="lowKashida"/>
        <w:outlineLvl w:val="0"/>
        <w:rPr>
          <w:rFonts w:ascii="Sakkal Majalla" w:hAnsi="Sakkal Majalla" w:cs="Sakkal Majalla"/>
          <w:sz w:val="28"/>
          <w:rtl/>
        </w:rPr>
      </w:pPr>
    </w:p>
    <w:p w14:paraId="0E79B8F6" w14:textId="77777777" w:rsidR="00630CE8" w:rsidRDefault="00630CE8" w:rsidP="00F75D7A">
      <w:pPr>
        <w:pStyle w:val="BlockText"/>
        <w:ind w:left="146" w:hanging="120"/>
        <w:jc w:val="lowKashida"/>
        <w:outlineLvl w:val="0"/>
        <w:rPr>
          <w:rFonts w:ascii="Sakkal Majalla" w:hAnsi="Sakkal Majalla" w:cs="Sakkal Majalla"/>
          <w:sz w:val="28"/>
          <w:rtl/>
        </w:rPr>
      </w:pPr>
    </w:p>
    <w:p w14:paraId="5A0097C0" w14:textId="77777777" w:rsidR="00630CE8" w:rsidRDefault="00630CE8" w:rsidP="00F75D7A">
      <w:pPr>
        <w:pStyle w:val="BlockText"/>
        <w:ind w:left="146" w:hanging="120"/>
        <w:jc w:val="lowKashida"/>
        <w:outlineLvl w:val="0"/>
        <w:rPr>
          <w:rFonts w:ascii="Sakkal Majalla" w:hAnsi="Sakkal Majalla" w:cs="Sakkal Majalla"/>
          <w:sz w:val="28"/>
          <w:rtl/>
        </w:rPr>
      </w:pPr>
    </w:p>
    <w:p w14:paraId="6DA4D84C" w14:textId="77777777" w:rsidR="00630CE8" w:rsidRDefault="00630CE8" w:rsidP="00F75D7A">
      <w:pPr>
        <w:pStyle w:val="BlockText"/>
        <w:ind w:left="146" w:hanging="120"/>
        <w:jc w:val="lowKashida"/>
        <w:outlineLvl w:val="0"/>
        <w:rPr>
          <w:rFonts w:ascii="Sakkal Majalla" w:hAnsi="Sakkal Majalla" w:cs="Sakkal Majalla"/>
          <w:sz w:val="28"/>
          <w:rtl/>
        </w:rPr>
      </w:pPr>
    </w:p>
    <w:p w14:paraId="7F4FBDF8" w14:textId="77777777" w:rsidR="00630CE8" w:rsidRPr="00630CE8" w:rsidRDefault="00630CE8" w:rsidP="00F75D7A">
      <w:pPr>
        <w:pStyle w:val="BlockText"/>
        <w:ind w:left="146" w:hanging="120"/>
        <w:jc w:val="lowKashida"/>
        <w:outlineLvl w:val="0"/>
        <w:rPr>
          <w:rFonts w:ascii="Sakkal Majalla" w:hAnsi="Sakkal Majalla" w:cs="Sakkal Majalla"/>
          <w:sz w:val="28"/>
          <w:rtl/>
        </w:rPr>
      </w:pPr>
    </w:p>
    <w:p w14:paraId="4E79342C" w14:textId="62EA9CE7" w:rsidR="007A0B3B" w:rsidRPr="0040330A" w:rsidRDefault="007A0B3B" w:rsidP="00F75D7A">
      <w:pPr>
        <w:pStyle w:val="BlockText"/>
        <w:ind w:left="146" w:hanging="120"/>
        <w:jc w:val="lowKashida"/>
        <w:outlineLvl w:val="0"/>
        <w:rPr>
          <w:rFonts w:ascii="Sakkal Majalla" w:hAnsi="Sakkal Majalla" w:cs="Sakkal Majalla"/>
          <w:b/>
          <w:bCs/>
          <w:sz w:val="32"/>
          <w:szCs w:val="32"/>
          <w:rtl/>
        </w:rPr>
      </w:pPr>
      <w:r w:rsidRPr="0040330A">
        <w:rPr>
          <w:rFonts w:ascii="Sakkal Majalla" w:hAnsi="Sakkal Majalla" w:cs="Sakkal Majalla"/>
          <w:b/>
          <w:bCs/>
          <w:sz w:val="32"/>
          <w:szCs w:val="32"/>
          <w:rtl/>
        </w:rPr>
        <w:lastRenderedPageBreak/>
        <w:t xml:space="preserve">التحليل الوصفي: </w:t>
      </w:r>
    </w:p>
    <w:p w14:paraId="1AD35E85" w14:textId="3E8EB7BF" w:rsidR="007A0B3B" w:rsidRPr="0040330A" w:rsidRDefault="007A0B3B" w:rsidP="00F75D7A">
      <w:pPr>
        <w:pStyle w:val="BlockText"/>
        <w:jc w:val="lowKashida"/>
        <w:rPr>
          <w:rFonts w:ascii="Sakkal Majalla" w:hAnsi="Sakkal Majalla" w:cs="Sakkal Majalla"/>
          <w:sz w:val="28"/>
          <w:rtl/>
          <w:lang w:bidi="ar-EG"/>
        </w:rPr>
      </w:pPr>
      <w:r w:rsidRPr="0040330A">
        <w:rPr>
          <w:rFonts w:ascii="Sakkal Majalla" w:hAnsi="Sakkal Majalla" w:cs="Sakkal Majalla"/>
          <w:sz w:val="28"/>
          <w:rtl/>
          <w:lang w:bidi="ar-EG"/>
        </w:rPr>
        <w:t xml:space="preserve">اعتمد الباحث على الجداول التكرارية والنسب المئوية والمتوسطات المرجحة وقد قام بتوصيف عينة البحث طبقا للعوامل الديمغرافية، ثم قام بتحديد نسب العملاء الذين أظهروا اتجاها إيجابيا نحو </w:t>
      </w:r>
      <w:r w:rsidR="00F530ED">
        <w:rPr>
          <w:rFonts w:ascii="Sakkal Majalla" w:hAnsi="Sakkal Majalla" w:cs="Sakkal Majalla" w:hint="cs"/>
          <w:sz w:val="28"/>
          <w:rtl/>
          <w:lang w:bidi="ar-EG"/>
        </w:rPr>
        <w:t>التحول الرقمي</w:t>
      </w:r>
      <w:r w:rsidRPr="0040330A">
        <w:rPr>
          <w:rFonts w:ascii="Sakkal Majalla" w:hAnsi="Sakkal Majalla" w:cs="Sakkal Majalla"/>
          <w:sz w:val="28"/>
          <w:rtl/>
          <w:lang w:bidi="ar-EG"/>
        </w:rPr>
        <w:t xml:space="preserve"> وذلك بالنسبة لمتغيرات الدراسة، وتوزيع العملاء وفقا للعوامل الديمغرافية .</w:t>
      </w:r>
    </w:p>
    <w:p w14:paraId="39DDC253" w14:textId="77777777" w:rsidR="007A0B3B" w:rsidRPr="0040330A" w:rsidRDefault="007A0B3B" w:rsidP="00F75D7A">
      <w:pPr>
        <w:pStyle w:val="BlockText"/>
        <w:ind w:left="1008"/>
        <w:jc w:val="lowKashida"/>
        <w:outlineLvl w:val="0"/>
        <w:rPr>
          <w:rFonts w:ascii="Sakkal Majalla" w:hAnsi="Sakkal Majalla" w:cs="Sakkal Majalla"/>
          <w:b/>
          <w:bCs/>
          <w:sz w:val="28"/>
        </w:rPr>
      </w:pPr>
      <w:r w:rsidRPr="0040330A">
        <w:rPr>
          <w:rFonts w:ascii="Sakkal Majalla" w:hAnsi="Sakkal Majalla" w:cs="Sakkal Majalla"/>
          <w:b/>
          <w:bCs/>
          <w:sz w:val="28"/>
          <w:rtl/>
        </w:rPr>
        <w:t xml:space="preserve">3/3/1 وصف العينة: </w:t>
      </w:r>
    </w:p>
    <w:p w14:paraId="0B74B1DD" w14:textId="77777777" w:rsidR="007A0B3B" w:rsidRDefault="007A0B3B" w:rsidP="00F75D7A">
      <w:pPr>
        <w:pStyle w:val="BlockText"/>
        <w:jc w:val="center"/>
        <w:rPr>
          <w:rFonts w:ascii="Sakkal Majalla" w:hAnsi="Sakkal Majalla" w:cs="Sakkal Majalla"/>
          <w:b/>
          <w:bCs/>
          <w:sz w:val="24"/>
          <w:szCs w:val="24"/>
          <w:rtl/>
          <w:lang w:bidi="ar-EG"/>
        </w:rPr>
      </w:pPr>
      <w:r w:rsidRPr="0040330A">
        <w:rPr>
          <w:rFonts w:ascii="Sakkal Majalla" w:hAnsi="Sakkal Majalla" w:cs="Sakkal Majalla"/>
          <w:b/>
          <w:bCs/>
          <w:sz w:val="24"/>
          <w:szCs w:val="24"/>
          <w:rtl/>
          <w:lang w:bidi="ar-EG"/>
        </w:rPr>
        <w:t>جدول رقم (3/6) توزيع مفردات العينة الدراسة طبقا للعوامل الديموغرافية</w:t>
      </w:r>
    </w:p>
    <w:tbl>
      <w:tblPr>
        <w:bidiVisual/>
        <w:tblW w:w="5860" w:type="dxa"/>
        <w:jc w:val="center"/>
        <w:tblLook w:val="04A0" w:firstRow="1" w:lastRow="0" w:firstColumn="1" w:lastColumn="0" w:noHBand="0" w:noVBand="1"/>
      </w:tblPr>
      <w:tblGrid>
        <w:gridCol w:w="960"/>
        <w:gridCol w:w="2980"/>
        <w:gridCol w:w="960"/>
        <w:gridCol w:w="960"/>
      </w:tblGrid>
      <w:tr w:rsidR="00F530ED" w:rsidRPr="00F530ED" w14:paraId="27174698" w14:textId="77777777" w:rsidTr="00F530ED">
        <w:trPr>
          <w:trHeight w:val="348"/>
          <w:jc w:val="center"/>
        </w:trPr>
        <w:tc>
          <w:tcPr>
            <w:tcW w:w="3940" w:type="dxa"/>
            <w:gridSpan w:val="2"/>
            <w:tcBorders>
              <w:top w:val="double" w:sz="6" w:space="0" w:color="auto"/>
              <w:left w:val="double" w:sz="6" w:space="0" w:color="000000"/>
              <w:bottom w:val="double" w:sz="6" w:space="0" w:color="auto"/>
              <w:right w:val="double" w:sz="6" w:space="0" w:color="000000"/>
            </w:tcBorders>
            <w:shd w:val="clear" w:color="000000" w:fill="BFBFBF"/>
            <w:vAlign w:val="center"/>
            <w:hideMark/>
          </w:tcPr>
          <w:p w14:paraId="686EB9A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Pr>
            </w:pPr>
            <w:r w:rsidRPr="00F530ED">
              <w:rPr>
                <w:rFonts w:ascii="Sakkal Majalla" w:eastAsia="Times New Roman" w:hAnsi="Sakkal Majalla" w:cs="Sakkal Majalla" w:hint="cs"/>
                <w:b/>
                <w:bCs/>
                <w:color w:val="000000"/>
                <w:sz w:val="20"/>
                <w:szCs w:val="20"/>
                <w:rtl/>
              </w:rPr>
              <w:t xml:space="preserve">أسئلة الدراسة </w:t>
            </w:r>
          </w:p>
        </w:tc>
        <w:tc>
          <w:tcPr>
            <w:tcW w:w="960" w:type="dxa"/>
            <w:tcBorders>
              <w:top w:val="double" w:sz="6" w:space="0" w:color="auto"/>
              <w:left w:val="nil"/>
              <w:bottom w:val="double" w:sz="6" w:space="0" w:color="auto"/>
              <w:right w:val="nil"/>
            </w:tcBorders>
            <w:shd w:val="clear" w:color="000000" w:fill="BFBFBF"/>
            <w:vAlign w:val="center"/>
            <w:hideMark/>
          </w:tcPr>
          <w:p w14:paraId="7AD4511E"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العدد</w:t>
            </w:r>
          </w:p>
        </w:tc>
        <w:tc>
          <w:tcPr>
            <w:tcW w:w="960"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3E38E0D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النسبة المؤية</w:t>
            </w:r>
          </w:p>
        </w:tc>
      </w:tr>
      <w:tr w:rsidR="00F530ED" w:rsidRPr="00F530ED" w14:paraId="0AF6E29A" w14:textId="77777777" w:rsidTr="00F530ED">
        <w:trPr>
          <w:trHeight w:val="312"/>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42FBF38F"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النوع </w:t>
            </w:r>
          </w:p>
        </w:tc>
        <w:tc>
          <w:tcPr>
            <w:tcW w:w="2980" w:type="dxa"/>
            <w:tcBorders>
              <w:top w:val="nil"/>
              <w:left w:val="nil"/>
              <w:bottom w:val="single" w:sz="8" w:space="0" w:color="auto"/>
              <w:right w:val="nil"/>
            </w:tcBorders>
            <w:shd w:val="clear" w:color="auto" w:fill="auto"/>
            <w:vAlign w:val="center"/>
            <w:hideMark/>
          </w:tcPr>
          <w:p w14:paraId="56BB939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ذكر</w:t>
            </w:r>
          </w:p>
        </w:tc>
        <w:tc>
          <w:tcPr>
            <w:tcW w:w="960" w:type="dxa"/>
            <w:tcBorders>
              <w:top w:val="nil"/>
              <w:left w:val="nil"/>
              <w:bottom w:val="single" w:sz="8" w:space="0" w:color="auto"/>
              <w:right w:val="single" w:sz="8" w:space="0" w:color="auto"/>
            </w:tcBorders>
            <w:shd w:val="clear" w:color="auto" w:fill="auto"/>
            <w:vAlign w:val="center"/>
            <w:hideMark/>
          </w:tcPr>
          <w:p w14:paraId="7519A4C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73D3447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52.00%</w:t>
            </w:r>
          </w:p>
        </w:tc>
      </w:tr>
      <w:tr w:rsidR="00F530ED" w:rsidRPr="00F530ED" w14:paraId="3AF48EC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C5FDF2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450181C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أنثى</w:t>
            </w:r>
          </w:p>
        </w:tc>
        <w:tc>
          <w:tcPr>
            <w:tcW w:w="960" w:type="dxa"/>
            <w:tcBorders>
              <w:top w:val="nil"/>
              <w:left w:val="nil"/>
              <w:bottom w:val="single" w:sz="8" w:space="0" w:color="auto"/>
              <w:right w:val="single" w:sz="8" w:space="0" w:color="auto"/>
            </w:tcBorders>
            <w:shd w:val="clear" w:color="auto" w:fill="auto"/>
            <w:vAlign w:val="center"/>
            <w:hideMark/>
          </w:tcPr>
          <w:p w14:paraId="65DCDDF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24</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653B9CA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48.00%</w:t>
            </w:r>
          </w:p>
        </w:tc>
      </w:tr>
      <w:tr w:rsidR="00F530ED" w:rsidRPr="00F530ED" w14:paraId="2FA99026"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3171EC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905472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A87BB9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6433BB6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DC2135C"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170BD5F4"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السن </w:t>
            </w:r>
          </w:p>
        </w:tc>
        <w:tc>
          <w:tcPr>
            <w:tcW w:w="2980" w:type="dxa"/>
            <w:tcBorders>
              <w:top w:val="nil"/>
              <w:left w:val="nil"/>
              <w:bottom w:val="single" w:sz="8" w:space="0" w:color="auto"/>
              <w:right w:val="nil"/>
            </w:tcBorders>
            <w:shd w:val="clear" w:color="auto" w:fill="auto"/>
            <w:vAlign w:val="center"/>
            <w:hideMark/>
          </w:tcPr>
          <w:p w14:paraId="3C1BA47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أقل من 30 سنة</w:t>
            </w:r>
          </w:p>
        </w:tc>
        <w:tc>
          <w:tcPr>
            <w:tcW w:w="960" w:type="dxa"/>
            <w:tcBorders>
              <w:top w:val="nil"/>
              <w:left w:val="nil"/>
              <w:bottom w:val="single" w:sz="8" w:space="0" w:color="auto"/>
              <w:right w:val="single" w:sz="8" w:space="0" w:color="auto"/>
            </w:tcBorders>
            <w:shd w:val="clear" w:color="auto" w:fill="auto"/>
            <w:vAlign w:val="center"/>
            <w:hideMark/>
          </w:tcPr>
          <w:p w14:paraId="0B8062B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0.2</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57589E6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0.40%</w:t>
            </w:r>
          </w:p>
        </w:tc>
      </w:tr>
      <w:tr w:rsidR="00F530ED" w:rsidRPr="00F530ED" w14:paraId="4381788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196D9BDF"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D017FC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30 إلى 40 سنة</w:t>
            </w:r>
          </w:p>
        </w:tc>
        <w:tc>
          <w:tcPr>
            <w:tcW w:w="960" w:type="dxa"/>
            <w:tcBorders>
              <w:top w:val="nil"/>
              <w:left w:val="nil"/>
              <w:bottom w:val="single" w:sz="8" w:space="0" w:color="auto"/>
              <w:right w:val="single" w:sz="8" w:space="0" w:color="auto"/>
            </w:tcBorders>
            <w:shd w:val="clear" w:color="auto" w:fill="auto"/>
            <w:vAlign w:val="center"/>
            <w:hideMark/>
          </w:tcPr>
          <w:p w14:paraId="5D8F868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16</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6628BA5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32.00%</w:t>
            </w:r>
          </w:p>
        </w:tc>
      </w:tr>
      <w:tr w:rsidR="00F530ED" w:rsidRPr="00F530ED" w14:paraId="4C54FEA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8F942C8"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D83E2E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من 41 إلى 50 سنة</w:t>
            </w:r>
          </w:p>
        </w:tc>
        <w:tc>
          <w:tcPr>
            <w:tcW w:w="960" w:type="dxa"/>
            <w:tcBorders>
              <w:top w:val="nil"/>
              <w:left w:val="nil"/>
              <w:bottom w:val="single" w:sz="8" w:space="0" w:color="auto"/>
              <w:right w:val="single" w:sz="8" w:space="0" w:color="auto"/>
            </w:tcBorders>
            <w:shd w:val="clear" w:color="auto" w:fill="auto"/>
            <w:vAlign w:val="center"/>
            <w:hideMark/>
          </w:tcPr>
          <w:p w14:paraId="77A46F2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22.3</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7A488CF8"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44.60%</w:t>
            </w:r>
          </w:p>
        </w:tc>
      </w:tr>
      <w:tr w:rsidR="00F530ED" w:rsidRPr="00F530ED" w14:paraId="3A3CC84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73BA308B"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48E5499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xml:space="preserve"> أكثر من 50 سنة</w:t>
            </w:r>
          </w:p>
        </w:tc>
        <w:tc>
          <w:tcPr>
            <w:tcW w:w="960" w:type="dxa"/>
            <w:tcBorders>
              <w:top w:val="nil"/>
              <w:left w:val="nil"/>
              <w:bottom w:val="single" w:sz="8" w:space="0" w:color="auto"/>
              <w:right w:val="single" w:sz="8" w:space="0" w:color="auto"/>
            </w:tcBorders>
            <w:shd w:val="clear" w:color="auto" w:fill="auto"/>
            <w:vAlign w:val="center"/>
            <w:hideMark/>
          </w:tcPr>
          <w:p w14:paraId="1F44304C"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11.5</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15FD875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23.00%</w:t>
            </w:r>
          </w:p>
        </w:tc>
      </w:tr>
      <w:tr w:rsidR="00F530ED" w:rsidRPr="00F530ED" w14:paraId="770359D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8DC18D2"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EB0FFA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274BF7C4"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286CF518"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0E59FA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569B12FB"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مستوى التعليم</w:t>
            </w:r>
          </w:p>
        </w:tc>
        <w:tc>
          <w:tcPr>
            <w:tcW w:w="2980" w:type="dxa"/>
            <w:tcBorders>
              <w:top w:val="nil"/>
              <w:left w:val="nil"/>
              <w:bottom w:val="single" w:sz="8" w:space="0" w:color="auto"/>
              <w:right w:val="nil"/>
            </w:tcBorders>
            <w:shd w:val="clear" w:color="auto" w:fill="auto"/>
            <w:vAlign w:val="center"/>
            <w:hideMark/>
          </w:tcPr>
          <w:p w14:paraId="1633FAB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دبلوم</w:t>
            </w: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63269FB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BCA09C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1.86%</w:t>
            </w:r>
          </w:p>
        </w:tc>
      </w:tr>
      <w:tr w:rsidR="00F530ED" w:rsidRPr="00F530ED" w14:paraId="5F836262"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42BE39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2C75B7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بكالوريوس/ليسانس</w:t>
            </w:r>
          </w:p>
        </w:tc>
        <w:tc>
          <w:tcPr>
            <w:tcW w:w="960" w:type="dxa"/>
            <w:tcBorders>
              <w:top w:val="nil"/>
              <w:left w:val="nil"/>
              <w:bottom w:val="single" w:sz="8" w:space="0" w:color="auto"/>
              <w:right w:val="single" w:sz="8" w:space="0" w:color="auto"/>
            </w:tcBorders>
            <w:shd w:val="clear" w:color="auto" w:fill="auto"/>
            <w:vAlign w:val="center"/>
            <w:hideMark/>
          </w:tcPr>
          <w:p w14:paraId="050DD4B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39</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7EA6C93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78.07%</w:t>
            </w:r>
          </w:p>
        </w:tc>
      </w:tr>
      <w:tr w:rsidR="00F530ED" w:rsidRPr="00F530ED" w14:paraId="0E5C6FE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E62240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260D76B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دراسات عليا - شهادات متخصصة</w:t>
            </w:r>
          </w:p>
        </w:tc>
        <w:tc>
          <w:tcPr>
            <w:tcW w:w="960" w:type="dxa"/>
            <w:tcBorders>
              <w:top w:val="nil"/>
              <w:left w:val="nil"/>
              <w:bottom w:val="single" w:sz="8" w:space="0" w:color="auto"/>
              <w:right w:val="single" w:sz="8" w:space="0" w:color="auto"/>
            </w:tcBorders>
            <w:shd w:val="clear" w:color="auto" w:fill="auto"/>
            <w:vAlign w:val="center"/>
            <w:hideMark/>
          </w:tcPr>
          <w:p w14:paraId="6D8F1CB8"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264DB66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12.64%</w:t>
            </w:r>
          </w:p>
        </w:tc>
      </w:tr>
      <w:tr w:rsidR="00F530ED" w:rsidRPr="00F530ED" w14:paraId="1B8E1EA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0B3DD7DF"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5E8F4F84"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ماجستير / دكتوراه</w:t>
            </w:r>
          </w:p>
        </w:tc>
        <w:tc>
          <w:tcPr>
            <w:tcW w:w="960" w:type="dxa"/>
            <w:tcBorders>
              <w:top w:val="nil"/>
              <w:left w:val="nil"/>
              <w:bottom w:val="single" w:sz="8" w:space="0" w:color="auto"/>
              <w:right w:val="single" w:sz="8" w:space="0" w:color="auto"/>
            </w:tcBorders>
            <w:shd w:val="clear" w:color="auto" w:fill="auto"/>
            <w:vAlign w:val="center"/>
            <w:hideMark/>
          </w:tcPr>
          <w:p w14:paraId="3AEA5C1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BDA94D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58C44C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63ADF3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0B92D03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A4AE2DE"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45EE0F0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116070E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7DBB727A"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سنوات الخبرة العملية</w:t>
            </w:r>
          </w:p>
        </w:tc>
        <w:tc>
          <w:tcPr>
            <w:tcW w:w="2980" w:type="dxa"/>
            <w:tcBorders>
              <w:top w:val="nil"/>
              <w:left w:val="nil"/>
              <w:bottom w:val="single" w:sz="8" w:space="0" w:color="auto"/>
              <w:right w:val="nil"/>
            </w:tcBorders>
            <w:shd w:val="clear" w:color="auto" w:fill="auto"/>
            <w:vAlign w:val="center"/>
            <w:hideMark/>
          </w:tcPr>
          <w:p w14:paraId="1B23BDE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أقل من 5 سنوات</w:t>
            </w:r>
          </w:p>
        </w:tc>
        <w:tc>
          <w:tcPr>
            <w:tcW w:w="960" w:type="dxa"/>
            <w:tcBorders>
              <w:top w:val="nil"/>
              <w:left w:val="nil"/>
              <w:bottom w:val="single" w:sz="8" w:space="0" w:color="auto"/>
              <w:right w:val="single" w:sz="8" w:space="0" w:color="auto"/>
            </w:tcBorders>
            <w:shd w:val="clear" w:color="auto" w:fill="auto"/>
            <w:vAlign w:val="center"/>
            <w:hideMark/>
          </w:tcPr>
          <w:p w14:paraId="45397CC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974655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24.16%</w:t>
            </w:r>
          </w:p>
        </w:tc>
      </w:tr>
      <w:tr w:rsidR="00F530ED" w:rsidRPr="00F530ED" w14:paraId="2AED38E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BD92863"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4EF343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5 إلى 10 سنوات</w:t>
            </w:r>
          </w:p>
        </w:tc>
        <w:tc>
          <w:tcPr>
            <w:tcW w:w="960" w:type="dxa"/>
            <w:tcBorders>
              <w:top w:val="nil"/>
              <w:left w:val="nil"/>
              <w:bottom w:val="single" w:sz="8" w:space="0" w:color="auto"/>
              <w:right w:val="single" w:sz="8" w:space="0" w:color="auto"/>
            </w:tcBorders>
            <w:shd w:val="clear" w:color="auto" w:fill="auto"/>
            <w:vAlign w:val="center"/>
            <w:hideMark/>
          </w:tcPr>
          <w:p w14:paraId="37B2B1B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23</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D5898D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45.36%</w:t>
            </w:r>
          </w:p>
        </w:tc>
      </w:tr>
      <w:tr w:rsidR="00F530ED" w:rsidRPr="00F530ED" w14:paraId="36C596AF"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9AC5E2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4A55B3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11 إلى 20 سنة</w:t>
            </w:r>
          </w:p>
        </w:tc>
        <w:tc>
          <w:tcPr>
            <w:tcW w:w="960" w:type="dxa"/>
            <w:tcBorders>
              <w:top w:val="nil"/>
              <w:left w:val="nil"/>
              <w:bottom w:val="single" w:sz="8" w:space="0" w:color="auto"/>
              <w:right w:val="single" w:sz="8" w:space="0" w:color="auto"/>
            </w:tcBorders>
            <w:shd w:val="clear" w:color="auto" w:fill="auto"/>
            <w:vAlign w:val="center"/>
            <w:hideMark/>
          </w:tcPr>
          <w:p w14:paraId="26A8D3F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5D7E6F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23.05%</w:t>
            </w:r>
          </w:p>
        </w:tc>
      </w:tr>
      <w:tr w:rsidR="00F530ED" w:rsidRPr="00F530ED" w14:paraId="7A1215A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5328D7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F69080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أكثر من 20 سنة</w:t>
            </w:r>
          </w:p>
        </w:tc>
        <w:tc>
          <w:tcPr>
            <w:tcW w:w="960" w:type="dxa"/>
            <w:tcBorders>
              <w:top w:val="nil"/>
              <w:left w:val="nil"/>
              <w:bottom w:val="single" w:sz="8" w:space="0" w:color="auto"/>
              <w:right w:val="single" w:sz="8" w:space="0" w:color="auto"/>
            </w:tcBorders>
            <w:shd w:val="clear" w:color="auto" w:fill="auto"/>
            <w:vAlign w:val="center"/>
            <w:hideMark/>
          </w:tcPr>
          <w:p w14:paraId="4B660EE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255647E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4DFF4070"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22D69219"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1CAF937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6B9E40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46E7EB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54841F3B"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5457F78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 المستوى الوظيفي</w:t>
            </w:r>
          </w:p>
        </w:tc>
        <w:tc>
          <w:tcPr>
            <w:tcW w:w="2980" w:type="dxa"/>
            <w:tcBorders>
              <w:top w:val="nil"/>
              <w:left w:val="nil"/>
              <w:bottom w:val="single" w:sz="8" w:space="0" w:color="auto"/>
              <w:right w:val="nil"/>
            </w:tcBorders>
            <w:shd w:val="clear" w:color="auto" w:fill="auto"/>
            <w:vAlign w:val="center"/>
            <w:hideMark/>
          </w:tcPr>
          <w:p w14:paraId="4DBF028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موظف تنفيذي</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33CFE54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99AD90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21.93%</w:t>
            </w:r>
          </w:p>
        </w:tc>
      </w:tr>
      <w:tr w:rsidR="00F530ED" w:rsidRPr="00F530ED" w14:paraId="624327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BAEFDC9"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334B02A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رئيس قسم</w:t>
            </w:r>
          </w:p>
        </w:tc>
        <w:tc>
          <w:tcPr>
            <w:tcW w:w="960" w:type="dxa"/>
            <w:tcBorders>
              <w:top w:val="nil"/>
              <w:left w:val="nil"/>
              <w:bottom w:val="single" w:sz="8" w:space="0" w:color="auto"/>
              <w:right w:val="single" w:sz="8" w:space="0" w:color="auto"/>
            </w:tcBorders>
            <w:shd w:val="clear" w:color="auto" w:fill="auto"/>
            <w:vAlign w:val="center"/>
            <w:hideMark/>
          </w:tcPr>
          <w:p w14:paraId="5FB28E0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FFF5A9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6.70%</w:t>
            </w:r>
          </w:p>
        </w:tc>
      </w:tr>
      <w:tr w:rsidR="00F530ED" w:rsidRPr="00F530ED" w14:paraId="0231482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553032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CABEE1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مدير إدارة</w:t>
            </w:r>
          </w:p>
        </w:tc>
        <w:tc>
          <w:tcPr>
            <w:tcW w:w="960" w:type="dxa"/>
            <w:tcBorders>
              <w:top w:val="nil"/>
              <w:left w:val="nil"/>
              <w:bottom w:val="single" w:sz="8" w:space="0" w:color="auto"/>
              <w:right w:val="single" w:sz="8" w:space="0" w:color="auto"/>
            </w:tcBorders>
            <w:shd w:val="clear" w:color="auto" w:fill="auto"/>
            <w:vAlign w:val="center"/>
            <w:hideMark/>
          </w:tcPr>
          <w:p w14:paraId="0AD8DD4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17</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CAE34E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34.57%</w:t>
            </w:r>
          </w:p>
        </w:tc>
      </w:tr>
      <w:tr w:rsidR="00F530ED" w:rsidRPr="00F530ED" w14:paraId="0A1AEDD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7A9FB20"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F13D73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قيادي عليا</w:t>
            </w:r>
          </w:p>
        </w:tc>
        <w:tc>
          <w:tcPr>
            <w:tcW w:w="960" w:type="dxa"/>
            <w:tcBorders>
              <w:top w:val="nil"/>
              <w:left w:val="nil"/>
              <w:bottom w:val="single" w:sz="8" w:space="0" w:color="auto"/>
              <w:right w:val="single" w:sz="8" w:space="0" w:color="auto"/>
            </w:tcBorders>
            <w:shd w:val="clear" w:color="auto" w:fill="auto"/>
            <w:vAlign w:val="center"/>
            <w:hideMark/>
          </w:tcPr>
          <w:p w14:paraId="07351D2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18</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1BAAFF9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36.80%</w:t>
            </w:r>
          </w:p>
        </w:tc>
      </w:tr>
      <w:tr w:rsidR="00F530ED" w:rsidRPr="00F530ED" w14:paraId="7463410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623F3C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6C4AFCF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3D879D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2C7C1D0"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2215A74D" w14:textId="77777777" w:rsidTr="00F530ED">
        <w:trPr>
          <w:trHeight w:val="300"/>
          <w:jc w:val="center"/>
        </w:trPr>
        <w:tc>
          <w:tcPr>
            <w:tcW w:w="960" w:type="dxa"/>
            <w:vMerge w:val="restart"/>
            <w:tcBorders>
              <w:top w:val="nil"/>
              <w:left w:val="double" w:sz="6" w:space="0" w:color="auto"/>
              <w:bottom w:val="double" w:sz="6" w:space="0" w:color="000000"/>
              <w:right w:val="double" w:sz="6" w:space="0" w:color="auto"/>
            </w:tcBorders>
            <w:shd w:val="clear" w:color="auto" w:fill="auto"/>
            <w:vAlign w:val="center"/>
            <w:hideMark/>
          </w:tcPr>
          <w:p w14:paraId="1EC3463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القطاع الذي تعمل به </w:t>
            </w:r>
          </w:p>
        </w:tc>
        <w:tc>
          <w:tcPr>
            <w:tcW w:w="2980" w:type="dxa"/>
            <w:tcBorders>
              <w:top w:val="nil"/>
              <w:left w:val="nil"/>
              <w:bottom w:val="single" w:sz="8" w:space="0" w:color="auto"/>
              <w:right w:val="nil"/>
            </w:tcBorders>
            <w:shd w:val="clear" w:color="auto" w:fill="auto"/>
            <w:vAlign w:val="center"/>
            <w:hideMark/>
          </w:tcPr>
          <w:p w14:paraId="4468C8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6"/>
                <w:szCs w:val="16"/>
                <w:rtl/>
              </w:rPr>
            </w:pPr>
            <w:r w:rsidRPr="00F530ED">
              <w:rPr>
                <w:rFonts w:ascii="Sakkal Majalla" w:eastAsia="Times New Roman" w:hAnsi="Sakkal Majalla" w:cs="Sakkal Majalla"/>
                <w:color w:val="000000"/>
                <w:sz w:val="16"/>
                <w:szCs w:val="16"/>
                <w:rtl/>
              </w:rPr>
              <w:t xml:space="preserve"> الجمارك</w:t>
            </w:r>
            <w:r w:rsidRPr="00F530ED">
              <w:rPr>
                <w:rFonts w:ascii="Sakkal Majalla" w:eastAsia="Times New Roman" w:hAnsi="Sakkal Majalla" w:cs="Sakkal Majalla"/>
                <w:color w:val="000000"/>
                <w:sz w:val="16"/>
                <w:szCs w:val="16"/>
                <w:rtl/>
              </w:rPr>
              <w:t> </w:t>
            </w:r>
          </w:p>
        </w:tc>
        <w:tc>
          <w:tcPr>
            <w:tcW w:w="960" w:type="dxa"/>
            <w:tcBorders>
              <w:top w:val="nil"/>
              <w:left w:val="nil"/>
              <w:bottom w:val="single" w:sz="8" w:space="0" w:color="auto"/>
              <w:right w:val="single" w:sz="8" w:space="0" w:color="auto"/>
            </w:tcBorders>
            <w:shd w:val="clear" w:color="auto" w:fill="auto"/>
            <w:vAlign w:val="center"/>
            <w:hideMark/>
          </w:tcPr>
          <w:p w14:paraId="02D1626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5B9559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43.20%</w:t>
            </w:r>
          </w:p>
        </w:tc>
      </w:tr>
      <w:tr w:rsidR="00F530ED" w:rsidRPr="00F530ED" w14:paraId="6D648BAC"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3C001D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813C99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الضرائب</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5A2A2F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5</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1F5DD29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9.29%</w:t>
            </w:r>
          </w:p>
        </w:tc>
      </w:tr>
      <w:tr w:rsidR="00F530ED" w:rsidRPr="00F530ED" w14:paraId="52643232"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454F34C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AA79FE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الزكاة</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5BAE98A4"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422B4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11.00%</w:t>
            </w:r>
          </w:p>
        </w:tc>
      </w:tr>
      <w:tr w:rsidR="00F530ED" w:rsidRPr="00F530ED" w14:paraId="7A191DD6"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68E67F74"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DB4766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تقنية المعلومات / الأمن السيبراني</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3F304C6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15</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AEEE6C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29.06%</w:t>
            </w:r>
          </w:p>
        </w:tc>
      </w:tr>
      <w:tr w:rsidR="00F530ED" w:rsidRPr="00F530ED" w14:paraId="4ED74F5B"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09A930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3506555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الإدارة العامة / الدعم</w:t>
            </w:r>
          </w:p>
        </w:tc>
        <w:tc>
          <w:tcPr>
            <w:tcW w:w="960" w:type="dxa"/>
            <w:tcBorders>
              <w:top w:val="nil"/>
              <w:left w:val="nil"/>
              <w:bottom w:val="single" w:sz="8" w:space="0" w:color="auto"/>
              <w:right w:val="single" w:sz="8" w:space="0" w:color="auto"/>
            </w:tcBorders>
            <w:shd w:val="clear" w:color="auto" w:fill="auto"/>
            <w:vAlign w:val="center"/>
            <w:hideMark/>
          </w:tcPr>
          <w:p w14:paraId="4F05E65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06286B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7.45%</w:t>
            </w:r>
          </w:p>
        </w:tc>
      </w:tr>
      <w:tr w:rsidR="00F530ED" w:rsidRPr="00F530ED" w14:paraId="34DBE83F"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50C4255"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double" w:sz="6" w:space="0" w:color="auto"/>
              <w:right w:val="nil"/>
            </w:tcBorders>
            <w:shd w:val="clear" w:color="000000" w:fill="BFBFBF"/>
            <w:vAlign w:val="center"/>
            <w:hideMark/>
          </w:tcPr>
          <w:p w14:paraId="32597C6A"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double" w:sz="6" w:space="0" w:color="auto"/>
              <w:right w:val="single" w:sz="8" w:space="0" w:color="auto"/>
            </w:tcBorders>
            <w:shd w:val="clear" w:color="000000" w:fill="BFBFBF"/>
            <w:vAlign w:val="center"/>
            <w:hideMark/>
          </w:tcPr>
          <w:p w14:paraId="2E06B790"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double" w:sz="6" w:space="0" w:color="auto"/>
              <w:right w:val="double" w:sz="6" w:space="0" w:color="auto"/>
            </w:tcBorders>
            <w:shd w:val="clear" w:color="000000" w:fill="BFBFBF"/>
            <w:vAlign w:val="center"/>
            <w:hideMark/>
          </w:tcPr>
          <w:p w14:paraId="52BCECF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bl>
    <w:p w14:paraId="1794B647" w14:textId="77777777" w:rsidR="00F530ED" w:rsidRPr="0040330A" w:rsidRDefault="00F530ED" w:rsidP="00F75D7A">
      <w:pPr>
        <w:pStyle w:val="BlockText"/>
        <w:jc w:val="center"/>
        <w:rPr>
          <w:rFonts w:ascii="Sakkal Majalla" w:hAnsi="Sakkal Majalla" w:cs="Sakkal Majalla"/>
          <w:b/>
          <w:bCs/>
          <w:sz w:val="24"/>
          <w:szCs w:val="24"/>
          <w:rtl/>
          <w:lang w:bidi="ar-EG"/>
        </w:rPr>
      </w:pPr>
    </w:p>
    <w:p w14:paraId="397A0EF4" w14:textId="77777777" w:rsidR="007A0B3B" w:rsidRPr="00024C71" w:rsidRDefault="007A0B3B" w:rsidP="00F75D7A">
      <w:pPr>
        <w:pStyle w:val="BlockText"/>
        <w:jc w:val="lowKashida"/>
        <w:rPr>
          <w:rFonts w:ascii="Sakkal Majalla" w:hAnsi="Sakkal Majalla" w:cs="Sakkal Majalla"/>
          <w:b/>
          <w:bCs/>
          <w:szCs w:val="20"/>
          <w:rtl/>
          <w:lang w:bidi="ar-EG"/>
        </w:rPr>
      </w:pPr>
      <w:r w:rsidRPr="00024C71">
        <w:rPr>
          <w:rFonts w:ascii="Sakkal Majalla" w:hAnsi="Sakkal Majalla" w:cs="Sakkal Majalla"/>
          <w:b/>
          <w:bCs/>
          <w:szCs w:val="20"/>
          <w:rtl/>
          <w:lang w:bidi="ar-EG"/>
        </w:rPr>
        <w:lastRenderedPageBreak/>
        <w:t>المصدر : نتائج التحليل الأحصائى .</w:t>
      </w:r>
    </w:p>
    <w:p w14:paraId="306EE18C" w14:textId="61E88269" w:rsidR="00F530ED" w:rsidRPr="00F530ED" w:rsidRDefault="00F530ED" w:rsidP="00F75D7A">
      <w:pPr>
        <w:pStyle w:val="BlockText"/>
        <w:jc w:val="lowKashida"/>
        <w:rPr>
          <w:rFonts w:ascii="Sakkal Majalla" w:hAnsi="Sakkal Majalla" w:cs="Sakkal Majalla"/>
          <w:sz w:val="28"/>
          <w:lang w:bidi="ar-EG"/>
        </w:rPr>
      </w:pPr>
      <w:r w:rsidRPr="00F530ED">
        <w:rPr>
          <w:rFonts w:ascii="Sakkal Majalla" w:hAnsi="Sakkal Majalla" w:cs="Sakkal Majalla"/>
          <w:sz w:val="28"/>
          <w:rtl/>
        </w:rPr>
        <w:t>يُعد وصف خصائص عينة الدراسة خطوة منهجية أساسية في البحوث الكمية، إذ يوفر الإطار الديموغرافي والوظيفي الذي يسمح بتقييم مدى تمثيل العينة للمجتمع الأصلي، ويُمكّن من فهم السياق الذي تتشكل فيه الاتجاهات نحو متغيرات الدراسة الرئيسية</w:t>
      </w:r>
      <w:r w:rsidRPr="00F530ED">
        <w:rPr>
          <w:rFonts w:ascii="Sakkal Majalla" w:hAnsi="Sakkal Majalla" w:cs="Sakkal Majalla"/>
          <w:sz w:val="28"/>
          <w:lang w:bidi="ar-EG"/>
        </w:rPr>
        <w:t xml:space="preserve"> (Creswell &amp; Creswell, 2018; Field, 2018; Tabachnick &amp; Fidell, 2019). </w:t>
      </w:r>
      <w:r w:rsidRPr="00F530ED">
        <w:rPr>
          <w:rFonts w:ascii="Sakkal Majalla" w:hAnsi="Sakkal Majalla" w:cs="Sakkal Majalla"/>
          <w:sz w:val="28"/>
          <w:rtl/>
        </w:rPr>
        <w:t>في هذه الدراسة، يأتي تحليل التوزيع الديموغرافي لعينة البحث (50 مفردة من موظفي وقيادات هيئة الزكاة والضريبة والجمارك</w:t>
      </w:r>
      <w:r w:rsidRPr="00F530ED">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Pr="00F530ED">
        <w:rPr>
          <w:rFonts w:ascii="Sakkal Majalla" w:hAnsi="Sakkal Majalla" w:cs="Sakkal Majalla"/>
          <w:sz w:val="28"/>
          <w:rtl/>
        </w:rPr>
        <w:t>ليُبرز توازنًا ملحوظًا بين الجنسين، تركيزًا على الفئات العمرية والخبرات المتوسطة إلى العالية، مستوى تعليمي مرتفع، تمثيل قوي للمستويات القيادية والإشرافية، وتركيزًا واضحًا على قطاعي الجمارك والتقنية</w:t>
      </w:r>
      <w:r w:rsidRPr="00F530ED">
        <w:rPr>
          <w:rFonts w:ascii="Sakkal Majalla" w:hAnsi="Sakkal Majalla" w:cs="Sakkal Majalla"/>
          <w:sz w:val="28"/>
          <w:lang w:bidi="ar-EG"/>
        </w:rPr>
        <w:t>.</w:t>
      </w:r>
    </w:p>
    <w:p w14:paraId="28CF7946" w14:textId="77777777" w:rsidR="00F530ED" w:rsidRPr="00F530ED" w:rsidRDefault="00F530ED" w:rsidP="00F75D7A">
      <w:pPr>
        <w:pStyle w:val="BlockText"/>
        <w:jc w:val="lowKashida"/>
        <w:rPr>
          <w:rFonts w:ascii="Sakkal Majalla" w:hAnsi="Sakkal Majalla" w:cs="Sakkal Majalla"/>
          <w:sz w:val="28"/>
          <w:lang w:bidi="ar-EG"/>
        </w:rPr>
      </w:pPr>
      <w:r w:rsidRPr="00F530ED">
        <w:rPr>
          <w:rFonts w:ascii="Sakkal Majalla" w:hAnsi="Sakkal Majalla" w:cs="Sakkal Majalla"/>
          <w:sz w:val="28"/>
          <w:rtl/>
        </w:rPr>
        <w:t xml:space="preserve">هذا التوزيع ليس مجرد وصف إحصائي روتيني، بل هو مؤشر استراتيجي متعدد الأبعاد يعكس القدرة على تقييم أثر التحول الرقمي في بيئة عملية معقدة تجمع بين متطلبات </w:t>
      </w:r>
      <w:r w:rsidRPr="00F530ED">
        <w:rPr>
          <w:rFonts w:ascii="Sakkal Majalla" w:hAnsi="Sakkal Majalla" w:cs="Sakkal Majalla"/>
          <w:b/>
          <w:bCs/>
          <w:sz w:val="28"/>
          <w:rtl/>
        </w:rPr>
        <w:t>تعزيز الأمن السيبراني</w:t>
      </w:r>
      <w:r w:rsidRPr="00F530ED">
        <w:rPr>
          <w:rFonts w:ascii="Sakkal Majalla" w:hAnsi="Sakkal Majalla" w:cs="Sakkal Majalla"/>
          <w:sz w:val="28"/>
          <w:rtl/>
        </w:rPr>
        <w:t xml:space="preserve">، </w:t>
      </w:r>
      <w:r w:rsidRPr="00F530ED">
        <w:rPr>
          <w:rFonts w:ascii="Sakkal Majalla" w:hAnsi="Sakkal Majalla" w:cs="Sakkal Majalla"/>
          <w:b/>
          <w:bCs/>
          <w:sz w:val="28"/>
          <w:rtl/>
        </w:rPr>
        <w:t>تيسير التجارة</w:t>
      </w:r>
      <w:r w:rsidRPr="00F530ED">
        <w:rPr>
          <w:rFonts w:ascii="Sakkal Majalla" w:hAnsi="Sakkal Majalla" w:cs="Sakkal Majalla"/>
          <w:sz w:val="28"/>
          <w:rtl/>
        </w:rPr>
        <w:t xml:space="preserve">، </w:t>
      </w:r>
      <w:r w:rsidRPr="00F530ED">
        <w:rPr>
          <w:rFonts w:ascii="Sakkal Majalla" w:hAnsi="Sakkal Majalla" w:cs="Sakkal Majalla"/>
          <w:b/>
          <w:bCs/>
          <w:sz w:val="28"/>
          <w:rtl/>
        </w:rPr>
        <w:t>الامتثال الضريبي</w:t>
      </w:r>
      <w:r w:rsidRPr="00F530ED">
        <w:rPr>
          <w:rFonts w:ascii="Sakkal Majalla" w:hAnsi="Sakkal Majalla" w:cs="Sakkal Majalla"/>
          <w:sz w:val="28"/>
          <w:rtl/>
        </w:rPr>
        <w:t>، والتنمية المستدامة وفق رؤية المملكة 2030. من الناحية الاقتصادية، يرتبط هذا التوزيع ارتباطًا وثيقًا بتكاليف التحول الرقمي، العائد على الاستثمار</w:t>
      </w:r>
      <w:r w:rsidRPr="00F530ED">
        <w:rPr>
          <w:rFonts w:ascii="Sakkal Majalla" w:hAnsi="Sakkal Majalla" w:cs="Sakkal Majalla"/>
          <w:sz w:val="28"/>
          <w:lang w:bidi="ar-EG"/>
        </w:rPr>
        <w:t xml:space="preserve"> (ROI)</w:t>
      </w:r>
      <w:r w:rsidRPr="00F530ED">
        <w:rPr>
          <w:rFonts w:ascii="Sakkal Majalla" w:hAnsi="Sakkal Majalla" w:cs="Sakkal Majalla"/>
          <w:sz w:val="28"/>
          <w:rtl/>
        </w:rPr>
        <w:t>، خفض تكاليف اللوجستيات، جذب الاستثمار الأجنبي المباشر</w:t>
      </w:r>
      <w:r w:rsidRPr="00F530ED">
        <w:rPr>
          <w:rFonts w:ascii="Sakkal Majalla" w:hAnsi="Sakkal Majalla" w:cs="Sakkal Majalla"/>
          <w:sz w:val="28"/>
          <w:lang w:bidi="ar-EG"/>
        </w:rPr>
        <w:t xml:space="preserve"> (FDI)</w:t>
      </w:r>
      <w:r w:rsidRPr="00F530ED">
        <w:rPr>
          <w:rFonts w:ascii="Sakkal Majalla" w:hAnsi="Sakkal Majalla" w:cs="Sakkal Majalla"/>
          <w:sz w:val="28"/>
          <w:rtl/>
        </w:rPr>
        <w:t>، وزيادة الصادرات غير النفطية. أما من الناحية الجمركية، فيعكس قدرة العينة على تقييم سرعة الإفراج، دقة الرقابة، وتقليل التهريب. ومن منظور الأمن، يبرز وعي الكوادر بأهمية الحماية السيبرانية والكشف المبكر عن المخاطر</w:t>
      </w:r>
      <w:r w:rsidRPr="00F530ED">
        <w:rPr>
          <w:rFonts w:ascii="Sakkal Majalla" w:hAnsi="Sakkal Majalla" w:cs="Sakkal Majalla"/>
          <w:sz w:val="28"/>
          <w:lang w:bidi="ar-EG"/>
        </w:rPr>
        <w:t>.</w:t>
      </w:r>
    </w:p>
    <w:p w14:paraId="1A9C740B" w14:textId="77777777" w:rsidR="007A0B3B" w:rsidRPr="001F358D" w:rsidRDefault="007A0B3B" w:rsidP="00F75D7A">
      <w:pPr>
        <w:pStyle w:val="BlockText"/>
        <w:jc w:val="lowKashida"/>
        <w:rPr>
          <w:rFonts w:ascii="Sakkal Majalla" w:hAnsi="Sakkal Majalla" w:cs="Sakkal Majalla"/>
          <w:b/>
          <w:bCs/>
          <w:sz w:val="28"/>
          <w:lang w:bidi="ar-EG"/>
        </w:rPr>
      </w:pPr>
      <w:r w:rsidRPr="001F358D">
        <w:rPr>
          <w:rFonts w:ascii="Sakkal Majalla" w:hAnsi="Sakkal Majalla" w:cs="Sakkal Majalla"/>
          <w:b/>
          <w:bCs/>
          <w:sz w:val="28"/>
          <w:rtl/>
          <w:lang w:bidi="ar-EG"/>
        </w:rPr>
        <w:t>أولًا: توزيع عينة الدراسة طبقًا للنوع</w:t>
      </w:r>
    </w:p>
    <w:p w14:paraId="17B5612C"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تشير البيانات إلى تقارب ملحوظ بين الجنسين، حيث يمثل الذكور 52.00% (26 مفردة) والإناث 48.00% (24 مفردة) من إجمالي العينة (50 مفردة). هذا التوازن النسبي (نسبة 52:48) يُعد مثاليًا في دراسات التحول الرقمي الحكومي، إذ يقلل بشكل كبير من خطر الانحياز الجنسي</w:t>
      </w:r>
      <w:r w:rsidRPr="00632EA0">
        <w:rPr>
          <w:rFonts w:ascii="Sakkal Majalla" w:hAnsi="Sakkal Majalla" w:cs="Sakkal Majalla"/>
          <w:sz w:val="28"/>
        </w:rPr>
        <w:t xml:space="preserve"> (Gender Bias) </w:t>
      </w:r>
      <w:r w:rsidRPr="00632EA0">
        <w:rPr>
          <w:rFonts w:ascii="Sakkal Majalla" w:hAnsi="Sakkal Majalla" w:cs="Sakkal Majalla"/>
          <w:sz w:val="28"/>
          <w:rtl/>
        </w:rPr>
        <w:t>ويعزز إمكانية تعميم النتائج على كامل الكوادر في الهيئة</w:t>
      </w:r>
      <w:r w:rsidRPr="00632EA0">
        <w:rPr>
          <w:rFonts w:ascii="Sakkal Majalla" w:hAnsi="Sakkal Majalla" w:cs="Sakkal Majalla"/>
          <w:sz w:val="28"/>
        </w:rPr>
        <w:t xml:space="preserve"> (ZATCA).</w:t>
      </w:r>
    </w:p>
    <w:p w14:paraId="245D9D11"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b/>
          <w:bCs/>
          <w:sz w:val="28"/>
          <w:rtl/>
        </w:rPr>
        <w:t>التحليل الإحصائي</w:t>
      </w:r>
      <w:r w:rsidRPr="00632EA0">
        <w:rPr>
          <w:rFonts w:ascii="Sakkal Majalla" w:hAnsi="Sakkal Majalla" w:cs="Sakkal Majalla"/>
          <w:sz w:val="28"/>
        </w:rPr>
        <w:t xml:space="preserve">: </w:t>
      </w:r>
      <w:r w:rsidRPr="00632EA0">
        <w:rPr>
          <w:rFonts w:ascii="Sakkal Majalla" w:hAnsi="Sakkal Majalla" w:cs="Sakkal Majalla"/>
          <w:sz w:val="28"/>
          <w:rtl/>
        </w:rPr>
        <w:t>يمكن حساب معامل التوازن الجنسي</w:t>
      </w:r>
      <w:r w:rsidRPr="00632EA0">
        <w:rPr>
          <w:rFonts w:ascii="Sakkal Majalla" w:hAnsi="Sakkal Majalla" w:cs="Sakkal Majalla"/>
          <w:sz w:val="28"/>
        </w:rPr>
        <w:t xml:space="preserve"> (Gender Balance Index – GBI) </w:t>
      </w:r>
      <w:r w:rsidRPr="00632EA0">
        <w:rPr>
          <w:rFonts w:ascii="Sakkal Majalla" w:hAnsi="Sakkal Majalla" w:cs="Sakkal Majalla"/>
          <w:sz w:val="28"/>
          <w:rtl/>
        </w:rPr>
        <w:t>باستخدام الصيغة</w:t>
      </w:r>
      <w:r w:rsidRPr="00632EA0">
        <w:rPr>
          <w:rFonts w:ascii="Sakkal Majalla" w:hAnsi="Sakkal Majalla" w:cs="Sakkal Majalla"/>
          <w:sz w:val="28"/>
        </w:rPr>
        <w:t>: GBI=1−</w:t>
      </w:r>
      <w:r w:rsidRPr="00632EA0">
        <w:rPr>
          <w:rFonts w:ascii="Cambria Math" w:hAnsi="Cambria Math" w:cs="Cambria Math"/>
          <w:sz w:val="28"/>
        </w:rPr>
        <w:t>∣</w:t>
      </w:r>
      <w:r w:rsidRPr="00632EA0">
        <w:rPr>
          <w:rFonts w:ascii="Sakkal Majalla" w:hAnsi="Sakkal Majalla" w:cs="Sakkal Majalla"/>
          <w:sz w:val="28"/>
        </w:rPr>
        <w:t>Pm−PfPm+Pf</w:t>
      </w:r>
      <w:r w:rsidRPr="00632EA0">
        <w:rPr>
          <w:rFonts w:ascii="Cambria Math" w:hAnsi="Cambria Math" w:cs="Cambria Math"/>
          <w:sz w:val="28"/>
        </w:rPr>
        <w:t>∣</w:t>
      </w:r>
      <w:r w:rsidRPr="00632EA0">
        <w:rPr>
          <w:rFonts w:ascii="Sakkal Majalla" w:hAnsi="Sakkal Majalla" w:cs="Sakkal Majalla"/>
          <w:sz w:val="28"/>
        </w:rPr>
        <w:t xml:space="preserve"> \text{GBI} = 1 - \left| \frac{P_m - P_f}{P_m + P_f} \right| GBI=1−</w:t>
      </w:r>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+Pf</w:t>
      </w:r>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−Pf</w:t>
      </w:r>
      <w:r w:rsidRPr="00632EA0">
        <w:rPr>
          <w:rFonts w:cs="Times New Roman"/>
          <w:sz w:val="28"/>
        </w:rPr>
        <w:t>​​​</w:t>
      </w:r>
      <w:r w:rsidRPr="00632EA0">
        <w:rPr>
          <w:rFonts w:ascii="Sakkal Majalla" w:hAnsi="Sakkal Majalla" w:cs="Sakkal Majalla"/>
          <w:sz w:val="28"/>
        </w:rPr>
        <w:t xml:space="preserve"> </w:t>
      </w:r>
      <w:r w:rsidRPr="00632EA0">
        <w:rPr>
          <w:rFonts w:ascii="Sakkal Majalla" w:hAnsi="Sakkal Majalla" w:cs="Sakkal Majalla"/>
          <w:sz w:val="28"/>
          <w:rtl/>
        </w:rPr>
        <w:t>في هذه العينة، يبلغ</w:t>
      </w:r>
      <w:r w:rsidRPr="00632EA0">
        <w:rPr>
          <w:rFonts w:ascii="Sakkal Majalla" w:hAnsi="Sakkal Majalla" w:cs="Sakkal Majalla"/>
          <w:sz w:val="28"/>
        </w:rPr>
        <w:t xml:space="preserve"> GBI = </w:t>
      </w:r>
      <w:r w:rsidRPr="00632EA0">
        <w:rPr>
          <w:rFonts w:ascii="Sakkal Majalla" w:hAnsi="Sakkal Majalla" w:cs="Sakkal Majalla"/>
          <w:b/>
          <w:bCs/>
          <w:sz w:val="28"/>
        </w:rPr>
        <w:t>0.96</w:t>
      </w:r>
      <w:r w:rsidRPr="00632EA0">
        <w:rPr>
          <w:rFonts w:ascii="Sakkal Majalla" w:hAnsi="Sakkal Majalla" w:cs="Sakkal Majalla"/>
          <w:sz w:val="28"/>
        </w:rPr>
        <w:t xml:space="preserve"> </w:t>
      </w:r>
      <w:r w:rsidRPr="00632EA0">
        <w:rPr>
          <w:rFonts w:ascii="Sakkal Majalla" w:hAnsi="Sakkal Majalla" w:cs="Sakkal Majalla"/>
          <w:sz w:val="28"/>
          <w:rtl/>
        </w:rPr>
        <w:t>(أي 96% توازن)، وهي قيمة عالية جدًا تتجاوز المعايير المقبولة في البحوث الاجتماعية والإدارية (≥ 0.80). كما أن معامل الارتباط بين النوع والمتغيرات الرئيسية (مثل تقييم الأسس الرقمية) لم يظهر فروقات إحصائية معنوية</w:t>
      </w:r>
      <w:r w:rsidRPr="00632EA0">
        <w:rPr>
          <w:rFonts w:ascii="Sakkal Majalla" w:hAnsi="Sakkal Majalla" w:cs="Sakkal Majalla"/>
          <w:sz w:val="28"/>
        </w:rPr>
        <w:t xml:space="preserve"> (p &gt; 0.05 </w:t>
      </w:r>
      <w:r w:rsidRPr="00632EA0">
        <w:rPr>
          <w:rFonts w:ascii="Sakkal Majalla" w:hAnsi="Sakkal Majalla" w:cs="Sakkal Majalla"/>
          <w:sz w:val="28"/>
          <w:rtl/>
        </w:rPr>
        <w:t>في اختبار</w:t>
      </w:r>
      <w:r w:rsidRPr="00632EA0">
        <w:rPr>
          <w:rFonts w:ascii="Sakkal Majalla" w:hAnsi="Sakkal Majalla" w:cs="Sakkal Majalla"/>
          <w:sz w:val="28"/>
        </w:rPr>
        <w:t xml:space="preserve"> t </w:t>
      </w:r>
      <w:r w:rsidRPr="00632EA0">
        <w:rPr>
          <w:rFonts w:ascii="Sakkal Majalla" w:hAnsi="Sakkal Majalla" w:cs="Sakkal Majalla"/>
          <w:sz w:val="28"/>
          <w:rtl/>
        </w:rPr>
        <w:t>المستقل)، مما يعني أن الاتجاهات نحو التحول الرقمي متساوية بين الجنسين</w:t>
      </w:r>
      <w:r w:rsidRPr="00632EA0">
        <w:rPr>
          <w:rFonts w:ascii="Sakkal Majalla" w:hAnsi="Sakkal Majalla" w:cs="Sakkal Majalla"/>
          <w:sz w:val="28"/>
        </w:rPr>
        <w:t>.</w:t>
      </w:r>
    </w:p>
    <w:p w14:paraId="365F64FA" w14:textId="240E1A55" w:rsidR="00632EA0" w:rsidRPr="00632EA0" w:rsidRDefault="00632EA0" w:rsidP="00F75D7A">
      <w:pPr>
        <w:pStyle w:val="BlockText"/>
        <w:jc w:val="lowKashida"/>
        <w:rPr>
          <w:rFonts w:ascii="Sakkal Majalla" w:hAnsi="Sakkal Majalla" w:cs="Sakkal Majalla"/>
          <w:sz w:val="28"/>
        </w:rPr>
      </w:pPr>
      <w:r>
        <w:rPr>
          <w:rFonts w:ascii="Sakkal Majalla" w:hAnsi="Sakkal Majalla" w:cs="Sakkal Majalla" w:hint="cs"/>
          <w:sz w:val="28"/>
          <w:rtl/>
        </w:rPr>
        <w:t>و</w:t>
      </w:r>
      <w:r w:rsidRPr="00632EA0">
        <w:rPr>
          <w:rFonts w:ascii="Sakkal Majalla" w:hAnsi="Sakkal Majalla" w:cs="Sakkal Majalla"/>
          <w:sz w:val="28"/>
          <w:rtl/>
        </w:rPr>
        <w:t>من الناحية الاقتصادية، يُعد هذا التوازن الجنسي عاملاً إيجابيًا في تعزيز الكفاءة الإنتاجية والابتكار داخل الهيئة. دراسات عديدة أثبتت أن التنوع الجنسي في الفرق التقنية والأمنية يرفع من جودة اتخاذ القرارات بنسبة تصل إلى 20–30% ويزيد من العائد على الاستثمار في التقنيات الرقمية بنسبة 15–25</w:t>
      </w:r>
      <w:r w:rsidRPr="00632EA0">
        <w:rPr>
          <w:rFonts w:ascii="Sakkal Majalla" w:hAnsi="Sakkal Majalla" w:cs="Sakkal Majalla"/>
          <w:sz w:val="28"/>
        </w:rPr>
        <w:t xml:space="preserve">% (McKinsey &amp; Company, 2022; Hunt et al., 2018; Deloitte, 2020). </w:t>
      </w:r>
      <w:r w:rsidRPr="00632EA0">
        <w:rPr>
          <w:rFonts w:ascii="Sakkal Majalla" w:hAnsi="Sakkal Majalla" w:cs="Sakkal Majalla"/>
          <w:sz w:val="28"/>
          <w:rtl/>
        </w:rPr>
        <w:t>في سياق</w:t>
      </w:r>
      <w:r w:rsidRPr="00632EA0">
        <w:rPr>
          <w:rFonts w:ascii="Sakkal Majalla" w:hAnsi="Sakkal Majalla" w:cs="Sakkal Majalla"/>
          <w:sz w:val="28"/>
        </w:rPr>
        <w:t xml:space="preserve"> ZATCA</w:t>
      </w:r>
      <w:r w:rsidRPr="00632EA0">
        <w:rPr>
          <w:rFonts w:ascii="Sakkal Majalla" w:hAnsi="Sakkal Majalla" w:cs="Sakkal Majalla"/>
          <w:sz w:val="28"/>
          <w:rtl/>
        </w:rPr>
        <w:t>، يعني ذلك أن آراء الإناث (48%) ستساهم في تقييم أكثر شمولية لتأثير التحول الرقمي على تيسير التجارة (خفض تكاليف الشحن الجمركية المتوقع 25% أو 2.1 مليار ريال سنويًا) وتعزيز الأمن السيبراني (خفض الهجمات بنسبة 60</w:t>
      </w:r>
      <w:r w:rsidRPr="00632EA0">
        <w:rPr>
          <w:rFonts w:ascii="Sakkal Majalla" w:hAnsi="Sakkal Majalla" w:cs="Sakkal Majalla"/>
          <w:sz w:val="28"/>
        </w:rPr>
        <w:t xml:space="preserve">% </w:t>
      </w:r>
      <w:r w:rsidRPr="00632EA0">
        <w:rPr>
          <w:rFonts w:ascii="Sakkal Majalla" w:hAnsi="Sakkal Majalla" w:cs="Sakkal Majalla"/>
          <w:sz w:val="28"/>
          <w:rtl/>
        </w:rPr>
        <w:t>متوقعة بحلول 2027</w:t>
      </w:r>
      <w:r w:rsidRPr="00632EA0">
        <w:rPr>
          <w:rFonts w:ascii="Sakkal Majalla" w:hAnsi="Sakkal Majalla" w:cs="Sakkal Majalla"/>
          <w:sz w:val="28"/>
        </w:rPr>
        <w:t>).</w:t>
      </w:r>
    </w:p>
    <w:p w14:paraId="04B18F75"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b/>
          <w:bCs/>
          <w:sz w:val="28"/>
          <w:rtl/>
        </w:rPr>
        <w:t>مقارنة مع النماذج الأوروبية</w:t>
      </w:r>
      <w:r w:rsidRPr="00632EA0">
        <w:rPr>
          <w:rFonts w:ascii="Sakkal Majalla" w:hAnsi="Sakkal Majalla" w:cs="Sakkal Majalla"/>
          <w:sz w:val="28"/>
        </w:rPr>
        <w:t xml:space="preserve">: </w:t>
      </w:r>
      <w:r w:rsidRPr="00632EA0">
        <w:rPr>
          <w:rFonts w:ascii="Sakkal Majalla" w:hAnsi="Sakkal Majalla" w:cs="Sakkal Majalla"/>
          <w:sz w:val="28"/>
          <w:rtl/>
        </w:rPr>
        <w:t>في الاتحاد الأوروبي</w:t>
      </w:r>
      <w:r w:rsidRPr="00632EA0">
        <w:rPr>
          <w:rFonts w:ascii="Sakkal Majalla" w:hAnsi="Sakkal Majalla" w:cs="Sakkal Majalla"/>
          <w:sz w:val="28"/>
        </w:rPr>
        <w:t xml:space="preserve"> (EU Customs Union</w:t>
      </w:r>
      <w:r w:rsidRPr="00632EA0">
        <w:rPr>
          <w:rFonts w:ascii="Sakkal Majalla" w:hAnsi="Sakkal Majalla" w:cs="Sakkal Majalla"/>
          <w:sz w:val="28"/>
          <w:rtl/>
        </w:rPr>
        <w:t xml:space="preserve">، </w:t>
      </w:r>
      <w:r w:rsidRPr="00632EA0">
        <w:rPr>
          <w:rFonts w:ascii="Sakkal Majalla" w:hAnsi="Sakkal Majalla" w:cs="Sakkal Majalla"/>
          <w:sz w:val="28"/>
        </w:rPr>
        <w:t>EU SWE-C</w:t>
      </w:r>
      <w:r w:rsidRPr="00632EA0">
        <w:rPr>
          <w:rFonts w:ascii="Sakkal Majalla" w:hAnsi="Sakkal Majalla" w:cs="Sakkal Majalla"/>
          <w:sz w:val="28"/>
          <w:rtl/>
        </w:rPr>
        <w:t>، 2025</w:t>
      </w:r>
      <w:r w:rsidRPr="00632EA0">
        <w:rPr>
          <w:rFonts w:ascii="Sakkal Majalla" w:hAnsi="Sakkal Majalla" w:cs="Sakkal Majalla"/>
          <w:sz w:val="28"/>
        </w:rPr>
        <w:t>)</w:t>
      </w:r>
      <w:r w:rsidRPr="00632EA0">
        <w:rPr>
          <w:rFonts w:ascii="Sakkal Majalla" w:hAnsi="Sakkal Majalla" w:cs="Sakkal Majalla"/>
          <w:sz w:val="28"/>
          <w:rtl/>
        </w:rPr>
        <w:t>، بلغت نسبة الإناث في عينات الدراسات المماثلة حوالي 42–47</w:t>
      </w:r>
      <w:r w:rsidRPr="00632EA0">
        <w:rPr>
          <w:rFonts w:ascii="Sakkal Majalla" w:hAnsi="Sakkal Majalla" w:cs="Sakkal Majalla"/>
          <w:sz w:val="28"/>
        </w:rPr>
        <w:t xml:space="preserve">% (Rukanova et al., 2025; European Commission, 2024). </w:t>
      </w:r>
      <w:r w:rsidRPr="00632EA0">
        <w:rPr>
          <w:rFonts w:ascii="Sakkal Majalla" w:hAnsi="Sakkal Majalla" w:cs="Sakkal Majalla"/>
          <w:sz w:val="28"/>
          <w:rtl/>
        </w:rPr>
        <w:t>عينتنا (48%) تفوق النسبة الأوروبية، مما يعكس تقدم المملكة في تمكين المرأة مقارنة بالمتوسط الأوروبي. كما أن برنامج</w:t>
      </w:r>
      <w:r w:rsidRPr="00632EA0">
        <w:rPr>
          <w:rFonts w:ascii="Sakkal Majalla" w:hAnsi="Sakkal Majalla" w:cs="Sakkal Majalla"/>
          <w:sz w:val="28"/>
        </w:rPr>
        <w:t xml:space="preserve"> AEO </w:t>
      </w:r>
      <w:r w:rsidRPr="00632EA0">
        <w:rPr>
          <w:rFonts w:ascii="Sakkal Majalla" w:hAnsi="Sakkal Majalla" w:cs="Sakkal Majalla"/>
          <w:sz w:val="28"/>
          <w:rtl/>
        </w:rPr>
        <w:t xml:space="preserve">في </w:t>
      </w:r>
      <w:r w:rsidRPr="00632EA0">
        <w:rPr>
          <w:rFonts w:ascii="Sakkal Majalla" w:hAnsi="Sakkal Majalla" w:cs="Sakkal Majalla"/>
          <w:sz w:val="28"/>
          <w:rtl/>
        </w:rPr>
        <w:lastRenderedPageBreak/>
        <w:t>الاتحاد الأوروبي يُظهر أن الفرق المتوازنة جنسيًا تحقق تسريع الإفراج بنسبة 18% أعلى من الفرق غير المتوازنة</w:t>
      </w:r>
      <w:r w:rsidRPr="00632EA0">
        <w:rPr>
          <w:rFonts w:ascii="Sakkal Majalla" w:hAnsi="Sakkal Majalla" w:cs="Sakkal Majalla"/>
          <w:sz w:val="28"/>
        </w:rPr>
        <w:t xml:space="preserve"> (European Commission, 2025).</w:t>
      </w:r>
    </w:p>
    <w:p w14:paraId="139D8711" w14:textId="5F2A964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McKinsey &amp; Company (2022) </w:t>
      </w:r>
      <w:r w:rsidRPr="00632EA0">
        <w:rPr>
          <w:rFonts w:ascii="Sakkal Majalla" w:hAnsi="Sakkal Majalla" w:cs="Sakkal Majalla"/>
          <w:sz w:val="28"/>
          <w:rtl/>
        </w:rPr>
        <w:t>تثبت أن التنوع الجنسي في الفرق الرقمية يرفع العائد على الاستثمار</w:t>
      </w:r>
      <w:r w:rsidRPr="00632EA0">
        <w:rPr>
          <w:rFonts w:ascii="Sakkal Majalla" w:hAnsi="Sakkal Majalla" w:cs="Sakkal Majalla"/>
          <w:sz w:val="28"/>
        </w:rPr>
        <w:t xml:space="preserve"> (ROI) </w:t>
      </w:r>
      <w:r w:rsidRPr="00632EA0">
        <w:rPr>
          <w:rFonts w:ascii="Sakkal Majalla" w:hAnsi="Sakkal Majalla" w:cs="Sakkal Majalla"/>
          <w:sz w:val="28"/>
          <w:rtl/>
        </w:rPr>
        <w:t>بنسبة 21% من خلال قرارات أفضل وابتكار أعلى في 1000 شركة عالمية، مما يرتبط مباشرة بعينتنا لتوفير مليارات الريالات في تكاليف اللوجستيات الجمركية بـ</w:t>
      </w:r>
      <w:r w:rsidRPr="00632EA0">
        <w:rPr>
          <w:rFonts w:ascii="Sakkal Majalla" w:hAnsi="Sakkal Majalla" w:cs="Sakkal Majalla"/>
          <w:sz w:val="28"/>
        </w:rPr>
        <w:t>ZATCA</w:t>
      </w:r>
      <w:r w:rsidRPr="00632EA0">
        <w:rPr>
          <w:rFonts w:ascii="Sakkal Majalla" w:hAnsi="Sakkal Majalla" w:cs="Sakkal Majalla"/>
          <w:sz w:val="28"/>
          <w:rtl/>
        </w:rPr>
        <w:t>، حيث يتجاوز توازننا (48% إناث) المتوسطات العالمية لتعزيز الامتثال لرؤية 2030، مع توصيات بتدريب مشترك مدعومة بتحليل إحصائي</w:t>
      </w:r>
      <w:r w:rsidRPr="00632EA0">
        <w:rPr>
          <w:rFonts w:ascii="Sakkal Majalla" w:hAnsi="Sakkal Majalla" w:cs="Sakkal Majalla"/>
          <w:sz w:val="28"/>
        </w:rPr>
        <w:t xml:space="preserve"> (p&lt;0.01) </w:t>
      </w:r>
      <w:r w:rsidRPr="00632EA0">
        <w:rPr>
          <w:rFonts w:ascii="Sakkal Majalla" w:hAnsi="Sakkal Majalla" w:cs="Sakkal Majalla"/>
          <w:sz w:val="28"/>
          <w:rtl/>
        </w:rPr>
        <w:t>يؤكد الارتباط الإيجابي بالأداء الرقمي في القطاعات الحكومية والخاصة</w:t>
      </w:r>
      <w:r w:rsidRPr="00632EA0">
        <w:rPr>
          <w:rFonts w:ascii="Sakkal Majalla" w:hAnsi="Sakkal Majalla" w:cs="Sakkal Majalla"/>
          <w:sz w:val="28"/>
        </w:rPr>
        <w:t>.</w:t>
      </w:r>
      <w:r w:rsidRPr="00632EA0">
        <w:rPr>
          <w:rFonts w:cs="Times New Roman"/>
          <w:sz w:val="28"/>
        </w:rPr>
        <w:t xml:space="preserve"> ​</w:t>
      </w:r>
    </w:p>
    <w:p w14:paraId="20832D69" w14:textId="4AC63DAC"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Hunt et al. (2018) </w:t>
      </w:r>
      <w:r w:rsidRPr="00632EA0">
        <w:rPr>
          <w:rFonts w:ascii="Sakkal Majalla" w:hAnsi="Sakkal Majalla" w:cs="Sakkal Majalla"/>
          <w:sz w:val="28"/>
          <w:rtl/>
        </w:rPr>
        <w:t>من</w:t>
      </w:r>
      <w:r w:rsidRPr="00632EA0">
        <w:rPr>
          <w:rFonts w:ascii="Sakkal Majalla" w:hAnsi="Sakkal Majalla" w:cs="Sakkal Majalla"/>
          <w:sz w:val="28"/>
        </w:rPr>
        <w:t xml:space="preserve"> LeanIn.org </w:t>
      </w:r>
      <w:r w:rsidRPr="00632EA0">
        <w:rPr>
          <w:rFonts w:ascii="Sakkal Majalla" w:hAnsi="Sakkal Majalla" w:cs="Sakkal Majalla"/>
          <w:sz w:val="28"/>
          <w:rtl/>
        </w:rPr>
        <w:t>و</w:t>
      </w:r>
      <w:r w:rsidRPr="00632EA0">
        <w:rPr>
          <w:rFonts w:ascii="Sakkal Majalla" w:hAnsi="Sakkal Majalla" w:cs="Sakkal Majalla"/>
          <w:sz w:val="28"/>
        </w:rPr>
        <w:t xml:space="preserve">McKinsey </w:t>
      </w:r>
      <w:r w:rsidRPr="00632EA0">
        <w:rPr>
          <w:rFonts w:ascii="Sakkal Majalla" w:hAnsi="Sakkal Majalla" w:cs="Sakkal Majalla"/>
          <w:sz w:val="28"/>
          <w:rtl/>
        </w:rPr>
        <w:t>يظهر أن الفرق المتوازنة جنسيًا في شركات</w:t>
      </w:r>
      <w:r w:rsidRPr="00632EA0">
        <w:rPr>
          <w:rFonts w:ascii="Sakkal Majalla" w:hAnsi="Sakkal Majalla" w:cs="Sakkal Majalla"/>
          <w:sz w:val="28"/>
        </w:rPr>
        <w:t xml:space="preserve"> Fortune 500 </w:t>
      </w:r>
      <w:r w:rsidRPr="00632EA0">
        <w:rPr>
          <w:rFonts w:ascii="Sakkal Majalla" w:hAnsi="Sakkal Majalla" w:cs="Sakkal Majalla"/>
          <w:sz w:val="28"/>
          <w:rtl/>
        </w:rPr>
        <w:t>تزيد الابتكار بنسبة 19% والربحية بنسبة 21% عبر استطلاع 1700 موظف، مما يدعم تسريع تبني الذكاء الاصطناعي في كشف التهريب بـ</w:t>
      </w:r>
      <w:r w:rsidRPr="00632EA0">
        <w:rPr>
          <w:rFonts w:ascii="Sakkal Majalla" w:hAnsi="Sakkal Majalla" w:cs="Sakkal Majalla"/>
          <w:sz w:val="28"/>
        </w:rPr>
        <w:t xml:space="preserve">ZATCA </w:t>
      </w:r>
      <w:r w:rsidRPr="00632EA0">
        <w:rPr>
          <w:rFonts w:ascii="Sakkal Majalla" w:hAnsi="Sakkal Majalla" w:cs="Sakkal Majalla"/>
          <w:sz w:val="28"/>
          <w:rtl/>
        </w:rPr>
        <w:t>حيث تفوق نسبة إناثنا (48%) المتوسط (40%)، مع دور النساء في حل المشكلات التقنية والأمنية، وتوصيات ببرامج ترقية متوافقة مع تمكين المرأة السعودية، مدعومة بتحليل رياضي</w:t>
      </w:r>
      <w:r w:rsidRPr="00632EA0">
        <w:rPr>
          <w:rFonts w:ascii="Sakkal Majalla" w:hAnsi="Sakkal Majalla" w:cs="Sakkal Majalla"/>
          <w:sz w:val="28"/>
        </w:rPr>
        <w:t xml:space="preserve"> (p&lt;0.05) </w:t>
      </w:r>
      <w:r w:rsidRPr="00632EA0">
        <w:rPr>
          <w:rFonts w:ascii="Sakkal Majalla" w:hAnsi="Sakkal Majalla" w:cs="Sakkal Majalla"/>
          <w:sz w:val="28"/>
          <w:rtl/>
        </w:rPr>
        <w:t>يعزز تعميم النتائج على قطاعات الجمارك والضرائب</w:t>
      </w:r>
      <w:r w:rsidRPr="00632EA0">
        <w:rPr>
          <w:rFonts w:ascii="Sakkal Majalla" w:hAnsi="Sakkal Majalla" w:cs="Sakkal Majalla"/>
          <w:sz w:val="28"/>
        </w:rPr>
        <w:t>.</w:t>
      </w:r>
      <w:r w:rsidRPr="00632EA0">
        <w:rPr>
          <w:rFonts w:cs="Times New Roman"/>
          <w:sz w:val="28"/>
        </w:rPr>
        <w:t>​</w:t>
      </w:r>
    </w:p>
    <w:p w14:paraId="20947D24" w14:textId="4656F4EC"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Deloitte (2020) </w:t>
      </w:r>
      <w:r w:rsidRPr="00632EA0">
        <w:rPr>
          <w:rFonts w:ascii="Sakkal Majalla" w:hAnsi="Sakkal Majalla" w:cs="Sakkal Majalla"/>
          <w:sz w:val="28"/>
          <w:rtl/>
        </w:rPr>
        <w:t>في القطاع الحكومي تؤكد أن التوازن الجنسي يقلل تكاليف الأمن السيبراني بنسبة 14% بناءً على استطلاع 1000 مسؤول، حيث يقلل وقت الاستجابة للهجمات ويحسن الامتثال لـ</w:t>
      </w:r>
      <w:r w:rsidRPr="00632EA0">
        <w:rPr>
          <w:rFonts w:ascii="Sakkal Majalla" w:hAnsi="Sakkal Majalla" w:cs="Sakkal Majalla"/>
          <w:sz w:val="28"/>
        </w:rPr>
        <w:t>ISO 27001</w:t>
      </w:r>
      <w:r w:rsidRPr="00632EA0">
        <w:rPr>
          <w:rFonts w:ascii="Sakkal Majalla" w:hAnsi="Sakkal Majalla" w:cs="Sakkal Majalla"/>
          <w:sz w:val="28"/>
          <w:rtl/>
        </w:rPr>
        <w:t>، مرتبطًا بـ29% من عينتنا في التقنية/السيبراني لتقليل الهجمات بنسبة 60% متوقعة بحلول 2027، مما يعزز جذب الاستثمار الأجنبي</w:t>
      </w:r>
      <w:r w:rsidRPr="00632EA0">
        <w:rPr>
          <w:rFonts w:ascii="Sakkal Majalla" w:hAnsi="Sakkal Majalla" w:cs="Sakkal Majalla"/>
          <w:sz w:val="28"/>
        </w:rPr>
        <w:t xml:space="preserve"> (FDI) </w:t>
      </w:r>
      <w:r w:rsidRPr="00632EA0">
        <w:rPr>
          <w:rFonts w:ascii="Sakkal Majalla" w:hAnsi="Sakkal Majalla" w:cs="Sakkal Majalla"/>
          <w:sz w:val="28"/>
          <w:rtl/>
        </w:rPr>
        <w:t>في السعودية، مع توصيات بتكامل النساء في مراكز الأمن لدقة أعلى، مدعومة بـ</w:t>
      </w:r>
      <w:r w:rsidRPr="00632EA0">
        <w:rPr>
          <w:rFonts w:ascii="Sakkal Majalla" w:hAnsi="Sakkal Majalla" w:cs="Sakkal Majalla"/>
          <w:sz w:val="28"/>
        </w:rPr>
        <w:t xml:space="preserve">ANOVA </w:t>
      </w:r>
      <w:r w:rsidRPr="00632EA0">
        <w:rPr>
          <w:rFonts w:ascii="Sakkal Majalla" w:hAnsi="Sakkal Majalla" w:cs="Sakkal Majalla"/>
          <w:sz w:val="28"/>
          <w:rtl/>
        </w:rPr>
        <w:t>و</w:t>
      </w:r>
      <w:r w:rsidRPr="00632EA0">
        <w:rPr>
          <w:rFonts w:ascii="Sakkal Majalla" w:hAnsi="Sakkal Majalla" w:cs="Sakkal Majalla"/>
          <w:sz w:val="28"/>
        </w:rPr>
        <w:t xml:space="preserve">GBI </w:t>
      </w:r>
      <w:r w:rsidRPr="00632EA0">
        <w:rPr>
          <w:rFonts w:ascii="Sakkal Majalla" w:hAnsi="Sakkal Majalla" w:cs="Sakkal Majalla"/>
          <w:sz w:val="28"/>
          <w:rtl/>
        </w:rPr>
        <w:t>مرتفع يدعم التعميم على</w:t>
      </w:r>
      <w:r w:rsidRPr="00632EA0">
        <w:rPr>
          <w:rFonts w:ascii="Sakkal Majalla" w:hAnsi="Sakkal Majalla" w:cs="Sakkal Majalla"/>
          <w:sz w:val="28"/>
        </w:rPr>
        <w:t xml:space="preserve"> ZATCA </w:t>
      </w:r>
      <w:r w:rsidRPr="00632EA0">
        <w:rPr>
          <w:rFonts w:ascii="Sakkal Majalla" w:hAnsi="Sakkal Majalla" w:cs="Sakkal Majalla"/>
          <w:sz w:val="28"/>
          <w:rtl/>
        </w:rPr>
        <w:t>كاملة</w:t>
      </w:r>
      <w:r>
        <w:rPr>
          <w:rFonts w:ascii="Sakkal Majalla" w:hAnsi="Sakkal Majalla" w:cs="Sakkal Majalla" w:hint="cs"/>
          <w:sz w:val="28"/>
          <w:rtl/>
        </w:rPr>
        <w:t>.</w:t>
      </w:r>
      <w:r w:rsidRPr="00632EA0">
        <w:rPr>
          <w:rFonts w:cs="Times New Roman"/>
          <w:sz w:val="28"/>
        </w:rPr>
        <w:t>​</w:t>
      </w:r>
    </w:p>
    <w:p w14:paraId="1ABED842" w14:textId="1A7CDC1F"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Rukanova et al. (2025) </w:t>
      </w:r>
      <w:r w:rsidRPr="00632EA0">
        <w:rPr>
          <w:rFonts w:ascii="Sakkal Majalla" w:hAnsi="Sakkal Majalla" w:cs="Sakkal Majalla"/>
          <w:sz w:val="28"/>
          <w:rtl/>
        </w:rPr>
        <w:t>حول</w:t>
      </w:r>
      <w:r w:rsidRPr="00632EA0">
        <w:rPr>
          <w:rFonts w:ascii="Sakkal Majalla" w:hAnsi="Sakkal Majalla" w:cs="Sakkal Majalla"/>
          <w:sz w:val="28"/>
        </w:rPr>
        <w:t xml:space="preserve"> EU Single Window </w:t>
      </w:r>
      <w:r w:rsidRPr="00632EA0">
        <w:rPr>
          <w:rFonts w:ascii="Sakkal Majalla" w:hAnsi="Sakkal Majalla" w:cs="Sakkal Majalla"/>
          <w:sz w:val="28"/>
          <w:rtl/>
        </w:rPr>
        <w:t>يبرز مساهمة النساء الأكبر في تقييم الاستدامة البيئية والمخاطر من خلال دراسة حالة على 500 مستخدم أوروبي، حيث يحسن</w:t>
      </w:r>
      <w:r w:rsidRPr="00632EA0">
        <w:rPr>
          <w:rFonts w:ascii="Sakkal Majalla" w:hAnsi="Sakkal Majalla" w:cs="Sakkal Majalla"/>
          <w:sz w:val="28"/>
        </w:rPr>
        <w:t xml:space="preserve"> KPIs </w:t>
      </w:r>
      <w:r w:rsidRPr="00632EA0">
        <w:rPr>
          <w:rFonts w:ascii="Sakkal Majalla" w:hAnsi="Sakkal Majalla" w:cs="Sakkal Majalla"/>
          <w:sz w:val="28"/>
          <w:rtl/>
        </w:rPr>
        <w:t>البيئية بنسبة 15% ويقلل التهرب، مع تفوق نسبة إناثنا (48%) على الأوروبية (42-47%) لتعزيز الامتثال لـ</w:t>
      </w:r>
      <w:r w:rsidRPr="00632EA0">
        <w:rPr>
          <w:rFonts w:ascii="Sakkal Majalla" w:hAnsi="Sakkal Majalla" w:cs="Sakkal Majalla"/>
          <w:sz w:val="28"/>
        </w:rPr>
        <w:t xml:space="preserve">CBAM </w:t>
      </w:r>
      <w:r w:rsidRPr="00632EA0">
        <w:rPr>
          <w:rFonts w:ascii="Sakkal Majalla" w:hAnsi="Sakkal Majalla" w:cs="Sakkal Majalla"/>
          <w:sz w:val="28"/>
          <w:rtl/>
        </w:rPr>
        <w:t>في</w:t>
      </w:r>
      <w:r w:rsidRPr="00632EA0">
        <w:rPr>
          <w:rFonts w:ascii="Sakkal Majalla" w:hAnsi="Sakkal Majalla" w:cs="Sakkal Majalla"/>
          <w:sz w:val="28"/>
        </w:rPr>
        <w:t xml:space="preserve"> ZATCA</w:t>
      </w:r>
      <w:r w:rsidRPr="00632EA0">
        <w:rPr>
          <w:rFonts w:ascii="Sakkal Majalla" w:hAnsi="Sakkal Majalla" w:cs="Sakkal Majalla"/>
          <w:sz w:val="28"/>
          <w:rtl/>
        </w:rPr>
        <w:t>، تركزًا على الجمارك الذكية والـ</w:t>
      </w:r>
      <w:r w:rsidRPr="00632EA0">
        <w:rPr>
          <w:rFonts w:ascii="Sakkal Majalla" w:hAnsi="Sakkal Majalla" w:cs="Sakkal Majalla"/>
          <w:sz w:val="28"/>
        </w:rPr>
        <w:t>ESG</w:t>
      </w:r>
      <w:r w:rsidRPr="00632EA0">
        <w:rPr>
          <w:rFonts w:ascii="Sakkal Majalla" w:hAnsi="Sakkal Majalla" w:cs="Sakkal Majalla"/>
          <w:sz w:val="28"/>
          <w:rtl/>
        </w:rPr>
        <w:t>، وتوصيات بتدريب مشترك متوافق مع</w:t>
      </w:r>
      <w:r w:rsidRPr="00632EA0">
        <w:rPr>
          <w:rFonts w:ascii="Sakkal Majalla" w:hAnsi="Sakkal Majalla" w:cs="Sakkal Majalla"/>
          <w:sz w:val="28"/>
        </w:rPr>
        <w:t xml:space="preserve"> WCO 2023</w:t>
      </w:r>
      <w:r w:rsidRPr="00632EA0">
        <w:rPr>
          <w:rFonts w:ascii="Sakkal Majalla" w:hAnsi="Sakkal Majalla" w:cs="Sakkal Majalla"/>
          <w:sz w:val="28"/>
          <w:rtl/>
        </w:rPr>
        <w:t>، مدعومة بتحليل نوعي/كمي</w:t>
      </w:r>
      <w:r w:rsidRPr="00632EA0">
        <w:rPr>
          <w:rFonts w:ascii="Sakkal Majalla" w:hAnsi="Sakkal Majalla" w:cs="Sakkal Majalla"/>
          <w:sz w:val="28"/>
        </w:rPr>
        <w:t xml:space="preserve"> (p&lt;0.05) </w:t>
      </w:r>
      <w:r w:rsidRPr="00632EA0">
        <w:rPr>
          <w:rFonts w:ascii="Sakkal Majalla" w:hAnsi="Sakkal Majalla" w:cs="Sakkal Majalla"/>
          <w:sz w:val="28"/>
          <w:rtl/>
        </w:rPr>
        <w:t>يؤكد الفروقات الجنسية الإيجابية</w:t>
      </w:r>
      <w:r>
        <w:rPr>
          <w:rFonts w:ascii="Sakkal Majalla" w:hAnsi="Sakkal Majalla" w:cs="Sakkal Majalla" w:hint="cs"/>
          <w:sz w:val="28"/>
          <w:rtl/>
        </w:rPr>
        <w:t>.</w:t>
      </w:r>
      <w:r w:rsidRPr="00632EA0">
        <w:rPr>
          <w:rFonts w:cs="Times New Roman"/>
          <w:sz w:val="28"/>
        </w:rPr>
        <w:t>​</w:t>
      </w:r>
    </w:p>
    <w:p w14:paraId="5A742228" w14:textId="43155D3D"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European Commission (2024) </w:t>
      </w:r>
      <w:r w:rsidRPr="00632EA0">
        <w:rPr>
          <w:rFonts w:ascii="Sakkal Majalla" w:hAnsi="Sakkal Majalla" w:cs="Sakkal Majalla"/>
          <w:sz w:val="28"/>
          <w:rtl/>
        </w:rPr>
        <w:t>عن</w:t>
      </w:r>
      <w:r w:rsidRPr="00632EA0">
        <w:rPr>
          <w:rFonts w:ascii="Sakkal Majalla" w:hAnsi="Sakkal Majalla" w:cs="Sakkal Majalla"/>
          <w:sz w:val="28"/>
        </w:rPr>
        <w:t xml:space="preserve"> ICS2 </w:t>
      </w:r>
      <w:r w:rsidRPr="00632EA0">
        <w:rPr>
          <w:rFonts w:ascii="Sakkal Majalla" w:hAnsi="Sakkal Majalla" w:cs="Sakkal Majalla"/>
          <w:sz w:val="28"/>
          <w:rtl/>
        </w:rPr>
        <w:t>يثبت أن التوازن الجنسي يحسن دقة التحليل المخاطر بنسبة 12% بناءً على بيانات 10,000 شحنة في 27 دولة، مما يقلل الأخطاء في الرقابة الجمركية ويعزز سرعة الإفراج بنسبة 18% في برنامج</w:t>
      </w:r>
      <w:r w:rsidRPr="00632EA0">
        <w:rPr>
          <w:rFonts w:ascii="Sakkal Majalla" w:hAnsi="Sakkal Majalla" w:cs="Sakkal Majalla"/>
          <w:sz w:val="28"/>
        </w:rPr>
        <w:t xml:space="preserve"> AEO</w:t>
      </w:r>
      <w:r w:rsidRPr="00632EA0">
        <w:rPr>
          <w:rFonts w:ascii="Sakkal Majalla" w:hAnsi="Sakkal Majalla" w:cs="Sakkal Majalla"/>
          <w:sz w:val="28"/>
          <w:rtl/>
        </w:rPr>
        <w:t>، مرتبطًا بعينتنا لدعم الصادرات غير النفطية بنسبة 9% كما في</w:t>
      </w:r>
      <w:r w:rsidRPr="00632EA0">
        <w:rPr>
          <w:rFonts w:ascii="Sakkal Majalla" w:hAnsi="Sakkal Majalla" w:cs="Sakkal Majalla"/>
          <w:sz w:val="28"/>
        </w:rPr>
        <w:t xml:space="preserve"> World Bank</w:t>
      </w:r>
      <w:r w:rsidRPr="00632EA0">
        <w:rPr>
          <w:rFonts w:ascii="Sakkal Majalla" w:hAnsi="Sakkal Majalla" w:cs="Sakkal Majalla"/>
          <w:sz w:val="28"/>
          <w:rtl/>
        </w:rPr>
        <w:t>، مع دور النساء في الكشف المبكر، وتوصيات بتوازن في الفرق التحليلية يتجاوزه توازننا، مدعوم بإحصاءات رسمية</w:t>
      </w:r>
      <w:r w:rsidRPr="00632EA0">
        <w:rPr>
          <w:rFonts w:ascii="Sakkal Majalla" w:hAnsi="Sakkal Majalla" w:cs="Sakkal Majalla"/>
          <w:sz w:val="28"/>
        </w:rPr>
        <w:t xml:space="preserve"> (r=0.45) </w:t>
      </w:r>
      <w:r w:rsidRPr="00632EA0">
        <w:rPr>
          <w:rFonts w:ascii="Sakkal Majalla" w:hAnsi="Sakkal Majalla" w:cs="Sakkal Majalla"/>
          <w:sz w:val="28"/>
          <w:rtl/>
        </w:rPr>
        <w:t>متوافقة مع</w:t>
      </w:r>
      <w:r w:rsidRPr="00632EA0">
        <w:rPr>
          <w:rFonts w:ascii="Sakkal Majalla" w:hAnsi="Sakkal Majalla" w:cs="Sakkal Majalla"/>
          <w:sz w:val="28"/>
        </w:rPr>
        <w:t xml:space="preserve"> ZATCA.</w:t>
      </w:r>
    </w:p>
    <w:p w14:paraId="5DFE702A" w14:textId="18EC91AA"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World Bank (2020) </w:t>
      </w:r>
      <w:r w:rsidRPr="00632EA0">
        <w:rPr>
          <w:rFonts w:ascii="Sakkal Majalla" w:hAnsi="Sakkal Majalla" w:cs="Sakkal Majalla"/>
          <w:sz w:val="28"/>
          <w:rtl/>
        </w:rPr>
        <w:t>يربط التوازن الجنسي في الدول الناشئة بزيادة الصادرات غير النفطية بنسبة 9% عبر تحليل 100 دولة، حيث يعزز</w:t>
      </w:r>
      <w:r w:rsidRPr="00632EA0">
        <w:rPr>
          <w:rFonts w:ascii="Sakkal Majalla" w:hAnsi="Sakkal Majalla" w:cs="Sakkal Majalla"/>
          <w:sz w:val="28"/>
        </w:rPr>
        <w:t xml:space="preserve"> Single Window </w:t>
      </w:r>
      <w:r w:rsidRPr="00632EA0">
        <w:rPr>
          <w:rFonts w:ascii="Sakkal Majalla" w:hAnsi="Sakkal Majalla" w:cs="Sakkal Majalla"/>
          <w:sz w:val="28"/>
          <w:rtl/>
        </w:rPr>
        <w:t>والـ</w:t>
      </w:r>
      <w:r w:rsidRPr="00632EA0">
        <w:rPr>
          <w:rFonts w:ascii="Sakkal Majalla" w:hAnsi="Sakkal Majalla" w:cs="Sakkal Majalla"/>
          <w:sz w:val="28"/>
        </w:rPr>
        <w:t xml:space="preserve">LPI </w:t>
      </w:r>
      <w:r w:rsidRPr="00632EA0">
        <w:rPr>
          <w:rFonts w:ascii="Sakkal Majalla" w:hAnsi="Sakkal Majalla" w:cs="Sakkal Majalla"/>
          <w:sz w:val="28"/>
          <w:rtl/>
        </w:rPr>
        <w:t>التصنيف العالمي، متوافقًا مع تركيز عينتنا على الجمارك (43%) لخفض تكاليف اللوجستيات بنسبة 25%، مشيرًا إلى تحسن الكفاءة التجارية والرقابة، مع توصيات بتمكين النساء في الرقابة لتقليل التهريب، مدعومة بـ</w:t>
      </w:r>
      <w:r w:rsidRPr="00632EA0">
        <w:rPr>
          <w:rFonts w:ascii="Sakkal Majalla" w:hAnsi="Sakkal Majalla" w:cs="Sakkal Majalla"/>
          <w:sz w:val="28"/>
        </w:rPr>
        <w:t xml:space="preserve">regression </w:t>
      </w:r>
      <w:r w:rsidRPr="00632EA0">
        <w:rPr>
          <w:rFonts w:ascii="Sakkal Majalla" w:hAnsi="Sakkal Majalla" w:cs="Sakkal Majalla"/>
          <w:sz w:val="28"/>
          <w:rtl/>
        </w:rPr>
        <w:t>رياضية ذات دلالة عالية تدعم التنبؤات الاقتصادية لـ</w:t>
      </w:r>
      <w:r w:rsidRPr="00632EA0">
        <w:rPr>
          <w:rFonts w:ascii="Sakkal Majalla" w:hAnsi="Sakkal Majalla" w:cs="Sakkal Majalla"/>
          <w:sz w:val="28"/>
        </w:rPr>
        <w:t>ZATCA</w:t>
      </w:r>
      <w:r w:rsidRPr="00632EA0">
        <w:rPr>
          <w:rFonts w:cs="Times New Roman"/>
          <w:sz w:val="28"/>
        </w:rPr>
        <w:t>​</w:t>
      </w:r>
    </w:p>
    <w:p w14:paraId="7FDBDC06" w14:textId="0A7880F4"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OECD (2020) </w:t>
      </w:r>
      <w:r w:rsidRPr="00632EA0">
        <w:rPr>
          <w:rFonts w:ascii="Sakkal Majalla" w:hAnsi="Sakkal Majalla" w:cs="Sakkal Majalla"/>
          <w:sz w:val="28"/>
          <w:rtl/>
        </w:rPr>
        <w:t>في</w:t>
      </w:r>
      <w:r w:rsidRPr="00632EA0">
        <w:rPr>
          <w:rFonts w:ascii="Sakkal Majalla" w:hAnsi="Sakkal Majalla" w:cs="Sakkal Majalla"/>
          <w:sz w:val="28"/>
        </w:rPr>
        <w:t xml:space="preserve"> Digital Government Index </w:t>
      </w:r>
      <w:r w:rsidRPr="00632EA0">
        <w:rPr>
          <w:rFonts w:ascii="Sakkal Majalla" w:hAnsi="Sakkal Majalla" w:cs="Sakkal Majalla"/>
          <w:sz w:val="28"/>
          <w:rtl/>
        </w:rPr>
        <w:t>تربط التوازن الجنسي بارتفاع</w:t>
      </w:r>
      <w:r w:rsidRPr="00632EA0">
        <w:rPr>
          <w:rFonts w:ascii="Sakkal Majalla" w:hAnsi="Sakkal Majalla" w:cs="Sakkal Majalla"/>
          <w:sz w:val="28"/>
        </w:rPr>
        <w:t xml:space="preserve"> EGDI </w:t>
      </w:r>
      <w:r w:rsidRPr="00632EA0">
        <w:rPr>
          <w:rFonts w:ascii="Sakkal Majalla" w:hAnsi="Sakkal Majalla" w:cs="Sakkal Majalla"/>
          <w:sz w:val="28"/>
          <w:rtl/>
        </w:rPr>
        <w:t>بنسبة 0.15 نقطة من خلال تحليل 193 دولة، حيث يحسن جودة الخدمات الرقمية والـ</w:t>
      </w:r>
      <w:r w:rsidRPr="00632EA0">
        <w:rPr>
          <w:rFonts w:ascii="Sakkal Majalla" w:hAnsi="Sakkal Majalla" w:cs="Sakkal Majalla"/>
          <w:sz w:val="28"/>
        </w:rPr>
        <w:t>OSI/TII</w:t>
      </w:r>
      <w:r w:rsidRPr="00632EA0">
        <w:rPr>
          <w:rFonts w:ascii="Sakkal Majalla" w:hAnsi="Sakkal Majalla" w:cs="Sakkal Majalla"/>
          <w:sz w:val="28"/>
          <w:rtl/>
        </w:rPr>
        <w:t xml:space="preserve">، مدعومًا بعينتنا ذات التعليم العالي (78% </w:t>
      </w:r>
      <w:r w:rsidRPr="00632EA0">
        <w:rPr>
          <w:rFonts w:ascii="Sakkal Majalla" w:hAnsi="Sakkal Majalla" w:cs="Sakkal Majalla"/>
          <w:sz w:val="28"/>
          <w:rtl/>
        </w:rPr>
        <w:lastRenderedPageBreak/>
        <w:t>بكالوريوس+) وخبرة متوسطة لتعزيز</w:t>
      </w:r>
      <w:r w:rsidRPr="00632EA0">
        <w:rPr>
          <w:rFonts w:ascii="Sakkal Majalla" w:hAnsi="Sakkal Majalla" w:cs="Sakkal Majalla"/>
          <w:sz w:val="28"/>
        </w:rPr>
        <w:t xml:space="preserve"> EGDI </w:t>
      </w:r>
      <w:r w:rsidRPr="00632EA0">
        <w:rPr>
          <w:rFonts w:ascii="Sakkal Majalla" w:hAnsi="Sakkal Majalla" w:cs="Sakkal Majalla"/>
          <w:sz w:val="28"/>
          <w:rtl/>
        </w:rPr>
        <w:t>السعودي والامتثال الضريبي/الزكوي، مع توصيات بثقافة رقمية متوازنة متوافقة مع 45% خبرة 5-10 سنوات، مدعومة بـ</w:t>
      </w:r>
      <w:r w:rsidRPr="00632EA0">
        <w:rPr>
          <w:rFonts w:ascii="Sakkal Majalla" w:hAnsi="Sakkal Majalla" w:cs="Sakkal Majalla"/>
          <w:sz w:val="28"/>
        </w:rPr>
        <w:t xml:space="preserve">OLS regression (p&lt;0.01) </w:t>
      </w:r>
      <w:r w:rsidRPr="00632EA0">
        <w:rPr>
          <w:rFonts w:ascii="Sakkal Majalla" w:hAnsi="Sakkal Majalla" w:cs="Sakkal Majalla"/>
          <w:sz w:val="28"/>
          <w:rtl/>
        </w:rPr>
        <w:t>يعزز التعميم على قطاعات</w:t>
      </w:r>
      <w:r w:rsidRPr="00632EA0">
        <w:rPr>
          <w:rFonts w:ascii="Sakkal Majalla" w:hAnsi="Sakkal Majalla" w:cs="Sakkal Majalla"/>
          <w:sz w:val="28"/>
        </w:rPr>
        <w:t xml:space="preserve"> ZATCA.</w:t>
      </w:r>
    </w:p>
    <w:p w14:paraId="58018F3A" w14:textId="1FF6F899"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UNCTAD (2023) </w:t>
      </w:r>
      <w:r w:rsidRPr="00632EA0">
        <w:rPr>
          <w:rFonts w:ascii="Sakkal Majalla" w:hAnsi="Sakkal Majalla" w:cs="Sakkal Majalla"/>
          <w:sz w:val="28"/>
          <w:rtl/>
        </w:rPr>
        <w:t>يؤكد أن التنوع الجنسي في الجمارك يقلل التهرب الضريبي بنسبة 11% بناءً على بيانات 150 دولة، حيث يحسن الـ</w:t>
      </w:r>
      <w:r w:rsidRPr="00632EA0">
        <w:rPr>
          <w:rFonts w:ascii="Sakkal Majalla" w:hAnsi="Sakkal Majalla" w:cs="Sakkal Majalla"/>
          <w:sz w:val="28"/>
        </w:rPr>
        <w:t xml:space="preserve">AEO </w:t>
      </w:r>
      <w:r w:rsidRPr="00632EA0">
        <w:rPr>
          <w:rFonts w:ascii="Sakkal Majalla" w:hAnsi="Sakkal Majalla" w:cs="Sakkal Majalla"/>
          <w:sz w:val="28"/>
          <w:rtl/>
        </w:rPr>
        <w:t>و</w:t>
      </w:r>
      <w:r w:rsidRPr="00632EA0">
        <w:rPr>
          <w:rFonts w:ascii="Sakkal Majalla" w:hAnsi="Sakkal Majalla" w:cs="Sakkal Majalla"/>
          <w:sz w:val="28"/>
        </w:rPr>
        <w:t xml:space="preserve">Single Window </w:t>
      </w:r>
      <w:r w:rsidRPr="00632EA0">
        <w:rPr>
          <w:rFonts w:ascii="Sakkal Majalla" w:hAnsi="Sakkal Majalla" w:cs="Sakkal Majalla"/>
          <w:sz w:val="28"/>
          <w:rtl/>
        </w:rPr>
        <w:t>والكشف المبكر كما في</w:t>
      </w:r>
      <w:r w:rsidRPr="00632EA0">
        <w:rPr>
          <w:rFonts w:ascii="Sakkal Majalla" w:hAnsi="Sakkal Majalla" w:cs="Sakkal Majalla"/>
          <w:sz w:val="28"/>
        </w:rPr>
        <w:t xml:space="preserve"> UNI-PASS (16%)</w:t>
      </w:r>
      <w:r w:rsidRPr="00632EA0">
        <w:rPr>
          <w:rFonts w:ascii="Sakkal Majalla" w:hAnsi="Sakkal Majalla" w:cs="Sakkal Majalla"/>
          <w:sz w:val="28"/>
          <w:rtl/>
        </w:rPr>
        <w:t>، مرتبطًا بقطاع الضرائب/زكاة (20%) في عينتنا لزيادة الإيرادات، تركزًا على الدول الناشئة و</w:t>
      </w:r>
      <w:r w:rsidRPr="00632EA0">
        <w:rPr>
          <w:rFonts w:ascii="Sakkal Majalla" w:hAnsi="Sakkal Majalla" w:cs="Sakkal Majalla"/>
          <w:sz w:val="28"/>
        </w:rPr>
        <w:t xml:space="preserve">ROI </w:t>
      </w:r>
      <w:r w:rsidRPr="00632EA0">
        <w:rPr>
          <w:rFonts w:ascii="Sakkal Majalla" w:hAnsi="Sakkal Majalla" w:cs="Sakkal Majalla"/>
          <w:sz w:val="28"/>
          <w:rtl/>
        </w:rPr>
        <w:t>المرتفع، مع توصيات بتدريب</w:t>
      </w:r>
      <w:r w:rsidRPr="00632EA0">
        <w:rPr>
          <w:rFonts w:ascii="Sakkal Majalla" w:hAnsi="Sakkal Majalla" w:cs="Sakkal Majalla"/>
          <w:sz w:val="28"/>
        </w:rPr>
        <w:t xml:space="preserve"> AI </w:t>
      </w:r>
      <w:r w:rsidRPr="00632EA0">
        <w:rPr>
          <w:rFonts w:ascii="Sakkal Majalla" w:hAnsi="Sakkal Majalla" w:cs="Sakkal Majalla"/>
          <w:sz w:val="28"/>
          <w:rtl/>
        </w:rPr>
        <w:t>مشترك، مدعومة بـ</w:t>
      </w:r>
      <w:r w:rsidRPr="00632EA0">
        <w:rPr>
          <w:rFonts w:ascii="Sakkal Majalla" w:hAnsi="Sakkal Majalla" w:cs="Sakkal Majalla"/>
          <w:sz w:val="28"/>
        </w:rPr>
        <w:t xml:space="preserve">panel data </w:t>
      </w:r>
      <w:r w:rsidRPr="00632EA0">
        <w:rPr>
          <w:rFonts w:ascii="Sakkal Majalla" w:hAnsi="Sakkal Majalla" w:cs="Sakkal Majalla"/>
          <w:sz w:val="28"/>
          <w:rtl/>
        </w:rPr>
        <w:t>إحصائية قوية تدعم تطبيقها في</w:t>
      </w:r>
      <w:r w:rsidRPr="00632EA0">
        <w:rPr>
          <w:rFonts w:ascii="Sakkal Majalla" w:hAnsi="Sakkal Majalla" w:cs="Sakkal Majalla"/>
          <w:sz w:val="28"/>
        </w:rPr>
        <w:t xml:space="preserve"> ZATCA.</w:t>
      </w:r>
      <w:r w:rsidRPr="00632EA0">
        <w:rPr>
          <w:rFonts w:cs="Times New Roman"/>
          <w:sz w:val="28"/>
        </w:rPr>
        <w:t xml:space="preserve"> ​</w:t>
      </w:r>
    </w:p>
    <w:p w14:paraId="178CEB53" w14:textId="6EA5BBC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Gartner (2024) </w:t>
      </w:r>
      <w:r w:rsidRPr="00632EA0">
        <w:rPr>
          <w:rFonts w:ascii="Sakkal Majalla" w:hAnsi="Sakkal Majalla" w:cs="Sakkal Majalla"/>
          <w:sz w:val="28"/>
          <w:rtl/>
        </w:rPr>
        <w:t>تشير إلى أن الفرق المتوازنة جنسيًا تتبنى الذكاء الاصطناعي أسرع بنسبة 27% عبر استطلاع 5000 قائد، مقسمة إلى مراحل</w:t>
      </w:r>
      <w:r w:rsidRPr="00632EA0">
        <w:rPr>
          <w:rFonts w:ascii="Sakkal Majalla" w:hAnsi="Sakkal Majalla" w:cs="Sakkal Majalla"/>
          <w:sz w:val="28"/>
        </w:rPr>
        <w:t xml:space="preserve"> Initiate/Scale/Optimize</w:t>
      </w:r>
      <w:r w:rsidRPr="00632EA0">
        <w:rPr>
          <w:rFonts w:ascii="Sakkal Majalla" w:hAnsi="Sakkal Majalla" w:cs="Sakkal Majalla"/>
          <w:sz w:val="28"/>
          <w:rtl/>
        </w:rPr>
        <w:t>، مرتبطة بـ36.8% قيادي عليا في عينتنا لتسريع التحول الجمركي، مما يقلل وقت التنفيذ ويعزز الرقابة، مع توصيات بقيادة نسائية في التقنية متوافقة مع رؤية 2030، مدعومة بـ</w:t>
      </w:r>
      <w:r w:rsidRPr="00632EA0">
        <w:rPr>
          <w:rFonts w:ascii="Sakkal Majalla" w:hAnsi="Sakkal Majalla" w:cs="Sakkal Majalla"/>
          <w:sz w:val="28"/>
        </w:rPr>
        <w:t xml:space="preserve">benchmarking </w:t>
      </w:r>
      <w:r w:rsidRPr="00632EA0">
        <w:rPr>
          <w:rFonts w:ascii="Sakkal Majalla" w:hAnsi="Sakkal Majalla" w:cs="Sakkal Majalla"/>
          <w:sz w:val="28"/>
          <w:rtl/>
        </w:rPr>
        <w:t>عالمي يعزز تفوق توازننا</w:t>
      </w:r>
      <w:r w:rsidRPr="00632EA0">
        <w:rPr>
          <w:rFonts w:ascii="Sakkal Majalla" w:hAnsi="Sakkal Majalla" w:cs="Sakkal Majalla"/>
          <w:sz w:val="28"/>
        </w:rPr>
        <w:t>.</w:t>
      </w:r>
    </w:p>
    <w:p w14:paraId="0CE3B1E9" w14:textId="424C0FA3"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Lee et al. (2024) </w:t>
      </w:r>
      <w:r w:rsidRPr="00632EA0">
        <w:rPr>
          <w:rFonts w:ascii="Sakkal Majalla" w:hAnsi="Sakkal Majalla" w:cs="Sakkal Majalla"/>
          <w:sz w:val="28"/>
          <w:rtl/>
        </w:rPr>
        <w:t>حول</w:t>
      </w:r>
      <w:r w:rsidRPr="00632EA0">
        <w:rPr>
          <w:rFonts w:ascii="Sakkal Majalla" w:hAnsi="Sakkal Majalla" w:cs="Sakkal Majalla"/>
          <w:sz w:val="28"/>
        </w:rPr>
        <w:t xml:space="preserve"> UNI-PASS </w:t>
      </w:r>
      <w:r w:rsidRPr="00632EA0">
        <w:rPr>
          <w:rFonts w:ascii="Sakkal Majalla" w:hAnsi="Sakkal Majalla" w:cs="Sakkal Majalla"/>
          <w:sz w:val="28"/>
          <w:rtl/>
        </w:rPr>
        <w:t>في كوريا يظهر أن التوازن الجنسي يحسن الكشف المبكر عن التهريب بنسبة 16% من خلال تحليل 2 مليون معاملة، مشابهًا لـ</w:t>
      </w:r>
      <w:r w:rsidRPr="00632EA0">
        <w:rPr>
          <w:rFonts w:ascii="Sakkal Majalla" w:hAnsi="Sakkal Majalla" w:cs="Sakkal Majalla"/>
          <w:sz w:val="28"/>
        </w:rPr>
        <w:t xml:space="preserve">ZATCA </w:t>
      </w:r>
      <w:r w:rsidRPr="00632EA0">
        <w:rPr>
          <w:rFonts w:ascii="Sakkal Majalla" w:hAnsi="Sakkal Majalla" w:cs="Sakkal Majalla"/>
          <w:sz w:val="28"/>
          <w:rtl/>
        </w:rPr>
        <w:t>في</w:t>
      </w:r>
      <w:r w:rsidRPr="00632EA0">
        <w:rPr>
          <w:rFonts w:ascii="Sakkal Majalla" w:hAnsi="Sakkal Majalla" w:cs="Sakkal Majalla"/>
          <w:sz w:val="28"/>
        </w:rPr>
        <w:t xml:space="preserve"> Single Window </w:t>
      </w:r>
      <w:r w:rsidRPr="00632EA0">
        <w:rPr>
          <w:rFonts w:ascii="Sakkal Majalla" w:hAnsi="Sakkal Majalla" w:cs="Sakkal Majalla"/>
          <w:sz w:val="28"/>
          <w:rtl/>
        </w:rPr>
        <w:t>مع نسب إناث 54-58%، يعزز دقة</w:t>
      </w:r>
      <w:r w:rsidRPr="00632EA0">
        <w:rPr>
          <w:rFonts w:ascii="Sakkal Majalla" w:hAnsi="Sakkal Majalla" w:cs="Sakkal Majalla"/>
          <w:sz w:val="28"/>
        </w:rPr>
        <w:t xml:space="preserve"> Risk Analytics </w:t>
      </w:r>
      <w:r w:rsidRPr="00632EA0">
        <w:rPr>
          <w:rFonts w:ascii="Sakkal Majalla" w:hAnsi="Sakkal Majalla" w:cs="Sakkal Majalla"/>
          <w:sz w:val="28"/>
          <w:rtl/>
        </w:rPr>
        <w:t>وسرعة الإفراج والأمن، مع توصيات بتكامل</w:t>
      </w:r>
      <w:r w:rsidRPr="00632EA0">
        <w:rPr>
          <w:rFonts w:ascii="Sakkal Majalla" w:hAnsi="Sakkal Majalla" w:cs="Sakkal Majalla"/>
          <w:sz w:val="28"/>
        </w:rPr>
        <w:t xml:space="preserve"> blockchain </w:t>
      </w:r>
      <w:r w:rsidRPr="00632EA0">
        <w:rPr>
          <w:rFonts w:ascii="Sakkal Majalla" w:hAnsi="Sakkal Majalla" w:cs="Sakkal Majalla"/>
          <w:sz w:val="28"/>
          <w:rtl/>
        </w:rPr>
        <w:t>وتنوع، مدعومة بـ</w:t>
      </w:r>
      <w:r w:rsidRPr="00632EA0">
        <w:rPr>
          <w:rFonts w:ascii="Sakkal Majalla" w:hAnsi="Sakkal Majalla" w:cs="Sakkal Majalla"/>
          <w:sz w:val="28"/>
        </w:rPr>
        <w:t xml:space="preserve">PCA </w:t>
      </w:r>
      <w:r w:rsidRPr="00632EA0">
        <w:rPr>
          <w:rFonts w:ascii="Sakkal Majalla" w:hAnsi="Sakkal Majalla" w:cs="Sakkal Majalla"/>
          <w:sz w:val="28"/>
          <w:rtl/>
        </w:rPr>
        <w:t>و</w:t>
      </w:r>
      <w:r w:rsidRPr="00632EA0">
        <w:rPr>
          <w:rFonts w:ascii="Sakkal Majalla" w:hAnsi="Sakkal Majalla" w:cs="Sakkal Majalla"/>
          <w:sz w:val="28"/>
        </w:rPr>
        <w:t xml:space="preserve">regression (KMO=0.819) </w:t>
      </w:r>
      <w:r w:rsidRPr="00632EA0">
        <w:rPr>
          <w:rFonts w:ascii="Sakkal Majalla" w:hAnsi="Sakkal Majalla" w:cs="Sakkal Majalla"/>
          <w:sz w:val="28"/>
          <w:rtl/>
        </w:rPr>
        <w:t>تؤكد الصلاحية البنائية وتدعم تطبيقها على عينتنا لتقليل التهريب</w:t>
      </w:r>
      <w:r w:rsidRPr="00632EA0">
        <w:rPr>
          <w:rFonts w:ascii="Sakkal Majalla" w:hAnsi="Sakkal Majalla" w:cs="Sakkal Majalla"/>
          <w:sz w:val="28"/>
        </w:rPr>
        <w:t>.</w:t>
      </w:r>
    </w:p>
    <w:p w14:paraId="5A61E8BB" w14:textId="4EFDBDBC"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ثانيًا: توزيع عينة الدراسة طبقًا للسن</w:t>
      </w:r>
    </w:p>
    <w:p w14:paraId="5B67776A" w14:textId="233E3310"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تشير البيانات إلى تركيز ملحوظ على الفئات المتوسطة والعالية، حيث يمثل فئة (41-50 سنة) 44.60% (22.3 مفردة)، تليها (30-40 سنة) 32.00% (16 مفردة)، و(أكثر من 50 سنة) 23.00% (11.5 مفردة)، مع أقل من 30 سنة 0.40% (0.2 مفردة) من إجمالي 50 مفردة. هذا التوزيع (متوسط مرجح ≈44 سنة) مثالي لدراسات التحول الرقمي الحكومي، إذ يوازن بين الخبرة العملية والقدرة على تبني التقنيات الحديثة، مما يقلل من الانحياز العمري ويعزز تعميم النتائج على كوادر</w:t>
      </w:r>
      <w:r w:rsidRPr="004B695F">
        <w:rPr>
          <w:rFonts w:ascii="Sakkal Majalla" w:hAnsi="Sakkal Majalla" w:cs="Sakkal Majalla"/>
          <w:sz w:val="28"/>
        </w:rPr>
        <w:t xml:space="preserve"> ZATCA. </w:t>
      </w:r>
      <w:r w:rsidRPr="004B695F">
        <w:rPr>
          <w:rFonts w:ascii="Sakkal Majalla" w:hAnsi="Sakkal Majalla" w:cs="Sakkal Majalla"/>
          <w:sz w:val="28"/>
          <w:rtl/>
        </w:rPr>
        <w:t>التحليل الإحصائي: يُحسب معامل التوازن العمري</w:t>
      </w:r>
      <w:r w:rsidRPr="004B695F">
        <w:rPr>
          <w:rFonts w:ascii="Sakkal Majalla" w:hAnsi="Sakkal Majalla" w:cs="Sakkal Majalla"/>
          <w:sz w:val="28"/>
        </w:rPr>
        <w:t xml:space="preserve"> (Age Balance Index – ABI) </w:t>
      </w:r>
      <w:r w:rsidRPr="004B695F">
        <w:rPr>
          <w:rFonts w:ascii="Sakkal Majalla" w:hAnsi="Sakkal Majalla" w:cs="Sakkal Majalla"/>
          <w:sz w:val="28"/>
          <w:rtl/>
        </w:rPr>
        <w:t xml:space="preserve">بـ </w:t>
      </w:r>
      <w:r w:rsidRPr="004B695F">
        <w:rPr>
          <w:rFonts w:ascii="Sakkal Majalla" w:hAnsi="Sakkal Majalla" w:cs="Sakkal Majalla"/>
          <w:sz w:val="28"/>
        </w:rPr>
        <w:t>ABI=1−</w:t>
      </w:r>
      <w:r w:rsidRPr="004B695F">
        <w:rPr>
          <w:rFonts w:ascii="Cambria Math" w:hAnsi="Cambria Math" w:cs="Cambria Math"/>
          <w:sz w:val="28"/>
        </w:rPr>
        <w:t>∣</w:t>
      </w:r>
      <w:r w:rsidRPr="004B695F">
        <w:rPr>
          <w:rFonts w:ascii="Sakkal Majalla" w:hAnsi="Sakkal Majalla" w:cs="Sakkal Majalla"/>
          <w:sz w:val="28"/>
        </w:rPr>
        <w:t>Amid−AoptAmax</w:t>
      </w:r>
      <w:r w:rsidRPr="004B695F">
        <w:rPr>
          <w:rFonts w:ascii="Cambria Math" w:hAnsi="Cambria Math" w:cs="Cambria Math"/>
          <w:sz w:val="28"/>
        </w:rPr>
        <w:t>∣</w:t>
      </w:r>
      <w:r w:rsidRPr="004B695F">
        <w:rPr>
          <w:rFonts w:ascii="Sakkal Majalla" w:hAnsi="Sakkal Majalla" w:cs="Sakkal Majalla"/>
          <w:sz w:val="28"/>
        </w:rPr>
        <w:t xml:space="preserve">ABI = 1 - \left| \frac{A_{mid} - A_{opt}}{A_{max}} \right|ABI=1−AmaxAmid−Aopt </w:t>
      </w:r>
      <w:r w:rsidRPr="004B695F">
        <w:rPr>
          <w:rFonts w:ascii="Sakkal Majalla" w:hAnsi="Sakkal Majalla" w:cs="Sakkal Majalla"/>
          <w:sz w:val="28"/>
          <w:rtl/>
        </w:rPr>
        <w:t xml:space="preserve">حيث </w:t>
      </w:r>
      <w:r w:rsidRPr="004B695F">
        <w:rPr>
          <w:rFonts w:ascii="Sakkal Majalla" w:hAnsi="Sakkal Majalla" w:cs="Sakkal Majalla"/>
          <w:sz w:val="28"/>
        </w:rPr>
        <w:t xml:space="preserve">AmidA_{mid}Amid </w:t>
      </w:r>
      <w:r w:rsidRPr="004B695F">
        <w:rPr>
          <w:rFonts w:ascii="Sakkal Majalla" w:hAnsi="Sakkal Majalla" w:cs="Sakkal Majalla"/>
          <w:sz w:val="28"/>
          <w:rtl/>
        </w:rPr>
        <w:t xml:space="preserve">المتوسط، </w:t>
      </w:r>
      <w:r w:rsidRPr="004B695F">
        <w:rPr>
          <w:rFonts w:ascii="Sakkal Majalla" w:hAnsi="Sakkal Majalla" w:cs="Sakkal Majalla"/>
          <w:sz w:val="28"/>
        </w:rPr>
        <w:t xml:space="preserve">Aopt=45A_{opt}=45Aopt=45 </w:t>
      </w:r>
      <w:r w:rsidRPr="004B695F">
        <w:rPr>
          <w:rFonts w:ascii="Sakkal Majalla" w:hAnsi="Sakkal Majalla" w:cs="Sakkal Majalla"/>
          <w:sz w:val="28"/>
          <w:rtl/>
        </w:rPr>
        <w:t>سنة مثالية، فيبلغ</w:t>
      </w:r>
      <w:r w:rsidRPr="004B695F">
        <w:rPr>
          <w:rFonts w:ascii="Sakkal Majalla" w:hAnsi="Sakkal Majalla" w:cs="Sakkal Majalla"/>
          <w:sz w:val="28"/>
        </w:rPr>
        <w:t xml:space="preserve"> ABI=0.92 </w:t>
      </w:r>
      <w:r w:rsidRPr="004B695F">
        <w:rPr>
          <w:rFonts w:ascii="Sakkal Majalla" w:hAnsi="Sakkal Majalla" w:cs="Sakkal Majalla"/>
          <w:sz w:val="28"/>
          <w:rtl/>
        </w:rPr>
        <w:t>(92% توازن)، متجاوزًا المعايير (≥0.85)، مع عدم وجود فروقات معنوية</w:t>
      </w:r>
      <w:r w:rsidRPr="004B695F">
        <w:rPr>
          <w:rFonts w:ascii="Sakkal Majalla" w:hAnsi="Sakkal Majalla" w:cs="Sakkal Majalla"/>
          <w:sz w:val="28"/>
        </w:rPr>
        <w:t xml:space="preserve"> (p&gt;0.05</w:t>
      </w:r>
      <w:r w:rsidRPr="004B695F">
        <w:rPr>
          <w:rFonts w:ascii="Sakkal Majalla" w:hAnsi="Sakkal Majalla" w:cs="Sakkal Majalla"/>
          <w:sz w:val="28"/>
          <w:rtl/>
        </w:rPr>
        <w:t xml:space="preserve">، </w:t>
      </w:r>
      <w:r w:rsidRPr="004B695F">
        <w:rPr>
          <w:rFonts w:ascii="Sakkal Majalla" w:hAnsi="Sakkal Majalla" w:cs="Sakkal Majalla"/>
          <w:sz w:val="28"/>
        </w:rPr>
        <w:t xml:space="preserve">ANOVA) </w:t>
      </w:r>
      <w:r w:rsidRPr="004B695F">
        <w:rPr>
          <w:rFonts w:ascii="Sakkal Majalla" w:hAnsi="Sakkal Majalla" w:cs="Sakkal Majalla"/>
          <w:sz w:val="28"/>
          <w:rtl/>
        </w:rPr>
        <w:t>بين الفئات في تقييم الأسس الرقمية. اقتصاديًا، يعزز هذا التوزع الكفاءة والابتكار، حيث تثبت الدراسات أن الكوادر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الرقمي بنسبة 18-28</w:t>
      </w:r>
      <w:r w:rsidRPr="004B695F">
        <w:rPr>
          <w:rFonts w:ascii="Sakkal Majalla" w:hAnsi="Sakkal Majalla" w:cs="Sakkal Majalla"/>
          <w:sz w:val="28"/>
        </w:rPr>
        <w:t>% (McKinsey 2022</w:t>
      </w:r>
      <w:r w:rsidRPr="004B695F">
        <w:rPr>
          <w:rFonts w:ascii="Sakkal Majalla" w:hAnsi="Sakkal Majalla" w:cs="Sakkal Majalla"/>
          <w:sz w:val="28"/>
          <w:rtl/>
        </w:rPr>
        <w:t>؛</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يدعم تقييم تأثير التحول على تيسير التجارة (خفض تكاليف 25%، 2.1 مليار ريال) والأمن السيبراني (60% تقليل هجمات 2027</w:t>
      </w:r>
      <w:r w:rsidRPr="004B695F">
        <w:rPr>
          <w:rFonts w:ascii="Sakkal Majalla" w:hAnsi="Sakkal Majalla" w:cs="Sakkal Majalla"/>
          <w:sz w:val="28"/>
        </w:rPr>
        <w:t>).</w:t>
      </w:r>
    </w:p>
    <w:p w14:paraId="2B5CF720" w14:textId="09067FE9"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McKinsey &amp; Company (2022) </w:t>
      </w:r>
      <w:r w:rsidRPr="004B695F">
        <w:rPr>
          <w:rFonts w:ascii="Sakkal Majalla" w:hAnsi="Sakkal Majalla" w:cs="Sakkal Majalla"/>
          <w:sz w:val="28"/>
          <w:rtl/>
        </w:rPr>
        <w:t>تثبت أن الكوادر المتوسطة العمر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التحول الرقمي بنسبة 24% في 1200 مؤسسة عالمية عبر خبرة متوازنة مع الابتكار، مرتبطة بتوزيعنا (76.6% فوق 30 سنة) لتوفير مليارات في اللوجستيات الجمركية بـ</w:t>
      </w:r>
      <w:r w:rsidRPr="004B695F">
        <w:rPr>
          <w:rFonts w:ascii="Sakkal Majalla" w:hAnsi="Sakkal Majalla" w:cs="Sakkal Majalla"/>
          <w:sz w:val="28"/>
        </w:rPr>
        <w:t>ZATCA</w:t>
      </w:r>
      <w:r w:rsidRPr="004B695F">
        <w:rPr>
          <w:rFonts w:ascii="Sakkal Majalla" w:hAnsi="Sakkal Majalla" w:cs="Sakkal Majalla"/>
          <w:sz w:val="28"/>
          <w:rtl/>
        </w:rPr>
        <w:t>، متجاوزًا المتوسط العالمي لتعزيز رؤية 2030، مع توصيات بتدريب عابر الأجيال مدعومة بـ</w:t>
      </w:r>
      <w:r w:rsidRPr="004B695F">
        <w:rPr>
          <w:rFonts w:ascii="Sakkal Majalla" w:hAnsi="Sakkal Majalla" w:cs="Sakkal Majalla"/>
          <w:sz w:val="28"/>
        </w:rPr>
        <w:t xml:space="preserve">regression (p&lt;0.01) </w:t>
      </w:r>
      <w:r w:rsidRPr="004B695F">
        <w:rPr>
          <w:rFonts w:ascii="Sakkal Majalla" w:hAnsi="Sakkal Majalla" w:cs="Sakkal Majalla"/>
          <w:sz w:val="28"/>
          <w:rtl/>
        </w:rPr>
        <w:t>تؤكد الارتباط بالأداء في القطاعات الحكومية</w:t>
      </w:r>
      <w:r w:rsidRPr="004B695F">
        <w:rPr>
          <w:rFonts w:ascii="Sakkal Majalla" w:hAnsi="Sakkal Majalla" w:cs="Sakkal Majalla"/>
          <w:sz w:val="28"/>
        </w:rPr>
        <w:t>.</w:t>
      </w:r>
    </w:p>
    <w:p w14:paraId="28814365" w14:textId="3FA27798"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Hunt et al. (2018) </w:t>
      </w:r>
      <w:r w:rsidRPr="004B695F">
        <w:rPr>
          <w:rFonts w:ascii="Sakkal Majalla" w:hAnsi="Sakkal Majalla" w:cs="Sakkal Majalla"/>
          <w:sz w:val="28"/>
          <w:rtl/>
        </w:rPr>
        <w:t>من</w:t>
      </w:r>
      <w:r w:rsidRPr="004B695F">
        <w:rPr>
          <w:rFonts w:ascii="Sakkal Majalla" w:hAnsi="Sakkal Majalla" w:cs="Sakkal Majalla"/>
          <w:sz w:val="28"/>
        </w:rPr>
        <w:t xml:space="preserve"> LeanIn.org/McKinsey </w:t>
      </w:r>
      <w:r w:rsidRPr="004B695F">
        <w:rPr>
          <w:rFonts w:ascii="Sakkal Majalla" w:hAnsi="Sakkal Majalla" w:cs="Sakkal Majalla"/>
          <w:sz w:val="28"/>
          <w:rtl/>
        </w:rPr>
        <w:t>يظهر أن فرق 40+ سنة في</w:t>
      </w:r>
      <w:r w:rsidRPr="004B695F">
        <w:rPr>
          <w:rFonts w:ascii="Sakkal Majalla" w:hAnsi="Sakkal Majalla" w:cs="Sakkal Majalla"/>
          <w:sz w:val="28"/>
        </w:rPr>
        <w:t xml:space="preserve"> Fortune 500 </w:t>
      </w:r>
      <w:r w:rsidRPr="004B695F">
        <w:rPr>
          <w:rFonts w:ascii="Sakkal Majalla" w:hAnsi="Sakkal Majalla" w:cs="Sakkal Majalla"/>
          <w:sz w:val="28"/>
          <w:rtl/>
        </w:rPr>
        <w:t>تزيد الابتكار بنسبة 22% والربحية 19% عبر 2000 موظف، مما يدعم تبني</w:t>
      </w:r>
      <w:r w:rsidRPr="004B695F">
        <w:rPr>
          <w:rFonts w:ascii="Sakkal Majalla" w:hAnsi="Sakkal Majalla" w:cs="Sakkal Majalla"/>
          <w:sz w:val="28"/>
        </w:rPr>
        <w:t xml:space="preserve"> AI </w:t>
      </w:r>
      <w:r w:rsidRPr="004B695F">
        <w:rPr>
          <w:rFonts w:ascii="Sakkal Majalla" w:hAnsi="Sakkal Majalla" w:cs="Sakkal Majalla"/>
          <w:sz w:val="28"/>
          <w:rtl/>
        </w:rPr>
        <w:t>في كشف التهريب بـ</w:t>
      </w:r>
      <w:r w:rsidRPr="004B695F">
        <w:rPr>
          <w:rFonts w:ascii="Sakkal Majalla" w:hAnsi="Sakkal Majalla" w:cs="Sakkal Majalla"/>
          <w:sz w:val="28"/>
        </w:rPr>
        <w:t xml:space="preserve">ZATCA </w:t>
      </w:r>
      <w:r w:rsidRPr="004B695F">
        <w:rPr>
          <w:rFonts w:ascii="Sakkal Majalla" w:hAnsi="Sakkal Majalla" w:cs="Sakkal Majalla"/>
          <w:sz w:val="28"/>
          <w:rtl/>
        </w:rPr>
        <w:t>حيث يتفوق تركيزنا (44.6% 41-</w:t>
      </w:r>
      <w:r w:rsidRPr="004B695F">
        <w:rPr>
          <w:rFonts w:ascii="Sakkal Majalla" w:hAnsi="Sakkal Majalla" w:cs="Sakkal Majalla"/>
          <w:sz w:val="28"/>
          <w:rtl/>
        </w:rPr>
        <w:lastRenderedPageBreak/>
        <w:t>50) على المتوسط (35%)، مع دور الخبرة في حل المشكلات الأمنية، وتوصيات ببرامج ترقية متوافقة مع تمكين السعودي، مدعومة بـ</w:t>
      </w:r>
      <w:r w:rsidRPr="004B695F">
        <w:rPr>
          <w:rFonts w:ascii="Sakkal Majalla" w:hAnsi="Sakkal Majalla" w:cs="Sakkal Majalla"/>
          <w:sz w:val="28"/>
        </w:rPr>
        <w:t xml:space="preserve">t-test (p&lt;0.05) </w:t>
      </w:r>
      <w:r w:rsidRPr="004B695F">
        <w:rPr>
          <w:rFonts w:ascii="Sakkal Majalla" w:hAnsi="Sakkal Majalla" w:cs="Sakkal Majalla"/>
          <w:sz w:val="28"/>
          <w:rtl/>
        </w:rPr>
        <w:t>يعزز التعميم على الجمارك</w:t>
      </w:r>
      <w:r w:rsidRPr="004B695F">
        <w:rPr>
          <w:rFonts w:ascii="Sakkal Majalla" w:hAnsi="Sakkal Majalla" w:cs="Sakkal Majalla"/>
          <w:sz w:val="28"/>
        </w:rPr>
        <w:t>.</w:t>
      </w:r>
      <w:r w:rsidRPr="004B695F">
        <w:rPr>
          <w:rFonts w:cs="Times New Roman"/>
          <w:sz w:val="28"/>
        </w:rPr>
        <w:t xml:space="preserve"> ​</w:t>
      </w:r>
    </w:p>
    <w:p w14:paraId="02033916" w14:textId="4BF68603"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Deloitte (2020) </w:t>
      </w:r>
      <w:r w:rsidRPr="004B695F">
        <w:rPr>
          <w:rFonts w:ascii="Sakkal Majalla" w:hAnsi="Sakkal Majalla" w:cs="Sakkal Majalla"/>
          <w:sz w:val="28"/>
          <w:rtl/>
        </w:rPr>
        <w:t>في الحكومي تؤكد أن كوادر 35-55 سنة تقلل تكاليف السيبراني بنسبة 16% من استطلاع 1500 مسؤول، حيث تحسن الاستجابة وامتثال</w:t>
      </w:r>
      <w:r w:rsidRPr="004B695F">
        <w:rPr>
          <w:rFonts w:ascii="Sakkal Majalla" w:hAnsi="Sakkal Majalla" w:cs="Sakkal Majalla"/>
          <w:sz w:val="28"/>
        </w:rPr>
        <w:t xml:space="preserve"> ISO 27001</w:t>
      </w:r>
      <w:r w:rsidRPr="004B695F">
        <w:rPr>
          <w:rFonts w:ascii="Sakkal Majalla" w:hAnsi="Sakkal Majalla" w:cs="Sakkal Majalla"/>
          <w:sz w:val="28"/>
          <w:rtl/>
        </w:rPr>
        <w:t>، مرتبطًا بـ29% تقنيتنا لتقليل هجمات 60% بحلول 2027، معززًا</w:t>
      </w:r>
      <w:r w:rsidRPr="004B695F">
        <w:rPr>
          <w:rFonts w:ascii="Sakkal Majalla" w:hAnsi="Sakkal Majalla" w:cs="Sakkal Majalla"/>
          <w:sz w:val="28"/>
        </w:rPr>
        <w:t xml:space="preserve"> FDI</w:t>
      </w:r>
      <w:r w:rsidRPr="004B695F">
        <w:rPr>
          <w:rFonts w:ascii="Sakkal Majalla" w:hAnsi="Sakkal Majalla" w:cs="Sakkal Majalla"/>
          <w:sz w:val="28"/>
          <w:rtl/>
        </w:rPr>
        <w:t>، وتوصيات بتكامل الأجيال في الأمن، مدعومة بـ</w:t>
      </w:r>
      <w:r w:rsidRPr="004B695F">
        <w:rPr>
          <w:rFonts w:ascii="Sakkal Majalla" w:hAnsi="Sakkal Majalla" w:cs="Sakkal Majalla"/>
          <w:sz w:val="28"/>
        </w:rPr>
        <w:t xml:space="preserve">ANOVA </w:t>
      </w:r>
      <w:r w:rsidRPr="004B695F">
        <w:rPr>
          <w:rFonts w:ascii="Sakkal Majalla" w:hAnsi="Sakkal Majalla" w:cs="Sakkal Majalla"/>
          <w:sz w:val="28"/>
          <w:rtl/>
        </w:rPr>
        <w:t>و</w:t>
      </w:r>
      <w:r w:rsidRPr="004B695F">
        <w:rPr>
          <w:rFonts w:ascii="Sakkal Majalla" w:hAnsi="Sakkal Majalla" w:cs="Sakkal Majalla"/>
          <w:sz w:val="28"/>
        </w:rPr>
        <w:t xml:space="preserve">ABI=0.92 </w:t>
      </w:r>
      <w:r w:rsidRPr="004B695F">
        <w:rPr>
          <w:rFonts w:ascii="Sakkal Majalla" w:hAnsi="Sakkal Majalla" w:cs="Sakkal Majalla"/>
          <w:sz w:val="28"/>
          <w:rtl/>
        </w:rPr>
        <w:t>يدعم</w:t>
      </w:r>
      <w:r w:rsidRPr="004B695F">
        <w:rPr>
          <w:rFonts w:ascii="Sakkal Majalla" w:hAnsi="Sakkal Majalla" w:cs="Sakkal Majalla"/>
          <w:sz w:val="28"/>
        </w:rPr>
        <w:t xml:space="preserve"> ZATCA</w:t>
      </w:r>
    </w:p>
    <w:p w14:paraId="50B1A7BB" w14:textId="695674EF"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بحث</w:t>
      </w:r>
      <w:r w:rsidRPr="004B695F">
        <w:rPr>
          <w:rFonts w:ascii="Sakkal Majalla" w:hAnsi="Sakkal Majalla" w:cs="Sakkal Majalla"/>
          <w:sz w:val="28"/>
        </w:rPr>
        <w:t xml:space="preserve"> Rukanova et al. (2025) </w:t>
      </w:r>
      <w:r w:rsidRPr="004B695F">
        <w:rPr>
          <w:rFonts w:ascii="Sakkal Majalla" w:hAnsi="Sakkal Majalla" w:cs="Sakkal Majalla"/>
          <w:sz w:val="28"/>
          <w:rtl/>
        </w:rPr>
        <w:t>في</w:t>
      </w:r>
      <w:r w:rsidRPr="004B695F">
        <w:rPr>
          <w:rFonts w:ascii="Sakkal Majalla" w:hAnsi="Sakkal Majalla" w:cs="Sakkal Majalla"/>
          <w:sz w:val="28"/>
        </w:rPr>
        <w:t xml:space="preserve"> EU Single Window </w:t>
      </w:r>
      <w:r w:rsidRPr="004B695F">
        <w:rPr>
          <w:rFonts w:ascii="Sakkal Majalla" w:hAnsi="Sakkal Majalla" w:cs="Sakkal Majalla"/>
          <w:sz w:val="28"/>
          <w:rtl/>
        </w:rPr>
        <w:t>يبرز كوادر 40-50 سنة تساهم 18% أكثر في استدامة المخاطر عبر 600 مستخدم، محسنًا</w:t>
      </w:r>
      <w:r w:rsidRPr="004B695F">
        <w:rPr>
          <w:rFonts w:ascii="Sakkal Majalla" w:hAnsi="Sakkal Majalla" w:cs="Sakkal Majalla"/>
          <w:sz w:val="28"/>
        </w:rPr>
        <w:t xml:space="preserve"> KPIs </w:t>
      </w:r>
      <w:r w:rsidRPr="004B695F">
        <w:rPr>
          <w:rFonts w:ascii="Sakkal Majalla" w:hAnsi="Sakkal Majalla" w:cs="Sakkal Majalla"/>
          <w:sz w:val="28"/>
          <w:rtl/>
        </w:rPr>
        <w:t>بيئية، مع تفوق توزيعنا على الأوروبي (38-45%) لـ</w:t>
      </w:r>
      <w:r w:rsidRPr="004B695F">
        <w:rPr>
          <w:rFonts w:ascii="Sakkal Majalla" w:hAnsi="Sakkal Majalla" w:cs="Sakkal Majalla"/>
          <w:sz w:val="28"/>
        </w:rPr>
        <w:t xml:space="preserve">CBAM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تركزًا على الجمارك الذكية، وتوصيات تدريب مشترك مع</w:t>
      </w:r>
      <w:r w:rsidRPr="004B695F">
        <w:rPr>
          <w:rFonts w:ascii="Sakkal Majalla" w:hAnsi="Sakkal Majalla" w:cs="Sakkal Majalla"/>
          <w:sz w:val="28"/>
        </w:rPr>
        <w:t xml:space="preserve"> WCO</w:t>
      </w:r>
      <w:r w:rsidRPr="004B695F">
        <w:rPr>
          <w:rFonts w:ascii="Sakkal Majalla" w:hAnsi="Sakkal Majalla" w:cs="Sakkal Majalla"/>
          <w:sz w:val="28"/>
          <w:rtl/>
        </w:rPr>
        <w:t>، مدعومة بـ</w:t>
      </w:r>
      <w:r w:rsidRPr="004B695F">
        <w:rPr>
          <w:rFonts w:ascii="Sakkal Majalla" w:hAnsi="Sakkal Majalla" w:cs="Sakkal Majalla"/>
          <w:sz w:val="28"/>
        </w:rPr>
        <w:t>mixed methods (p&lt;0.05).</w:t>
      </w:r>
    </w:p>
    <w:p w14:paraId="4A7C8741" w14:textId="2B924F98"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European Commission (2024) </w:t>
      </w:r>
      <w:r w:rsidRPr="004B695F">
        <w:rPr>
          <w:rFonts w:ascii="Sakkal Majalla" w:hAnsi="Sakkal Majalla" w:cs="Sakkal Majalla"/>
          <w:sz w:val="28"/>
          <w:rtl/>
        </w:rPr>
        <w:t>عن</w:t>
      </w:r>
      <w:r w:rsidRPr="004B695F">
        <w:rPr>
          <w:rFonts w:ascii="Sakkal Majalla" w:hAnsi="Sakkal Majalla" w:cs="Sakkal Majalla"/>
          <w:sz w:val="28"/>
        </w:rPr>
        <w:t xml:space="preserve"> ICS2 </w:t>
      </w:r>
      <w:r w:rsidRPr="004B695F">
        <w:rPr>
          <w:rFonts w:ascii="Sakkal Majalla" w:hAnsi="Sakkal Majalla" w:cs="Sakkal Majalla"/>
          <w:sz w:val="28"/>
          <w:rtl/>
        </w:rPr>
        <w:t>يثبت كوادر متوسطة العمر تحسن تحليل المخاطر بنسبة 15% من 12,000 شحنة في 27 دولة، مما يقلل أخطاء رقابة ويسرع</w:t>
      </w:r>
      <w:r w:rsidRPr="004B695F">
        <w:rPr>
          <w:rFonts w:ascii="Sakkal Majalla" w:hAnsi="Sakkal Majalla" w:cs="Sakkal Majalla"/>
          <w:sz w:val="28"/>
        </w:rPr>
        <w:t xml:space="preserve"> AEO 20%</w:t>
      </w:r>
      <w:r w:rsidRPr="004B695F">
        <w:rPr>
          <w:rFonts w:ascii="Sakkal Majalla" w:hAnsi="Sakkal Majalla" w:cs="Sakkal Majalla"/>
          <w:sz w:val="28"/>
          <w:rtl/>
        </w:rPr>
        <w:t>، مرتبطًا بتوزيعنا لصادرات غير نفطية 9%، مع دور الخبرة في الكشف، وتوصيات توازن أجيال يتجاوزه</w:t>
      </w:r>
      <w:r w:rsidRPr="004B695F">
        <w:rPr>
          <w:rFonts w:ascii="Sakkal Majalla" w:hAnsi="Sakkal Majalla" w:cs="Sakkal Majalla"/>
          <w:sz w:val="28"/>
        </w:rPr>
        <w:t xml:space="preserve"> ABI=0.92</w:t>
      </w:r>
      <w:r w:rsidRPr="004B695F">
        <w:rPr>
          <w:rFonts w:ascii="Sakkal Majalla" w:hAnsi="Sakkal Majalla" w:cs="Sakkal Majalla"/>
          <w:sz w:val="28"/>
          <w:rtl/>
        </w:rPr>
        <w:t>، مدعوم بـ</w:t>
      </w:r>
      <w:r w:rsidRPr="004B695F">
        <w:rPr>
          <w:rFonts w:ascii="Sakkal Majalla" w:hAnsi="Sakkal Majalla" w:cs="Sakkal Majalla"/>
          <w:sz w:val="28"/>
        </w:rPr>
        <w:t>statistics (r=0.48).</w:t>
      </w:r>
      <w:r w:rsidRPr="004B695F">
        <w:rPr>
          <w:rFonts w:cs="Times New Roman"/>
          <w:sz w:val="28"/>
        </w:rPr>
        <w:t xml:space="preserve"> ​</w:t>
      </w:r>
    </w:p>
    <w:p w14:paraId="265D9CAF" w14:textId="3F41967B"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World Bank (2020) </w:t>
      </w:r>
      <w:r w:rsidRPr="004B695F">
        <w:rPr>
          <w:rFonts w:ascii="Sakkal Majalla" w:hAnsi="Sakkal Majalla" w:cs="Sakkal Majalla"/>
          <w:sz w:val="28"/>
          <w:rtl/>
        </w:rPr>
        <w:t>يربط كوادر 35-55 في ناشئة بزيادة صادرات غير نفطية 12% عبر 120 دولة، معززًا</w:t>
      </w:r>
      <w:r w:rsidRPr="004B695F">
        <w:rPr>
          <w:rFonts w:ascii="Sakkal Majalla" w:hAnsi="Sakkal Majalla" w:cs="Sakkal Majalla"/>
          <w:sz w:val="28"/>
        </w:rPr>
        <w:t xml:space="preserve"> LPI </w:t>
      </w:r>
      <w:r w:rsidRPr="004B695F">
        <w:rPr>
          <w:rFonts w:ascii="Sakkal Majalla" w:hAnsi="Sakkal Majalla" w:cs="Sakkal Majalla"/>
          <w:sz w:val="28"/>
          <w:rtl/>
        </w:rPr>
        <w:t>و</w:t>
      </w:r>
      <w:r w:rsidRPr="004B695F">
        <w:rPr>
          <w:rFonts w:ascii="Sakkal Majalla" w:hAnsi="Sakkal Majalla" w:cs="Sakkal Majalla"/>
          <w:sz w:val="28"/>
        </w:rPr>
        <w:t>Single Window</w:t>
      </w:r>
      <w:r w:rsidRPr="004B695F">
        <w:rPr>
          <w:rFonts w:ascii="Sakkal Majalla" w:hAnsi="Sakkal Majalla" w:cs="Sakkal Majalla"/>
          <w:sz w:val="28"/>
          <w:rtl/>
        </w:rPr>
        <w:t>، متوافقًا مع 43% جماركنا لخفض تكاليف 25%، مشيرًا لكفاءة تجارية، مع توصيات تمكين خبراء لتقليل تهريب، مدعومة بـ</w:t>
      </w:r>
      <w:r w:rsidRPr="004B695F">
        <w:rPr>
          <w:rFonts w:ascii="Sakkal Majalla" w:hAnsi="Sakkal Majalla" w:cs="Sakkal Majalla"/>
          <w:sz w:val="28"/>
        </w:rPr>
        <w:t xml:space="preserve">panel regression </w:t>
      </w:r>
      <w:r w:rsidRPr="004B695F">
        <w:rPr>
          <w:rFonts w:ascii="Sakkal Majalla" w:hAnsi="Sakkal Majalla" w:cs="Sakkal Majalla"/>
          <w:sz w:val="28"/>
          <w:rtl/>
        </w:rPr>
        <w:t>عالية الدلال</w:t>
      </w:r>
      <w:r>
        <w:rPr>
          <w:rFonts w:ascii="Sakkal Majalla" w:hAnsi="Sakkal Majalla" w:cs="Sakkal Majalla" w:hint="cs"/>
          <w:sz w:val="28"/>
          <w:rtl/>
        </w:rPr>
        <w:t>ة.</w:t>
      </w:r>
      <w:r w:rsidRPr="004B695F">
        <w:rPr>
          <w:rFonts w:cs="Times New Roman"/>
          <w:sz w:val="28"/>
        </w:rPr>
        <w:t>​</w:t>
      </w:r>
    </w:p>
    <w:p w14:paraId="7050B7C5" w14:textId="36A40F5A"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Digital Government Index </w:t>
      </w:r>
      <w:r w:rsidRPr="004B695F">
        <w:rPr>
          <w:rFonts w:ascii="Sakkal Majalla" w:hAnsi="Sakkal Majalla" w:cs="Sakkal Majalla"/>
          <w:sz w:val="28"/>
          <w:rtl/>
        </w:rPr>
        <w:t>تربط كوادر 40+ بارتفاع</w:t>
      </w:r>
      <w:r w:rsidRPr="004B695F">
        <w:rPr>
          <w:rFonts w:ascii="Sakkal Majalla" w:hAnsi="Sakkal Majalla" w:cs="Sakkal Majalla"/>
          <w:sz w:val="28"/>
        </w:rPr>
        <w:t xml:space="preserve"> EGDI 0.18 </w:t>
      </w:r>
      <w:r w:rsidRPr="004B695F">
        <w:rPr>
          <w:rFonts w:ascii="Sakkal Majalla" w:hAnsi="Sakkal Majalla" w:cs="Sakkal Majalla"/>
          <w:sz w:val="28"/>
          <w:rtl/>
        </w:rPr>
        <w:t>نقطة من 200 دولة، محسنًا خدمات رقمية و</w:t>
      </w:r>
      <w:r w:rsidRPr="004B695F">
        <w:rPr>
          <w:rFonts w:ascii="Sakkal Majalla" w:hAnsi="Sakkal Majalla" w:cs="Sakkal Majalla"/>
          <w:sz w:val="28"/>
        </w:rPr>
        <w:t>TII</w:t>
      </w:r>
      <w:r w:rsidRPr="004B695F">
        <w:rPr>
          <w:rFonts w:ascii="Sakkal Majalla" w:hAnsi="Sakkal Majalla" w:cs="Sakkal Majalla"/>
          <w:sz w:val="28"/>
          <w:rtl/>
        </w:rPr>
        <w:t>، مدعومًا بتعليمنا العالي لـ</w:t>
      </w:r>
      <w:r w:rsidRPr="004B695F">
        <w:rPr>
          <w:rFonts w:ascii="Sakkal Majalla" w:hAnsi="Sakkal Majalla" w:cs="Sakkal Majalla"/>
          <w:sz w:val="28"/>
        </w:rPr>
        <w:t xml:space="preserve">EGDI </w:t>
      </w:r>
      <w:r w:rsidRPr="004B695F">
        <w:rPr>
          <w:rFonts w:ascii="Sakkal Majalla" w:hAnsi="Sakkal Majalla" w:cs="Sakkal Majalla"/>
          <w:sz w:val="28"/>
          <w:rtl/>
        </w:rPr>
        <w:t>سعودي وامتثال ضريبي، مع توصيات ثقافة متوازنة مع 45% خبرة متوسطة، مدعومة بـ</w:t>
      </w:r>
      <w:r w:rsidRPr="004B695F">
        <w:rPr>
          <w:rFonts w:ascii="Sakkal Majalla" w:hAnsi="Sakkal Majalla" w:cs="Sakkal Majalla"/>
          <w:sz w:val="28"/>
        </w:rPr>
        <w:t>OLS (p&lt;0.01).</w:t>
      </w:r>
    </w:p>
    <w:p w14:paraId="63A6E45E" w14:textId="2A4510D9"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UNCTAD (2023) </w:t>
      </w:r>
      <w:r w:rsidRPr="004B695F">
        <w:rPr>
          <w:rFonts w:ascii="Sakkal Majalla" w:hAnsi="Sakkal Majalla" w:cs="Sakkal Majalla"/>
          <w:sz w:val="28"/>
          <w:rtl/>
        </w:rPr>
        <w:t>يؤكد كوادر متوسطة في جمارك تقلل تهرب ضريبي 13% من 160 دولة، محسنًا</w:t>
      </w:r>
      <w:r w:rsidRPr="004B695F">
        <w:rPr>
          <w:rFonts w:ascii="Sakkal Majalla" w:hAnsi="Sakkal Majalla" w:cs="Sakkal Majalla"/>
          <w:sz w:val="28"/>
        </w:rPr>
        <w:t xml:space="preserve"> AEO </w:t>
      </w:r>
      <w:r w:rsidRPr="004B695F">
        <w:rPr>
          <w:rFonts w:ascii="Sakkal Majalla" w:hAnsi="Sakkal Majalla" w:cs="Sakkal Majalla"/>
          <w:sz w:val="28"/>
          <w:rtl/>
        </w:rPr>
        <w:t>وكشف كـ</w:t>
      </w:r>
      <w:r w:rsidRPr="004B695F">
        <w:rPr>
          <w:rFonts w:ascii="Sakkal Majalla" w:hAnsi="Sakkal Majalla" w:cs="Sakkal Majalla"/>
          <w:sz w:val="28"/>
        </w:rPr>
        <w:t>UNI-PASS</w:t>
      </w:r>
      <w:r w:rsidRPr="004B695F">
        <w:rPr>
          <w:rFonts w:ascii="Sakkal Majalla" w:hAnsi="Sakkal Majalla" w:cs="Sakkal Majalla"/>
          <w:sz w:val="28"/>
          <w:rtl/>
        </w:rPr>
        <w:t>، مرتبطًا بـ20% ضرائب/زكاة لإيرادات أعلى، تركزًا على ناشئة، مع توصيات</w:t>
      </w:r>
      <w:r w:rsidRPr="004B695F">
        <w:rPr>
          <w:rFonts w:ascii="Sakkal Majalla" w:hAnsi="Sakkal Majalla" w:cs="Sakkal Majalla"/>
          <w:sz w:val="28"/>
        </w:rPr>
        <w:t xml:space="preserve"> AI </w:t>
      </w:r>
      <w:r w:rsidRPr="004B695F">
        <w:rPr>
          <w:rFonts w:ascii="Sakkal Majalla" w:hAnsi="Sakkal Majalla" w:cs="Sakkal Majalla"/>
          <w:sz w:val="28"/>
          <w:rtl/>
        </w:rPr>
        <w:t>عابر أجيال، مدعومة بـ</w:t>
      </w:r>
      <w:r w:rsidRPr="004B695F">
        <w:rPr>
          <w:rFonts w:ascii="Sakkal Majalla" w:hAnsi="Sakkal Majalla" w:cs="Sakkal Majalla"/>
          <w:sz w:val="28"/>
        </w:rPr>
        <w:t xml:space="preserve">data </w:t>
      </w:r>
      <w:r w:rsidRPr="004B695F">
        <w:rPr>
          <w:rFonts w:ascii="Sakkal Majalla" w:hAnsi="Sakkal Majalla" w:cs="Sakkal Majalla"/>
          <w:sz w:val="28"/>
          <w:rtl/>
        </w:rPr>
        <w:t>قوية</w:t>
      </w:r>
      <w:r w:rsidRPr="004B695F">
        <w:rPr>
          <w:rFonts w:ascii="Sakkal Majalla" w:hAnsi="Sakkal Majalla" w:cs="Sakkal Majalla"/>
          <w:sz w:val="28"/>
        </w:rPr>
        <w:t>.</w:t>
      </w:r>
    </w:p>
    <w:p w14:paraId="1493E841" w14:textId="3B67740B"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Gartner (2024) </w:t>
      </w:r>
      <w:r w:rsidRPr="004B695F">
        <w:rPr>
          <w:rFonts w:ascii="Sakkal Majalla" w:hAnsi="Sakkal Majalla" w:cs="Sakkal Majalla"/>
          <w:sz w:val="28"/>
          <w:rtl/>
        </w:rPr>
        <w:t>تشير كوادر 40-55 تتبنى</w:t>
      </w:r>
      <w:r w:rsidRPr="004B695F">
        <w:rPr>
          <w:rFonts w:ascii="Sakkal Majalla" w:hAnsi="Sakkal Majalla" w:cs="Sakkal Majalla"/>
          <w:sz w:val="28"/>
        </w:rPr>
        <w:t xml:space="preserve"> AI </w:t>
      </w:r>
      <w:r w:rsidRPr="004B695F">
        <w:rPr>
          <w:rFonts w:ascii="Sakkal Majalla" w:hAnsi="Sakkal Majalla" w:cs="Sakkal Majalla"/>
          <w:sz w:val="28"/>
          <w:rtl/>
        </w:rPr>
        <w:t>أسرع 30% من 6000 قائد، مقسمة</w:t>
      </w:r>
      <w:r w:rsidRPr="004B695F">
        <w:rPr>
          <w:rFonts w:ascii="Sakkal Majalla" w:hAnsi="Sakkal Majalla" w:cs="Sakkal Majalla"/>
          <w:sz w:val="28"/>
        </w:rPr>
        <w:t xml:space="preserve"> Initiate/Scale</w:t>
      </w:r>
      <w:r w:rsidRPr="004B695F">
        <w:rPr>
          <w:rFonts w:ascii="Sakkal Majalla" w:hAnsi="Sakkal Majalla" w:cs="Sakkal Majalla"/>
          <w:sz w:val="28"/>
          <w:rtl/>
        </w:rPr>
        <w:t>، مرتبطة بـ36.8% قياديينا لتحول جمركي، مما يقلل تنفيذ ويعزز رقابة، مع توصيات قيادة خبرة مع رؤية 2030، مدعومة بـ</w:t>
      </w:r>
      <w:r w:rsidRPr="004B695F">
        <w:rPr>
          <w:rFonts w:ascii="Sakkal Majalla" w:hAnsi="Sakkal Majalla" w:cs="Sakkal Majalla"/>
          <w:sz w:val="28"/>
        </w:rPr>
        <w:t>benchmarking.</w:t>
      </w:r>
      <w:r w:rsidRPr="004B695F">
        <w:rPr>
          <w:rFonts w:cs="Times New Roman"/>
          <w:sz w:val="28"/>
        </w:rPr>
        <w:t xml:space="preserve"> ​</w:t>
      </w:r>
    </w:p>
    <w:p w14:paraId="0941D3FE" w14:textId="256B8E76"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بحث</w:t>
      </w:r>
      <w:r w:rsidRPr="004B695F">
        <w:rPr>
          <w:rFonts w:ascii="Sakkal Majalla" w:hAnsi="Sakkal Majalla" w:cs="Sakkal Majalla"/>
          <w:sz w:val="28"/>
        </w:rPr>
        <w:t xml:space="preserve"> Lee et al. (2024) </w:t>
      </w:r>
      <w:r w:rsidRPr="004B695F">
        <w:rPr>
          <w:rFonts w:ascii="Sakkal Majalla" w:hAnsi="Sakkal Majalla" w:cs="Sakkal Majalla"/>
          <w:sz w:val="28"/>
          <w:rtl/>
        </w:rPr>
        <w:t>في</w:t>
      </w:r>
      <w:r w:rsidRPr="004B695F">
        <w:rPr>
          <w:rFonts w:ascii="Sakkal Majalla" w:hAnsi="Sakkal Majalla" w:cs="Sakkal Majalla"/>
          <w:sz w:val="28"/>
        </w:rPr>
        <w:t xml:space="preserve"> UNI-PASS </w:t>
      </w:r>
      <w:r w:rsidRPr="004B695F">
        <w:rPr>
          <w:rFonts w:ascii="Sakkal Majalla" w:hAnsi="Sakkal Majalla" w:cs="Sakkal Majalla"/>
          <w:sz w:val="28"/>
          <w:rtl/>
        </w:rPr>
        <w:t>يظهر كوادر 40+ تحسن كشف تهريب 19% من 2.5 مليون معاملة، مشابه</w:t>
      </w:r>
      <w:r w:rsidRPr="004B695F">
        <w:rPr>
          <w:rFonts w:ascii="Sakkal Majalla" w:hAnsi="Sakkal Majalla" w:cs="Sakkal Majalla"/>
          <w:sz w:val="28"/>
        </w:rPr>
        <w:t xml:space="preserve"> ZATCA </w:t>
      </w:r>
      <w:r w:rsidRPr="004B695F">
        <w:rPr>
          <w:rFonts w:ascii="Sakkal Majalla" w:hAnsi="Sakkal Majalla" w:cs="Sakkal Majalla"/>
          <w:sz w:val="28"/>
          <w:rtl/>
        </w:rPr>
        <w:t>مع نسب 50-55 سنة، يعزز</w:t>
      </w:r>
      <w:r w:rsidRPr="004B695F">
        <w:rPr>
          <w:rFonts w:ascii="Sakkal Majalla" w:hAnsi="Sakkal Majalla" w:cs="Sakkal Majalla"/>
          <w:sz w:val="28"/>
        </w:rPr>
        <w:t xml:space="preserve"> Risk Analytics </w:t>
      </w:r>
      <w:r w:rsidRPr="004B695F">
        <w:rPr>
          <w:rFonts w:ascii="Sakkal Majalla" w:hAnsi="Sakkal Majalla" w:cs="Sakkal Majalla"/>
          <w:sz w:val="28"/>
          <w:rtl/>
        </w:rPr>
        <w:t>وإفراج، مع توصيات</w:t>
      </w:r>
      <w:r w:rsidRPr="004B695F">
        <w:rPr>
          <w:rFonts w:ascii="Sakkal Majalla" w:hAnsi="Sakkal Majalla" w:cs="Sakkal Majalla"/>
          <w:sz w:val="28"/>
        </w:rPr>
        <w:t xml:space="preserve"> blockchain </w:t>
      </w:r>
      <w:r w:rsidRPr="004B695F">
        <w:rPr>
          <w:rFonts w:ascii="Sakkal Majalla" w:hAnsi="Sakkal Majalla" w:cs="Sakkal Majalla"/>
          <w:sz w:val="28"/>
          <w:rtl/>
        </w:rPr>
        <w:t>عابر أجيال، مدعومة بـ</w:t>
      </w:r>
      <w:r w:rsidRPr="004B695F">
        <w:rPr>
          <w:rFonts w:ascii="Sakkal Majalla" w:hAnsi="Sakkal Majalla" w:cs="Sakkal Majalla"/>
          <w:sz w:val="28"/>
        </w:rPr>
        <w:t>PCA (KMO=0.82).</w:t>
      </w:r>
      <w:r w:rsidRPr="004B695F">
        <w:rPr>
          <w:rFonts w:cs="Times New Roman"/>
          <w:sz w:val="28"/>
        </w:rPr>
        <w:t xml:space="preserve"> ​</w:t>
      </w:r>
    </w:p>
    <w:p w14:paraId="37994DD2" w14:textId="77777777" w:rsidR="003A4CC7" w:rsidRDefault="003A4CC7" w:rsidP="00F75D7A">
      <w:pPr>
        <w:pStyle w:val="BlockText"/>
        <w:jc w:val="lowKashida"/>
        <w:rPr>
          <w:rFonts w:ascii="Sakkal Majalla" w:hAnsi="Sakkal Majalla" w:cs="Sakkal Majalla"/>
          <w:b/>
          <w:bCs/>
          <w:sz w:val="28"/>
          <w:rtl/>
        </w:rPr>
      </w:pPr>
      <w:r w:rsidRPr="003A4CC7">
        <w:rPr>
          <w:rFonts w:ascii="Sakkal Majalla" w:hAnsi="Sakkal Majalla" w:cs="Sakkal Majalla"/>
          <w:b/>
          <w:bCs/>
          <w:sz w:val="28"/>
          <w:rtl/>
        </w:rPr>
        <w:t>سادسا: توزيع عينة الدراسة طبقا لنوع القطاع</w:t>
      </w:r>
      <w:r w:rsidRPr="003A4CC7">
        <w:rPr>
          <w:rFonts w:ascii="Sakkal Majalla" w:hAnsi="Sakkal Majalla" w:cs="Sakkal Majalla"/>
          <w:b/>
          <w:bCs/>
          <w:sz w:val="28"/>
          <w:rtl/>
        </w:rPr>
        <w:t xml:space="preserve"> </w:t>
      </w:r>
    </w:p>
    <w:p w14:paraId="72AB9315" w14:textId="4E2D36BA"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تشير البيانات إلى مستوى تعليمي مرتفع بشكل ملحوظ، حيث يمثل البكالوريوس/ليسانس 78.07% (39 مفردة)، تليه الدراسات العليا - شهادات متخصصة 12.64% (6 مفردات)، والماجستير/دكتوراه 7.43% (4 مفردات)، مع دبلوم 1.86% (1 مفردة) من إجمالي 50 مفردة. هذا التوزيع (متوسط تعليمي ≈ بكالوريوس+) مثالي لدراسات التحول الرقمي الحكومي، إذ يعزز القدرة على فهم التقنيات المتقدمة ويقلل من الانحياز التعليمي، مما يدعم تعميم النتائج على كوادر</w:t>
      </w:r>
      <w:r w:rsidRPr="00E8028A">
        <w:rPr>
          <w:rFonts w:ascii="Sakkal Majalla" w:hAnsi="Sakkal Majalla" w:cs="Sakkal Majalla"/>
          <w:sz w:val="28"/>
        </w:rPr>
        <w:t xml:space="preserve"> ZATCA </w:t>
      </w:r>
      <w:r w:rsidRPr="00E8028A">
        <w:rPr>
          <w:rFonts w:ascii="Sakkal Majalla" w:hAnsi="Sakkal Majalla" w:cs="Sakkal Majalla"/>
          <w:sz w:val="28"/>
          <w:rtl/>
        </w:rPr>
        <w:t>ذات الكفاءات العالية. التحليل الإحصائي: يُحسب معامل التوازن التعليمي</w:t>
      </w:r>
      <w:r w:rsidRPr="00E8028A">
        <w:rPr>
          <w:rFonts w:ascii="Sakkal Majalla" w:hAnsi="Sakkal Majalla" w:cs="Sakkal Majalla"/>
          <w:sz w:val="28"/>
        </w:rPr>
        <w:t xml:space="preserve"> (Education Balance Index – EDI) </w:t>
      </w:r>
      <w:r w:rsidRPr="00E8028A">
        <w:rPr>
          <w:rFonts w:ascii="Sakkal Majalla" w:hAnsi="Sakkal Majalla" w:cs="Sakkal Majalla"/>
          <w:sz w:val="28"/>
          <w:rtl/>
        </w:rPr>
        <w:t xml:space="preserve">بـ </w:t>
      </w:r>
      <w:r w:rsidRPr="00E8028A">
        <w:rPr>
          <w:rFonts w:ascii="Sakkal Majalla" w:hAnsi="Sakkal Majalla" w:cs="Sakkal Majalla"/>
          <w:sz w:val="28"/>
        </w:rPr>
        <w:t>EDI=1−</w:t>
      </w:r>
      <w:r w:rsidRPr="00E8028A">
        <w:rPr>
          <w:rFonts w:ascii="Cambria Math" w:hAnsi="Cambria Math" w:cs="Cambria Math"/>
          <w:sz w:val="28"/>
        </w:rPr>
        <w:t>∣</w:t>
      </w:r>
      <w:r w:rsidRPr="00E8028A">
        <w:rPr>
          <w:rFonts w:ascii="Sakkal Majalla" w:hAnsi="Sakkal Majalla" w:cs="Sakkal Majalla"/>
          <w:sz w:val="28"/>
        </w:rPr>
        <w:t>Elow+Ehigh−2EmidEtotal</w:t>
      </w:r>
      <w:r w:rsidRPr="00E8028A">
        <w:rPr>
          <w:rFonts w:ascii="Cambria Math" w:hAnsi="Cambria Math" w:cs="Cambria Math"/>
          <w:sz w:val="28"/>
        </w:rPr>
        <w:t>∣</w:t>
      </w:r>
      <w:r w:rsidRPr="00E8028A">
        <w:rPr>
          <w:rFonts w:ascii="Sakkal Majalla" w:hAnsi="Sakkal Majalla" w:cs="Sakkal Majalla"/>
          <w:sz w:val="28"/>
        </w:rPr>
        <w:t xml:space="preserve">EDI = 1 - \left| \frac{E_{low} + E_{high} - 2E_{mid}}{E_{total}} </w:t>
      </w:r>
      <w:r w:rsidRPr="00E8028A">
        <w:rPr>
          <w:rFonts w:ascii="Sakkal Majalla" w:hAnsi="Sakkal Majalla" w:cs="Sakkal Majalla"/>
          <w:sz w:val="28"/>
        </w:rPr>
        <w:lastRenderedPageBreak/>
        <w:t xml:space="preserve">\right|EDI=1−EtotalElow+Ehigh−2Emid </w:t>
      </w:r>
      <w:r w:rsidRPr="00E8028A">
        <w:rPr>
          <w:rFonts w:ascii="Sakkal Majalla" w:hAnsi="Sakkal Majalla" w:cs="Sakkal Majalla"/>
          <w:sz w:val="28"/>
          <w:rtl/>
        </w:rPr>
        <w:t xml:space="preserve">حيث </w:t>
      </w:r>
      <w:r w:rsidRPr="00E8028A">
        <w:rPr>
          <w:rFonts w:ascii="Sakkal Majalla" w:hAnsi="Sakkal Majalla" w:cs="Sakkal Majalla"/>
          <w:sz w:val="28"/>
        </w:rPr>
        <w:t xml:space="preserve">EmidE_{mid}Emid </w:t>
      </w:r>
      <w:r w:rsidRPr="00E8028A">
        <w:rPr>
          <w:rFonts w:ascii="Sakkal Majalla" w:hAnsi="Sakkal Majalla" w:cs="Sakkal Majalla"/>
          <w:sz w:val="28"/>
          <w:rtl/>
        </w:rPr>
        <w:t>البكالوريوس، فيبلغ</w:t>
      </w:r>
      <w:r w:rsidRPr="00E8028A">
        <w:rPr>
          <w:rFonts w:ascii="Sakkal Majalla" w:hAnsi="Sakkal Majalla" w:cs="Sakkal Majalla"/>
          <w:sz w:val="28"/>
        </w:rPr>
        <w:t xml:space="preserve"> EDI=0.94 </w:t>
      </w:r>
      <w:r w:rsidRPr="00E8028A">
        <w:rPr>
          <w:rFonts w:ascii="Sakkal Majalla" w:hAnsi="Sakkal Majalla" w:cs="Sakkal Majalla"/>
          <w:sz w:val="28"/>
          <w:rtl/>
        </w:rPr>
        <w:t>(94% توازن)، متجاوزًا المعايير (≥0.85)، مع عدم وجود فروقات معنوية</w:t>
      </w:r>
      <w:r w:rsidRPr="00E8028A">
        <w:rPr>
          <w:rFonts w:ascii="Sakkal Majalla" w:hAnsi="Sakkal Majalla" w:cs="Sakkal Majalla"/>
          <w:sz w:val="28"/>
        </w:rPr>
        <w:t xml:space="preserve"> (p&gt;0.05</w:t>
      </w:r>
      <w:r w:rsidRPr="00E8028A">
        <w:rPr>
          <w:rFonts w:ascii="Sakkal Majalla" w:hAnsi="Sakkal Majalla" w:cs="Sakkal Majalla"/>
          <w:sz w:val="28"/>
          <w:rtl/>
        </w:rPr>
        <w:t xml:space="preserve">، </w:t>
      </w:r>
      <w:r w:rsidRPr="00E8028A">
        <w:rPr>
          <w:rFonts w:ascii="Sakkal Majalla" w:hAnsi="Sakkal Majalla" w:cs="Sakkal Majalla"/>
          <w:sz w:val="28"/>
        </w:rPr>
        <w:t xml:space="preserve">ANOVA) </w:t>
      </w:r>
      <w:r w:rsidRPr="00E8028A">
        <w:rPr>
          <w:rFonts w:ascii="Sakkal Majalla" w:hAnsi="Sakkal Majalla" w:cs="Sakkal Majalla"/>
          <w:sz w:val="28"/>
          <w:rtl/>
        </w:rPr>
        <w:t>بين المستويات في تقييم الأسس الرقمية. اقتصاديًا، يرفع هذا التوزيع</w:t>
      </w:r>
      <w:r w:rsidRPr="00E8028A">
        <w:rPr>
          <w:rFonts w:ascii="Sakkal Majalla" w:hAnsi="Sakkal Majalla" w:cs="Sakkal Majalla"/>
          <w:sz w:val="28"/>
        </w:rPr>
        <w:t xml:space="preserve"> ROI </w:t>
      </w:r>
      <w:r w:rsidRPr="00E8028A">
        <w:rPr>
          <w:rFonts w:ascii="Sakkal Majalla" w:hAnsi="Sakkal Majalla" w:cs="Sakkal Majalla"/>
          <w:sz w:val="28"/>
          <w:rtl/>
        </w:rPr>
        <w:t>الرقمي بنسبة 22-32% عبر ابتكار أعلى. في</w:t>
      </w:r>
      <w:r w:rsidRPr="00E8028A">
        <w:rPr>
          <w:rFonts w:ascii="Sakkal Majalla" w:hAnsi="Sakkal Majalla" w:cs="Sakkal Majalla"/>
          <w:sz w:val="28"/>
        </w:rPr>
        <w:t xml:space="preserve"> ZATCA</w:t>
      </w:r>
      <w:r w:rsidRPr="00E8028A">
        <w:rPr>
          <w:rFonts w:ascii="Sakkal Majalla" w:hAnsi="Sakkal Majalla" w:cs="Sakkal Majalla"/>
          <w:sz w:val="28"/>
          <w:rtl/>
        </w:rPr>
        <w:t>، يدعم خفض تكاليف الشحن 25% (2.1 مليار ريال) وتقليل الهجمات السيبرانية 60% بحلول 2027</w:t>
      </w:r>
      <w:r>
        <w:rPr>
          <w:rFonts w:ascii="Sakkal Majalla" w:hAnsi="Sakkal Majalla" w:cs="Sakkal Majalla" w:hint="cs"/>
          <w:sz w:val="28"/>
          <w:rtl/>
        </w:rPr>
        <w:t>.</w:t>
      </w:r>
      <w:r w:rsidRPr="00E8028A">
        <w:rPr>
          <w:rFonts w:cs="Times New Roman"/>
          <w:sz w:val="28"/>
        </w:rPr>
        <w:t>​</w:t>
      </w:r>
    </w:p>
    <w:p w14:paraId="3B368EDB" w14:textId="06F2DEA5"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McKinsey &amp; Company (2022) </w:t>
      </w:r>
      <w:r w:rsidRPr="00E8028A">
        <w:rPr>
          <w:rFonts w:ascii="Sakkal Majalla" w:hAnsi="Sakkal Majalla" w:cs="Sakkal Majalla"/>
          <w:sz w:val="28"/>
          <w:rtl/>
        </w:rPr>
        <w:t>تثبت أن الكوادر ذات البكالوريوس+ ترفع</w:t>
      </w:r>
      <w:r w:rsidRPr="00E8028A">
        <w:rPr>
          <w:rFonts w:ascii="Sakkal Majalla" w:hAnsi="Sakkal Majalla" w:cs="Sakkal Majalla"/>
          <w:sz w:val="28"/>
        </w:rPr>
        <w:t xml:space="preserve"> ROI </w:t>
      </w:r>
      <w:r w:rsidRPr="00E8028A">
        <w:rPr>
          <w:rFonts w:ascii="Sakkal Majalla" w:hAnsi="Sakkal Majalla" w:cs="Sakkal Majalla"/>
          <w:sz w:val="28"/>
          <w:rtl/>
        </w:rPr>
        <w:t>التحول الرقمي بنسبة 25% في 1300 مؤسسة عالمية عبر فهم متقدم للـ</w:t>
      </w:r>
      <w:r w:rsidRPr="00E8028A">
        <w:rPr>
          <w:rFonts w:ascii="Sakkal Majalla" w:hAnsi="Sakkal Majalla" w:cs="Sakkal Majalla"/>
          <w:sz w:val="28"/>
        </w:rPr>
        <w:t xml:space="preserve">AI </w:t>
      </w:r>
      <w:r w:rsidRPr="00E8028A">
        <w:rPr>
          <w:rFonts w:ascii="Sakkal Majalla" w:hAnsi="Sakkal Majalla" w:cs="Sakkal Majalla"/>
          <w:sz w:val="28"/>
          <w:rtl/>
        </w:rPr>
        <w:t>والبيانات، مرتبطة بـ78% بكالوريوسنا لتوفير مليارات في اللوجستيات بـ</w:t>
      </w:r>
      <w:r w:rsidRPr="00E8028A">
        <w:rPr>
          <w:rFonts w:ascii="Sakkal Majalla" w:hAnsi="Sakkal Majalla" w:cs="Sakkal Majalla"/>
          <w:sz w:val="28"/>
        </w:rPr>
        <w:t>ZATCA</w:t>
      </w:r>
      <w:r w:rsidRPr="00E8028A">
        <w:rPr>
          <w:rFonts w:ascii="Sakkal Majalla" w:hAnsi="Sakkal Majalla" w:cs="Sakkal Majalla"/>
          <w:sz w:val="28"/>
          <w:rtl/>
        </w:rPr>
        <w:t>، متجاوزًا المتوسط العالمي لتعزيز رؤية 2030، مع توصيات بتدريب متخصص مدعومة بـ</w:t>
      </w:r>
      <w:r w:rsidRPr="00E8028A">
        <w:rPr>
          <w:rFonts w:ascii="Sakkal Majalla" w:hAnsi="Sakkal Majalla" w:cs="Sakkal Majalla"/>
          <w:sz w:val="28"/>
        </w:rPr>
        <w:t xml:space="preserve">regression (p&lt;0.01) </w:t>
      </w:r>
      <w:r w:rsidRPr="00E8028A">
        <w:rPr>
          <w:rFonts w:ascii="Sakkal Majalla" w:hAnsi="Sakkal Majalla" w:cs="Sakkal Majalla"/>
          <w:sz w:val="28"/>
          <w:rtl/>
        </w:rPr>
        <w:t>تؤكد الارتباط بالأداء الحكوم</w:t>
      </w:r>
      <w:r>
        <w:rPr>
          <w:rFonts w:ascii="Sakkal Majalla" w:hAnsi="Sakkal Majalla" w:cs="Sakkal Majalla" w:hint="cs"/>
          <w:sz w:val="28"/>
          <w:rtl/>
        </w:rPr>
        <w:t>ي.</w:t>
      </w:r>
      <w:r w:rsidRPr="00E8028A">
        <w:rPr>
          <w:rFonts w:cs="Times New Roman"/>
          <w:sz w:val="28"/>
        </w:rPr>
        <w:t>​</w:t>
      </w:r>
    </w:p>
    <w:p w14:paraId="371335B6" w14:textId="686039BA"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Hunt et al. (2018) </w:t>
      </w:r>
      <w:r w:rsidRPr="00E8028A">
        <w:rPr>
          <w:rFonts w:ascii="Sakkal Majalla" w:hAnsi="Sakkal Majalla" w:cs="Sakkal Majalla"/>
          <w:sz w:val="28"/>
          <w:rtl/>
        </w:rPr>
        <w:t>من</w:t>
      </w:r>
      <w:r w:rsidRPr="00E8028A">
        <w:rPr>
          <w:rFonts w:ascii="Sakkal Majalla" w:hAnsi="Sakkal Majalla" w:cs="Sakkal Majalla"/>
          <w:sz w:val="28"/>
        </w:rPr>
        <w:t xml:space="preserve"> LeanIn.org/McKinsey </w:t>
      </w:r>
      <w:r w:rsidRPr="00E8028A">
        <w:rPr>
          <w:rFonts w:ascii="Sakkal Majalla" w:hAnsi="Sakkal Majalla" w:cs="Sakkal Majalla"/>
          <w:sz w:val="28"/>
          <w:rtl/>
        </w:rPr>
        <w:t>يظهر أن تعليم عالي في</w:t>
      </w:r>
      <w:r w:rsidRPr="00E8028A">
        <w:rPr>
          <w:rFonts w:ascii="Sakkal Majalla" w:hAnsi="Sakkal Majalla" w:cs="Sakkal Majalla"/>
          <w:sz w:val="28"/>
        </w:rPr>
        <w:t xml:space="preserve"> Fortune 500 </w:t>
      </w:r>
      <w:r w:rsidRPr="00E8028A">
        <w:rPr>
          <w:rFonts w:ascii="Sakkal Majalla" w:hAnsi="Sakkal Majalla" w:cs="Sakkal Majalla"/>
          <w:sz w:val="28"/>
          <w:rtl/>
        </w:rPr>
        <w:t>يزيد الابتكار بنسبة 24% والربحية 22% عبر 2200 موظف، مما يدعم تبني</w:t>
      </w:r>
      <w:r w:rsidRPr="00E8028A">
        <w:rPr>
          <w:rFonts w:ascii="Sakkal Majalla" w:hAnsi="Sakkal Majalla" w:cs="Sakkal Majalla"/>
          <w:sz w:val="28"/>
        </w:rPr>
        <w:t xml:space="preserve"> AI </w:t>
      </w:r>
      <w:r w:rsidRPr="00E8028A">
        <w:rPr>
          <w:rFonts w:ascii="Sakkal Majalla" w:hAnsi="Sakkal Majalla" w:cs="Sakkal Majalla"/>
          <w:sz w:val="28"/>
          <w:rtl/>
        </w:rPr>
        <w:t>في كشف التهريب بـ</w:t>
      </w:r>
      <w:r w:rsidRPr="00E8028A">
        <w:rPr>
          <w:rFonts w:ascii="Sakkal Majalla" w:hAnsi="Sakkal Majalla" w:cs="Sakkal Majalla"/>
          <w:sz w:val="28"/>
        </w:rPr>
        <w:t xml:space="preserve">ZATCA </w:t>
      </w:r>
      <w:r w:rsidRPr="00E8028A">
        <w:rPr>
          <w:rFonts w:ascii="Sakkal Majalla" w:hAnsi="Sakkal Majalla" w:cs="Sakkal Majalla"/>
          <w:sz w:val="28"/>
          <w:rtl/>
        </w:rPr>
        <w:t>حيث يتفوق 90% تعليمنا العالي على المتوسط (75%)، مع دور الشهادات في حل المشكلات التقنية، وتوصيات ببرامج ترقية متوافقة مع السعودية، مدعومة بـ</w:t>
      </w:r>
      <w:r w:rsidRPr="00E8028A">
        <w:rPr>
          <w:rFonts w:ascii="Sakkal Majalla" w:hAnsi="Sakkal Majalla" w:cs="Sakkal Majalla"/>
          <w:sz w:val="28"/>
        </w:rPr>
        <w:t>t-test (p&lt;0.05).</w:t>
      </w:r>
      <w:r w:rsidRPr="00E8028A">
        <w:rPr>
          <w:rFonts w:cs="Times New Roman"/>
          <w:sz w:val="28"/>
        </w:rPr>
        <w:t>​</w:t>
      </w:r>
    </w:p>
    <w:p w14:paraId="77004BE6" w14:textId="4E937155"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Deloitte (2020) </w:t>
      </w:r>
      <w:r w:rsidRPr="00E8028A">
        <w:rPr>
          <w:rFonts w:ascii="Sakkal Majalla" w:hAnsi="Sakkal Majalla" w:cs="Sakkal Majalla"/>
          <w:sz w:val="28"/>
          <w:rtl/>
        </w:rPr>
        <w:t>في الحكومي تؤكد أن بكالوريوس+ يقلل تكاليف السيبراني بنسبة 17% من استطلاع 1700 مسؤول، محسنًا استجابة و</w:t>
      </w:r>
      <w:r w:rsidRPr="00E8028A">
        <w:rPr>
          <w:rFonts w:ascii="Sakkal Majalla" w:hAnsi="Sakkal Majalla" w:cs="Sakkal Majalla"/>
          <w:sz w:val="28"/>
        </w:rPr>
        <w:t>ISO 27001</w:t>
      </w:r>
      <w:r w:rsidRPr="00E8028A">
        <w:rPr>
          <w:rFonts w:ascii="Sakkal Majalla" w:hAnsi="Sakkal Majalla" w:cs="Sakkal Majalla"/>
          <w:sz w:val="28"/>
          <w:rtl/>
        </w:rPr>
        <w:t>، مرتبطًا بـ29% تقنيتنا لتقليل هجمات 60% 2027، معززًا</w:t>
      </w:r>
      <w:r w:rsidRPr="00E8028A">
        <w:rPr>
          <w:rFonts w:ascii="Sakkal Majalla" w:hAnsi="Sakkal Majalla" w:cs="Sakkal Majalla"/>
          <w:sz w:val="28"/>
        </w:rPr>
        <w:t xml:space="preserve"> FDI</w:t>
      </w:r>
      <w:r w:rsidRPr="00E8028A">
        <w:rPr>
          <w:rFonts w:ascii="Sakkal Majalla" w:hAnsi="Sakkal Majalla" w:cs="Sakkal Majalla"/>
          <w:sz w:val="28"/>
          <w:rtl/>
        </w:rPr>
        <w:t>، وتوصيات بتكامل المتخصصين في الأمن، مدعومة بـ</w:t>
      </w:r>
      <w:r w:rsidRPr="00E8028A">
        <w:rPr>
          <w:rFonts w:ascii="Sakkal Majalla" w:hAnsi="Sakkal Majalla" w:cs="Sakkal Majalla"/>
          <w:sz w:val="28"/>
        </w:rPr>
        <w:t xml:space="preserve">ANOVA </w:t>
      </w:r>
      <w:r w:rsidRPr="00E8028A">
        <w:rPr>
          <w:rFonts w:ascii="Sakkal Majalla" w:hAnsi="Sakkal Majalla" w:cs="Sakkal Majalla"/>
          <w:sz w:val="28"/>
          <w:rtl/>
        </w:rPr>
        <w:t>و</w:t>
      </w:r>
      <w:r w:rsidRPr="00E8028A">
        <w:rPr>
          <w:rFonts w:ascii="Sakkal Majalla" w:hAnsi="Sakkal Majalla" w:cs="Sakkal Majalla"/>
          <w:sz w:val="28"/>
        </w:rPr>
        <w:t xml:space="preserve">EDI=0.94 </w:t>
      </w:r>
      <w:r w:rsidRPr="00E8028A">
        <w:rPr>
          <w:rFonts w:ascii="Sakkal Majalla" w:hAnsi="Sakkal Majalla" w:cs="Sakkal Majalla"/>
          <w:sz w:val="28"/>
          <w:rtl/>
        </w:rPr>
        <w:t>لـ</w:t>
      </w:r>
      <w:r w:rsidRPr="00E8028A">
        <w:rPr>
          <w:rFonts w:ascii="Sakkal Majalla" w:hAnsi="Sakkal Majalla" w:cs="Sakkal Majalla"/>
          <w:sz w:val="28"/>
        </w:rPr>
        <w:t>ZATCA.</w:t>
      </w:r>
    </w:p>
    <w:p w14:paraId="616CAD04" w14:textId="096F9EC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بحث</w:t>
      </w:r>
      <w:r w:rsidRPr="00E8028A">
        <w:rPr>
          <w:rFonts w:ascii="Sakkal Majalla" w:hAnsi="Sakkal Majalla" w:cs="Sakkal Majalla"/>
          <w:sz w:val="28"/>
        </w:rPr>
        <w:t xml:space="preserve"> Rukanova et al. (2025) </w:t>
      </w:r>
      <w:r w:rsidRPr="00E8028A">
        <w:rPr>
          <w:rFonts w:ascii="Sakkal Majalla" w:hAnsi="Sakkal Majalla" w:cs="Sakkal Majalla"/>
          <w:sz w:val="28"/>
          <w:rtl/>
        </w:rPr>
        <w:t>في</w:t>
      </w:r>
      <w:r w:rsidRPr="00E8028A">
        <w:rPr>
          <w:rFonts w:ascii="Sakkal Majalla" w:hAnsi="Sakkal Majalla" w:cs="Sakkal Majalla"/>
          <w:sz w:val="28"/>
        </w:rPr>
        <w:t xml:space="preserve"> EU Single Window </w:t>
      </w:r>
      <w:r w:rsidRPr="00E8028A">
        <w:rPr>
          <w:rFonts w:ascii="Sakkal Majalla" w:hAnsi="Sakkal Majalla" w:cs="Sakkal Majalla"/>
          <w:sz w:val="28"/>
          <w:rtl/>
        </w:rPr>
        <w:t>يبرز كوادر بكالوريوس+ تساهم 20% أكثر في استدامة المخاطر عبر 700 مستخدم، محسنًا</w:t>
      </w:r>
      <w:r w:rsidRPr="00E8028A">
        <w:rPr>
          <w:rFonts w:ascii="Sakkal Majalla" w:hAnsi="Sakkal Majalla" w:cs="Sakkal Majalla"/>
          <w:sz w:val="28"/>
        </w:rPr>
        <w:t xml:space="preserve"> KPIs </w:t>
      </w:r>
      <w:r w:rsidRPr="00E8028A">
        <w:rPr>
          <w:rFonts w:ascii="Sakkal Majalla" w:hAnsi="Sakkal Majalla" w:cs="Sakkal Majalla"/>
          <w:sz w:val="28"/>
          <w:rtl/>
        </w:rPr>
        <w:t>بيئية، مع تفوق 90% تعليمنا على الأوروبي (82%) لـ</w:t>
      </w:r>
      <w:r w:rsidRPr="00E8028A">
        <w:rPr>
          <w:rFonts w:ascii="Sakkal Majalla" w:hAnsi="Sakkal Majalla" w:cs="Sakkal Majalla"/>
          <w:sz w:val="28"/>
        </w:rPr>
        <w:t xml:space="preserve">CBAM </w:t>
      </w:r>
      <w:r w:rsidRPr="00E8028A">
        <w:rPr>
          <w:rFonts w:ascii="Sakkal Majalla" w:hAnsi="Sakkal Majalla" w:cs="Sakkal Majalla"/>
          <w:sz w:val="28"/>
          <w:rtl/>
        </w:rPr>
        <w:t>في</w:t>
      </w:r>
      <w:r w:rsidRPr="00E8028A">
        <w:rPr>
          <w:rFonts w:ascii="Sakkal Majalla" w:hAnsi="Sakkal Majalla" w:cs="Sakkal Majalla"/>
          <w:sz w:val="28"/>
        </w:rPr>
        <w:t xml:space="preserve"> ZATCA</w:t>
      </w:r>
      <w:r w:rsidRPr="00E8028A">
        <w:rPr>
          <w:rFonts w:ascii="Sakkal Majalla" w:hAnsi="Sakkal Majalla" w:cs="Sakkal Majalla"/>
          <w:sz w:val="28"/>
          <w:rtl/>
        </w:rPr>
        <w:t>، تركزًا على الجمارك الذكية، وتوصيات تدريب مع</w:t>
      </w:r>
      <w:r w:rsidRPr="00E8028A">
        <w:rPr>
          <w:rFonts w:ascii="Sakkal Majalla" w:hAnsi="Sakkal Majalla" w:cs="Sakkal Majalla"/>
          <w:sz w:val="28"/>
        </w:rPr>
        <w:t xml:space="preserve"> WCO</w:t>
      </w:r>
      <w:r w:rsidRPr="00E8028A">
        <w:rPr>
          <w:rFonts w:ascii="Sakkal Majalla" w:hAnsi="Sakkal Majalla" w:cs="Sakkal Majalla"/>
          <w:sz w:val="28"/>
          <w:rtl/>
        </w:rPr>
        <w:t>، مدعومة بـ</w:t>
      </w:r>
      <w:r w:rsidRPr="00E8028A">
        <w:rPr>
          <w:rFonts w:ascii="Sakkal Majalla" w:hAnsi="Sakkal Majalla" w:cs="Sakkal Majalla"/>
          <w:sz w:val="28"/>
        </w:rPr>
        <w:t>mixed methods (p&lt;0.05).[</w:t>
      </w:r>
    </w:p>
    <w:p w14:paraId="2136530A" w14:textId="7F3AABE0"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European Commission (2024) </w:t>
      </w:r>
      <w:r w:rsidRPr="00E8028A">
        <w:rPr>
          <w:rFonts w:ascii="Sakkal Majalla" w:hAnsi="Sakkal Majalla" w:cs="Sakkal Majalla"/>
          <w:sz w:val="28"/>
          <w:rtl/>
        </w:rPr>
        <w:t>عن</w:t>
      </w:r>
      <w:r w:rsidRPr="00E8028A">
        <w:rPr>
          <w:rFonts w:ascii="Sakkal Majalla" w:hAnsi="Sakkal Majalla" w:cs="Sakkal Majalla"/>
          <w:sz w:val="28"/>
        </w:rPr>
        <w:t xml:space="preserve"> ICS2 </w:t>
      </w:r>
      <w:r w:rsidRPr="00E8028A">
        <w:rPr>
          <w:rFonts w:ascii="Sakkal Majalla" w:hAnsi="Sakkal Majalla" w:cs="Sakkal Majalla"/>
          <w:sz w:val="28"/>
          <w:rtl/>
        </w:rPr>
        <w:t>يثبت تعليم عالي يحسن تحليل المخاطر بنسبة 16% من 15,000 شحنة في 27 دولة، مما يقلل أخطاء رقابة ويسرع</w:t>
      </w:r>
      <w:r w:rsidRPr="00E8028A">
        <w:rPr>
          <w:rFonts w:ascii="Sakkal Majalla" w:hAnsi="Sakkal Majalla" w:cs="Sakkal Majalla"/>
          <w:sz w:val="28"/>
        </w:rPr>
        <w:t xml:space="preserve"> AEO 22%</w:t>
      </w:r>
      <w:r w:rsidRPr="00E8028A">
        <w:rPr>
          <w:rFonts w:ascii="Sakkal Majalla" w:hAnsi="Sakkal Majalla" w:cs="Sakkal Majalla"/>
          <w:sz w:val="28"/>
          <w:rtl/>
        </w:rPr>
        <w:t>، مرتبطًا بتوزيعنا لصادرات غير نفطية 9%، مع دور الشهادات في الكشف، وتوصيات توازن تعليمي يتجاوزه</w:t>
      </w:r>
      <w:r w:rsidRPr="00E8028A">
        <w:rPr>
          <w:rFonts w:ascii="Sakkal Majalla" w:hAnsi="Sakkal Majalla" w:cs="Sakkal Majalla"/>
          <w:sz w:val="28"/>
        </w:rPr>
        <w:t xml:space="preserve"> EDI=0.94</w:t>
      </w:r>
      <w:r w:rsidRPr="00E8028A">
        <w:rPr>
          <w:rFonts w:ascii="Sakkal Majalla" w:hAnsi="Sakkal Majalla" w:cs="Sakkal Majalla"/>
          <w:sz w:val="28"/>
          <w:rtl/>
        </w:rPr>
        <w:t>، مدعوم بـ</w:t>
      </w:r>
      <w:r w:rsidRPr="00E8028A">
        <w:rPr>
          <w:rFonts w:ascii="Sakkal Majalla" w:hAnsi="Sakkal Majalla" w:cs="Sakkal Majalla"/>
          <w:sz w:val="28"/>
        </w:rPr>
        <w:t>statistics (r=0.50).</w:t>
      </w:r>
    </w:p>
    <w:p w14:paraId="3C1C5F47" w14:textId="2D28436E"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World Bank (2020) </w:t>
      </w:r>
      <w:r w:rsidRPr="00E8028A">
        <w:rPr>
          <w:rFonts w:ascii="Sakkal Majalla" w:hAnsi="Sakkal Majalla" w:cs="Sakkal Majalla"/>
          <w:sz w:val="28"/>
          <w:rtl/>
        </w:rPr>
        <w:t>يربط بكالوريوس+ في ناشئة بزيادة صادرات غير نفطية 13% عبر 130 دولة، معززًا</w:t>
      </w:r>
      <w:r w:rsidRPr="00E8028A">
        <w:rPr>
          <w:rFonts w:ascii="Sakkal Majalla" w:hAnsi="Sakkal Majalla" w:cs="Sakkal Majalla"/>
          <w:sz w:val="28"/>
        </w:rPr>
        <w:t xml:space="preserve"> LPI </w:t>
      </w:r>
      <w:r w:rsidRPr="00E8028A">
        <w:rPr>
          <w:rFonts w:ascii="Sakkal Majalla" w:hAnsi="Sakkal Majalla" w:cs="Sakkal Majalla"/>
          <w:sz w:val="28"/>
          <w:rtl/>
        </w:rPr>
        <w:t>و</w:t>
      </w:r>
      <w:r w:rsidRPr="00E8028A">
        <w:rPr>
          <w:rFonts w:ascii="Sakkal Majalla" w:hAnsi="Sakkal Majalla" w:cs="Sakkal Majalla"/>
          <w:sz w:val="28"/>
        </w:rPr>
        <w:t>Single Window</w:t>
      </w:r>
      <w:r w:rsidRPr="00E8028A">
        <w:rPr>
          <w:rFonts w:ascii="Sakkal Majalla" w:hAnsi="Sakkal Majalla" w:cs="Sakkal Majalla"/>
          <w:sz w:val="28"/>
          <w:rtl/>
        </w:rPr>
        <w:t>، متوافقًا مع 43% جماركنا لخفض تكاليف 25%، مشيرًا لكفاءة، مع توصيات تمكين المتعلمين لتقليل تهريب، مدعومة بـ</w:t>
      </w:r>
      <w:r w:rsidRPr="00E8028A">
        <w:rPr>
          <w:rFonts w:ascii="Sakkal Majalla" w:hAnsi="Sakkal Majalla" w:cs="Sakkal Majalla"/>
          <w:sz w:val="28"/>
        </w:rPr>
        <w:t>panel regression</w:t>
      </w:r>
      <w:r w:rsidRPr="00E8028A">
        <w:rPr>
          <w:rFonts w:cs="Times New Roman"/>
          <w:sz w:val="28"/>
        </w:rPr>
        <w:t>​</w:t>
      </w:r>
    </w:p>
    <w:p w14:paraId="27800CEC" w14:textId="78DE792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OECD (2020) </w:t>
      </w:r>
      <w:r w:rsidRPr="00E8028A">
        <w:rPr>
          <w:rFonts w:ascii="Sakkal Majalla" w:hAnsi="Sakkal Majalla" w:cs="Sakkal Majalla"/>
          <w:sz w:val="28"/>
          <w:rtl/>
        </w:rPr>
        <w:t>في</w:t>
      </w:r>
      <w:r w:rsidRPr="00E8028A">
        <w:rPr>
          <w:rFonts w:ascii="Sakkal Majalla" w:hAnsi="Sakkal Majalla" w:cs="Sakkal Majalla"/>
          <w:sz w:val="28"/>
        </w:rPr>
        <w:t xml:space="preserve"> Digital Government Index </w:t>
      </w:r>
      <w:r w:rsidRPr="00E8028A">
        <w:rPr>
          <w:rFonts w:ascii="Sakkal Majalla" w:hAnsi="Sakkal Majalla" w:cs="Sakkal Majalla"/>
          <w:sz w:val="28"/>
          <w:rtl/>
        </w:rPr>
        <w:t>تربط تعليم عالي بارتفاع</w:t>
      </w:r>
      <w:r w:rsidRPr="00E8028A">
        <w:rPr>
          <w:rFonts w:ascii="Sakkal Majalla" w:hAnsi="Sakkal Majalla" w:cs="Sakkal Majalla"/>
          <w:sz w:val="28"/>
        </w:rPr>
        <w:t xml:space="preserve"> EGDI 0.20 </w:t>
      </w:r>
      <w:r w:rsidRPr="00E8028A">
        <w:rPr>
          <w:rFonts w:ascii="Sakkal Majalla" w:hAnsi="Sakkal Majalla" w:cs="Sakkal Majalla"/>
          <w:sz w:val="28"/>
          <w:rtl/>
        </w:rPr>
        <w:t>نقطة من 210 دولة، محسنًا خدمات و</w:t>
      </w:r>
      <w:r w:rsidRPr="00E8028A">
        <w:rPr>
          <w:rFonts w:ascii="Sakkal Majalla" w:hAnsi="Sakkal Majalla" w:cs="Sakkal Majalla"/>
          <w:sz w:val="28"/>
        </w:rPr>
        <w:t>TII</w:t>
      </w:r>
      <w:r w:rsidRPr="00E8028A">
        <w:rPr>
          <w:rFonts w:ascii="Sakkal Majalla" w:hAnsi="Sakkal Majalla" w:cs="Sakkal Majalla"/>
          <w:sz w:val="28"/>
          <w:rtl/>
        </w:rPr>
        <w:t>، مدعومًا بـ78% بكالوريوسنا لـ</w:t>
      </w:r>
      <w:r w:rsidRPr="00E8028A">
        <w:rPr>
          <w:rFonts w:ascii="Sakkal Majalla" w:hAnsi="Sakkal Majalla" w:cs="Sakkal Majalla"/>
          <w:sz w:val="28"/>
        </w:rPr>
        <w:t xml:space="preserve">EGDI </w:t>
      </w:r>
      <w:r w:rsidRPr="00E8028A">
        <w:rPr>
          <w:rFonts w:ascii="Sakkal Majalla" w:hAnsi="Sakkal Majalla" w:cs="Sakkal Majalla"/>
          <w:sz w:val="28"/>
          <w:rtl/>
        </w:rPr>
        <w:t>سعودي وامتثال ضريبي، مع توصيات ثقافة تعليمية مع خبرة متوسطة، مدعومة بـ</w:t>
      </w:r>
      <w:r w:rsidRPr="00E8028A">
        <w:rPr>
          <w:rFonts w:ascii="Sakkal Majalla" w:hAnsi="Sakkal Majalla" w:cs="Sakkal Majalla"/>
          <w:sz w:val="28"/>
        </w:rPr>
        <w:t>OLS (p&lt;0.01).</w:t>
      </w:r>
    </w:p>
    <w:p w14:paraId="767C8350" w14:textId="09DAC4FB"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UNCTAD (2023) </w:t>
      </w:r>
      <w:r w:rsidRPr="00E8028A">
        <w:rPr>
          <w:rFonts w:ascii="Sakkal Majalla" w:hAnsi="Sakkal Majalla" w:cs="Sakkal Majalla"/>
          <w:sz w:val="28"/>
          <w:rtl/>
        </w:rPr>
        <w:t>يؤكد تعليم متخصص في جمارك يقلل تهرب ضريبي 14% من 170 دولة، محسنًا</w:t>
      </w:r>
      <w:r w:rsidRPr="00E8028A">
        <w:rPr>
          <w:rFonts w:ascii="Sakkal Majalla" w:hAnsi="Sakkal Majalla" w:cs="Sakkal Majalla"/>
          <w:sz w:val="28"/>
        </w:rPr>
        <w:t xml:space="preserve"> AEO </w:t>
      </w:r>
      <w:r w:rsidRPr="00E8028A">
        <w:rPr>
          <w:rFonts w:ascii="Sakkal Majalla" w:hAnsi="Sakkal Majalla" w:cs="Sakkal Majalla"/>
          <w:sz w:val="28"/>
          <w:rtl/>
        </w:rPr>
        <w:t>وكشف كـ</w:t>
      </w:r>
      <w:r w:rsidRPr="00E8028A">
        <w:rPr>
          <w:rFonts w:ascii="Sakkal Majalla" w:hAnsi="Sakkal Majalla" w:cs="Sakkal Majalla"/>
          <w:sz w:val="28"/>
        </w:rPr>
        <w:t>UNI-PASS</w:t>
      </w:r>
      <w:r w:rsidRPr="00E8028A">
        <w:rPr>
          <w:rFonts w:ascii="Sakkal Majalla" w:hAnsi="Sakkal Majalla" w:cs="Sakkal Majalla"/>
          <w:sz w:val="28"/>
          <w:rtl/>
        </w:rPr>
        <w:t>، مرتبطًا بـ20% ضرائب/زكاة لإيرادات، تركزًا على ناشئة، مع توصيات</w:t>
      </w:r>
      <w:r w:rsidRPr="00E8028A">
        <w:rPr>
          <w:rFonts w:ascii="Sakkal Majalla" w:hAnsi="Sakkal Majalla" w:cs="Sakkal Majalla"/>
          <w:sz w:val="28"/>
        </w:rPr>
        <w:t xml:space="preserve"> AI </w:t>
      </w:r>
      <w:r w:rsidRPr="00E8028A">
        <w:rPr>
          <w:rFonts w:ascii="Sakkal Majalla" w:hAnsi="Sakkal Majalla" w:cs="Sakkal Majalla"/>
          <w:sz w:val="28"/>
          <w:rtl/>
        </w:rPr>
        <w:t>للمتعلمين، مدعومة بـ</w:t>
      </w:r>
      <w:r w:rsidRPr="00E8028A">
        <w:rPr>
          <w:rFonts w:ascii="Sakkal Majalla" w:hAnsi="Sakkal Majalla" w:cs="Sakkal Majalla"/>
          <w:sz w:val="28"/>
        </w:rPr>
        <w:t xml:space="preserve">data </w:t>
      </w:r>
      <w:r w:rsidRPr="00E8028A">
        <w:rPr>
          <w:rFonts w:ascii="Sakkal Majalla" w:hAnsi="Sakkal Majalla" w:cs="Sakkal Majalla"/>
          <w:sz w:val="28"/>
          <w:rtl/>
        </w:rPr>
        <w:t>قوية</w:t>
      </w:r>
      <w:r w:rsidRPr="00E8028A">
        <w:rPr>
          <w:rFonts w:ascii="Sakkal Majalla" w:hAnsi="Sakkal Majalla" w:cs="Sakkal Majalla"/>
          <w:sz w:val="28"/>
        </w:rPr>
        <w:t>.</w:t>
      </w:r>
    </w:p>
    <w:p w14:paraId="14E54936" w14:textId="4E01101B" w:rsidR="000E7FC8" w:rsidRPr="00E8028A" w:rsidRDefault="00E8028A" w:rsidP="00F75D7A">
      <w:pPr>
        <w:pStyle w:val="BlockText"/>
        <w:jc w:val="lowKashida"/>
      </w:pPr>
      <w:r w:rsidRPr="00E8028A">
        <w:rPr>
          <w:rFonts w:ascii="Sakkal Majalla" w:hAnsi="Sakkal Majalla" w:cs="Sakkal Majalla"/>
          <w:sz w:val="28"/>
          <w:rtl/>
        </w:rPr>
        <w:t>دراسة</w:t>
      </w:r>
      <w:r w:rsidRPr="00E8028A">
        <w:rPr>
          <w:rFonts w:ascii="Sakkal Majalla" w:hAnsi="Sakkal Majalla" w:cs="Sakkal Majalla"/>
          <w:sz w:val="28"/>
        </w:rPr>
        <w:t xml:space="preserve"> Gartner (2024) </w:t>
      </w:r>
      <w:r w:rsidRPr="00E8028A">
        <w:rPr>
          <w:rFonts w:ascii="Sakkal Majalla" w:hAnsi="Sakkal Majalla" w:cs="Sakkal Majalla"/>
          <w:sz w:val="28"/>
          <w:rtl/>
        </w:rPr>
        <w:t>تشير بكالوريوس+ يتبنى</w:t>
      </w:r>
      <w:r w:rsidRPr="00E8028A">
        <w:rPr>
          <w:rFonts w:ascii="Sakkal Majalla" w:hAnsi="Sakkal Majalla" w:cs="Sakkal Majalla"/>
          <w:sz w:val="28"/>
        </w:rPr>
        <w:t xml:space="preserve"> AI </w:t>
      </w:r>
      <w:r w:rsidRPr="00E8028A">
        <w:rPr>
          <w:rFonts w:ascii="Sakkal Majalla" w:hAnsi="Sakkal Majalla" w:cs="Sakkal Majalla"/>
          <w:sz w:val="28"/>
          <w:rtl/>
        </w:rPr>
        <w:t>أسرع 32% من 70</w:t>
      </w:r>
      <w:r w:rsidRPr="00E8028A">
        <w:rPr>
          <w:rFonts w:ascii="Sakkal Majalla" w:hAnsi="Sakkal Majalla" w:cs="Sakkal Majalla"/>
          <w:sz w:val="28"/>
        </w:rPr>
        <w:t xml:space="preserve">00 </w:t>
      </w:r>
      <w:r w:rsidRPr="00E8028A">
        <w:rPr>
          <w:rFonts w:ascii="Sakkal Majalla" w:hAnsi="Sakkal Majalla" w:cs="Sakkal Majalla"/>
          <w:sz w:val="28"/>
          <w:rtl/>
        </w:rPr>
        <w:t>قائد، مقسمة</w:t>
      </w:r>
      <w:r w:rsidRPr="00E8028A">
        <w:rPr>
          <w:rFonts w:ascii="Sakkal Majalla" w:hAnsi="Sakkal Majalla" w:cs="Sakkal Majalla"/>
          <w:sz w:val="28"/>
        </w:rPr>
        <w:t xml:space="preserve"> Initiate/Scale</w:t>
      </w:r>
      <w:r w:rsidRPr="00E8028A">
        <w:rPr>
          <w:rFonts w:ascii="Sakkal Majalla" w:hAnsi="Sakkal Majalla" w:cs="Sakkal Majalla"/>
          <w:sz w:val="28"/>
          <w:rtl/>
        </w:rPr>
        <w:t>، مرتبطة بـ36.8% قياديينا لتحول جمركي، مما يقلل تنفيذ ويعزز رقابة، مع توصيات قيادة تعليمية مع رؤية 2030، مدعومة بـ</w:t>
      </w:r>
      <w:r w:rsidRPr="00E8028A">
        <w:rPr>
          <w:rFonts w:ascii="Sakkal Majalla" w:hAnsi="Sakkal Majalla" w:cs="Sakkal Majalla"/>
          <w:sz w:val="28"/>
        </w:rPr>
        <w:t>benchmarking.</w:t>
      </w:r>
      <w:r w:rsidR="000E7FC8">
        <w:rPr>
          <w:rFonts w:ascii="Sakkal Majalla" w:hAnsi="Sakkal Majalla" w:cs="Sakkal Majalla" w:hint="cs"/>
          <w:sz w:val="28"/>
          <w:rtl/>
        </w:rPr>
        <w:t>.</w:t>
      </w:r>
    </w:p>
    <w:p w14:paraId="56953017" w14:textId="1B712B3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lastRenderedPageBreak/>
        <w:t>بحث</w:t>
      </w:r>
      <w:r w:rsidRPr="00E8028A">
        <w:rPr>
          <w:rFonts w:ascii="Sakkal Majalla" w:hAnsi="Sakkal Majalla" w:cs="Sakkal Majalla"/>
          <w:sz w:val="28"/>
        </w:rPr>
        <w:t xml:space="preserve"> Lee et al. (2024) </w:t>
      </w:r>
      <w:r w:rsidRPr="00E8028A">
        <w:rPr>
          <w:rFonts w:ascii="Sakkal Majalla" w:hAnsi="Sakkal Majalla" w:cs="Sakkal Majalla"/>
          <w:sz w:val="28"/>
          <w:rtl/>
        </w:rPr>
        <w:t>في</w:t>
      </w:r>
      <w:r w:rsidRPr="00E8028A">
        <w:rPr>
          <w:rFonts w:ascii="Sakkal Majalla" w:hAnsi="Sakkal Majalla" w:cs="Sakkal Majalla"/>
          <w:sz w:val="28"/>
        </w:rPr>
        <w:t xml:space="preserve"> UNI-PASS </w:t>
      </w:r>
      <w:r w:rsidRPr="00E8028A">
        <w:rPr>
          <w:rFonts w:ascii="Sakkal Majalla" w:hAnsi="Sakkal Majalla" w:cs="Sakkal Majalla"/>
          <w:sz w:val="28"/>
          <w:rtl/>
        </w:rPr>
        <w:t>يظهر تعليم عالي يحسن كشف تهريب 20% من 3 مليون معاملة، مشابه</w:t>
      </w:r>
      <w:r w:rsidRPr="00E8028A">
        <w:rPr>
          <w:rFonts w:ascii="Sakkal Majalla" w:hAnsi="Sakkal Majalla" w:cs="Sakkal Majalla"/>
          <w:sz w:val="28"/>
        </w:rPr>
        <w:t xml:space="preserve"> ZATCA </w:t>
      </w:r>
      <w:r w:rsidRPr="00E8028A">
        <w:rPr>
          <w:rFonts w:ascii="Sakkal Majalla" w:hAnsi="Sakkal Majalla" w:cs="Sakkal Majalla"/>
          <w:sz w:val="28"/>
          <w:rtl/>
        </w:rPr>
        <w:t>مع 85% بكالوريوس+، يعزز</w:t>
      </w:r>
      <w:r w:rsidRPr="00E8028A">
        <w:rPr>
          <w:rFonts w:ascii="Sakkal Majalla" w:hAnsi="Sakkal Majalla" w:cs="Sakkal Majalla"/>
          <w:sz w:val="28"/>
        </w:rPr>
        <w:t xml:space="preserve"> Risk Analytics </w:t>
      </w:r>
      <w:r w:rsidRPr="00E8028A">
        <w:rPr>
          <w:rFonts w:ascii="Sakkal Majalla" w:hAnsi="Sakkal Majalla" w:cs="Sakkal Majalla"/>
          <w:sz w:val="28"/>
          <w:rtl/>
        </w:rPr>
        <w:t>وإفراج، مع توصيات</w:t>
      </w:r>
      <w:r w:rsidRPr="00E8028A">
        <w:rPr>
          <w:rFonts w:ascii="Sakkal Majalla" w:hAnsi="Sakkal Majalla" w:cs="Sakkal Majalla"/>
          <w:sz w:val="28"/>
        </w:rPr>
        <w:t xml:space="preserve"> blockchain </w:t>
      </w:r>
      <w:r w:rsidRPr="00E8028A">
        <w:rPr>
          <w:rFonts w:ascii="Sakkal Majalla" w:hAnsi="Sakkal Majalla" w:cs="Sakkal Majalla"/>
          <w:sz w:val="28"/>
          <w:rtl/>
        </w:rPr>
        <w:t>للمتخصصين، مدعومة بـ</w:t>
      </w:r>
      <w:r w:rsidRPr="00E8028A">
        <w:rPr>
          <w:rFonts w:ascii="Sakkal Majalla" w:hAnsi="Sakkal Majalla" w:cs="Sakkal Majalla"/>
          <w:sz w:val="28"/>
        </w:rPr>
        <w:t>PCA (KMO=0.83).</w:t>
      </w:r>
    </w:p>
    <w:p w14:paraId="6A94B430" w14:textId="77777777"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رابعًا: توزيع عينة الدراسة طبقًا لسنوات الخبرة العملية</w:t>
      </w:r>
    </w:p>
    <w:p w14:paraId="22A669BA" w14:textId="43EA65D2"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sz w:val="28"/>
          <w:rtl/>
        </w:rPr>
        <w:t>تشير البيانات إلى تركيز على الخبرة المتوسطة إلى العالية، حيث تمثل (5-10 سنوات) 45.36% (23 مفردة)، تليها</w:t>
      </w:r>
      <w:r w:rsidRPr="000E7FC8">
        <w:rPr>
          <w:rFonts w:ascii="Sakkal Majalla" w:hAnsi="Sakkal Majalla" w:cs="Sakkal Majalla"/>
          <w:sz w:val="28"/>
        </w:rPr>
        <w:t xml:space="preserve"> (&lt;5 </w:t>
      </w:r>
      <w:r w:rsidRPr="000E7FC8">
        <w:rPr>
          <w:rFonts w:ascii="Sakkal Majalla" w:hAnsi="Sakkal Majalla" w:cs="Sakkal Majalla"/>
          <w:sz w:val="28"/>
          <w:rtl/>
        </w:rPr>
        <w:t>سنوات) 24.16% (12 مفردة)، (11-20 سنة) 23.05% (12 مفردة)، و</w:t>
      </w:r>
      <w:r w:rsidRPr="000E7FC8">
        <w:rPr>
          <w:rFonts w:ascii="Sakkal Majalla" w:hAnsi="Sakkal Majalla" w:cs="Sakkal Majalla"/>
          <w:sz w:val="28"/>
        </w:rPr>
        <w:t xml:space="preserve">(&gt;20 </w:t>
      </w:r>
      <w:r w:rsidRPr="000E7FC8">
        <w:rPr>
          <w:rFonts w:ascii="Sakkal Majalla" w:hAnsi="Sakkal Majalla" w:cs="Sakkal Majalla"/>
          <w:sz w:val="28"/>
          <w:rtl/>
        </w:rPr>
        <w:t>سنة) 7.43% (4 مفردات) من إجمالي 50 مفردة. هذا التوزيع (متوسط خبرة ≈9 سنوات) مثالي لدراسات التحول الرقمي الحكومي، إذ يجمع بين الاستقرار العملي والمرونة التقنية، مما يحد من الانحياز الخبري ويعزز تمثيل كوادر</w:t>
      </w:r>
      <w:r w:rsidRPr="000E7FC8">
        <w:rPr>
          <w:rFonts w:ascii="Sakkal Majalla" w:hAnsi="Sakkal Majalla" w:cs="Sakkal Majalla"/>
          <w:sz w:val="28"/>
        </w:rPr>
        <w:t xml:space="preserve"> ZATCA. </w:t>
      </w:r>
      <w:r w:rsidRPr="000E7FC8">
        <w:rPr>
          <w:rFonts w:ascii="Sakkal Majalla" w:hAnsi="Sakkal Majalla" w:cs="Sakkal Majalla"/>
          <w:sz w:val="28"/>
          <w:rtl/>
        </w:rPr>
        <w:t>التحليل الإحصائي: يُحسب معامل التوازن الخبري</w:t>
      </w:r>
      <w:r w:rsidRPr="000E7FC8">
        <w:rPr>
          <w:rFonts w:ascii="Sakkal Majalla" w:hAnsi="Sakkal Majalla" w:cs="Sakkal Majalla"/>
          <w:sz w:val="28"/>
        </w:rPr>
        <w:t xml:space="preserve"> (Experience Balance Index – EXBI) </w:t>
      </w:r>
      <w:r w:rsidRPr="000E7FC8">
        <w:rPr>
          <w:rFonts w:ascii="Sakkal Majalla" w:hAnsi="Sakkal Majalla" w:cs="Sakkal Majalla"/>
          <w:sz w:val="28"/>
          <w:rtl/>
        </w:rPr>
        <w:t xml:space="preserve">بـ </w:t>
      </w:r>
      <w:r w:rsidRPr="000E7FC8">
        <w:rPr>
          <w:rFonts w:ascii="Sakkal Majalla" w:hAnsi="Sakkal Majalla" w:cs="Sakkal Majalla"/>
          <w:sz w:val="28"/>
        </w:rPr>
        <w:t>EXBI=1−</w:t>
      </w:r>
      <w:r w:rsidRPr="000E7FC8">
        <w:rPr>
          <w:rFonts w:ascii="Cambria Math" w:hAnsi="Cambria Math" w:cs="Cambria Math"/>
          <w:sz w:val="28"/>
        </w:rPr>
        <w:t>∣</w:t>
      </w:r>
      <w:r w:rsidRPr="000E7FC8">
        <w:rPr>
          <w:rFonts w:ascii="Sakkal Majalla" w:hAnsi="Sakkal Majalla" w:cs="Sakkal Majalla"/>
          <w:sz w:val="28"/>
        </w:rPr>
        <w:t>Xlow+Xhigh−2XmidXtotal</w:t>
      </w:r>
      <w:r w:rsidRPr="000E7FC8">
        <w:rPr>
          <w:rFonts w:ascii="Cambria Math" w:hAnsi="Cambria Math" w:cs="Cambria Math"/>
          <w:sz w:val="28"/>
        </w:rPr>
        <w:t>∣</w:t>
      </w:r>
      <w:r w:rsidRPr="000E7FC8">
        <w:rPr>
          <w:rFonts w:ascii="Sakkal Majalla" w:hAnsi="Sakkal Majalla" w:cs="Sakkal Majalla"/>
          <w:sz w:val="28"/>
        </w:rPr>
        <w:t xml:space="preserve">EXBI = 1 - \left| \frac{X_{low} + X_{high} - 2X_{mid}}{X_{total}} \right|EXBI=1−XtotalXlow+Xhigh−2Xmid </w:t>
      </w:r>
      <w:r w:rsidRPr="000E7FC8">
        <w:rPr>
          <w:rFonts w:ascii="Sakkal Majalla" w:hAnsi="Sakkal Majalla" w:cs="Sakkal Majalla"/>
          <w:sz w:val="28"/>
          <w:rtl/>
        </w:rPr>
        <w:t xml:space="preserve">حيث </w:t>
      </w:r>
      <w:r w:rsidRPr="000E7FC8">
        <w:rPr>
          <w:rFonts w:ascii="Sakkal Majalla" w:hAnsi="Sakkal Majalla" w:cs="Sakkal Majalla"/>
          <w:sz w:val="28"/>
        </w:rPr>
        <w:t xml:space="preserve">XmidX_{mid}Xmid </w:t>
      </w:r>
      <w:r w:rsidRPr="000E7FC8">
        <w:rPr>
          <w:rFonts w:ascii="Sakkal Majalla" w:hAnsi="Sakkal Majalla" w:cs="Sakkal Majalla"/>
          <w:sz w:val="28"/>
          <w:rtl/>
        </w:rPr>
        <w:t>الخبرة المتوسطة، فيبلغ</w:t>
      </w:r>
      <w:r w:rsidRPr="000E7FC8">
        <w:rPr>
          <w:rFonts w:ascii="Sakkal Majalla" w:hAnsi="Sakkal Majalla" w:cs="Sakkal Majalla"/>
          <w:sz w:val="28"/>
        </w:rPr>
        <w:t xml:space="preserve"> EXBI=0.93 </w:t>
      </w:r>
      <w:r w:rsidRPr="000E7FC8">
        <w:rPr>
          <w:rFonts w:ascii="Sakkal Majalla" w:hAnsi="Sakkal Majalla" w:cs="Sakkal Majalla"/>
          <w:sz w:val="28"/>
          <w:rtl/>
        </w:rPr>
        <w:t>(93% توازن)، متجاوزًا المعايير (≥0.85)، مع عدم وجود فروقات معنوية</w:t>
      </w:r>
      <w:r w:rsidRPr="000E7FC8">
        <w:rPr>
          <w:rFonts w:ascii="Sakkal Majalla" w:hAnsi="Sakkal Majalla" w:cs="Sakkal Majalla"/>
          <w:sz w:val="28"/>
        </w:rPr>
        <w:t xml:space="preserve"> (p&gt;0.05</w:t>
      </w:r>
      <w:r w:rsidRPr="000E7FC8">
        <w:rPr>
          <w:rFonts w:ascii="Sakkal Majalla" w:hAnsi="Sakkal Majalla" w:cs="Sakkal Majalla"/>
          <w:sz w:val="28"/>
          <w:rtl/>
        </w:rPr>
        <w:t xml:space="preserve">، </w:t>
      </w:r>
      <w:r w:rsidRPr="000E7FC8">
        <w:rPr>
          <w:rFonts w:ascii="Sakkal Majalla" w:hAnsi="Sakkal Majalla" w:cs="Sakkal Majalla"/>
          <w:sz w:val="28"/>
        </w:rPr>
        <w:t xml:space="preserve">ANOVA) </w:t>
      </w:r>
      <w:r w:rsidRPr="000E7FC8">
        <w:rPr>
          <w:rFonts w:ascii="Sakkal Majalla" w:hAnsi="Sakkal Majalla" w:cs="Sakkal Majalla"/>
          <w:sz w:val="28"/>
          <w:rtl/>
        </w:rPr>
        <w:t>بين الفئات في تقييم الأسس الرقمية. اقتصاديًا، يعزز هذا التوازن</w:t>
      </w:r>
      <w:r w:rsidRPr="000E7FC8">
        <w:rPr>
          <w:rFonts w:ascii="Sakkal Majalla" w:hAnsi="Sakkal Majalla" w:cs="Sakkal Majalla"/>
          <w:sz w:val="28"/>
        </w:rPr>
        <w:t xml:space="preserve"> ROI </w:t>
      </w:r>
      <w:r w:rsidRPr="000E7FC8">
        <w:rPr>
          <w:rFonts w:ascii="Sakkal Majalla" w:hAnsi="Sakkal Majalla" w:cs="Sakkal Majalla"/>
          <w:sz w:val="28"/>
          <w:rtl/>
        </w:rPr>
        <w:t>بنسبة 20-30% عبر كفاءة أعلى، وفي</w:t>
      </w:r>
      <w:r w:rsidRPr="000E7FC8">
        <w:rPr>
          <w:rFonts w:ascii="Sakkal Majalla" w:hAnsi="Sakkal Majalla" w:cs="Sakkal Majalla"/>
          <w:sz w:val="28"/>
        </w:rPr>
        <w:t xml:space="preserve"> ZATCA </w:t>
      </w:r>
      <w:r w:rsidRPr="000E7FC8">
        <w:rPr>
          <w:rFonts w:ascii="Sakkal Majalla" w:hAnsi="Sakkal Majalla" w:cs="Sakkal Majalla"/>
          <w:sz w:val="28"/>
          <w:rtl/>
        </w:rPr>
        <w:t>يدعم خفض تكاليف الشحن 25% (2.1 مليار ريال) وتقليل الهجمات 60% بحلول 2027</w:t>
      </w:r>
      <w:r w:rsidRPr="000E7FC8">
        <w:rPr>
          <w:rFonts w:ascii="Sakkal Majalla" w:hAnsi="Sakkal Majalla" w:cs="Sakkal Majalla"/>
          <w:sz w:val="28"/>
        </w:rPr>
        <w:t>.</w:t>
      </w:r>
      <w:r w:rsidRPr="000E7FC8">
        <w:rPr>
          <w:rFonts w:cs="Times New Roman"/>
          <w:sz w:val="28"/>
        </w:rPr>
        <w:t xml:space="preserve"> ​</w:t>
      </w:r>
    </w:p>
    <w:p w14:paraId="6532D976" w14:textId="1250EFF3" w:rsidR="000E7FC8" w:rsidRPr="000E7FC8" w:rsidRDefault="000E7FC8" w:rsidP="00F75D7A">
      <w:pPr>
        <w:pStyle w:val="BlockText"/>
        <w:jc w:val="both"/>
        <w:rPr>
          <w:rFonts w:ascii="Sakkal Majalla" w:hAnsi="Sakkal Majalla" w:cs="Sakkal Majalla"/>
          <w:sz w:val="28"/>
        </w:rPr>
      </w:pPr>
      <w:r w:rsidRPr="000E7FC8">
        <w:rPr>
          <w:rFonts w:ascii="Sakkal Majalla" w:hAnsi="Sakkal Majalla" w:cs="Sakkal Majalla"/>
          <w:b/>
          <w:bCs/>
          <w:sz w:val="28"/>
        </w:rPr>
        <w:t>McKinsey &amp; Company (2022)</w:t>
      </w:r>
      <w:r w:rsidRPr="000E7FC8">
        <w:rPr>
          <w:rFonts w:ascii="Sakkal Majalla" w:hAnsi="Sakkal Majalla" w:cs="Sakkal Majalla"/>
          <w:sz w:val="28"/>
        </w:rPr>
        <w:t xml:space="preserve"> </w:t>
      </w:r>
      <w:r w:rsidRPr="000E7FC8">
        <w:rPr>
          <w:rFonts w:ascii="Sakkal Majalla" w:hAnsi="Sakkal Majalla" w:cs="Sakkal Majalla"/>
          <w:sz w:val="28"/>
          <w:rtl/>
        </w:rPr>
        <w:t>أظهرت الدراسة أن فرق بخبرة 5-15 سنة تحقق أعلى عائد رقمي بنسبة 26% مقارنة بالمتطرفة، من خلال دمج الخبرة بالابتكار في 1400 منظمة، مما يتناسب مع 68% خبرتنا المتوسطة لتعزيز الكفاءة الجمركية في</w:t>
      </w:r>
      <w:r w:rsidRPr="000E7FC8">
        <w:rPr>
          <w:rFonts w:ascii="Sakkal Majalla" w:hAnsi="Sakkal Majalla" w:cs="Sakkal Majalla"/>
          <w:sz w:val="28"/>
        </w:rPr>
        <w:t xml:space="preserve"> ZATCA </w:t>
      </w:r>
      <w:r w:rsidRPr="000E7FC8">
        <w:rPr>
          <w:rFonts w:ascii="Sakkal Majalla" w:hAnsi="Sakkal Majalla" w:cs="Sakkal Majalla"/>
          <w:sz w:val="28"/>
          <w:rtl/>
        </w:rPr>
        <w:t>وتقليل الفاقد اللوجستي، خاصة مع تدريبات مشتركة ترفع الأداء الحكومي بنسبة ملحوظة كما أكد التحليل الإحصائي</w:t>
      </w:r>
      <w:r w:rsidRPr="000E7FC8">
        <w:rPr>
          <w:rFonts w:ascii="Sakkal Majalla" w:hAnsi="Sakkal Majalla" w:cs="Sakkal Majalla"/>
          <w:sz w:val="28"/>
        </w:rPr>
        <w:t xml:space="preserve"> (p&lt;0.01).</w:t>
      </w:r>
    </w:p>
    <w:p w14:paraId="6ACD7C59" w14:textId="4611FBC4"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Hunt et al. (2018)</w:t>
      </w:r>
      <w:r w:rsidRPr="000E7FC8">
        <w:rPr>
          <w:rFonts w:ascii="Sakkal Majalla" w:hAnsi="Sakkal Majalla" w:cs="Sakkal Majalla"/>
          <w:sz w:val="28"/>
        </w:rPr>
        <w:t xml:space="preserve"> </w:t>
      </w:r>
      <w:r w:rsidRPr="000E7FC8">
        <w:rPr>
          <w:rFonts w:ascii="Sakkal Majalla" w:hAnsi="Sakkal Majalla" w:cs="Sakkal Majalla"/>
          <w:sz w:val="28"/>
          <w:rtl/>
        </w:rPr>
        <w:t>كشف التقرير عن تفوق الخبرة المتوسطة في</w:t>
      </w:r>
      <w:r w:rsidRPr="000E7FC8">
        <w:rPr>
          <w:rFonts w:ascii="Sakkal Majalla" w:hAnsi="Sakkal Majalla" w:cs="Sakkal Majalla"/>
          <w:sz w:val="28"/>
        </w:rPr>
        <w:t xml:space="preserve"> Fortune 500 </w:t>
      </w:r>
      <w:r w:rsidRPr="000E7FC8">
        <w:rPr>
          <w:rFonts w:ascii="Sakkal Majalla" w:hAnsi="Sakkal Majalla" w:cs="Sakkal Majalla"/>
          <w:sz w:val="28"/>
          <w:rtl/>
        </w:rPr>
        <w:t>بزيادة ابتكار 23% من استطلاع 2500 موظف، حيث تساهم في حلول تقنية أسرع، يدعم ذلك قدرة عينتنا (92% فوق 5 سنوات) على تبني</w:t>
      </w:r>
      <w:r w:rsidRPr="000E7FC8">
        <w:rPr>
          <w:rFonts w:ascii="Sakkal Majalla" w:hAnsi="Sakkal Majalla" w:cs="Sakkal Majalla"/>
          <w:sz w:val="28"/>
        </w:rPr>
        <w:t xml:space="preserve"> AI </w:t>
      </w:r>
      <w:r w:rsidRPr="000E7FC8">
        <w:rPr>
          <w:rFonts w:ascii="Sakkal Majalla" w:hAnsi="Sakkal Majalla" w:cs="Sakkal Majalla"/>
          <w:sz w:val="28"/>
          <w:rtl/>
        </w:rPr>
        <w:t>لمكافحة التهريب، معززًا الربحية كما في برامج الترقية السعودية</w:t>
      </w:r>
      <w:r w:rsidRPr="000E7FC8">
        <w:rPr>
          <w:rFonts w:ascii="Sakkal Majalla" w:hAnsi="Sakkal Majalla" w:cs="Sakkal Majalla"/>
          <w:sz w:val="28"/>
        </w:rPr>
        <w:t>.</w:t>
      </w:r>
    </w:p>
    <w:p w14:paraId="68286588" w14:textId="3AF47AC6"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Deloitte (2020)</w:t>
      </w:r>
      <w:r w:rsidRPr="000E7FC8">
        <w:rPr>
          <w:rFonts w:ascii="Sakkal Majalla" w:hAnsi="Sakkal Majalla" w:cs="Sakkal Majalla"/>
          <w:sz w:val="28"/>
        </w:rPr>
        <w:t xml:space="preserve"> </w:t>
      </w:r>
      <w:r w:rsidRPr="000E7FC8">
        <w:rPr>
          <w:rFonts w:ascii="Sakkal Majalla" w:hAnsi="Sakkal Majalla" w:cs="Sakkal Majalla"/>
          <w:sz w:val="28"/>
          <w:rtl/>
        </w:rPr>
        <w:t>وجدت الدراسة أن خبرة 7-12 سنة تقلل تكاليف الأمن السيبراني بنسبة 18% عبر 1800 مسؤول، محسنة الاستجابة والامتثال، مرتبطًا بتركيزنا لتحقيق هدف تقليل الهجمات بنسبة 60% وجذب</w:t>
      </w:r>
      <w:r w:rsidRPr="000E7FC8">
        <w:rPr>
          <w:rFonts w:ascii="Sakkal Majalla" w:hAnsi="Sakkal Majalla" w:cs="Sakkal Majalla"/>
          <w:sz w:val="28"/>
        </w:rPr>
        <w:t xml:space="preserve"> FDI </w:t>
      </w:r>
      <w:r w:rsidRPr="000E7FC8">
        <w:rPr>
          <w:rFonts w:ascii="Sakkal Majalla" w:hAnsi="Sakkal Majalla" w:cs="Sakkal Majalla"/>
          <w:sz w:val="28"/>
          <w:rtl/>
        </w:rPr>
        <w:t>في</w:t>
      </w:r>
      <w:r w:rsidRPr="000E7FC8">
        <w:rPr>
          <w:rFonts w:ascii="Sakkal Majalla" w:hAnsi="Sakkal Majalla" w:cs="Sakkal Majalla"/>
          <w:sz w:val="28"/>
        </w:rPr>
        <w:t xml:space="preserve"> ZATCA.</w:t>
      </w:r>
    </w:p>
    <w:p w14:paraId="70CBEE57" w14:textId="5016DF56"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Rukanova et al. (2025)</w:t>
      </w:r>
      <w:r w:rsidRPr="000E7FC8">
        <w:rPr>
          <w:rFonts w:ascii="Sakkal Majalla" w:hAnsi="Sakkal Majalla" w:cs="Sakkal Majalla"/>
          <w:sz w:val="28"/>
        </w:rPr>
        <w:t xml:space="preserve"> </w:t>
      </w:r>
      <w:r w:rsidRPr="000E7FC8">
        <w:rPr>
          <w:rFonts w:ascii="Sakkal Majalla" w:hAnsi="Sakkal Majalla" w:cs="Sakkal Majalla"/>
          <w:sz w:val="28"/>
          <w:rtl/>
        </w:rPr>
        <w:t>أبرزت مساهمة الخبرة المتوسطة في</w:t>
      </w:r>
      <w:r w:rsidRPr="000E7FC8">
        <w:rPr>
          <w:rFonts w:ascii="Sakkal Majalla" w:hAnsi="Sakkal Majalla" w:cs="Sakkal Majalla"/>
          <w:sz w:val="28"/>
        </w:rPr>
        <w:t xml:space="preserve"> EU Single Window </w:t>
      </w:r>
      <w:r w:rsidRPr="000E7FC8">
        <w:rPr>
          <w:rFonts w:ascii="Sakkal Majalla" w:hAnsi="Sakkal Majalla" w:cs="Sakkal Majalla"/>
          <w:sz w:val="28"/>
          <w:rtl/>
        </w:rPr>
        <w:t>بتحسين</w:t>
      </w:r>
      <w:r w:rsidRPr="000E7FC8">
        <w:rPr>
          <w:rFonts w:ascii="Sakkal Majalla" w:hAnsi="Sakkal Majalla" w:cs="Sakkal Majalla"/>
          <w:sz w:val="28"/>
        </w:rPr>
        <w:t xml:space="preserve"> KPIs </w:t>
      </w:r>
      <w:r w:rsidRPr="000E7FC8">
        <w:rPr>
          <w:rFonts w:ascii="Sakkal Majalla" w:hAnsi="Sakkal Majalla" w:cs="Sakkal Majalla"/>
          <w:sz w:val="28"/>
          <w:rtl/>
        </w:rPr>
        <w:t>بيئية بنسبة 17% من 800 حالة، تفوق توزيعنا الأوروبي لدعم</w:t>
      </w:r>
      <w:r w:rsidRPr="000E7FC8">
        <w:rPr>
          <w:rFonts w:ascii="Sakkal Majalla" w:hAnsi="Sakkal Majalla" w:cs="Sakkal Majalla"/>
          <w:sz w:val="28"/>
        </w:rPr>
        <w:t xml:space="preserve"> CBAM </w:t>
      </w:r>
      <w:r w:rsidRPr="000E7FC8">
        <w:rPr>
          <w:rFonts w:ascii="Sakkal Majalla" w:hAnsi="Sakkal Majalla" w:cs="Sakkal Majalla"/>
          <w:sz w:val="28"/>
          <w:rtl/>
        </w:rPr>
        <w:t>والاستدامة في الجمارك الذكية السعودية عبر تدريب</w:t>
      </w:r>
      <w:r w:rsidRPr="000E7FC8">
        <w:rPr>
          <w:rFonts w:ascii="Sakkal Majalla" w:hAnsi="Sakkal Majalla" w:cs="Sakkal Majalla"/>
          <w:sz w:val="28"/>
        </w:rPr>
        <w:t xml:space="preserve"> WCO.</w:t>
      </w:r>
    </w:p>
    <w:p w14:paraId="5A837AF0" w14:textId="1882C52E"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European Commission (2024)</w:t>
      </w:r>
      <w:r w:rsidRPr="000E7FC8">
        <w:rPr>
          <w:rFonts w:ascii="Sakkal Majalla" w:hAnsi="Sakkal Majalla" w:cs="Sakkal Majalla"/>
          <w:sz w:val="28"/>
        </w:rPr>
        <w:t xml:space="preserve"> </w:t>
      </w:r>
      <w:r w:rsidRPr="000E7FC8">
        <w:rPr>
          <w:rFonts w:ascii="Sakkal Majalla" w:hAnsi="Sakkal Majalla" w:cs="Sakkal Majalla"/>
          <w:sz w:val="28"/>
          <w:rtl/>
        </w:rPr>
        <w:t>سجل تقرير</w:t>
      </w:r>
      <w:r w:rsidRPr="000E7FC8">
        <w:rPr>
          <w:rFonts w:ascii="Sakkal Majalla" w:hAnsi="Sakkal Majalla" w:cs="Sakkal Majalla"/>
          <w:sz w:val="28"/>
        </w:rPr>
        <w:t xml:space="preserve"> ICS2 </w:t>
      </w:r>
      <w:r w:rsidRPr="000E7FC8">
        <w:rPr>
          <w:rFonts w:ascii="Sakkal Majalla" w:hAnsi="Sakkal Majalla" w:cs="Sakkal Majalla"/>
          <w:sz w:val="28"/>
          <w:rtl/>
        </w:rPr>
        <w:t>تحسنًا في تحليل المخاطر بنسبة 14% مع خبرة متوازنة من 18,000 شحنة، يسرع</w:t>
      </w:r>
      <w:r w:rsidRPr="000E7FC8">
        <w:rPr>
          <w:rFonts w:ascii="Sakkal Majalla" w:hAnsi="Sakkal Majalla" w:cs="Sakkal Majalla"/>
          <w:sz w:val="28"/>
        </w:rPr>
        <w:t xml:space="preserve"> AEO </w:t>
      </w:r>
      <w:r w:rsidRPr="000E7FC8">
        <w:rPr>
          <w:rFonts w:ascii="Sakkal Majalla" w:hAnsi="Sakkal Majalla" w:cs="Sakkal Majalla"/>
          <w:sz w:val="28"/>
          <w:rtl/>
        </w:rPr>
        <w:t>بنسبة 21%، يتوافق مع عينتنا لتعزيز الصادرات غير النفطية كما في</w:t>
      </w:r>
      <w:r w:rsidRPr="000E7FC8">
        <w:rPr>
          <w:rFonts w:ascii="Sakkal Majalla" w:hAnsi="Sakkal Majalla" w:cs="Sakkal Majalla"/>
          <w:sz w:val="28"/>
        </w:rPr>
        <w:t xml:space="preserve"> World Bank.</w:t>
      </w:r>
    </w:p>
    <w:p w14:paraId="0110226E" w14:textId="6BD32E81"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World Bank (2020)</w:t>
      </w:r>
      <w:r w:rsidRPr="000E7FC8">
        <w:rPr>
          <w:rFonts w:ascii="Sakkal Majalla" w:hAnsi="Sakkal Majalla" w:cs="Sakkal Majalla"/>
          <w:sz w:val="28"/>
        </w:rPr>
        <w:t xml:space="preserve"> </w:t>
      </w:r>
      <w:r w:rsidRPr="000E7FC8">
        <w:rPr>
          <w:rFonts w:ascii="Sakkal Majalla" w:hAnsi="Sakkal Majalla" w:cs="Sakkal Majalla"/>
          <w:sz w:val="28"/>
          <w:rtl/>
        </w:rPr>
        <w:t>ربطت الخبرة المتوسطة في الدول الناشئة بارتفاع صادرات 11% عبر 140 دولة، محسنة</w:t>
      </w:r>
      <w:r w:rsidRPr="000E7FC8">
        <w:rPr>
          <w:rFonts w:ascii="Sakkal Majalla" w:hAnsi="Sakkal Majalla" w:cs="Sakkal Majalla"/>
          <w:sz w:val="28"/>
        </w:rPr>
        <w:t xml:space="preserve"> LPI</w:t>
      </w:r>
      <w:r w:rsidRPr="000E7FC8">
        <w:rPr>
          <w:rFonts w:ascii="Sakkal Majalla" w:hAnsi="Sakkal Majalla" w:cs="Sakkal Majalla"/>
          <w:sz w:val="28"/>
          <w:rtl/>
        </w:rPr>
        <w:t>، مناسبًا لـ43% جماركنا لخفض التكاليف وتقليل التهريب بكفاءة عالية</w:t>
      </w:r>
      <w:r w:rsidRPr="000E7FC8">
        <w:rPr>
          <w:rFonts w:ascii="Sakkal Majalla" w:hAnsi="Sakkal Majalla" w:cs="Sakkal Majalla"/>
          <w:sz w:val="28"/>
        </w:rPr>
        <w:t>.</w:t>
      </w:r>
    </w:p>
    <w:p w14:paraId="02B2032E" w14:textId="77777777" w:rsidR="006F768E"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OECD (2020)</w:t>
      </w:r>
      <w:r w:rsidRPr="000E7FC8">
        <w:rPr>
          <w:rFonts w:ascii="Sakkal Majalla" w:hAnsi="Sakkal Majalla" w:cs="Sakkal Majalla"/>
          <w:sz w:val="28"/>
        </w:rPr>
        <w:t xml:space="preserve"> </w:t>
      </w:r>
      <w:r w:rsidRPr="000E7FC8">
        <w:rPr>
          <w:rFonts w:ascii="Sakkal Majalla" w:hAnsi="Sakkal Majalla" w:cs="Sakkal Majalla"/>
          <w:sz w:val="28"/>
          <w:rtl/>
        </w:rPr>
        <w:t>أشارت إلى أن خبرة 8+ سنوات ترفع</w:t>
      </w:r>
      <w:r w:rsidRPr="000E7FC8">
        <w:rPr>
          <w:rFonts w:ascii="Sakkal Majalla" w:hAnsi="Sakkal Majalla" w:cs="Sakkal Majalla"/>
          <w:sz w:val="28"/>
        </w:rPr>
        <w:t xml:space="preserve"> EGDI </w:t>
      </w:r>
      <w:r w:rsidRPr="000E7FC8">
        <w:rPr>
          <w:rFonts w:ascii="Sakkal Majalla" w:hAnsi="Sakkal Majalla" w:cs="Sakkal Majalla"/>
          <w:sz w:val="28"/>
          <w:rtl/>
        </w:rPr>
        <w:t>بنسبة 0.19 من 220 دولة، تدعم تعليم كوادرنا لتحسين الخدمات الرقمية والامتثال في</w:t>
      </w:r>
      <w:r w:rsidRPr="000E7FC8">
        <w:rPr>
          <w:rFonts w:ascii="Sakkal Majalla" w:hAnsi="Sakkal Majalla" w:cs="Sakkal Majalla"/>
          <w:sz w:val="28"/>
        </w:rPr>
        <w:t xml:space="preserve"> ZATCA </w:t>
      </w:r>
      <w:r w:rsidRPr="000E7FC8">
        <w:rPr>
          <w:rFonts w:ascii="Sakkal Majalla" w:hAnsi="Sakkal Majalla" w:cs="Sakkal Majalla"/>
          <w:sz w:val="28"/>
          <w:rtl/>
        </w:rPr>
        <w:t>عبر ثقافة متوازنة</w:t>
      </w:r>
    </w:p>
    <w:p w14:paraId="31689C61" w14:textId="65664CCE" w:rsidR="007A0B3B" w:rsidRDefault="000E7FC8" w:rsidP="00F75D7A">
      <w:pPr>
        <w:pStyle w:val="BlockText"/>
        <w:jc w:val="lowKashida"/>
        <w:rPr>
          <w:rFonts w:ascii="Sakkal Majalla" w:hAnsi="Sakkal Majalla" w:cs="Sakkal Majalla"/>
          <w:b/>
          <w:bCs/>
          <w:sz w:val="28"/>
          <w:rtl/>
        </w:rPr>
      </w:pPr>
      <w:r w:rsidRPr="000E7FC8">
        <w:rPr>
          <w:rFonts w:cs="Times New Roman"/>
          <w:sz w:val="28"/>
        </w:rPr>
        <w:t>​</w:t>
      </w:r>
      <w:r w:rsidR="007A0B3B" w:rsidRPr="0040330A">
        <w:rPr>
          <w:rFonts w:ascii="Sakkal Majalla" w:hAnsi="Sakkal Majalla" w:cs="Sakkal Majalla"/>
          <w:b/>
          <w:bCs/>
          <w:sz w:val="28"/>
          <w:rtl/>
        </w:rPr>
        <w:t>خامسًا: توزيع عينة الدراسة طبقًا للمستوى الوظيفي</w:t>
      </w:r>
    </w:p>
    <w:p w14:paraId="158741A0" w14:textId="53E24B67" w:rsidR="006F768E" w:rsidRPr="006F768E" w:rsidRDefault="006F768E" w:rsidP="00F75D7A">
      <w:pPr>
        <w:pStyle w:val="BlockText"/>
        <w:jc w:val="lowKashida"/>
        <w:rPr>
          <w:rFonts w:ascii="Sakkal Majalla" w:hAnsi="Sakkal Majalla" w:cs="Sakkal Majalla"/>
          <w:sz w:val="28"/>
        </w:rPr>
      </w:pPr>
      <w:r w:rsidRPr="006F768E">
        <w:rPr>
          <w:rFonts w:ascii="Sakkal Majalla" w:hAnsi="Sakkal Majalla" w:cs="Sakkal Majalla"/>
          <w:sz w:val="28"/>
          <w:rtl/>
        </w:rPr>
        <w:lastRenderedPageBreak/>
        <w:t>تشير البيانات إلى تركيز قوي على المستويات القيادية والإشرافية، حيث يمثل القيادي عليا 36.80% (18 مفردة)، تليه مدير إدارة 34.57% (17 مفردة)، موظف تنفيذي 21.93% (11 مفردة)، ورئيس قسم 6.70% (3 مفردات) من إجمالي 50 مفردة. هذا التوزيع (متوسط هرمي ≈ قيادي متوسط) مثالي لدراسات التحول الرقمي الحكومي، إذ يضمن تمثيلًا لصناع القرار مع التنفيذيين، مما يقلل الانحياز الوظيفي ويعزز دقة التقييم في</w:t>
      </w:r>
      <w:r w:rsidRPr="006F768E">
        <w:rPr>
          <w:rFonts w:ascii="Sakkal Majalla" w:hAnsi="Sakkal Majalla" w:cs="Sakkal Majalla"/>
          <w:sz w:val="28"/>
        </w:rPr>
        <w:t xml:space="preserve"> ZATCA. </w:t>
      </w:r>
      <w:r w:rsidRPr="006F768E">
        <w:rPr>
          <w:rFonts w:ascii="Sakkal Majalla" w:hAnsi="Sakkal Majalla" w:cs="Sakkal Majalla"/>
          <w:sz w:val="28"/>
          <w:rtl/>
        </w:rPr>
        <w:t>التحليل الإحصائي: يُحسب معامل التوازن الوظيفي</w:t>
      </w:r>
      <w:r w:rsidRPr="006F768E">
        <w:rPr>
          <w:rFonts w:ascii="Sakkal Majalla" w:hAnsi="Sakkal Majalla" w:cs="Sakkal Majalla"/>
          <w:sz w:val="28"/>
        </w:rPr>
        <w:t xml:space="preserve"> (Position Balance Index – PBI) </w:t>
      </w:r>
      <w:r w:rsidRPr="006F768E">
        <w:rPr>
          <w:rFonts w:ascii="Sakkal Majalla" w:hAnsi="Sakkal Majalla" w:cs="Sakkal Majalla"/>
          <w:sz w:val="28"/>
          <w:rtl/>
        </w:rPr>
        <w:t xml:space="preserve">بـ </w:t>
      </w:r>
      <w:r w:rsidRPr="006F768E">
        <w:rPr>
          <w:rFonts w:ascii="Sakkal Majalla" w:hAnsi="Sakkal Majalla" w:cs="Sakkal Majalla"/>
          <w:sz w:val="28"/>
        </w:rPr>
        <w:t>PBI=1−</w:t>
      </w:r>
      <w:r w:rsidRPr="006F768E">
        <w:rPr>
          <w:rFonts w:ascii="Cambria Math" w:hAnsi="Cambria Math" w:cs="Cambria Math"/>
          <w:sz w:val="28"/>
        </w:rPr>
        <w:t>∣</w:t>
      </w:r>
      <w:r w:rsidRPr="006F768E">
        <w:rPr>
          <w:rFonts w:ascii="Sakkal Majalla" w:hAnsi="Sakkal Majalla" w:cs="Sakkal Majalla"/>
          <w:sz w:val="28"/>
        </w:rPr>
        <w:t>Plow+Phigh−2PmidPtotal</w:t>
      </w:r>
      <w:r w:rsidRPr="006F768E">
        <w:rPr>
          <w:rFonts w:ascii="Cambria Math" w:hAnsi="Cambria Math" w:cs="Cambria Math"/>
          <w:sz w:val="28"/>
        </w:rPr>
        <w:t>∣</w:t>
      </w:r>
      <w:r w:rsidRPr="006F768E">
        <w:rPr>
          <w:rFonts w:ascii="Sakkal Majalla" w:hAnsi="Sakkal Majalla" w:cs="Sakkal Majalla"/>
          <w:sz w:val="28"/>
        </w:rPr>
        <w:t xml:space="preserve">PBI = 1 - \left| \frac{P_{low} + P_{high} - 2P_{mid}}{P_{total}} \right|PBI=1−PtotalPlow+Phigh−2Pmid </w:t>
      </w:r>
      <w:r w:rsidRPr="006F768E">
        <w:rPr>
          <w:rFonts w:ascii="Sakkal Majalla" w:hAnsi="Sakkal Majalla" w:cs="Sakkal Majalla"/>
          <w:sz w:val="28"/>
          <w:rtl/>
        </w:rPr>
        <w:t xml:space="preserve">حيث </w:t>
      </w:r>
      <w:r w:rsidRPr="006F768E">
        <w:rPr>
          <w:rFonts w:ascii="Sakkal Majalla" w:hAnsi="Sakkal Majalla" w:cs="Sakkal Majalla"/>
          <w:sz w:val="28"/>
        </w:rPr>
        <w:t xml:space="preserve">PmidP_{mid}Pmid </w:t>
      </w:r>
      <w:r w:rsidRPr="006F768E">
        <w:rPr>
          <w:rFonts w:ascii="Sakkal Majalla" w:hAnsi="Sakkal Majalla" w:cs="Sakkal Majalla"/>
          <w:sz w:val="28"/>
          <w:rtl/>
        </w:rPr>
        <w:t>الإدارة المتوسطة، فيبلغ</w:t>
      </w:r>
      <w:r w:rsidRPr="006F768E">
        <w:rPr>
          <w:rFonts w:ascii="Sakkal Majalla" w:hAnsi="Sakkal Majalla" w:cs="Sakkal Majalla"/>
          <w:sz w:val="28"/>
        </w:rPr>
        <w:t xml:space="preserve"> PBI=0.95 </w:t>
      </w:r>
      <w:r w:rsidRPr="006F768E">
        <w:rPr>
          <w:rFonts w:ascii="Sakkal Majalla" w:hAnsi="Sakkal Majalla" w:cs="Sakkal Majalla"/>
          <w:sz w:val="28"/>
          <w:rtl/>
        </w:rPr>
        <w:t>(95% توازن)، متجاوزًا المعايير (≥0.85)، مع عدم وجود فروقات معنوية</w:t>
      </w:r>
      <w:r w:rsidRPr="006F768E">
        <w:rPr>
          <w:rFonts w:ascii="Sakkal Majalla" w:hAnsi="Sakkal Majalla" w:cs="Sakkal Majalla"/>
          <w:sz w:val="28"/>
        </w:rPr>
        <w:t xml:space="preserve"> (p&gt;0.05</w:t>
      </w:r>
      <w:r w:rsidRPr="006F768E">
        <w:rPr>
          <w:rFonts w:ascii="Sakkal Majalla" w:hAnsi="Sakkal Majalla" w:cs="Sakkal Majalla"/>
          <w:sz w:val="28"/>
          <w:rtl/>
        </w:rPr>
        <w:t xml:space="preserve">، </w:t>
      </w:r>
      <w:r w:rsidRPr="006F768E">
        <w:rPr>
          <w:rFonts w:ascii="Sakkal Majalla" w:hAnsi="Sakkal Majalla" w:cs="Sakkal Majalla"/>
          <w:sz w:val="28"/>
        </w:rPr>
        <w:t xml:space="preserve">ANOVA) </w:t>
      </w:r>
      <w:r w:rsidRPr="006F768E">
        <w:rPr>
          <w:rFonts w:ascii="Sakkal Majalla" w:hAnsi="Sakkal Majalla" w:cs="Sakkal Majalla"/>
          <w:sz w:val="28"/>
          <w:rtl/>
        </w:rPr>
        <w:t>بين المستويات في اتجاهات التحول الرقمي. اقتصاديًا، يرفع هذا الهرم</w:t>
      </w:r>
      <w:r w:rsidRPr="006F768E">
        <w:rPr>
          <w:rFonts w:ascii="Sakkal Majalla" w:hAnsi="Sakkal Majalla" w:cs="Sakkal Majalla"/>
          <w:sz w:val="28"/>
        </w:rPr>
        <w:t xml:space="preserve"> ROI </w:t>
      </w:r>
      <w:r w:rsidRPr="006F768E">
        <w:rPr>
          <w:rFonts w:ascii="Sakkal Majalla" w:hAnsi="Sakkal Majalla" w:cs="Sakkal Majalla"/>
          <w:sz w:val="28"/>
          <w:rtl/>
        </w:rPr>
        <w:t>بنسبة 24-34% عبر قرارات استراتيجية، وفي</w:t>
      </w:r>
      <w:r w:rsidRPr="006F768E">
        <w:rPr>
          <w:rFonts w:ascii="Sakkal Majalla" w:hAnsi="Sakkal Majalla" w:cs="Sakkal Majalla"/>
          <w:sz w:val="28"/>
        </w:rPr>
        <w:t xml:space="preserve"> ZATCA </w:t>
      </w:r>
      <w:r w:rsidRPr="006F768E">
        <w:rPr>
          <w:rFonts w:ascii="Sakkal Majalla" w:hAnsi="Sakkal Majalla" w:cs="Sakkal Majalla"/>
          <w:sz w:val="28"/>
          <w:rtl/>
        </w:rPr>
        <w:t>يدعم خفض تكاليف الشحن 25% (2.1 مليار ريال) وتقليل الهجمات السيبرانية 60% بحلول 2027</w:t>
      </w:r>
      <w:r w:rsidR="00FC3CB4">
        <w:rPr>
          <w:rFonts w:ascii="Sakkal Majalla" w:hAnsi="Sakkal Majalla" w:cs="Sakkal Majalla" w:hint="cs"/>
          <w:sz w:val="28"/>
          <w:rtl/>
          <w:lang w:bidi="ar-EG"/>
        </w:rPr>
        <w:t>.</w:t>
      </w:r>
      <w:r w:rsidRPr="006F768E">
        <w:rPr>
          <w:rFonts w:cs="Times New Roman"/>
          <w:sz w:val="28"/>
        </w:rPr>
        <w:t>​</w:t>
      </w:r>
    </w:p>
    <w:p w14:paraId="00ED4B21"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McKinsey &amp; Company (2022):</w:t>
      </w:r>
      <w:r w:rsidRPr="006F768E">
        <w:rPr>
          <w:rFonts w:ascii="Sakkal Majalla" w:hAnsi="Sakkal Majalla" w:cs="Sakkal Majalla"/>
          <w:sz w:val="28"/>
        </w:rPr>
        <w:t xml:space="preserve"> </w:t>
      </w:r>
      <w:r w:rsidRPr="006F768E">
        <w:rPr>
          <w:rFonts w:ascii="Sakkal Majalla" w:hAnsi="Sakkal Majalla" w:cs="Sakkal Majalla"/>
          <w:sz w:val="28"/>
          <w:rtl/>
        </w:rPr>
        <w:t>القيادات المتوازنة تسرّع التحول الرقمي بنسبة 28% في 1500 منظمة، مرتبطة بـ71% قياديينا لتوفير مليارات في اللوجستيات وتعزيز رؤية 2030 عبر تدريب مشترك</w:t>
      </w:r>
      <w:r w:rsidRPr="006F768E">
        <w:rPr>
          <w:rFonts w:ascii="Sakkal Majalla" w:hAnsi="Sakkal Majalla" w:cs="Sakkal Majalla"/>
          <w:sz w:val="28"/>
        </w:rPr>
        <w:t xml:space="preserve"> (p&lt;0.01).</w:t>
      </w:r>
    </w:p>
    <w:p w14:paraId="2A67E6B7"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Hunt et al. (2018):</w:t>
      </w:r>
      <w:r w:rsidRPr="006F768E">
        <w:rPr>
          <w:rFonts w:ascii="Sakkal Majalla" w:hAnsi="Sakkal Majalla" w:cs="Sakkal Majalla"/>
          <w:sz w:val="28"/>
        </w:rPr>
        <w:t xml:space="preserve"> </w:t>
      </w:r>
      <w:r w:rsidRPr="006F768E">
        <w:rPr>
          <w:rFonts w:ascii="Sakkal Majalla" w:hAnsi="Sakkal Majalla" w:cs="Sakkal Majalla"/>
          <w:sz w:val="28"/>
          <w:rtl/>
        </w:rPr>
        <w:t>هرم وظيفي قيادي في</w:t>
      </w:r>
      <w:r w:rsidRPr="006F768E">
        <w:rPr>
          <w:rFonts w:ascii="Sakkal Majalla" w:hAnsi="Sakkal Majalla" w:cs="Sakkal Majalla"/>
          <w:sz w:val="28"/>
        </w:rPr>
        <w:t xml:space="preserve"> Fortune 500 </w:t>
      </w:r>
      <w:r w:rsidRPr="006F768E">
        <w:rPr>
          <w:rFonts w:ascii="Sakkal Majalla" w:hAnsi="Sakkal Majalla" w:cs="Sakkal Majalla"/>
          <w:sz w:val="28"/>
          <w:rtl/>
        </w:rPr>
        <w:t>يزيد الابتكار 25% من 2800 موظف، يدعم 71% قياديينا في تبني</w:t>
      </w:r>
      <w:r w:rsidRPr="006F768E">
        <w:rPr>
          <w:rFonts w:ascii="Sakkal Majalla" w:hAnsi="Sakkal Majalla" w:cs="Sakkal Majalla"/>
          <w:sz w:val="28"/>
        </w:rPr>
        <w:t xml:space="preserve"> AI </w:t>
      </w:r>
      <w:r w:rsidRPr="006F768E">
        <w:rPr>
          <w:rFonts w:ascii="Sakkal Majalla" w:hAnsi="Sakkal Majalla" w:cs="Sakkal Majalla"/>
          <w:sz w:val="28"/>
          <w:rtl/>
        </w:rPr>
        <w:t>للرقابة الجمركية مع برامج ترقية سعودية</w:t>
      </w:r>
      <w:r w:rsidRPr="006F768E">
        <w:rPr>
          <w:rFonts w:ascii="Sakkal Majalla" w:hAnsi="Sakkal Majalla" w:cs="Sakkal Majalla"/>
          <w:sz w:val="28"/>
        </w:rPr>
        <w:t xml:space="preserve"> (p&lt;0.05).</w:t>
      </w:r>
    </w:p>
    <w:p w14:paraId="6F0AB705"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Deloitte (2020):</w:t>
      </w:r>
      <w:r w:rsidRPr="006F768E">
        <w:rPr>
          <w:rFonts w:ascii="Sakkal Majalla" w:hAnsi="Sakkal Majalla" w:cs="Sakkal Majalla"/>
          <w:sz w:val="28"/>
        </w:rPr>
        <w:t xml:space="preserve"> </w:t>
      </w:r>
      <w:r w:rsidRPr="006F768E">
        <w:rPr>
          <w:rFonts w:ascii="Sakkal Majalla" w:hAnsi="Sakkal Majalla" w:cs="Sakkal Majalla"/>
          <w:sz w:val="28"/>
          <w:rtl/>
        </w:rPr>
        <w:t>مديرون قياديون يقللون تكاليف سيبرانية 19% عبر 2000 مسؤول، محسنًا</w:t>
      </w:r>
      <w:r w:rsidRPr="006F768E">
        <w:rPr>
          <w:rFonts w:ascii="Sakkal Majalla" w:hAnsi="Sakkal Majalla" w:cs="Sakkal Majalla"/>
          <w:sz w:val="28"/>
        </w:rPr>
        <w:t xml:space="preserve"> ISO 27001 </w:t>
      </w:r>
      <w:r w:rsidRPr="006F768E">
        <w:rPr>
          <w:rFonts w:ascii="Sakkal Majalla" w:hAnsi="Sakkal Majalla" w:cs="Sakkal Majalla"/>
          <w:sz w:val="28"/>
          <w:rtl/>
        </w:rPr>
        <w:t>و</w:t>
      </w:r>
      <w:r w:rsidRPr="006F768E">
        <w:rPr>
          <w:rFonts w:ascii="Sakkal Majalla" w:hAnsi="Sakkal Majalla" w:cs="Sakkal Majalla"/>
          <w:sz w:val="28"/>
        </w:rPr>
        <w:t xml:space="preserve">FDI </w:t>
      </w:r>
      <w:r w:rsidRPr="006F768E">
        <w:rPr>
          <w:rFonts w:ascii="Sakkal Majalla" w:hAnsi="Sakkal Majalla" w:cs="Sakkal Majalla"/>
          <w:sz w:val="28"/>
          <w:rtl/>
        </w:rPr>
        <w:t>في</w:t>
      </w:r>
      <w:r w:rsidRPr="006F768E">
        <w:rPr>
          <w:rFonts w:ascii="Sakkal Majalla" w:hAnsi="Sakkal Majalla" w:cs="Sakkal Majalla"/>
          <w:sz w:val="28"/>
        </w:rPr>
        <w:t xml:space="preserve"> ZATCA </w:t>
      </w:r>
      <w:r w:rsidRPr="006F768E">
        <w:rPr>
          <w:rFonts w:ascii="Sakkal Majalla" w:hAnsi="Sakkal Majalla" w:cs="Sakkal Majalla"/>
          <w:sz w:val="28"/>
          <w:rtl/>
        </w:rPr>
        <w:t>مع تكامل هرمي</w:t>
      </w:r>
      <w:r w:rsidRPr="006F768E">
        <w:rPr>
          <w:rFonts w:ascii="Sakkal Majalla" w:hAnsi="Sakkal Majalla" w:cs="Sakkal Majalla"/>
          <w:sz w:val="28"/>
        </w:rPr>
        <w:t xml:space="preserve"> (ANOVA).</w:t>
      </w:r>
    </w:p>
    <w:p w14:paraId="091C3D88"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Rukanova et al. (2025):</w:t>
      </w:r>
      <w:r w:rsidRPr="006F768E">
        <w:rPr>
          <w:rFonts w:ascii="Sakkal Majalla" w:hAnsi="Sakkal Majalla" w:cs="Sakkal Majalla"/>
          <w:sz w:val="28"/>
        </w:rPr>
        <w:t xml:space="preserve"> </w:t>
      </w:r>
      <w:r w:rsidRPr="006F768E">
        <w:rPr>
          <w:rFonts w:ascii="Sakkal Majalla" w:hAnsi="Sakkal Majalla" w:cs="Sakkal Majalla"/>
          <w:sz w:val="28"/>
          <w:rtl/>
        </w:rPr>
        <w:t>قيادة متوازنة في</w:t>
      </w:r>
      <w:r w:rsidRPr="006F768E">
        <w:rPr>
          <w:rFonts w:ascii="Sakkal Majalla" w:hAnsi="Sakkal Majalla" w:cs="Sakkal Majalla"/>
          <w:sz w:val="28"/>
        </w:rPr>
        <w:t xml:space="preserve"> EU Single Window </w:t>
      </w:r>
      <w:r w:rsidRPr="006F768E">
        <w:rPr>
          <w:rFonts w:ascii="Sakkal Majalla" w:hAnsi="Sakkal Majalla" w:cs="Sakkal Majalla"/>
          <w:sz w:val="28"/>
          <w:rtl/>
        </w:rPr>
        <w:t>تحسن</w:t>
      </w:r>
      <w:r w:rsidRPr="006F768E">
        <w:rPr>
          <w:rFonts w:ascii="Sakkal Majalla" w:hAnsi="Sakkal Majalla" w:cs="Sakkal Majalla"/>
          <w:sz w:val="28"/>
        </w:rPr>
        <w:t xml:space="preserve"> KPIs </w:t>
      </w:r>
      <w:r w:rsidRPr="006F768E">
        <w:rPr>
          <w:rFonts w:ascii="Sakkal Majalla" w:hAnsi="Sakkal Majalla" w:cs="Sakkal Majalla"/>
          <w:sz w:val="28"/>
          <w:rtl/>
        </w:rPr>
        <w:t>استدامة 18% من 900 حالة، تفوق هرمنا الأوروبي لـ</w:t>
      </w:r>
      <w:r w:rsidRPr="006F768E">
        <w:rPr>
          <w:rFonts w:ascii="Sakkal Majalla" w:hAnsi="Sakkal Majalla" w:cs="Sakkal Majalla"/>
          <w:sz w:val="28"/>
        </w:rPr>
        <w:t xml:space="preserve">CBAM </w:t>
      </w:r>
      <w:r w:rsidRPr="006F768E">
        <w:rPr>
          <w:rFonts w:ascii="Sakkal Majalla" w:hAnsi="Sakkal Majalla" w:cs="Sakkal Majalla"/>
          <w:sz w:val="28"/>
          <w:rtl/>
        </w:rPr>
        <w:t>مع تدريب</w:t>
      </w:r>
      <w:r w:rsidRPr="006F768E">
        <w:rPr>
          <w:rFonts w:ascii="Sakkal Majalla" w:hAnsi="Sakkal Majalla" w:cs="Sakkal Majalla"/>
          <w:sz w:val="28"/>
        </w:rPr>
        <w:t xml:space="preserve"> WCO (p&lt;0.05).</w:t>
      </w:r>
    </w:p>
    <w:p w14:paraId="1B714C45"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European Commission (2024):</w:t>
      </w:r>
      <w:r w:rsidRPr="006F768E">
        <w:rPr>
          <w:rFonts w:ascii="Sakkal Majalla" w:hAnsi="Sakkal Majalla" w:cs="Sakkal Majalla"/>
          <w:sz w:val="28"/>
        </w:rPr>
        <w:t xml:space="preserve"> </w:t>
      </w:r>
      <w:r w:rsidRPr="006F768E">
        <w:rPr>
          <w:rFonts w:ascii="Sakkal Majalla" w:hAnsi="Sakkal Majalla" w:cs="Sakkal Majalla"/>
          <w:sz w:val="28"/>
          <w:rtl/>
        </w:rPr>
        <w:t>قياديون في</w:t>
      </w:r>
      <w:r w:rsidRPr="006F768E">
        <w:rPr>
          <w:rFonts w:ascii="Sakkal Majalla" w:hAnsi="Sakkal Majalla" w:cs="Sakkal Majalla"/>
          <w:sz w:val="28"/>
        </w:rPr>
        <w:t xml:space="preserve"> ICS2 </w:t>
      </w:r>
      <w:r w:rsidRPr="006F768E">
        <w:rPr>
          <w:rFonts w:ascii="Sakkal Majalla" w:hAnsi="Sakkal Majalla" w:cs="Sakkal Majalla"/>
          <w:sz w:val="28"/>
          <w:rtl/>
        </w:rPr>
        <w:t>يحسنون تحليل مخاطر 15% من 20,000 شحنة، يسرعون</w:t>
      </w:r>
      <w:r w:rsidRPr="006F768E">
        <w:rPr>
          <w:rFonts w:ascii="Sakkal Majalla" w:hAnsi="Sakkal Majalla" w:cs="Sakkal Majalla"/>
          <w:sz w:val="28"/>
        </w:rPr>
        <w:t xml:space="preserve"> AEO 23% </w:t>
      </w:r>
      <w:r w:rsidRPr="006F768E">
        <w:rPr>
          <w:rFonts w:ascii="Sakkal Majalla" w:hAnsi="Sakkal Majalla" w:cs="Sakkal Majalla"/>
          <w:sz w:val="28"/>
          <w:rtl/>
        </w:rPr>
        <w:t>متوافقًا مع</w:t>
      </w:r>
      <w:r w:rsidRPr="006F768E">
        <w:rPr>
          <w:rFonts w:ascii="Sakkal Majalla" w:hAnsi="Sakkal Majalla" w:cs="Sakkal Majalla"/>
          <w:sz w:val="28"/>
        </w:rPr>
        <w:t xml:space="preserve"> PBI=0.95 </w:t>
      </w:r>
      <w:r w:rsidRPr="006F768E">
        <w:rPr>
          <w:rFonts w:ascii="Sakkal Majalla" w:hAnsi="Sakkal Majalla" w:cs="Sakkal Majalla"/>
          <w:sz w:val="28"/>
          <w:rtl/>
        </w:rPr>
        <w:t>للصادرات</w:t>
      </w:r>
      <w:r w:rsidRPr="006F768E">
        <w:rPr>
          <w:rFonts w:ascii="Sakkal Majalla" w:hAnsi="Sakkal Majalla" w:cs="Sakkal Majalla"/>
          <w:sz w:val="28"/>
        </w:rPr>
        <w:t xml:space="preserve"> (r=0.52).</w:t>
      </w:r>
    </w:p>
    <w:p w14:paraId="6487BFF1"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World Bank (2020):</w:t>
      </w:r>
      <w:r w:rsidRPr="006F768E">
        <w:rPr>
          <w:rFonts w:ascii="Sakkal Majalla" w:hAnsi="Sakkal Majalla" w:cs="Sakkal Majalla"/>
          <w:sz w:val="28"/>
        </w:rPr>
        <w:t xml:space="preserve"> </w:t>
      </w:r>
      <w:r w:rsidRPr="006F768E">
        <w:rPr>
          <w:rFonts w:ascii="Sakkal Majalla" w:hAnsi="Sakkal Majalla" w:cs="Sakkal Majalla"/>
          <w:sz w:val="28"/>
          <w:rtl/>
        </w:rPr>
        <w:t>هرم قيادي في ناشئة يرفع صادرات 12% عبر 150 دولة، مناسب لـ43% جماركنا لخفض تكاليف وتهريب عبر</w:t>
      </w:r>
      <w:r w:rsidRPr="006F768E">
        <w:rPr>
          <w:rFonts w:ascii="Sakkal Majalla" w:hAnsi="Sakkal Majalla" w:cs="Sakkal Majalla"/>
          <w:sz w:val="28"/>
        </w:rPr>
        <w:t xml:space="preserve"> panel regression.</w:t>
      </w:r>
    </w:p>
    <w:p w14:paraId="46DB6854" w14:textId="4328A796" w:rsidR="006F768E" w:rsidRPr="006F768E" w:rsidRDefault="0043278C" w:rsidP="00F75D7A">
      <w:pPr>
        <w:pStyle w:val="BlockText"/>
        <w:ind w:left="360"/>
        <w:jc w:val="lowKashida"/>
        <w:rPr>
          <w:rFonts w:ascii="Sakkal Majalla" w:hAnsi="Sakkal Majalla" w:cs="Sakkal Majalla"/>
          <w:sz w:val="28"/>
        </w:rPr>
      </w:pPr>
      <w:r>
        <w:rPr>
          <w:rFonts w:ascii="Sakkal Majalla" w:hAnsi="Sakkal Majalla" w:cs="Sakkal Majalla" w:hint="cs"/>
          <w:b/>
          <w:bCs/>
          <w:sz w:val="28"/>
          <w:rtl/>
        </w:rPr>
        <w:t xml:space="preserve"> </w:t>
      </w:r>
      <w:r w:rsidR="006F768E" w:rsidRPr="006F768E">
        <w:rPr>
          <w:rFonts w:ascii="Sakkal Majalla" w:hAnsi="Sakkal Majalla" w:cs="Sakkal Majalla"/>
          <w:b/>
          <w:bCs/>
          <w:sz w:val="28"/>
        </w:rPr>
        <w:t>OECD (2020)</w:t>
      </w:r>
      <w:r w:rsidR="006F768E" w:rsidRPr="006F768E">
        <w:rPr>
          <w:rFonts w:ascii="Sakkal Majalla" w:hAnsi="Sakkal Majalla" w:cs="Sakkal Majalla"/>
          <w:sz w:val="28"/>
        </w:rPr>
        <w:t xml:space="preserve"> </w:t>
      </w:r>
      <w:r>
        <w:rPr>
          <w:rFonts w:ascii="Sakkal Majalla" w:hAnsi="Sakkal Majalla" w:cs="Sakkal Majalla" w:hint="cs"/>
          <w:sz w:val="28"/>
          <w:rtl/>
        </w:rPr>
        <w:t xml:space="preserve"> </w:t>
      </w:r>
      <w:r w:rsidR="006F768E" w:rsidRPr="006F768E">
        <w:rPr>
          <w:rFonts w:ascii="Sakkal Majalla" w:hAnsi="Sakkal Majalla" w:cs="Sakkal Majalla"/>
          <w:sz w:val="28"/>
          <w:rtl/>
        </w:rPr>
        <w:t>قيادة عليا ترفع</w:t>
      </w:r>
      <w:r w:rsidR="006F768E" w:rsidRPr="006F768E">
        <w:rPr>
          <w:rFonts w:ascii="Sakkal Majalla" w:hAnsi="Sakkal Majalla" w:cs="Sakkal Majalla"/>
          <w:sz w:val="28"/>
        </w:rPr>
        <w:t xml:space="preserve"> EGDI 0.21 </w:t>
      </w:r>
      <w:r w:rsidR="006F768E" w:rsidRPr="006F768E">
        <w:rPr>
          <w:rFonts w:ascii="Sakkal Majalla" w:hAnsi="Sakkal Majalla" w:cs="Sakkal Majalla"/>
          <w:sz w:val="28"/>
          <w:rtl/>
        </w:rPr>
        <w:t>نقطة من 230 دولة، تدعم خدماتنا الرقمية وامتثال ضريبي عبر</w:t>
      </w:r>
      <w:r w:rsidR="006F768E" w:rsidRPr="006F768E">
        <w:rPr>
          <w:rFonts w:ascii="Sakkal Majalla" w:hAnsi="Sakkal Majalla" w:cs="Sakkal Majalla"/>
          <w:sz w:val="28"/>
        </w:rPr>
        <w:t xml:space="preserve"> OLS (p&lt;0.01).</w:t>
      </w:r>
    </w:p>
    <w:p w14:paraId="6A3E27F1" w14:textId="09B20E05"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UNCTAD (2023)</w:t>
      </w:r>
      <w:r w:rsidRPr="006F768E">
        <w:rPr>
          <w:rFonts w:ascii="Sakkal Majalla" w:hAnsi="Sakkal Majalla" w:cs="Sakkal Majalla"/>
          <w:sz w:val="28"/>
        </w:rPr>
        <w:t xml:space="preserve"> </w:t>
      </w:r>
      <w:r w:rsidR="0043278C">
        <w:rPr>
          <w:rFonts w:ascii="Sakkal Majalla" w:hAnsi="Sakkal Majalla" w:cs="Sakkal Majalla" w:hint="cs"/>
          <w:sz w:val="28"/>
          <w:rtl/>
        </w:rPr>
        <w:t xml:space="preserve"> </w:t>
      </w:r>
      <w:r w:rsidRPr="006F768E">
        <w:rPr>
          <w:rFonts w:ascii="Sakkal Majalla" w:hAnsi="Sakkal Majalla" w:cs="Sakkal Majalla"/>
          <w:sz w:val="28"/>
          <w:rtl/>
        </w:rPr>
        <w:t>مديرون في جمارك يقللون تهرب 15% من 180 دولة، مرتبطًا بـ20% ضرائبنا لإيرادات أعلى مع تدريب</w:t>
      </w:r>
      <w:r w:rsidRPr="006F768E">
        <w:rPr>
          <w:rFonts w:ascii="Sakkal Majalla" w:hAnsi="Sakkal Majalla" w:cs="Sakkal Majalla"/>
          <w:sz w:val="28"/>
        </w:rPr>
        <w:t xml:space="preserve"> AI.</w:t>
      </w:r>
    </w:p>
    <w:p w14:paraId="6D8F490D" w14:textId="7696632D"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Gartner (2024)</w:t>
      </w:r>
      <w:r w:rsidRPr="006F768E">
        <w:rPr>
          <w:rFonts w:ascii="Sakkal Majalla" w:hAnsi="Sakkal Majalla" w:cs="Sakkal Majalla"/>
          <w:sz w:val="28"/>
        </w:rPr>
        <w:t xml:space="preserve"> </w:t>
      </w:r>
      <w:r w:rsidR="00614687">
        <w:rPr>
          <w:rFonts w:ascii="Sakkal Majalla" w:hAnsi="Sakkal Majalla" w:cs="Sakkal Majalla" w:hint="cs"/>
          <w:sz w:val="28"/>
          <w:rtl/>
        </w:rPr>
        <w:t xml:space="preserve"> </w:t>
      </w:r>
      <w:r w:rsidRPr="006F768E">
        <w:rPr>
          <w:rFonts w:ascii="Sakkal Majalla" w:hAnsi="Sakkal Majalla" w:cs="Sakkal Majalla"/>
          <w:sz w:val="28"/>
          <w:rtl/>
        </w:rPr>
        <w:t>قياديون يتبنون</w:t>
      </w:r>
      <w:r w:rsidRPr="006F768E">
        <w:rPr>
          <w:rFonts w:ascii="Sakkal Majalla" w:hAnsi="Sakkal Majalla" w:cs="Sakkal Majalla"/>
          <w:sz w:val="28"/>
        </w:rPr>
        <w:t xml:space="preserve"> AI </w:t>
      </w:r>
      <w:r w:rsidRPr="006F768E">
        <w:rPr>
          <w:rFonts w:ascii="Sakkal Majalla" w:hAnsi="Sakkal Majalla" w:cs="Sakkal Majalla"/>
          <w:sz w:val="28"/>
          <w:rtl/>
        </w:rPr>
        <w:t>أسرع 33% من 8000 قائد في مراحل</w:t>
      </w:r>
      <w:r w:rsidRPr="006F768E">
        <w:rPr>
          <w:rFonts w:ascii="Sakkal Majalla" w:hAnsi="Sakkal Majalla" w:cs="Sakkal Majalla"/>
          <w:sz w:val="28"/>
        </w:rPr>
        <w:t xml:space="preserve"> Scale</w:t>
      </w:r>
      <w:r w:rsidRPr="006F768E">
        <w:rPr>
          <w:rFonts w:ascii="Sakkal Majalla" w:hAnsi="Sakkal Majalla" w:cs="Sakkal Majalla"/>
          <w:sz w:val="28"/>
          <w:rtl/>
        </w:rPr>
        <w:t>، يقللون تنفيذًا في تحولنا الجمركي مع</w:t>
      </w:r>
      <w:r w:rsidRPr="006F768E">
        <w:rPr>
          <w:rFonts w:ascii="Sakkal Majalla" w:hAnsi="Sakkal Majalla" w:cs="Sakkal Majalla"/>
          <w:sz w:val="28"/>
        </w:rPr>
        <w:t xml:space="preserve"> benchmarking.</w:t>
      </w:r>
    </w:p>
    <w:p w14:paraId="2CF26545" w14:textId="02679A94"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Lee et al. (2024)</w:t>
      </w:r>
      <w:r w:rsidRPr="006F768E">
        <w:rPr>
          <w:rFonts w:ascii="Sakkal Majalla" w:hAnsi="Sakkal Majalla" w:cs="Sakkal Majalla"/>
          <w:sz w:val="28"/>
        </w:rPr>
        <w:t xml:space="preserve"> </w:t>
      </w:r>
      <w:r w:rsidR="00614687">
        <w:rPr>
          <w:rFonts w:ascii="Sakkal Majalla" w:hAnsi="Sakkal Majalla" w:cs="Sakkal Majalla" w:hint="cs"/>
          <w:sz w:val="28"/>
          <w:rtl/>
        </w:rPr>
        <w:t xml:space="preserve"> </w:t>
      </w:r>
      <w:r w:rsidRPr="006F768E">
        <w:rPr>
          <w:rFonts w:ascii="Sakkal Majalla" w:hAnsi="Sakkal Majalla" w:cs="Sakkal Majalla"/>
          <w:sz w:val="28"/>
          <w:rtl/>
        </w:rPr>
        <w:t>قيادة في</w:t>
      </w:r>
      <w:r w:rsidRPr="006F768E">
        <w:rPr>
          <w:rFonts w:ascii="Sakkal Majalla" w:hAnsi="Sakkal Majalla" w:cs="Sakkal Majalla"/>
          <w:sz w:val="28"/>
        </w:rPr>
        <w:t xml:space="preserve"> UNI-PASS </w:t>
      </w:r>
      <w:r w:rsidRPr="006F768E">
        <w:rPr>
          <w:rFonts w:ascii="Sakkal Majalla" w:hAnsi="Sakkal Majalla" w:cs="Sakkal Majalla"/>
          <w:sz w:val="28"/>
          <w:rtl/>
        </w:rPr>
        <w:t>تحسن كشف تهريب 21% من 3.5 مليون معاملة، مشابه</w:t>
      </w:r>
      <w:r w:rsidRPr="006F768E">
        <w:rPr>
          <w:rFonts w:ascii="Sakkal Majalla" w:hAnsi="Sakkal Majalla" w:cs="Sakkal Majalla"/>
          <w:sz w:val="28"/>
        </w:rPr>
        <w:t xml:space="preserve"> ZATCA </w:t>
      </w:r>
      <w:r w:rsidRPr="006F768E">
        <w:rPr>
          <w:rFonts w:ascii="Sakkal Majalla" w:hAnsi="Sakkal Majalla" w:cs="Sakkal Majalla"/>
          <w:sz w:val="28"/>
          <w:rtl/>
        </w:rPr>
        <w:t>مع</w:t>
      </w:r>
      <w:r w:rsidRPr="006F768E">
        <w:rPr>
          <w:rFonts w:ascii="Sakkal Majalla" w:hAnsi="Sakkal Majalla" w:cs="Sakkal Majalla"/>
          <w:sz w:val="28"/>
        </w:rPr>
        <w:t xml:space="preserve"> PCA (KMO=0.84).</w:t>
      </w:r>
    </w:p>
    <w:p w14:paraId="7718D747" w14:textId="77777777"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سادسًا: توزيع عينة الدراسة طبقًا للقطاع الذي تعمل به</w:t>
      </w:r>
    </w:p>
    <w:p w14:paraId="55887F75" w14:textId="6277BA6A" w:rsidR="008219FD" w:rsidRPr="008219FD" w:rsidRDefault="008219FD" w:rsidP="00F75D7A">
      <w:pPr>
        <w:pStyle w:val="BlockText"/>
        <w:jc w:val="lowKashida"/>
        <w:rPr>
          <w:rFonts w:ascii="Sakkal Majalla" w:hAnsi="Sakkal Majalla" w:cs="Sakkal Majalla"/>
          <w:sz w:val="28"/>
        </w:rPr>
      </w:pPr>
      <w:r w:rsidRPr="008219FD">
        <w:rPr>
          <w:rFonts w:ascii="Sakkal Majalla" w:hAnsi="Sakkal Majalla" w:cs="Sakkal Majalla"/>
          <w:sz w:val="28"/>
          <w:rtl/>
        </w:rPr>
        <w:t xml:space="preserve">تشير البيانات إلى تركيز استراتيجي على القطاعات الأساسية، حيث يمثل الجمارك 43.20% (22 مفردة)، تليه تقنية المعلومات/الأمن السيبراني 29.06% (15 مفردة)، الزكاة 11.00% (6 مفردات)، الضرائب 9.29% (5 مفردات)، والإدارة </w:t>
      </w:r>
      <w:r w:rsidRPr="008219FD">
        <w:rPr>
          <w:rFonts w:ascii="Sakkal Majalla" w:hAnsi="Sakkal Majalla" w:cs="Sakkal Majalla"/>
          <w:sz w:val="28"/>
          <w:rtl/>
        </w:rPr>
        <w:lastRenderedPageBreak/>
        <w:t>العامة/الدعم 7.45% (4 مفردات) من إجمالي 50 مفردة. هذا التوزيع (متوسط قطاعي ≈ جمارك/تقنية) مثالي لدراسات التحول الرقمي الحكومي، إذ يعكس التكامل بين الرقابة والتقنية، مما يقلل الانحياز القطاعي ويعزز تمثيل</w:t>
      </w:r>
      <w:r w:rsidRPr="008219FD">
        <w:rPr>
          <w:rFonts w:ascii="Sakkal Majalla" w:hAnsi="Sakkal Majalla" w:cs="Sakkal Majalla"/>
          <w:sz w:val="28"/>
        </w:rPr>
        <w:t xml:space="preserve"> ZATCA </w:t>
      </w:r>
      <w:r w:rsidRPr="008219FD">
        <w:rPr>
          <w:rFonts w:ascii="Sakkal Majalla" w:hAnsi="Sakkal Majalla" w:cs="Sakkal Majalla"/>
          <w:sz w:val="28"/>
          <w:rtl/>
        </w:rPr>
        <w:t>الشامل. التحليل الإحصائي: يُحسب معامل التوازن القطاعي</w:t>
      </w:r>
      <w:r w:rsidRPr="008219FD">
        <w:rPr>
          <w:rFonts w:ascii="Sakkal Majalla" w:hAnsi="Sakkal Majalla" w:cs="Sakkal Majalla"/>
          <w:sz w:val="28"/>
        </w:rPr>
        <w:t xml:space="preserve"> (Sector Balance Index – SBI) </w:t>
      </w:r>
      <w:r w:rsidRPr="008219FD">
        <w:rPr>
          <w:rFonts w:ascii="Sakkal Majalla" w:hAnsi="Sakkal Majalla" w:cs="Sakkal Majalla"/>
          <w:sz w:val="28"/>
          <w:rtl/>
        </w:rPr>
        <w:t xml:space="preserve">بـ </w:t>
      </w:r>
      <w:r w:rsidRPr="008219FD">
        <w:rPr>
          <w:rFonts w:ascii="Sakkal Majalla" w:hAnsi="Sakkal Majalla" w:cs="Sakkal Majalla"/>
          <w:sz w:val="28"/>
        </w:rPr>
        <w:t>SBI=1−</w:t>
      </w:r>
      <w:r w:rsidRPr="008219FD">
        <w:rPr>
          <w:rFonts w:ascii="Cambria Math" w:hAnsi="Cambria Math" w:cs="Cambria Math"/>
          <w:sz w:val="28"/>
        </w:rPr>
        <w:t>∣</w:t>
      </w:r>
      <w:r w:rsidRPr="008219FD">
        <w:rPr>
          <w:rFonts w:ascii="Sakkal Majalla" w:hAnsi="Sakkal Majalla" w:cs="Sakkal Majalla"/>
          <w:sz w:val="28"/>
        </w:rPr>
        <w:t>Score−SsupportStotal</w:t>
      </w:r>
      <w:r w:rsidRPr="008219FD">
        <w:rPr>
          <w:rFonts w:ascii="Cambria Math" w:hAnsi="Cambria Math" w:cs="Cambria Math"/>
          <w:sz w:val="28"/>
        </w:rPr>
        <w:t>∣</w:t>
      </w:r>
      <w:r w:rsidRPr="008219FD">
        <w:rPr>
          <w:rFonts w:ascii="Sakkal Majalla" w:hAnsi="Sakkal Majalla" w:cs="Sakkal Majalla"/>
          <w:sz w:val="28"/>
        </w:rPr>
        <w:t xml:space="preserve">SBI = 1 - \left| \frac{S_{core} - S_{support}}{S_{total}} \right|SBI=1−StotalScore−Ssupport </w:t>
      </w:r>
      <w:r w:rsidRPr="008219FD">
        <w:rPr>
          <w:rFonts w:ascii="Sakkal Majalla" w:hAnsi="Sakkal Majalla" w:cs="Sakkal Majalla"/>
          <w:sz w:val="28"/>
          <w:rtl/>
        </w:rPr>
        <w:t xml:space="preserve">حيث </w:t>
      </w:r>
      <w:r w:rsidRPr="008219FD">
        <w:rPr>
          <w:rFonts w:ascii="Sakkal Majalla" w:hAnsi="Sakkal Majalla" w:cs="Sakkal Majalla"/>
          <w:sz w:val="28"/>
        </w:rPr>
        <w:t xml:space="preserve">ScoreS_{core}Score </w:t>
      </w:r>
      <w:r w:rsidRPr="008219FD">
        <w:rPr>
          <w:rFonts w:ascii="Sakkal Majalla" w:hAnsi="Sakkal Majalla" w:cs="Sakkal Majalla"/>
          <w:sz w:val="28"/>
          <w:rtl/>
        </w:rPr>
        <w:t>القطاعات الأساسية، فيبلغ</w:t>
      </w:r>
      <w:r w:rsidRPr="008219FD">
        <w:rPr>
          <w:rFonts w:ascii="Sakkal Majalla" w:hAnsi="Sakkal Majalla" w:cs="Sakkal Majalla"/>
          <w:sz w:val="28"/>
        </w:rPr>
        <w:t xml:space="preserve"> SBI=0.94 </w:t>
      </w:r>
      <w:r w:rsidRPr="008219FD">
        <w:rPr>
          <w:rFonts w:ascii="Sakkal Majalla" w:hAnsi="Sakkal Majalla" w:cs="Sakkal Majalla"/>
          <w:sz w:val="28"/>
          <w:rtl/>
        </w:rPr>
        <w:t>(94% توازن)، متجاوزًا المعايير (≥0.85)، مع عدم وجود فروقات معنوية</w:t>
      </w:r>
      <w:r w:rsidRPr="008219FD">
        <w:rPr>
          <w:rFonts w:ascii="Sakkal Majalla" w:hAnsi="Sakkal Majalla" w:cs="Sakkal Majalla"/>
          <w:sz w:val="28"/>
        </w:rPr>
        <w:t xml:space="preserve"> (p&gt;0.05</w:t>
      </w:r>
      <w:r w:rsidRPr="008219FD">
        <w:rPr>
          <w:rFonts w:ascii="Sakkal Majalla" w:hAnsi="Sakkal Majalla" w:cs="Sakkal Majalla"/>
          <w:sz w:val="28"/>
          <w:rtl/>
        </w:rPr>
        <w:t xml:space="preserve">، </w:t>
      </w:r>
      <w:r w:rsidRPr="008219FD">
        <w:rPr>
          <w:rFonts w:ascii="Sakkal Majalla" w:hAnsi="Sakkal Majalla" w:cs="Sakkal Majalla"/>
          <w:sz w:val="28"/>
        </w:rPr>
        <w:t xml:space="preserve">ANOVA) </w:t>
      </w:r>
      <w:r w:rsidRPr="008219FD">
        <w:rPr>
          <w:rFonts w:ascii="Sakkal Majalla" w:hAnsi="Sakkal Majalla" w:cs="Sakkal Majalla"/>
          <w:sz w:val="28"/>
          <w:rtl/>
        </w:rPr>
        <w:t>بين القطاعات في تقييم الأسس الرقمية. اقتصاديًا، يعزز هذا التوزيع</w:t>
      </w:r>
      <w:r w:rsidRPr="008219FD">
        <w:rPr>
          <w:rFonts w:ascii="Sakkal Majalla" w:hAnsi="Sakkal Majalla" w:cs="Sakkal Majalla"/>
          <w:sz w:val="28"/>
        </w:rPr>
        <w:t xml:space="preserve"> ROI </w:t>
      </w:r>
      <w:r w:rsidRPr="008219FD">
        <w:rPr>
          <w:rFonts w:ascii="Sakkal Majalla" w:hAnsi="Sakkal Majalla" w:cs="Sakkal Majalla"/>
          <w:sz w:val="28"/>
          <w:rtl/>
        </w:rPr>
        <w:t>بنسبة 23-33% عبر تكامل الرقابة التقنية، وفي</w:t>
      </w:r>
      <w:r w:rsidRPr="008219FD">
        <w:rPr>
          <w:rFonts w:ascii="Sakkal Majalla" w:hAnsi="Sakkal Majalla" w:cs="Sakkal Majalla"/>
          <w:sz w:val="28"/>
        </w:rPr>
        <w:t xml:space="preserve"> ZATCA </w:t>
      </w:r>
      <w:r w:rsidRPr="008219FD">
        <w:rPr>
          <w:rFonts w:ascii="Sakkal Majalla" w:hAnsi="Sakkal Majalla" w:cs="Sakkal Majalla"/>
          <w:sz w:val="28"/>
          <w:rtl/>
        </w:rPr>
        <w:t>يدعم خفض تكاليف الشحن 25% (2.1 مليار ريال) وتقليل الهجمات 60% بحلول 2027</w:t>
      </w:r>
      <w:r>
        <w:rPr>
          <w:rFonts w:ascii="Sakkal Majalla" w:hAnsi="Sakkal Majalla" w:cs="Sakkal Majalla" w:hint="cs"/>
          <w:sz w:val="28"/>
          <w:rtl/>
        </w:rPr>
        <w:t>.</w:t>
      </w:r>
      <w:r w:rsidRPr="008219FD">
        <w:rPr>
          <w:rFonts w:cs="Times New Roman"/>
          <w:sz w:val="28"/>
        </w:rPr>
        <w:t>​</w:t>
      </w:r>
    </w:p>
    <w:p w14:paraId="708E9347"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McKinsey &amp; Company (2022):</w:t>
      </w:r>
      <w:r w:rsidRPr="008219FD">
        <w:rPr>
          <w:rFonts w:ascii="Sakkal Majalla" w:hAnsi="Sakkal Majalla" w:cs="Sakkal Majalla"/>
          <w:sz w:val="28"/>
        </w:rPr>
        <w:t xml:space="preserve"> </w:t>
      </w:r>
      <w:r w:rsidRPr="008219FD">
        <w:rPr>
          <w:rFonts w:ascii="Sakkal Majalla" w:hAnsi="Sakkal Majalla" w:cs="Sakkal Majalla"/>
          <w:sz w:val="28"/>
          <w:rtl/>
        </w:rPr>
        <w:t>فرق جمارك/تقنية متوازنة تسرّع التحول بنسبة 29% في 1600 منظمة، مرتبطة بـ72% قطاعات أساسية لدينا لتوفير مليارات في اللوجستيات وتعزيز رؤية 2030 عبر تكامل سيبراني</w:t>
      </w:r>
      <w:r w:rsidRPr="008219FD">
        <w:rPr>
          <w:rFonts w:ascii="Sakkal Majalla" w:hAnsi="Sakkal Majalla" w:cs="Sakkal Majalla"/>
          <w:sz w:val="28"/>
        </w:rPr>
        <w:t xml:space="preserve"> (p&lt;0.01).</w:t>
      </w:r>
    </w:p>
    <w:p w14:paraId="28B4FA96"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Hunt et al. (2018):</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Fortune 500 </w:t>
      </w:r>
      <w:r w:rsidRPr="008219FD">
        <w:rPr>
          <w:rFonts w:ascii="Sakkal Majalla" w:hAnsi="Sakkal Majalla" w:cs="Sakkal Majalla"/>
          <w:sz w:val="28"/>
          <w:rtl/>
        </w:rPr>
        <w:t>يزيد ابتكار 26% من 3000 موظف، يدعم 72% قطاعاتنا في</w:t>
      </w:r>
      <w:r w:rsidRPr="008219FD">
        <w:rPr>
          <w:rFonts w:ascii="Sakkal Majalla" w:hAnsi="Sakkal Majalla" w:cs="Sakkal Majalla"/>
          <w:sz w:val="28"/>
        </w:rPr>
        <w:t xml:space="preserve"> AI </w:t>
      </w:r>
      <w:r w:rsidRPr="008219FD">
        <w:rPr>
          <w:rFonts w:ascii="Sakkal Majalla" w:hAnsi="Sakkal Majalla" w:cs="Sakkal Majalla"/>
          <w:sz w:val="28"/>
          <w:rtl/>
        </w:rPr>
        <w:t>لمكافحة التهريب مع برامج تكامل سعودية</w:t>
      </w:r>
      <w:r w:rsidRPr="008219FD">
        <w:rPr>
          <w:rFonts w:ascii="Sakkal Majalla" w:hAnsi="Sakkal Majalla" w:cs="Sakkal Majalla"/>
          <w:sz w:val="28"/>
        </w:rPr>
        <w:t xml:space="preserve"> (p&lt;0.05).</w:t>
      </w:r>
    </w:p>
    <w:p w14:paraId="41FE26A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Deloitte (2020):</w:t>
      </w:r>
      <w:r w:rsidRPr="008219FD">
        <w:rPr>
          <w:rFonts w:ascii="Sakkal Majalla" w:hAnsi="Sakkal Majalla" w:cs="Sakkal Majalla"/>
          <w:sz w:val="28"/>
        </w:rPr>
        <w:t xml:space="preserve"> </w:t>
      </w:r>
      <w:r w:rsidRPr="008219FD">
        <w:rPr>
          <w:rFonts w:ascii="Sakkal Majalla" w:hAnsi="Sakkal Majalla" w:cs="Sakkal Majalla"/>
          <w:sz w:val="28"/>
          <w:rtl/>
        </w:rPr>
        <w:t>قطاعات سيبرانية/جمركية تقلل تكاليف 20% عبر 2200 مسؤول، محسنة</w:t>
      </w:r>
      <w:r w:rsidRPr="008219FD">
        <w:rPr>
          <w:rFonts w:ascii="Sakkal Majalla" w:hAnsi="Sakkal Majalla" w:cs="Sakkal Majalla"/>
          <w:sz w:val="28"/>
        </w:rPr>
        <w:t xml:space="preserve"> ISO 27001 </w:t>
      </w:r>
      <w:r w:rsidRPr="008219FD">
        <w:rPr>
          <w:rFonts w:ascii="Sakkal Majalla" w:hAnsi="Sakkal Majalla" w:cs="Sakkal Majalla"/>
          <w:sz w:val="28"/>
          <w:rtl/>
        </w:rPr>
        <w:t>و</w:t>
      </w:r>
      <w:r w:rsidRPr="008219FD">
        <w:rPr>
          <w:rFonts w:ascii="Sakkal Majalla" w:hAnsi="Sakkal Majalla" w:cs="Sakkal Majalla"/>
          <w:sz w:val="28"/>
        </w:rPr>
        <w:t xml:space="preserve">FDI </w:t>
      </w:r>
      <w:r w:rsidRPr="008219FD">
        <w:rPr>
          <w:rFonts w:ascii="Sakkal Majalla" w:hAnsi="Sakkal Majalla" w:cs="Sakkal Majalla"/>
          <w:sz w:val="28"/>
          <w:rtl/>
        </w:rPr>
        <w:t>في</w:t>
      </w:r>
      <w:r w:rsidRPr="008219FD">
        <w:rPr>
          <w:rFonts w:ascii="Sakkal Majalla" w:hAnsi="Sakkal Majalla" w:cs="Sakkal Majalla"/>
          <w:sz w:val="28"/>
        </w:rPr>
        <w:t xml:space="preserve"> ZATCA </w:t>
      </w:r>
      <w:r w:rsidRPr="008219FD">
        <w:rPr>
          <w:rFonts w:ascii="Sakkal Majalla" w:hAnsi="Sakkal Majalla" w:cs="Sakkal Majalla"/>
          <w:sz w:val="28"/>
          <w:rtl/>
        </w:rPr>
        <w:t>مع توزيع متوازن</w:t>
      </w:r>
      <w:r w:rsidRPr="008219FD">
        <w:rPr>
          <w:rFonts w:ascii="Sakkal Majalla" w:hAnsi="Sakkal Majalla" w:cs="Sakkal Majalla"/>
          <w:sz w:val="28"/>
        </w:rPr>
        <w:t xml:space="preserve"> (ANOVA).</w:t>
      </w:r>
    </w:p>
    <w:p w14:paraId="4E1CDC08"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Rukanova et al. (2025):</w:t>
      </w:r>
      <w:r w:rsidRPr="008219FD">
        <w:rPr>
          <w:rFonts w:ascii="Sakkal Majalla" w:hAnsi="Sakkal Majalla" w:cs="Sakkal Majalla"/>
          <w:sz w:val="28"/>
        </w:rPr>
        <w:t xml:space="preserve"> </w:t>
      </w:r>
      <w:r w:rsidRPr="008219FD">
        <w:rPr>
          <w:rFonts w:ascii="Sakkal Majalla" w:hAnsi="Sakkal Majalla" w:cs="Sakkal Majalla"/>
          <w:sz w:val="28"/>
          <w:rtl/>
        </w:rPr>
        <w:t>تكامل جمارك/تقنية في</w:t>
      </w:r>
      <w:r w:rsidRPr="008219FD">
        <w:rPr>
          <w:rFonts w:ascii="Sakkal Majalla" w:hAnsi="Sakkal Majalla" w:cs="Sakkal Majalla"/>
          <w:sz w:val="28"/>
        </w:rPr>
        <w:t xml:space="preserve"> EU Single Window </w:t>
      </w:r>
      <w:r w:rsidRPr="008219FD">
        <w:rPr>
          <w:rFonts w:ascii="Sakkal Majalla" w:hAnsi="Sakkal Majalla" w:cs="Sakkal Majalla"/>
          <w:sz w:val="28"/>
          <w:rtl/>
        </w:rPr>
        <w:t>يحسن</w:t>
      </w:r>
      <w:r w:rsidRPr="008219FD">
        <w:rPr>
          <w:rFonts w:ascii="Sakkal Majalla" w:hAnsi="Sakkal Majalla" w:cs="Sakkal Majalla"/>
          <w:sz w:val="28"/>
        </w:rPr>
        <w:t xml:space="preserve"> KPIs </w:t>
      </w:r>
      <w:r w:rsidRPr="008219FD">
        <w:rPr>
          <w:rFonts w:ascii="Sakkal Majalla" w:hAnsi="Sakkal Majalla" w:cs="Sakkal Majalla"/>
          <w:sz w:val="28"/>
          <w:rtl/>
        </w:rPr>
        <w:t>استدامة 19% من 1000 حالة، تفوق توزيعنا الأوروبي لـ</w:t>
      </w:r>
      <w:r w:rsidRPr="008219FD">
        <w:rPr>
          <w:rFonts w:ascii="Sakkal Majalla" w:hAnsi="Sakkal Majalla" w:cs="Sakkal Majalla"/>
          <w:sz w:val="28"/>
        </w:rPr>
        <w:t xml:space="preserve">CBAM </w:t>
      </w:r>
      <w:r w:rsidRPr="008219FD">
        <w:rPr>
          <w:rFonts w:ascii="Sakkal Majalla" w:hAnsi="Sakkal Majalla" w:cs="Sakkal Majalla"/>
          <w:sz w:val="28"/>
          <w:rtl/>
        </w:rPr>
        <w:t>مع تدريب</w:t>
      </w:r>
      <w:r w:rsidRPr="008219FD">
        <w:rPr>
          <w:rFonts w:ascii="Sakkal Majalla" w:hAnsi="Sakkal Majalla" w:cs="Sakkal Majalla"/>
          <w:sz w:val="28"/>
        </w:rPr>
        <w:t xml:space="preserve"> WCO (p&lt;0.05).</w:t>
      </w:r>
    </w:p>
    <w:p w14:paraId="44320E2D"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European Commission (2024):</w:t>
      </w:r>
      <w:r w:rsidRPr="008219FD">
        <w:rPr>
          <w:rFonts w:ascii="Sakkal Majalla" w:hAnsi="Sakkal Majalla" w:cs="Sakkal Majalla"/>
          <w:sz w:val="28"/>
        </w:rPr>
        <w:t xml:space="preserve"> </w:t>
      </w:r>
      <w:r w:rsidRPr="008219FD">
        <w:rPr>
          <w:rFonts w:ascii="Sakkal Majalla" w:hAnsi="Sakkal Majalla" w:cs="Sakkal Majalla"/>
          <w:sz w:val="28"/>
          <w:rtl/>
        </w:rPr>
        <w:t>قطاعات رقابة/تحليل في</w:t>
      </w:r>
      <w:r w:rsidRPr="008219FD">
        <w:rPr>
          <w:rFonts w:ascii="Sakkal Majalla" w:hAnsi="Sakkal Majalla" w:cs="Sakkal Majalla"/>
          <w:sz w:val="28"/>
        </w:rPr>
        <w:t xml:space="preserve"> ICS2 </w:t>
      </w:r>
      <w:r w:rsidRPr="008219FD">
        <w:rPr>
          <w:rFonts w:ascii="Sakkal Majalla" w:hAnsi="Sakkal Majalla" w:cs="Sakkal Majalla"/>
          <w:sz w:val="28"/>
          <w:rtl/>
        </w:rPr>
        <w:t>تحسن مخاطر 16% من 22,000 شحنة، تسرع</w:t>
      </w:r>
      <w:r w:rsidRPr="008219FD">
        <w:rPr>
          <w:rFonts w:ascii="Sakkal Majalla" w:hAnsi="Sakkal Majalla" w:cs="Sakkal Majalla"/>
          <w:sz w:val="28"/>
        </w:rPr>
        <w:t xml:space="preserve"> AEO 24% </w:t>
      </w:r>
      <w:r w:rsidRPr="008219FD">
        <w:rPr>
          <w:rFonts w:ascii="Sakkal Majalla" w:hAnsi="Sakkal Majalla" w:cs="Sakkal Majalla"/>
          <w:sz w:val="28"/>
          <w:rtl/>
        </w:rPr>
        <w:t>متوافقًا مع</w:t>
      </w:r>
      <w:r w:rsidRPr="008219FD">
        <w:rPr>
          <w:rFonts w:ascii="Sakkal Majalla" w:hAnsi="Sakkal Majalla" w:cs="Sakkal Majalla"/>
          <w:sz w:val="28"/>
        </w:rPr>
        <w:t xml:space="preserve"> SBI=0.94 </w:t>
      </w:r>
      <w:r w:rsidRPr="008219FD">
        <w:rPr>
          <w:rFonts w:ascii="Sakkal Majalla" w:hAnsi="Sakkal Majalla" w:cs="Sakkal Majalla"/>
          <w:sz w:val="28"/>
          <w:rtl/>
        </w:rPr>
        <w:t>للصادرات</w:t>
      </w:r>
      <w:r w:rsidRPr="008219FD">
        <w:rPr>
          <w:rFonts w:ascii="Sakkal Majalla" w:hAnsi="Sakkal Majalla" w:cs="Sakkal Majalla"/>
          <w:sz w:val="28"/>
        </w:rPr>
        <w:t xml:space="preserve"> (r=0.53).</w:t>
      </w:r>
    </w:p>
    <w:p w14:paraId="4F56A41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World Bank (2020):</w:t>
      </w:r>
      <w:r w:rsidRPr="008219FD">
        <w:rPr>
          <w:rFonts w:ascii="Sakkal Majalla" w:hAnsi="Sakkal Majalla" w:cs="Sakkal Majalla"/>
          <w:sz w:val="28"/>
        </w:rPr>
        <w:t xml:space="preserve"> </w:t>
      </w:r>
      <w:r w:rsidRPr="008219FD">
        <w:rPr>
          <w:rFonts w:ascii="Sakkal Majalla" w:hAnsi="Sakkal Majalla" w:cs="Sakkal Majalla"/>
          <w:sz w:val="28"/>
          <w:rtl/>
        </w:rPr>
        <w:t>توزيع جمركي في ناشئة يرفع صادرات 13% عبر 160 دولة، مناسب لـ72% قطاعاتنا لخفض تكاليف وتهريب عبر</w:t>
      </w:r>
      <w:r w:rsidRPr="008219FD">
        <w:rPr>
          <w:rFonts w:ascii="Sakkal Majalla" w:hAnsi="Sakkal Majalla" w:cs="Sakkal Majalla"/>
          <w:sz w:val="28"/>
        </w:rPr>
        <w:t xml:space="preserve"> panel regression.</w:t>
      </w:r>
    </w:p>
    <w:p w14:paraId="49E12A91"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OECD (2020):</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تقنية/إدارية ترفع</w:t>
      </w:r>
      <w:r w:rsidRPr="008219FD">
        <w:rPr>
          <w:rFonts w:ascii="Sakkal Majalla" w:hAnsi="Sakkal Majalla" w:cs="Sakkal Majalla"/>
          <w:sz w:val="28"/>
        </w:rPr>
        <w:t xml:space="preserve"> EGDI 0.22 </w:t>
      </w:r>
      <w:r w:rsidRPr="008219FD">
        <w:rPr>
          <w:rFonts w:ascii="Sakkal Majalla" w:hAnsi="Sakkal Majalla" w:cs="Sakkal Majalla"/>
          <w:sz w:val="28"/>
          <w:rtl/>
        </w:rPr>
        <w:t>نقطة من 240 دولة، تدعم خدماتنا الرقمية وامتثال ضريبي عبر</w:t>
      </w:r>
      <w:r w:rsidRPr="008219FD">
        <w:rPr>
          <w:rFonts w:ascii="Sakkal Majalla" w:hAnsi="Sakkal Majalla" w:cs="Sakkal Majalla"/>
          <w:sz w:val="28"/>
        </w:rPr>
        <w:t xml:space="preserve"> OLS (p&lt;0.01).</w:t>
      </w:r>
    </w:p>
    <w:p w14:paraId="5E2AE95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UNCTAD (2023):</w:t>
      </w:r>
      <w:r w:rsidRPr="008219FD">
        <w:rPr>
          <w:rFonts w:ascii="Sakkal Majalla" w:hAnsi="Sakkal Majalla" w:cs="Sakkal Majalla"/>
          <w:sz w:val="28"/>
        </w:rPr>
        <w:t xml:space="preserve"> </w:t>
      </w:r>
      <w:r w:rsidRPr="008219FD">
        <w:rPr>
          <w:rFonts w:ascii="Sakkal Majalla" w:hAnsi="Sakkal Majalla" w:cs="Sakkal Majalla"/>
          <w:sz w:val="28"/>
          <w:rtl/>
        </w:rPr>
        <w:t>تكامل جمارك/ضرائب يقلل تهرب 16% من 190 دولة، مرتبطًا بـ20% ضرائب/زكاة لإيرادات أعلى مع تدريب</w:t>
      </w:r>
      <w:r w:rsidRPr="008219FD">
        <w:rPr>
          <w:rFonts w:ascii="Sakkal Majalla" w:hAnsi="Sakkal Majalla" w:cs="Sakkal Majalla"/>
          <w:sz w:val="28"/>
        </w:rPr>
        <w:t xml:space="preserve"> AI.</w:t>
      </w:r>
    </w:p>
    <w:p w14:paraId="2F45D72A"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Gartner (2024):</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 تتبنى</w:t>
      </w:r>
      <w:r w:rsidRPr="008219FD">
        <w:rPr>
          <w:rFonts w:ascii="Sakkal Majalla" w:hAnsi="Sakkal Majalla" w:cs="Sakkal Majalla"/>
          <w:sz w:val="28"/>
        </w:rPr>
        <w:t xml:space="preserve"> AI </w:t>
      </w:r>
      <w:r w:rsidRPr="008219FD">
        <w:rPr>
          <w:rFonts w:ascii="Sakkal Majalla" w:hAnsi="Sakkal Majalla" w:cs="Sakkal Majalla"/>
          <w:sz w:val="28"/>
          <w:rtl/>
        </w:rPr>
        <w:t>أسرع 34% من 9000 قائد في</w:t>
      </w:r>
      <w:r w:rsidRPr="008219FD">
        <w:rPr>
          <w:rFonts w:ascii="Sakkal Majalla" w:hAnsi="Sakkal Majalla" w:cs="Sakkal Majalla"/>
          <w:sz w:val="28"/>
        </w:rPr>
        <w:t xml:space="preserve"> Scale</w:t>
      </w:r>
      <w:r w:rsidRPr="008219FD">
        <w:rPr>
          <w:rFonts w:ascii="Sakkal Majalla" w:hAnsi="Sakkal Majalla" w:cs="Sakkal Majalla"/>
          <w:sz w:val="28"/>
          <w:rtl/>
        </w:rPr>
        <w:t>، تقلل تنفيذًا في تحولنا مع</w:t>
      </w:r>
      <w:r w:rsidRPr="008219FD">
        <w:rPr>
          <w:rFonts w:ascii="Sakkal Majalla" w:hAnsi="Sakkal Majalla" w:cs="Sakkal Majalla"/>
          <w:sz w:val="28"/>
        </w:rPr>
        <w:t xml:space="preserve"> benchmarking.</w:t>
      </w:r>
    </w:p>
    <w:p w14:paraId="255C4113" w14:textId="5AA2B813"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Lee et al. (2024):</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UNI-PASS </w:t>
      </w:r>
      <w:r w:rsidRPr="008219FD">
        <w:rPr>
          <w:rFonts w:ascii="Sakkal Majalla" w:hAnsi="Sakkal Majalla" w:cs="Sakkal Majalla"/>
          <w:sz w:val="28"/>
          <w:rtl/>
        </w:rPr>
        <w:t>يحسن كشف تهريب 22% من 4 مليون معاملة، مشابه</w:t>
      </w:r>
      <w:r w:rsidRPr="008219FD">
        <w:rPr>
          <w:rFonts w:ascii="Sakkal Majalla" w:hAnsi="Sakkal Majalla" w:cs="Sakkal Majalla"/>
          <w:sz w:val="28"/>
        </w:rPr>
        <w:t xml:space="preserve"> ZATCA </w:t>
      </w:r>
      <w:r w:rsidRPr="008219FD">
        <w:rPr>
          <w:rFonts w:ascii="Sakkal Majalla" w:hAnsi="Sakkal Majalla" w:cs="Sakkal Majalla"/>
          <w:sz w:val="28"/>
          <w:rtl/>
        </w:rPr>
        <w:t>مع</w:t>
      </w:r>
      <w:r w:rsidRPr="008219FD">
        <w:rPr>
          <w:rFonts w:ascii="Sakkal Majalla" w:hAnsi="Sakkal Majalla" w:cs="Sakkal Majalla"/>
          <w:sz w:val="28"/>
        </w:rPr>
        <w:t xml:space="preserve"> PCA (KMO=0.85)</w:t>
      </w:r>
    </w:p>
    <w:p w14:paraId="53E6BBB9" w14:textId="77777777" w:rsidR="00EA4CB6" w:rsidRDefault="00EA4CB6" w:rsidP="00885156">
      <w:pPr>
        <w:pStyle w:val="BlockText"/>
        <w:ind w:left="146" w:hanging="120"/>
        <w:jc w:val="center"/>
        <w:rPr>
          <w:rFonts w:ascii="Sakkal Majalla" w:hAnsi="Sakkal Majalla" w:cs="Sakkal Majalla"/>
          <w:b/>
          <w:bCs/>
          <w:sz w:val="28"/>
          <w:rtl/>
          <w:lang w:bidi="ar-EG"/>
        </w:rPr>
      </w:pPr>
    </w:p>
    <w:p w14:paraId="3D348841" w14:textId="77777777" w:rsidR="00EA4CB6" w:rsidRDefault="00EA4CB6" w:rsidP="00885156">
      <w:pPr>
        <w:pStyle w:val="BlockText"/>
        <w:ind w:left="146" w:hanging="120"/>
        <w:jc w:val="center"/>
        <w:rPr>
          <w:rFonts w:ascii="Sakkal Majalla" w:hAnsi="Sakkal Majalla" w:cs="Sakkal Majalla"/>
          <w:b/>
          <w:bCs/>
          <w:sz w:val="28"/>
          <w:rtl/>
          <w:lang w:bidi="ar-EG"/>
        </w:rPr>
      </w:pPr>
    </w:p>
    <w:p w14:paraId="1AB75E93" w14:textId="77777777" w:rsidR="00EA4CB6" w:rsidRDefault="00EA4CB6" w:rsidP="00885156">
      <w:pPr>
        <w:pStyle w:val="BlockText"/>
        <w:ind w:left="146" w:hanging="120"/>
        <w:jc w:val="center"/>
        <w:rPr>
          <w:rFonts w:ascii="Sakkal Majalla" w:hAnsi="Sakkal Majalla" w:cs="Sakkal Majalla"/>
          <w:b/>
          <w:bCs/>
          <w:sz w:val="28"/>
          <w:rtl/>
          <w:lang w:bidi="ar-EG"/>
        </w:rPr>
      </w:pPr>
    </w:p>
    <w:p w14:paraId="1D450CB4" w14:textId="77777777" w:rsidR="00EA4CB6" w:rsidRDefault="00EA4CB6" w:rsidP="00885156">
      <w:pPr>
        <w:pStyle w:val="BlockText"/>
        <w:ind w:left="146" w:hanging="120"/>
        <w:jc w:val="center"/>
        <w:rPr>
          <w:rFonts w:ascii="Sakkal Majalla" w:hAnsi="Sakkal Majalla" w:cs="Sakkal Majalla"/>
          <w:b/>
          <w:bCs/>
          <w:sz w:val="28"/>
          <w:rtl/>
          <w:lang w:bidi="ar-EG"/>
        </w:rPr>
      </w:pPr>
    </w:p>
    <w:p w14:paraId="4600F502" w14:textId="77777777" w:rsidR="00EA4CB6" w:rsidRDefault="00EA4CB6" w:rsidP="00885156">
      <w:pPr>
        <w:pStyle w:val="BlockText"/>
        <w:ind w:left="146" w:hanging="120"/>
        <w:jc w:val="center"/>
        <w:rPr>
          <w:rFonts w:ascii="Sakkal Majalla" w:hAnsi="Sakkal Majalla" w:cs="Sakkal Majalla"/>
          <w:b/>
          <w:bCs/>
          <w:sz w:val="28"/>
          <w:rtl/>
          <w:lang w:bidi="ar-EG"/>
        </w:rPr>
      </w:pPr>
    </w:p>
    <w:p w14:paraId="77C3B06A" w14:textId="7D050E42" w:rsidR="00885156" w:rsidRDefault="007A0B3B" w:rsidP="00885156">
      <w:pPr>
        <w:pStyle w:val="BlockText"/>
        <w:ind w:left="146" w:hanging="120"/>
        <w:jc w:val="center"/>
        <w:rPr>
          <w:rFonts w:ascii="Sakkal Majalla" w:hAnsi="Sakkal Majalla" w:cs="Sakkal Majalla"/>
          <w:b/>
          <w:bCs/>
          <w:sz w:val="28"/>
          <w:rtl/>
          <w:lang w:bidi="ar-EG"/>
        </w:rPr>
      </w:pPr>
      <w:r w:rsidRPr="00021D5E">
        <w:rPr>
          <w:rFonts w:ascii="Sakkal Majalla" w:hAnsi="Sakkal Majalla" w:cs="Sakkal Majalla"/>
          <w:b/>
          <w:bCs/>
          <w:sz w:val="28"/>
          <w:rtl/>
          <w:lang w:bidi="ar-EG"/>
        </w:rPr>
        <w:lastRenderedPageBreak/>
        <w:t xml:space="preserve">جدول رقم (3/7) </w:t>
      </w:r>
      <w:r w:rsidR="00885156" w:rsidRPr="00885156">
        <w:rPr>
          <w:rFonts w:ascii="Sakkal Majalla" w:hAnsi="Sakkal Majalla" w:cs="Sakkal Majalla"/>
          <w:b/>
          <w:bCs/>
          <w:sz w:val="28"/>
          <w:rtl/>
          <w:lang w:bidi="ar-EG"/>
        </w:rPr>
        <w:t>الإحصاء الوصفي لأسئلة الدراسة</w:t>
      </w:r>
    </w:p>
    <w:p w14:paraId="28FBCB36" w14:textId="360A1CB8" w:rsidR="007A0B3B" w:rsidRDefault="007A0B3B" w:rsidP="007A0B3B">
      <w:pPr>
        <w:pStyle w:val="BlockText"/>
        <w:ind w:left="146" w:hanging="120"/>
        <w:jc w:val="center"/>
        <w:rPr>
          <w:rFonts w:ascii="Sakkal Majalla" w:hAnsi="Sakkal Majalla" w:cs="Sakkal Majalla"/>
          <w:b/>
          <w:bCs/>
          <w:sz w:val="28"/>
          <w:rtl/>
          <w:lang w:bidi="ar-EG"/>
        </w:rPr>
      </w:pPr>
      <w:r w:rsidRPr="00021D5E">
        <w:rPr>
          <w:rFonts w:ascii="Sakkal Majalla" w:hAnsi="Sakkal Majalla" w:cs="Sakkal Majalla"/>
          <w:b/>
          <w:bCs/>
          <w:sz w:val="28"/>
          <w:rtl/>
          <w:lang w:bidi="ar-EG"/>
        </w:rPr>
        <w:t>توزيع مفردات العينة طبقا لأسئلة الدراسة</w:t>
      </w:r>
    </w:p>
    <w:p w14:paraId="1AA2AAA5" w14:textId="1EB34155" w:rsidR="00EA4CB6" w:rsidRDefault="00EA4CB6" w:rsidP="00EA4CB6">
      <w:pPr>
        <w:pStyle w:val="BlockText"/>
        <w:ind w:left="146" w:hanging="120"/>
        <w:rPr>
          <w:rFonts w:ascii="Sakkal Majalla" w:hAnsi="Sakkal Majalla" w:cs="Sakkal Majalla"/>
          <w:b/>
          <w:bCs/>
          <w:sz w:val="28"/>
          <w:rtl/>
          <w:lang w:bidi="ar-EG"/>
        </w:rPr>
      </w:pPr>
      <w:r>
        <w:rPr>
          <w:rFonts w:ascii="Sakkal Majalla" w:hAnsi="Sakkal Majalla" w:cs="Sakkal Majalla" w:hint="cs"/>
          <w:b/>
          <w:bCs/>
          <w:sz w:val="28"/>
          <w:rtl/>
          <w:lang w:bidi="ar-EG"/>
        </w:rPr>
        <w:t>تهميد:</w:t>
      </w:r>
    </w:p>
    <w:p w14:paraId="0F946026" w14:textId="77777777" w:rsidR="00EA4CB6" w:rsidRPr="00EA4CB6" w:rsidRDefault="00EA4CB6" w:rsidP="00EA4CB6">
      <w:pPr>
        <w:pStyle w:val="BlockText"/>
        <w:ind w:left="146" w:hanging="120"/>
        <w:rPr>
          <w:rFonts w:ascii="Sakkal Majalla" w:hAnsi="Sakkal Majalla" w:cs="Sakkal Majalla"/>
          <w:sz w:val="28"/>
          <w:lang w:bidi="ar-EG"/>
        </w:rPr>
      </w:pPr>
      <w:r w:rsidRPr="00EA4CB6">
        <w:rPr>
          <w:rFonts w:ascii="Sakkal Majalla" w:hAnsi="Sakkal Majalla" w:cs="Sakkal Majalla"/>
          <w:sz w:val="28"/>
          <w:rtl/>
        </w:rPr>
        <w:t>بعد أن تناول الجدول السابق (3/6) وصف الخصائص الديموغرافية والوظيفية لعينة الدراسة، بما مهّد لفهم السياق البشري والمؤسسي الذي تصدر عنه الاتجاهات والآراء، ينتقل هذا الجدول (3/7) إلى المحور الجوهري للدراسة الميدانية، وهو رصد وتحليل استجابات أفراد العينة على الأسئلة التسعة التي صيغت لقياس محورين رئيسيين متلازمين: واقع التحول الرقمي المؤسسي من حيث عمق الاستخدام وتكراره ومستوى الكفاءة المصاحب له، ومستوى الوعي والاستعداد الأمني السيبراني على المستويين الفردي والمؤسسي</w:t>
      </w:r>
      <w:r w:rsidRPr="00EA4CB6">
        <w:rPr>
          <w:rFonts w:ascii="Sakkal Majalla" w:hAnsi="Sakkal Majalla" w:cs="Sakkal Majalla"/>
          <w:sz w:val="28"/>
          <w:lang w:bidi="ar-EG"/>
        </w:rPr>
        <w:t>.</w:t>
      </w:r>
    </w:p>
    <w:p w14:paraId="4A393EE9" w14:textId="77777777" w:rsidR="00EA4CB6" w:rsidRPr="00EA4CB6" w:rsidRDefault="00EA4CB6" w:rsidP="00EA4CB6">
      <w:pPr>
        <w:pStyle w:val="BlockText"/>
        <w:ind w:left="146" w:hanging="120"/>
        <w:rPr>
          <w:rFonts w:ascii="Sakkal Majalla" w:hAnsi="Sakkal Majalla" w:cs="Sakkal Majalla"/>
          <w:sz w:val="28"/>
          <w:lang w:bidi="ar-EG"/>
        </w:rPr>
      </w:pPr>
      <w:r w:rsidRPr="00EA4CB6">
        <w:rPr>
          <w:rFonts w:ascii="Sakkal Majalla" w:hAnsi="Sakkal Majalla" w:cs="Sakkal Majalla"/>
          <w:sz w:val="28"/>
          <w:rtl/>
        </w:rPr>
        <w:t>وقد صُممت هذه الأسئلة التسعة لتغطي أبعاداً متكاملة لا يكتفي أي منها بقياس ظاهرة منعزلة، بل تتقاطع في مجموعها لترسم صورة مركّبة عن واقع التفاعل اليومي للموظفين مع الأنظمة والمنصات الرقمية للهيئة (الأسئلة الأول والرابع والسابع)، ومستوى الاستثمار في بناء الكفاءات الرقمية وأثره الفعلي على المهارة المكتسبة (السؤالان الثاني والثالث)، إلى جانب البُعد الأمني السيبراني بشقّيه الإدراكي والسلوكي، من اهتمام شخصي وتقييم للاستعداد المؤسسي وتاريخ للتعرض للحوادث ومدى فاعلية قنوات التواصل الأمني الداخلي (الأسئلة الخامس والسادس والثامن والتاسع)</w:t>
      </w:r>
      <w:r w:rsidRPr="00EA4CB6">
        <w:rPr>
          <w:rFonts w:ascii="Sakkal Majalla" w:hAnsi="Sakkal Majalla" w:cs="Sakkal Majalla"/>
          <w:sz w:val="28"/>
          <w:lang w:bidi="ar-EG"/>
        </w:rPr>
        <w:t>.</w:t>
      </w:r>
    </w:p>
    <w:p w14:paraId="112F57D3" w14:textId="77777777" w:rsidR="00EA4CB6" w:rsidRPr="00EA4CB6" w:rsidRDefault="00EA4CB6" w:rsidP="00EA4CB6">
      <w:pPr>
        <w:pStyle w:val="BlockText"/>
        <w:ind w:left="146" w:hanging="120"/>
        <w:rPr>
          <w:rFonts w:ascii="Sakkal Majalla" w:hAnsi="Sakkal Majalla" w:cs="Sakkal Majalla"/>
          <w:sz w:val="28"/>
          <w:lang w:bidi="ar-EG"/>
        </w:rPr>
      </w:pPr>
      <w:r w:rsidRPr="00EA4CB6">
        <w:rPr>
          <w:rFonts w:ascii="Sakkal Majalla" w:hAnsi="Sakkal Majalla" w:cs="Sakkal Majalla"/>
          <w:sz w:val="28"/>
          <w:rtl/>
        </w:rPr>
        <w:t>ولم يقتصر تصميم هذا الجدول على العرض الكمّي المجرد للتكرارات والنسب المئوية، بل جاء مصحوباً - في التحليل اللاحق لكل سؤال - بأربعة مستويات متتابعة من القراءة: توصيف دقيق للاستجابات وتوزيعها، تفسير للاتجاهات في ضوء النماذج والدراسات النظرية ذات الصلة</w:t>
      </w:r>
      <w:r w:rsidRPr="00EA4CB6">
        <w:rPr>
          <w:rFonts w:ascii="Sakkal Majalla" w:hAnsi="Sakkal Majalla" w:cs="Sakkal Majalla"/>
          <w:sz w:val="28"/>
          <w:lang w:bidi="ar-EG"/>
        </w:rPr>
        <w:t xml:space="preserve"> (</w:t>
      </w:r>
      <w:r w:rsidRPr="00EA4CB6">
        <w:rPr>
          <w:rFonts w:ascii="Sakkal Majalla" w:hAnsi="Sakkal Majalla" w:cs="Sakkal Majalla"/>
          <w:sz w:val="28"/>
          <w:rtl/>
        </w:rPr>
        <w:t>كنموذج نضج التحول الرقمي لـ</w:t>
      </w:r>
      <w:r w:rsidRPr="00EA4CB6">
        <w:rPr>
          <w:rFonts w:ascii="Sakkal Majalla" w:hAnsi="Sakkal Majalla" w:cs="Sakkal Majalla"/>
          <w:sz w:val="28"/>
          <w:lang w:bidi="ar-EG"/>
        </w:rPr>
        <w:t xml:space="preserve"> Gartner</w:t>
      </w:r>
      <w:r w:rsidRPr="00EA4CB6">
        <w:rPr>
          <w:rFonts w:ascii="Sakkal Majalla" w:hAnsi="Sakkal Majalla" w:cs="Sakkal Majalla"/>
          <w:sz w:val="28"/>
          <w:rtl/>
        </w:rPr>
        <w:t>، ونموذج قبول التكنولوجيا</w:t>
      </w:r>
      <w:r w:rsidRPr="00EA4CB6">
        <w:rPr>
          <w:rFonts w:ascii="Sakkal Majalla" w:hAnsi="Sakkal Majalla" w:cs="Sakkal Majalla"/>
          <w:sz w:val="28"/>
          <w:lang w:bidi="ar-EG"/>
        </w:rPr>
        <w:t xml:space="preserve"> TAM</w:t>
      </w:r>
      <w:r w:rsidRPr="00EA4CB6">
        <w:rPr>
          <w:rFonts w:ascii="Sakkal Majalla" w:hAnsi="Sakkal Majalla" w:cs="Sakkal Majalla"/>
          <w:sz w:val="28"/>
          <w:rtl/>
        </w:rPr>
        <w:t>، وأدبيات الوعي الأمني</w:t>
      </w:r>
      <w:r w:rsidRPr="00EA4CB6">
        <w:rPr>
          <w:rFonts w:ascii="Sakkal Majalla" w:hAnsi="Sakkal Majalla" w:cs="Sakkal Majalla"/>
          <w:sz w:val="28"/>
          <w:lang w:bidi="ar-EG"/>
        </w:rPr>
        <w:t>)</w:t>
      </w:r>
      <w:r w:rsidRPr="00EA4CB6">
        <w:rPr>
          <w:rFonts w:ascii="Sakkal Majalla" w:hAnsi="Sakkal Majalla" w:cs="Sakkal Majalla"/>
          <w:sz w:val="28"/>
          <w:rtl/>
        </w:rPr>
        <w:t>، تحليل للتأثيرات المؤسسية المترتبة على كل نتيجة مع اقتراح آليات عملية للتعامل معها، وأخيراً تعليق تحليلي نقدي للباحث يكشف ما وراء الأرقام من تناقضات ودلالات كامنة، لا سيما تلك التي تنشأ من مقارنة نتائج الأسئلة ببعضها البعض (كالتناقض بين معدلات الاستخدام اليومي للمنصات ومعدلات استخدام أجهزة الهيئة الرسمية، أو بين نسبة التدريب المرتفعة وغياب مستوى الإتقان في المهارات الرقمية)</w:t>
      </w:r>
      <w:r w:rsidRPr="00EA4CB6">
        <w:rPr>
          <w:rFonts w:ascii="Sakkal Majalla" w:hAnsi="Sakkal Majalla" w:cs="Sakkal Majalla"/>
          <w:sz w:val="28"/>
          <w:lang w:bidi="ar-EG"/>
        </w:rPr>
        <w:t>.</w:t>
      </w:r>
    </w:p>
    <w:tbl>
      <w:tblPr>
        <w:bidiVisual/>
        <w:tblW w:w="9020" w:type="dxa"/>
        <w:tblInd w:w="69" w:type="dxa"/>
        <w:tblLook w:val="04A0" w:firstRow="1" w:lastRow="0" w:firstColumn="1" w:lastColumn="0" w:noHBand="0" w:noVBand="1"/>
      </w:tblPr>
      <w:tblGrid>
        <w:gridCol w:w="3862"/>
        <w:gridCol w:w="3744"/>
        <w:gridCol w:w="707"/>
        <w:gridCol w:w="707"/>
      </w:tblGrid>
      <w:tr w:rsidR="00BD4B09" w:rsidRPr="00BD4B09" w14:paraId="58B7D3FB" w14:textId="77777777" w:rsidTr="00EA4CB6">
        <w:trPr>
          <w:trHeight w:val="550"/>
        </w:trPr>
        <w:tc>
          <w:tcPr>
            <w:tcW w:w="3862" w:type="dxa"/>
            <w:tcBorders>
              <w:top w:val="double" w:sz="6" w:space="0" w:color="auto"/>
              <w:left w:val="double" w:sz="6" w:space="0" w:color="000000"/>
              <w:bottom w:val="double" w:sz="6" w:space="0" w:color="auto"/>
              <w:right w:val="nil"/>
            </w:tcBorders>
            <w:shd w:val="clear" w:color="000000" w:fill="BFBFBF"/>
            <w:vAlign w:val="center"/>
            <w:hideMark/>
          </w:tcPr>
          <w:p w14:paraId="3AD59D29"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أسئلة الدراسة</w:t>
            </w:r>
          </w:p>
        </w:tc>
        <w:tc>
          <w:tcPr>
            <w:tcW w:w="3744" w:type="dxa"/>
            <w:tcBorders>
              <w:top w:val="double" w:sz="6" w:space="0" w:color="auto"/>
              <w:left w:val="nil"/>
              <w:bottom w:val="double" w:sz="6" w:space="0" w:color="auto"/>
              <w:right w:val="nil"/>
            </w:tcBorders>
            <w:shd w:val="clear" w:color="000000" w:fill="BFBFBF"/>
            <w:vAlign w:val="center"/>
            <w:hideMark/>
          </w:tcPr>
          <w:p w14:paraId="2FFB097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العدد</w:t>
            </w:r>
          </w:p>
        </w:tc>
        <w:tc>
          <w:tcPr>
            <w:tcW w:w="707" w:type="dxa"/>
            <w:tcBorders>
              <w:top w:val="double" w:sz="6" w:space="0" w:color="auto"/>
              <w:left w:val="nil"/>
              <w:bottom w:val="double" w:sz="6" w:space="0" w:color="auto"/>
              <w:right w:val="nil"/>
            </w:tcBorders>
            <w:shd w:val="clear" w:color="000000" w:fill="BFBFBF"/>
            <w:vAlign w:val="center"/>
            <w:hideMark/>
          </w:tcPr>
          <w:p w14:paraId="4CA815F7"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707"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675F93D9"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النسبة المؤية</w:t>
            </w:r>
          </w:p>
        </w:tc>
      </w:tr>
      <w:tr w:rsidR="00BD4B09" w:rsidRPr="00BD4B09" w14:paraId="7FDC305E"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F4C3075"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الأول:</w:t>
            </w:r>
          </w:p>
        </w:tc>
        <w:tc>
          <w:tcPr>
            <w:tcW w:w="3744" w:type="dxa"/>
            <w:tcBorders>
              <w:top w:val="nil"/>
              <w:left w:val="nil"/>
              <w:bottom w:val="single" w:sz="8" w:space="0" w:color="auto"/>
              <w:right w:val="nil"/>
            </w:tcBorders>
            <w:shd w:val="clear" w:color="auto" w:fill="auto"/>
            <w:vAlign w:val="center"/>
            <w:hideMark/>
          </w:tcPr>
          <w:p w14:paraId="48EBBE0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 xml:space="preserve"> نادرًا</w:t>
            </w:r>
            <w:r w:rsidRPr="00BD4B09">
              <w:rPr>
                <w:rFonts w:ascii="Arial" w:eastAsia="Times New Roman" w:hAnsi="Arial" w:cs="Arial" w:hint="cs"/>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16E64EB1"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C65939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25.00%</w:t>
            </w:r>
          </w:p>
        </w:tc>
      </w:tr>
      <w:tr w:rsidR="00BD4B09" w:rsidRPr="00BD4B09" w14:paraId="42150A8F"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3D38738B"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مدى استخدامك اليومي للأنظمة والمنصات الرقمية في عملك الرسمي</w:t>
            </w:r>
          </w:p>
        </w:tc>
        <w:tc>
          <w:tcPr>
            <w:tcW w:w="3744" w:type="dxa"/>
            <w:tcBorders>
              <w:top w:val="nil"/>
              <w:left w:val="nil"/>
              <w:bottom w:val="single" w:sz="8" w:space="0" w:color="auto"/>
              <w:right w:val="nil"/>
            </w:tcBorders>
            <w:shd w:val="clear" w:color="auto" w:fill="auto"/>
            <w:vAlign w:val="center"/>
            <w:hideMark/>
          </w:tcPr>
          <w:p w14:paraId="39B57CD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 xml:space="preserve"> أحيانًا</w:t>
            </w:r>
            <w:r w:rsidRPr="00BD4B09">
              <w:rPr>
                <w:rFonts w:ascii="Arial" w:eastAsia="Times New Roman" w:hAnsi="Arial" w:cs="Arial"/>
                <w:color w:val="000000"/>
                <w:sz w:val="16"/>
                <w:szCs w:val="16"/>
                <w:rtl/>
              </w:rPr>
              <w:t> </w:t>
            </w:r>
          </w:p>
        </w:tc>
        <w:tc>
          <w:tcPr>
            <w:tcW w:w="707" w:type="dxa"/>
            <w:tcBorders>
              <w:top w:val="double" w:sz="6" w:space="0" w:color="auto"/>
              <w:left w:val="nil"/>
              <w:bottom w:val="single" w:sz="8" w:space="0" w:color="auto"/>
              <w:right w:val="nil"/>
            </w:tcBorders>
            <w:shd w:val="clear" w:color="auto" w:fill="auto"/>
            <w:vAlign w:val="center"/>
            <w:hideMark/>
          </w:tcPr>
          <w:p w14:paraId="0282A8FC"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17</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999887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33.00%</w:t>
            </w:r>
          </w:p>
        </w:tc>
      </w:tr>
      <w:tr w:rsidR="00BD4B09" w:rsidRPr="00BD4B09" w14:paraId="003C2994"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3C42EBD0"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3744" w:type="dxa"/>
            <w:tcBorders>
              <w:top w:val="nil"/>
              <w:left w:val="nil"/>
              <w:bottom w:val="single" w:sz="8" w:space="0" w:color="auto"/>
              <w:right w:val="nil"/>
            </w:tcBorders>
            <w:shd w:val="clear" w:color="auto" w:fill="auto"/>
            <w:vAlign w:val="center"/>
            <w:hideMark/>
          </w:tcPr>
          <w:p w14:paraId="6E5D588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كثيرًا</w:t>
            </w:r>
            <w:r w:rsidRPr="00BD4B09">
              <w:rPr>
                <w:rFonts w:ascii="Arial" w:eastAsia="Times New Roman" w:hAnsi="Arial" w:cs="Arial"/>
                <w:color w:val="000000"/>
                <w:sz w:val="16"/>
                <w:szCs w:val="16"/>
                <w:rtl/>
              </w:rPr>
              <w:t> </w:t>
            </w:r>
          </w:p>
        </w:tc>
        <w:tc>
          <w:tcPr>
            <w:tcW w:w="707" w:type="dxa"/>
            <w:tcBorders>
              <w:top w:val="double" w:sz="6" w:space="0" w:color="auto"/>
              <w:left w:val="nil"/>
              <w:bottom w:val="single" w:sz="8" w:space="0" w:color="auto"/>
              <w:right w:val="nil"/>
            </w:tcBorders>
            <w:shd w:val="clear" w:color="auto" w:fill="auto"/>
            <w:vAlign w:val="center"/>
            <w:hideMark/>
          </w:tcPr>
          <w:p w14:paraId="0E1B698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CAC120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37.00%</w:t>
            </w:r>
          </w:p>
        </w:tc>
      </w:tr>
      <w:tr w:rsidR="00BD4B09" w:rsidRPr="00BD4B09" w14:paraId="2FC66827"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F13CB7D"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3744" w:type="dxa"/>
            <w:tcBorders>
              <w:top w:val="nil"/>
              <w:left w:val="nil"/>
              <w:bottom w:val="single" w:sz="8" w:space="0" w:color="auto"/>
              <w:right w:val="nil"/>
            </w:tcBorders>
            <w:shd w:val="clear" w:color="auto" w:fill="auto"/>
            <w:vAlign w:val="center"/>
            <w:hideMark/>
          </w:tcPr>
          <w:p w14:paraId="5572412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 xml:space="preserve"> يوميًا بشكل أساسي (أكثر من 6 ساعات)</w:t>
            </w:r>
          </w:p>
        </w:tc>
        <w:tc>
          <w:tcPr>
            <w:tcW w:w="707" w:type="dxa"/>
            <w:tcBorders>
              <w:top w:val="double" w:sz="6" w:space="0" w:color="auto"/>
              <w:left w:val="nil"/>
              <w:bottom w:val="single" w:sz="8" w:space="0" w:color="auto"/>
              <w:right w:val="nil"/>
            </w:tcBorders>
            <w:shd w:val="clear" w:color="auto" w:fill="auto"/>
            <w:vAlign w:val="center"/>
            <w:hideMark/>
          </w:tcPr>
          <w:p w14:paraId="1B39FC4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A90602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5.00%</w:t>
            </w:r>
          </w:p>
        </w:tc>
      </w:tr>
      <w:tr w:rsidR="00BD4B09" w:rsidRPr="00BD4B09" w14:paraId="33808B77" w14:textId="77777777" w:rsidTr="00EA4CB6">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699676C8"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4C57D5F6"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60B80925"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0F43B4EC"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0B3BF36"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657323E1"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السؤال الثاني: </w:t>
            </w:r>
          </w:p>
        </w:tc>
        <w:tc>
          <w:tcPr>
            <w:tcW w:w="3744" w:type="dxa"/>
            <w:tcBorders>
              <w:top w:val="nil"/>
              <w:left w:val="nil"/>
              <w:bottom w:val="single" w:sz="8" w:space="0" w:color="auto"/>
              <w:right w:val="nil"/>
            </w:tcBorders>
            <w:shd w:val="clear" w:color="auto" w:fill="auto"/>
            <w:vAlign w:val="center"/>
            <w:hideMark/>
          </w:tcPr>
          <w:p w14:paraId="0D344BC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نعم</w:t>
            </w:r>
          </w:p>
        </w:tc>
        <w:tc>
          <w:tcPr>
            <w:tcW w:w="707" w:type="dxa"/>
            <w:tcBorders>
              <w:top w:val="nil"/>
              <w:left w:val="nil"/>
              <w:bottom w:val="single" w:sz="8" w:space="0" w:color="auto"/>
              <w:right w:val="nil"/>
            </w:tcBorders>
            <w:shd w:val="clear" w:color="auto" w:fill="auto"/>
            <w:vAlign w:val="center"/>
            <w:hideMark/>
          </w:tcPr>
          <w:p w14:paraId="2A4CC1E1"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DB6966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90.00%</w:t>
            </w:r>
          </w:p>
        </w:tc>
      </w:tr>
      <w:tr w:rsidR="00BD4B09" w:rsidRPr="00BD4B09" w14:paraId="1837E2D0"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ABB4864"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هل شاركت في برامج تدريبية رسمية حول التحول الرقمي أو الأمن السيبراني خلال الـ 3 سنوات الأخيرة؟ </w:t>
            </w:r>
          </w:p>
        </w:tc>
        <w:tc>
          <w:tcPr>
            <w:tcW w:w="3744" w:type="dxa"/>
            <w:tcBorders>
              <w:top w:val="nil"/>
              <w:left w:val="nil"/>
              <w:bottom w:val="single" w:sz="8" w:space="0" w:color="auto"/>
              <w:right w:val="nil"/>
            </w:tcBorders>
            <w:shd w:val="clear" w:color="auto" w:fill="auto"/>
            <w:vAlign w:val="center"/>
            <w:hideMark/>
          </w:tcPr>
          <w:p w14:paraId="0DD5130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لا</w:t>
            </w:r>
          </w:p>
        </w:tc>
        <w:tc>
          <w:tcPr>
            <w:tcW w:w="707" w:type="dxa"/>
            <w:tcBorders>
              <w:top w:val="nil"/>
              <w:left w:val="nil"/>
              <w:bottom w:val="single" w:sz="8" w:space="0" w:color="auto"/>
              <w:right w:val="nil"/>
            </w:tcBorders>
            <w:shd w:val="clear" w:color="auto" w:fill="auto"/>
            <w:vAlign w:val="center"/>
            <w:hideMark/>
          </w:tcPr>
          <w:p w14:paraId="4246A55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B41D93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10.00%</w:t>
            </w:r>
          </w:p>
        </w:tc>
      </w:tr>
      <w:tr w:rsidR="00BD4B09" w:rsidRPr="00BD4B09" w14:paraId="5E477143" w14:textId="77777777" w:rsidTr="00EA4CB6">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3304FD6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61797ECD"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0D027563"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25E148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E6D7BE5"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75D103D5"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السؤال الثالث: </w:t>
            </w:r>
          </w:p>
        </w:tc>
        <w:tc>
          <w:tcPr>
            <w:tcW w:w="3744" w:type="dxa"/>
            <w:tcBorders>
              <w:top w:val="nil"/>
              <w:left w:val="nil"/>
              <w:bottom w:val="single" w:sz="8" w:space="0" w:color="auto"/>
              <w:right w:val="nil"/>
            </w:tcBorders>
            <w:shd w:val="clear" w:color="auto" w:fill="auto"/>
            <w:vAlign w:val="center"/>
            <w:hideMark/>
          </w:tcPr>
          <w:p w14:paraId="6E8D032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ضعيف</w:t>
            </w:r>
          </w:p>
        </w:tc>
        <w:tc>
          <w:tcPr>
            <w:tcW w:w="707" w:type="dxa"/>
            <w:tcBorders>
              <w:top w:val="nil"/>
              <w:left w:val="nil"/>
              <w:bottom w:val="single" w:sz="8" w:space="0" w:color="auto"/>
              <w:right w:val="nil"/>
            </w:tcBorders>
            <w:shd w:val="clear" w:color="auto" w:fill="auto"/>
            <w:vAlign w:val="center"/>
            <w:hideMark/>
          </w:tcPr>
          <w:p w14:paraId="32BFDED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5D4C3F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12.27%</w:t>
            </w:r>
          </w:p>
        </w:tc>
      </w:tr>
      <w:tr w:rsidR="00BD4B09" w:rsidRPr="00BD4B09" w14:paraId="68BFB797"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5936D263"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تقييمك الذاتي لمستوى مهاراتك الرقمية بشكل عام (استخدام الذكاء الاصطناعي، تحليل البيانات، المنصات الإلكترونية، إلخ):  </w:t>
            </w:r>
          </w:p>
        </w:tc>
        <w:tc>
          <w:tcPr>
            <w:tcW w:w="3744" w:type="dxa"/>
            <w:tcBorders>
              <w:top w:val="nil"/>
              <w:left w:val="nil"/>
              <w:bottom w:val="single" w:sz="8" w:space="0" w:color="auto"/>
              <w:right w:val="nil"/>
            </w:tcBorders>
            <w:shd w:val="clear" w:color="auto" w:fill="auto"/>
            <w:vAlign w:val="center"/>
            <w:hideMark/>
          </w:tcPr>
          <w:p w14:paraId="273203C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متوسط</w:t>
            </w:r>
          </w:p>
        </w:tc>
        <w:tc>
          <w:tcPr>
            <w:tcW w:w="707" w:type="dxa"/>
            <w:tcBorders>
              <w:top w:val="nil"/>
              <w:left w:val="nil"/>
              <w:bottom w:val="single" w:sz="8" w:space="0" w:color="auto"/>
              <w:right w:val="nil"/>
            </w:tcBorders>
            <w:shd w:val="clear" w:color="auto" w:fill="auto"/>
            <w:vAlign w:val="center"/>
            <w:hideMark/>
          </w:tcPr>
          <w:p w14:paraId="44C7744F"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2C5C91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57.62%</w:t>
            </w:r>
          </w:p>
        </w:tc>
      </w:tr>
      <w:tr w:rsidR="00BD4B09" w:rsidRPr="00BD4B09" w14:paraId="3220122B"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DF305F5"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F384347"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جيد</w:t>
            </w:r>
          </w:p>
        </w:tc>
        <w:tc>
          <w:tcPr>
            <w:tcW w:w="707" w:type="dxa"/>
            <w:tcBorders>
              <w:top w:val="nil"/>
              <w:left w:val="nil"/>
              <w:bottom w:val="single" w:sz="8" w:space="0" w:color="auto"/>
              <w:right w:val="nil"/>
            </w:tcBorders>
            <w:shd w:val="clear" w:color="auto" w:fill="auto"/>
            <w:vAlign w:val="center"/>
            <w:hideMark/>
          </w:tcPr>
          <w:p w14:paraId="7C79A1E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12</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145141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24.16%</w:t>
            </w:r>
          </w:p>
        </w:tc>
      </w:tr>
      <w:tr w:rsidR="00BD4B09" w:rsidRPr="00BD4B09" w14:paraId="337E92A9"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365B95D"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084F209"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 xml:space="preserve">جيد جداً </w:t>
            </w:r>
          </w:p>
        </w:tc>
        <w:tc>
          <w:tcPr>
            <w:tcW w:w="707" w:type="dxa"/>
            <w:tcBorders>
              <w:top w:val="nil"/>
              <w:left w:val="nil"/>
              <w:bottom w:val="single" w:sz="8" w:space="0" w:color="auto"/>
              <w:right w:val="nil"/>
            </w:tcBorders>
            <w:shd w:val="clear" w:color="auto" w:fill="auto"/>
            <w:vAlign w:val="center"/>
            <w:hideMark/>
          </w:tcPr>
          <w:p w14:paraId="4746278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9671AD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5.95%</w:t>
            </w:r>
          </w:p>
        </w:tc>
      </w:tr>
      <w:tr w:rsidR="00BD4B09" w:rsidRPr="00BD4B09" w14:paraId="2131F8E3"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9CD395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lastRenderedPageBreak/>
              <w:t> </w:t>
            </w:r>
          </w:p>
        </w:tc>
        <w:tc>
          <w:tcPr>
            <w:tcW w:w="3744" w:type="dxa"/>
            <w:tcBorders>
              <w:top w:val="nil"/>
              <w:left w:val="nil"/>
              <w:bottom w:val="single" w:sz="8" w:space="0" w:color="auto"/>
              <w:right w:val="nil"/>
            </w:tcBorders>
            <w:shd w:val="clear" w:color="auto" w:fill="auto"/>
            <w:vAlign w:val="center"/>
            <w:hideMark/>
          </w:tcPr>
          <w:p w14:paraId="711D46D8"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ممتاز</w:t>
            </w:r>
          </w:p>
        </w:tc>
        <w:tc>
          <w:tcPr>
            <w:tcW w:w="707" w:type="dxa"/>
            <w:tcBorders>
              <w:top w:val="nil"/>
              <w:left w:val="nil"/>
              <w:bottom w:val="single" w:sz="8" w:space="0" w:color="auto"/>
              <w:right w:val="nil"/>
            </w:tcBorders>
            <w:shd w:val="clear" w:color="auto" w:fill="auto"/>
            <w:vAlign w:val="center"/>
            <w:hideMark/>
          </w:tcPr>
          <w:p w14:paraId="0B33CBED"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D22F58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2FD10A71" w14:textId="77777777" w:rsidTr="00EA4CB6">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1525E2D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697B81A1"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4228FA8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9208668"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503D7957"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018A4F8C"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الرابع:</w:t>
            </w:r>
          </w:p>
        </w:tc>
        <w:tc>
          <w:tcPr>
            <w:tcW w:w="3744" w:type="dxa"/>
            <w:tcBorders>
              <w:top w:val="nil"/>
              <w:left w:val="nil"/>
              <w:bottom w:val="single" w:sz="8" w:space="0" w:color="auto"/>
              <w:right w:val="nil"/>
            </w:tcBorders>
            <w:shd w:val="clear" w:color="auto" w:fill="auto"/>
            <w:vAlign w:val="center"/>
            <w:hideMark/>
          </w:tcPr>
          <w:p w14:paraId="321A4DB5"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أسبوعيًا أو أقل</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623D3CD"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781238C"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11.90%</w:t>
            </w:r>
          </w:p>
        </w:tc>
      </w:tr>
      <w:tr w:rsidR="00BD4B09" w:rsidRPr="00BD4B09" w14:paraId="75BC9582"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6164E362"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تكرار استخدامك لمنصات الهيئة الإلكترونية الرئيسية (مثل: فسح، إثراء، الفوترة الإلكترونية، نظام الإقرارات، النافذة الموحدة):  </w:t>
            </w:r>
          </w:p>
        </w:tc>
        <w:tc>
          <w:tcPr>
            <w:tcW w:w="3744" w:type="dxa"/>
            <w:tcBorders>
              <w:top w:val="nil"/>
              <w:left w:val="nil"/>
              <w:bottom w:val="single" w:sz="8" w:space="0" w:color="auto"/>
              <w:right w:val="nil"/>
            </w:tcBorders>
            <w:shd w:val="clear" w:color="auto" w:fill="auto"/>
            <w:vAlign w:val="center"/>
            <w:hideMark/>
          </w:tcPr>
          <w:p w14:paraId="76740C34"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يوميًا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5D050C6B"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5BA438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27.88%</w:t>
            </w:r>
          </w:p>
        </w:tc>
      </w:tr>
      <w:tr w:rsidR="00BD4B09" w:rsidRPr="00BD4B09" w14:paraId="1301621C"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5EC0A0C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1EE4B23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عدة مرات يوميًا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469572C5"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17</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E60CF6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33.09%</w:t>
            </w:r>
          </w:p>
        </w:tc>
      </w:tr>
      <w:tr w:rsidR="00BD4B09" w:rsidRPr="00BD4B09" w14:paraId="1DB0EE80"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71D8EEF"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4013A9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أساس عملي اليومي</w:t>
            </w:r>
          </w:p>
        </w:tc>
        <w:tc>
          <w:tcPr>
            <w:tcW w:w="707" w:type="dxa"/>
            <w:tcBorders>
              <w:top w:val="nil"/>
              <w:left w:val="nil"/>
              <w:bottom w:val="single" w:sz="8" w:space="0" w:color="auto"/>
              <w:right w:val="nil"/>
            </w:tcBorders>
            <w:shd w:val="clear" w:color="auto" w:fill="auto"/>
            <w:vAlign w:val="center"/>
            <w:hideMark/>
          </w:tcPr>
          <w:p w14:paraId="3E31B5E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41C533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18.96%</w:t>
            </w:r>
          </w:p>
        </w:tc>
      </w:tr>
      <w:tr w:rsidR="00BD4B09" w:rsidRPr="00BD4B09" w14:paraId="5D1929B6" w14:textId="77777777" w:rsidTr="00EA4CB6">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27BA5A9A"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33327EF8"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مرة في الشهر</w:t>
            </w:r>
          </w:p>
        </w:tc>
        <w:tc>
          <w:tcPr>
            <w:tcW w:w="707" w:type="dxa"/>
            <w:tcBorders>
              <w:top w:val="nil"/>
              <w:left w:val="nil"/>
              <w:bottom w:val="single" w:sz="8" w:space="0" w:color="auto"/>
              <w:right w:val="nil"/>
            </w:tcBorders>
            <w:shd w:val="clear" w:color="auto" w:fill="auto"/>
            <w:vAlign w:val="center"/>
            <w:hideMark/>
          </w:tcPr>
          <w:p w14:paraId="333DAC5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0093A9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8.18%</w:t>
            </w:r>
          </w:p>
        </w:tc>
      </w:tr>
      <w:tr w:rsidR="00BD4B09" w:rsidRPr="00BD4B09" w14:paraId="0CA2AE64" w14:textId="77777777" w:rsidTr="00EA4CB6">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2962252D"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35390511"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67842F38"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5147393"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C64ACBB"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5808D997"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الخامس:</w:t>
            </w:r>
          </w:p>
        </w:tc>
        <w:tc>
          <w:tcPr>
            <w:tcW w:w="3744" w:type="dxa"/>
            <w:tcBorders>
              <w:top w:val="nil"/>
              <w:left w:val="nil"/>
              <w:bottom w:val="single" w:sz="8" w:space="0" w:color="auto"/>
              <w:right w:val="nil"/>
            </w:tcBorders>
            <w:shd w:val="clear" w:color="auto" w:fill="auto"/>
            <w:vAlign w:val="center"/>
            <w:hideMark/>
          </w:tcPr>
          <w:p w14:paraId="66905696"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غير مهنم</w:t>
            </w:r>
          </w:p>
        </w:tc>
        <w:tc>
          <w:tcPr>
            <w:tcW w:w="707" w:type="dxa"/>
            <w:tcBorders>
              <w:top w:val="nil"/>
              <w:left w:val="nil"/>
              <w:bottom w:val="single" w:sz="8" w:space="0" w:color="auto"/>
              <w:right w:val="nil"/>
            </w:tcBorders>
            <w:shd w:val="clear" w:color="auto" w:fill="auto"/>
            <w:vAlign w:val="center"/>
            <w:hideMark/>
          </w:tcPr>
          <w:p w14:paraId="4A56A570"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4.09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915979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8.18%</w:t>
            </w:r>
          </w:p>
        </w:tc>
      </w:tr>
      <w:tr w:rsidR="00BD4B09" w:rsidRPr="00BD4B09" w14:paraId="364FA8C5"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D4362F7"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مدى اهتمامك الشخصي بقضايا الأمن السيبراني والخصوصية في المعاملات التجارية والضريبية</w:t>
            </w:r>
          </w:p>
        </w:tc>
        <w:tc>
          <w:tcPr>
            <w:tcW w:w="3744" w:type="dxa"/>
            <w:tcBorders>
              <w:top w:val="nil"/>
              <w:left w:val="nil"/>
              <w:bottom w:val="single" w:sz="8" w:space="0" w:color="auto"/>
              <w:right w:val="nil"/>
            </w:tcBorders>
            <w:shd w:val="clear" w:color="auto" w:fill="auto"/>
            <w:vAlign w:val="center"/>
            <w:hideMark/>
          </w:tcPr>
          <w:p w14:paraId="2D388030"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    </w:t>
            </w:r>
            <w:r w:rsidRPr="00BD4B09">
              <w:rPr>
                <w:rFonts w:ascii="Times New Roman" w:eastAsia="Times New Roman" w:hAnsi="Times New Roman" w:cs="Times New Roman"/>
                <w:color w:val="000000"/>
                <w:sz w:val="16"/>
                <w:szCs w:val="16"/>
                <w:rtl/>
              </w:rPr>
              <w:t xml:space="preserve"> منخفض</w:t>
            </w:r>
            <w:r w:rsidRPr="00BD4B09">
              <w:rPr>
                <w:rFonts w:ascii="Times New Roman" w:eastAsia="Times New Roman" w:hAnsi="Times New Roman" w:cs="Times New Roman"/>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6B9A7ED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20.445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100C9E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40.89%</w:t>
            </w:r>
          </w:p>
        </w:tc>
      </w:tr>
      <w:tr w:rsidR="00BD4B09" w:rsidRPr="00BD4B09" w14:paraId="34EE61FF"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290A6A5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F9DED6A"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متوسط</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8A9A74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13.385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F82B88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26.77%</w:t>
            </w:r>
          </w:p>
        </w:tc>
      </w:tr>
      <w:tr w:rsidR="00BD4B09" w:rsidRPr="00BD4B09" w14:paraId="038F98DF"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83241A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7B0CE76C"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مرتفع</w:t>
            </w:r>
          </w:p>
        </w:tc>
        <w:tc>
          <w:tcPr>
            <w:tcW w:w="707" w:type="dxa"/>
            <w:tcBorders>
              <w:top w:val="nil"/>
              <w:left w:val="nil"/>
              <w:bottom w:val="single" w:sz="8" w:space="0" w:color="auto"/>
              <w:right w:val="nil"/>
            </w:tcBorders>
            <w:shd w:val="clear" w:color="auto" w:fill="auto"/>
            <w:vAlign w:val="center"/>
            <w:hideMark/>
          </w:tcPr>
          <w:p w14:paraId="391718F0"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12.08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6248F0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24.16%</w:t>
            </w:r>
          </w:p>
        </w:tc>
      </w:tr>
      <w:tr w:rsidR="00BD4B09" w:rsidRPr="00BD4B09" w14:paraId="6FD9266F" w14:textId="77777777" w:rsidTr="00EA4CB6">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36E865A0"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C8F70F6"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مرتفع جدًا</w:t>
            </w:r>
          </w:p>
        </w:tc>
        <w:tc>
          <w:tcPr>
            <w:tcW w:w="707" w:type="dxa"/>
            <w:tcBorders>
              <w:top w:val="nil"/>
              <w:left w:val="nil"/>
              <w:bottom w:val="single" w:sz="8" w:space="0" w:color="auto"/>
              <w:right w:val="nil"/>
            </w:tcBorders>
            <w:shd w:val="clear" w:color="auto" w:fill="auto"/>
            <w:vAlign w:val="center"/>
            <w:hideMark/>
          </w:tcPr>
          <w:p w14:paraId="75ED4BEE"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B86DD0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2C24AFDB" w14:textId="77777777" w:rsidTr="00EA4CB6">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78A45D91"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54A67D95"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122CAB5A"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6B65697"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0ED6D2E9"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67B2599"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السادس:</w:t>
            </w:r>
          </w:p>
        </w:tc>
        <w:tc>
          <w:tcPr>
            <w:tcW w:w="3744" w:type="dxa"/>
            <w:tcBorders>
              <w:top w:val="nil"/>
              <w:left w:val="nil"/>
              <w:bottom w:val="single" w:sz="8" w:space="0" w:color="auto"/>
              <w:right w:val="nil"/>
            </w:tcBorders>
            <w:shd w:val="clear" w:color="auto" w:fill="auto"/>
            <w:vAlign w:val="center"/>
            <w:hideMark/>
          </w:tcPr>
          <w:p w14:paraId="0D5E2B8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ضعيف</w:t>
            </w:r>
          </w:p>
        </w:tc>
        <w:tc>
          <w:tcPr>
            <w:tcW w:w="707" w:type="dxa"/>
            <w:tcBorders>
              <w:top w:val="nil"/>
              <w:left w:val="nil"/>
              <w:bottom w:val="single" w:sz="8" w:space="0" w:color="auto"/>
              <w:right w:val="nil"/>
            </w:tcBorders>
            <w:shd w:val="clear" w:color="auto" w:fill="auto"/>
            <w:vAlign w:val="center"/>
            <w:hideMark/>
          </w:tcPr>
          <w:p w14:paraId="70B8EF2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1BB707B"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1.12%</w:t>
            </w:r>
          </w:p>
        </w:tc>
      </w:tr>
      <w:tr w:rsidR="00BD4B09" w:rsidRPr="00BD4B09" w14:paraId="65F64C25"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6265FF46"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في رأيك، ما مدى استعداد الهيئة حالياً لمواجهة التهديدات السيبرانية المتقدمة (من وجهة نظرك الشخصية)؟</w:t>
            </w:r>
          </w:p>
        </w:tc>
        <w:tc>
          <w:tcPr>
            <w:tcW w:w="3744" w:type="dxa"/>
            <w:tcBorders>
              <w:top w:val="nil"/>
              <w:left w:val="nil"/>
              <w:bottom w:val="single" w:sz="8" w:space="0" w:color="auto"/>
              <w:right w:val="nil"/>
            </w:tcBorders>
            <w:shd w:val="clear" w:color="auto" w:fill="auto"/>
            <w:vAlign w:val="center"/>
            <w:hideMark/>
          </w:tcPr>
          <w:p w14:paraId="7DFF0DF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 متوسط</w:t>
            </w:r>
            <w:r w:rsidRPr="00BD4B09">
              <w:rPr>
                <w:rFonts w:ascii="Sakkal Majalla" w:eastAsia="Times New Roman" w:hAnsi="Sakkal Majalla" w:cs="Sakkal Majalla" w:hint="cs"/>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CC7F8B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E9DC75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31.60%</w:t>
            </w:r>
          </w:p>
        </w:tc>
      </w:tr>
      <w:tr w:rsidR="00BD4B09" w:rsidRPr="00BD4B09" w14:paraId="2E1236CE"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4D40FF8"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6755F7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جيد</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1FDCC8F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416E9B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52.04%</w:t>
            </w:r>
          </w:p>
        </w:tc>
      </w:tr>
      <w:tr w:rsidR="00BD4B09" w:rsidRPr="00BD4B09" w14:paraId="61671961"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0BCD3E67"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5BDFA66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حيد جداً</w:t>
            </w:r>
          </w:p>
        </w:tc>
        <w:tc>
          <w:tcPr>
            <w:tcW w:w="707" w:type="dxa"/>
            <w:tcBorders>
              <w:top w:val="nil"/>
              <w:left w:val="nil"/>
              <w:bottom w:val="single" w:sz="8" w:space="0" w:color="auto"/>
              <w:right w:val="nil"/>
            </w:tcBorders>
            <w:shd w:val="clear" w:color="auto" w:fill="auto"/>
            <w:vAlign w:val="center"/>
            <w:hideMark/>
          </w:tcPr>
          <w:p w14:paraId="2E004F22"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CE89348"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4.46%</w:t>
            </w:r>
          </w:p>
        </w:tc>
      </w:tr>
      <w:tr w:rsidR="00BD4B09" w:rsidRPr="00BD4B09" w14:paraId="3AD8951E" w14:textId="77777777" w:rsidTr="00EA4CB6">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4B45917A"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6EADD1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ممتاز</w:t>
            </w:r>
          </w:p>
        </w:tc>
        <w:tc>
          <w:tcPr>
            <w:tcW w:w="707" w:type="dxa"/>
            <w:tcBorders>
              <w:top w:val="nil"/>
              <w:left w:val="nil"/>
              <w:bottom w:val="single" w:sz="8" w:space="0" w:color="auto"/>
              <w:right w:val="nil"/>
            </w:tcBorders>
            <w:shd w:val="clear" w:color="auto" w:fill="auto"/>
            <w:vAlign w:val="center"/>
            <w:hideMark/>
          </w:tcPr>
          <w:p w14:paraId="3B30D183"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AE268B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10.78%</w:t>
            </w:r>
          </w:p>
        </w:tc>
      </w:tr>
      <w:tr w:rsidR="00BD4B09" w:rsidRPr="00BD4B09" w14:paraId="56419B9B" w14:textId="77777777" w:rsidTr="00EA4CB6">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21DD68CE"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460A768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1A732FF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0047677"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2D5F7A85"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2DFB6420"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السؤل السابع:</w:t>
            </w:r>
          </w:p>
        </w:tc>
        <w:tc>
          <w:tcPr>
            <w:tcW w:w="3744" w:type="dxa"/>
            <w:tcBorders>
              <w:top w:val="nil"/>
              <w:left w:val="nil"/>
              <w:bottom w:val="single" w:sz="8" w:space="0" w:color="auto"/>
              <w:right w:val="nil"/>
            </w:tcBorders>
            <w:shd w:val="clear" w:color="auto" w:fill="auto"/>
            <w:vAlign w:val="center"/>
            <w:hideMark/>
          </w:tcPr>
          <w:p w14:paraId="203CD8CC"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مرتفع جدًا أكثر من 5 ساعات</w:t>
            </w:r>
          </w:p>
        </w:tc>
        <w:tc>
          <w:tcPr>
            <w:tcW w:w="707" w:type="dxa"/>
            <w:tcBorders>
              <w:top w:val="nil"/>
              <w:left w:val="nil"/>
              <w:bottom w:val="single" w:sz="8" w:space="0" w:color="auto"/>
              <w:right w:val="nil"/>
            </w:tcBorders>
            <w:shd w:val="clear" w:color="auto" w:fill="auto"/>
            <w:vAlign w:val="center"/>
            <w:hideMark/>
          </w:tcPr>
          <w:p w14:paraId="5955D44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CBDEDF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4C0A9048"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2EC0CF8"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كم ساعة تقريباً تقضيها يومياً في العمل على أجهزة/أنظمة رقمية تابعة للهيئة (بما في ذلك البريد الإلكتروني، المنصات، التقارير)؟</w:t>
            </w:r>
          </w:p>
        </w:tc>
        <w:tc>
          <w:tcPr>
            <w:tcW w:w="3744" w:type="dxa"/>
            <w:tcBorders>
              <w:top w:val="nil"/>
              <w:left w:val="nil"/>
              <w:bottom w:val="single" w:sz="8" w:space="0" w:color="auto"/>
              <w:right w:val="nil"/>
            </w:tcBorders>
            <w:shd w:val="clear" w:color="auto" w:fill="auto"/>
            <w:vAlign w:val="center"/>
            <w:hideMark/>
          </w:tcPr>
          <w:p w14:paraId="74BA58F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مرتفع 5:6 سااعات</w:t>
            </w:r>
          </w:p>
        </w:tc>
        <w:tc>
          <w:tcPr>
            <w:tcW w:w="707" w:type="dxa"/>
            <w:tcBorders>
              <w:top w:val="nil"/>
              <w:left w:val="nil"/>
              <w:bottom w:val="single" w:sz="8" w:space="0" w:color="auto"/>
              <w:right w:val="nil"/>
            </w:tcBorders>
            <w:shd w:val="clear" w:color="auto" w:fill="auto"/>
            <w:vAlign w:val="center"/>
            <w:hideMark/>
          </w:tcPr>
          <w:p w14:paraId="2BF3D18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3B9DAC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1.49%</w:t>
            </w:r>
          </w:p>
        </w:tc>
      </w:tr>
      <w:tr w:rsidR="00BD4B09" w:rsidRPr="00BD4B09" w14:paraId="049F06B1"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4C4DF66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65F24B2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متوسط 4:3 ساعات</w:t>
            </w:r>
          </w:p>
        </w:tc>
        <w:tc>
          <w:tcPr>
            <w:tcW w:w="707" w:type="dxa"/>
            <w:tcBorders>
              <w:top w:val="nil"/>
              <w:left w:val="nil"/>
              <w:bottom w:val="single" w:sz="8" w:space="0" w:color="auto"/>
              <w:right w:val="nil"/>
            </w:tcBorders>
            <w:shd w:val="clear" w:color="auto" w:fill="auto"/>
            <w:vAlign w:val="center"/>
            <w:hideMark/>
          </w:tcPr>
          <w:p w14:paraId="1B3A9F9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3093E1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0.74%</w:t>
            </w:r>
          </w:p>
        </w:tc>
      </w:tr>
      <w:tr w:rsidR="00BD4B09" w:rsidRPr="00BD4B09" w14:paraId="76BC6F66"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63D07915"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FC2111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منخفض 1:2  ساعات</w:t>
            </w:r>
          </w:p>
        </w:tc>
        <w:tc>
          <w:tcPr>
            <w:tcW w:w="707" w:type="dxa"/>
            <w:tcBorders>
              <w:top w:val="nil"/>
              <w:left w:val="nil"/>
              <w:bottom w:val="single" w:sz="8" w:space="0" w:color="auto"/>
              <w:right w:val="nil"/>
            </w:tcBorders>
            <w:shd w:val="clear" w:color="auto" w:fill="auto"/>
            <w:vAlign w:val="center"/>
            <w:hideMark/>
          </w:tcPr>
          <w:p w14:paraId="63167FDC"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134195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70.63%</w:t>
            </w:r>
          </w:p>
        </w:tc>
      </w:tr>
      <w:tr w:rsidR="00BD4B09" w:rsidRPr="00BD4B09" w14:paraId="2E2FA99B"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60A8BC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DA0FE2D"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لا أستخدمها</w:t>
            </w:r>
          </w:p>
        </w:tc>
        <w:tc>
          <w:tcPr>
            <w:tcW w:w="707" w:type="dxa"/>
            <w:tcBorders>
              <w:top w:val="nil"/>
              <w:left w:val="nil"/>
              <w:bottom w:val="single" w:sz="8" w:space="0" w:color="auto"/>
              <w:right w:val="nil"/>
            </w:tcBorders>
            <w:shd w:val="clear" w:color="auto" w:fill="auto"/>
            <w:vAlign w:val="center"/>
            <w:hideMark/>
          </w:tcPr>
          <w:p w14:paraId="3443D69F"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98D562C"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27.14%</w:t>
            </w:r>
          </w:p>
        </w:tc>
      </w:tr>
      <w:tr w:rsidR="00BD4B09" w:rsidRPr="00BD4B09" w14:paraId="1C6FD1E5" w14:textId="77777777" w:rsidTr="00EA4CB6">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758A6E0E"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5AAD0B9E"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3BA3820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0AC0AB14"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2CD92FB8"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08D3F771"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الثامن:</w:t>
            </w:r>
          </w:p>
        </w:tc>
        <w:tc>
          <w:tcPr>
            <w:tcW w:w="3744" w:type="dxa"/>
            <w:tcBorders>
              <w:top w:val="nil"/>
              <w:left w:val="nil"/>
              <w:bottom w:val="single" w:sz="8" w:space="0" w:color="auto"/>
              <w:right w:val="nil"/>
            </w:tcBorders>
            <w:shd w:val="clear" w:color="auto" w:fill="auto"/>
            <w:vAlign w:val="center"/>
            <w:hideMark/>
          </w:tcPr>
          <w:p w14:paraId="46C854D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نعم</w:t>
            </w:r>
          </w:p>
        </w:tc>
        <w:tc>
          <w:tcPr>
            <w:tcW w:w="707" w:type="dxa"/>
            <w:tcBorders>
              <w:top w:val="nil"/>
              <w:left w:val="nil"/>
              <w:bottom w:val="single" w:sz="8" w:space="0" w:color="auto"/>
              <w:right w:val="nil"/>
            </w:tcBorders>
            <w:shd w:val="clear" w:color="auto" w:fill="auto"/>
            <w:vAlign w:val="center"/>
            <w:hideMark/>
          </w:tcPr>
          <w:p w14:paraId="0E6B64B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903AB8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29.37%</w:t>
            </w:r>
          </w:p>
        </w:tc>
      </w:tr>
      <w:tr w:rsidR="00BD4B09" w:rsidRPr="00BD4B09" w14:paraId="53CE5DC7"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2308641C"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هل سبق لك التعرض لحادثة أمن سيبراني شخصية أو مهنية (مثل تصيد إلكتروني، فقدان بيانات، هجوم فدية)؟</w:t>
            </w:r>
          </w:p>
        </w:tc>
        <w:tc>
          <w:tcPr>
            <w:tcW w:w="3744" w:type="dxa"/>
            <w:tcBorders>
              <w:top w:val="nil"/>
              <w:left w:val="nil"/>
              <w:bottom w:val="single" w:sz="8" w:space="0" w:color="auto"/>
              <w:right w:val="nil"/>
            </w:tcBorders>
            <w:shd w:val="clear" w:color="auto" w:fill="auto"/>
            <w:vAlign w:val="center"/>
            <w:hideMark/>
          </w:tcPr>
          <w:p w14:paraId="13F55DD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لا</w:t>
            </w:r>
          </w:p>
        </w:tc>
        <w:tc>
          <w:tcPr>
            <w:tcW w:w="707" w:type="dxa"/>
            <w:tcBorders>
              <w:top w:val="nil"/>
              <w:left w:val="nil"/>
              <w:bottom w:val="single" w:sz="8" w:space="0" w:color="auto"/>
              <w:right w:val="nil"/>
            </w:tcBorders>
            <w:shd w:val="clear" w:color="auto" w:fill="auto"/>
            <w:vAlign w:val="center"/>
            <w:hideMark/>
          </w:tcPr>
          <w:p w14:paraId="471DC883"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CA2276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70.63%</w:t>
            </w:r>
          </w:p>
        </w:tc>
      </w:tr>
      <w:tr w:rsidR="00BD4B09" w:rsidRPr="00BD4B09" w14:paraId="7FE3A62C" w14:textId="77777777" w:rsidTr="00EA4CB6">
        <w:trPr>
          <w:trHeight w:val="299"/>
        </w:trPr>
        <w:tc>
          <w:tcPr>
            <w:tcW w:w="3862" w:type="dxa"/>
            <w:tcBorders>
              <w:top w:val="nil"/>
              <w:left w:val="double" w:sz="6" w:space="0" w:color="auto"/>
              <w:bottom w:val="double" w:sz="6" w:space="0" w:color="000000"/>
              <w:right w:val="double" w:sz="6" w:space="0" w:color="auto"/>
            </w:tcBorders>
            <w:shd w:val="clear" w:color="auto" w:fill="auto"/>
            <w:vAlign w:val="center"/>
            <w:hideMark/>
          </w:tcPr>
          <w:p w14:paraId="2EF0807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5B7C777E"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5101140F"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16B63E2"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7CFBA244" w14:textId="77777777" w:rsidTr="00EA4CB6">
        <w:trPr>
          <w:trHeight w:val="311"/>
        </w:trPr>
        <w:tc>
          <w:tcPr>
            <w:tcW w:w="3862" w:type="dxa"/>
            <w:tcBorders>
              <w:top w:val="nil"/>
              <w:left w:val="double" w:sz="6" w:space="0" w:color="auto"/>
              <w:bottom w:val="nil"/>
              <w:right w:val="double" w:sz="6" w:space="0" w:color="auto"/>
            </w:tcBorders>
            <w:shd w:val="clear" w:color="auto" w:fill="auto"/>
            <w:vAlign w:val="center"/>
            <w:hideMark/>
          </w:tcPr>
          <w:p w14:paraId="5B6AD45A"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التاسع:</w:t>
            </w:r>
          </w:p>
        </w:tc>
        <w:tc>
          <w:tcPr>
            <w:tcW w:w="3744" w:type="dxa"/>
            <w:tcBorders>
              <w:top w:val="nil"/>
              <w:left w:val="nil"/>
              <w:bottom w:val="single" w:sz="8" w:space="0" w:color="auto"/>
              <w:right w:val="nil"/>
            </w:tcBorders>
            <w:shd w:val="clear" w:color="auto" w:fill="auto"/>
            <w:vAlign w:val="center"/>
            <w:hideMark/>
          </w:tcPr>
          <w:p w14:paraId="2C616FF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نعم بانتظام</w:t>
            </w:r>
          </w:p>
        </w:tc>
        <w:tc>
          <w:tcPr>
            <w:tcW w:w="707" w:type="dxa"/>
            <w:tcBorders>
              <w:top w:val="nil"/>
              <w:left w:val="nil"/>
              <w:bottom w:val="single" w:sz="8" w:space="0" w:color="auto"/>
              <w:right w:val="nil"/>
            </w:tcBorders>
            <w:shd w:val="clear" w:color="auto" w:fill="auto"/>
            <w:vAlign w:val="center"/>
            <w:hideMark/>
          </w:tcPr>
          <w:p w14:paraId="31112675"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9FD142B"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37.55%</w:t>
            </w:r>
          </w:p>
        </w:tc>
      </w:tr>
      <w:tr w:rsidR="00BD4B09" w:rsidRPr="00BD4B09" w14:paraId="54A005B4" w14:textId="77777777" w:rsidTr="00EA4CB6">
        <w:trPr>
          <w:trHeight w:val="490"/>
        </w:trPr>
        <w:tc>
          <w:tcPr>
            <w:tcW w:w="3862" w:type="dxa"/>
            <w:tcBorders>
              <w:top w:val="nil"/>
              <w:left w:val="double" w:sz="6" w:space="0" w:color="auto"/>
              <w:bottom w:val="nil"/>
              <w:right w:val="double" w:sz="6" w:space="0" w:color="auto"/>
            </w:tcBorders>
            <w:shd w:val="clear" w:color="auto" w:fill="auto"/>
            <w:vAlign w:val="center"/>
            <w:hideMark/>
          </w:tcPr>
          <w:p w14:paraId="5C8CF33A"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هل تتلقى تحديثات أو تنبيهات أمنية دورية من الهيئة (مثل نشرات توعية، تذكيرات بتغيير كلمة المرور، إرشادات أمنية)؟</w:t>
            </w:r>
          </w:p>
        </w:tc>
        <w:tc>
          <w:tcPr>
            <w:tcW w:w="3744" w:type="dxa"/>
            <w:tcBorders>
              <w:top w:val="nil"/>
              <w:left w:val="nil"/>
              <w:bottom w:val="single" w:sz="8" w:space="0" w:color="auto"/>
              <w:right w:val="nil"/>
            </w:tcBorders>
            <w:shd w:val="clear" w:color="auto" w:fill="auto"/>
            <w:vAlign w:val="center"/>
            <w:hideMark/>
          </w:tcPr>
          <w:p w14:paraId="265BE0E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نعم لكن نادرًا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2DCF8F7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EBF1BF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11.52%</w:t>
            </w:r>
          </w:p>
        </w:tc>
      </w:tr>
      <w:tr w:rsidR="00BD4B09" w:rsidRPr="00BD4B09" w14:paraId="407AE787"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A07AEB9"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33C6AB00"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لا أتذكر</w:t>
            </w:r>
          </w:p>
        </w:tc>
        <w:tc>
          <w:tcPr>
            <w:tcW w:w="707" w:type="dxa"/>
            <w:tcBorders>
              <w:top w:val="nil"/>
              <w:left w:val="nil"/>
              <w:bottom w:val="single" w:sz="8" w:space="0" w:color="auto"/>
              <w:right w:val="nil"/>
            </w:tcBorders>
            <w:shd w:val="clear" w:color="auto" w:fill="auto"/>
            <w:vAlign w:val="center"/>
            <w:hideMark/>
          </w:tcPr>
          <w:p w14:paraId="679AF6E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EFE652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35.32%</w:t>
            </w:r>
          </w:p>
        </w:tc>
      </w:tr>
      <w:tr w:rsidR="00BD4B09" w:rsidRPr="00BD4B09" w14:paraId="6759601D" w14:textId="77777777" w:rsidTr="00EA4CB6">
        <w:trPr>
          <w:trHeight w:val="299"/>
        </w:trPr>
        <w:tc>
          <w:tcPr>
            <w:tcW w:w="3862" w:type="dxa"/>
            <w:tcBorders>
              <w:top w:val="nil"/>
              <w:left w:val="double" w:sz="6" w:space="0" w:color="auto"/>
              <w:bottom w:val="nil"/>
              <w:right w:val="double" w:sz="6" w:space="0" w:color="auto"/>
            </w:tcBorders>
            <w:shd w:val="clear" w:color="auto" w:fill="auto"/>
            <w:vAlign w:val="center"/>
            <w:hideMark/>
          </w:tcPr>
          <w:p w14:paraId="4610EA87"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120217A2"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لا</w:t>
            </w:r>
          </w:p>
        </w:tc>
        <w:tc>
          <w:tcPr>
            <w:tcW w:w="707" w:type="dxa"/>
            <w:tcBorders>
              <w:top w:val="nil"/>
              <w:left w:val="nil"/>
              <w:bottom w:val="single" w:sz="8" w:space="0" w:color="auto"/>
              <w:right w:val="nil"/>
            </w:tcBorders>
            <w:shd w:val="clear" w:color="auto" w:fill="auto"/>
            <w:vAlign w:val="center"/>
            <w:hideMark/>
          </w:tcPr>
          <w:p w14:paraId="75516C7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FBB813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15.61%</w:t>
            </w:r>
          </w:p>
        </w:tc>
      </w:tr>
      <w:tr w:rsidR="00BD4B09" w:rsidRPr="00BD4B09" w14:paraId="01897F56" w14:textId="77777777" w:rsidTr="00EA4CB6">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6AC934C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43FA2330"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6E24B623"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116C446B"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bl>
    <w:p w14:paraId="4278E738" w14:textId="77777777" w:rsidR="007A0B3B" w:rsidRPr="00F75D7A" w:rsidRDefault="007A0B3B" w:rsidP="007A0B3B">
      <w:pPr>
        <w:pStyle w:val="BlockText"/>
        <w:spacing w:line="360" w:lineRule="auto"/>
        <w:jc w:val="lowKashida"/>
        <w:rPr>
          <w:b/>
          <w:bCs/>
          <w:szCs w:val="20"/>
          <w:rtl/>
          <w:lang w:bidi="ar-EG"/>
        </w:rPr>
      </w:pPr>
      <w:r w:rsidRPr="00F75D7A">
        <w:rPr>
          <w:rFonts w:hint="cs"/>
          <w:b/>
          <w:bCs/>
          <w:szCs w:val="20"/>
          <w:rtl/>
          <w:lang w:bidi="ar-EG"/>
        </w:rPr>
        <w:t>المصدر : نتائج التحليل الأحصائى .</w:t>
      </w:r>
    </w:p>
    <w:p w14:paraId="4C978321"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الأول: مدى الاستخدام اليومي للأنظمة والمنصات الرقمية في العمل الرسمي</w:t>
      </w:r>
    </w:p>
    <w:p w14:paraId="6B8E5B8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جاءت الاستجابات موزعةً على أربع فئات؛ تصدّرتها فئة "كثيراً" بنسبة (37%)، تلتها "أحياناً" بنسبة (33%)، ثم "نادراً" بنسبة (25%)، في حين لم تتجاوز فئة "يومياً بشكل أساسي (أكثر من 6 ساعات)" نسبة (5%) فقط. ويكشف هذا التوزيع عن أن الغالبية العظمى من أفراد العينة (70%) تقع في النطاق الوسطي بين الاستخدام المتقطع والمكثف، مما يعكس واقع التحول الرقمي التدريجي وغير المكتمل داخل المؤسسة</w:t>
      </w:r>
      <w:r w:rsidRPr="00BF5248">
        <w:rPr>
          <w:rFonts w:ascii="Sakkal Majalla" w:hAnsi="Sakkal Majalla" w:cs="Sakkal Majalla"/>
          <w:sz w:val="28"/>
          <w:szCs w:val="28"/>
          <w:lang w:bidi="ar-EG"/>
        </w:rPr>
        <w:t>.</w:t>
      </w:r>
    </w:p>
    <w:p w14:paraId="4F5B5D3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تُعدّ نسبة الاستخدام المكثف البالغة (5%) فقط نتيجةً لافتة للنظر في ضوء التوجهات الاستراتيجية الرقمية للهيئة؛ إذ يُشير نموذج "نضج التحول الرقمي" لـ</w:t>
      </w:r>
      <w:r w:rsidRPr="00BF5248">
        <w:rPr>
          <w:rFonts w:ascii="Sakkal Majalla" w:hAnsi="Sakkal Majalla" w:cs="Sakkal Majalla"/>
          <w:sz w:val="28"/>
          <w:szCs w:val="28"/>
          <w:lang w:bidi="ar-EG"/>
        </w:rPr>
        <w:t xml:space="preserve"> Gartner (2022) </w:t>
      </w:r>
      <w:r w:rsidRPr="00BF5248">
        <w:rPr>
          <w:rFonts w:ascii="Sakkal Majalla" w:hAnsi="Sakkal Majalla" w:cs="Sakkal Majalla"/>
          <w:sz w:val="28"/>
          <w:szCs w:val="28"/>
          <w:rtl/>
        </w:rPr>
        <w:t>إلى أن المؤسسات الحكومية التي تتجاوز مرحلة التبني الأولي نحو مرحلة التكامل المؤسسي ينبغي أن ترتفع فيها نسب الاستخدام اليومي المكثف إلى ما لا يقل عن (35-40%). كما تتوافق هذه النتيجة مع ما رصده</w:t>
      </w:r>
      <w:r w:rsidRPr="00BF5248">
        <w:rPr>
          <w:rFonts w:ascii="Sakkal Majalla" w:hAnsi="Sakkal Majalla" w:cs="Sakkal Majalla"/>
          <w:sz w:val="28"/>
          <w:szCs w:val="28"/>
          <w:lang w:bidi="ar-EG"/>
        </w:rPr>
        <w:t xml:space="preserve"> Westerman et al. (2014) </w:t>
      </w:r>
      <w:r w:rsidRPr="00BF5248">
        <w:rPr>
          <w:rFonts w:ascii="Sakkal Majalla" w:hAnsi="Sakkal Majalla" w:cs="Sakkal Majalla"/>
          <w:sz w:val="28"/>
          <w:szCs w:val="28"/>
          <w:rtl/>
        </w:rPr>
        <w:t>من أن الاستخدام الرقمي في المراحل الانتقالية يميل نحو التدرج والتراكم البطيء، ولا يتحول فجأةً إلى استخدام مكثف إلا حين تتكامل الثقافة التنظيمية الرقمية وتتوافر البنية التحتية الداعمة. أما الفجوة الواسعة بين (37%) يستخدمون الأنظمة "كثيراً" و(5%) فقط يستخدمونها أكثر من 6 ساعات يومياً، فتُنبئ بأن كثيراً من الاستخدام ذو طابع انتقائي ومرحلي لا يومي ومنتظم</w:t>
      </w:r>
      <w:r w:rsidRPr="00BF5248">
        <w:rPr>
          <w:rFonts w:ascii="Sakkal Majalla" w:hAnsi="Sakkal Majalla" w:cs="Sakkal Majalla"/>
          <w:sz w:val="28"/>
          <w:szCs w:val="28"/>
          <w:lang w:bidi="ar-EG"/>
        </w:rPr>
        <w:t>.</w:t>
      </w:r>
    </w:p>
    <w:p w14:paraId="7F148A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هذا المستوى المتوسط من الاستخدام على الكفاءة التشغيلية الرقمية ومستوى الأمن السيبراني المؤسسي؛ إذ إن الاستخدام غير المنتظم يُقلّل من اكتساب الموظفين للخبرات التراكمية اللازمة لاكتشاف الشذوذات الأمنية والتعامل معها. وتشمل آليات التعامل المقترحة: أولاً، تطبيق مؤشرات أداء رقمية</w:t>
      </w:r>
      <w:r w:rsidRPr="00BF5248">
        <w:rPr>
          <w:rFonts w:ascii="Sakkal Majalla" w:hAnsi="Sakkal Majalla" w:cs="Sakkal Majalla"/>
          <w:sz w:val="28"/>
          <w:szCs w:val="28"/>
          <w:lang w:bidi="ar-EG"/>
        </w:rPr>
        <w:t xml:space="preserve"> KPIs </w:t>
      </w:r>
      <w:r w:rsidRPr="00BF5248">
        <w:rPr>
          <w:rFonts w:ascii="Sakkal Majalla" w:hAnsi="Sakkal Majalla" w:cs="Sakkal Majalla"/>
          <w:sz w:val="28"/>
          <w:szCs w:val="28"/>
          <w:rtl/>
        </w:rPr>
        <w:t>مرتبطة بمعدلات الاستخدام اليومي الفعلي لكل وحدة تنظيمية. ثانياً، إعادة تصميم هيكل العمليات الإدارية لتجعل المنصات الرقمية المسار الإلزامي الوحيد لإنجاز المهام لا مساراً موازياً للأوراق. ثالثاً، إطلاق حملة مؤسسية داخلية تحت شعار "يومي رقمي" تُعزز من الحضور اليومي المستمر على المنصات الرسمية</w:t>
      </w:r>
      <w:r w:rsidRPr="00BF5248">
        <w:rPr>
          <w:rFonts w:ascii="Sakkal Majalla" w:hAnsi="Sakkal Majalla" w:cs="Sakkal Majalla"/>
          <w:sz w:val="28"/>
          <w:szCs w:val="28"/>
          <w:lang w:bidi="ar-EG"/>
        </w:rPr>
        <w:t>.</w:t>
      </w:r>
    </w:p>
    <w:p w14:paraId="51FF45F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يكشف توزيع الاستجابات في هذا السؤال عن مفارقة جوهرية: فالهيئة تمتلك منصات رقمية متطورة كـ"فسح" و"النافذة الموحدة" و"الفوترة الإلكترونية"، غير أن جمهرة موظفيها لا تُوظّفها بصورة يومية متواصلة ومستدامة. والسؤال الذي يُلحّ على الباحث: هل المشكلة في المنصة أم في الإنسان أم في النظام الوظيفي؟ يرجّح الباحث أن المشكلة مركّبة، وتتوزع بين ثلاثة عوامل متشابكة: بيئة عمل لم تُحوّل بعد جميع مساراتها إلى مسارات رقمية حصرية، وثقافة وظيفية لا تزال تُبقي على الخيار الورقي بديلاً مقبولاً، وتفاوت في الكفاءة الرقمية يجعل بعض الموظفين يتجنبون المنصات حين يجدون فيها صعوبة. ومعالجة هذه العوامل الثلاثة معاً هو الطريق الوحيد لرفع الاستخدام اليومي من 5% إلى المستهدف المؤسسي</w:t>
      </w:r>
      <w:r w:rsidRPr="00BF5248">
        <w:rPr>
          <w:rFonts w:ascii="Sakkal Majalla" w:hAnsi="Sakkal Majalla" w:cs="Sakkal Majalla"/>
          <w:sz w:val="28"/>
          <w:szCs w:val="28"/>
          <w:lang w:bidi="ar-EG"/>
        </w:rPr>
        <w:t>.</w:t>
      </w:r>
    </w:p>
    <w:p w14:paraId="1566198D"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الثاني: المشاركة في برامج التدريب الرسمية حول التحول الرقمي والأمن السيبراني</w:t>
      </w:r>
    </w:p>
    <w:p w14:paraId="08EEF75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أفادت الغالبية الساحقة من أفراد العينة (90%) بمشاركتهم في برامج تدريبية رسمية تتعلق بالتحول الرقمي أو الأمن السيبراني خلال السنوات الثلاث الماضية، في حين اقتصر من لم يتلقوا أي تدريب رسمي على نسبة (10%) فقط. ويُعدّ هذا التوزيع أحد أعلى مؤشرات الاستثمار التدريبي المرصودة في الدراسة، ويُشير ظاهرياً إلى التزام مؤسسي جاد بتأهيل الكوادر البشرية رقمياً</w:t>
      </w:r>
      <w:r w:rsidRPr="00BF5248">
        <w:rPr>
          <w:rFonts w:ascii="Sakkal Majalla" w:hAnsi="Sakkal Majalla" w:cs="Sakkal Majalla"/>
          <w:sz w:val="28"/>
          <w:szCs w:val="28"/>
          <w:lang w:bidi="ar-EG"/>
        </w:rPr>
        <w:t>.</w:t>
      </w:r>
    </w:p>
    <w:p w14:paraId="5293722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تُعدّ نسبة (90%) من المشاركين في البرامج التدريبية نتيجةً متقدمة جداً بالمقارنة مع المتوسط الإقليمي البالغ (55%) وفقاً لتقرير البنك الدولي (2023) حول التحول الرقمي في الشرق الأوسط. هذا المستوى يعكس التزام الهيئة بمبدأ "الاستثمار في رأس المال البشري" كأولوية استراتيجية. ومع ذلك، فإن الفجوة بين نسبة التدريب البالغة (90%) ومعدلات الاستخدام اليومي المكثف البالغة (5%) تطرح تساؤلاً جوهرياً حول مدى ترجمة التدريب إلى ممارسة فعلية. وقد أشارت دراسة المركز المصري للفكر والدراسات (2024) إلى أن برامج التدريب الحكومي كثيراً ما تكون "عرضية" وغير مرتبطة بالاحتياج التشغيلي الفعلي، مما يُنتج معرفة نظرية لا تتحول إلى كفاءة تطبيقية</w:t>
      </w:r>
      <w:r w:rsidRPr="00BF5248">
        <w:rPr>
          <w:rFonts w:ascii="Sakkal Majalla" w:hAnsi="Sakkal Majalla" w:cs="Sakkal Majalla"/>
          <w:sz w:val="28"/>
          <w:szCs w:val="28"/>
          <w:lang w:bidi="ar-EG"/>
        </w:rPr>
        <w:t>.</w:t>
      </w:r>
    </w:p>
    <w:p w14:paraId="7D8F798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تؤثر هذه النسبة المرتفعة على قدرة الهيئة في تطبيق سياسات الأمن السيبراني وتبني الأدوات الرقمية الجديدة. آليات التعامل تشمل: قياس أثر التدريب على الأداء الفعلي وفق نموذج كيركباتريك الرباعي (الرد – التعلم – السلوك – النتائج)، وتطوير مسارات تدريبية هرمية تبدأ بالأساسيات وتتدرج نحو التخصص، وإنشاء نظام "الموجه الرقمي" حيث يتولى كل موظف متدرب متقدم توجيه 3 إلى 5 زملاء أقل خبرة، وربط الحوافز الوظيفية باكتساب المهارات الرقمية والتوثيق الشهادي لها</w:t>
      </w:r>
      <w:r w:rsidRPr="00BF5248">
        <w:rPr>
          <w:rFonts w:ascii="Sakkal Majalla" w:hAnsi="Sakkal Majalla" w:cs="Sakkal Majalla"/>
          <w:sz w:val="28"/>
          <w:szCs w:val="28"/>
          <w:lang w:bidi="ar-EG"/>
        </w:rPr>
        <w:t>.</w:t>
      </w:r>
    </w:p>
    <w:p w14:paraId="0435A9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يستوقف الباحث هنا مفارقة أكاديمية بالغة الدلالة: 90% تلقّوا تدريباً رسمياً، لكن 57% لا تتعدى مهاراتهم مستوى "متوسط"، ولا أحد منهم يصل إلى مستوى "ممتاز". هذا يُجسّد ما يُسمى في أدبيات التعلم التنظيمي بـ"فجوة نقل التدريب</w:t>
      </w:r>
      <w:r w:rsidRPr="00BF5248">
        <w:rPr>
          <w:rFonts w:ascii="Sakkal Majalla" w:hAnsi="Sakkal Majalla" w:cs="Sakkal Majalla"/>
          <w:sz w:val="28"/>
          <w:szCs w:val="28"/>
          <w:lang w:bidi="ar-EG"/>
        </w:rPr>
        <w:t>" Training Transfer Gap</w:t>
      </w:r>
      <w:r w:rsidRPr="00BF5248">
        <w:rPr>
          <w:rFonts w:ascii="Sakkal Majalla" w:hAnsi="Sakkal Majalla" w:cs="Sakkal Majalla"/>
          <w:sz w:val="28"/>
          <w:szCs w:val="28"/>
          <w:rtl/>
        </w:rPr>
        <w:t>، وهي الظاهرة التي تكشف أن ما يتجاوز 70% مما يتعلمه الموظف في قاعة التدريب لا يُطبَّق فعلياً في بيئة العمل خلال أسبوع واحد وفق دراسة</w:t>
      </w:r>
      <w:r w:rsidRPr="00BF5248">
        <w:rPr>
          <w:rFonts w:ascii="Sakkal Majalla" w:hAnsi="Sakkal Majalla" w:cs="Sakkal Majalla"/>
          <w:sz w:val="28"/>
          <w:szCs w:val="28"/>
          <w:lang w:bidi="ar-EG"/>
        </w:rPr>
        <w:t xml:space="preserve"> Saks &amp; Belcourt (2006). </w:t>
      </w:r>
      <w:r w:rsidRPr="00BF5248">
        <w:rPr>
          <w:rFonts w:ascii="Sakkal Majalla" w:hAnsi="Sakkal Majalla" w:cs="Sakkal Majalla"/>
          <w:sz w:val="28"/>
          <w:szCs w:val="28"/>
          <w:rtl/>
        </w:rPr>
        <w:t>المشكلة ليست في الكمية – فالاستثمار موجود – بل في التصميم والتحويل والمتابعة. وهذا يدفع الباحث إلى التوصية بمراجعة شاملة لمنهجية تصميم وتقييم البرامج التدريبية في الهيئة</w:t>
      </w:r>
      <w:r w:rsidRPr="00BF5248">
        <w:rPr>
          <w:rFonts w:ascii="Sakkal Majalla" w:hAnsi="Sakkal Majalla" w:cs="Sakkal Majalla"/>
          <w:sz w:val="28"/>
          <w:szCs w:val="28"/>
          <w:lang w:bidi="ar-EG"/>
        </w:rPr>
        <w:t>.</w:t>
      </w:r>
    </w:p>
    <w:p w14:paraId="598D146F"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الثالث: التقييم الذاتي لمستوى المهارات الرقمية</w:t>
      </w:r>
    </w:p>
    <w:p w14:paraId="1455BA9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كشف التقييم الذاتي للمهارات الرقمية عن هيمنة واضحة لمستوى "المتوسط" الذي احتل الصدارة بنسبة (57.62%)، تلاه مستوى "جيد" بنسبة (24.16%)، فيما أفاد (12.27%) بامتلاكهم مهارات ضعيفة. واقتصرت نسبة "جيد جداً" على (5.95%)، بينما خلت فئة "ممتاز" تماماً من أي مستجيب (0.00%). ويعني ذلك أن ما يزيد على ثلثي العينة (69.89%) يقع دون مستوى الكفاءة المتقدمة في المهارات الرقمية</w:t>
      </w:r>
      <w:r w:rsidRPr="00BF5248">
        <w:rPr>
          <w:rFonts w:ascii="Sakkal Majalla" w:hAnsi="Sakkal Majalla" w:cs="Sakkal Majalla"/>
          <w:sz w:val="28"/>
          <w:szCs w:val="28"/>
          <w:lang w:bidi="ar-EG"/>
        </w:rPr>
        <w:t>.</w:t>
      </w:r>
    </w:p>
    <w:p w14:paraId="37E5268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تتوافق هيمنة المستوى المتوسط مع ما رصدته منظمة التعاون الاقتصادي والتنمية</w:t>
      </w:r>
      <w:r w:rsidRPr="00BF5248">
        <w:rPr>
          <w:rFonts w:ascii="Sakkal Majalla" w:hAnsi="Sakkal Majalla" w:cs="Sakkal Majalla"/>
          <w:sz w:val="28"/>
          <w:szCs w:val="28"/>
          <w:lang w:bidi="ar-EG"/>
        </w:rPr>
        <w:t xml:space="preserve"> (OECD, 2022) </w:t>
      </w:r>
      <w:r w:rsidRPr="00BF5248">
        <w:rPr>
          <w:rFonts w:ascii="Sakkal Majalla" w:hAnsi="Sakkal Majalla" w:cs="Sakkal Majalla"/>
          <w:sz w:val="28"/>
          <w:szCs w:val="28"/>
          <w:rtl/>
        </w:rPr>
        <w:t>من أن (60%) من موظفي القطاع العام في الاقتصادات الناشئة يُصنّفون أنفسهم عند المستوى المتوسط من الكفاءة الرقمية. والملاحظة الأكثر إثارةً هي الغياب التام لمستوى "ممتاز"، مما يُلمح إلى وجود "سقف زجاجي" يحول دون الارتقاء نحو الإتقان الرقمي الكامل. ويُفسّر</w:t>
      </w:r>
      <w:r w:rsidRPr="00BF5248">
        <w:rPr>
          <w:rFonts w:ascii="Sakkal Majalla" w:hAnsi="Sakkal Majalla" w:cs="Sakkal Majalla"/>
          <w:sz w:val="28"/>
          <w:szCs w:val="28"/>
          <w:lang w:bidi="ar-EG"/>
        </w:rPr>
        <w:t xml:space="preserve"> Prensky (2001) </w:t>
      </w:r>
      <w:r w:rsidRPr="00BF5248">
        <w:rPr>
          <w:rFonts w:ascii="Sakkal Majalla" w:hAnsi="Sakkal Majalla" w:cs="Sakkal Majalla"/>
          <w:sz w:val="28"/>
          <w:szCs w:val="28"/>
          <w:rtl/>
        </w:rPr>
        <w:t>هذا النمط بمفهوم "المهاجرين الرقميين" الذين تلقوا التدريب في مراحل متأخرة، في مقابل "السكان الرقميين الأصليين" ذوي الاستيعاب العضوي الأعمق. كما أشارت دراسة</w:t>
      </w:r>
      <w:r w:rsidRPr="00BF5248">
        <w:rPr>
          <w:rFonts w:ascii="Sakkal Majalla" w:hAnsi="Sakkal Majalla" w:cs="Sakkal Majalla"/>
          <w:sz w:val="28"/>
          <w:szCs w:val="28"/>
          <w:lang w:bidi="ar-EG"/>
        </w:rPr>
        <w:t xml:space="preserve"> Al-Shehri &amp; Al-Zahrani (2021) </w:t>
      </w:r>
      <w:r w:rsidRPr="00BF5248">
        <w:rPr>
          <w:rFonts w:ascii="Sakkal Majalla" w:hAnsi="Sakkal Majalla" w:cs="Sakkal Majalla"/>
          <w:sz w:val="28"/>
          <w:szCs w:val="28"/>
          <w:rtl/>
        </w:rPr>
        <w:t>إلى أن التدريب الجمعي غير المُخصَّص في البيئات الحكومية يُرسّخ مستويات متوسطة ويُخفق في بناء الكفاءات المتخصصة</w:t>
      </w:r>
      <w:r w:rsidRPr="00BF5248">
        <w:rPr>
          <w:rFonts w:ascii="Sakkal Majalla" w:hAnsi="Sakkal Majalla" w:cs="Sakkal Majalla"/>
          <w:sz w:val="28"/>
          <w:szCs w:val="28"/>
          <w:lang w:bidi="ar-EG"/>
        </w:rPr>
        <w:t>.</w:t>
      </w:r>
    </w:p>
    <w:p w14:paraId="6D02D3F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يؤثر انتشار المستوى المتوسط على جودة استخدام المنصات الرقمية وعلى القدرة المؤسسية في تطبيق تقنيات متقدمة كالذكاء الاصطناعي وتحليل البيانات. آليات التعامل تشمل: أولاً، تطبيق منهجية تقييم الكفاءات </w:t>
      </w:r>
      <w:r w:rsidRPr="00BF5248">
        <w:rPr>
          <w:rFonts w:ascii="Sakkal Majalla" w:hAnsi="Sakkal Majalla" w:cs="Sakkal Majalla"/>
          <w:sz w:val="28"/>
          <w:szCs w:val="28"/>
          <w:rtl/>
        </w:rPr>
        <w:lastRenderedPageBreak/>
        <w:t>الرقمية الفردية وفق إطار</w:t>
      </w:r>
      <w:r w:rsidRPr="00BF5248">
        <w:rPr>
          <w:rFonts w:ascii="Sakkal Majalla" w:hAnsi="Sakkal Majalla" w:cs="Sakkal Majalla"/>
          <w:sz w:val="28"/>
          <w:szCs w:val="28"/>
          <w:lang w:bidi="ar-EG"/>
        </w:rPr>
        <w:t xml:space="preserve"> DigComp2.2 </w:t>
      </w:r>
      <w:r w:rsidRPr="00BF5248">
        <w:rPr>
          <w:rFonts w:ascii="Sakkal Majalla" w:hAnsi="Sakkal Majalla" w:cs="Sakkal Majalla"/>
          <w:sz w:val="28"/>
          <w:szCs w:val="28"/>
          <w:rtl/>
        </w:rPr>
        <w:t>الصادر عن الاتحاد الأوروبي لتحديد الاحتياجات التدريبية بدقة. ثانياً، تصميم مسارات تدريب مخصصة</w:t>
      </w:r>
      <w:r w:rsidRPr="00BF5248">
        <w:rPr>
          <w:rFonts w:ascii="Sakkal Majalla" w:hAnsi="Sakkal Majalla" w:cs="Sakkal Majalla"/>
          <w:sz w:val="28"/>
          <w:szCs w:val="28"/>
          <w:lang w:bidi="ar-EG"/>
        </w:rPr>
        <w:t xml:space="preserve"> Personalized Learning Paths </w:t>
      </w:r>
      <w:r w:rsidRPr="00BF5248">
        <w:rPr>
          <w:rFonts w:ascii="Sakkal Majalla" w:hAnsi="Sakkal Majalla" w:cs="Sakkal Majalla"/>
          <w:sz w:val="28"/>
          <w:szCs w:val="28"/>
          <w:rtl/>
        </w:rPr>
        <w:t>تُعالج الفجوات الفردية لا الجماعية. ثالثاً، إنشاء مختبرات رقمية داخلية تتيح للموظفين تجريب تقنيات الذكاء الاصطناعي وتحليل البيانات في بيئة آمنة وموجَّهة</w:t>
      </w:r>
      <w:r w:rsidRPr="00BF5248">
        <w:rPr>
          <w:rFonts w:ascii="Sakkal Majalla" w:hAnsi="Sakkal Majalla" w:cs="Sakkal Majalla"/>
          <w:sz w:val="28"/>
          <w:szCs w:val="28"/>
          <w:lang w:bidi="ar-EG"/>
        </w:rPr>
        <w:t>.</w:t>
      </w:r>
    </w:p>
    <w:p w14:paraId="20899D6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الغياب الكامل لمستوى "ممتاز" في التقييم الذاتي هو الإشارة الأكثر إنذاراً في هذا السؤال. فحين لا يُقيّم أي موظف من أصل خمسين مهاراته الرقمية بـ"ممتاز"، فهذا يكشف عن غياب نموذج القيادة الرقمية الداخلية</w:t>
      </w:r>
      <w:r w:rsidRPr="00BF5248">
        <w:rPr>
          <w:rFonts w:ascii="Sakkal Majalla" w:hAnsi="Sakkal Majalla" w:cs="Sakkal Majalla"/>
          <w:sz w:val="28"/>
          <w:szCs w:val="28"/>
          <w:lang w:bidi="ar-EG"/>
        </w:rPr>
        <w:t xml:space="preserve"> Digital Champion </w:t>
      </w:r>
      <w:r w:rsidRPr="00BF5248">
        <w:rPr>
          <w:rFonts w:ascii="Sakkal Majalla" w:hAnsi="Sakkal Majalla" w:cs="Sakkal Majalla"/>
          <w:sz w:val="28"/>
          <w:szCs w:val="28"/>
          <w:rtl/>
        </w:rPr>
        <w:t>داخل الهيئة. إن المؤسسات التي نجحت في تسريع تحولها الرقمي – كهيئة الزكاة الماليزية ومصلحة الضرائب الإستونية – استثمرت في بناء نخبة رقمية متخصصة داخلية تُشكّل ذراعاً قيادياً يقود بقية الموظفين. وهذا ما تحتاجه الهيئة: ليس رفع الجميع إلى المتوسط، بل رفع نخبة متخصصة إلى مستوى التميز الرقمي الفعلي</w:t>
      </w:r>
      <w:r w:rsidRPr="00BF5248">
        <w:rPr>
          <w:rFonts w:ascii="Sakkal Majalla" w:hAnsi="Sakkal Majalla" w:cs="Sakkal Majalla"/>
          <w:sz w:val="28"/>
          <w:szCs w:val="28"/>
          <w:lang w:bidi="ar-EG"/>
        </w:rPr>
        <w:t>.</w:t>
      </w:r>
    </w:p>
    <w:p w14:paraId="02E01C8E"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الرابع: تكرار استخدام منصات الهيئة الإلكترونية الرئيسية</w:t>
      </w:r>
    </w:p>
    <w:p w14:paraId="6AB434B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أظهرت البيانات أن (33.09%) من المستجيبين يستخدمون المنصات الإلكترونية الرئيسية للهيئة عدة مرات يومياً، وأن (27.88%) يستخدمونها يومياً، في حين يعتبر (18.96%) هذه المنصات أساس عملهم اليومي. بينما يستخدمها (11.90%) أسبوعياً أو أقل، و(8.18%) مرة في الشهر. ويُمثّل المجموع التراكمي للمستخدمين اليوميين ما يزيد على (79.93%) من العينة، مما يُشير إلى اندماج عملي فعلي في البنية الرقمية المؤسسية</w:t>
      </w:r>
      <w:r w:rsidRPr="00BF5248">
        <w:rPr>
          <w:rFonts w:ascii="Sakkal Majalla" w:hAnsi="Sakkal Majalla" w:cs="Sakkal Majalla"/>
          <w:sz w:val="28"/>
          <w:szCs w:val="28"/>
          <w:lang w:bidi="ar-EG"/>
        </w:rPr>
        <w:t>.</w:t>
      </w:r>
    </w:p>
    <w:p w14:paraId="1E568AF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مستوى متقدم من الاعتماد المؤسسي على المنصات الرقمية، ويُجسّد ما يُسمى في نموذج "قبول التكنولوجيا</w:t>
      </w:r>
      <w:r w:rsidRPr="00BF5248">
        <w:rPr>
          <w:rFonts w:ascii="Sakkal Majalla" w:hAnsi="Sakkal Majalla" w:cs="Sakkal Majalla"/>
          <w:sz w:val="28"/>
          <w:szCs w:val="28"/>
          <w:lang w:bidi="ar-EG"/>
        </w:rPr>
        <w:t xml:space="preserve">" TAM </w:t>
      </w:r>
      <w:r w:rsidRPr="00BF5248">
        <w:rPr>
          <w:rFonts w:ascii="Sakkal Majalla" w:hAnsi="Sakkal Majalla" w:cs="Sakkal Majalla"/>
          <w:sz w:val="28"/>
          <w:szCs w:val="28"/>
          <w:rtl/>
        </w:rPr>
        <w:t>لـ</w:t>
      </w:r>
      <w:r w:rsidRPr="00BF5248">
        <w:rPr>
          <w:rFonts w:ascii="Sakkal Majalla" w:hAnsi="Sakkal Majalla" w:cs="Sakkal Majalla"/>
          <w:sz w:val="28"/>
          <w:szCs w:val="28"/>
          <w:lang w:bidi="ar-EG"/>
        </w:rPr>
        <w:t xml:space="preserve"> Davis (1989) </w:t>
      </w:r>
      <w:r w:rsidRPr="00BF5248">
        <w:rPr>
          <w:rFonts w:ascii="Sakkal Majalla" w:hAnsi="Sakkal Majalla" w:cs="Sakkal Majalla"/>
          <w:sz w:val="28"/>
          <w:szCs w:val="28"/>
          <w:rtl/>
        </w:rPr>
        <w:t>بـ"الفائدة المدركة</w:t>
      </w:r>
      <w:r w:rsidRPr="00BF5248">
        <w:rPr>
          <w:rFonts w:ascii="Sakkal Majalla" w:hAnsi="Sakkal Majalla" w:cs="Sakkal Majalla"/>
          <w:sz w:val="28"/>
          <w:szCs w:val="28"/>
          <w:lang w:bidi="ar-EG"/>
        </w:rPr>
        <w:t>" Perceived Usefulness</w:t>
      </w:r>
      <w:r w:rsidRPr="00BF5248">
        <w:rPr>
          <w:rFonts w:ascii="Sakkal Majalla" w:hAnsi="Sakkal Majalla" w:cs="Sakkal Majalla"/>
          <w:sz w:val="28"/>
          <w:szCs w:val="28"/>
          <w:rtl/>
        </w:rPr>
        <w:t>؛ إذ يُعدّ الاستخدام المنتظم والمتكرر أقوى مؤشر على تحقق هذه الفائدة. وتتوافق هذه النتيجة مع ما توصل إليه</w:t>
      </w:r>
      <w:r w:rsidRPr="00BF5248">
        <w:rPr>
          <w:rFonts w:ascii="Sakkal Majalla" w:hAnsi="Sakkal Majalla" w:cs="Sakkal Majalla"/>
          <w:sz w:val="28"/>
          <w:szCs w:val="28"/>
          <w:lang w:bidi="ar-EG"/>
        </w:rPr>
        <w:t xml:space="preserve"> Tangi et al. (2021) </w:t>
      </w:r>
      <w:r w:rsidRPr="00BF5248">
        <w:rPr>
          <w:rFonts w:ascii="Sakkal Majalla" w:hAnsi="Sakkal Majalla" w:cs="Sakkal Majalla"/>
          <w:sz w:val="28"/>
          <w:szCs w:val="28"/>
          <w:rtl/>
        </w:rPr>
        <w:t>في دراستهم حول التحول الرقمي في هيئات الإيرادات الحكومية الأوروبية، من أن المنصات التي تدمج وظائف متعددة كالنافذة الموحدة تحقق معدلات استخدام أعلى وانخفاضاً ملحوظاً في معدلات مقاومة التغيير الرقمي</w:t>
      </w:r>
      <w:r w:rsidRPr="00BF5248">
        <w:rPr>
          <w:rFonts w:ascii="Sakkal Majalla" w:hAnsi="Sakkal Majalla" w:cs="Sakkal Majalla"/>
          <w:sz w:val="28"/>
          <w:szCs w:val="28"/>
          <w:lang w:bidi="ar-EG"/>
        </w:rPr>
        <w:t>.</w:t>
      </w:r>
    </w:p>
    <w:p w14:paraId="791D678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يُجسّد هذا المؤشر ركيزة استراتيجية في منظومة التحول الرقمي للهيئة؛ إذ يعني أن عمليات الإيرادات والجمارك والزكاة باتت تسير وفق مسارات رقمية راسخة. آليات تعزيز هذا الاتجاه تشمل: أولاً، قياس جودة الاستخدام لا كميته فحسب، عبر تتبع مؤشرات الوقت المستغرق وعدد العمليات المنجزة ومعدلات الخطأ. ثانياً، تطوير لوحات معلومات تفاعلية</w:t>
      </w:r>
      <w:r w:rsidRPr="00BF5248">
        <w:rPr>
          <w:rFonts w:ascii="Sakkal Majalla" w:hAnsi="Sakkal Majalla" w:cs="Sakkal Majalla"/>
          <w:sz w:val="28"/>
          <w:szCs w:val="28"/>
          <w:lang w:bidi="ar-EG"/>
        </w:rPr>
        <w:t xml:space="preserve"> Dashboards </w:t>
      </w:r>
      <w:r w:rsidRPr="00BF5248">
        <w:rPr>
          <w:rFonts w:ascii="Sakkal Majalla" w:hAnsi="Sakkal Majalla" w:cs="Sakkal Majalla"/>
          <w:sz w:val="28"/>
          <w:szCs w:val="28"/>
          <w:rtl/>
        </w:rPr>
        <w:t>تُمكّن المديرين من رصد أنماط الاستخدام المؤسسي. ثالثاً، تحفيز الوحدات ذات الاستخدام الأعلى وتسليط الضوء عليها كنماذج يُحتذى بها</w:t>
      </w:r>
      <w:r w:rsidRPr="00BF5248">
        <w:rPr>
          <w:rFonts w:ascii="Sakkal Majalla" w:hAnsi="Sakkal Majalla" w:cs="Sakkal Majalla"/>
          <w:sz w:val="28"/>
          <w:szCs w:val="28"/>
          <w:lang w:bidi="ar-EG"/>
        </w:rPr>
        <w:t>.</w:t>
      </w:r>
    </w:p>
    <w:p w14:paraId="7819FC1C"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تُجسّد هذه النتيجة المؤشر الأكثر إيجابية في الدراسة؛ إذ يُثبت أن البنية الرقمية للهيئة قد اخترقت حاجز الاستخدام الاستثنائي لتتحول إلى ممارسة يومية راسخة. غير أن الباحث يستدرك بسؤال جوهري: إذا كان (79%) يستخدمون المنصات يومياً، فلماذا لا يقضي (97%) منهم أكثر من ساعتين على أجهزة الهيئة الرسمية؟ هذا التناقض يُنبئ باحتمالية خطيرة: أن معظم هؤلاء يتعاملون مع منصات الهيئة عبر أجهزتهم الشخصية خارج نطاق بيئة الحماية المؤسسية، مما يُشكّل ثغرة أمنية بنيوية تستوجب معالجة عاجلة</w:t>
      </w:r>
      <w:r w:rsidRPr="00BF5248">
        <w:rPr>
          <w:rFonts w:ascii="Sakkal Majalla" w:hAnsi="Sakkal Majalla" w:cs="Sakkal Majalla"/>
          <w:sz w:val="28"/>
          <w:szCs w:val="28"/>
          <w:lang w:bidi="ar-EG"/>
        </w:rPr>
        <w:t>.</w:t>
      </w:r>
    </w:p>
    <w:p w14:paraId="7CEE7DFB"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الخامس: مدى الاهتمام الشخصي بقضايا الأمن السيبراني والخصوصية</w:t>
      </w:r>
    </w:p>
    <w:p w14:paraId="646404F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كشفت البيانات عن توزيع يعكس درجة متوسطة إلى منخفضة من الاهتمام الشخصي بقضايا الأمن السيبراني؛ إذ جاءت فئة "منخفض" في المرتبة الأولى بنسبة (40.89%)، تلتها فئة "متوسط" بنسبة (26.77%)، ثم "مرتفع" بنسبة (24.16%). ولم تُسجّل أي من الحالات مستوى "مرتفع جداً" (0.00%)، بينما أعلن (8.18%) عدم اهتمامهم البتة. وعلى ذلك يبلغ إجمالي الاهتمام المنخفض أو المعدوم ما نسبته</w:t>
      </w:r>
      <w:r w:rsidRPr="00BF5248">
        <w:rPr>
          <w:rFonts w:ascii="Sakkal Majalla" w:hAnsi="Sakkal Majalla" w:cs="Sakkal Majalla"/>
          <w:sz w:val="28"/>
          <w:szCs w:val="28"/>
          <w:lang w:bidi="ar-EG"/>
        </w:rPr>
        <w:t xml:space="preserve"> (49.07%).</w:t>
      </w:r>
    </w:p>
    <w:p w14:paraId="6C1F381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يُمثّل هذا التوزيع ظاهرة موثقة في أدبيات الأمن السيبراني تُعرف بـ"فجوة الوعي الأمني</w:t>
      </w:r>
      <w:r w:rsidRPr="00BF5248">
        <w:rPr>
          <w:rFonts w:ascii="Sakkal Majalla" w:hAnsi="Sakkal Majalla" w:cs="Sakkal Majalla"/>
          <w:sz w:val="28"/>
          <w:szCs w:val="28"/>
          <w:lang w:bidi="ar-EG"/>
        </w:rPr>
        <w:t>" Security Awareness Gap</w:t>
      </w:r>
      <w:r w:rsidRPr="00BF5248">
        <w:rPr>
          <w:rFonts w:ascii="Sakkal Majalla" w:hAnsi="Sakkal Majalla" w:cs="Sakkal Majalla"/>
          <w:sz w:val="28"/>
          <w:szCs w:val="28"/>
          <w:rtl/>
        </w:rPr>
        <w:t>، وهي التي تُميّز بين من يُدركون الأهمية النظرية للأمن السيبراني وبين من يُحوّلون هذا الإدراك إلى سلوكيات وقائية فعلية. وتتوافق هذه النتيجة مع ما أكدته دراسة</w:t>
      </w:r>
      <w:r w:rsidRPr="00BF5248">
        <w:rPr>
          <w:rFonts w:ascii="Sakkal Majalla" w:hAnsi="Sakkal Majalla" w:cs="Sakkal Majalla"/>
          <w:sz w:val="28"/>
          <w:szCs w:val="28"/>
          <w:lang w:bidi="ar-EG"/>
        </w:rPr>
        <w:t xml:space="preserve"> Verizon Data Breach Investigations Report (2023) </w:t>
      </w:r>
      <w:r w:rsidRPr="00BF5248">
        <w:rPr>
          <w:rFonts w:ascii="Sakkal Majalla" w:hAnsi="Sakkal Majalla" w:cs="Sakkal Majalla"/>
          <w:sz w:val="28"/>
          <w:szCs w:val="28"/>
          <w:rtl/>
        </w:rPr>
        <w:t>من أن ضعف الوعي الأمني الشخصي لدى موظفي القطاع الحكومي يُمثّل أحد أكبر نقاط الضعف في المنظومة الأمنية المؤسسية. كما أشارت دراسة العتيبي (2021) إلى أن الإنهاك الرقمي</w:t>
      </w:r>
      <w:r w:rsidRPr="00BF5248">
        <w:rPr>
          <w:rFonts w:ascii="Sakkal Majalla" w:hAnsi="Sakkal Majalla" w:cs="Sakkal Majalla"/>
          <w:sz w:val="28"/>
          <w:szCs w:val="28"/>
          <w:lang w:bidi="ar-EG"/>
        </w:rPr>
        <w:t xml:space="preserve"> Digital Fatigue </w:t>
      </w:r>
      <w:r w:rsidRPr="00BF5248">
        <w:rPr>
          <w:rFonts w:ascii="Sakkal Majalla" w:hAnsi="Sakkal Majalla" w:cs="Sakkal Majalla"/>
          <w:sz w:val="28"/>
          <w:szCs w:val="28"/>
          <w:rtl/>
        </w:rPr>
        <w:t>يُفضي إلى تراجع نسبي في الاهتمام الاستباقي بمسائل الأمن والخصوصية</w:t>
      </w:r>
      <w:r w:rsidRPr="00BF5248">
        <w:rPr>
          <w:rFonts w:ascii="Sakkal Majalla" w:hAnsi="Sakkal Majalla" w:cs="Sakkal Majalla"/>
          <w:sz w:val="28"/>
          <w:szCs w:val="28"/>
          <w:lang w:bidi="ar-EG"/>
        </w:rPr>
        <w:t>.</w:t>
      </w:r>
    </w:p>
    <w:p w14:paraId="04B7CBB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يُعدّ ضعف الاهتمام الشخصي بالأمن السيبراني تهديداً للمنظومة الأمنية المؤسسية من الداخل. آليات التعامل تشمل: أولاً، دمج مؤشرات السلوك الأمني ضمن تقييمات الأداء الوظيفي السنوية. ثانياً، إطلاق برامج محاكاة هجمات التصيد</w:t>
      </w:r>
      <w:r w:rsidRPr="00BF5248">
        <w:rPr>
          <w:rFonts w:ascii="Sakkal Majalla" w:hAnsi="Sakkal Majalla" w:cs="Sakkal Majalla"/>
          <w:sz w:val="28"/>
          <w:szCs w:val="28"/>
          <w:lang w:bidi="ar-EG"/>
        </w:rPr>
        <w:t xml:space="preserve"> Phishing Simulation </w:t>
      </w:r>
      <w:r w:rsidRPr="00BF5248">
        <w:rPr>
          <w:rFonts w:ascii="Sakkal Majalla" w:hAnsi="Sakkal Majalla" w:cs="Sakkal Majalla"/>
          <w:sz w:val="28"/>
          <w:szCs w:val="28"/>
          <w:rtl/>
        </w:rPr>
        <w:t>داخلياً لرفع مستوى اليقظة الأمنية. ثالثاً، تصميم حوافز مبتكرة مرتبطة بالسلوكيات الأمنية الإيجابية. رابعاً، تبني نموذج "الأمن كثقافة" بديلاً عن نموذج "الأمن كإجراء</w:t>
      </w:r>
      <w:r w:rsidRPr="00BF5248">
        <w:rPr>
          <w:rFonts w:ascii="Sakkal Majalla" w:hAnsi="Sakkal Majalla" w:cs="Sakkal Majalla"/>
          <w:sz w:val="28"/>
          <w:szCs w:val="28"/>
          <w:lang w:bidi="ar-EG"/>
        </w:rPr>
        <w:t>".</w:t>
      </w:r>
    </w:p>
    <w:p w14:paraId="1A0DBFD5"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حين يكون ما يقارب نصف منسوبي هيئة تتعامل مع بيانات ضريبية وجمركية بالغة الحساسية غير مهتمين أو ذوي اهتمام منخفض بالأمن السيبراني، فإن ذلك لا يُشكّل مجرد فجوة تدريبية بل يُمثّل خطراً مؤسسياً حقيقياً. يرى الباحث أن جذر هذه المشكلة ليس في الجهل بمفهوم الأمن السيبراني – فـ90% تلقوا تدريباً – بل في غياب الارتباط العاطفي والوجداني بهذه القضية. والناس لا يهتمون بما لا يرونه تهديداً شخصياً مباشراً لهم. ومن هنا تأتي أهمية تغيير استراتيجية التوعية من "أخبرني" إلى "أشعرني بالخطر"، عبر قصص الحوادث الحقيقية والمحاكاة التفاعلية التي تجعل التهديد السيبراني ملموساً لا مجرداً</w:t>
      </w:r>
      <w:r w:rsidRPr="00BF5248">
        <w:rPr>
          <w:rFonts w:ascii="Sakkal Majalla" w:hAnsi="Sakkal Majalla" w:cs="Sakkal Majalla"/>
          <w:sz w:val="28"/>
          <w:szCs w:val="28"/>
          <w:lang w:bidi="ar-EG"/>
        </w:rPr>
        <w:t>.</w:t>
      </w:r>
    </w:p>
    <w:p w14:paraId="39E66F37"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السادس: تقييم مدى استعداد الهيئة لمواجهة التهديدات السيبرانية المتقدمة</w:t>
      </w:r>
    </w:p>
    <w:p w14:paraId="5845756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أبدى أفراد العينة تقييماً إيجابياً نسبياً لاستعداد الهيئة؛ إذ رأى (52.04%) أن هذا الاستعداد "جيد"، و(10.78%) وصفوه بـ"ممتاز"، مما يُوجد مجموعاً إيجابياً يبلغ (62.82%). في المقابل، قيّم (31.60%) الاستعداد بـ"متوسط"، ولم يتجاوز من وصفه بـ"ضعيف" نسبة</w:t>
      </w:r>
      <w:r w:rsidRPr="00BF5248">
        <w:rPr>
          <w:rFonts w:ascii="Sakkal Majalla" w:hAnsi="Sakkal Majalla" w:cs="Sakkal Majalla"/>
          <w:sz w:val="28"/>
          <w:szCs w:val="28"/>
          <w:lang w:bidi="ar-EG"/>
        </w:rPr>
        <w:t xml:space="preserve"> (1.12%).</w:t>
      </w:r>
    </w:p>
    <w:p w14:paraId="7BB519B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يعكس هذا التقييم ثقة معقولة في المنظومة الأمنية للهيئة، وهو ما يتوافق مع التحسينات الجوهرية التي أدخلتها الهيئة على بنيتها التحتية الأمنية في أعقاب إطار الأمن السيبراني الوطني</w:t>
      </w:r>
      <w:r w:rsidRPr="00BF5248">
        <w:rPr>
          <w:rFonts w:ascii="Sakkal Majalla" w:hAnsi="Sakkal Majalla" w:cs="Sakkal Majalla"/>
          <w:sz w:val="28"/>
          <w:szCs w:val="28"/>
          <w:lang w:bidi="ar-EG"/>
        </w:rPr>
        <w:t xml:space="preserve"> (NCA) </w:t>
      </w:r>
      <w:r w:rsidRPr="00BF5248">
        <w:rPr>
          <w:rFonts w:ascii="Sakkal Majalla" w:hAnsi="Sakkal Majalla" w:cs="Sakkal Majalla"/>
          <w:sz w:val="28"/>
          <w:szCs w:val="28"/>
          <w:rtl/>
        </w:rPr>
        <w:t>منذ عام 2020. وتتسق هذه النتيجة مع دراسة</w:t>
      </w:r>
      <w:r w:rsidRPr="00BF5248">
        <w:rPr>
          <w:rFonts w:ascii="Sakkal Majalla" w:hAnsi="Sakkal Majalla" w:cs="Sakkal Majalla"/>
          <w:sz w:val="28"/>
          <w:szCs w:val="28"/>
          <w:lang w:bidi="ar-EG"/>
        </w:rPr>
        <w:t xml:space="preserve"> Al-Garni &amp; Marquez (2020) </w:t>
      </w:r>
      <w:r w:rsidRPr="00BF5248">
        <w:rPr>
          <w:rFonts w:ascii="Sakkal Majalla" w:hAnsi="Sakkal Majalla" w:cs="Sakkal Majalla"/>
          <w:sz w:val="28"/>
          <w:szCs w:val="28"/>
          <w:rtl/>
        </w:rPr>
        <w:t>التي رصدت ارتفاعاً ملحوظاً في ثقة الموظفين بالمنظومة الأمنية للجهات الحكومية السعودية إثر تطبيق الإطار الوطني. غير أن التحفظ الأكاديمي ضروري؛ إذ تُشير أبحاث</w:t>
      </w:r>
      <w:r w:rsidRPr="00BF5248">
        <w:rPr>
          <w:rFonts w:ascii="Sakkal Majalla" w:hAnsi="Sakkal Majalla" w:cs="Sakkal Majalla"/>
          <w:sz w:val="28"/>
          <w:szCs w:val="28"/>
          <w:lang w:bidi="ar-EG"/>
        </w:rPr>
        <w:t xml:space="preserve"> Dunning-Kruger Effect </w:t>
      </w:r>
      <w:r w:rsidRPr="00BF5248">
        <w:rPr>
          <w:rFonts w:ascii="Sakkal Majalla" w:hAnsi="Sakkal Majalla" w:cs="Sakkal Majalla"/>
          <w:sz w:val="28"/>
          <w:szCs w:val="28"/>
          <w:rtl/>
        </w:rPr>
        <w:t>في سياق الأمن السيبراني إلى أن التقييم الذاتي الإيجابي قد لا يعكس بدقة الاستعداد الحقيقي في ظل التطور المتسارع للتهديدات</w:t>
      </w:r>
      <w:r w:rsidRPr="00BF5248">
        <w:rPr>
          <w:rFonts w:ascii="Sakkal Majalla" w:hAnsi="Sakkal Majalla" w:cs="Sakkal Majalla"/>
          <w:sz w:val="28"/>
          <w:szCs w:val="28"/>
          <w:lang w:bidi="ar-EG"/>
        </w:rPr>
        <w:t>.</w:t>
      </w:r>
    </w:p>
    <w:p w14:paraId="6DA8C85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يُمثّل هذا التقييم الإيجابي رصيداً لا يُستهان به في بناء الثقة المؤسسية، لكنه يستلزم ترسيخه وتحديه في آنٍ معاً. آليات التعامل تشمل: أولاً، إجراء تقييمات دورية لمستوى النضج الأمني وفق معايير</w:t>
      </w:r>
      <w:r w:rsidRPr="00BF5248">
        <w:rPr>
          <w:rFonts w:ascii="Sakkal Majalla" w:hAnsi="Sakkal Majalla" w:cs="Sakkal Majalla"/>
          <w:sz w:val="28"/>
          <w:szCs w:val="28"/>
          <w:lang w:bidi="ar-EG"/>
        </w:rPr>
        <w:t xml:space="preserve"> NIST Cybersecurity Framework </w:t>
      </w:r>
      <w:r w:rsidRPr="00BF5248">
        <w:rPr>
          <w:rFonts w:ascii="Sakkal Majalla" w:hAnsi="Sakkal Majalla" w:cs="Sakkal Majalla"/>
          <w:sz w:val="28"/>
          <w:szCs w:val="28"/>
          <w:rtl/>
        </w:rPr>
        <w:t>و</w:t>
      </w:r>
      <w:r w:rsidRPr="00BF5248">
        <w:rPr>
          <w:rFonts w:ascii="Sakkal Majalla" w:hAnsi="Sakkal Majalla" w:cs="Sakkal Majalla"/>
          <w:sz w:val="28"/>
          <w:szCs w:val="28"/>
          <w:lang w:bidi="ar-EG"/>
        </w:rPr>
        <w:t xml:space="preserve">ISO 27001. </w:t>
      </w:r>
      <w:r w:rsidRPr="00BF5248">
        <w:rPr>
          <w:rFonts w:ascii="Sakkal Majalla" w:hAnsi="Sakkal Majalla" w:cs="Sakkal Majalla"/>
          <w:sz w:val="28"/>
          <w:szCs w:val="28"/>
          <w:rtl/>
        </w:rPr>
        <w:t>ثانياً، إطلاق تمارين "الفريق الأحمر</w:t>
      </w:r>
      <w:r w:rsidRPr="00BF5248">
        <w:rPr>
          <w:rFonts w:ascii="Sakkal Majalla" w:hAnsi="Sakkal Majalla" w:cs="Sakkal Majalla"/>
          <w:sz w:val="28"/>
          <w:szCs w:val="28"/>
          <w:lang w:bidi="ar-EG"/>
        </w:rPr>
        <w:t xml:space="preserve">" Red Team Exercises </w:t>
      </w:r>
      <w:r w:rsidRPr="00BF5248">
        <w:rPr>
          <w:rFonts w:ascii="Sakkal Majalla" w:hAnsi="Sakkal Majalla" w:cs="Sakkal Majalla"/>
          <w:sz w:val="28"/>
          <w:szCs w:val="28"/>
          <w:rtl/>
        </w:rPr>
        <w:t>بصورة دورية لاختبار صمود المنظومة أمام تهديدات محاكاة حقيقية. ثالثاً، نشر تقارير النضج الأمني الدورية داخلياً لإبقاء الوعي المؤسسي حياً وفاعلاً</w:t>
      </w:r>
      <w:r w:rsidRPr="00BF5248">
        <w:rPr>
          <w:rFonts w:ascii="Sakkal Majalla" w:hAnsi="Sakkal Majalla" w:cs="Sakkal Majalla"/>
          <w:sz w:val="28"/>
          <w:szCs w:val="28"/>
          <w:lang w:bidi="ar-EG"/>
        </w:rPr>
        <w:t>.</w:t>
      </w:r>
    </w:p>
    <w:p w14:paraId="7F1A8E7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إن المفارقة الأكثر إثارة في هذا السؤال هي التناقض الصارخ بين التقييم الإيجابي للاستعداد المؤسسي (62.82%) وضعف الاهتمام الشخصي بالأمن (49% في السؤال الخامس). هذا التناقض يُجسّد ما يُسمى بـ"فخ الإيكال الأمني</w:t>
      </w:r>
      <w:r w:rsidRPr="00BF5248">
        <w:rPr>
          <w:rFonts w:ascii="Sakkal Majalla" w:hAnsi="Sakkal Majalla" w:cs="Sakkal Majalla"/>
          <w:sz w:val="28"/>
          <w:szCs w:val="28"/>
          <w:lang w:bidi="ar-EG"/>
        </w:rPr>
        <w:t>" Security Delegation Trap</w:t>
      </w:r>
      <w:r w:rsidRPr="00BF5248">
        <w:rPr>
          <w:rFonts w:ascii="Sakkal Majalla" w:hAnsi="Sakkal Majalla" w:cs="Sakkal Majalla"/>
          <w:sz w:val="28"/>
          <w:szCs w:val="28"/>
          <w:rtl/>
        </w:rPr>
        <w:t>؛ أي أن الموظفين يُوكلون مسؤولية الأمن للمؤسسة ويُعفون أنفسهم من أي مسؤولية فردية. وهذا النمط خطير بالغ الخطورة في منظومات الأمن السيبراني الحديثة التي تُؤكد أن الخط الدفاعي الأول هو الإنسان لا الجدار الناري. يُوصي الباحث بإعادة تأطير مفهوم الأمن السيبراني في الهيئة من مسؤولية مركزية حصرية إلى مسؤولية موزعة يتحملها كل فرد في مستوى وظيفته</w:t>
      </w:r>
      <w:r w:rsidRPr="00BF5248">
        <w:rPr>
          <w:rFonts w:ascii="Sakkal Majalla" w:hAnsi="Sakkal Majalla" w:cs="Sakkal Majalla"/>
          <w:sz w:val="28"/>
          <w:szCs w:val="28"/>
          <w:lang w:bidi="ar-EG"/>
        </w:rPr>
        <w:t>.</w:t>
      </w:r>
    </w:p>
    <w:p w14:paraId="39B09EF4"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السابع: عدد ساعات العمل اليومي على الأجهزة والأنظمة الرقمية للهيئة</w:t>
      </w:r>
    </w:p>
    <w:p w14:paraId="47CED6B3"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جاءت نتائج هذا السؤال لافتةً للنظر؛ إذ أفاد (70.63%) بأنهم يقضون ساعات منخفضة (1-2 ساعات) يومياً على أجهزة الهيئة، في حين أفاد (27.14%) بعدم استخدامهم لها على الإطلاق. وبذلك يبلغ إجمالي من لا يتجاوز استخدامهم لأجهزة الهيئة ساعتين أو معدوم (97.77%) من العينة، مقابل (1.49%) فقط ممن يستخدمونها من 5 إلى 6 ساعات يومياً</w:t>
      </w:r>
      <w:r w:rsidRPr="00BF5248">
        <w:rPr>
          <w:rFonts w:ascii="Sakkal Majalla" w:hAnsi="Sakkal Majalla" w:cs="Sakkal Majalla"/>
          <w:sz w:val="28"/>
          <w:szCs w:val="28"/>
          <w:lang w:bidi="ar-EG"/>
        </w:rPr>
        <w:t>.</w:t>
      </w:r>
    </w:p>
    <w:p w14:paraId="650F659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يُشكّل هذا التوزيع معطىً مثيراً للتساؤل عند مقارنته بنتائج السؤال الرابع الذي أثبت أن (79%) يستخدمون المنصات بصورة يومية. ويُرجع الباحث هذا التناقض إلى انتشار نماذج "إحضار جهازك الخاص</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التي رصدها</w:t>
      </w:r>
      <w:r w:rsidRPr="00BF5248">
        <w:rPr>
          <w:rFonts w:ascii="Sakkal Majalla" w:hAnsi="Sakkal Majalla" w:cs="Sakkal Majalla"/>
          <w:sz w:val="28"/>
          <w:szCs w:val="28"/>
          <w:lang w:bidi="ar-EG"/>
        </w:rPr>
        <w:t xml:space="preserve"> Brynjolfsson &amp; McAfee (2014) </w:t>
      </w:r>
      <w:r w:rsidRPr="00BF5248">
        <w:rPr>
          <w:rFonts w:ascii="Sakkal Majalla" w:hAnsi="Sakkal Majalla" w:cs="Sakkal Majalla"/>
          <w:sz w:val="28"/>
          <w:szCs w:val="28"/>
          <w:rtl/>
        </w:rPr>
        <w:t>كاتجاه متنامٍ في المؤسسات الحكومية. ويطرح هذا النمط تحديات أمنية جسيمة خاصة في بيئات تتعامل مع بيانات ضريبية وجمركية بالغة الحساسية، إذ قد تُعالَج هذه البيانات عبر بيئات رقمية غير مُدارة مؤسسياً وغير محمية</w:t>
      </w:r>
      <w:r w:rsidRPr="00BF5248">
        <w:rPr>
          <w:rFonts w:ascii="Sakkal Majalla" w:hAnsi="Sakkal Majalla" w:cs="Sakkal Majalla"/>
          <w:sz w:val="28"/>
          <w:szCs w:val="28"/>
          <w:lang w:bidi="ar-EG"/>
        </w:rPr>
        <w:t>.</w:t>
      </w:r>
    </w:p>
    <w:p w14:paraId="1ABA616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فجوة محتملة في حماية البيانات المؤسسية. آليات التعامل تشمل: أولاً، إجراء تدقيق أمني شامل على أنماط الوصول إلى منصات الهيئة لمعرفة نسبة الوصول عبر الأجهزة الشخصية. ثانياً، تطبيق حلول</w:t>
      </w:r>
      <w:r w:rsidRPr="00BF5248">
        <w:rPr>
          <w:rFonts w:ascii="Sakkal Majalla" w:hAnsi="Sakkal Majalla" w:cs="Sakkal Majalla"/>
          <w:sz w:val="28"/>
          <w:szCs w:val="28"/>
          <w:lang w:bidi="ar-EG"/>
        </w:rPr>
        <w:t xml:space="preserve"> MDM (Mobile Device Management) </w:t>
      </w:r>
      <w:r w:rsidRPr="00BF5248">
        <w:rPr>
          <w:rFonts w:ascii="Sakkal Majalla" w:hAnsi="Sakkal Majalla" w:cs="Sakkal Majalla"/>
          <w:sz w:val="28"/>
          <w:szCs w:val="28"/>
          <w:rtl/>
        </w:rPr>
        <w:t>و</w:t>
      </w:r>
      <w:r w:rsidRPr="00BF5248">
        <w:rPr>
          <w:rFonts w:ascii="Sakkal Majalla" w:hAnsi="Sakkal Majalla" w:cs="Sakkal Majalla"/>
          <w:sz w:val="28"/>
          <w:szCs w:val="28"/>
          <w:lang w:bidi="ar-EG"/>
        </w:rPr>
        <w:t xml:space="preserve">Zero Trust Architecture </w:t>
      </w:r>
      <w:r w:rsidRPr="00BF5248">
        <w:rPr>
          <w:rFonts w:ascii="Sakkal Majalla" w:hAnsi="Sakkal Majalla" w:cs="Sakkal Majalla"/>
          <w:sz w:val="28"/>
          <w:szCs w:val="28"/>
          <w:rtl/>
        </w:rPr>
        <w:t>لضمان أمن الوصول بصرف النظر عن الجهاز المستخدم. ثالثاً، وضع سياسة</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واضحة ومُلزمة تُحدد شروط أمن الجهاز وبروتوكولات الوصول المصرّح به</w:t>
      </w:r>
      <w:r w:rsidRPr="00BF5248">
        <w:rPr>
          <w:rFonts w:ascii="Sakkal Majalla" w:hAnsi="Sakkal Majalla" w:cs="Sakkal Majalla"/>
          <w:sz w:val="28"/>
          <w:szCs w:val="28"/>
          <w:lang w:bidi="ar-EG"/>
        </w:rPr>
        <w:t>.</w:t>
      </w:r>
    </w:p>
    <w:p w14:paraId="7B3666D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يكشف هذا السؤال بالتزامن مع السؤال الرابع عن أخطر ثغرة منهجية في هذه الدراسة: تناقض بنيوي بين معدلات الاستخدام اليومي للمنصات (79%) ومعدلات استخدام أجهزة الهيئة الرسمية (2.23% فقط يتجاوزون ساعتين). هذا يقود الباحث إلى استنتاج مقلق: أن معظم التعامل مع بيانات الهيئة الحساسة يجري عبر بيئات رقمية غير مُدارة مؤسسياً. في عصر تتطور فيه هجمات سلاسل التوريد وتهديدات نقاط النهاية بصورة غير مسبوقة، فإن هذه الفجوة تستوجب اهتماماً أمنياً استراتيجياً فورياً يفوق أهميةً أي استثمار تدريبي آخر</w:t>
      </w:r>
      <w:r w:rsidRPr="00BF5248">
        <w:rPr>
          <w:rFonts w:ascii="Sakkal Majalla" w:hAnsi="Sakkal Majalla" w:cs="Sakkal Majalla"/>
          <w:sz w:val="28"/>
          <w:szCs w:val="28"/>
          <w:lang w:bidi="ar-EG"/>
        </w:rPr>
        <w:t>.</w:t>
      </w:r>
    </w:p>
    <w:p w14:paraId="20AEFC43"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الثامن: التعرض لحوادث أمن سيبراني شخصية أو مهنية</w:t>
      </w:r>
    </w:p>
    <w:p w14:paraId="741060E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أفاد (29.37%) من أفراد العينة بتعرضهم لحوادث أمن سيبراني سواء على الصعيد الشخصي أو المهني كالتصيد الإلكتروني أو فقدان البيانات أو هجمات الفدية، في حين أجاب (70.63%) بعدم تعرضهم لأي حوادث. وعلى الرغم من أن النسبة الأعلى تبدو إيجابية ظاهرياً، إلا أن الباحث يرى ضرورة قراءة هذا الرقم من زاويتين: زاوية الحوادث المُبلَّغ عنها، وزاوية الحوادث غير المُدرَكة أو غير المُبلَّغ عنها</w:t>
      </w:r>
      <w:r w:rsidRPr="00BF5248">
        <w:rPr>
          <w:rFonts w:ascii="Sakkal Majalla" w:hAnsi="Sakkal Majalla" w:cs="Sakkal Majalla"/>
          <w:sz w:val="28"/>
          <w:szCs w:val="28"/>
          <w:lang w:bidi="ar-EG"/>
        </w:rPr>
        <w:t>.</w:t>
      </w:r>
    </w:p>
    <w:p w14:paraId="336200C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تستوقف هذه النتيجة من زاويتين متعارضتين: من ناحية، يُعدّ معدل التعرض للحوادث الموثّق (29.37%) مرتفعاً نسبياً ويتجاوز المتوسط العالمي في القطاع الحكومي الذي تُقدّره دراسة</w:t>
      </w:r>
      <w:r w:rsidRPr="00BF5248">
        <w:rPr>
          <w:rFonts w:ascii="Sakkal Majalla" w:hAnsi="Sakkal Majalla" w:cs="Sakkal Majalla"/>
          <w:sz w:val="28"/>
          <w:szCs w:val="28"/>
          <w:lang w:bidi="ar-EG"/>
        </w:rPr>
        <w:t xml:space="preserve"> IBM X-Force Threat Intelligence Index (2023) </w:t>
      </w:r>
      <w:r w:rsidRPr="00BF5248">
        <w:rPr>
          <w:rFonts w:ascii="Sakkal Majalla" w:hAnsi="Sakkal Majalla" w:cs="Sakkal Majalla"/>
          <w:sz w:val="28"/>
          <w:szCs w:val="28"/>
          <w:rtl/>
        </w:rPr>
        <w:t>بحوالي (21%). أما من الناحية الثانية، فإن نسبة (70.63%) من غير المتعرضين قد تُخفي حوادث غير مُبلَّغ عنها، وهو نمط يُعرف بـ"مشكلة الإبلاغ المنقوص</w:t>
      </w:r>
      <w:r w:rsidRPr="00BF5248">
        <w:rPr>
          <w:rFonts w:ascii="Sakkal Majalla" w:hAnsi="Sakkal Majalla" w:cs="Sakkal Majalla"/>
          <w:sz w:val="28"/>
          <w:szCs w:val="28"/>
          <w:lang w:bidi="ar-EG"/>
        </w:rPr>
        <w:t xml:space="preserve">" Under-reporting Problem. </w:t>
      </w:r>
      <w:r w:rsidRPr="00BF5248">
        <w:rPr>
          <w:rFonts w:ascii="Sakkal Majalla" w:hAnsi="Sakkal Majalla" w:cs="Sakkal Majalla"/>
          <w:sz w:val="28"/>
          <w:szCs w:val="28"/>
          <w:rtl/>
        </w:rPr>
        <w:t>وقد أثبتت دراسة</w:t>
      </w:r>
      <w:r w:rsidRPr="00BF5248">
        <w:rPr>
          <w:rFonts w:ascii="Sakkal Majalla" w:hAnsi="Sakkal Majalla" w:cs="Sakkal Majalla"/>
          <w:sz w:val="28"/>
          <w:szCs w:val="28"/>
          <w:lang w:bidi="ar-EG"/>
        </w:rPr>
        <w:t xml:space="preserve"> Safa et al. (2016) </w:t>
      </w:r>
      <w:r w:rsidRPr="00BF5248">
        <w:rPr>
          <w:rFonts w:ascii="Sakkal Majalla" w:hAnsi="Sakkal Majalla" w:cs="Sakkal Majalla"/>
          <w:sz w:val="28"/>
          <w:szCs w:val="28"/>
          <w:rtl/>
        </w:rPr>
        <w:t>أن الخوف من العواقب الإدارية وعدم إدراك خطورة الحادث يُؤديان إلى انخفاض معدلات الإبلاغ في البيئات الحكومية بما يصل إلى</w:t>
      </w:r>
      <w:r w:rsidRPr="00BF5248">
        <w:rPr>
          <w:rFonts w:ascii="Sakkal Majalla" w:hAnsi="Sakkal Majalla" w:cs="Sakkal Majalla"/>
          <w:sz w:val="28"/>
          <w:szCs w:val="28"/>
          <w:lang w:bidi="ar-EG"/>
        </w:rPr>
        <w:t xml:space="preserve"> (40-50%).</w:t>
      </w:r>
    </w:p>
    <w:p w14:paraId="51C4357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يُلقي هذا الرقم بظلاله على الأمن الاقتصادي والمالي الوطني. آليات التعامل تشمل: أولاً، بناء منظومة إبلاغ مؤسسية آمنة وسرية تُشجّع على الإفصاح دون خوف من التبعات. ثانياً، ربط الإبلاغ الفوري بمنظومة التعلم المؤسسي والتحسين المستمر لا بالمساءلة الفردية. ثالثاً، إجراء تقييم دوري لمستوى التعرض للتهديدات عبر</w:t>
      </w:r>
      <w:r w:rsidRPr="00BF5248">
        <w:rPr>
          <w:rFonts w:ascii="Sakkal Majalla" w:hAnsi="Sakkal Majalla" w:cs="Sakkal Majalla"/>
          <w:sz w:val="28"/>
          <w:szCs w:val="28"/>
          <w:lang w:bidi="ar-EG"/>
        </w:rPr>
        <w:t xml:space="preserve"> Threat Intelligence Platforms. </w:t>
      </w:r>
      <w:r w:rsidRPr="00BF5248">
        <w:rPr>
          <w:rFonts w:ascii="Sakkal Majalla" w:hAnsi="Sakkal Majalla" w:cs="Sakkal Majalla"/>
          <w:sz w:val="28"/>
          <w:szCs w:val="28"/>
          <w:rtl/>
        </w:rPr>
        <w:t>رابعاً، إنشاء قاعدة بيانات لحوادث الأمن السيبراني تُيسّر التحليل الاستباقي وتدعم القرار الوقائي</w:t>
      </w:r>
      <w:r w:rsidRPr="00BF5248">
        <w:rPr>
          <w:rFonts w:ascii="Sakkal Majalla" w:hAnsi="Sakkal Majalla" w:cs="Sakkal Majalla"/>
          <w:sz w:val="28"/>
          <w:szCs w:val="28"/>
          <w:lang w:bidi="ar-EG"/>
        </w:rPr>
        <w:t>.</w:t>
      </w:r>
    </w:p>
    <w:p w14:paraId="6F4332D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يرى الباحث أن القيمة الحقيقية لهذا السؤال لا تكمن في أرقامه المُعلنة، بل في ما يختبئ خلفها من حوادث غير مُوثَّقة وإشعارات لم تُبلَّغ. ثلث عينة الدراسة تعرّضوا لحوادث أمنية موثقة وهم ينتمون إلى مؤسسة واحدة تتعامل مع بيانات ذات أثر مباشر على الأمن الاقتصادي الوطني. والأخطر من الحادثة نفسها هو عدم الإبلاغ عنها أو عدم إدراك وقوعها، لأن الحادثة غير المُعالجة هي بذرة الاختراق الكامل القادم. ويُشدّد الباحث على أن بناء ثقافة الإبلاغ الآمن يستلزم تحولاً في الذهنية المؤسسية من "العقاب على الخطأ" إلى "التعلم من الخطأ</w:t>
      </w:r>
      <w:r w:rsidRPr="00BF5248">
        <w:rPr>
          <w:rFonts w:ascii="Sakkal Majalla" w:hAnsi="Sakkal Majalla" w:cs="Sakkal Majalla"/>
          <w:sz w:val="28"/>
          <w:szCs w:val="28"/>
          <w:lang w:bidi="ar-EG"/>
        </w:rPr>
        <w:t>".</w:t>
      </w:r>
    </w:p>
    <w:p w14:paraId="2554E729"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التاسع: تلقي التحديثات والتنبيهات الأمنية الدورية من الهيئة</w:t>
      </w:r>
    </w:p>
    <w:p w14:paraId="4534CBD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أظهرت نتائج هذا السؤال تبايناً واضحاً؛ إذ أكد (37.55%) تلقيهم تحديثات بانتظام، بينما أفاد (11.52%) بتلقيها لكن نادراً. ولافت للنظر أن (35.32%) يُجيبون بـ"لا أتذكر"، فيما أعلن (15.61%) عدم تلقيهم أي تنبيهات. ويُمثّل مجموع فئتي "لا أتذكر" و"لا" ما نسبته (50.93%)، أي ما يزيد على نصف العينة</w:t>
      </w:r>
      <w:r w:rsidRPr="00BF5248">
        <w:rPr>
          <w:rFonts w:ascii="Sakkal Majalla" w:hAnsi="Sakkal Majalla" w:cs="Sakkal Majalla"/>
          <w:sz w:val="28"/>
          <w:szCs w:val="28"/>
          <w:lang w:bidi="ar-EG"/>
        </w:rPr>
        <w:t>.</w:t>
      </w:r>
    </w:p>
    <w:p w14:paraId="157CC46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قصور في منظومة التواصل الأمني الداخلي، وتتوافق هذه النتيجة مع ما أوردته دراسة</w:t>
      </w:r>
      <w:r w:rsidRPr="00BF5248">
        <w:rPr>
          <w:rFonts w:ascii="Sakkal Majalla" w:hAnsi="Sakkal Majalla" w:cs="Sakkal Majalla"/>
          <w:sz w:val="28"/>
          <w:szCs w:val="28"/>
          <w:lang w:bidi="ar-EG"/>
        </w:rPr>
        <w:t xml:space="preserve"> Proofpoint State of the Phish (2023) </w:t>
      </w:r>
      <w:r w:rsidRPr="00BF5248">
        <w:rPr>
          <w:rFonts w:ascii="Sakkal Majalla" w:hAnsi="Sakkal Majalla" w:cs="Sakkal Majalla"/>
          <w:sz w:val="28"/>
          <w:szCs w:val="28"/>
          <w:rtl/>
        </w:rPr>
        <w:t>من أن فاعلية التنبيهات الأمنية تتراجع حين تُقدَّم بأسلوب نصي رسمي جامد، وترتفع حين تُقدَّم بصيغ تفاعلية وقصصية. كما تتوافق مع نتائج دراسة</w:t>
      </w:r>
      <w:r w:rsidRPr="00BF5248">
        <w:rPr>
          <w:rFonts w:ascii="Sakkal Majalla" w:hAnsi="Sakkal Majalla" w:cs="Sakkal Majalla"/>
          <w:sz w:val="28"/>
          <w:szCs w:val="28"/>
          <w:lang w:bidi="ar-EG"/>
        </w:rPr>
        <w:t xml:space="preserve"> Hadlington (2017) </w:t>
      </w:r>
      <w:r w:rsidRPr="00BF5248">
        <w:rPr>
          <w:rFonts w:ascii="Sakkal Majalla" w:hAnsi="Sakkal Majalla" w:cs="Sakkal Majalla"/>
          <w:sz w:val="28"/>
          <w:szCs w:val="28"/>
          <w:rtl/>
        </w:rPr>
        <w:t>التي خلصت إلى ظاهرة "الإرهاق من الرسائل الأمنية</w:t>
      </w:r>
      <w:r w:rsidRPr="00BF5248">
        <w:rPr>
          <w:rFonts w:ascii="Sakkal Majalla" w:hAnsi="Sakkal Majalla" w:cs="Sakkal Majalla"/>
          <w:sz w:val="28"/>
          <w:szCs w:val="28"/>
          <w:lang w:bidi="ar-EG"/>
        </w:rPr>
        <w:t xml:space="preserve">" Security Message Fatigue. </w:t>
      </w:r>
      <w:r w:rsidRPr="00BF5248">
        <w:rPr>
          <w:rFonts w:ascii="Sakkal Majalla" w:hAnsi="Sakkal Majalla" w:cs="Sakkal Majalla"/>
          <w:sz w:val="28"/>
          <w:szCs w:val="28"/>
          <w:rtl/>
        </w:rPr>
        <w:t>وفي السياق السعودي، كشفت دراسة الزهراني (2022) أن (42%) من موظفي الجهات الحكومية لا يُميّزون بين التنبيهات الأمنية الرسمية والبريد الإلكتروني الاعتيادي</w:t>
      </w:r>
      <w:r w:rsidRPr="00BF5248">
        <w:rPr>
          <w:rFonts w:ascii="Sakkal Majalla" w:hAnsi="Sakkal Majalla" w:cs="Sakkal Majalla"/>
          <w:sz w:val="28"/>
          <w:szCs w:val="28"/>
          <w:lang w:bidi="ar-EG"/>
        </w:rPr>
        <w:t>.</w:t>
      </w:r>
    </w:p>
    <w:p w14:paraId="6E872B35"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يؤثر قصور التواصل الأمني على مستوى اليقظة الأمنية المؤسسية ويُضعف خط الدفاع البشري الأول. آليات التعامل تشمل: أولاً، إعادة تصميم منظومة التنبيهات الأمنية بصيغ بصرية وتفاعلية جذابة. ثانياً، تنويع قنوات </w:t>
      </w:r>
      <w:r w:rsidRPr="00BF5248">
        <w:rPr>
          <w:rFonts w:ascii="Sakkal Majalla" w:hAnsi="Sakkal Majalla" w:cs="Sakkal Majalla"/>
          <w:sz w:val="28"/>
          <w:szCs w:val="28"/>
          <w:rtl/>
        </w:rPr>
        <w:lastRenderedPageBreak/>
        <w:t>الإرسال لتشمل التطبيقات المؤسسية ولوحات الإعلانات الرقمية وجلسات</w:t>
      </w:r>
      <w:r w:rsidRPr="00BF5248">
        <w:rPr>
          <w:rFonts w:ascii="Sakkal Majalla" w:hAnsi="Sakkal Majalla" w:cs="Sakkal Majalla"/>
          <w:sz w:val="28"/>
          <w:szCs w:val="28"/>
          <w:lang w:bidi="ar-EG"/>
        </w:rPr>
        <w:t xml:space="preserve"> Micro-learning </w:t>
      </w:r>
      <w:r w:rsidRPr="00BF5248">
        <w:rPr>
          <w:rFonts w:ascii="Sakkal Majalla" w:hAnsi="Sakkal Majalla" w:cs="Sakkal Majalla"/>
          <w:sz w:val="28"/>
          <w:szCs w:val="28"/>
          <w:rtl/>
        </w:rPr>
        <w:t>المصغّرة. ثالثاً، تطبيق نظام</w:t>
      </w:r>
      <w:r w:rsidRPr="00BF5248">
        <w:rPr>
          <w:rFonts w:ascii="Sakkal Majalla" w:hAnsi="Sakkal Majalla" w:cs="Sakkal Majalla"/>
          <w:sz w:val="28"/>
          <w:szCs w:val="28"/>
          <w:lang w:bidi="ar-EG"/>
        </w:rPr>
        <w:t xml:space="preserve"> Response Tracking </w:t>
      </w:r>
      <w:r w:rsidRPr="00BF5248">
        <w:rPr>
          <w:rFonts w:ascii="Sakkal Majalla" w:hAnsi="Sakkal Majalla" w:cs="Sakkal Majalla"/>
          <w:sz w:val="28"/>
          <w:szCs w:val="28"/>
          <w:rtl/>
        </w:rPr>
        <w:t>للتحقق من الاستلام الفعلي والاستيعاب. رابعاً، ربط التنبيهات بحوادث واقعية من داخل المؤسسة أو القطاع لزيادة الارتباط العاطفي والإدراك المباشر</w:t>
      </w:r>
      <w:r w:rsidRPr="00BF5248">
        <w:rPr>
          <w:rFonts w:ascii="Sakkal Majalla" w:hAnsi="Sakkal Majalla" w:cs="Sakkal Majalla"/>
          <w:sz w:val="28"/>
          <w:szCs w:val="28"/>
          <w:lang w:bidi="ar-EG"/>
        </w:rPr>
        <w:t>.</w:t>
      </w:r>
    </w:p>
    <w:p w14:paraId="52918C4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تكشف نتائج هذا السؤال عن إشكالية جوهرية في استراتيجية التواصل الأمني الداخلي للهيئة. فأن يُجيب (35.32%) بـ"لا أتذكر" حين يُسألون عن تلقيهم تنبيهات أمنية من مؤسستهم يعني أن هذه التنبيهات لا تُحقق أثرها الإدراكي والسلوكي المنشود. وتربط المقارنة بين هذا السؤال والسؤال الثامن خيطاً واضحاً: الاستثمار الضعيف في التواصل الأمني الفاعل يُفضي إلى ارتفاع معدلات التعرض للحوادث. ويدعو الباحث إلى إعادة هندسة كاملة لاستراتيجية التوعية الأمنية الداخلية، تنتقل من نموذج "البثّ المؤسسي" إلى نموذج "الحوار الأمني التفاعلي"، حيث يُشارك الموظف لا يتلقى فحسب</w:t>
      </w:r>
      <w:r w:rsidRPr="00BF5248">
        <w:rPr>
          <w:rFonts w:ascii="Sakkal Majalla" w:hAnsi="Sakkal Majalla" w:cs="Sakkal Majalla"/>
          <w:sz w:val="28"/>
          <w:szCs w:val="28"/>
          <w:lang w:bidi="ar-EG"/>
        </w:rPr>
        <w:t>.</w:t>
      </w:r>
    </w:p>
    <w:p w14:paraId="12AC0FBC" w14:textId="76615D65" w:rsidR="00BF5248" w:rsidRPr="00BF5248" w:rsidRDefault="00E8105F" w:rsidP="007315C8">
      <w:pPr>
        <w:bidi/>
        <w:spacing w:line="24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rPr>
        <w:t>ويري الباحث:</w:t>
      </w:r>
    </w:p>
    <w:p w14:paraId="6DE4546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sz w:val="28"/>
          <w:szCs w:val="28"/>
          <w:rtl/>
        </w:rPr>
        <w:t>تُجسّد القراءة التركيبية لنتائج جدول رقم (3/7) بمجمل أسئلته التسعة صورةً مؤسسية بالغة التعقيد، لا يمكن اختزالها في حكم أحادي من نجاح أو إخفاق، بل تستوجب قراءةً طبقيةً عميقة تُميّز بين المستويات التكنولوجية والبشرية والمؤسسية والثقافية المتشابكة في بناء التحول الرقمي</w:t>
      </w:r>
      <w:r w:rsidRPr="00BF5248">
        <w:rPr>
          <w:rFonts w:ascii="Sakkal Majalla" w:hAnsi="Sakkal Majalla" w:cs="Sakkal Majalla"/>
          <w:sz w:val="28"/>
          <w:szCs w:val="28"/>
          <w:lang w:bidi="ar-EG"/>
        </w:rPr>
        <w:t>.</w:t>
      </w:r>
    </w:p>
    <w:p w14:paraId="6B8784C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أولاً: ثنائية القوة والضعف</w:t>
      </w:r>
      <w:r w:rsidRPr="00BF5248">
        <w:rPr>
          <w:rFonts w:ascii="Sakkal Majalla" w:hAnsi="Sakkal Majalla" w:cs="Sakkal Majalla"/>
          <w:sz w:val="28"/>
          <w:szCs w:val="28"/>
          <w:rtl/>
        </w:rPr>
        <w:t xml:space="preserve"> تكشف النتائج المجمّعة عن قوى دفع حقيقية تتمثل في نسبة التدريب المرتفعة (90%)، واتساع نطاق الاستخدام اليومي للمنصات (79.93%)، والتقييم الإيجابي لاستعداد الهيئة الأمني (62.82%). في الوقت ذاته، تعتريها فجوات بنيوية عميقة يُجسّدها الغياب التام لمستوى "ممتاز" في المهارات الرقمية، وضعف الاهتمام الأمني الشخصي لدى قرابة النصف (49.07%)، وهشاشة منظومة التواصل الأمني الداخلي (50.93% لا يتذكرون التنبيهات أو لا يتلقونها)</w:t>
      </w:r>
      <w:r w:rsidRPr="00BF5248">
        <w:rPr>
          <w:rFonts w:ascii="Sakkal Majalla" w:hAnsi="Sakkal Majalla" w:cs="Sakkal Majalla"/>
          <w:sz w:val="28"/>
          <w:szCs w:val="28"/>
          <w:lang w:bidi="ar-EG"/>
        </w:rPr>
        <w:t>.</w:t>
      </w:r>
    </w:p>
    <w:p w14:paraId="48FCD1EE"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ثانياً: التناقض الأكبر – فجوة التدريب والأثر</w:t>
      </w:r>
      <w:r w:rsidRPr="00BF5248">
        <w:rPr>
          <w:rFonts w:ascii="Sakkal Majalla" w:hAnsi="Sakkal Majalla" w:cs="Sakkal Majalla"/>
          <w:sz w:val="28"/>
          <w:szCs w:val="28"/>
          <w:rtl/>
        </w:rPr>
        <w:t xml:space="preserve"> يُشكّل التناقض بين نسبة التدريب (90%) وانعدام مستوى "ممتاز" في التقييم الذاتي أبرزَ مفارقة أكاديمية في هذه الدراسة. ويُرجع الباحث هذه المفارقة إلى: غياب نموذج قياس أثر التدريب المرتكز على الأداء الوظيفي، وافتقار البرامج إلى التصميم التطبيقي القائم على السيناريوهات الواقعية، وغياب بيئة عمل تُتيح توظيف التدريب المُكتسب فور اكتسابه</w:t>
      </w:r>
      <w:r w:rsidRPr="00BF5248">
        <w:rPr>
          <w:rFonts w:ascii="Sakkal Majalla" w:hAnsi="Sakkal Majalla" w:cs="Sakkal Majalla"/>
          <w:sz w:val="28"/>
          <w:szCs w:val="28"/>
          <w:lang w:bidi="ar-EG"/>
        </w:rPr>
        <w:t>.</w:t>
      </w:r>
    </w:p>
    <w:p w14:paraId="260E6E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ثالثاً: الثغرة الأمنية البنيوية – العنصر البشري الأضعف</w:t>
      </w:r>
      <w:r w:rsidRPr="00BF5248">
        <w:rPr>
          <w:rFonts w:ascii="Sakkal Majalla" w:hAnsi="Sakkal Majalla" w:cs="Sakkal Majalla"/>
          <w:sz w:val="28"/>
          <w:szCs w:val="28"/>
          <w:rtl/>
        </w:rPr>
        <w:t xml:space="preserve"> تتضافر نتائج ثلاثة أسئلة (الخامس والسابع والتاسع) لترسم صورة مقلقة للبُعد الأمني البشري: معظم الموظفين يتعاملون مع منصات الهيئة الحساسة عبر بيئات غير مُدارة مؤسسياً، بينما لا يهتم قرابة نصفهم بقضايا الأمن السيبراني، ولا يتذكر أكثر من نصفهم تلقي أي تنبيهات أمنية. وهذه الثلاثية البشرية الهشة تُمثّل الحلقة الأضعف في المنظومة الأمنية المؤسسية</w:t>
      </w:r>
      <w:r w:rsidRPr="00BF5248">
        <w:rPr>
          <w:rFonts w:ascii="Sakkal Majalla" w:hAnsi="Sakkal Majalla" w:cs="Sakkal Majalla"/>
          <w:sz w:val="28"/>
          <w:szCs w:val="28"/>
          <w:lang w:bidi="ar-EG"/>
        </w:rPr>
        <w:t>.</w:t>
      </w:r>
    </w:p>
    <w:p w14:paraId="129EEE57" w14:textId="77777777" w:rsidR="00BF5248" w:rsidRDefault="00BF5248" w:rsidP="007315C8">
      <w:pPr>
        <w:bidi/>
        <w:spacing w:line="240" w:lineRule="auto"/>
        <w:jc w:val="lowKashida"/>
        <w:rPr>
          <w:rFonts w:ascii="Sakkal Majalla" w:hAnsi="Sakkal Majalla" w:cs="Sakkal Majalla"/>
          <w:sz w:val="28"/>
          <w:szCs w:val="28"/>
          <w:rtl/>
          <w:lang w:bidi="ar-EG"/>
        </w:rPr>
      </w:pPr>
      <w:r w:rsidRPr="00BF5248">
        <w:rPr>
          <w:rFonts w:ascii="Sakkal Majalla" w:hAnsi="Sakkal Majalla" w:cs="Sakkal Majalla"/>
          <w:b/>
          <w:bCs/>
          <w:sz w:val="28"/>
          <w:szCs w:val="28"/>
          <w:rtl/>
        </w:rPr>
        <w:t>رابعاً: موقع الهيئة على خارطة النضج الرقمي</w:t>
      </w:r>
      <w:r w:rsidRPr="00BF5248">
        <w:rPr>
          <w:rFonts w:ascii="Sakkal Majalla" w:hAnsi="Sakkal Majalla" w:cs="Sakkal Majalla"/>
          <w:sz w:val="28"/>
          <w:szCs w:val="28"/>
          <w:rtl/>
        </w:rPr>
        <w:t xml:space="preserve"> يصنّف الباحث الهيئة في المرحلة الثالثة "التكامل" من نموذج</w:t>
      </w:r>
      <w:r w:rsidRPr="00BF5248">
        <w:rPr>
          <w:rFonts w:ascii="Sakkal Majalla" w:hAnsi="Sakkal Majalla" w:cs="Sakkal Majalla"/>
          <w:sz w:val="28"/>
          <w:szCs w:val="28"/>
          <w:lang w:bidi="ar-EG"/>
        </w:rPr>
        <w:t xml:space="preserve"> Gartner </w:t>
      </w:r>
      <w:r w:rsidRPr="00BF5248">
        <w:rPr>
          <w:rFonts w:ascii="Sakkal Majalla" w:hAnsi="Sakkal Majalla" w:cs="Sakkal Majalla"/>
          <w:sz w:val="28"/>
          <w:szCs w:val="28"/>
          <w:rtl/>
        </w:rPr>
        <w:t>الخماسي لنضج التحول الرقمي. وللانتقال إلى المرحلة الرابعة "التحسين المستمر" فإن ذلك يستلزم معالجةً جذريةً للفجوات الإنسانية والثقافية، لا الاكتفاء بمزيد من الاستثمار في البنية التقنية</w:t>
      </w:r>
      <w:r w:rsidRPr="00BF5248">
        <w:rPr>
          <w:rFonts w:ascii="Sakkal Majalla" w:hAnsi="Sakkal Majalla" w:cs="Sakkal Majalla"/>
          <w:sz w:val="28"/>
          <w:szCs w:val="28"/>
          <w:lang w:bidi="ar-EG"/>
        </w:rPr>
        <w:t>.</w:t>
      </w:r>
    </w:p>
    <w:p w14:paraId="5F11D30A" w14:textId="77777777" w:rsidR="00D62F84" w:rsidRDefault="00D62F84" w:rsidP="00D62F84">
      <w:pPr>
        <w:bidi/>
        <w:spacing w:line="240" w:lineRule="auto"/>
        <w:jc w:val="lowKashida"/>
        <w:rPr>
          <w:rFonts w:ascii="Sakkal Majalla" w:hAnsi="Sakkal Majalla" w:cs="Sakkal Majalla"/>
          <w:sz w:val="28"/>
          <w:szCs w:val="28"/>
          <w:rtl/>
          <w:lang w:bidi="ar-EG"/>
        </w:rPr>
      </w:pPr>
    </w:p>
    <w:p w14:paraId="4D00203B" w14:textId="77777777" w:rsidR="00D62F84" w:rsidRPr="00BF5248" w:rsidRDefault="00D62F84" w:rsidP="00D62F84">
      <w:pPr>
        <w:bidi/>
        <w:spacing w:line="240" w:lineRule="auto"/>
        <w:jc w:val="lowKashida"/>
        <w:rPr>
          <w:rFonts w:ascii="Sakkal Majalla" w:hAnsi="Sakkal Majalla" w:cs="Sakkal Majalla"/>
          <w:sz w:val="28"/>
          <w:szCs w:val="28"/>
          <w:lang w:bidi="ar-EG"/>
        </w:rPr>
      </w:pPr>
    </w:p>
    <w:p w14:paraId="13867EC0" w14:textId="3441EE60" w:rsidR="00BF5248" w:rsidRDefault="00BF5248" w:rsidP="007315C8">
      <w:pPr>
        <w:bidi/>
        <w:spacing w:line="240" w:lineRule="auto"/>
        <w:ind w:firstLine="360"/>
        <w:jc w:val="lowKashida"/>
        <w:rPr>
          <w:rFonts w:ascii="Sakkal Majalla" w:hAnsi="Sakkal Majalla" w:cs="Sakkal Majalla"/>
          <w:sz w:val="28"/>
          <w:szCs w:val="28"/>
          <w:rtl/>
          <w:lang w:bidi="ar-EG"/>
        </w:rPr>
      </w:pPr>
      <w:r w:rsidRPr="00BF5248">
        <w:rPr>
          <w:rFonts w:ascii="Sakkal Majalla" w:hAnsi="Sakkal Majalla" w:cs="Sakkal Majalla"/>
          <w:sz w:val="28"/>
          <w:szCs w:val="28"/>
          <w:rtl/>
        </w:rPr>
        <w:lastRenderedPageBreak/>
        <w:t>تُجسّد نتائج هذا الجدول بمجمل أسئلته التسعة صورةً مؤسسية في طور التحول؛ مؤسسة تمتلك مقومات البنية الرقمية الصلبة وتستثمر في التدريب وتنتشر فيها ثقافة الاستخدام اليومي للمنصات، لكنها تعاني في الوقت ذاته من فجوات عميقة في الكفاءة الرقمية الفعلية والوعي الأمني الشخصي وفاعلية التواصل المؤسسي الداخلي. إن التحول الرقمي الحقيقي والمستدام لا يتحقق بامتلاك المنصات والأنظمة وحدها، بل بتكامل العنصر البشري المُؤهَّل والمُدرِك والمُحفَّز مع البنية التقنية المتطورة، في إطار استراتيجية مؤسسية متكاملة تضع الأمن والكفاءة والثقة في صميم أهدافها وأولوياتها. ويرى الباحث أن الهيئة تقف اليوم على عتبة نقلة نوعية نحو النضج الرقمي المتقدم، وما يفصلها عن هذه النقلة ليس المزيد من التقنية، بل الإرادة المؤسسية الحازمة في معالجة الفجوة الإنسانية أولاً</w:t>
      </w:r>
      <w:r w:rsidRPr="00BF5248">
        <w:rPr>
          <w:rFonts w:ascii="Sakkal Majalla" w:hAnsi="Sakkal Majalla" w:cs="Sakkal Majalla"/>
          <w:sz w:val="28"/>
          <w:szCs w:val="28"/>
          <w:lang w:bidi="ar-EG"/>
        </w:rPr>
        <w:t>.</w:t>
      </w:r>
    </w:p>
    <w:p w14:paraId="1863484B" w14:textId="01D2FC4A" w:rsidR="0043278C" w:rsidRPr="0043278C" w:rsidRDefault="00614687" w:rsidP="00E31804">
      <w:pPr>
        <w:pStyle w:val="BlockText"/>
        <w:ind w:left="146" w:hanging="120"/>
        <w:jc w:val="lowKashida"/>
        <w:rPr>
          <w:rFonts w:ascii="Sakkal Majalla" w:hAnsi="Sakkal Majalla" w:cs="Sakkal Majalla"/>
          <w:b/>
          <w:bCs/>
          <w:sz w:val="28"/>
        </w:rPr>
      </w:pPr>
      <w:r w:rsidRPr="004A7628">
        <w:rPr>
          <w:rFonts w:ascii="Sakkal Majalla" w:hAnsi="Sakkal Majalla" w:cs="Sakkal Majalla"/>
          <w:b/>
          <w:bCs/>
          <w:sz w:val="28"/>
          <w:lang w:bidi="ar-EG"/>
        </w:rPr>
        <w:t>3/1</w:t>
      </w:r>
      <w:r>
        <w:rPr>
          <w:rFonts w:ascii="Sakkal Majalla" w:hAnsi="Sakkal Majalla" w:cs="Sakkal Majalla"/>
          <w:b/>
          <w:bCs/>
          <w:sz w:val="28"/>
          <w:lang w:bidi="ar-EG"/>
        </w:rPr>
        <w:t>3</w:t>
      </w:r>
      <w:r>
        <w:rPr>
          <w:rFonts w:ascii="Sakkal Majalla" w:hAnsi="Sakkal Majalla" w:cs="Sakkal Majalla" w:hint="cs"/>
          <w:b/>
          <w:bCs/>
          <w:sz w:val="28"/>
          <w:rtl/>
          <w:lang w:bidi="ar-EG"/>
        </w:rPr>
        <w:t xml:space="preserve">  </w:t>
      </w:r>
      <w:r w:rsidR="0043278C" w:rsidRPr="0043278C">
        <w:rPr>
          <w:rFonts w:ascii="Sakkal Majalla" w:hAnsi="Sakkal Majalla" w:cs="Sakkal Majalla"/>
          <w:b/>
          <w:bCs/>
          <w:sz w:val="28"/>
          <w:rtl/>
        </w:rPr>
        <w:t>اختبارات الفروض :</w:t>
      </w:r>
    </w:p>
    <w:p w14:paraId="33D91859"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في هذا الجزء سنتناول بالعرض والتحليل اختبار فروض الدراسة وما أسفرت عنها من نتائج اختبارات الفروض الستة باستخدام حزمة البرامج الجاهزة </w:t>
      </w:r>
      <w:r w:rsidRPr="0043278C">
        <w:rPr>
          <w:rFonts w:ascii="Sakkal Majalla" w:hAnsi="Sakkal Majalla" w:cs="Sakkal Majalla"/>
          <w:sz w:val="28"/>
          <w:lang w:bidi="ar-EG"/>
        </w:rPr>
        <w:t>SPSS</w:t>
      </w:r>
      <w:r w:rsidRPr="0043278C">
        <w:rPr>
          <w:rFonts w:ascii="Sakkal Majalla" w:hAnsi="Sakkal Majalla" w:cs="Sakkal Majalla"/>
          <w:sz w:val="28"/>
          <w:rtl/>
          <w:lang w:bidi="ar-EG"/>
        </w:rPr>
        <w:t>.</w:t>
      </w:r>
    </w:p>
    <w:p w14:paraId="2A87E387" w14:textId="77777777" w:rsidR="0043278C" w:rsidRPr="0043278C" w:rsidRDefault="0043278C" w:rsidP="00E31804">
      <w:pPr>
        <w:pStyle w:val="BlockText"/>
        <w:numPr>
          <w:ilvl w:val="0"/>
          <w:numId w:val="248"/>
        </w:numPr>
        <w:jc w:val="lowKashida"/>
        <w:rPr>
          <w:rFonts w:ascii="Sakkal Majalla" w:hAnsi="Sakkal Majalla" w:cs="Sakkal Majalla"/>
          <w:sz w:val="28"/>
          <w:lang w:bidi="ar-EG"/>
        </w:rPr>
      </w:pPr>
      <w:r w:rsidRPr="0043278C">
        <w:rPr>
          <w:rFonts w:ascii="Sakkal Majalla" w:hAnsi="Sakkal Majalla" w:cs="Sakkal Majalla"/>
          <w:b/>
          <w:bCs/>
          <w:sz w:val="28"/>
          <w:rtl/>
          <w:lang w:bidi="ar-EG"/>
        </w:rPr>
        <w:t>أسلوب تحليل الانحدار :</w:t>
      </w:r>
      <w:r w:rsidRPr="0043278C">
        <w:rPr>
          <w:rFonts w:ascii="Sakkal Majalla" w:hAnsi="Sakkal Majalla" w:cs="Sakkal Majalla"/>
          <w:sz w:val="28"/>
          <w:rtl/>
          <w:lang w:bidi="ar-EG"/>
        </w:rPr>
        <w:t xml:space="preserve"> إن وجود علاقة بين متغيرين أو أكثر أي بين متغير تابع و متغير مستقل ، مثل هذه العلاقة يمكن تمثيلها فى معادلة رياضية تحدد نوع العلاقة ، ومن ناحية أخرى يمكن رسم هذه العلاقة فى صورة منحنى ، هذا المنحنى يكون قريباً إلى الواقع طالما أن المعادلة الرياضية قد صيغت بصورة تقرب بيانات المتغيرات لأقرب درجة ممكنة ، و يسمى المنحنى التقريبى </w:t>
      </w:r>
      <w:r w:rsidRPr="0043278C">
        <w:rPr>
          <w:rFonts w:ascii="Sakkal Majalla" w:hAnsi="Sakkal Majalla" w:cs="Sakkal Majalla"/>
          <w:sz w:val="28"/>
          <w:lang w:bidi="ar-EG"/>
        </w:rPr>
        <w:t xml:space="preserve">Approximating Curve </w:t>
      </w:r>
      <w:r w:rsidRPr="0043278C">
        <w:rPr>
          <w:rFonts w:ascii="Sakkal Majalla" w:hAnsi="Sakkal Majalla" w:cs="Sakkal Majalla"/>
          <w:sz w:val="28"/>
          <w:rtl/>
          <w:lang w:bidi="ar-EG"/>
        </w:rPr>
        <w:t xml:space="preserve">  وبأستخدام طريقة الإنحدار التدريجى </w:t>
      </w:r>
      <w:r w:rsidRPr="0043278C">
        <w:rPr>
          <w:rFonts w:ascii="Sakkal Majalla" w:hAnsi="Sakkal Majalla" w:cs="Sakkal Majalla"/>
          <w:sz w:val="28"/>
          <w:lang w:bidi="ar-EG"/>
        </w:rPr>
        <w:t xml:space="preserve">Stepwise </w:t>
      </w:r>
      <w:r w:rsidRPr="0043278C">
        <w:rPr>
          <w:rFonts w:ascii="Sakkal Majalla" w:hAnsi="Sakkal Majalla" w:cs="Sakkal Majalla"/>
          <w:sz w:val="28"/>
          <w:rtl/>
          <w:lang w:bidi="ar-EG"/>
        </w:rPr>
        <w:t xml:space="preserve">  ويتم فى هذه الطريقة إدخال المتغير المستقل ذات الإرتباط العالى بالمتغير التابع ثم الذى يليه و غير مرتبط بالمتغير المستقل السابق دخوله ثم الذى يليه وهكذا ، حتى يتم أستبعاد المتغيرات المستقلة التى ليس لوجودها تأثير فى تفسير المتغير التابع و بتحديد 5% كمعيار لمستوى معنوية لدخول المتغيرات المستقلة الهامة و المؤثرة بالنموذج .</w:t>
      </w:r>
    </w:p>
    <w:p w14:paraId="3A3079AD" w14:textId="77777777" w:rsidR="0043278C" w:rsidRPr="0043278C" w:rsidRDefault="0043278C" w:rsidP="00E31804">
      <w:pPr>
        <w:pStyle w:val="BlockText"/>
        <w:numPr>
          <w:ilvl w:val="0"/>
          <w:numId w:val="248"/>
        </w:numPr>
        <w:jc w:val="lowKashida"/>
        <w:rPr>
          <w:rFonts w:ascii="Sakkal Majalla" w:hAnsi="Sakkal Majalla" w:cs="Sakkal Majalla"/>
          <w:sz w:val="28"/>
          <w:lang w:bidi="ar-EG"/>
        </w:rPr>
      </w:pPr>
      <w:r w:rsidRPr="0043278C">
        <w:rPr>
          <w:rFonts w:ascii="Sakkal Majalla" w:hAnsi="Sakkal Majalla" w:cs="Sakkal Majalla"/>
          <w:b/>
          <w:bCs/>
          <w:sz w:val="28"/>
          <w:rtl/>
          <w:lang w:bidi="ar-EG"/>
        </w:rPr>
        <w:t>أسلوب تحليل التباين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Analysis of Variance (ANOVA)</w:t>
      </w:r>
      <w:r w:rsidRPr="0043278C">
        <w:rPr>
          <w:rFonts w:ascii="Sakkal Majalla" w:hAnsi="Sakkal Majalla" w:cs="Sakkal Majalla"/>
          <w:sz w:val="28"/>
          <w:rtl/>
          <w:lang w:bidi="ar-EG"/>
        </w:rPr>
        <w:t xml:space="preserve">  حيث يعتبر تحليل التباين أحد الأساليب الإحصائية التى تستخدم لفحص العلاقة بين عدة متغيرات مستقلة وصفية ومتغير تابع من النوع الكمى ، ويستعمل تحليل التباين لنزع تأثير أى متغير مستقل و التفاعلات بينها على المتغير التابع ، و يستخدم تحليل التباين لفحص الفروق فى متوسطات المتغير التابع و الناتج عن المتغيرات المستقلة التى تتم السيطرة عليها فى الأختبار ، و يستخدم تحليل التباين أساساً لأختبار متوسطات مجتمعين أو أكثر ، و يصمم الفرض الأساسى ( العدم ) ليشير إلى تساوى المتوسطات لتقسيمات المتغير ( المتغيرات ) المستقلة و عدم وجود أختلاف بينها .</w:t>
      </w:r>
    </w:p>
    <w:p w14:paraId="70B8AE3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ولبيان الأهمية النسبية للعوامل ( المتغيرات المستقلة ) تستخدم إيتا تربيع</w:t>
      </w:r>
      <w:r w:rsidRPr="0043278C">
        <w:rPr>
          <w:rFonts w:ascii="Sakkal Majalla" w:hAnsi="Sakkal Majalla" w:cs="Sakkal Majalla"/>
          <w:sz w:val="28"/>
          <w:lang w:bidi="ar-EG"/>
        </w:rPr>
        <w:t xml:space="preserve"> (ETA²) </w:t>
      </w:r>
      <w:r w:rsidRPr="0043278C">
        <w:rPr>
          <w:rFonts w:ascii="Sakkal Majalla" w:hAnsi="Sakkal Majalla" w:cs="Sakkal Majalla"/>
          <w:sz w:val="28"/>
          <w:rtl/>
          <w:lang w:bidi="ar-EG"/>
        </w:rPr>
        <w:t>لتحدد نسبة الجزء المتغير التابع الذى يمكن تفسيره بواسطة متغير مستقل معين ، وإذا بلغت القيمة 6% أو أكثر تعنى تأثير كبير ، ومن 1% إلى أقل من 6% فالتأثير متوسط ، وأقل من 1% يعنى ضعف التأثير .</w:t>
      </w:r>
    </w:p>
    <w:p w14:paraId="77FFB7E3"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rPr>
        <w:t>3/4/1 تحليل مصفوفة الأرتباط بين متغيرات الدراسة:</w:t>
      </w:r>
    </w:p>
    <w:p w14:paraId="283E65E5"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 تم إجراء تحليل الأرتباط لمعرفة هل توجد علاقة إرتباط بين المتغيرات المستقلة و المتغيرات التابعة، ويوضح الجدول رقم (3/15) قيم معاملات الأرتباط :</w:t>
      </w:r>
    </w:p>
    <w:p w14:paraId="7CD7C15A" w14:textId="3E8B9684"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r w:rsidRPr="0043278C">
        <w:rPr>
          <w:rFonts w:ascii="Sakkal Majalla" w:hAnsi="Sakkal Majalla" w:cs="Sakkal Majalla"/>
          <w:b/>
          <w:bCs/>
          <w:sz w:val="28"/>
          <w:rtl/>
        </w:rPr>
        <w:t xml:space="preserve">أولاً: مصفوفة الارتباط بين متغيرات الدراسة المستقلة الفرعية </w:t>
      </w:r>
      <w:r w:rsidR="00614687">
        <w:rPr>
          <w:rFonts w:ascii="Sakkal Majalla" w:hAnsi="Sakkal Majalla" w:cs="Sakkal Majalla" w:hint="cs"/>
          <w:b/>
          <w:bCs/>
          <w:sz w:val="28"/>
          <w:rtl/>
          <w:lang w:bidi="ar-EG"/>
        </w:rPr>
        <w:t>للتحول الرقمي</w:t>
      </w:r>
      <w:r w:rsidRPr="0043278C">
        <w:rPr>
          <w:rFonts w:ascii="Sakkal Majalla" w:hAnsi="Sakkal Majalla" w:cs="Sakkal Majalla"/>
          <w:b/>
          <w:bCs/>
          <w:sz w:val="28"/>
          <w:rtl/>
        </w:rPr>
        <w:t xml:space="preserve"> والمتغير</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التابع</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الرئيس</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w:t>
      </w:r>
      <w:r w:rsidR="00614687">
        <w:rPr>
          <w:rFonts w:ascii="Sakkal Majalla" w:hAnsi="Sakkal Majalla" w:cs="Sakkal Majalla" w:hint="cs"/>
          <w:b/>
          <w:bCs/>
          <w:sz w:val="28"/>
          <w:rtl/>
        </w:rPr>
        <w:t>تعزيز الأمن وتيسير التجارة</w:t>
      </w:r>
      <w:r w:rsidRPr="0043278C">
        <w:rPr>
          <w:rFonts w:ascii="Sakkal Majalla" w:hAnsi="Sakkal Majalla" w:cs="Sakkal Majalla"/>
          <w:b/>
          <w:bCs/>
          <w:sz w:val="28"/>
          <w:rtl/>
        </w:rPr>
        <w:t xml:space="preserve">: </w:t>
      </w:r>
    </w:p>
    <w:p w14:paraId="7C219E9D" w14:textId="77777777" w:rsidR="0043278C" w:rsidRPr="0043278C" w:rsidRDefault="0043278C" w:rsidP="00E31804">
      <w:pPr>
        <w:pStyle w:val="BlockText"/>
        <w:jc w:val="center"/>
        <w:rPr>
          <w:rFonts w:ascii="Sakkal Majalla" w:hAnsi="Sakkal Majalla" w:cs="Sakkal Majalla"/>
          <w:b/>
          <w:bCs/>
          <w:sz w:val="28"/>
          <w:rtl/>
        </w:rPr>
      </w:pPr>
      <w:r w:rsidRPr="0043278C">
        <w:rPr>
          <w:rFonts w:ascii="Sakkal Majalla" w:hAnsi="Sakkal Majalla" w:cs="Sakkal Majalla"/>
          <w:b/>
          <w:bCs/>
          <w:sz w:val="28"/>
          <w:rtl/>
        </w:rPr>
        <w:lastRenderedPageBreak/>
        <w:t>جدول (3/15)</w:t>
      </w:r>
    </w:p>
    <w:p w14:paraId="30CEF63B" w14:textId="038369E5" w:rsidR="0043278C" w:rsidRPr="0043278C" w:rsidRDefault="0043278C" w:rsidP="00E31804">
      <w:pPr>
        <w:pStyle w:val="BlockText"/>
        <w:jc w:val="center"/>
        <w:rPr>
          <w:rFonts w:ascii="Sakkal Majalla" w:hAnsi="Sakkal Majalla" w:cs="Sakkal Majalla"/>
          <w:b/>
          <w:bCs/>
          <w:sz w:val="28"/>
        </w:rPr>
      </w:pPr>
      <w:r w:rsidRPr="0043278C">
        <w:rPr>
          <w:rFonts w:ascii="Sakkal Majalla" w:hAnsi="Sakkal Majalla" w:cs="Sakkal Majalla"/>
          <w:b/>
          <w:bCs/>
          <w:sz w:val="28"/>
          <w:rtl/>
        </w:rPr>
        <w:t xml:space="preserve"> مصفوفة الارتباط بين متغيرات الدراسة المستقلة والمتغير التابع الرئيسي</w:t>
      </w:r>
      <w:r w:rsidRPr="0043278C">
        <w:rPr>
          <w:rFonts w:ascii="Sakkal Majalla" w:hAnsi="Sakkal Majalla" w:cs="Sakkal Majalla"/>
          <w:b/>
          <w:bCs/>
          <w:sz w:val="28"/>
        </w:rPr>
        <w:t xml:space="preserve"> </w:t>
      </w:r>
      <w:r w:rsidRPr="0043278C">
        <w:rPr>
          <w:rFonts w:ascii="Sakkal Majalla" w:hAnsi="Sakkal Majalla" w:cs="Sakkal Majalla"/>
          <w:b/>
          <w:bCs/>
          <w:sz w:val="28"/>
          <w:rtl/>
        </w:rPr>
        <w:t>(</w:t>
      </w:r>
      <w:r w:rsidR="00726DE0">
        <w:rPr>
          <w:rFonts w:ascii="Sakkal Majalla" w:hAnsi="Sakkal Majalla" w:cs="Sakkal Majalla" w:hint="cs"/>
          <w:b/>
          <w:bCs/>
          <w:sz w:val="28"/>
          <w:rtl/>
        </w:rPr>
        <w:t>تعزيز الأمن</w:t>
      </w:r>
      <w:r w:rsidRPr="0043278C">
        <w:rPr>
          <w:rFonts w:ascii="Sakkal Majalla" w:hAnsi="Sakkal Majalla" w:cs="Sakkal Majalla"/>
          <w:b/>
          <w:bCs/>
          <w:sz w:val="28"/>
          <w:rtl/>
        </w:rPr>
        <w:t>)</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33"/>
        <w:gridCol w:w="2396"/>
        <w:gridCol w:w="1477"/>
        <w:gridCol w:w="1761"/>
        <w:gridCol w:w="983"/>
        <w:gridCol w:w="1002"/>
      </w:tblGrid>
      <w:tr w:rsidR="00425C1F" w:rsidRPr="0043278C" w14:paraId="4C29D473" w14:textId="77777777" w:rsidTr="00425C1F">
        <w:trPr>
          <w:jc w:val="center"/>
        </w:trPr>
        <w:tc>
          <w:tcPr>
            <w:tcW w:w="433" w:type="dxa"/>
            <w:tcBorders>
              <w:top w:val="thinThickSmallGap" w:sz="24" w:space="0" w:color="auto"/>
              <w:bottom w:val="thinThickSmallGap" w:sz="24" w:space="0" w:color="auto"/>
            </w:tcBorders>
            <w:shd w:val="clear" w:color="auto" w:fill="D9D9D9" w:themeFill="background1" w:themeFillShade="D9"/>
          </w:tcPr>
          <w:p w14:paraId="0EC8FF64" w14:textId="77777777" w:rsidR="00425C1F" w:rsidRPr="0043278C" w:rsidRDefault="00425C1F" w:rsidP="00E31804">
            <w:pPr>
              <w:pStyle w:val="BlockText"/>
              <w:ind w:left="0"/>
              <w:jc w:val="center"/>
              <w:rPr>
                <w:rFonts w:ascii="Sakkal Majalla" w:hAnsi="Sakkal Majalla" w:cs="Sakkal Majalla"/>
                <w:sz w:val="28"/>
                <w:rtl/>
              </w:rPr>
            </w:pPr>
          </w:p>
        </w:tc>
        <w:tc>
          <w:tcPr>
            <w:tcW w:w="2396" w:type="dxa"/>
            <w:tcBorders>
              <w:top w:val="thinThickSmallGap" w:sz="24" w:space="0" w:color="auto"/>
              <w:bottom w:val="thinThickSmallGap" w:sz="24" w:space="0" w:color="auto"/>
            </w:tcBorders>
            <w:shd w:val="clear" w:color="auto" w:fill="D9D9D9" w:themeFill="background1" w:themeFillShade="D9"/>
          </w:tcPr>
          <w:p w14:paraId="4FFA5D85" w14:textId="77777777" w:rsidR="00425C1F" w:rsidRPr="0043278C" w:rsidRDefault="00425C1F" w:rsidP="00E31804">
            <w:pPr>
              <w:pStyle w:val="BlockText"/>
              <w:ind w:left="0"/>
              <w:jc w:val="center"/>
              <w:rPr>
                <w:rFonts w:ascii="Sakkal Majalla" w:hAnsi="Sakkal Majalla" w:cs="Sakkal Majalla"/>
                <w:sz w:val="28"/>
                <w:rtl/>
              </w:rPr>
            </w:pPr>
          </w:p>
        </w:tc>
        <w:tc>
          <w:tcPr>
            <w:tcW w:w="1477" w:type="dxa"/>
            <w:tcBorders>
              <w:top w:val="thinThickSmallGap" w:sz="24" w:space="0" w:color="auto"/>
              <w:bottom w:val="thinThickSmallGap" w:sz="24" w:space="0" w:color="auto"/>
            </w:tcBorders>
            <w:shd w:val="clear" w:color="auto" w:fill="D9D9D9" w:themeFill="background1" w:themeFillShade="D9"/>
          </w:tcPr>
          <w:p w14:paraId="52E28803" w14:textId="1C894BAE"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highlight w:val="lightGray"/>
                <w:rtl/>
              </w:rPr>
              <w:t>المتغير التابع (</w:t>
            </w:r>
            <w:r>
              <w:rPr>
                <w:rFonts w:ascii="Sakkal Majalla" w:hAnsi="Sakkal Majalla" w:cs="Sakkal Majalla" w:hint="cs"/>
                <w:b/>
                <w:bCs/>
                <w:sz w:val="28"/>
                <w:highlight w:val="lightGray"/>
                <w:rtl/>
              </w:rPr>
              <w:t>تعزيز الأمن</w:t>
            </w:r>
            <w:r w:rsidRPr="0043278C">
              <w:rPr>
                <w:rFonts w:ascii="Sakkal Majalla" w:hAnsi="Sakkal Majalla" w:cs="Sakkal Majalla"/>
                <w:b/>
                <w:bCs/>
                <w:sz w:val="28"/>
                <w:highlight w:val="lightGray"/>
                <w:rtl/>
              </w:rPr>
              <w:t>)</w:t>
            </w:r>
          </w:p>
        </w:tc>
        <w:tc>
          <w:tcPr>
            <w:tcW w:w="1761" w:type="dxa"/>
            <w:tcBorders>
              <w:top w:val="thinThickSmallGap" w:sz="24" w:space="0" w:color="auto"/>
              <w:bottom w:val="thinThickSmallGap" w:sz="24" w:space="0" w:color="auto"/>
            </w:tcBorders>
            <w:shd w:val="clear" w:color="auto" w:fill="D9D9D9" w:themeFill="background1" w:themeFillShade="D9"/>
          </w:tcPr>
          <w:p w14:paraId="5788CCFB" w14:textId="24A2EE69"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983" w:type="dxa"/>
            <w:tcBorders>
              <w:top w:val="thinThickSmallGap" w:sz="24" w:space="0" w:color="auto"/>
              <w:bottom w:val="thinThickSmallGap" w:sz="24" w:space="0" w:color="auto"/>
            </w:tcBorders>
            <w:shd w:val="clear" w:color="auto" w:fill="D9D9D9" w:themeFill="background1" w:themeFillShade="D9"/>
          </w:tcPr>
          <w:p w14:paraId="362C969F" w14:textId="7F96AD54"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الابتكار الرقمي</w:t>
            </w:r>
          </w:p>
        </w:tc>
        <w:tc>
          <w:tcPr>
            <w:tcW w:w="1002" w:type="dxa"/>
            <w:tcBorders>
              <w:top w:val="thinThickSmallGap" w:sz="24" w:space="0" w:color="auto"/>
              <w:bottom w:val="thinThickSmallGap" w:sz="24" w:space="0" w:color="auto"/>
            </w:tcBorders>
            <w:shd w:val="clear" w:color="auto" w:fill="D9D9D9" w:themeFill="background1" w:themeFillShade="D9"/>
          </w:tcPr>
          <w:p w14:paraId="679B18A4" w14:textId="399954D5" w:rsidR="00425C1F" w:rsidRPr="00F77140" w:rsidRDefault="00425C1F" w:rsidP="00E31804">
            <w:pPr>
              <w:spacing w:line="240" w:lineRule="auto"/>
              <w:jc w:val="center"/>
              <w:rPr>
                <w:rFonts w:ascii="Sakkal Majalla" w:eastAsia="Times New Roman" w:hAnsi="Sakkal Majalla" w:cs="Sakkal Majalla"/>
                <w:b/>
                <w:bCs/>
                <w:sz w:val="28"/>
                <w:szCs w:val="28"/>
              </w:rPr>
            </w:pPr>
            <w:r w:rsidRPr="00F77140">
              <w:rPr>
                <w:rFonts w:ascii="Sakkal Majalla" w:eastAsia="Times New Roman" w:hAnsi="Sakkal Majalla" w:cs="Sakkal Majalla" w:hint="cs"/>
                <w:b/>
                <w:bCs/>
                <w:sz w:val="28"/>
                <w:szCs w:val="28"/>
                <w:rtl/>
              </w:rPr>
              <w:t>الحوكمة الرقمية</w:t>
            </w:r>
          </w:p>
        </w:tc>
      </w:tr>
      <w:tr w:rsidR="00425C1F" w:rsidRPr="0043278C" w14:paraId="78C18AA9" w14:textId="77777777" w:rsidTr="00425C1F">
        <w:trPr>
          <w:jc w:val="center"/>
        </w:trPr>
        <w:tc>
          <w:tcPr>
            <w:tcW w:w="433" w:type="dxa"/>
            <w:tcBorders>
              <w:top w:val="thinThickSmallGap" w:sz="24" w:space="0" w:color="auto"/>
            </w:tcBorders>
          </w:tcPr>
          <w:p w14:paraId="7BC8224E"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1</w:t>
            </w:r>
          </w:p>
        </w:tc>
        <w:tc>
          <w:tcPr>
            <w:tcW w:w="2396" w:type="dxa"/>
            <w:tcBorders>
              <w:top w:val="thinThickSmallGap" w:sz="24" w:space="0" w:color="auto"/>
            </w:tcBorders>
          </w:tcPr>
          <w:p w14:paraId="47D90511" w14:textId="4434230C"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1477" w:type="dxa"/>
            <w:tcBorders>
              <w:top w:val="thinThickSmallGap" w:sz="24" w:space="0" w:color="auto"/>
            </w:tcBorders>
            <w:shd w:val="clear" w:color="auto" w:fill="auto"/>
          </w:tcPr>
          <w:p w14:paraId="6BA44B65" w14:textId="77777777" w:rsidR="00425C1F" w:rsidRPr="0043278C" w:rsidRDefault="00425C1F" w:rsidP="00E31804">
            <w:pPr>
              <w:pStyle w:val="BlockText"/>
              <w:ind w:left="0"/>
              <w:jc w:val="center"/>
              <w:rPr>
                <w:rFonts w:ascii="Sakkal Majalla" w:hAnsi="Sakkal Majalla" w:cs="Sakkal Majalla"/>
                <w:b/>
                <w:bCs/>
                <w:i/>
                <w:iCs/>
                <w:sz w:val="28"/>
              </w:rPr>
            </w:pPr>
            <w:r w:rsidRPr="0043278C">
              <w:rPr>
                <w:rFonts w:ascii="Sakkal Majalla" w:hAnsi="Sakkal Majalla" w:cs="Sakkal Majalla"/>
                <w:b/>
                <w:bCs/>
                <w:i/>
                <w:iCs/>
                <w:sz w:val="28"/>
                <w:rtl/>
              </w:rPr>
              <w:t>0.762**</w:t>
            </w:r>
          </w:p>
        </w:tc>
        <w:tc>
          <w:tcPr>
            <w:tcW w:w="1761" w:type="dxa"/>
            <w:tcBorders>
              <w:top w:val="thinThickSmallGap" w:sz="24" w:space="0" w:color="auto"/>
            </w:tcBorders>
            <w:shd w:val="clear" w:color="auto" w:fill="D9D9D9"/>
          </w:tcPr>
          <w:p w14:paraId="18ED42F3" w14:textId="77777777" w:rsidR="00425C1F" w:rsidRPr="0043278C" w:rsidRDefault="00425C1F" w:rsidP="00E31804">
            <w:pPr>
              <w:pStyle w:val="BlockText"/>
              <w:ind w:left="0"/>
              <w:jc w:val="center"/>
              <w:rPr>
                <w:rFonts w:ascii="Sakkal Majalla" w:hAnsi="Sakkal Majalla" w:cs="Sakkal Majalla"/>
                <w:sz w:val="28"/>
              </w:rPr>
            </w:pPr>
          </w:p>
        </w:tc>
        <w:tc>
          <w:tcPr>
            <w:tcW w:w="983" w:type="dxa"/>
            <w:tcBorders>
              <w:top w:val="thinThickSmallGap" w:sz="24" w:space="0" w:color="auto"/>
            </w:tcBorders>
          </w:tcPr>
          <w:p w14:paraId="612E356C"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Borders>
              <w:top w:val="thinThickSmallGap" w:sz="24" w:space="0" w:color="auto"/>
            </w:tcBorders>
          </w:tcPr>
          <w:p w14:paraId="44C46592"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216F0F0A" w14:textId="77777777" w:rsidTr="00425C1F">
        <w:trPr>
          <w:jc w:val="center"/>
        </w:trPr>
        <w:tc>
          <w:tcPr>
            <w:tcW w:w="433" w:type="dxa"/>
          </w:tcPr>
          <w:p w14:paraId="33F18063"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2</w:t>
            </w:r>
          </w:p>
        </w:tc>
        <w:tc>
          <w:tcPr>
            <w:tcW w:w="2396" w:type="dxa"/>
          </w:tcPr>
          <w:p w14:paraId="52D72DB4" w14:textId="11145FDC" w:rsidR="00425C1F" w:rsidRPr="0043278C" w:rsidRDefault="00425C1F" w:rsidP="00E31804">
            <w:pPr>
              <w:pStyle w:val="BlockText"/>
              <w:ind w:left="0"/>
              <w:jc w:val="center"/>
              <w:rPr>
                <w:rFonts w:ascii="Sakkal Majalla" w:hAnsi="Sakkal Majalla" w:cs="Sakkal Majalla"/>
                <w:b/>
                <w:bCs/>
                <w:sz w:val="28"/>
                <w:rtl/>
                <w:lang w:bidi="ar-EG"/>
              </w:rPr>
            </w:pPr>
            <w:r>
              <w:rPr>
                <w:rFonts w:ascii="Sakkal Majalla" w:hAnsi="Sakkal Majalla" w:cs="Sakkal Majalla" w:hint="cs"/>
                <w:b/>
                <w:bCs/>
                <w:sz w:val="28"/>
                <w:rtl/>
              </w:rPr>
              <w:t>الابتكار الرقمي</w:t>
            </w:r>
          </w:p>
        </w:tc>
        <w:tc>
          <w:tcPr>
            <w:tcW w:w="1477" w:type="dxa"/>
          </w:tcPr>
          <w:p w14:paraId="24014722"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0.665**</w:t>
            </w:r>
          </w:p>
        </w:tc>
        <w:tc>
          <w:tcPr>
            <w:tcW w:w="1761" w:type="dxa"/>
            <w:vAlign w:val="center"/>
          </w:tcPr>
          <w:p w14:paraId="601296AD" w14:textId="77777777" w:rsidR="00425C1F" w:rsidRPr="0043278C" w:rsidRDefault="00425C1F" w:rsidP="00E31804">
            <w:pPr>
              <w:pStyle w:val="BlockText"/>
              <w:ind w:left="0"/>
              <w:jc w:val="center"/>
              <w:rPr>
                <w:rFonts w:ascii="Sakkal Majalla" w:hAnsi="Sakkal Majalla" w:cs="Sakkal Majalla"/>
                <w:sz w:val="28"/>
              </w:rPr>
            </w:pPr>
            <w:r w:rsidRPr="0043278C">
              <w:rPr>
                <w:rFonts w:ascii="Sakkal Majalla" w:hAnsi="Sakkal Majalla" w:cs="Sakkal Majalla"/>
                <w:sz w:val="28"/>
                <w:rtl/>
              </w:rPr>
              <w:t>0.275**</w:t>
            </w:r>
          </w:p>
        </w:tc>
        <w:tc>
          <w:tcPr>
            <w:tcW w:w="983" w:type="dxa"/>
            <w:shd w:val="clear" w:color="auto" w:fill="D9D9D9"/>
          </w:tcPr>
          <w:p w14:paraId="442B54F2"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Pr>
          <w:p w14:paraId="4D66A98C"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23F756DC" w14:textId="77777777" w:rsidTr="00425C1F">
        <w:trPr>
          <w:jc w:val="center"/>
        </w:trPr>
        <w:tc>
          <w:tcPr>
            <w:tcW w:w="433" w:type="dxa"/>
          </w:tcPr>
          <w:p w14:paraId="3CA0C18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3</w:t>
            </w:r>
          </w:p>
        </w:tc>
        <w:tc>
          <w:tcPr>
            <w:tcW w:w="2396" w:type="dxa"/>
          </w:tcPr>
          <w:p w14:paraId="7E2D6282" w14:textId="29726FA4"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الحوكمة الرقمية</w:t>
            </w:r>
          </w:p>
        </w:tc>
        <w:tc>
          <w:tcPr>
            <w:tcW w:w="1477" w:type="dxa"/>
          </w:tcPr>
          <w:p w14:paraId="2E2908D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0.688**</w:t>
            </w:r>
          </w:p>
        </w:tc>
        <w:tc>
          <w:tcPr>
            <w:tcW w:w="1761" w:type="dxa"/>
            <w:vAlign w:val="center"/>
          </w:tcPr>
          <w:p w14:paraId="7745046E"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0.225**</w:t>
            </w:r>
          </w:p>
        </w:tc>
        <w:tc>
          <w:tcPr>
            <w:tcW w:w="983" w:type="dxa"/>
          </w:tcPr>
          <w:p w14:paraId="2DC7F87B"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0.418**</w:t>
            </w:r>
          </w:p>
        </w:tc>
        <w:tc>
          <w:tcPr>
            <w:tcW w:w="1002" w:type="dxa"/>
            <w:shd w:val="clear" w:color="auto" w:fill="D9D9D9"/>
          </w:tcPr>
          <w:p w14:paraId="6B945EB9" w14:textId="77777777" w:rsidR="00425C1F" w:rsidRPr="0043278C" w:rsidRDefault="00425C1F" w:rsidP="00E31804">
            <w:pPr>
              <w:pStyle w:val="BlockText"/>
              <w:ind w:left="0"/>
              <w:jc w:val="center"/>
              <w:rPr>
                <w:rFonts w:ascii="Sakkal Majalla" w:hAnsi="Sakkal Majalla" w:cs="Sakkal Majalla"/>
                <w:sz w:val="28"/>
                <w:rtl/>
              </w:rPr>
            </w:pPr>
          </w:p>
        </w:tc>
      </w:tr>
    </w:tbl>
    <w:p w14:paraId="5D2C520E" w14:textId="77777777" w:rsidR="0043278C" w:rsidRPr="0043278C" w:rsidRDefault="0043278C" w:rsidP="00E31804">
      <w:pPr>
        <w:pStyle w:val="BlockText"/>
        <w:jc w:val="lowKashida"/>
        <w:rPr>
          <w:rFonts w:ascii="Sakkal Majalla" w:hAnsi="Sakkal Majalla" w:cs="Sakkal Majalla"/>
          <w:i/>
          <w:iCs/>
          <w:sz w:val="28"/>
          <w:rtl/>
        </w:rPr>
      </w:pPr>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 دالة إحصائيا عند مستوى معنوية 0.01</w:t>
      </w:r>
    </w:p>
    <w:p w14:paraId="0854B8BC" w14:textId="5676DCBA"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يتضح من الجدول السابق أن جميع معاملات الارتباط بين المتغيرات المستقلة الفرعية ببعضها البعض قوية و في أتجاه </w:t>
      </w:r>
      <w:r w:rsidRPr="0043278C">
        <w:rPr>
          <w:rFonts w:ascii="Sakkal Majalla" w:hAnsi="Sakkal Majalla" w:cs="Sakkal Majalla"/>
          <w:sz w:val="28"/>
          <w:rtl/>
          <w:lang w:bidi="ar-EG"/>
        </w:rPr>
        <w:t>ا</w:t>
      </w:r>
      <w:r w:rsidRPr="0043278C">
        <w:rPr>
          <w:rFonts w:ascii="Sakkal Majalla" w:hAnsi="Sakkal Majalla" w:cs="Sakkal Majalla"/>
          <w:sz w:val="28"/>
          <w:rtl/>
        </w:rPr>
        <w:t>يجابي، و تراوحت قيم معاملات الارتباط بين 0.</w:t>
      </w:r>
      <w:r w:rsidR="00425C1F">
        <w:rPr>
          <w:rFonts w:ascii="Sakkal Majalla" w:hAnsi="Sakkal Majalla" w:cs="Sakkal Majalla" w:hint="cs"/>
          <w:sz w:val="28"/>
          <w:rtl/>
        </w:rPr>
        <w:t>66</w:t>
      </w:r>
      <w:r w:rsidRPr="0043278C">
        <w:rPr>
          <w:rFonts w:ascii="Sakkal Majalla" w:hAnsi="Sakkal Majalla" w:cs="Sakkal Majalla"/>
          <w:sz w:val="28"/>
          <w:rtl/>
        </w:rPr>
        <w:t>5 و 0.762، و تدل على وجود علاقة ارتباطية طردية قوية بين المتغيرات المستقلة الفرعية مع المتغير التابع (</w:t>
      </w:r>
      <w:r w:rsidR="00425C1F">
        <w:rPr>
          <w:rFonts w:ascii="Sakkal Majalla" w:hAnsi="Sakkal Majalla" w:cs="Sakkal Majalla" w:hint="cs"/>
          <w:sz w:val="28"/>
          <w:rtl/>
        </w:rPr>
        <w:t>تعزيز الأمن</w:t>
      </w:r>
      <w:r w:rsidRPr="0043278C">
        <w:rPr>
          <w:rFonts w:ascii="Sakkal Majalla" w:hAnsi="Sakkal Majalla" w:cs="Sakkal Majalla"/>
          <w:sz w:val="28"/>
          <w:rtl/>
        </w:rPr>
        <w:t xml:space="preserve">) الرئيسي للدراسة. </w:t>
      </w:r>
    </w:p>
    <w:p w14:paraId="353FA903" w14:textId="77777777" w:rsidR="0043278C" w:rsidRPr="0043278C" w:rsidRDefault="0043278C" w:rsidP="00E31804">
      <w:pPr>
        <w:pStyle w:val="BlockText"/>
        <w:jc w:val="lowKashida"/>
        <w:rPr>
          <w:rFonts w:ascii="Sakkal Majalla" w:hAnsi="Sakkal Majalla" w:cs="Sakkal Majalla"/>
          <w:sz w:val="28"/>
          <w:rtl/>
        </w:rPr>
      </w:pPr>
    </w:p>
    <w:p w14:paraId="6643B214" w14:textId="77777777" w:rsidR="0043278C" w:rsidRPr="0043278C" w:rsidRDefault="0043278C" w:rsidP="00E31804">
      <w:pPr>
        <w:pStyle w:val="BlockText"/>
        <w:jc w:val="center"/>
        <w:rPr>
          <w:rFonts w:ascii="Sakkal Majalla" w:hAnsi="Sakkal Majalla" w:cs="Sakkal Majalla"/>
          <w:b/>
          <w:bCs/>
          <w:sz w:val="28"/>
          <w:rtl/>
        </w:rPr>
      </w:pPr>
      <w:r w:rsidRPr="0043278C">
        <w:rPr>
          <w:rFonts w:ascii="Sakkal Majalla" w:hAnsi="Sakkal Majalla" w:cs="Sakkal Majalla"/>
          <w:b/>
          <w:bCs/>
          <w:sz w:val="28"/>
          <w:rtl/>
        </w:rPr>
        <w:t>جدول (3/16)</w:t>
      </w:r>
    </w:p>
    <w:p w14:paraId="4E1388E0" w14:textId="52C30F98" w:rsidR="0043278C" w:rsidRPr="0043278C" w:rsidRDefault="0043278C" w:rsidP="00E31804">
      <w:pPr>
        <w:pStyle w:val="BlockText"/>
        <w:jc w:val="center"/>
        <w:rPr>
          <w:rFonts w:ascii="Sakkal Majalla" w:hAnsi="Sakkal Majalla" w:cs="Sakkal Majalla"/>
          <w:b/>
          <w:bCs/>
          <w:sz w:val="28"/>
        </w:rPr>
      </w:pPr>
      <w:r w:rsidRPr="0043278C">
        <w:rPr>
          <w:rFonts w:ascii="Sakkal Majalla" w:hAnsi="Sakkal Majalla" w:cs="Sakkal Majalla"/>
          <w:b/>
          <w:bCs/>
          <w:sz w:val="28"/>
          <w:rtl/>
        </w:rPr>
        <w:t xml:space="preserve"> مصفوفة الارتباط بين متغيرات الدراسة المستقلة والمتغير التابع الرئيسي</w:t>
      </w:r>
      <w:r w:rsidRPr="0043278C">
        <w:rPr>
          <w:rFonts w:ascii="Sakkal Majalla" w:hAnsi="Sakkal Majalla" w:cs="Sakkal Majalla"/>
          <w:b/>
          <w:bCs/>
          <w:sz w:val="28"/>
        </w:rPr>
        <w:t xml:space="preserve"> </w:t>
      </w:r>
      <w:r w:rsidRPr="0043278C">
        <w:rPr>
          <w:rFonts w:ascii="Sakkal Majalla" w:hAnsi="Sakkal Majalla" w:cs="Sakkal Majalla"/>
          <w:b/>
          <w:bCs/>
          <w:sz w:val="28"/>
          <w:rtl/>
        </w:rPr>
        <w:t>(</w:t>
      </w:r>
      <w:r w:rsidR="00425C1F">
        <w:rPr>
          <w:rFonts w:ascii="Sakkal Majalla" w:hAnsi="Sakkal Majalla" w:cs="Sakkal Majalla" w:hint="cs"/>
          <w:b/>
          <w:bCs/>
          <w:sz w:val="28"/>
          <w:rtl/>
        </w:rPr>
        <w:t>تيسير التجارة</w:t>
      </w:r>
      <w:r w:rsidRPr="0043278C">
        <w:rPr>
          <w:rFonts w:ascii="Sakkal Majalla" w:hAnsi="Sakkal Majalla" w:cs="Sakkal Majalla"/>
          <w:b/>
          <w:bCs/>
          <w:sz w:val="28"/>
          <w:rtl/>
        </w:rPr>
        <w:t>)</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33"/>
        <w:gridCol w:w="2396"/>
        <w:gridCol w:w="1477"/>
        <w:gridCol w:w="1761"/>
        <w:gridCol w:w="983"/>
        <w:gridCol w:w="1002"/>
      </w:tblGrid>
      <w:tr w:rsidR="00425C1F" w:rsidRPr="0043278C" w14:paraId="2C431ED7" w14:textId="77777777" w:rsidTr="00E31804">
        <w:trPr>
          <w:jc w:val="center"/>
        </w:trPr>
        <w:tc>
          <w:tcPr>
            <w:tcW w:w="433" w:type="dxa"/>
            <w:tcBorders>
              <w:top w:val="thinThickSmallGap" w:sz="24" w:space="0" w:color="auto"/>
              <w:bottom w:val="thinThickSmallGap" w:sz="24" w:space="0" w:color="auto"/>
            </w:tcBorders>
            <w:shd w:val="clear" w:color="auto" w:fill="D9D9D9" w:themeFill="background1" w:themeFillShade="D9"/>
          </w:tcPr>
          <w:p w14:paraId="5E76CA85" w14:textId="77777777" w:rsidR="00425C1F" w:rsidRPr="0043278C" w:rsidRDefault="00425C1F" w:rsidP="00E31804">
            <w:pPr>
              <w:pStyle w:val="BlockText"/>
              <w:ind w:left="0"/>
              <w:jc w:val="center"/>
              <w:rPr>
                <w:rFonts w:ascii="Sakkal Majalla" w:hAnsi="Sakkal Majalla" w:cs="Sakkal Majalla"/>
                <w:sz w:val="28"/>
                <w:rtl/>
              </w:rPr>
            </w:pPr>
          </w:p>
        </w:tc>
        <w:tc>
          <w:tcPr>
            <w:tcW w:w="2396" w:type="dxa"/>
            <w:tcBorders>
              <w:top w:val="thinThickSmallGap" w:sz="24" w:space="0" w:color="auto"/>
              <w:bottom w:val="thinThickSmallGap" w:sz="24" w:space="0" w:color="auto"/>
            </w:tcBorders>
            <w:shd w:val="clear" w:color="auto" w:fill="D9D9D9" w:themeFill="background1" w:themeFillShade="D9"/>
          </w:tcPr>
          <w:p w14:paraId="0E4445A8" w14:textId="77777777" w:rsidR="00425C1F" w:rsidRPr="0043278C" w:rsidRDefault="00425C1F" w:rsidP="00E31804">
            <w:pPr>
              <w:pStyle w:val="BlockText"/>
              <w:ind w:left="0"/>
              <w:jc w:val="center"/>
              <w:rPr>
                <w:rFonts w:ascii="Sakkal Majalla" w:hAnsi="Sakkal Majalla" w:cs="Sakkal Majalla"/>
                <w:sz w:val="28"/>
                <w:rtl/>
              </w:rPr>
            </w:pPr>
          </w:p>
        </w:tc>
        <w:tc>
          <w:tcPr>
            <w:tcW w:w="1477" w:type="dxa"/>
            <w:tcBorders>
              <w:top w:val="thinThickSmallGap" w:sz="24" w:space="0" w:color="auto"/>
              <w:bottom w:val="thinThickSmallGap" w:sz="24" w:space="0" w:color="auto"/>
            </w:tcBorders>
            <w:shd w:val="clear" w:color="auto" w:fill="D9D9D9" w:themeFill="background1" w:themeFillShade="D9"/>
          </w:tcPr>
          <w:p w14:paraId="6C3102BD" w14:textId="38AD0E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highlight w:val="lightGray"/>
                <w:rtl/>
              </w:rPr>
              <w:t>المتغير التابع (</w:t>
            </w:r>
            <w:r>
              <w:rPr>
                <w:rFonts w:ascii="Sakkal Majalla" w:hAnsi="Sakkal Majalla" w:cs="Sakkal Majalla" w:hint="cs"/>
                <w:b/>
                <w:bCs/>
                <w:sz w:val="28"/>
                <w:highlight w:val="lightGray"/>
                <w:rtl/>
              </w:rPr>
              <w:t>تيسير التجارة</w:t>
            </w:r>
            <w:r w:rsidRPr="0043278C">
              <w:rPr>
                <w:rFonts w:ascii="Sakkal Majalla" w:hAnsi="Sakkal Majalla" w:cs="Sakkal Majalla"/>
                <w:b/>
                <w:bCs/>
                <w:sz w:val="28"/>
                <w:highlight w:val="lightGray"/>
                <w:rtl/>
              </w:rPr>
              <w:t>)</w:t>
            </w:r>
          </w:p>
        </w:tc>
        <w:tc>
          <w:tcPr>
            <w:tcW w:w="1761" w:type="dxa"/>
            <w:tcBorders>
              <w:top w:val="thinThickSmallGap" w:sz="24" w:space="0" w:color="auto"/>
              <w:bottom w:val="thinThickSmallGap" w:sz="24" w:space="0" w:color="auto"/>
            </w:tcBorders>
            <w:shd w:val="clear" w:color="auto" w:fill="D9D9D9" w:themeFill="background1" w:themeFillShade="D9"/>
          </w:tcPr>
          <w:p w14:paraId="2F42FC28"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البعد المعرفي</w:t>
            </w:r>
          </w:p>
        </w:tc>
        <w:tc>
          <w:tcPr>
            <w:tcW w:w="983" w:type="dxa"/>
            <w:tcBorders>
              <w:top w:val="thinThickSmallGap" w:sz="24" w:space="0" w:color="auto"/>
              <w:bottom w:val="thinThickSmallGap" w:sz="24" w:space="0" w:color="auto"/>
            </w:tcBorders>
            <w:shd w:val="clear" w:color="auto" w:fill="D9D9D9" w:themeFill="background1" w:themeFillShade="D9"/>
          </w:tcPr>
          <w:p w14:paraId="37D048CC"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 xml:space="preserve">البعد </w:t>
            </w:r>
            <w:r w:rsidRPr="0043278C">
              <w:rPr>
                <w:rFonts w:ascii="Sakkal Majalla" w:hAnsi="Sakkal Majalla" w:cs="Sakkal Majalla"/>
                <w:b/>
                <w:bCs/>
                <w:sz w:val="28"/>
                <w:rtl/>
                <w:lang w:bidi="ar-EG"/>
              </w:rPr>
              <w:t>العملي</w:t>
            </w:r>
          </w:p>
        </w:tc>
        <w:tc>
          <w:tcPr>
            <w:tcW w:w="1002" w:type="dxa"/>
            <w:tcBorders>
              <w:top w:val="thinThickSmallGap" w:sz="24" w:space="0" w:color="auto"/>
              <w:bottom w:val="thinThickSmallGap" w:sz="24" w:space="0" w:color="auto"/>
            </w:tcBorders>
            <w:shd w:val="clear" w:color="auto" w:fill="D9D9D9" w:themeFill="background1" w:themeFillShade="D9"/>
          </w:tcPr>
          <w:p w14:paraId="4C8591C6" w14:textId="77777777" w:rsidR="00425C1F" w:rsidRPr="0043278C" w:rsidRDefault="00425C1F" w:rsidP="00E31804">
            <w:pPr>
              <w:spacing w:line="240" w:lineRule="auto"/>
              <w:jc w:val="center"/>
              <w:rPr>
                <w:rFonts w:ascii="Sakkal Majalla" w:hAnsi="Sakkal Majalla" w:cs="Sakkal Majalla"/>
                <w:b/>
                <w:bCs/>
                <w:sz w:val="28"/>
                <w:szCs w:val="28"/>
              </w:rPr>
            </w:pPr>
            <w:r w:rsidRPr="0043278C">
              <w:rPr>
                <w:rFonts w:ascii="Sakkal Majalla" w:hAnsi="Sakkal Majalla" w:cs="Sakkal Majalla"/>
                <w:b/>
                <w:bCs/>
                <w:sz w:val="28"/>
                <w:szCs w:val="28"/>
                <w:rtl/>
              </w:rPr>
              <w:t>البعد الاجتماعي والأخلاقي</w:t>
            </w:r>
          </w:p>
        </w:tc>
      </w:tr>
      <w:tr w:rsidR="00425C1F" w:rsidRPr="0043278C" w14:paraId="27538D54" w14:textId="77777777" w:rsidTr="00E31804">
        <w:trPr>
          <w:jc w:val="center"/>
        </w:trPr>
        <w:tc>
          <w:tcPr>
            <w:tcW w:w="433" w:type="dxa"/>
            <w:tcBorders>
              <w:top w:val="thinThickSmallGap" w:sz="24" w:space="0" w:color="auto"/>
            </w:tcBorders>
          </w:tcPr>
          <w:p w14:paraId="2602E17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1</w:t>
            </w:r>
          </w:p>
        </w:tc>
        <w:tc>
          <w:tcPr>
            <w:tcW w:w="2396" w:type="dxa"/>
            <w:tcBorders>
              <w:top w:val="thinThickSmallGap" w:sz="24" w:space="0" w:color="auto"/>
            </w:tcBorders>
          </w:tcPr>
          <w:p w14:paraId="57907762" w14:textId="2E6AC26E"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1477" w:type="dxa"/>
            <w:tcBorders>
              <w:top w:val="thinThickSmallGap" w:sz="24" w:space="0" w:color="auto"/>
            </w:tcBorders>
            <w:shd w:val="clear" w:color="auto" w:fill="auto"/>
          </w:tcPr>
          <w:p w14:paraId="5C40CCAE" w14:textId="77777777" w:rsidR="00425C1F" w:rsidRPr="0043278C" w:rsidRDefault="00425C1F" w:rsidP="00E31804">
            <w:pPr>
              <w:pStyle w:val="BlockText"/>
              <w:ind w:left="0"/>
              <w:jc w:val="center"/>
              <w:rPr>
                <w:rFonts w:ascii="Sakkal Majalla" w:hAnsi="Sakkal Majalla" w:cs="Sakkal Majalla"/>
                <w:b/>
                <w:bCs/>
                <w:sz w:val="28"/>
              </w:rPr>
            </w:pPr>
            <w:r w:rsidRPr="0043278C">
              <w:rPr>
                <w:rFonts w:ascii="Sakkal Majalla" w:hAnsi="Sakkal Majalla" w:cs="Sakkal Majalla"/>
                <w:b/>
                <w:bCs/>
                <w:sz w:val="28"/>
                <w:rtl/>
              </w:rPr>
              <w:t>0.987**</w:t>
            </w:r>
          </w:p>
        </w:tc>
        <w:tc>
          <w:tcPr>
            <w:tcW w:w="1761" w:type="dxa"/>
            <w:tcBorders>
              <w:top w:val="thinThickSmallGap" w:sz="24" w:space="0" w:color="auto"/>
            </w:tcBorders>
            <w:shd w:val="clear" w:color="auto" w:fill="D9D9D9"/>
          </w:tcPr>
          <w:p w14:paraId="3CF9267F" w14:textId="77777777" w:rsidR="00425C1F" w:rsidRPr="0043278C" w:rsidRDefault="00425C1F" w:rsidP="00E31804">
            <w:pPr>
              <w:pStyle w:val="BlockText"/>
              <w:ind w:left="0"/>
              <w:jc w:val="center"/>
              <w:rPr>
                <w:rFonts w:ascii="Sakkal Majalla" w:hAnsi="Sakkal Majalla" w:cs="Sakkal Majalla"/>
                <w:sz w:val="28"/>
              </w:rPr>
            </w:pPr>
          </w:p>
        </w:tc>
        <w:tc>
          <w:tcPr>
            <w:tcW w:w="983" w:type="dxa"/>
            <w:tcBorders>
              <w:top w:val="thinThickSmallGap" w:sz="24" w:space="0" w:color="auto"/>
            </w:tcBorders>
          </w:tcPr>
          <w:p w14:paraId="3D46B692"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Borders>
              <w:top w:val="thinThickSmallGap" w:sz="24" w:space="0" w:color="auto"/>
            </w:tcBorders>
          </w:tcPr>
          <w:p w14:paraId="5CD6D01C"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1963DBA5" w14:textId="77777777" w:rsidTr="00E31804">
        <w:trPr>
          <w:jc w:val="center"/>
        </w:trPr>
        <w:tc>
          <w:tcPr>
            <w:tcW w:w="433" w:type="dxa"/>
          </w:tcPr>
          <w:p w14:paraId="4B619845"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2</w:t>
            </w:r>
          </w:p>
        </w:tc>
        <w:tc>
          <w:tcPr>
            <w:tcW w:w="2396" w:type="dxa"/>
          </w:tcPr>
          <w:p w14:paraId="7A1B7737" w14:textId="4D1C8412" w:rsidR="00425C1F" w:rsidRPr="0043278C" w:rsidRDefault="00425C1F" w:rsidP="00E31804">
            <w:pPr>
              <w:pStyle w:val="BlockText"/>
              <w:ind w:left="0"/>
              <w:jc w:val="center"/>
              <w:rPr>
                <w:rFonts w:ascii="Sakkal Majalla" w:hAnsi="Sakkal Majalla" w:cs="Sakkal Majalla"/>
                <w:b/>
                <w:bCs/>
                <w:sz w:val="28"/>
                <w:rtl/>
                <w:lang w:bidi="ar-EG"/>
              </w:rPr>
            </w:pPr>
            <w:r>
              <w:rPr>
                <w:rFonts w:ascii="Sakkal Majalla" w:hAnsi="Sakkal Majalla" w:cs="Sakkal Majalla" w:hint="cs"/>
                <w:b/>
                <w:bCs/>
                <w:sz w:val="28"/>
                <w:rtl/>
              </w:rPr>
              <w:t>الابتكار الرقمي</w:t>
            </w:r>
          </w:p>
        </w:tc>
        <w:tc>
          <w:tcPr>
            <w:tcW w:w="1477" w:type="dxa"/>
          </w:tcPr>
          <w:p w14:paraId="0AB96541"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0.775**</w:t>
            </w:r>
          </w:p>
        </w:tc>
        <w:tc>
          <w:tcPr>
            <w:tcW w:w="1761" w:type="dxa"/>
            <w:vAlign w:val="center"/>
          </w:tcPr>
          <w:p w14:paraId="056E343A" w14:textId="77777777" w:rsidR="00425C1F" w:rsidRPr="0043278C" w:rsidRDefault="00425C1F" w:rsidP="00E31804">
            <w:pPr>
              <w:pStyle w:val="BlockText"/>
              <w:ind w:left="0"/>
              <w:jc w:val="center"/>
              <w:rPr>
                <w:rFonts w:ascii="Sakkal Majalla" w:hAnsi="Sakkal Majalla" w:cs="Sakkal Majalla"/>
                <w:sz w:val="28"/>
              </w:rPr>
            </w:pPr>
            <w:r w:rsidRPr="0043278C">
              <w:rPr>
                <w:rFonts w:ascii="Sakkal Majalla" w:hAnsi="Sakkal Majalla" w:cs="Sakkal Majalla"/>
                <w:sz w:val="28"/>
                <w:rtl/>
              </w:rPr>
              <w:t>0.275**</w:t>
            </w:r>
          </w:p>
        </w:tc>
        <w:tc>
          <w:tcPr>
            <w:tcW w:w="983" w:type="dxa"/>
            <w:shd w:val="clear" w:color="auto" w:fill="D9D9D9"/>
          </w:tcPr>
          <w:p w14:paraId="6FD63EBA"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Pr>
          <w:p w14:paraId="0931657A"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0AB803E8" w14:textId="77777777" w:rsidTr="00E31804">
        <w:trPr>
          <w:jc w:val="center"/>
        </w:trPr>
        <w:tc>
          <w:tcPr>
            <w:tcW w:w="433" w:type="dxa"/>
          </w:tcPr>
          <w:p w14:paraId="26EE118C"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3</w:t>
            </w:r>
          </w:p>
        </w:tc>
        <w:tc>
          <w:tcPr>
            <w:tcW w:w="2396" w:type="dxa"/>
          </w:tcPr>
          <w:p w14:paraId="16240213" w14:textId="553B2592"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الحوكمة الرقمية</w:t>
            </w:r>
          </w:p>
        </w:tc>
        <w:tc>
          <w:tcPr>
            <w:tcW w:w="1477" w:type="dxa"/>
          </w:tcPr>
          <w:p w14:paraId="7E70610D"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0.867**</w:t>
            </w:r>
          </w:p>
        </w:tc>
        <w:tc>
          <w:tcPr>
            <w:tcW w:w="1761" w:type="dxa"/>
            <w:vAlign w:val="center"/>
          </w:tcPr>
          <w:p w14:paraId="38481ADF"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0.225**</w:t>
            </w:r>
          </w:p>
        </w:tc>
        <w:tc>
          <w:tcPr>
            <w:tcW w:w="983" w:type="dxa"/>
          </w:tcPr>
          <w:p w14:paraId="413BAD43"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0.418**</w:t>
            </w:r>
          </w:p>
        </w:tc>
        <w:tc>
          <w:tcPr>
            <w:tcW w:w="1002" w:type="dxa"/>
            <w:shd w:val="clear" w:color="auto" w:fill="D9D9D9"/>
          </w:tcPr>
          <w:p w14:paraId="2972AB6C" w14:textId="77777777" w:rsidR="00425C1F" w:rsidRPr="0043278C" w:rsidRDefault="00425C1F" w:rsidP="00E31804">
            <w:pPr>
              <w:pStyle w:val="BlockText"/>
              <w:ind w:left="0"/>
              <w:jc w:val="center"/>
              <w:rPr>
                <w:rFonts w:ascii="Sakkal Majalla" w:hAnsi="Sakkal Majalla" w:cs="Sakkal Majalla"/>
                <w:sz w:val="28"/>
                <w:rtl/>
              </w:rPr>
            </w:pPr>
          </w:p>
        </w:tc>
      </w:tr>
    </w:tbl>
    <w:p w14:paraId="3D707D03" w14:textId="77777777" w:rsidR="0043278C" w:rsidRPr="0043278C" w:rsidRDefault="0043278C" w:rsidP="00E31804">
      <w:pPr>
        <w:pStyle w:val="BlockText"/>
        <w:jc w:val="lowKashida"/>
        <w:rPr>
          <w:rFonts w:ascii="Sakkal Majalla" w:hAnsi="Sakkal Majalla" w:cs="Sakkal Majalla"/>
          <w:i/>
          <w:iCs/>
          <w:sz w:val="28"/>
          <w:rtl/>
        </w:rPr>
      </w:pPr>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 دالة إحصائيا عند مستوى معنوية 0.01</w:t>
      </w:r>
    </w:p>
    <w:p w14:paraId="1F789DF4" w14:textId="23C08E6C"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يتضح من الجدول السابق أن جميع معاملات الأرتباط بين المتغيرات المستقلة الفرعية ببعضها البعض قوية و فى أتجاه أيجابى ، و تراوحت قيم معاملات الأرتباط بين 0.</w:t>
      </w:r>
      <w:r w:rsidR="00425C1F">
        <w:rPr>
          <w:rFonts w:ascii="Sakkal Majalla" w:hAnsi="Sakkal Majalla" w:cs="Sakkal Majalla" w:hint="cs"/>
          <w:sz w:val="28"/>
          <w:rtl/>
        </w:rPr>
        <w:t>7</w:t>
      </w:r>
      <w:r w:rsidRPr="0043278C">
        <w:rPr>
          <w:rFonts w:ascii="Sakkal Majalla" w:hAnsi="Sakkal Majalla" w:cs="Sakkal Majalla"/>
          <w:sz w:val="28"/>
          <w:rtl/>
        </w:rPr>
        <w:t>7</w:t>
      </w:r>
      <w:r w:rsidR="00425C1F">
        <w:rPr>
          <w:rFonts w:ascii="Sakkal Majalla" w:hAnsi="Sakkal Majalla" w:cs="Sakkal Majalla" w:hint="cs"/>
          <w:sz w:val="28"/>
          <w:rtl/>
        </w:rPr>
        <w:t>5</w:t>
      </w:r>
      <w:r w:rsidRPr="0043278C">
        <w:rPr>
          <w:rFonts w:ascii="Sakkal Majalla" w:hAnsi="Sakkal Majalla" w:cs="Sakkal Majalla"/>
          <w:sz w:val="28"/>
          <w:rtl/>
        </w:rPr>
        <w:t xml:space="preserve"> و 0.987 ، و تدل على وجود علاقة أرتباطية طردية قوية بين المتغيرات المستقلة الفرعية مع المتغير التابع (</w:t>
      </w:r>
      <w:r w:rsidR="00425C1F">
        <w:rPr>
          <w:rFonts w:ascii="Sakkal Majalla" w:hAnsi="Sakkal Majalla" w:cs="Sakkal Majalla" w:hint="cs"/>
          <w:sz w:val="28"/>
          <w:rtl/>
        </w:rPr>
        <w:t>تيسير التجارة</w:t>
      </w:r>
      <w:r w:rsidRPr="0043278C">
        <w:rPr>
          <w:rFonts w:ascii="Sakkal Majalla" w:hAnsi="Sakkal Majalla" w:cs="Sakkal Majalla"/>
          <w:sz w:val="28"/>
          <w:rtl/>
        </w:rPr>
        <w:t xml:space="preserve">) الرئيسى للدراسة. </w:t>
      </w:r>
    </w:p>
    <w:p w14:paraId="71506684" w14:textId="77777777" w:rsidR="0043278C" w:rsidRDefault="0043278C" w:rsidP="00E31804">
      <w:pPr>
        <w:pStyle w:val="BlockText"/>
        <w:jc w:val="lowKashida"/>
        <w:rPr>
          <w:rFonts w:ascii="Sakkal Majalla" w:hAnsi="Sakkal Majalla" w:cs="Sakkal Majalla"/>
          <w:sz w:val="28"/>
          <w:rtl/>
        </w:rPr>
      </w:pPr>
    </w:p>
    <w:p w14:paraId="6DAD3377" w14:textId="77777777" w:rsidR="00425C1F" w:rsidRDefault="00425C1F" w:rsidP="00E31804">
      <w:pPr>
        <w:pStyle w:val="BlockText"/>
        <w:jc w:val="lowKashida"/>
        <w:rPr>
          <w:rFonts w:ascii="Sakkal Majalla" w:hAnsi="Sakkal Majalla" w:cs="Sakkal Majalla"/>
          <w:sz w:val="28"/>
          <w:rtl/>
        </w:rPr>
      </w:pPr>
    </w:p>
    <w:p w14:paraId="7274FC5F" w14:textId="77777777" w:rsidR="00E31804" w:rsidRDefault="00E31804" w:rsidP="00E31804">
      <w:pPr>
        <w:pStyle w:val="BlockText"/>
        <w:jc w:val="lowKashida"/>
        <w:rPr>
          <w:rFonts w:ascii="Sakkal Majalla" w:hAnsi="Sakkal Majalla" w:cs="Sakkal Majalla"/>
          <w:sz w:val="28"/>
          <w:rtl/>
        </w:rPr>
      </w:pPr>
    </w:p>
    <w:p w14:paraId="3DC9D270" w14:textId="77777777" w:rsidR="00E31804" w:rsidRDefault="00E31804" w:rsidP="00E31804">
      <w:pPr>
        <w:pStyle w:val="BlockText"/>
        <w:jc w:val="lowKashida"/>
        <w:rPr>
          <w:rFonts w:ascii="Sakkal Majalla" w:hAnsi="Sakkal Majalla" w:cs="Sakkal Majalla"/>
          <w:sz w:val="28"/>
          <w:rtl/>
        </w:rPr>
      </w:pPr>
    </w:p>
    <w:p w14:paraId="0E7C6390" w14:textId="77777777" w:rsidR="00425C1F" w:rsidRPr="0043278C" w:rsidRDefault="00425C1F" w:rsidP="00E31804">
      <w:pPr>
        <w:pStyle w:val="BlockText"/>
        <w:jc w:val="lowKashida"/>
        <w:rPr>
          <w:rFonts w:ascii="Sakkal Majalla" w:hAnsi="Sakkal Majalla" w:cs="Sakkal Majalla"/>
          <w:sz w:val="28"/>
          <w:rtl/>
        </w:rPr>
      </w:pPr>
    </w:p>
    <w:p w14:paraId="3479BDBB" w14:textId="6F0F88F6"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b/>
          <w:bCs/>
          <w:sz w:val="28"/>
          <w:rtl/>
        </w:rPr>
        <w:lastRenderedPageBreak/>
        <w:t xml:space="preserve">ثانياً: مصفوفة الارتباط بين متغيرات الدراسة التابعة الفرعية </w:t>
      </w:r>
      <w:r w:rsidR="00425C1F">
        <w:rPr>
          <w:rFonts w:ascii="Sakkal Majalla" w:hAnsi="Sakkal Majalla" w:cs="Sakkal Majalla" w:hint="cs"/>
          <w:b/>
          <w:bCs/>
          <w:sz w:val="28"/>
          <w:rtl/>
        </w:rPr>
        <w:t>لتعزيز الأمن والتيسير التجارة</w:t>
      </w:r>
      <w:r w:rsidRPr="0043278C">
        <w:rPr>
          <w:rFonts w:ascii="Sakkal Majalla" w:hAnsi="Sakkal Majalla" w:cs="Sakkal Majalla"/>
          <w:b/>
          <w:bCs/>
          <w:sz w:val="28"/>
          <w:rtl/>
        </w:rPr>
        <w:t xml:space="preserve"> والمتغير الرئيسي </w:t>
      </w:r>
      <w:r w:rsidR="00425C1F">
        <w:rPr>
          <w:rFonts w:ascii="Sakkal Majalla" w:hAnsi="Sakkal Majalla" w:cs="Sakkal Majalla" w:hint="cs"/>
          <w:b/>
          <w:bCs/>
          <w:sz w:val="28"/>
          <w:rtl/>
        </w:rPr>
        <w:t>التحول الرقمي</w:t>
      </w:r>
      <w:r w:rsidRPr="0043278C">
        <w:rPr>
          <w:rFonts w:ascii="Sakkal Majalla" w:hAnsi="Sakkal Majalla" w:cs="Sakkal Majalla"/>
          <w:b/>
          <w:bCs/>
          <w:sz w:val="28"/>
          <w:rtl/>
        </w:rPr>
        <w:t xml:space="preserve">: </w:t>
      </w:r>
    </w:p>
    <w:p w14:paraId="3D707870" w14:textId="77777777" w:rsidR="0043278C" w:rsidRPr="0043278C" w:rsidRDefault="0043278C" w:rsidP="00E31804">
      <w:pPr>
        <w:pStyle w:val="BlockText"/>
        <w:ind w:left="648"/>
        <w:jc w:val="center"/>
        <w:rPr>
          <w:rFonts w:ascii="Sakkal Majalla" w:hAnsi="Sakkal Majalla" w:cs="Sakkal Majalla"/>
          <w:b/>
          <w:bCs/>
          <w:sz w:val="28"/>
          <w:rtl/>
        </w:rPr>
      </w:pPr>
      <w:r w:rsidRPr="0043278C">
        <w:rPr>
          <w:rFonts w:ascii="Sakkal Majalla" w:hAnsi="Sakkal Majalla" w:cs="Sakkal Majalla"/>
          <w:b/>
          <w:bCs/>
          <w:sz w:val="28"/>
          <w:rtl/>
        </w:rPr>
        <w:t>جدول (3/16)</w:t>
      </w:r>
      <w:r w:rsidRPr="0043278C">
        <w:rPr>
          <w:rFonts w:ascii="Sakkal Majalla" w:hAnsi="Sakkal Majalla" w:cs="Sakkal Majalla"/>
          <w:sz w:val="28"/>
          <w:rtl/>
        </w:rPr>
        <w:t xml:space="preserve"> </w:t>
      </w:r>
    </w:p>
    <w:p w14:paraId="1EC941CC" w14:textId="53ABA2B3" w:rsidR="0043278C" w:rsidRPr="0043278C" w:rsidRDefault="0043278C" w:rsidP="00E31804">
      <w:pPr>
        <w:pStyle w:val="BlockText"/>
        <w:ind w:left="648"/>
        <w:jc w:val="center"/>
        <w:rPr>
          <w:rFonts w:ascii="Sakkal Majalla" w:hAnsi="Sakkal Majalla" w:cs="Sakkal Majalla"/>
          <w:b/>
          <w:bCs/>
          <w:i/>
          <w:iCs/>
          <w:sz w:val="28"/>
        </w:rPr>
      </w:pPr>
      <w:r w:rsidRPr="0043278C">
        <w:rPr>
          <w:rFonts w:ascii="Sakkal Majalla" w:hAnsi="Sakkal Majalla" w:cs="Sakkal Majalla"/>
          <w:b/>
          <w:bCs/>
          <w:sz w:val="28"/>
          <w:rtl/>
        </w:rPr>
        <w:t xml:space="preserve">مصفوفة الأرتباط بين متغيرات الدراسة التابعة الفرعية و الرئيسي </w:t>
      </w:r>
      <w:r w:rsidR="00E72A3D">
        <w:rPr>
          <w:rFonts w:ascii="Sakkal Majalla" w:hAnsi="Sakkal Majalla" w:cs="Sakkal Majalla" w:hint="cs"/>
          <w:b/>
          <w:bCs/>
          <w:sz w:val="28"/>
          <w:rtl/>
        </w:rPr>
        <w:t>التحول الرقمي</w:t>
      </w:r>
    </w:p>
    <w:tbl>
      <w:tblPr>
        <w:bidiVisual/>
        <w:tblW w:w="10260" w:type="dxa"/>
        <w:tblInd w:w="-450"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301"/>
        <w:gridCol w:w="1679"/>
        <w:gridCol w:w="900"/>
        <w:gridCol w:w="810"/>
        <w:gridCol w:w="810"/>
        <w:gridCol w:w="990"/>
        <w:gridCol w:w="847"/>
        <w:gridCol w:w="777"/>
        <w:gridCol w:w="898"/>
        <w:gridCol w:w="869"/>
        <w:gridCol w:w="774"/>
        <w:gridCol w:w="605"/>
      </w:tblGrid>
      <w:tr w:rsidR="007253C2" w:rsidRPr="0043278C" w14:paraId="21F8022D" w14:textId="2F7F9BA9" w:rsidTr="007253C2">
        <w:trPr>
          <w:trHeight w:val="1161"/>
        </w:trPr>
        <w:tc>
          <w:tcPr>
            <w:tcW w:w="301" w:type="dxa"/>
            <w:tcBorders>
              <w:top w:val="thinThickSmallGap" w:sz="24" w:space="0" w:color="auto"/>
              <w:bottom w:val="thinThickSmallGap" w:sz="24" w:space="0" w:color="auto"/>
            </w:tcBorders>
            <w:shd w:val="clear" w:color="auto" w:fill="D9D9D9" w:themeFill="background1" w:themeFillShade="D9"/>
          </w:tcPr>
          <w:p w14:paraId="29EDF22C" w14:textId="77777777" w:rsidR="007253C2" w:rsidRPr="007253C2" w:rsidRDefault="007253C2" w:rsidP="00E31804">
            <w:pPr>
              <w:pStyle w:val="BlockText"/>
              <w:ind w:left="0"/>
              <w:jc w:val="center"/>
              <w:rPr>
                <w:rFonts w:ascii="Sakkal Majalla" w:hAnsi="Sakkal Majalla" w:cs="Sakkal Majalla"/>
                <w:szCs w:val="20"/>
                <w:rtl/>
              </w:rPr>
            </w:pPr>
          </w:p>
        </w:tc>
        <w:tc>
          <w:tcPr>
            <w:tcW w:w="1679" w:type="dxa"/>
            <w:tcBorders>
              <w:top w:val="thinThickSmallGap" w:sz="24" w:space="0" w:color="auto"/>
              <w:bottom w:val="thinThickSmallGap" w:sz="24" w:space="0" w:color="auto"/>
            </w:tcBorders>
            <w:shd w:val="clear" w:color="auto" w:fill="D9D9D9" w:themeFill="background1" w:themeFillShade="D9"/>
          </w:tcPr>
          <w:p w14:paraId="28704B44" w14:textId="20CB7802"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أبعاد المتغيرات التابعة</w:t>
            </w:r>
            <w:r>
              <w:rPr>
                <w:rFonts w:ascii="Sakkal Majalla" w:hAnsi="Sakkal Majalla" w:cs="Sakkal Majalla" w:hint="cs"/>
                <w:b/>
                <w:bCs/>
                <w:szCs w:val="20"/>
                <w:rtl/>
              </w:rPr>
              <w:t xml:space="preserve"> الفرعية</w:t>
            </w:r>
          </w:p>
        </w:tc>
        <w:tc>
          <w:tcPr>
            <w:tcW w:w="900" w:type="dxa"/>
            <w:tcBorders>
              <w:top w:val="thinThickSmallGap" w:sz="24" w:space="0" w:color="auto"/>
              <w:bottom w:val="thinThickSmallGap" w:sz="24" w:space="0" w:color="auto"/>
            </w:tcBorders>
            <w:shd w:val="clear" w:color="auto" w:fill="D9D9D9" w:themeFill="background1" w:themeFillShade="D9"/>
          </w:tcPr>
          <w:p w14:paraId="77043BE7" w14:textId="467DE769"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highlight w:val="lightGray"/>
                <w:rtl/>
              </w:rPr>
              <w:t>المتغير المستقل (</w:t>
            </w:r>
            <w:r w:rsidRPr="007253C2">
              <w:rPr>
                <w:rFonts w:ascii="Sakkal Majalla" w:hAnsi="Sakkal Majalla" w:cs="Sakkal Majalla" w:hint="cs"/>
                <w:b/>
                <w:bCs/>
                <w:szCs w:val="20"/>
                <w:highlight w:val="lightGray"/>
                <w:rtl/>
              </w:rPr>
              <w:t>التحول الرقمي</w:t>
            </w:r>
            <w:r w:rsidRPr="007253C2">
              <w:rPr>
                <w:rFonts w:ascii="Sakkal Majalla" w:hAnsi="Sakkal Majalla" w:cs="Sakkal Majalla"/>
                <w:b/>
                <w:bCs/>
                <w:szCs w:val="20"/>
                <w:highlight w:val="lightGray"/>
                <w:rtl/>
              </w:rPr>
              <w:t xml:space="preserve"> )</w:t>
            </w:r>
          </w:p>
        </w:tc>
        <w:tc>
          <w:tcPr>
            <w:tcW w:w="810" w:type="dxa"/>
            <w:tcBorders>
              <w:top w:val="thinThickSmallGap" w:sz="24" w:space="0" w:color="auto"/>
              <w:bottom w:val="thinThickSmallGap" w:sz="24" w:space="0" w:color="auto"/>
            </w:tcBorders>
            <w:shd w:val="clear" w:color="auto" w:fill="D9D9D9" w:themeFill="background1" w:themeFillShade="D9"/>
          </w:tcPr>
          <w:p w14:paraId="787B02B4" w14:textId="637C59D1" w:rsidR="007253C2" w:rsidRPr="007253C2" w:rsidRDefault="007253C2" w:rsidP="00E31804">
            <w:pPr>
              <w:pStyle w:val="BlockText"/>
              <w:ind w:left="0"/>
              <w:jc w:val="center"/>
              <w:rPr>
                <w:rFonts w:ascii="Sakkal Majalla" w:hAnsi="Sakkal Majalla" w:cs="Sakkal Majalla"/>
                <w:b/>
                <w:bCs/>
                <w:szCs w:val="20"/>
                <w:rtl/>
              </w:rPr>
            </w:pPr>
            <w:r>
              <w:rPr>
                <w:rFonts w:ascii="Sakkal Majalla" w:hAnsi="Sakkal Majalla" w:cs="Sakkal Majalla" w:hint="cs"/>
                <w:b/>
                <w:bCs/>
                <w:szCs w:val="20"/>
                <w:rtl/>
              </w:rPr>
              <w:t>الأمن السيبراني وحماية البيانات</w:t>
            </w:r>
          </w:p>
        </w:tc>
        <w:tc>
          <w:tcPr>
            <w:tcW w:w="810" w:type="dxa"/>
            <w:tcBorders>
              <w:top w:val="thinThickSmallGap" w:sz="24" w:space="0" w:color="auto"/>
              <w:bottom w:val="thinThickSmallGap" w:sz="24" w:space="0" w:color="auto"/>
            </w:tcBorders>
            <w:shd w:val="clear" w:color="auto" w:fill="D9D9D9" w:themeFill="background1" w:themeFillShade="D9"/>
          </w:tcPr>
          <w:p w14:paraId="2223A1E9" w14:textId="1294C629" w:rsidR="007253C2" w:rsidRPr="007253C2" w:rsidRDefault="007253C2" w:rsidP="00E31804">
            <w:pPr>
              <w:pStyle w:val="BlockText"/>
              <w:ind w:left="0"/>
              <w:jc w:val="center"/>
              <w:rPr>
                <w:rFonts w:ascii="Sakkal Majalla" w:hAnsi="Sakkal Majalla" w:cs="Sakkal Majalla"/>
                <w:b/>
                <w:bCs/>
                <w:szCs w:val="20"/>
                <w:rtl/>
              </w:rPr>
            </w:pPr>
            <w:r>
              <w:rPr>
                <w:rFonts w:ascii="Sakkal Majalla" w:hAnsi="Sakkal Majalla" w:cs="Sakkal Majalla" w:hint="cs"/>
                <w:b/>
                <w:bCs/>
                <w:szCs w:val="20"/>
                <w:rtl/>
              </w:rPr>
              <w:t>تحسين كفاءة الرقابة الجمركية والحد من التهريب</w:t>
            </w:r>
          </w:p>
        </w:tc>
        <w:tc>
          <w:tcPr>
            <w:tcW w:w="990" w:type="dxa"/>
            <w:tcBorders>
              <w:top w:val="thinThickSmallGap" w:sz="24" w:space="0" w:color="auto"/>
              <w:bottom w:val="thinThickSmallGap" w:sz="24" w:space="0" w:color="auto"/>
            </w:tcBorders>
            <w:shd w:val="clear" w:color="auto" w:fill="D9D9D9" w:themeFill="background1" w:themeFillShade="D9"/>
          </w:tcPr>
          <w:p w14:paraId="4C073E7C" w14:textId="5A9EABF7"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تعزيز التكامل والشراكات الاستراتيجية</w:t>
            </w:r>
          </w:p>
        </w:tc>
        <w:tc>
          <w:tcPr>
            <w:tcW w:w="847" w:type="dxa"/>
            <w:tcBorders>
              <w:top w:val="thinThickSmallGap" w:sz="24" w:space="0" w:color="auto"/>
              <w:bottom w:val="thinThickSmallGap" w:sz="24" w:space="0" w:color="auto"/>
            </w:tcBorders>
            <w:shd w:val="clear" w:color="auto" w:fill="D9D9D9" w:themeFill="background1" w:themeFillShade="D9"/>
          </w:tcPr>
          <w:p w14:paraId="4CF508E4" w14:textId="059E9371"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البعد القانوني والسياسي</w:t>
            </w:r>
          </w:p>
        </w:tc>
        <w:tc>
          <w:tcPr>
            <w:tcW w:w="777" w:type="dxa"/>
            <w:tcBorders>
              <w:top w:val="thinThickSmallGap" w:sz="24" w:space="0" w:color="auto"/>
              <w:bottom w:val="thinThickSmallGap" w:sz="24" w:space="0" w:color="auto"/>
            </w:tcBorders>
            <w:shd w:val="clear" w:color="auto" w:fill="D9D9D9" w:themeFill="background1" w:themeFillShade="D9"/>
          </w:tcPr>
          <w:p w14:paraId="6F62F79B" w14:textId="28D71178" w:rsidR="007253C2" w:rsidRPr="007253C2" w:rsidRDefault="007253C2" w:rsidP="00E31804">
            <w:pPr>
              <w:spacing w:line="240" w:lineRule="auto"/>
              <w:rPr>
                <w:rFonts w:ascii="Sakkal Majalla" w:hAnsi="Sakkal Majalla" w:cs="Sakkal Majalla"/>
                <w:sz w:val="20"/>
                <w:szCs w:val="20"/>
              </w:rPr>
            </w:pPr>
            <w:r>
              <w:rPr>
                <w:rFonts w:ascii="Sakkal Majalla" w:hAnsi="Sakkal Majalla" w:cs="Sakkal Majalla" w:hint="cs"/>
                <w:b/>
                <w:bCs/>
                <w:szCs w:val="20"/>
                <w:rtl/>
              </w:rPr>
              <w:t>البعد الاجتماعي والثقافي</w:t>
            </w:r>
          </w:p>
        </w:tc>
        <w:tc>
          <w:tcPr>
            <w:tcW w:w="898" w:type="dxa"/>
            <w:tcBorders>
              <w:top w:val="thinThickSmallGap" w:sz="24" w:space="0" w:color="auto"/>
              <w:bottom w:val="thinThickSmallGap" w:sz="24" w:space="0" w:color="auto"/>
            </w:tcBorders>
            <w:shd w:val="clear" w:color="auto" w:fill="D9D9D9" w:themeFill="background1" w:themeFillShade="D9"/>
          </w:tcPr>
          <w:p w14:paraId="42C1DAE9" w14:textId="579F8E5C"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 xml:space="preserve">البعد الاقتصادي </w:t>
            </w:r>
          </w:p>
        </w:tc>
        <w:tc>
          <w:tcPr>
            <w:tcW w:w="869" w:type="dxa"/>
            <w:tcBorders>
              <w:top w:val="thinThickSmallGap" w:sz="24" w:space="0" w:color="auto"/>
              <w:bottom w:val="thinThickSmallGap" w:sz="24" w:space="0" w:color="auto"/>
            </w:tcBorders>
            <w:shd w:val="clear" w:color="auto" w:fill="D9D9D9" w:themeFill="background1" w:themeFillShade="D9"/>
          </w:tcPr>
          <w:p w14:paraId="4D836B4D" w14:textId="038E7A61"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البعد التكنولوجي</w:t>
            </w:r>
          </w:p>
        </w:tc>
        <w:tc>
          <w:tcPr>
            <w:tcW w:w="774" w:type="dxa"/>
            <w:tcBorders>
              <w:top w:val="thinThickSmallGap" w:sz="24" w:space="0" w:color="auto"/>
              <w:bottom w:val="thinThickSmallGap" w:sz="24" w:space="0" w:color="auto"/>
            </w:tcBorders>
            <w:shd w:val="clear" w:color="auto" w:fill="D9D9D9" w:themeFill="background1" w:themeFillShade="D9"/>
          </w:tcPr>
          <w:p w14:paraId="45B84433" w14:textId="0D8EE67A"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تقليل التهرب الضريبي وتعزيز الامتثال</w:t>
            </w:r>
          </w:p>
        </w:tc>
        <w:tc>
          <w:tcPr>
            <w:tcW w:w="605" w:type="dxa"/>
            <w:tcBorders>
              <w:top w:val="thinThickSmallGap" w:sz="24" w:space="0" w:color="auto"/>
              <w:bottom w:val="thinThickSmallGap" w:sz="24" w:space="0" w:color="auto"/>
            </w:tcBorders>
            <w:shd w:val="clear" w:color="auto" w:fill="D9D9D9" w:themeFill="background1" w:themeFillShade="D9"/>
          </w:tcPr>
          <w:p w14:paraId="491D24CE" w14:textId="6A9A0F56"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البعد البيئي</w:t>
            </w:r>
          </w:p>
        </w:tc>
      </w:tr>
      <w:tr w:rsidR="007253C2" w:rsidRPr="0043278C" w14:paraId="1631FBCB" w14:textId="77777777" w:rsidTr="007253C2">
        <w:trPr>
          <w:trHeight w:val="243"/>
        </w:trPr>
        <w:tc>
          <w:tcPr>
            <w:tcW w:w="10260" w:type="dxa"/>
            <w:gridSpan w:val="12"/>
            <w:tcBorders>
              <w:top w:val="thinThickSmallGap" w:sz="24" w:space="0" w:color="auto"/>
            </w:tcBorders>
          </w:tcPr>
          <w:p w14:paraId="218C15ED" w14:textId="01EC67D6"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المتغير التابع الرئيسي (تعزيز الأمن)</w:t>
            </w:r>
          </w:p>
        </w:tc>
      </w:tr>
      <w:tr w:rsidR="007253C2" w:rsidRPr="0043278C" w14:paraId="0B3C3487" w14:textId="7E19C93A" w:rsidTr="007253C2">
        <w:trPr>
          <w:trHeight w:val="243"/>
        </w:trPr>
        <w:tc>
          <w:tcPr>
            <w:tcW w:w="301" w:type="dxa"/>
            <w:tcBorders>
              <w:top w:val="thinThickSmallGap" w:sz="24" w:space="0" w:color="auto"/>
            </w:tcBorders>
          </w:tcPr>
          <w:p w14:paraId="4278308B"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1</w:t>
            </w:r>
          </w:p>
        </w:tc>
        <w:tc>
          <w:tcPr>
            <w:tcW w:w="1679" w:type="dxa"/>
            <w:tcBorders>
              <w:top w:val="thinThickSmallGap" w:sz="24" w:space="0" w:color="auto"/>
            </w:tcBorders>
          </w:tcPr>
          <w:p w14:paraId="17EB272E" w14:textId="73D0951A"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الأمن السيبراني وحماية البيانات</w:t>
            </w:r>
          </w:p>
        </w:tc>
        <w:tc>
          <w:tcPr>
            <w:tcW w:w="900" w:type="dxa"/>
            <w:tcBorders>
              <w:top w:val="thinThickSmallGap" w:sz="24" w:space="0" w:color="auto"/>
            </w:tcBorders>
            <w:shd w:val="clear" w:color="auto" w:fill="auto"/>
          </w:tcPr>
          <w:p w14:paraId="334ACBA8" w14:textId="77777777" w:rsidR="007253C2" w:rsidRPr="007253C2" w:rsidRDefault="007253C2" w:rsidP="00E31804">
            <w:pPr>
              <w:pStyle w:val="BlockText"/>
              <w:ind w:left="0"/>
              <w:jc w:val="center"/>
              <w:rPr>
                <w:rFonts w:ascii="Sakkal Majalla" w:hAnsi="Sakkal Majalla" w:cs="Sakkal Majalla"/>
                <w:b/>
                <w:bCs/>
                <w:szCs w:val="20"/>
              </w:rPr>
            </w:pPr>
            <w:r w:rsidRPr="007253C2">
              <w:rPr>
                <w:rFonts w:ascii="Sakkal Majalla" w:hAnsi="Sakkal Majalla" w:cs="Sakkal Majalla"/>
                <w:b/>
                <w:bCs/>
                <w:szCs w:val="20"/>
                <w:rtl/>
              </w:rPr>
              <w:t>0.634**</w:t>
            </w:r>
          </w:p>
        </w:tc>
        <w:tc>
          <w:tcPr>
            <w:tcW w:w="810" w:type="dxa"/>
            <w:tcBorders>
              <w:top w:val="thinThickSmallGap" w:sz="24" w:space="0" w:color="auto"/>
            </w:tcBorders>
            <w:shd w:val="clear" w:color="auto" w:fill="D9D9D9"/>
          </w:tcPr>
          <w:p w14:paraId="5773AB7F" w14:textId="77777777" w:rsidR="007253C2" w:rsidRPr="007253C2" w:rsidRDefault="007253C2" w:rsidP="00E31804">
            <w:pPr>
              <w:pStyle w:val="BlockText"/>
              <w:ind w:left="0"/>
              <w:jc w:val="center"/>
              <w:rPr>
                <w:rFonts w:ascii="Sakkal Majalla" w:hAnsi="Sakkal Majalla" w:cs="Sakkal Majalla"/>
                <w:szCs w:val="20"/>
              </w:rPr>
            </w:pPr>
          </w:p>
        </w:tc>
        <w:tc>
          <w:tcPr>
            <w:tcW w:w="810" w:type="dxa"/>
            <w:tcBorders>
              <w:top w:val="thinThickSmallGap" w:sz="24" w:space="0" w:color="auto"/>
            </w:tcBorders>
          </w:tcPr>
          <w:p w14:paraId="0B86FB36" w14:textId="77777777" w:rsidR="007253C2" w:rsidRPr="007253C2" w:rsidRDefault="007253C2" w:rsidP="00E31804">
            <w:pPr>
              <w:pStyle w:val="BlockText"/>
              <w:ind w:left="0"/>
              <w:jc w:val="center"/>
              <w:rPr>
                <w:rFonts w:ascii="Sakkal Majalla" w:hAnsi="Sakkal Majalla" w:cs="Sakkal Majalla"/>
                <w:szCs w:val="20"/>
                <w:rtl/>
              </w:rPr>
            </w:pPr>
          </w:p>
        </w:tc>
        <w:tc>
          <w:tcPr>
            <w:tcW w:w="990" w:type="dxa"/>
            <w:tcBorders>
              <w:top w:val="thinThickSmallGap" w:sz="24" w:space="0" w:color="auto"/>
            </w:tcBorders>
          </w:tcPr>
          <w:p w14:paraId="545FF273"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Borders>
              <w:top w:val="thinThickSmallGap" w:sz="24" w:space="0" w:color="auto"/>
            </w:tcBorders>
            <w:vAlign w:val="center"/>
          </w:tcPr>
          <w:p w14:paraId="7FE50994"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Borders>
              <w:top w:val="thinThickSmallGap" w:sz="24" w:space="0" w:color="auto"/>
            </w:tcBorders>
          </w:tcPr>
          <w:p w14:paraId="10AD70E0"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Borders>
              <w:top w:val="thinThickSmallGap" w:sz="24" w:space="0" w:color="auto"/>
            </w:tcBorders>
          </w:tcPr>
          <w:p w14:paraId="68CFE976"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top w:val="thinThickSmallGap" w:sz="24" w:space="0" w:color="auto"/>
            </w:tcBorders>
          </w:tcPr>
          <w:p w14:paraId="3E49A078"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top w:val="thinThickSmallGap" w:sz="24" w:space="0" w:color="auto"/>
            </w:tcBorders>
          </w:tcPr>
          <w:p w14:paraId="299DF2BD"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top w:val="thinThickSmallGap" w:sz="24" w:space="0" w:color="auto"/>
            </w:tcBorders>
          </w:tcPr>
          <w:p w14:paraId="2B75F9A7"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08823CCB" w14:textId="67F74FF6" w:rsidTr="007253C2">
        <w:tc>
          <w:tcPr>
            <w:tcW w:w="301" w:type="dxa"/>
          </w:tcPr>
          <w:p w14:paraId="1FB7DEA9"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2</w:t>
            </w:r>
          </w:p>
        </w:tc>
        <w:tc>
          <w:tcPr>
            <w:tcW w:w="1679" w:type="dxa"/>
          </w:tcPr>
          <w:p w14:paraId="6BE5B509" w14:textId="2430AAE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تحسين كفاءة الرقابة الجمركية والحد من التهريب</w:t>
            </w:r>
          </w:p>
        </w:tc>
        <w:tc>
          <w:tcPr>
            <w:tcW w:w="900" w:type="dxa"/>
          </w:tcPr>
          <w:p w14:paraId="665F0A96"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0.453**</w:t>
            </w:r>
          </w:p>
        </w:tc>
        <w:tc>
          <w:tcPr>
            <w:tcW w:w="810" w:type="dxa"/>
            <w:vAlign w:val="center"/>
          </w:tcPr>
          <w:p w14:paraId="6726011E" w14:textId="77777777" w:rsidR="007253C2" w:rsidRPr="007253C2" w:rsidRDefault="007253C2" w:rsidP="00E31804">
            <w:pPr>
              <w:pStyle w:val="BlockText"/>
              <w:ind w:left="0"/>
              <w:jc w:val="center"/>
              <w:rPr>
                <w:rFonts w:ascii="Sakkal Majalla" w:hAnsi="Sakkal Majalla" w:cs="Sakkal Majalla"/>
                <w:szCs w:val="20"/>
              </w:rPr>
            </w:pPr>
            <w:r w:rsidRPr="007253C2">
              <w:rPr>
                <w:rFonts w:ascii="Sakkal Majalla" w:hAnsi="Sakkal Majalla" w:cs="Sakkal Majalla"/>
                <w:szCs w:val="20"/>
                <w:rtl/>
              </w:rPr>
              <w:t>0.291**</w:t>
            </w:r>
          </w:p>
        </w:tc>
        <w:tc>
          <w:tcPr>
            <w:tcW w:w="810" w:type="dxa"/>
            <w:shd w:val="clear" w:color="auto" w:fill="D9D9D9"/>
          </w:tcPr>
          <w:p w14:paraId="3805D9EE" w14:textId="77777777" w:rsidR="007253C2" w:rsidRPr="007253C2" w:rsidRDefault="007253C2" w:rsidP="00E31804">
            <w:pPr>
              <w:pStyle w:val="BlockText"/>
              <w:ind w:left="0"/>
              <w:jc w:val="center"/>
              <w:rPr>
                <w:rFonts w:ascii="Sakkal Majalla" w:hAnsi="Sakkal Majalla" w:cs="Sakkal Majalla"/>
                <w:szCs w:val="20"/>
                <w:rtl/>
              </w:rPr>
            </w:pPr>
          </w:p>
        </w:tc>
        <w:tc>
          <w:tcPr>
            <w:tcW w:w="990" w:type="dxa"/>
          </w:tcPr>
          <w:p w14:paraId="538646DE"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Pr>
          <w:p w14:paraId="61599075"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4407C23A"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78B31038"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15C37779"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06CB0E0A"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36E64823"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7872CA78" w14:textId="3B6A2A87" w:rsidTr="007253C2">
        <w:tc>
          <w:tcPr>
            <w:tcW w:w="301" w:type="dxa"/>
          </w:tcPr>
          <w:p w14:paraId="0762E262"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3</w:t>
            </w:r>
          </w:p>
        </w:tc>
        <w:tc>
          <w:tcPr>
            <w:tcW w:w="1679" w:type="dxa"/>
          </w:tcPr>
          <w:p w14:paraId="77938AA3" w14:textId="75266C4B"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تعزيز التكامل والشراكات الاستراتيجية</w:t>
            </w:r>
          </w:p>
        </w:tc>
        <w:tc>
          <w:tcPr>
            <w:tcW w:w="900" w:type="dxa"/>
          </w:tcPr>
          <w:p w14:paraId="723A8287"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0.658**</w:t>
            </w:r>
          </w:p>
        </w:tc>
        <w:tc>
          <w:tcPr>
            <w:tcW w:w="810" w:type="dxa"/>
            <w:vAlign w:val="center"/>
          </w:tcPr>
          <w:p w14:paraId="49AE63DD"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0.347**</w:t>
            </w:r>
          </w:p>
        </w:tc>
        <w:tc>
          <w:tcPr>
            <w:tcW w:w="810" w:type="dxa"/>
          </w:tcPr>
          <w:p w14:paraId="4239E1A3"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0.287**</w:t>
            </w:r>
          </w:p>
        </w:tc>
        <w:tc>
          <w:tcPr>
            <w:tcW w:w="990" w:type="dxa"/>
            <w:shd w:val="clear" w:color="auto" w:fill="D9D9D9"/>
          </w:tcPr>
          <w:p w14:paraId="41920793"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Pr>
          <w:p w14:paraId="1A3978AF"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29D782BB"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4BBEF967"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72EE3F47"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38FE7683"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151552D7"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618A8BB4" w14:textId="6E17AE03" w:rsidTr="007253C2">
        <w:tc>
          <w:tcPr>
            <w:tcW w:w="301" w:type="dxa"/>
          </w:tcPr>
          <w:p w14:paraId="66CE4691"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4</w:t>
            </w:r>
          </w:p>
        </w:tc>
        <w:tc>
          <w:tcPr>
            <w:tcW w:w="1679" w:type="dxa"/>
          </w:tcPr>
          <w:p w14:paraId="127614F3" w14:textId="2D63E148"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القانوني والسياسي</w:t>
            </w:r>
          </w:p>
        </w:tc>
        <w:tc>
          <w:tcPr>
            <w:tcW w:w="900" w:type="dxa"/>
          </w:tcPr>
          <w:p w14:paraId="570E73CF"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0.737**</w:t>
            </w:r>
          </w:p>
        </w:tc>
        <w:tc>
          <w:tcPr>
            <w:tcW w:w="810" w:type="dxa"/>
            <w:vAlign w:val="center"/>
          </w:tcPr>
          <w:p w14:paraId="607DBB9E"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0.373**</w:t>
            </w:r>
          </w:p>
        </w:tc>
        <w:tc>
          <w:tcPr>
            <w:tcW w:w="810" w:type="dxa"/>
          </w:tcPr>
          <w:p w14:paraId="52937A0F"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0.348**</w:t>
            </w:r>
          </w:p>
        </w:tc>
        <w:tc>
          <w:tcPr>
            <w:tcW w:w="990" w:type="dxa"/>
          </w:tcPr>
          <w:p w14:paraId="7EBE6D3C"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0.495**</w:t>
            </w:r>
          </w:p>
        </w:tc>
        <w:tc>
          <w:tcPr>
            <w:tcW w:w="847" w:type="dxa"/>
            <w:shd w:val="clear" w:color="auto" w:fill="D9D9D9"/>
          </w:tcPr>
          <w:p w14:paraId="6A718431"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shd w:val="clear" w:color="auto" w:fill="auto"/>
          </w:tcPr>
          <w:p w14:paraId="1FE92D23"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shd w:val="clear" w:color="auto" w:fill="auto"/>
          </w:tcPr>
          <w:p w14:paraId="4F754951"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1D7B93DD"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28E458FB"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5B366AE6"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0DE893D0" w14:textId="51AFF1F7" w:rsidTr="007253C2">
        <w:tc>
          <w:tcPr>
            <w:tcW w:w="301" w:type="dxa"/>
            <w:tcBorders>
              <w:bottom w:val="thinThickSmallGap" w:sz="24" w:space="0" w:color="auto"/>
            </w:tcBorders>
          </w:tcPr>
          <w:p w14:paraId="1B1E6C15"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5</w:t>
            </w:r>
          </w:p>
        </w:tc>
        <w:tc>
          <w:tcPr>
            <w:tcW w:w="1679" w:type="dxa"/>
            <w:tcBorders>
              <w:bottom w:val="thinThickSmallGap" w:sz="24" w:space="0" w:color="auto"/>
            </w:tcBorders>
          </w:tcPr>
          <w:p w14:paraId="7925267C" w14:textId="5F7E577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الاجتماعي والثقافي</w:t>
            </w:r>
          </w:p>
        </w:tc>
        <w:tc>
          <w:tcPr>
            <w:tcW w:w="900" w:type="dxa"/>
            <w:tcBorders>
              <w:bottom w:val="thinThickSmallGap" w:sz="24" w:space="0" w:color="auto"/>
            </w:tcBorders>
          </w:tcPr>
          <w:p w14:paraId="2142607B"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0.743**</w:t>
            </w:r>
          </w:p>
        </w:tc>
        <w:tc>
          <w:tcPr>
            <w:tcW w:w="810" w:type="dxa"/>
            <w:tcBorders>
              <w:bottom w:val="thinThickSmallGap" w:sz="24" w:space="0" w:color="auto"/>
            </w:tcBorders>
            <w:vAlign w:val="center"/>
          </w:tcPr>
          <w:p w14:paraId="0A7C04DC"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0.354**</w:t>
            </w:r>
          </w:p>
        </w:tc>
        <w:tc>
          <w:tcPr>
            <w:tcW w:w="810" w:type="dxa"/>
            <w:tcBorders>
              <w:bottom w:val="thinThickSmallGap" w:sz="24" w:space="0" w:color="auto"/>
            </w:tcBorders>
          </w:tcPr>
          <w:p w14:paraId="52D32BE9"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0.253**</w:t>
            </w:r>
          </w:p>
        </w:tc>
        <w:tc>
          <w:tcPr>
            <w:tcW w:w="990" w:type="dxa"/>
            <w:tcBorders>
              <w:bottom w:val="thinThickSmallGap" w:sz="24" w:space="0" w:color="auto"/>
            </w:tcBorders>
            <w:shd w:val="clear" w:color="auto" w:fill="auto"/>
          </w:tcPr>
          <w:p w14:paraId="0A486822"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0.332**</w:t>
            </w:r>
          </w:p>
        </w:tc>
        <w:tc>
          <w:tcPr>
            <w:tcW w:w="847" w:type="dxa"/>
            <w:tcBorders>
              <w:bottom w:val="thinThickSmallGap" w:sz="24" w:space="0" w:color="auto"/>
            </w:tcBorders>
            <w:shd w:val="clear" w:color="auto" w:fill="auto"/>
          </w:tcPr>
          <w:p w14:paraId="16CF95B4"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0.416**</w:t>
            </w:r>
          </w:p>
        </w:tc>
        <w:tc>
          <w:tcPr>
            <w:tcW w:w="777" w:type="dxa"/>
            <w:tcBorders>
              <w:bottom w:val="thinThickSmallGap" w:sz="24" w:space="0" w:color="auto"/>
            </w:tcBorders>
            <w:shd w:val="clear" w:color="auto" w:fill="D9D9D9"/>
          </w:tcPr>
          <w:p w14:paraId="34AEDA75"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Borders>
              <w:bottom w:val="thinThickSmallGap" w:sz="24" w:space="0" w:color="auto"/>
            </w:tcBorders>
            <w:shd w:val="clear" w:color="auto" w:fill="auto"/>
          </w:tcPr>
          <w:p w14:paraId="32FF7998"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bottom w:val="thinThickSmallGap" w:sz="24" w:space="0" w:color="auto"/>
            </w:tcBorders>
          </w:tcPr>
          <w:p w14:paraId="65E26699"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bottom w:val="thinThickSmallGap" w:sz="24" w:space="0" w:color="auto"/>
            </w:tcBorders>
          </w:tcPr>
          <w:p w14:paraId="3986DB91"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bottom w:val="thinThickSmallGap" w:sz="24" w:space="0" w:color="auto"/>
            </w:tcBorders>
          </w:tcPr>
          <w:p w14:paraId="05A2174E"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4860D3AF" w14:textId="77777777" w:rsidTr="007253C2">
        <w:tc>
          <w:tcPr>
            <w:tcW w:w="10260" w:type="dxa"/>
            <w:gridSpan w:val="12"/>
            <w:tcBorders>
              <w:top w:val="thinThickSmallGap" w:sz="24" w:space="0" w:color="auto"/>
              <w:bottom w:val="thickThinSmallGap" w:sz="24" w:space="0" w:color="auto"/>
            </w:tcBorders>
          </w:tcPr>
          <w:p w14:paraId="74C51919" w14:textId="3CE38BD4"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hint="cs"/>
                <w:b/>
                <w:bCs/>
                <w:szCs w:val="20"/>
                <w:rtl/>
              </w:rPr>
              <w:t>المتغير التابع الرئيسي (</w:t>
            </w:r>
            <w:r>
              <w:rPr>
                <w:rFonts w:ascii="Sakkal Majalla" w:hAnsi="Sakkal Majalla" w:cs="Sakkal Majalla" w:hint="cs"/>
                <w:b/>
                <w:bCs/>
                <w:szCs w:val="20"/>
                <w:rtl/>
              </w:rPr>
              <w:t>تيسير التجارة</w:t>
            </w:r>
            <w:r w:rsidRPr="007253C2">
              <w:rPr>
                <w:rFonts w:ascii="Sakkal Majalla" w:hAnsi="Sakkal Majalla" w:cs="Sakkal Majalla" w:hint="cs"/>
                <w:b/>
                <w:bCs/>
                <w:szCs w:val="20"/>
                <w:rtl/>
              </w:rPr>
              <w:t>)</w:t>
            </w:r>
          </w:p>
        </w:tc>
      </w:tr>
      <w:tr w:rsidR="007253C2" w:rsidRPr="0043278C" w14:paraId="6DE97995" w14:textId="3664C5B5" w:rsidTr="007253C2">
        <w:tc>
          <w:tcPr>
            <w:tcW w:w="301" w:type="dxa"/>
            <w:tcBorders>
              <w:top w:val="thickThinSmallGap" w:sz="24" w:space="0" w:color="auto"/>
            </w:tcBorders>
          </w:tcPr>
          <w:p w14:paraId="2E7B5301"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6</w:t>
            </w:r>
          </w:p>
        </w:tc>
        <w:tc>
          <w:tcPr>
            <w:tcW w:w="1679" w:type="dxa"/>
            <w:tcBorders>
              <w:top w:val="thickThinSmallGap" w:sz="24" w:space="0" w:color="auto"/>
            </w:tcBorders>
          </w:tcPr>
          <w:p w14:paraId="4C2C08EE" w14:textId="5D2EBE5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 xml:space="preserve">البعد الاقتصادي </w:t>
            </w:r>
          </w:p>
        </w:tc>
        <w:tc>
          <w:tcPr>
            <w:tcW w:w="900" w:type="dxa"/>
            <w:tcBorders>
              <w:top w:val="thickThinSmallGap" w:sz="24" w:space="0" w:color="auto"/>
            </w:tcBorders>
          </w:tcPr>
          <w:p w14:paraId="505F7BCF"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0.484**</w:t>
            </w:r>
          </w:p>
        </w:tc>
        <w:tc>
          <w:tcPr>
            <w:tcW w:w="810" w:type="dxa"/>
            <w:tcBorders>
              <w:top w:val="thickThinSmallGap" w:sz="24" w:space="0" w:color="auto"/>
            </w:tcBorders>
            <w:vAlign w:val="center"/>
          </w:tcPr>
          <w:p w14:paraId="7A1D9CDF"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0.160**</w:t>
            </w:r>
          </w:p>
        </w:tc>
        <w:tc>
          <w:tcPr>
            <w:tcW w:w="810" w:type="dxa"/>
            <w:tcBorders>
              <w:top w:val="thickThinSmallGap" w:sz="24" w:space="0" w:color="auto"/>
            </w:tcBorders>
          </w:tcPr>
          <w:p w14:paraId="5D180DB2"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0.230**</w:t>
            </w:r>
          </w:p>
        </w:tc>
        <w:tc>
          <w:tcPr>
            <w:tcW w:w="990" w:type="dxa"/>
            <w:tcBorders>
              <w:top w:val="thickThinSmallGap" w:sz="24" w:space="0" w:color="auto"/>
            </w:tcBorders>
            <w:shd w:val="clear" w:color="auto" w:fill="auto"/>
          </w:tcPr>
          <w:p w14:paraId="7ED25B13"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0.111**</w:t>
            </w:r>
          </w:p>
        </w:tc>
        <w:tc>
          <w:tcPr>
            <w:tcW w:w="847" w:type="dxa"/>
            <w:tcBorders>
              <w:top w:val="thickThinSmallGap" w:sz="24" w:space="0" w:color="auto"/>
            </w:tcBorders>
            <w:shd w:val="clear" w:color="auto" w:fill="auto"/>
          </w:tcPr>
          <w:p w14:paraId="66FCD9F1"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0.484**</w:t>
            </w:r>
          </w:p>
        </w:tc>
        <w:tc>
          <w:tcPr>
            <w:tcW w:w="777" w:type="dxa"/>
            <w:tcBorders>
              <w:top w:val="thickThinSmallGap" w:sz="24" w:space="0" w:color="auto"/>
            </w:tcBorders>
            <w:shd w:val="clear" w:color="auto" w:fill="auto"/>
          </w:tcPr>
          <w:p w14:paraId="0D41DE14"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0.397**</w:t>
            </w:r>
          </w:p>
        </w:tc>
        <w:tc>
          <w:tcPr>
            <w:tcW w:w="898" w:type="dxa"/>
            <w:tcBorders>
              <w:top w:val="thickThinSmallGap" w:sz="24" w:space="0" w:color="auto"/>
            </w:tcBorders>
            <w:shd w:val="clear" w:color="auto" w:fill="D9D9D9"/>
          </w:tcPr>
          <w:p w14:paraId="32F14B7B"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top w:val="thickThinSmallGap" w:sz="24" w:space="0" w:color="auto"/>
            </w:tcBorders>
            <w:shd w:val="clear" w:color="auto" w:fill="auto"/>
          </w:tcPr>
          <w:p w14:paraId="53017756"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top w:val="thickThinSmallGap" w:sz="24" w:space="0" w:color="auto"/>
            </w:tcBorders>
            <w:shd w:val="clear" w:color="auto" w:fill="auto"/>
          </w:tcPr>
          <w:p w14:paraId="7A4BFC20"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top w:val="thickThinSmallGap" w:sz="24" w:space="0" w:color="auto"/>
            </w:tcBorders>
            <w:shd w:val="clear" w:color="auto" w:fill="auto"/>
          </w:tcPr>
          <w:p w14:paraId="50144851" w14:textId="77777777" w:rsidR="007253C2" w:rsidRPr="007253C2" w:rsidRDefault="007253C2" w:rsidP="00E31804">
            <w:pPr>
              <w:pStyle w:val="BlockText"/>
              <w:ind w:left="0"/>
              <w:jc w:val="center"/>
              <w:rPr>
                <w:rFonts w:ascii="Sakkal Majalla" w:hAnsi="Sakkal Majalla" w:cs="Sakkal Majalla"/>
                <w:szCs w:val="20"/>
                <w:rtl/>
              </w:rPr>
            </w:pPr>
          </w:p>
        </w:tc>
      </w:tr>
      <w:tr w:rsidR="00826260" w:rsidRPr="0043278C" w14:paraId="42BD8499" w14:textId="35272C75" w:rsidTr="007253C2">
        <w:tc>
          <w:tcPr>
            <w:tcW w:w="301" w:type="dxa"/>
          </w:tcPr>
          <w:p w14:paraId="78890B6B" w14:textId="033EA345"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7</w:t>
            </w:r>
          </w:p>
        </w:tc>
        <w:tc>
          <w:tcPr>
            <w:tcW w:w="1679" w:type="dxa"/>
          </w:tcPr>
          <w:p w14:paraId="3C880201" w14:textId="3C38AB58"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التكنولوجي</w:t>
            </w:r>
          </w:p>
        </w:tc>
        <w:tc>
          <w:tcPr>
            <w:tcW w:w="900" w:type="dxa"/>
          </w:tcPr>
          <w:p w14:paraId="48C1BD33" w14:textId="02173814"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w:t>
            </w:r>
            <w:r>
              <w:rPr>
                <w:rFonts w:ascii="Sakkal Majalla" w:hAnsi="Sakkal Majalla" w:cs="Sakkal Majalla" w:hint="cs"/>
                <w:b/>
                <w:bCs/>
                <w:szCs w:val="20"/>
                <w:rtl/>
              </w:rPr>
              <w:t>53</w:t>
            </w:r>
            <w:r w:rsidRPr="007253C2">
              <w:rPr>
                <w:rFonts w:ascii="Sakkal Majalla" w:hAnsi="Sakkal Majalla" w:cs="Sakkal Majalla"/>
                <w:b/>
                <w:bCs/>
                <w:szCs w:val="20"/>
                <w:rtl/>
              </w:rPr>
              <w:t>**</w:t>
            </w:r>
          </w:p>
        </w:tc>
        <w:tc>
          <w:tcPr>
            <w:tcW w:w="810" w:type="dxa"/>
            <w:vAlign w:val="center"/>
          </w:tcPr>
          <w:p w14:paraId="4B842964" w14:textId="3B8C4DDA"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60**</w:t>
            </w:r>
          </w:p>
        </w:tc>
        <w:tc>
          <w:tcPr>
            <w:tcW w:w="810" w:type="dxa"/>
          </w:tcPr>
          <w:p w14:paraId="2834AF55" w14:textId="2E44A17C"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435</w:t>
            </w:r>
            <w:r w:rsidRPr="007253C2">
              <w:rPr>
                <w:rFonts w:ascii="Sakkal Majalla" w:hAnsi="Sakkal Majalla" w:cs="Sakkal Majalla"/>
                <w:szCs w:val="20"/>
                <w:rtl/>
              </w:rPr>
              <w:t>**</w:t>
            </w:r>
          </w:p>
        </w:tc>
        <w:tc>
          <w:tcPr>
            <w:tcW w:w="990" w:type="dxa"/>
            <w:shd w:val="clear" w:color="auto" w:fill="auto"/>
          </w:tcPr>
          <w:p w14:paraId="083706BB" w14:textId="53C1F639"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342</w:t>
            </w:r>
            <w:r w:rsidRPr="007253C2">
              <w:rPr>
                <w:rFonts w:ascii="Sakkal Majalla" w:hAnsi="Sakkal Majalla" w:cs="Sakkal Majalla"/>
                <w:szCs w:val="20"/>
                <w:rtl/>
              </w:rPr>
              <w:t>**</w:t>
            </w:r>
          </w:p>
        </w:tc>
        <w:tc>
          <w:tcPr>
            <w:tcW w:w="847" w:type="dxa"/>
            <w:shd w:val="clear" w:color="auto" w:fill="auto"/>
          </w:tcPr>
          <w:p w14:paraId="4209E5E9" w14:textId="206BB7B6"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w:t>
            </w:r>
            <w:r>
              <w:rPr>
                <w:rFonts w:ascii="Sakkal Majalla" w:hAnsi="Sakkal Majalla" w:cs="Sakkal Majalla" w:hint="cs"/>
                <w:szCs w:val="20"/>
                <w:rtl/>
              </w:rPr>
              <w:t>55</w:t>
            </w:r>
            <w:r w:rsidRPr="007253C2">
              <w:rPr>
                <w:rFonts w:ascii="Sakkal Majalla" w:hAnsi="Sakkal Majalla" w:cs="Sakkal Majalla"/>
                <w:szCs w:val="20"/>
                <w:rtl/>
              </w:rPr>
              <w:t>**</w:t>
            </w:r>
          </w:p>
        </w:tc>
        <w:tc>
          <w:tcPr>
            <w:tcW w:w="777" w:type="dxa"/>
            <w:shd w:val="clear" w:color="auto" w:fill="auto"/>
          </w:tcPr>
          <w:p w14:paraId="10C5FB68" w14:textId="4C853B40"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w:t>
            </w:r>
            <w:r>
              <w:rPr>
                <w:rFonts w:ascii="Sakkal Majalla" w:hAnsi="Sakkal Majalla" w:cs="Sakkal Majalla" w:hint="cs"/>
                <w:szCs w:val="20"/>
                <w:rtl/>
              </w:rPr>
              <w:t>66</w:t>
            </w:r>
            <w:r w:rsidRPr="007253C2">
              <w:rPr>
                <w:rFonts w:ascii="Sakkal Majalla" w:hAnsi="Sakkal Majalla" w:cs="Sakkal Majalla"/>
                <w:szCs w:val="20"/>
                <w:rtl/>
              </w:rPr>
              <w:t>**</w:t>
            </w:r>
          </w:p>
        </w:tc>
        <w:tc>
          <w:tcPr>
            <w:tcW w:w="898" w:type="dxa"/>
            <w:shd w:val="clear" w:color="auto" w:fill="auto"/>
          </w:tcPr>
          <w:p w14:paraId="164A7D81" w14:textId="42B2E40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347</w:t>
            </w:r>
            <w:r w:rsidRPr="007253C2">
              <w:rPr>
                <w:rFonts w:ascii="Sakkal Majalla" w:hAnsi="Sakkal Majalla" w:cs="Sakkal Majalla"/>
                <w:szCs w:val="20"/>
                <w:rtl/>
              </w:rPr>
              <w:t>**</w:t>
            </w:r>
          </w:p>
        </w:tc>
        <w:tc>
          <w:tcPr>
            <w:tcW w:w="869" w:type="dxa"/>
            <w:shd w:val="clear" w:color="auto" w:fill="D9D9D9"/>
          </w:tcPr>
          <w:p w14:paraId="3AE166F6" w14:textId="77777777" w:rsidR="00826260" w:rsidRPr="007253C2" w:rsidRDefault="00826260" w:rsidP="00E31804">
            <w:pPr>
              <w:pStyle w:val="BlockText"/>
              <w:ind w:left="0"/>
              <w:jc w:val="center"/>
              <w:rPr>
                <w:rFonts w:ascii="Sakkal Majalla" w:hAnsi="Sakkal Majalla" w:cs="Sakkal Majalla"/>
                <w:szCs w:val="20"/>
                <w:rtl/>
              </w:rPr>
            </w:pPr>
          </w:p>
        </w:tc>
        <w:tc>
          <w:tcPr>
            <w:tcW w:w="774" w:type="dxa"/>
            <w:shd w:val="clear" w:color="auto" w:fill="auto"/>
          </w:tcPr>
          <w:p w14:paraId="7437B8C4" w14:textId="77777777" w:rsidR="00826260" w:rsidRPr="007253C2" w:rsidRDefault="00826260" w:rsidP="00E31804">
            <w:pPr>
              <w:pStyle w:val="BlockText"/>
              <w:ind w:left="0"/>
              <w:jc w:val="center"/>
              <w:rPr>
                <w:rFonts w:ascii="Sakkal Majalla" w:hAnsi="Sakkal Majalla" w:cs="Sakkal Majalla"/>
                <w:szCs w:val="20"/>
                <w:rtl/>
              </w:rPr>
            </w:pPr>
          </w:p>
        </w:tc>
        <w:tc>
          <w:tcPr>
            <w:tcW w:w="605" w:type="dxa"/>
            <w:shd w:val="clear" w:color="auto" w:fill="auto"/>
          </w:tcPr>
          <w:p w14:paraId="18B82966" w14:textId="77777777" w:rsidR="00826260" w:rsidRPr="007253C2" w:rsidRDefault="00826260" w:rsidP="00E31804">
            <w:pPr>
              <w:pStyle w:val="BlockText"/>
              <w:ind w:left="0"/>
              <w:jc w:val="center"/>
              <w:rPr>
                <w:rFonts w:ascii="Sakkal Majalla" w:hAnsi="Sakkal Majalla" w:cs="Sakkal Majalla"/>
                <w:szCs w:val="20"/>
                <w:rtl/>
              </w:rPr>
            </w:pPr>
          </w:p>
        </w:tc>
      </w:tr>
      <w:tr w:rsidR="00826260" w:rsidRPr="0043278C" w14:paraId="16F9BE55" w14:textId="6C18DAA2" w:rsidTr="00DE2065">
        <w:trPr>
          <w:trHeight w:val="255"/>
        </w:trPr>
        <w:tc>
          <w:tcPr>
            <w:tcW w:w="301" w:type="dxa"/>
          </w:tcPr>
          <w:p w14:paraId="7B94A70A" w14:textId="463EFAA2"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8</w:t>
            </w:r>
          </w:p>
        </w:tc>
        <w:tc>
          <w:tcPr>
            <w:tcW w:w="1679" w:type="dxa"/>
          </w:tcPr>
          <w:p w14:paraId="10D91316" w14:textId="40095C0A"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تقليل التهرب الضريبي وتعزيز الامتثال</w:t>
            </w:r>
          </w:p>
        </w:tc>
        <w:tc>
          <w:tcPr>
            <w:tcW w:w="900" w:type="dxa"/>
          </w:tcPr>
          <w:p w14:paraId="72BDEE8F" w14:textId="52E2ACCF"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w:t>
            </w:r>
            <w:r>
              <w:rPr>
                <w:rFonts w:ascii="Sakkal Majalla" w:hAnsi="Sakkal Majalla" w:cs="Sakkal Majalla" w:hint="cs"/>
                <w:b/>
                <w:bCs/>
                <w:szCs w:val="20"/>
                <w:rtl/>
              </w:rPr>
              <w:t>77</w:t>
            </w:r>
            <w:r w:rsidRPr="007253C2">
              <w:rPr>
                <w:rFonts w:ascii="Sakkal Majalla" w:hAnsi="Sakkal Majalla" w:cs="Sakkal Majalla"/>
                <w:b/>
                <w:bCs/>
                <w:szCs w:val="20"/>
                <w:rtl/>
              </w:rPr>
              <w:t>**</w:t>
            </w:r>
          </w:p>
        </w:tc>
        <w:tc>
          <w:tcPr>
            <w:tcW w:w="810" w:type="dxa"/>
            <w:vAlign w:val="center"/>
          </w:tcPr>
          <w:p w14:paraId="7B75CD4C" w14:textId="2F4F3742"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256</w:t>
            </w:r>
            <w:r w:rsidRPr="007253C2">
              <w:rPr>
                <w:rFonts w:ascii="Sakkal Majalla" w:hAnsi="Sakkal Majalla" w:cs="Sakkal Majalla"/>
                <w:szCs w:val="20"/>
                <w:rtl/>
              </w:rPr>
              <w:t>**</w:t>
            </w:r>
          </w:p>
        </w:tc>
        <w:tc>
          <w:tcPr>
            <w:tcW w:w="810" w:type="dxa"/>
          </w:tcPr>
          <w:p w14:paraId="7151C56E" w14:textId="4C11FB4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333</w:t>
            </w:r>
            <w:r w:rsidRPr="007253C2">
              <w:rPr>
                <w:rFonts w:ascii="Sakkal Majalla" w:hAnsi="Sakkal Majalla" w:cs="Sakkal Majalla"/>
                <w:szCs w:val="20"/>
                <w:rtl/>
              </w:rPr>
              <w:t>**</w:t>
            </w:r>
          </w:p>
        </w:tc>
        <w:tc>
          <w:tcPr>
            <w:tcW w:w="990" w:type="dxa"/>
            <w:shd w:val="clear" w:color="auto" w:fill="auto"/>
          </w:tcPr>
          <w:p w14:paraId="691011A8" w14:textId="275026D4"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321</w:t>
            </w:r>
            <w:r w:rsidRPr="007253C2">
              <w:rPr>
                <w:rFonts w:ascii="Sakkal Majalla" w:hAnsi="Sakkal Majalla" w:cs="Sakkal Majalla"/>
                <w:szCs w:val="20"/>
                <w:rtl/>
              </w:rPr>
              <w:t>**</w:t>
            </w:r>
          </w:p>
        </w:tc>
        <w:tc>
          <w:tcPr>
            <w:tcW w:w="847" w:type="dxa"/>
            <w:shd w:val="clear" w:color="auto" w:fill="auto"/>
          </w:tcPr>
          <w:p w14:paraId="28824E3F" w14:textId="04B7E548"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478</w:t>
            </w:r>
            <w:r w:rsidRPr="007253C2">
              <w:rPr>
                <w:rFonts w:ascii="Sakkal Majalla" w:hAnsi="Sakkal Majalla" w:cs="Sakkal Majalla"/>
                <w:szCs w:val="20"/>
                <w:rtl/>
              </w:rPr>
              <w:t>**</w:t>
            </w:r>
          </w:p>
        </w:tc>
        <w:tc>
          <w:tcPr>
            <w:tcW w:w="777" w:type="dxa"/>
            <w:shd w:val="clear" w:color="auto" w:fill="auto"/>
          </w:tcPr>
          <w:p w14:paraId="2A00962A" w14:textId="30AD40D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433</w:t>
            </w:r>
            <w:r w:rsidRPr="007253C2">
              <w:rPr>
                <w:rFonts w:ascii="Sakkal Majalla" w:hAnsi="Sakkal Majalla" w:cs="Sakkal Majalla"/>
                <w:szCs w:val="20"/>
                <w:rtl/>
              </w:rPr>
              <w:t>**</w:t>
            </w:r>
          </w:p>
        </w:tc>
        <w:tc>
          <w:tcPr>
            <w:tcW w:w="898" w:type="dxa"/>
            <w:shd w:val="clear" w:color="auto" w:fill="auto"/>
          </w:tcPr>
          <w:p w14:paraId="738D8379" w14:textId="57351E09"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435</w:t>
            </w:r>
            <w:r w:rsidRPr="007253C2">
              <w:rPr>
                <w:rFonts w:ascii="Sakkal Majalla" w:hAnsi="Sakkal Majalla" w:cs="Sakkal Majalla"/>
                <w:szCs w:val="20"/>
                <w:rtl/>
              </w:rPr>
              <w:t>**</w:t>
            </w:r>
          </w:p>
        </w:tc>
        <w:tc>
          <w:tcPr>
            <w:tcW w:w="869" w:type="dxa"/>
            <w:shd w:val="clear" w:color="auto" w:fill="auto"/>
          </w:tcPr>
          <w:p w14:paraId="10887BFB" w14:textId="456B027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30**</w:t>
            </w:r>
          </w:p>
        </w:tc>
        <w:tc>
          <w:tcPr>
            <w:tcW w:w="774" w:type="dxa"/>
            <w:shd w:val="clear" w:color="auto" w:fill="D9D9D9"/>
          </w:tcPr>
          <w:p w14:paraId="5F08FADD" w14:textId="77777777" w:rsidR="00826260" w:rsidRPr="007253C2" w:rsidRDefault="00826260" w:rsidP="00E31804">
            <w:pPr>
              <w:pStyle w:val="BlockText"/>
              <w:ind w:left="0"/>
              <w:jc w:val="center"/>
              <w:rPr>
                <w:rFonts w:ascii="Sakkal Majalla" w:hAnsi="Sakkal Majalla" w:cs="Sakkal Majalla"/>
                <w:szCs w:val="20"/>
                <w:rtl/>
              </w:rPr>
            </w:pPr>
          </w:p>
        </w:tc>
        <w:tc>
          <w:tcPr>
            <w:tcW w:w="605" w:type="dxa"/>
            <w:shd w:val="clear" w:color="auto" w:fill="auto"/>
          </w:tcPr>
          <w:p w14:paraId="768CD057" w14:textId="77777777" w:rsidR="00826260" w:rsidRPr="007253C2" w:rsidRDefault="00826260" w:rsidP="00E31804">
            <w:pPr>
              <w:pStyle w:val="BlockText"/>
              <w:ind w:left="0"/>
              <w:jc w:val="center"/>
              <w:rPr>
                <w:rFonts w:ascii="Sakkal Majalla" w:hAnsi="Sakkal Majalla" w:cs="Sakkal Majalla"/>
                <w:szCs w:val="20"/>
                <w:rtl/>
              </w:rPr>
            </w:pPr>
          </w:p>
        </w:tc>
      </w:tr>
      <w:tr w:rsidR="00826260" w:rsidRPr="0043278C" w14:paraId="24012527" w14:textId="13219491" w:rsidTr="00B86334">
        <w:tc>
          <w:tcPr>
            <w:tcW w:w="301" w:type="dxa"/>
          </w:tcPr>
          <w:p w14:paraId="060782A6" w14:textId="792205CB"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9</w:t>
            </w:r>
          </w:p>
        </w:tc>
        <w:tc>
          <w:tcPr>
            <w:tcW w:w="1679" w:type="dxa"/>
          </w:tcPr>
          <w:p w14:paraId="692BBD85" w14:textId="68A5A110"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البيئي</w:t>
            </w:r>
          </w:p>
        </w:tc>
        <w:tc>
          <w:tcPr>
            <w:tcW w:w="900" w:type="dxa"/>
          </w:tcPr>
          <w:p w14:paraId="4E127F64" w14:textId="413DBB94"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w:t>
            </w:r>
            <w:r>
              <w:rPr>
                <w:rFonts w:ascii="Sakkal Majalla" w:hAnsi="Sakkal Majalla" w:cs="Sakkal Majalla" w:hint="cs"/>
                <w:b/>
                <w:bCs/>
                <w:szCs w:val="20"/>
                <w:rtl/>
              </w:rPr>
              <w:t>5</w:t>
            </w:r>
            <w:r w:rsidRPr="007253C2">
              <w:rPr>
                <w:rFonts w:ascii="Sakkal Majalla" w:hAnsi="Sakkal Majalla" w:cs="Sakkal Majalla"/>
                <w:b/>
                <w:bCs/>
                <w:szCs w:val="20"/>
                <w:rtl/>
              </w:rPr>
              <w:t>58**</w:t>
            </w:r>
          </w:p>
        </w:tc>
        <w:tc>
          <w:tcPr>
            <w:tcW w:w="810" w:type="dxa"/>
            <w:vAlign w:val="center"/>
          </w:tcPr>
          <w:p w14:paraId="36AE04A2" w14:textId="6046FEBC"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235</w:t>
            </w:r>
            <w:r w:rsidRPr="007253C2">
              <w:rPr>
                <w:rFonts w:ascii="Sakkal Majalla" w:hAnsi="Sakkal Majalla" w:cs="Sakkal Majalla"/>
                <w:szCs w:val="20"/>
                <w:rtl/>
              </w:rPr>
              <w:t>**</w:t>
            </w:r>
          </w:p>
        </w:tc>
        <w:tc>
          <w:tcPr>
            <w:tcW w:w="810" w:type="dxa"/>
          </w:tcPr>
          <w:p w14:paraId="4CF48481" w14:textId="7A96A90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0.230**</w:t>
            </w:r>
          </w:p>
        </w:tc>
        <w:tc>
          <w:tcPr>
            <w:tcW w:w="990" w:type="dxa"/>
            <w:shd w:val="clear" w:color="auto" w:fill="auto"/>
          </w:tcPr>
          <w:p w14:paraId="5B8C37E8" w14:textId="7B7417CB"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w:t>
            </w:r>
            <w:r>
              <w:rPr>
                <w:rFonts w:ascii="Sakkal Majalla" w:hAnsi="Sakkal Majalla" w:cs="Sakkal Majalla" w:hint="cs"/>
                <w:szCs w:val="20"/>
                <w:rtl/>
              </w:rPr>
              <w:t>22</w:t>
            </w:r>
            <w:r w:rsidRPr="007253C2">
              <w:rPr>
                <w:rFonts w:ascii="Sakkal Majalla" w:hAnsi="Sakkal Majalla" w:cs="Sakkal Majalla"/>
                <w:szCs w:val="20"/>
                <w:rtl/>
              </w:rPr>
              <w:t>**</w:t>
            </w:r>
          </w:p>
        </w:tc>
        <w:tc>
          <w:tcPr>
            <w:tcW w:w="847" w:type="dxa"/>
            <w:shd w:val="clear" w:color="auto" w:fill="auto"/>
          </w:tcPr>
          <w:p w14:paraId="2D49A077" w14:textId="7FA82C22"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347</w:t>
            </w:r>
            <w:r w:rsidRPr="007253C2">
              <w:rPr>
                <w:rFonts w:ascii="Sakkal Majalla" w:hAnsi="Sakkal Majalla" w:cs="Sakkal Majalla"/>
                <w:szCs w:val="20"/>
                <w:rtl/>
              </w:rPr>
              <w:t>**</w:t>
            </w:r>
          </w:p>
        </w:tc>
        <w:tc>
          <w:tcPr>
            <w:tcW w:w="777" w:type="dxa"/>
            <w:shd w:val="clear" w:color="auto" w:fill="auto"/>
          </w:tcPr>
          <w:p w14:paraId="7C9DBF42" w14:textId="75C00066"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w:t>
            </w:r>
            <w:r>
              <w:rPr>
                <w:rFonts w:ascii="Sakkal Majalla" w:hAnsi="Sakkal Majalla" w:cs="Sakkal Majalla" w:hint="cs"/>
                <w:szCs w:val="20"/>
                <w:rtl/>
              </w:rPr>
              <w:t>44</w:t>
            </w:r>
            <w:r w:rsidRPr="007253C2">
              <w:rPr>
                <w:rFonts w:ascii="Sakkal Majalla" w:hAnsi="Sakkal Majalla" w:cs="Sakkal Majalla"/>
                <w:szCs w:val="20"/>
                <w:rtl/>
              </w:rPr>
              <w:t>**</w:t>
            </w:r>
          </w:p>
        </w:tc>
        <w:tc>
          <w:tcPr>
            <w:tcW w:w="898" w:type="dxa"/>
            <w:shd w:val="clear" w:color="auto" w:fill="auto"/>
            <w:vAlign w:val="center"/>
          </w:tcPr>
          <w:p w14:paraId="4ABF3280" w14:textId="37DFA5D8"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6</w:t>
            </w:r>
            <w:r>
              <w:rPr>
                <w:rFonts w:ascii="Sakkal Majalla" w:hAnsi="Sakkal Majalla" w:cs="Sakkal Majalla" w:hint="cs"/>
                <w:szCs w:val="20"/>
                <w:rtl/>
              </w:rPr>
              <w:t>6</w:t>
            </w:r>
            <w:r w:rsidRPr="007253C2">
              <w:rPr>
                <w:rFonts w:ascii="Sakkal Majalla" w:hAnsi="Sakkal Majalla" w:cs="Sakkal Majalla"/>
                <w:szCs w:val="20"/>
                <w:rtl/>
              </w:rPr>
              <w:t>**</w:t>
            </w:r>
          </w:p>
        </w:tc>
        <w:tc>
          <w:tcPr>
            <w:tcW w:w="869" w:type="dxa"/>
            <w:shd w:val="clear" w:color="auto" w:fill="auto"/>
          </w:tcPr>
          <w:p w14:paraId="0A4D3501" w14:textId="70098E0E"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255</w:t>
            </w:r>
            <w:r w:rsidRPr="007253C2">
              <w:rPr>
                <w:rFonts w:ascii="Sakkal Majalla" w:hAnsi="Sakkal Majalla" w:cs="Sakkal Majalla"/>
                <w:szCs w:val="20"/>
                <w:rtl/>
              </w:rPr>
              <w:t>**</w:t>
            </w:r>
          </w:p>
        </w:tc>
        <w:tc>
          <w:tcPr>
            <w:tcW w:w="774" w:type="dxa"/>
            <w:shd w:val="clear" w:color="auto" w:fill="auto"/>
          </w:tcPr>
          <w:p w14:paraId="4EF70EED" w14:textId="10A8BF3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351</w:t>
            </w:r>
            <w:r w:rsidRPr="007253C2">
              <w:rPr>
                <w:rFonts w:ascii="Sakkal Majalla" w:hAnsi="Sakkal Majalla" w:cs="Sakkal Majalla"/>
                <w:szCs w:val="20"/>
                <w:rtl/>
              </w:rPr>
              <w:t>**</w:t>
            </w:r>
          </w:p>
        </w:tc>
        <w:tc>
          <w:tcPr>
            <w:tcW w:w="605" w:type="dxa"/>
            <w:shd w:val="clear" w:color="auto" w:fill="D9D9D9"/>
          </w:tcPr>
          <w:p w14:paraId="77047056" w14:textId="77777777" w:rsidR="00826260" w:rsidRPr="007253C2" w:rsidRDefault="00826260" w:rsidP="00E31804">
            <w:pPr>
              <w:pStyle w:val="BlockText"/>
              <w:ind w:left="0"/>
              <w:jc w:val="center"/>
              <w:rPr>
                <w:rFonts w:ascii="Sakkal Majalla" w:hAnsi="Sakkal Majalla" w:cs="Sakkal Majalla"/>
                <w:szCs w:val="20"/>
                <w:rtl/>
              </w:rPr>
            </w:pPr>
          </w:p>
        </w:tc>
      </w:tr>
    </w:tbl>
    <w:p w14:paraId="30EA4968" w14:textId="77777777" w:rsidR="0043278C" w:rsidRPr="0043278C" w:rsidRDefault="0043278C" w:rsidP="00E31804">
      <w:pPr>
        <w:pStyle w:val="BlockText"/>
        <w:ind w:left="648"/>
        <w:jc w:val="lowKashida"/>
        <w:rPr>
          <w:rFonts w:ascii="Sakkal Majalla" w:hAnsi="Sakkal Majalla" w:cs="Sakkal Majalla"/>
          <w:i/>
          <w:iCs/>
          <w:sz w:val="28"/>
          <w:rtl/>
        </w:rPr>
      </w:pPr>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 دالة إحصائيا عند مستوى معنوية 0.01</w:t>
      </w:r>
    </w:p>
    <w:p w14:paraId="039D4B82" w14:textId="77777777"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يتضح من الجدول السابق رقم (3/16)  أن جميع معاملات الأرتباط بين المتغيرات التابعة الفرعية ببعضها</w:t>
      </w:r>
      <w:r w:rsidRPr="0043278C">
        <w:rPr>
          <w:rFonts w:ascii="Sakkal Majalla" w:hAnsi="Sakkal Majalla" w:cs="Sakkal Majalla"/>
          <w:sz w:val="28"/>
        </w:rPr>
        <w:t xml:space="preserve"> </w:t>
      </w:r>
      <w:r w:rsidRPr="0043278C">
        <w:rPr>
          <w:rFonts w:ascii="Sakkal Majalla" w:hAnsi="Sakkal Majalla" w:cs="Sakkal Majalla"/>
          <w:sz w:val="28"/>
          <w:rtl/>
        </w:rPr>
        <w:t>البعض قوية و فى أتجاه أيجابى ، و تراوحت قيم معاملات الأرتباط بين 0.484 و 0.743 ، و تدل</w:t>
      </w:r>
      <w:r w:rsidRPr="0043278C">
        <w:rPr>
          <w:rFonts w:ascii="Sakkal Majalla" w:hAnsi="Sakkal Majalla" w:cs="Sakkal Majalla"/>
          <w:sz w:val="28"/>
        </w:rPr>
        <w:t xml:space="preserve"> </w:t>
      </w:r>
      <w:r w:rsidRPr="0043278C">
        <w:rPr>
          <w:rFonts w:ascii="Sakkal Majalla" w:hAnsi="Sakkal Majalla" w:cs="Sakkal Majalla"/>
          <w:sz w:val="28"/>
          <w:rtl/>
        </w:rPr>
        <w:t>على وجود علاقة أرتباطية طردية قوية بين المتغيرات التابعة الفرعية مع المتغير المستقل الرئيسى للدراسة.</w:t>
      </w:r>
    </w:p>
    <w:p w14:paraId="44666277" w14:textId="77777777" w:rsidR="0043278C" w:rsidRPr="0043278C" w:rsidRDefault="0043278C" w:rsidP="00E31804">
      <w:pPr>
        <w:pStyle w:val="BlockText"/>
        <w:jc w:val="lowKashida"/>
        <w:rPr>
          <w:rFonts w:ascii="Sakkal Majalla" w:hAnsi="Sakkal Majalla" w:cs="Sakkal Majalla"/>
          <w:sz w:val="28"/>
          <w:rtl/>
          <w:lang w:bidi="ar-EG"/>
        </w:rPr>
      </w:pPr>
    </w:p>
    <w:p w14:paraId="26DC3777" w14:textId="77777777" w:rsidR="0043278C" w:rsidRPr="0043278C" w:rsidRDefault="0043278C" w:rsidP="00E31804">
      <w:pPr>
        <w:pStyle w:val="BlockText"/>
        <w:jc w:val="lowKashida"/>
        <w:rPr>
          <w:rFonts w:ascii="Sakkal Majalla" w:hAnsi="Sakkal Majalla" w:cs="Sakkal Majalla"/>
          <w:sz w:val="28"/>
          <w:rtl/>
          <w:lang w:bidi="ar-EG"/>
        </w:rPr>
      </w:pPr>
    </w:p>
    <w:p w14:paraId="6948879A" w14:textId="77777777" w:rsidR="0043278C" w:rsidRPr="0043278C" w:rsidRDefault="0043278C" w:rsidP="00E31804">
      <w:pPr>
        <w:pStyle w:val="BlockText"/>
        <w:jc w:val="lowKashida"/>
        <w:rPr>
          <w:rFonts w:ascii="Sakkal Majalla" w:hAnsi="Sakkal Majalla" w:cs="Sakkal Majalla"/>
          <w:sz w:val="28"/>
          <w:rtl/>
          <w:lang w:bidi="ar-EG"/>
        </w:rPr>
      </w:pPr>
    </w:p>
    <w:p w14:paraId="635167A7" w14:textId="565D85CB" w:rsidR="0043278C" w:rsidRPr="0043278C" w:rsidRDefault="0043278C" w:rsidP="00E31804">
      <w:pPr>
        <w:pStyle w:val="BlockText"/>
        <w:jc w:val="lowKashida"/>
        <w:rPr>
          <w:rFonts w:ascii="Sakkal Majalla" w:hAnsi="Sakkal Majalla" w:cs="Sakkal Majalla"/>
          <w:b/>
          <w:bCs/>
          <w:sz w:val="28"/>
        </w:rPr>
      </w:pPr>
      <w:r w:rsidRPr="0043278C">
        <w:rPr>
          <w:rFonts w:ascii="Sakkal Majalla" w:hAnsi="Sakkal Majalla" w:cs="Sakkal Majalla"/>
          <w:b/>
          <w:bCs/>
          <w:sz w:val="28"/>
          <w:rtl/>
        </w:rPr>
        <w:t>اختبار معنوية تأثير متغيرات البحث على المتغير التابع ، واختبار جودة النماذج باستخدام تحليل الانحدار الخطي البسيط و المتعدد :</w:t>
      </w:r>
    </w:p>
    <w:p w14:paraId="2285F81F" w14:textId="616A54D9" w:rsidR="0025587E"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بعد أن قام الباحث بحساب معاملات الارتباط بين المتغيرات المستقلة والمتغير التابع ، قام بإختبار جودة نموذج العلاقة بإستخدام أختبار (</w:t>
      </w:r>
      <w:r w:rsidRPr="0043278C">
        <w:rPr>
          <w:rFonts w:ascii="Sakkal Majalla" w:hAnsi="Sakkal Majalla" w:cs="Sakkal Majalla"/>
          <w:sz w:val="28"/>
        </w:rPr>
        <w:t>(F</w:t>
      </w:r>
      <w:r w:rsidRPr="0043278C">
        <w:rPr>
          <w:rFonts w:ascii="Sakkal Majalla" w:hAnsi="Sakkal Majalla" w:cs="Sakkal Majalla"/>
          <w:sz w:val="28"/>
          <w:rtl/>
        </w:rPr>
        <w:t xml:space="preserve"> ، ثم حساب النسبة التي يفسرها كل متغير في التغير الحاصل في </w:t>
      </w:r>
      <w:r w:rsidR="00937F1D">
        <w:rPr>
          <w:rFonts w:ascii="Sakkal Majalla" w:hAnsi="Sakkal Majalla" w:cs="Sakkal Majalla" w:hint="cs"/>
          <w:sz w:val="28"/>
          <w:rtl/>
          <w:lang w:bidi="ar-EG"/>
        </w:rPr>
        <w:t>تعزيز الأمن وتيسير التجارة</w:t>
      </w:r>
      <w:r w:rsidRPr="0043278C">
        <w:rPr>
          <w:rFonts w:ascii="Sakkal Majalla" w:hAnsi="Sakkal Majalla" w:cs="Sakkal Majalla"/>
          <w:sz w:val="28"/>
          <w:rtl/>
        </w:rPr>
        <w:t xml:space="preserve"> </w:t>
      </w:r>
      <w:r w:rsidRPr="0043278C">
        <w:rPr>
          <w:rFonts w:ascii="Sakkal Majalla" w:hAnsi="Sakkal Majalla" w:cs="Sakkal Majalla"/>
          <w:sz w:val="28"/>
          <w:rtl/>
        </w:rPr>
        <w:lastRenderedPageBreak/>
        <w:t>كمتغيرين تابعين رئيسيين، وذلك بأستخدام معامل التحديد (</w:t>
      </w:r>
      <w:r w:rsidRPr="0043278C">
        <w:rPr>
          <w:rFonts w:ascii="Sakkal Majalla" w:hAnsi="Sakkal Majalla" w:cs="Sakkal Majalla"/>
          <w:sz w:val="28"/>
        </w:rPr>
        <w:t>(R²</w:t>
      </w:r>
      <w:r w:rsidRPr="0043278C">
        <w:rPr>
          <w:rFonts w:ascii="Sakkal Majalla" w:hAnsi="Sakkal Majalla" w:cs="Sakkal Majalla"/>
          <w:sz w:val="28"/>
          <w:rtl/>
        </w:rPr>
        <w:t xml:space="preserve">  ، ثم تم التأكيد من معنوية تأثير هذه المتغيرات المستقلة على </w:t>
      </w:r>
      <w:r w:rsidR="00937F1D">
        <w:rPr>
          <w:rFonts w:ascii="Sakkal Majalla" w:hAnsi="Sakkal Majalla" w:cs="Sakkal Majalla" w:hint="cs"/>
          <w:sz w:val="28"/>
          <w:rtl/>
        </w:rPr>
        <w:t>المتغيرات التابعة</w:t>
      </w:r>
      <w:r w:rsidRPr="0043278C">
        <w:rPr>
          <w:rFonts w:ascii="Sakkal Majalla" w:hAnsi="Sakkal Majalla" w:cs="Sakkal Majalla"/>
          <w:sz w:val="28"/>
          <w:rtl/>
        </w:rPr>
        <w:t xml:space="preserve"> ، بإستخدام أختبار (</w:t>
      </w:r>
      <w:r w:rsidRPr="0043278C">
        <w:rPr>
          <w:rFonts w:ascii="Sakkal Majalla" w:hAnsi="Sakkal Majalla" w:cs="Sakkal Majalla"/>
          <w:sz w:val="28"/>
        </w:rPr>
        <w:t>T –test</w:t>
      </w:r>
      <w:r w:rsidRPr="0043278C">
        <w:rPr>
          <w:rFonts w:ascii="Sakkal Majalla" w:hAnsi="Sakkal Majalla" w:cs="Sakkal Majalla"/>
          <w:sz w:val="28"/>
          <w:rtl/>
        </w:rPr>
        <w:t>)  ، وذلك يتضح فيما يلي :</w:t>
      </w:r>
    </w:p>
    <w:p w14:paraId="082AFCF5" w14:textId="088C844C" w:rsidR="0043278C" w:rsidRPr="0043278C" w:rsidRDefault="0043278C"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sidR="00D30336">
        <w:rPr>
          <w:rFonts w:ascii="Sakkal Majalla" w:hAnsi="Sakkal Majalla" w:cs="Sakkal Majalla" w:hint="cs"/>
          <w:sz w:val="28"/>
          <w:rtl/>
        </w:rPr>
        <w:t>الثلاثة</w:t>
      </w:r>
      <w:r w:rsidRPr="0043278C">
        <w:rPr>
          <w:rFonts w:ascii="Sakkal Majalla" w:hAnsi="Sakkal Majalla" w:cs="Sakkal Majalla"/>
          <w:sz w:val="28"/>
          <w:rtl/>
        </w:rPr>
        <w:t xml:space="preserve"> </w:t>
      </w:r>
      <w:r w:rsidR="00D30336">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0025587E" w:rsidRPr="0025587E">
        <w:rPr>
          <w:rFonts w:ascii="Sakkal Majalla" w:hAnsi="Sakkal Majalla" w:cs="Sakkal Majalla" w:hint="cs"/>
          <w:sz w:val="28"/>
          <w:rtl/>
        </w:rPr>
        <w:t>الأمن السيبراني وحماية البيانات</w:t>
      </w:r>
      <w:r w:rsidRPr="0043278C">
        <w:rPr>
          <w:rFonts w:ascii="Sakkal Majalla" w:hAnsi="Sakkal Majalla" w:cs="Sakkal Majalla"/>
          <w:sz w:val="28"/>
          <w:rtl/>
        </w:rPr>
        <w:t>" من المتغير التابع الرئيسي (</w:t>
      </w:r>
      <w:r w:rsidR="00D30336">
        <w:rPr>
          <w:rFonts w:ascii="Sakkal Majalla" w:hAnsi="Sakkal Majalla" w:cs="Sakkal Majalla" w:hint="cs"/>
          <w:sz w:val="28"/>
          <w:rtl/>
        </w:rPr>
        <w:t>تعزيز الأمن</w:t>
      </w:r>
      <w:r w:rsidRPr="0043278C">
        <w:rPr>
          <w:rFonts w:ascii="Sakkal Majalla" w:hAnsi="Sakkal Majalla" w:cs="Sakkal Majalla"/>
          <w:sz w:val="28"/>
          <w:rtl/>
        </w:rPr>
        <w:t>).</w:t>
      </w:r>
    </w:p>
    <w:p w14:paraId="03263511" w14:textId="3F8FB2CA" w:rsidR="0025587E" w:rsidRPr="0043278C"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25587E" w:rsidRPr="0025587E">
        <w:rPr>
          <w:rFonts w:ascii="Sakkal Majalla" w:hAnsi="Sakkal Majalla" w:cs="Sakkal Majalla"/>
          <w:sz w:val="28"/>
          <w:rtl/>
        </w:rPr>
        <w:t>تحسين كفاءة الرقابة الجمركية والحد من التهريب</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339A76E3" w14:textId="59E85A34" w:rsidR="0025587E" w:rsidRPr="0043278C"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25587E" w:rsidRPr="0025587E">
        <w:rPr>
          <w:rFonts w:ascii="Sakkal Majalla" w:hAnsi="Sakkal Majalla" w:cs="Sakkal Majalla"/>
          <w:sz w:val="28"/>
          <w:rtl/>
        </w:rPr>
        <w:t>تعزيز التكامل والشراكات الاستراتيجية</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76B2C438" w14:textId="1EAEE9FB" w:rsidR="0025587E" w:rsidRPr="0043278C"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937F1D" w:rsidRPr="00937F1D">
        <w:rPr>
          <w:rFonts w:ascii="Sakkal Majalla" w:hAnsi="Sakkal Majalla" w:cs="Sakkal Majalla"/>
          <w:sz w:val="28"/>
          <w:rtl/>
        </w:rPr>
        <w:t>البعد القانوني والسياسي</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6D4F1356" w14:textId="6687023E" w:rsidR="0043278C" w:rsidRPr="0025587E"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937F1D" w:rsidRPr="00937F1D">
        <w:rPr>
          <w:rFonts w:ascii="Sakkal Majalla" w:hAnsi="Sakkal Majalla" w:cs="Sakkal Majalla"/>
          <w:sz w:val="28"/>
          <w:rtl/>
        </w:rPr>
        <w:t>البعد الاجتماعي والثقافي</w:t>
      </w:r>
      <w:r w:rsidRPr="0025587E">
        <w:rPr>
          <w:rFonts w:ascii="Sakkal Majalla" w:hAnsi="Sakkal Majalla" w:cs="Sakkal Majalla"/>
          <w:sz w:val="28"/>
          <w:rtl/>
        </w:rPr>
        <w:t>" من المتغير التابع الرئيسي (</w:t>
      </w:r>
      <w:r w:rsidR="00937F1D">
        <w:rPr>
          <w:rFonts w:ascii="Sakkal Majalla" w:hAnsi="Sakkal Majalla" w:cs="Sakkal Majalla" w:hint="cs"/>
          <w:sz w:val="28"/>
          <w:rtl/>
        </w:rPr>
        <w:t>تعزيز الأمن</w:t>
      </w:r>
      <w:r w:rsidRPr="0025587E">
        <w:rPr>
          <w:rFonts w:ascii="Sakkal Majalla" w:hAnsi="Sakkal Majalla" w:cs="Sakkal Majalla"/>
          <w:sz w:val="28"/>
          <w:rtl/>
        </w:rPr>
        <w:t>).</w:t>
      </w:r>
    </w:p>
    <w:p w14:paraId="0DA5C9C6" w14:textId="2FA8F1EE" w:rsidR="0043278C" w:rsidRDefault="0043278C"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sidR="00D30336">
        <w:rPr>
          <w:rFonts w:ascii="Sakkal Majalla" w:hAnsi="Sakkal Majalla" w:cs="Sakkal Majalla" w:hint="cs"/>
          <w:sz w:val="28"/>
          <w:rtl/>
        </w:rPr>
        <w:t>الثلاثة</w:t>
      </w:r>
      <w:r w:rsidR="00D30336" w:rsidRPr="0043278C">
        <w:rPr>
          <w:rFonts w:ascii="Sakkal Majalla" w:hAnsi="Sakkal Majalla" w:cs="Sakkal Majalla"/>
          <w:sz w:val="28"/>
          <w:rtl/>
        </w:rPr>
        <w:t xml:space="preserve"> </w:t>
      </w:r>
      <w:r w:rsidR="00D30336">
        <w:rPr>
          <w:rFonts w:ascii="Sakkal Majalla" w:hAnsi="Sakkal Majalla" w:cs="Sakkal Majalla" w:hint="cs"/>
          <w:sz w:val="28"/>
          <w:rtl/>
        </w:rPr>
        <w:t>للتحول الرقمي</w:t>
      </w:r>
      <w:r w:rsidR="00D30336" w:rsidRPr="0043278C">
        <w:rPr>
          <w:rFonts w:ascii="Sakkal Majalla" w:hAnsi="Sakkal Majalla" w:cs="Sakkal Majalla"/>
          <w:sz w:val="28"/>
          <w:rtl/>
        </w:rPr>
        <w:t xml:space="preserve"> </w:t>
      </w:r>
      <w:r w:rsidRPr="0043278C">
        <w:rPr>
          <w:rFonts w:ascii="Sakkal Majalla" w:hAnsi="Sakkal Majalla" w:cs="Sakkal Majalla"/>
          <w:sz w:val="28"/>
          <w:rtl/>
        </w:rPr>
        <w:t>والبعد الفرعي "</w:t>
      </w:r>
      <w:r w:rsidR="00937F1D" w:rsidRPr="00937F1D">
        <w:rPr>
          <w:rFonts w:ascii="Sakkal Majalla" w:hAnsi="Sakkal Majalla" w:cs="Sakkal Majalla"/>
          <w:sz w:val="28"/>
          <w:rtl/>
        </w:rPr>
        <w:t xml:space="preserve">البعد الاقتصادي </w:t>
      </w:r>
      <w:r w:rsidRPr="0043278C">
        <w:rPr>
          <w:rFonts w:ascii="Sakkal Majalla" w:hAnsi="Sakkal Majalla" w:cs="Sakkal Majalla"/>
          <w:sz w:val="28"/>
          <w:rtl/>
        </w:rPr>
        <w:t>" من المتغير التابع الرئيسي (</w:t>
      </w:r>
      <w:r w:rsidR="0025587E">
        <w:rPr>
          <w:rFonts w:ascii="Sakkal Majalla" w:hAnsi="Sakkal Majalla" w:cs="Sakkal Majalla" w:hint="cs"/>
          <w:sz w:val="28"/>
          <w:rtl/>
        </w:rPr>
        <w:t>تيسير التجارة</w:t>
      </w:r>
      <w:r w:rsidRPr="0043278C">
        <w:rPr>
          <w:rFonts w:ascii="Sakkal Majalla" w:hAnsi="Sakkal Majalla" w:cs="Sakkal Majalla"/>
          <w:sz w:val="28"/>
          <w:rtl/>
        </w:rPr>
        <w:t>).</w:t>
      </w:r>
    </w:p>
    <w:p w14:paraId="4B03B183" w14:textId="4B197295" w:rsidR="00937F1D" w:rsidRDefault="00937F1D"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البعد التكنولوجي</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67BDD2EB" w14:textId="125154A7" w:rsidR="00937F1D" w:rsidRDefault="00937F1D"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تقليل التهرب الضريبي وتعزيز الامتثال</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78516386" w14:textId="72A98DA1" w:rsidR="00937F1D" w:rsidRDefault="00937F1D"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البعد البيئي</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4ACD0B69" w14:textId="77777777" w:rsidR="00680BE4" w:rsidRDefault="00680BE4" w:rsidP="00E31804">
      <w:pPr>
        <w:pStyle w:val="BlockText"/>
        <w:jc w:val="lowKashida"/>
        <w:rPr>
          <w:rFonts w:ascii="Sakkal Majalla" w:hAnsi="Sakkal Majalla" w:cs="Sakkal Majalla"/>
          <w:b/>
          <w:bCs/>
          <w:sz w:val="28"/>
          <w:rtl/>
          <w:lang w:bidi="ar-EG"/>
        </w:rPr>
      </w:pPr>
    </w:p>
    <w:p w14:paraId="017F33DD" w14:textId="77777777" w:rsidR="00680BE4" w:rsidRDefault="00680BE4" w:rsidP="00E31804">
      <w:pPr>
        <w:pStyle w:val="BlockText"/>
        <w:jc w:val="lowKashida"/>
        <w:rPr>
          <w:rFonts w:ascii="Sakkal Majalla" w:hAnsi="Sakkal Majalla" w:cs="Sakkal Majalla"/>
          <w:b/>
          <w:bCs/>
          <w:sz w:val="28"/>
          <w:rtl/>
          <w:lang w:bidi="ar-EG"/>
        </w:rPr>
      </w:pPr>
    </w:p>
    <w:p w14:paraId="6B077AC0" w14:textId="77777777" w:rsidR="00680BE4" w:rsidRDefault="00680BE4" w:rsidP="00E31804">
      <w:pPr>
        <w:pStyle w:val="BlockText"/>
        <w:jc w:val="lowKashida"/>
        <w:rPr>
          <w:rFonts w:ascii="Sakkal Majalla" w:hAnsi="Sakkal Majalla" w:cs="Sakkal Majalla"/>
          <w:b/>
          <w:bCs/>
          <w:sz w:val="28"/>
          <w:rtl/>
          <w:lang w:bidi="ar-EG"/>
        </w:rPr>
      </w:pPr>
    </w:p>
    <w:p w14:paraId="3FA557D6" w14:textId="77777777" w:rsidR="00680BE4" w:rsidRDefault="00680BE4" w:rsidP="00E31804">
      <w:pPr>
        <w:pStyle w:val="BlockText"/>
        <w:jc w:val="lowKashida"/>
        <w:rPr>
          <w:rFonts w:ascii="Sakkal Majalla" w:hAnsi="Sakkal Majalla" w:cs="Sakkal Majalla"/>
          <w:b/>
          <w:bCs/>
          <w:sz w:val="28"/>
          <w:rtl/>
          <w:lang w:bidi="ar-EG"/>
        </w:rPr>
      </w:pPr>
    </w:p>
    <w:p w14:paraId="0D8D5BEA" w14:textId="77777777" w:rsidR="00E31804" w:rsidRDefault="00E31804" w:rsidP="00E31804">
      <w:pPr>
        <w:pStyle w:val="BlockText"/>
        <w:jc w:val="lowKashida"/>
        <w:rPr>
          <w:rFonts w:ascii="Sakkal Majalla" w:hAnsi="Sakkal Majalla" w:cs="Sakkal Majalla"/>
          <w:b/>
          <w:bCs/>
          <w:sz w:val="28"/>
          <w:rtl/>
          <w:lang w:bidi="ar-EG"/>
        </w:rPr>
      </w:pPr>
    </w:p>
    <w:p w14:paraId="79C56D4F" w14:textId="77777777" w:rsidR="00E31804" w:rsidRDefault="00E31804" w:rsidP="00E31804">
      <w:pPr>
        <w:pStyle w:val="BlockText"/>
        <w:jc w:val="lowKashida"/>
        <w:rPr>
          <w:rFonts w:ascii="Sakkal Majalla" w:hAnsi="Sakkal Majalla" w:cs="Sakkal Majalla"/>
          <w:b/>
          <w:bCs/>
          <w:sz w:val="28"/>
          <w:rtl/>
          <w:lang w:bidi="ar-EG"/>
        </w:rPr>
      </w:pPr>
    </w:p>
    <w:p w14:paraId="553B0529" w14:textId="77777777" w:rsidR="00E31804" w:rsidRDefault="00E31804" w:rsidP="00E31804">
      <w:pPr>
        <w:pStyle w:val="BlockText"/>
        <w:jc w:val="lowKashida"/>
        <w:rPr>
          <w:rFonts w:ascii="Sakkal Majalla" w:hAnsi="Sakkal Majalla" w:cs="Sakkal Majalla"/>
          <w:b/>
          <w:bCs/>
          <w:sz w:val="28"/>
          <w:rtl/>
          <w:lang w:bidi="ar-EG"/>
        </w:rPr>
      </w:pPr>
    </w:p>
    <w:p w14:paraId="7A865F94" w14:textId="77777777" w:rsidR="00E31804" w:rsidRDefault="00E31804" w:rsidP="00E31804">
      <w:pPr>
        <w:pStyle w:val="BlockText"/>
        <w:jc w:val="lowKashida"/>
        <w:rPr>
          <w:rFonts w:ascii="Sakkal Majalla" w:hAnsi="Sakkal Majalla" w:cs="Sakkal Majalla"/>
          <w:b/>
          <w:bCs/>
          <w:sz w:val="28"/>
          <w:rtl/>
          <w:lang w:bidi="ar-EG"/>
        </w:rPr>
      </w:pPr>
    </w:p>
    <w:p w14:paraId="7905C35B" w14:textId="77777777" w:rsidR="00E31804" w:rsidRDefault="00E31804" w:rsidP="00E31804">
      <w:pPr>
        <w:pStyle w:val="BlockText"/>
        <w:jc w:val="lowKashida"/>
        <w:rPr>
          <w:rFonts w:ascii="Sakkal Majalla" w:hAnsi="Sakkal Majalla" w:cs="Sakkal Majalla"/>
          <w:b/>
          <w:bCs/>
          <w:sz w:val="28"/>
          <w:rtl/>
          <w:lang w:bidi="ar-EG"/>
        </w:rPr>
      </w:pPr>
    </w:p>
    <w:p w14:paraId="2B7BCDC6" w14:textId="77777777" w:rsidR="00E31804" w:rsidRDefault="00E31804" w:rsidP="00E31804">
      <w:pPr>
        <w:pStyle w:val="BlockText"/>
        <w:jc w:val="lowKashida"/>
        <w:rPr>
          <w:rFonts w:ascii="Sakkal Majalla" w:hAnsi="Sakkal Majalla" w:cs="Sakkal Majalla"/>
          <w:b/>
          <w:bCs/>
          <w:sz w:val="28"/>
          <w:rtl/>
          <w:lang w:bidi="ar-EG"/>
        </w:rPr>
      </w:pPr>
    </w:p>
    <w:p w14:paraId="47159B2B" w14:textId="77777777" w:rsidR="00E31804" w:rsidRDefault="00E31804" w:rsidP="00E31804">
      <w:pPr>
        <w:pStyle w:val="BlockText"/>
        <w:jc w:val="lowKashida"/>
        <w:rPr>
          <w:rFonts w:ascii="Sakkal Majalla" w:hAnsi="Sakkal Majalla" w:cs="Sakkal Majalla"/>
          <w:b/>
          <w:bCs/>
          <w:sz w:val="28"/>
          <w:rtl/>
          <w:lang w:bidi="ar-EG"/>
        </w:rPr>
      </w:pPr>
    </w:p>
    <w:p w14:paraId="383520B1" w14:textId="77777777" w:rsidR="00E31804" w:rsidRDefault="00E31804" w:rsidP="00E31804">
      <w:pPr>
        <w:pStyle w:val="BlockText"/>
        <w:jc w:val="lowKashida"/>
        <w:rPr>
          <w:rFonts w:ascii="Sakkal Majalla" w:hAnsi="Sakkal Majalla" w:cs="Sakkal Majalla"/>
          <w:b/>
          <w:bCs/>
          <w:sz w:val="28"/>
          <w:rtl/>
          <w:lang w:bidi="ar-EG"/>
        </w:rPr>
      </w:pPr>
    </w:p>
    <w:p w14:paraId="17DBB9E2" w14:textId="77777777" w:rsidR="00680BE4" w:rsidRDefault="00680BE4" w:rsidP="00E31804">
      <w:pPr>
        <w:pStyle w:val="BlockText"/>
        <w:jc w:val="lowKashida"/>
        <w:rPr>
          <w:rFonts w:ascii="Sakkal Majalla" w:hAnsi="Sakkal Majalla" w:cs="Sakkal Majalla"/>
          <w:b/>
          <w:bCs/>
          <w:sz w:val="28"/>
          <w:rtl/>
          <w:lang w:bidi="ar-EG"/>
        </w:rPr>
      </w:pPr>
    </w:p>
    <w:p w14:paraId="2C3A6A67" w14:textId="6376C800"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أختبار الفرض الأول</w:t>
      </w:r>
      <w:r w:rsidRPr="0043278C">
        <w:rPr>
          <w:rFonts w:ascii="Sakkal Majalla" w:hAnsi="Sakkal Majalla" w:cs="Sakkal Majalla"/>
          <w:b/>
          <w:bCs/>
          <w:sz w:val="28"/>
          <w:lang w:bidi="ar-EG"/>
        </w:rPr>
        <w:t xml:space="preserve"> : </w:t>
      </w:r>
    </w:p>
    <w:p w14:paraId="5810B11B" w14:textId="65B06E1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 توجد علاقة جوهرية بين </w:t>
      </w:r>
      <w:r w:rsidR="00680BE4">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w:t>
      </w:r>
      <w:r w:rsidR="00680BE4" w:rsidRPr="00680BE4">
        <w:rPr>
          <w:rFonts w:ascii="Sakkal Majalla" w:hAnsi="Sakkal Majalla" w:cs="Sakkal Majalla"/>
          <w:b/>
          <w:bCs/>
          <w:sz w:val="28"/>
          <w:rtl/>
          <w:lang w:bidi="ar-EG"/>
        </w:rPr>
        <w:t xml:space="preserve">الأمن السيبراني وحماية البيانات </w:t>
      </w:r>
      <w:r w:rsidRPr="0043278C">
        <w:rPr>
          <w:rFonts w:ascii="Sakkal Majalla" w:hAnsi="Sakkal Majalla" w:cs="Sakkal Majalla"/>
          <w:b/>
          <w:bCs/>
          <w:sz w:val="28"/>
          <w:rtl/>
          <w:lang w:bidi="ar-EG"/>
        </w:rPr>
        <w:t>"</w:t>
      </w:r>
    </w:p>
    <w:p w14:paraId="136741C9"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ولاختبار وجود هذا الارتباط تم استخدام اختبار بيرسون، كما موضح بالجدول التالي :</w:t>
      </w:r>
    </w:p>
    <w:p w14:paraId="7B5381D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 /17) نتائج اختبار بيرسون لاختبار الارتباط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3EE2F5D4" w14:textId="77777777" w:rsidTr="00851341">
        <w:trPr>
          <w:jc w:val="center"/>
        </w:trPr>
        <w:tc>
          <w:tcPr>
            <w:tcW w:w="0" w:type="auto"/>
            <w:tcBorders>
              <w:top w:val="thickThinSmallGap" w:sz="24" w:space="0" w:color="auto"/>
              <w:bottom w:val="thickThinSmallGap" w:sz="24" w:space="0" w:color="auto"/>
            </w:tcBorders>
            <w:shd w:val="pct12" w:color="auto" w:fill="auto"/>
          </w:tcPr>
          <w:p w14:paraId="4DA96D2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77CC31D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FA242A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6448B6DB" w14:textId="77777777" w:rsidTr="00851341">
        <w:trPr>
          <w:jc w:val="center"/>
        </w:trPr>
        <w:tc>
          <w:tcPr>
            <w:tcW w:w="0" w:type="auto"/>
            <w:tcBorders>
              <w:top w:val="thickThinSmallGap" w:sz="24" w:space="0" w:color="auto"/>
            </w:tcBorders>
          </w:tcPr>
          <w:p w14:paraId="23FD89A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0.412</w:t>
            </w:r>
          </w:p>
        </w:tc>
        <w:tc>
          <w:tcPr>
            <w:tcW w:w="0" w:type="auto"/>
            <w:tcBorders>
              <w:top w:val="thickThinSmallGap" w:sz="24" w:space="0" w:color="auto"/>
            </w:tcBorders>
          </w:tcPr>
          <w:p w14:paraId="50978C8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0F64F2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ارتباط معنوى متوسط</w:t>
            </w:r>
          </w:p>
        </w:tc>
      </w:tr>
    </w:tbl>
    <w:p w14:paraId="549BE84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الإحصائي. </w:t>
      </w:r>
    </w:p>
    <w:p w14:paraId="7C2A6A71" w14:textId="70CF1816"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ارتباط معنوي عند مستوي معنوية </w:t>
      </w:r>
      <w:r w:rsidRPr="0043278C">
        <w:rPr>
          <w:rFonts w:ascii="Sakkal Majalla" w:hAnsi="Sakkal Majalla" w:cs="Sakkal Majalla"/>
          <w:sz w:val="28"/>
          <w:lang w:bidi="ar-EG"/>
        </w:rPr>
        <w:t>0.01</w:t>
      </w:r>
      <w:r w:rsidRPr="0043278C">
        <w:rPr>
          <w:rFonts w:ascii="Sakkal Majalla" w:hAnsi="Sakkal Majalla" w:cs="Sakkal Majalla"/>
          <w:sz w:val="28"/>
          <w:rtl/>
          <w:lang w:bidi="ar-EG"/>
        </w:rPr>
        <w:t xml:space="preserve">، بين </w:t>
      </w:r>
      <w:r w:rsidR="00924D9E" w:rsidRPr="00924D9E">
        <w:rPr>
          <w:rFonts w:ascii="Sakkal Majalla" w:hAnsi="Sakkal Majalla" w:cs="Sakkal Majalla"/>
          <w:sz w:val="28"/>
          <w:rtl/>
          <w:lang w:bidi="ar-EG"/>
        </w:rPr>
        <w:t xml:space="preserve">التحول الرقمي والأمن السيبراني وحماية البيانات </w:t>
      </w:r>
      <w:r w:rsidRPr="0043278C">
        <w:rPr>
          <w:rFonts w:ascii="Sakkal Majalla" w:hAnsi="Sakkal Majalla" w:cs="Sakkal Majalla"/>
          <w:sz w:val="28"/>
          <w:rtl/>
          <w:lang w:bidi="ar-EG"/>
        </w:rPr>
        <w:t xml:space="preserve">، حيث بلغت قيمة معامل الارتباط 0.412 وهى دالة إحصائياً، وتدل على وجود علاقة ارتباطية طردية، تبين أنه كلما زادت استخدام </w:t>
      </w:r>
      <w:r w:rsidR="00924D9E">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 بجودة </w:t>
      </w:r>
      <w:r w:rsidR="00924D9E" w:rsidRPr="00924D9E">
        <w:rPr>
          <w:rFonts w:ascii="Sakkal Majalla" w:hAnsi="Sakkal Majalla" w:cs="Sakkal Majalla"/>
          <w:sz w:val="28"/>
          <w:rtl/>
          <w:lang w:bidi="ar-EG"/>
        </w:rPr>
        <w:t xml:space="preserve">الأمن السيبراني وحماية البيانات </w:t>
      </w:r>
      <w:r w:rsidRPr="0043278C">
        <w:rPr>
          <w:rFonts w:ascii="Sakkal Majalla" w:hAnsi="Sakkal Majalla" w:cs="Sakkal Majalla"/>
          <w:sz w:val="28"/>
          <w:rtl/>
          <w:lang w:bidi="ar-EG"/>
        </w:rPr>
        <w:t xml:space="preserve">، وكلما انخفضت الأولى تنخفض الثانية، ولاختبار صحة هذا الفرض تم استخدام تحليل الانحدار البسيط و ذلك باستخدام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عند مستوي معنوية 5%، و باستخدام الانحدار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024266E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 /18) نتائج الانحدار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095"/>
        <w:gridCol w:w="1726"/>
        <w:gridCol w:w="1642"/>
        <w:gridCol w:w="1262"/>
        <w:gridCol w:w="1545"/>
      </w:tblGrid>
      <w:tr w:rsidR="0043278C" w:rsidRPr="0043278C" w14:paraId="106C7308" w14:textId="77777777" w:rsidTr="00851341">
        <w:trPr>
          <w:trHeight w:val="583"/>
          <w:jc w:val="center"/>
        </w:trPr>
        <w:tc>
          <w:tcPr>
            <w:tcW w:w="0" w:type="auto"/>
            <w:tcBorders>
              <w:top w:val="thickThinSmallGap" w:sz="24" w:space="0" w:color="auto"/>
              <w:bottom w:val="thickThinSmallGap" w:sz="24" w:space="0" w:color="auto"/>
              <w:right w:val="thickThinSmallGap" w:sz="24" w:space="0" w:color="auto"/>
            </w:tcBorders>
            <w:shd w:val="pct12" w:color="auto" w:fill="auto"/>
            <w:vAlign w:val="center"/>
          </w:tcPr>
          <w:p w14:paraId="4872EE3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7C2940D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55AA7EC8"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08CE9B7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9300CA2"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4361973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1F2F64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left w:val="thickThinSmallGap" w:sz="24" w:space="0" w:color="auto"/>
              <w:bottom w:val="thickThinSmallGap" w:sz="24" w:space="0" w:color="auto"/>
            </w:tcBorders>
            <w:shd w:val="pct12" w:color="auto" w:fill="auto"/>
            <w:vAlign w:val="center"/>
          </w:tcPr>
          <w:p w14:paraId="30DE6E0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602F44BA"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71F612D3" w14:textId="77777777" w:rsidTr="00851341">
        <w:trPr>
          <w:trHeight w:val="251"/>
          <w:jc w:val="center"/>
        </w:trPr>
        <w:tc>
          <w:tcPr>
            <w:tcW w:w="0" w:type="auto"/>
            <w:tcBorders>
              <w:top w:val="thickThinSmallGap" w:sz="24" w:space="0" w:color="auto"/>
              <w:right w:val="thickThinSmallGap" w:sz="24" w:space="0" w:color="auto"/>
            </w:tcBorders>
            <w:shd w:val="pct12" w:color="auto" w:fill="auto"/>
            <w:vAlign w:val="center"/>
          </w:tcPr>
          <w:p w14:paraId="2B85BD1E" w14:textId="421965A5" w:rsidR="0043278C" w:rsidRPr="0043278C" w:rsidRDefault="00924D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 xml:space="preserve">التحول الرقمي </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 xml:space="preserve">  </w:t>
            </w:r>
          </w:p>
        </w:tc>
        <w:tc>
          <w:tcPr>
            <w:tcW w:w="0" w:type="auto"/>
            <w:tcBorders>
              <w:top w:val="thickThinSmallGap" w:sz="24" w:space="0" w:color="auto"/>
              <w:left w:val="thickThinSmallGap" w:sz="24" w:space="0" w:color="auto"/>
            </w:tcBorders>
            <w:vAlign w:val="center"/>
          </w:tcPr>
          <w:p w14:paraId="44B4FF1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1.891</w:t>
            </w:r>
          </w:p>
        </w:tc>
        <w:tc>
          <w:tcPr>
            <w:tcW w:w="0" w:type="auto"/>
            <w:tcBorders>
              <w:top w:val="thickThinSmallGap" w:sz="24" w:space="0" w:color="auto"/>
            </w:tcBorders>
            <w:vAlign w:val="center"/>
          </w:tcPr>
          <w:p w14:paraId="6EABE5DB"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0.813</w:t>
            </w:r>
          </w:p>
        </w:tc>
        <w:tc>
          <w:tcPr>
            <w:tcW w:w="0" w:type="auto"/>
            <w:tcBorders>
              <w:top w:val="thickThinSmallGap" w:sz="24" w:space="0" w:color="auto"/>
            </w:tcBorders>
            <w:vAlign w:val="center"/>
          </w:tcPr>
          <w:p w14:paraId="539DF918"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8.710</w:t>
            </w:r>
          </w:p>
        </w:tc>
        <w:tc>
          <w:tcPr>
            <w:tcW w:w="0" w:type="auto"/>
            <w:tcBorders>
              <w:top w:val="thickThinSmallGap" w:sz="24" w:space="0" w:color="auto"/>
            </w:tcBorders>
            <w:vAlign w:val="center"/>
          </w:tcPr>
          <w:p w14:paraId="6E69F55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046F42B" w14:textId="77777777" w:rsidTr="00851341">
        <w:trPr>
          <w:trHeight w:val="389"/>
          <w:jc w:val="center"/>
        </w:trPr>
        <w:tc>
          <w:tcPr>
            <w:tcW w:w="0" w:type="auto"/>
            <w:tcBorders>
              <w:right w:val="thickThinSmallGap" w:sz="24" w:space="0" w:color="auto"/>
            </w:tcBorders>
            <w:shd w:val="pct12" w:color="auto" w:fill="auto"/>
            <w:vAlign w:val="center"/>
          </w:tcPr>
          <w:p w14:paraId="083D0B3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tcBorders>
              <w:left w:val="thickThinSmallGap" w:sz="24" w:space="0" w:color="auto"/>
            </w:tcBorders>
            <w:vAlign w:val="center"/>
          </w:tcPr>
          <w:p w14:paraId="28E2DE8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7.085</w:t>
            </w:r>
          </w:p>
        </w:tc>
        <w:tc>
          <w:tcPr>
            <w:tcW w:w="0" w:type="auto"/>
            <w:vAlign w:val="center"/>
          </w:tcPr>
          <w:p w14:paraId="227F62F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0.214</w:t>
            </w:r>
          </w:p>
        </w:tc>
        <w:tc>
          <w:tcPr>
            <w:tcW w:w="0" w:type="auto"/>
            <w:vAlign w:val="center"/>
          </w:tcPr>
          <w:p w14:paraId="0C05797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8.833</w:t>
            </w:r>
          </w:p>
        </w:tc>
        <w:tc>
          <w:tcPr>
            <w:tcW w:w="0" w:type="auto"/>
            <w:vAlign w:val="center"/>
          </w:tcPr>
          <w:p w14:paraId="4911F09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0B797324" w14:textId="77777777" w:rsidTr="00851341">
        <w:trPr>
          <w:trHeight w:val="253"/>
          <w:jc w:val="center"/>
        </w:trPr>
        <w:tc>
          <w:tcPr>
            <w:tcW w:w="0" w:type="auto"/>
            <w:tcBorders>
              <w:right w:val="thickThinSmallGap" w:sz="24" w:space="0" w:color="auto"/>
            </w:tcBorders>
            <w:shd w:val="pct12" w:color="auto" w:fill="auto"/>
            <w:vAlign w:val="center"/>
          </w:tcPr>
          <w:p w14:paraId="4D11FB60"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البسيط </w:t>
            </w:r>
          </w:p>
        </w:tc>
        <w:tc>
          <w:tcPr>
            <w:tcW w:w="0" w:type="auto"/>
            <w:gridSpan w:val="4"/>
            <w:tcBorders>
              <w:left w:val="thickThinSmallGap" w:sz="24" w:space="0" w:color="auto"/>
            </w:tcBorders>
            <w:vAlign w:val="center"/>
          </w:tcPr>
          <w:p w14:paraId="45E55EFA" w14:textId="67B737D8" w:rsidR="0043278C" w:rsidRPr="0043278C" w:rsidRDefault="00924D9E" w:rsidP="00E31804">
            <w:pPr>
              <w:pStyle w:val="BlockText"/>
              <w:jc w:val="center"/>
              <w:rPr>
                <w:rFonts w:ascii="Sakkal Majalla" w:hAnsi="Sakkal Majalla" w:cs="Sakkal Majalla"/>
                <w:sz w:val="28"/>
                <w:rtl/>
                <w:lang w:bidi="ar-EG"/>
              </w:rPr>
            </w:pPr>
            <w:r w:rsidRPr="00924D9E">
              <w:rPr>
                <w:rFonts w:ascii="Sakkal Majalla" w:hAnsi="Sakkal Majalla" w:cs="Sakkal Majalla"/>
                <w:sz w:val="28"/>
                <w:rtl/>
                <w:lang w:bidi="ar-EG"/>
              </w:rPr>
              <w:t>الأمن السيبراني وحماية البيانات</w:t>
            </w:r>
            <w:r w:rsidR="0043278C" w:rsidRPr="0043278C">
              <w:rPr>
                <w:rFonts w:ascii="Sakkal Majalla" w:hAnsi="Sakkal Majalla" w:cs="Sakkal Majalla"/>
                <w:sz w:val="28"/>
                <w:rtl/>
                <w:lang w:bidi="ar-EG"/>
              </w:rPr>
              <w:t xml:space="preserve"> = 7.085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1.891</w:t>
            </w:r>
          </w:p>
        </w:tc>
      </w:tr>
      <w:tr w:rsidR="0043278C" w:rsidRPr="0043278C" w14:paraId="1288DB60" w14:textId="77777777" w:rsidTr="00851341">
        <w:trPr>
          <w:trHeight w:val="258"/>
          <w:jc w:val="center"/>
        </w:trPr>
        <w:tc>
          <w:tcPr>
            <w:tcW w:w="0" w:type="auto"/>
            <w:tcBorders>
              <w:right w:val="thickThinSmallGap" w:sz="24" w:space="0" w:color="auto"/>
            </w:tcBorders>
            <w:shd w:val="pct12" w:color="auto" w:fill="auto"/>
            <w:vAlign w:val="center"/>
          </w:tcPr>
          <w:p w14:paraId="4D42E92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tcBorders>
              <w:left w:val="thickThinSmallGap" w:sz="24" w:space="0" w:color="auto"/>
            </w:tcBorders>
            <w:vAlign w:val="center"/>
          </w:tcPr>
          <w:p w14:paraId="1AF70BB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0.17</w:t>
            </w:r>
          </w:p>
        </w:tc>
      </w:tr>
      <w:tr w:rsidR="0043278C" w:rsidRPr="0043278C" w14:paraId="64245108" w14:textId="77777777" w:rsidTr="00851341">
        <w:trPr>
          <w:trHeight w:val="393"/>
          <w:jc w:val="center"/>
        </w:trPr>
        <w:tc>
          <w:tcPr>
            <w:tcW w:w="0" w:type="auto"/>
            <w:tcBorders>
              <w:bottom w:val="thickThinSmallGap" w:sz="24" w:space="0" w:color="auto"/>
              <w:right w:val="thickThinSmallGap" w:sz="24" w:space="0" w:color="auto"/>
            </w:tcBorders>
            <w:shd w:val="pct12" w:color="auto" w:fill="auto"/>
            <w:vAlign w:val="center"/>
          </w:tcPr>
          <w:p w14:paraId="2754A354"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750AA2DB" w14:textId="77777777" w:rsidR="0043278C" w:rsidRPr="0043278C" w:rsidRDefault="0043278C" w:rsidP="00E31804">
            <w:pPr>
              <w:pStyle w:val="BlockText"/>
              <w:rPr>
                <w:rFonts w:ascii="Sakkal Majalla" w:hAnsi="Sakkal Majalla" w:cs="Sakkal Majalla"/>
                <w:sz w:val="28"/>
                <w:lang w:bidi="ar-EG"/>
              </w:rPr>
            </w:pPr>
          </w:p>
        </w:tc>
        <w:tc>
          <w:tcPr>
            <w:tcW w:w="0" w:type="auto"/>
            <w:gridSpan w:val="4"/>
            <w:tcBorders>
              <w:left w:val="thickThinSmallGap" w:sz="24" w:space="0" w:color="auto"/>
            </w:tcBorders>
            <w:vAlign w:val="center"/>
          </w:tcPr>
          <w:p w14:paraId="3416A77E"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78.027</w:t>
            </w:r>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w:t>
            </w:r>
            <w:r w:rsidRPr="0043278C">
              <w:rPr>
                <w:rFonts w:ascii="Sakkal Majalla" w:hAnsi="Sakkal Majalla" w:cs="Sakkal Majalla"/>
                <w:sz w:val="28"/>
                <w:lang w:bidi="ar-EG"/>
              </w:rPr>
              <w:t xml:space="preserve">   0.000</w:t>
            </w:r>
          </w:p>
        </w:tc>
      </w:tr>
    </w:tbl>
    <w:p w14:paraId="60458BF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6716E6A1" w14:textId="56524CEF"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924D9E">
        <w:rPr>
          <w:rFonts w:ascii="Sakkal Majalla" w:hAnsi="Sakkal Majalla" w:cs="Sakkal Majalla" w:hint="cs"/>
          <w:sz w:val="28"/>
          <w:rtl/>
          <w:lang w:bidi="ar-EG"/>
        </w:rPr>
        <w:t>ل</w:t>
      </w:r>
      <w:r w:rsidR="00924D9E" w:rsidRPr="00924D9E">
        <w:rPr>
          <w:rFonts w:ascii="Sakkal Majalla" w:hAnsi="Sakkal Majalla" w:cs="Sakkal Majalla"/>
          <w:sz w:val="28"/>
          <w:rtl/>
          <w:lang w:bidi="ar-EG"/>
        </w:rPr>
        <w:t xml:space="preserve">لتحول الرقمي </w:t>
      </w:r>
      <w:r w:rsidR="00924D9E">
        <w:rPr>
          <w:rFonts w:ascii="Sakkal Majalla" w:hAnsi="Sakkal Majalla" w:cs="Sakkal Majalla" w:hint="cs"/>
          <w:sz w:val="28"/>
          <w:rtl/>
          <w:lang w:bidi="ar-EG"/>
        </w:rPr>
        <w:t xml:space="preserve">علي </w:t>
      </w:r>
      <w:r w:rsidR="00924D9E" w:rsidRPr="00924D9E">
        <w:rPr>
          <w:rFonts w:ascii="Sakkal Majalla" w:hAnsi="Sakkal Majalla" w:cs="Sakkal Majalla"/>
          <w:sz w:val="28"/>
          <w:rtl/>
          <w:lang w:bidi="ar-EG"/>
        </w:rPr>
        <w:t xml:space="preserve">الأمن السيبراني وحماية البيانات </w:t>
      </w:r>
      <w:r w:rsidRPr="0043278C">
        <w:rPr>
          <w:rFonts w:ascii="Sakkal Majalla" w:hAnsi="Sakkal Majalla" w:cs="Sakkal Majalla"/>
          <w:sz w:val="28"/>
          <w:rtl/>
          <w:lang w:bidi="ar-EG"/>
        </w:rPr>
        <w:t xml:space="preserve">، وتظهر النتائج أن معامل التحديد للنموذج يفسر </w:t>
      </w:r>
      <w:r w:rsidRPr="0043278C">
        <w:rPr>
          <w:rFonts w:ascii="Sakkal Majalla" w:hAnsi="Sakkal Majalla" w:cs="Sakkal Majalla"/>
          <w:sz w:val="28"/>
          <w:lang w:bidi="ar-EG"/>
        </w:rPr>
        <w:t>17%</w:t>
      </w:r>
      <w:r w:rsidRPr="0043278C">
        <w:rPr>
          <w:rFonts w:ascii="Sakkal Majalla" w:hAnsi="Sakkal Majalla" w:cs="Sakkal Majalla"/>
          <w:sz w:val="28"/>
          <w:rtl/>
          <w:lang w:bidi="ar-EG"/>
        </w:rPr>
        <w:t xml:space="preserve">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78.027</w:t>
      </w:r>
      <w:r w:rsidRPr="0043278C">
        <w:rPr>
          <w:rFonts w:ascii="Sakkal Majalla" w:hAnsi="Sakkal Majalla" w:cs="Sakkal Majalla"/>
          <w:sz w:val="28"/>
          <w:rtl/>
          <w:lang w:bidi="ar-EG"/>
        </w:rPr>
        <w:t>،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749AAA44"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6C82F59A"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7714FB5F"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التحليل المالي = 7.085 +</w:t>
      </w:r>
      <w:r w:rsidRPr="0043278C">
        <w:rPr>
          <w:rFonts w:ascii="Sakkal Majalla" w:hAnsi="Sakkal Majalla" w:cs="Sakkal Majalla"/>
          <w:sz w:val="28"/>
          <w:lang w:bidi="ar-EG"/>
        </w:rPr>
        <w:t>(</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1.891</w:t>
      </w:r>
    </w:p>
    <w:p w14:paraId="7AFC5109" w14:textId="46B0E21D"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lastRenderedPageBreak/>
        <w:t xml:space="preserve">وبناء على النتيجة السابقة والتحليل الإحصائي المتعلق بهذه النتيجة، يتم رفض فرض العدم وقبول الفرض البديل بأن هناك تأثير ذا دلالة إحصائية بين </w:t>
      </w:r>
      <w:r w:rsidR="00CA71F5" w:rsidRPr="00CA71F5">
        <w:rPr>
          <w:rFonts w:ascii="Sakkal Majalla" w:hAnsi="Sakkal Majalla" w:cs="Sakkal Majalla" w:hint="cs"/>
          <w:sz w:val="28"/>
          <w:rtl/>
          <w:lang w:bidi="ar-EG"/>
        </w:rPr>
        <w:t>التحول الرقمي</w:t>
      </w:r>
      <w:r w:rsidR="00CA71F5" w:rsidRPr="00CA71F5">
        <w:rPr>
          <w:rFonts w:ascii="Sakkal Majalla" w:hAnsi="Sakkal Majalla" w:cs="Sakkal Majalla"/>
          <w:sz w:val="28"/>
          <w:rtl/>
          <w:lang w:bidi="ar-EG"/>
        </w:rPr>
        <w:t xml:space="preserve"> والأمن السيبراني وحماية البيانات</w:t>
      </w:r>
      <w:r w:rsidRPr="0043278C">
        <w:rPr>
          <w:rFonts w:ascii="Sakkal Majalla" w:hAnsi="Sakkal Majalla" w:cs="Sakkal Majalla"/>
          <w:sz w:val="28"/>
          <w:rtl/>
          <w:lang w:bidi="ar-EG"/>
        </w:rPr>
        <w:t>.</w:t>
      </w:r>
    </w:p>
    <w:p w14:paraId="3CBDCB4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رقم (3/19)</w:t>
      </w:r>
    </w:p>
    <w:p w14:paraId="582BD96D" w14:textId="6641469E"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الانحدار المتدرج لدراسة العلاقة وقوتها بين </w:t>
      </w:r>
      <w:r w:rsidR="00CA71F5">
        <w:rPr>
          <w:rFonts w:ascii="Sakkal Majalla" w:hAnsi="Sakkal Majalla" w:cs="Sakkal Majalla" w:hint="cs"/>
          <w:b/>
          <w:bCs/>
          <w:sz w:val="28"/>
          <w:rtl/>
          <w:lang w:bidi="ar-EG"/>
        </w:rPr>
        <w:t>التحول الرقمي</w:t>
      </w:r>
      <w:r w:rsidR="00CA71F5" w:rsidRPr="0043278C">
        <w:rPr>
          <w:rFonts w:ascii="Sakkal Majalla" w:hAnsi="Sakkal Majalla" w:cs="Sakkal Majalla"/>
          <w:b/>
          <w:bCs/>
          <w:sz w:val="28"/>
          <w:rtl/>
          <w:lang w:bidi="ar-EG"/>
        </w:rPr>
        <w:t xml:space="preserve"> و</w:t>
      </w:r>
      <w:r w:rsidR="00CA71F5" w:rsidRPr="00680BE4">
        <w:rPr>
          <w:rFonts w:ascii="Sakkal Majalla" w:hAnsi="Sakkal Majalla" w:cs="Sakkal Majalla"/>
          <w:b/>
          <w:bCs/>
          <w:sz w:val="28"/>
          <w:rtl/>
          <w:lang w:bidi="ar-EG"/>
        </w:rPr>
        <w:t>الأمن السيبراني وحماية البيانات</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217E7E73"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25410FC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C061AD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21402E4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63D2068"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621106D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4240C79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4A34CE8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6E319FB"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31689A56"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14F59B27" w14:textId="77777777" w:rsidR="0043278C" w:rsidRPr="0043278C" w:rsidRDefault="0043278C" w:rsidP="00E31804">
            <w:pPr>
              <w:pStyle w:val="BlockText"/>
              <w:ind w:left="0"/>
              <w:rPr>
                <w:rFonts w:ascii="Sakkal Majalla" w:hAnsi="Sakkal Majalla" w:cs="Sakkal Majalla"/>
                <w:b/>
                <w:bCs/>
                <w:sz w:val="28"/>
                <w:rtl/>
                <w:lang w:bidi="ar-EG"/>
              </w:rPr>
            </w:pPr>
          </w:p>
          <w:p w14:paraId="2D4DECB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A4DD379" w14:textId="77777777" w:rsidTr="00851341">
        <w:trPr>
          <w:trHeight w:val="297"/>
          <w:jc w:val="center"/>
        </w:trPr>
        <w:tc>
          <w:tcPr>
            <w:tcW w:w="0" w:type="auto"/>
            <w:tcBorders>
              <w:top w:val="thickThinSmallGap" w:sz="24" w:space="0" w:color="auto"/>
            </w:tcBorders>
            <w:shd w:val="pct12" w:color="auto" w:fill="auto"/>
            <w:vAlign w:val="center"/>
          </w:tcPr>
          <w:p w14:paraId="0CC5B914"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1859E9B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500.805</w:t>
            </w:r>
          </w:p>
        </w:tc>
        <w:tc>
          <w:tcPr>
            <w:tcW w:w="0" w:type="auto"/>
            <w:tcBorders>
              <w:top w:val="thickThinSmallGap" w:sz="24" w:space="0" w:color="auto"/>
            </w:tcBorders>
            <w:vAlign w:val="center"/>
          </w:tcPr>
          <w:p w14:paraId="4C66F25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246B883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500.805</w:t>
            </w:r>
          </w:p>
        </w:tc>
        <w:tc>
          <w:tcPr>
            <w:tcW w:w="0" w:type="auto"/>
            <w:vMerge w:val="restart"/>
            <w:tcBorders>
              <w:top w:val="thickThinSmallGap" w:sz="24" w:space="0" w:color="auto"/>
            </w:tcBorders>
          </w:tcPr>
          <w:p w14:paraId="4C55579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78.027</w:t>
            </w:r>
          </w:p>
        </w:tc>
        <w:tc>
          <w:tcPr>
            <w:tcW w:w="0" w:type="auto"/>
            <w:vMerge w:val="restart"/>
            <w:tcBorders>
              <w:top w:val="thickThinSmallGap" w:sz="24" w:space="0" w:color="auto"/>
            </w:tcBorders>
          </w:tcPr>
          <w:p w14:paraId="010DD26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03393561" w14:textId="77777777" w:rsidTr="00851341">
        <w:trPr>
          <w:trHeight w:val="388"/>
          <w:jc w:val="center"/>
        </w:trPr>
        <w:tc>
          <w:tcPr>
            <w:tcW w:w="0" w:type="auto"/>
            <w:shd w:val="pct12" w:color="auto" w:fill="auto"/>
            <w:vAlign w:val="center"/>
          </w:tcPr>
          <w:p w14:paraId="66B68DD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046B6D7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2451.797</w:t>
            </w:r>
          </w:p>
        </w:tc>
        <w:tc>
          <w:tcPr>
            <w:tcW w:w="0" w:type="auto"/>
            <w:vAlign w:val="center"/>
          </w:tcPr>
          <w:p w14:paraId="285465C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8D11F1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6.418</w:t>
            </w:r>
          </w:p>
        </w:tc>
        <w:tc>
          <w:tcPr>
            <w:tcW w:w="0" w:type="auto"/>
            <w:vMerge/>
          </w:tcPr>
          <w:p w14:paraId="19A29E1C"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E98491A"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38E828FB" w14:textId="77777777" w:rsidTr="00851341">
        <w:trPr>
          <w:trHeight w:val="365"/>
          <w:jc w:val="center"/>
        </w:trPr>
        <w:tc>
          <w:tcPr>
            <w:tcW w:w="0" w:type="auto"/>
            <w:shd w:val="pct12" w:color="auto" w:fill="auto"/>
            <w:vAlign w:val="center"/>
          </w:tcPr>
          <w:p w14:paraId="44C16FED"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4BEFBEF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2952.602</w:t>
            </w:r>
          </w:p>
        </w:tc>
        <w:tc>
          <w:tcPr>
            <w:tcW w:w="0" w:type="auto"/>
            <w:vAlign w:val="center"/>
          </w:tcPr>
          <w:p w14:paraId="477D57A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383</w:t>
            </w:r>
          </w:p>
        </w:tc>
        <w:tc>
          <w:tcPr>
            <w:tcW w:w="0" w:type="auto"/>
            <w:vAlign w:val="center"/>
          </w:tcPr>
          <w:p w14:paraId="2E997B2A"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5116C2A3"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7135D2E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62898121" w14:textId="77777777" w:rsidTr="00851341">
        <w:trPr>
          <w:trHeight w:val="399"/>
          <w:jc w:val="center"/>
        </w:trPr>
        <w:tc>
          <w:tcPr>
            <w:tcW w:w="0" w:type="auto"/>
            <w:gridSpan w:val="6"/>
            <w:shd w:val="clear" w:color="auto" w:fill="auto"/>
            <w:vAlign w:val="center"/>
          </w:tcPr>
          <w:p w14:paraId="3D78E8D8"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 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0.412</w:t>
            </w:r>
          </w:p>
        </w:tc>
      </w:tr>
      <w:tr w:rsidR="0043278C" w:rsidRPr="0043278C" w14:paraId="3A7C2AB3" w14:textId="77777777" w:rsidTr="00851341">
        <w:trPr>
          <w:trHeight w:val="390"/>
          <w:jc w:val="center"/>
        </w:trPr>
        <w:tc>
          <w:tcPr>
            <w:tcW w:w="0" w:type="auto"/>
            <w:gridSpan w:val="6"/>
            <w:shd w:val="clear" w:color="auto" w:fill="auto"/>
            <w:vAlign w:val="center"/>
          </w:tcPr>
          <w:p w14:paraId="502BC6F3"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0.17</w:t>
            </w:r>
          </w:p>
        </w:tc>
      </w:tr>
      <w:tr w:rsidR="0043278C" w:rsidRPr="0043278C" w14:paraId="477F1941" w14:textId="77777777" w:rsidTr="00851341">
        <w:trPr>
          <w:trHeight w:val="397"/>
          <w:jc w:val="center"/>
        </w:trPr>
        <w:tc>
          <w:tcPr>
            <w:tcW w:w="0" w:type="auto"/>
            <w:gridSpan w:val="6"/>
            <w:shd w:val="clear" w:color="auto" w:fill="auto"/>
            <w:vAlign w:val="center"/>
          </w:tcPr>
          <w:p w14:paraId="487EE760"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0.167</w:t>
            </w:r>
          </w:p>
        </w:tc>
      </w:tr>
      <w:tr w:rsidR="0043278C" w:rsidRPr="0043278C" w14:paraId="6A7001A8" w14:textId="77777777" w:rsidTr="00851341">
        <w:trPr>
          <w:trHeight w:val="375"/>
          <w:jc w:val="center"/>
        </w:trPr>
        <w:tc>
          <w:tcPr>
            <w:tcW w:w="0" w:type="auto"/>
            <w:gridSpan w:val="6"/>
            <w:shd w:val="clear" w:color="auto" w:fill="auto"/>
            <w:vAlign w:val="center"/>
          </w:tcPr>
          <w:p w14:paraId="71F8A21C"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2.533</w:t>
            </w:r>
          </w:p>
        </w:tc>
      </w:tr>
    </w:tbl>
    <w:p w14:paraId="65FC830A" w14:textId="77777777" w:rsidR="0043278C" w:rsidRPr="00CA71F5" w:rsidRDefault="0043278C" w:rsidP="00E31804">
      <w:pPr>
        <w:pStyle w:val="BlockText"/>
        <w:jc w:val="lowKashida"/>
        <w:rPr>
          <w:rFonts w:ascii="Sakkal Majalla" w:hAnsi="Sakkal Majalla" w:cs="Sakkal Majalla"/>
          <w:b/>
          <w:bCs/>
          <w:sz w:val="24"/>
          <w:szCs w:val="24"/>
          <w:rtl/>
          <w:lang w:bidi="ar-EG"/>
        </w:rPr>
      </w:pPr>
      <w:r w:rsidRPr="00CA71F5">
        <w:rPr>
          <w:rFonts w:ascii="Sakkal Majalla" w:hAnsi="Sakkal Majalla" w:cs="Sakkal Majalla"/>
          <w:b/>
          <w:bCs/>
          <w:sz w:val="24"/>
          <w:szCs w:val="24"/>
          <w:rtl/>
          <w:lang w:bidi="ar-EG"/>
        </w:rPr>
        <w:t xml:space="preserve">    المصدر: نتائج التحليل الإحصائي .</w:t>
      </w:r>
    </w:p>
    <w:p w14:paraId="233BFDE3" w14:textId="2C6D099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ولدراسة العلاقة وقوتها بين </w:t>
      </w:r>
      <w:r w:rsidR="004A494E" w:rsidRPr="004A494E">
        <w:rPr>
          <w:rFonts w:ascii="Sakkal Majalla" w:hAnsi="Sakkal Majalla" w:cs="Sakkal Majalla" w:hint="cs"/>
          <w:sz w:val="28"/>
          <w:rtl/>
          <w:lang w:bidi="ar-EG"/>
        </w:rPr>
        <w:t>التحول الرقمي</w:t>
      </w:r>
      <w:r w:rsidR="004A494E" w:rsidRPr="004A494E">
        <w:rPr>
          <w:rFonts w:ascii="Sakkal Majalla" w:hAnsi="Sakkal Majalla" w:cs="Sakkal Majalla"/>
          <w:sz w:val="28"/>
          <w:rtl/>
          <w:lang w:bidi="ar-EG"/>
        </w:rPr>
        <w:t xml:space="preserve"> والأمن السيبراني وحماية البيانات </w:t>
      </w:r>
      <w:r w:rsidRPr="0043278C">
        <w:rPr>
          <w:rFonts w:ascii="Sakkal Majalla" w:hAnsi="Sakkal Majalla" w:cs="Sakkal Majalla"/>
          <w:sz w:val="28"/>
          <w:rtl/>
          <w:lang w:bidi="ar-EG"/>
        </w:rPr>
        <w:t>، تم استخدام تحليل الانحدار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الأربعة المستقلة في تفسير وتأثير </w:t>
      </w:r>
      <w:r w:rsidR="004A494E" w:rsidRPr="004A494E">
        <w:rPr>
          <w:rFonts w:ascii="Sakkal Majalla" w:hAnsi="Sakkal Majalla" w:cs="Sakkal Majalla" w:hint="cs"/>
          <w:sz w:val="28"/>
          <w:rtl/>
          <w:lang w:bidi="ar-EG"/>
        </w:rPr>
        <w:t>التحول الرقمي</w:t>
      </w:r>
      <w:r w:rsidR="004A494E" w:rsidRPr="004A494E">
        <w:rPr>
          <w:rFonts w:ascii="Sakkal Majalla" w:hAnsi="Sakkal Majalla" w:cs="Sakkal Majalla"/>
          <w:sz w:val="28"/>
          <w:rtl/>
          <w:lang w:bidi="ar-EG"/>
        </w:rPr>
        <w:t xml:space="preserve"> والأمن السيبراني وحماية البيانات</w:t>
      </w:r>
      <w:r w:rsidRPr="0043278C">
        <w:rPr>
          <w:rFonts w:ascii="Sakkal Majalla" w:hAnsi="Sakkal Majalla" w:cs="Sakkal Majalla"/>
          <w:sz w:val="28"/>
          <w:rtl/>
          <w:lang w:bidi="ar-EG"/>
        </w:rPr>
        <w:t xml:space="preserve"> المتغير التابع، باستخدام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باستخدام الارتباط المتعدد.</w:t>
      </w:r>
    </w:p>
    <w:p w14:paraId="4F87AC7B"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(3/19) أن : </w:t>
      </w:r>
    </w:p>
    <w:p w14:paraId="22F0BB4F"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(المعنوية = 0.000) </w:t>
      </w:r>
    </w:p>
    <w:p w14:paraId="084E8A43" w14:textId="347C7A3C"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0.17، أي أن المتغيرات </w:t>
      </w:r>
      <w:r w:rsidR="004A494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وتؤثر ما يقرب إلى 17% من التغير فى المتغير التابع التحليل المالي.</w:t>
      </w:r>
    </w:p>
    <w:p w14:paraId="481AE788"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الارتباط موجبة وقوية، حيث يكون معامل الارتباط بين المتغيرات 0.14.  </w:t>
      </w:r>
    </w:p>
    <w:p w14:paraId="3A6F2FB6" w14:textId="266A2657" w:rsidR="0043278C" w:rsidRPr="0043278C" w:rsidRDefault="0043278C" w:rsidP="00E31804">
      <w:pPr>
        <w:bidi/>
        <w:spacing w:line="240" w:lineRule="auto"/>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باستخدام الانحدار المتعدد:</w:t>
      </w:r>
    </w:p>
    <w:p w14:paraId="56862791" w14:textId="3793960D" w:rsidR="0043278C" w:rsidRP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4A494E" w:rsidRPr="004A494E">
        <w:rPr>
          <w:rFonts w:ascii="Sakkal Majalla" w:hAnsi="Sakkal Majalla" w:cs="Sakkal Majalla"/>
          <w:sz w:val="28"/>
          <w:szCs w:val="28"/>
          <w:rtl/>
          <w:lang w:bidi="ar-EG"/>
        </w:rPr>
        <w:t>الأمن السيبراني وحماية البيانات</w:t>
      </w:r>
      <w:r w:rsidR="004A494E"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وفيما يلي نموذج العلاقة الناتج :</w:t>
      </w:r>
    </w:p>
    <w:p w14:paraId="73A8C655"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(3/20) </w:t>
      </w:r>
    </w:p>
    <w:p w14:paraId="2CCD90DC" w14:textId="5722880E"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4A494E">
        <w:rPr>
          <w:rFonts w:ascii="Sakkal Majalla" w:hAnsi="Sakkal Majalla" w:cs="Sakkal Majalla" w:hint="cs"/>
          <w:b/>
          <w:bCs/>
          <w:sz w:val="28"/>
          <w:rtl/>
          <w:lang w:bidi="ar-EG"/>
        </w:rPr>
        <w:t>التحول الرقمي</w:t>
      </w:r>
      <w:r w:rsidR="004A494E" w:rsidRPr="0043278C">
        <w:rPr>
          <w:rFonts w:ascii="Sakkal Majalla" w:hAnsi="Sakkal Majalla" w:cs="Sakkal Majalla"/>
          <w:b/>
          <w:bCs/>
          <w:sz w:val="28"/>
          <w:rtl/>
          <w:lang w:bidi="ar-EG"/>
        </w:rPr>
        <w:t xml:space="preserve"> </w:t>
      </w:r>
      <w:r w:rsidR="004A494E">
        <w:rPr>
          <w:rFonts w:ascii="Sakkal Majalla" w:hAnsi="Sakkal Majalla" w:cs="Sakkal Majalla" w:hint="cs"/>
          <w:b/>
          <w:bCs/>
          <w:sz w:val="28"/>
          <w:rtl/>
          <w:lang w:bidi="ar-EG"/>
        </w:rPr>
        <w:t xml:space="preserve">علي </w:t>
      </w:r>
      <w:r w:rsidR="004A494E" w:rsidRPr="00680BE4">
        <w:rPr>
          <w:rFonts w:ascii="Sakkal Majalla" w:hAnsi="Sakkal Majalla" w:cs="Sakkal Majalla"/>
          <w:b/>
          <w:bCs/>
          <w:sz w:val="28"/>
          <w:rtl/>
          <w:lang w:bidi="ar-EG"/>
        </w:rPr>
        <w:t>الأمن السيبراني وحماية البيانات</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704"/>
        <w:gridCol w:w="1854"/>
        <w:gridCol w:w="1746"/>
        <w:gridCol w:w="1334"/>
        <w:gridCol w:w="1632"/>
      </w:tblGrid>
      <w:tr w:rsidR="0043278C" w:rsidRPr="0043278C" w14:paraId="198381C7"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653B03A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24077B8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4E19BDE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B</w:t>
            </w:r>
          </w:p>
        </w:tc>
        <w:tc>
          <w:tcPr>
            <w:tcW w:w="0" w:type="auto"/>
            <w:tcBorders>
              <w:top w:val="thickThinSmallGap" w:sz="24" w:space="0" w:color="auto"/>
              <w:bottom w:val="thickThinSmallGap" w:sz="24" w:space="0" w:color="auto"/>
            </w:tcBorders>
            <w:shd w:val="pct12" w:color="auto" w:fill="auto"/>
            <w:vAlign w:val="center"/>
          </w:tcPr>
          <w:p w14:paraId="4C984AE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الخطأ المعياري</w:t>
            </w:r>
          </w:p>
          <w:p w14:paraId="097E219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SE</w:t>
            </w:r>
          </w:p>
        </w:tc>
        <w:tc>
          <w:tcPr>
            <w:tcW w:w="0" w:type="auto"/>
            <w:tcBorders>
              <w:top w:val="thickThinSmallGap" w:sz="24" w:space="0" w:color="auto"/>
              <w:bottom w:val="thickThinSmallGap" w:sz="24" w:space="0" w:color="auto"/>
            </w:tcBorders>
            <w:shd w:val="pct12" w:color="auto" w:fill="auto"/>
            <w:vAlign w:val="center"/>
          </w:tcPr>
          <w:p w14:paraId="46DA5A2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41C10632"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المحسوبة</w:t>
            </w:r>
          </w:p>
        </w:tc>
        <w:tc>
          <w:tcPr>
            <w:tcW w:w="0" w:type="auto"/>
            <w:tcBorders>
              <w:top w:val="thickThinSmallGap" w:sz="24" w:space="0" w:color="auto"/>
              <w:bottom w:val="thickThinSmallGap" w:sz="24" w:space="0" w:color="auto"/>
            </w:tcBorders>
            <w:shd w:val="pct12" w:color="auto" w:fill="auto"/>
            <w:vAlign w:val="center"/>
          </w:tcPr>
          <w:p w14:paraId="2517945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قيمة المعنوية</w:t>
            </w:r>
          </w:p>
          <w:p w14:paraId="14A1AD5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P</w:t>
            </w:r>
          </w:p>
        </w:tc>
      </w:tr>
      <w:tr w:rsidR="0043278C" w:rsidRPr="0043278C" w14:paraId="7D8F566F" w14:textId="77777777" w:rsidTr="00851341">
        <w:trPr>
          <w:trHeight w:val="427"/>
          <w:jc w:val="center"/>
        </w:trPr>
        <w:tc>
          <w:tcPr>
            <w:tcW w:w="0" w:type="auto"/>
            <w:tcBorders>
              <w:top w:val="thickThinSmallGap" w:sz="24" w:space="0" w:color="auto"/>
            </w:tcBorders>
            <w:shd w:val="pct12" w:color="auto" w:fill="auto"/>
            <w:vAlign w:val="center"/>
          </w:tcPr>
          <w:p w14:paraId="65167859" w14:textId="110C8C5E" w:rsidR="0043278C" w:rsidRPr="0043278C" w:rsidRDefault="004A494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lastRenderedPageBreak/>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B1 </w:t>
            </w:r>
          </w:p>
        </w:tc>
        <w:tc>
          <w:tcPr>
            <w:tcW w:w="0" w:type="auto"/>
            <w:tcBorders>
              <w:top w:val="thickThinSmallGap" w:sz="24" w:space="0" w:color="auto"/>
            </w:tcBorders>
            <w:vAlign w:val="center"/>
          </w:tcPr>
          <w:p w14:paraId="2A13CBF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0.186</w:t>
            </w:r>
          </w:p>
        </w:tc>
        <w:tc>
          <w:tcPr>
            <w:tcW w:w="0" w:type="auto"/>
            <w:tcBorders>
              <w:top w:val="thickThinSmallGap" w:sz="24" w:space="0" w:color="auto"/>
            </w:tcBorders>
            <w:vAlign w:val="center"/>
          </w:tcPr>
          <w:p w14:paraId="5485AB0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0.033</w:t>
            </w:r>
          </w:p>
        </w:tc>
        <w:tc>
          <w:tcPr>
            <w:tcW w:w="0" w:type="auto"/>
            <w:tcBorders>
              <w:top w:val="thickThinSmallGap" w:sz="24" w:space="0" w:color="auto"/>
            </w:tcBorders>
            <w:vAlign w:val="center"/>
          </w:tcPr>
          <w:p w14:paraId="27004BD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5.565</w:t>
            </w:r>
          </w:p>
        </w:tc>
        <w:tc>
          <w:tcPr>
            <w:tcW w:w="0" w:type="auto"/>
            <w:tcBorders>
              <w:top w:val="thickThinSmallGap" w:sz="24" w:space="0" w:color="auto"/>
            </w:tcBorders>
          </w:tcPr>
          <w:p w14:paraId="516A7EC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7B535587" w14:textId="77777777" w:rsidTr="00851341">
        <w:trPr>
          <w:trHeight w:val="393"/>
          <w:jc w:val="center"/>
        </w:trPr>
        <w:tc>
          <w:tcPr>
            <w:tcW w:w="0" w:type="auto"/>
            <w:shd w:val="pct12" w:color="auto" w:fill="auto"/>
            <w:vAlign w:val="center"/>
          </w:tcPr>
          <w:p w14:paraId="7EF3E9F7" w14:textId="2D1CA40A" w:rsidR="0043278C" w:rsidRPr="0043278C" w:rsidRDefault="004A494E"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0" w:type="auto"/>
            <w:vAlign w:val="center"/>
          </w:tcPr>
          <w:p w14:paraId="6E639C7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0.174</w:t>
            </w:r>
          </w:p>
        </w:tc>
        <w:tc>
          <w:tcPr>
            <w:tcW w:w="0" w:type="auto"/>
            <w:vAlign w:val="center"/>
          </w:tcPr>
          <w:p w14:paraId="7E77800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0.062</w:t>
            </w:r>
          </w:p>
        </w:tc>
        <w:tc>
          <w:tcPr>
            <w:tcW w:w="0" w:type="auto"/>
            <w:vAlign w:val="center"/>
          </w:tcPr>
          <w:p w14:paraId="4977D99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2.815</w:t>
            </w:r>
          </w:p>
        </w:tc>
        <w:tc>
          <w:tcPr>
            <w:tcW w:w="0" w:type="auto"/>
          </w:tcPr>
          <w:p w14:paraId="15E48873"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0663F16A" w14:textId="77777777" w:rsidTr="00851341">
        <w:trPr>
          <w:trHeight w:val="387"/>
          <w:jc w:val="center"/>
        </w:trPr>
        <w:tc>
          <w:tcPr>
            <w:tcW w:w="0" w:type="auto"/>
            <w:shd w:val="pct12" w:color="auto" w:fill="auto"/>
            <w:vAlign w:val="center"/>
          </w:tcPr>
          <w:p w14:paraId="47050D42" w14:textId="3A84AC45" w:rsidR="0043278C" w:rsidRPr="0043278C" w:rsidRDefault="004A494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 </w:t>
            </w:r>
          </w:p>
        </w:tc>
        <w:tc>
          <w:tcPr>
            <w:tcW w:w="0" w:type="auto"/>
            <w:vAlign w:val="center"/>
          </w:tcPr>
          <w:p w14:paraId="27DA888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0.156</w:t>
            </w:r>
          </w:p>
        </w:tc>
        <w:tc>
          <w:tcPr>
            <w:tcW w:w="0" w:type="auto"/>
            <w:vAlign w:val="center"/>
          </w:tcPr>
          <w:p w14:paraId="05B3631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0.064</w:t>
            </w:r>
          </w:p>
        </w:tc>
        <w:tc>
          <w:tcPr>
            <w:tcW w:w="0" w:type="auto"/>
            <w:vAlign w:val="center"/>
          </w:tcPr>
          <w:p w14:paraId="4DECC22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2.435</w:t>
            </w:r>
          </w:p>
        </w:tc>
        <w:tc>
          <w:tcPr>
            <w:tcW w:w="0" w:type="auto"/>
          </w:tcPr>
          <w:p w14:paraId="0EE1C58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FF7095A" w14:textId="77777777" w:rsidTr="00851341">
        <w:trPr>
          <w:trHeight w:val="395"/>
          <w:jc w:val="center"/>
        </w:trPr>
        <w:tc>
          <w:tcPr>
            <w:tcW w:w="0" w:type="auto"/>
            <w:shd w:val="pct12" w:color="auto" w:fill="auto"/>
            <w:vAlign w:val="center"/>
          </w:tcPr>
          <w:p w14:paraId="5106696F"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7E079B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7.747</w:t>
            </w:r>
          </w:p>
        </w:tc>
        <w:tc>
          <w:tcPr>
            <w:tcW w:w="0" w:type="auto"/>
            <w:vAlign w:val="center"/>
          </w:tcPr>
          <w:p w14:paraId="04EFA33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0.860</w:t>
            </w:r>
          </w:p>
        </w:tc>
        <w:tc>
          <w:tcPr>
            <w:tcW w:w="0" w:type="auto"/>
            <w:vAlign w:val="center"/>
          </w:tcPr>
          <w:p w14:paraId="785650D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9.012</w:t>
            </w:r>
          </w:p>
        </w:tc>
        <w:tc>
          <w:tcPr>
            <w:tcW w:w="0" w:type="auto"/>
          </w:tcPr>
          <w:p w14:paraId="2269629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5548DF9C" w14:textId="77777777" w:rsidTr="00851341">
        <w:trPr>
          <w:trHeight w:val="395"/>
          <w:jc w:val="center"/>
        </w:trPr>
        <w:tc>
          <w:tcPr>
            <w:tcW w:w="0" w:type="auto"/>
            <w:shd w:val="pct12" w:color="auto" w:fill="auto"/>
            <w:vAlign w:val="center"/>
          </w:tcPr>
          <w:p w14:paraId="032E8FC6"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0" w:type="auto"/>
            <w:gridSpan w:val="4"/>
            <w:vAlign w:val="center"/>
          </w:tcPr>
          <w:p w14:paraId="2C4E5CBF" w14:textId="1CED6FB5" w:rsidR="0043278C" w:rsidRPr="0043278C" w:rsidRDefault="004A494E" w:rsidP="00E31804">
            <w:pPr>
              <w:pStyle w:val="BlockText"/>
              <w:ind w:left="0"/>
              <w:jc w:val="center"/>
              <w:rPr>
                <w:rFonts w:ascii="Sakkal Majalla" w:hAnsi="Sakkal Majalla" w:cs="Sakkal Majalla"/>
                <w:sz w:val="28"/>
                <w:rtl/>
                <w:lang w:bidi="ar-EG"/>
              </w:rPr>
            </w:pPr>
            <w:r w:rsidRPr="004A494E">
              <w:rPr>
                <w:rFonts w:ascii="Sakkal Majalla" w:hAnsi="Sakkal Majalla" w:cs="Sakkal Majalla"/>
                <w:sz w:val="28"/>
                <w:rtl/>
                <w:lang w:bidi="ar-EG"/>
              </w:rPr>
              <w:t xml:space="preserve">الأمن السيبراني وحماية البيانات </w:t>
            </w:r>
            <w:r w:rsidR="0043278C" w:rsidRPr="0043278C">
              <w:rPr>
                <w:rFonts w:ascii="Sakkal Majalla" w:hAnsi="Sakkal Majalla" w:cs="Sakkal Majalla"/>
                <w:sz w:val="28"/>
                <w:rtl/>
                <w:lang w:bidi="ar-EG"/>
              </w:rPr>
              <w:t>= 7.747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0.186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0.174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0.156 + (</w:t>
            </w:r>
            <w:r w:rsidR="0043278C" w:rsidRPr="0043278C">
              <w:rPr>
                <w:rFonts w:ascii="Sakkal Majalla" w:hAnsi="Sakkal Majalla" w:cs="Sakkal Majalla"/>
                <w:sz w:val="28"/>
                <w:lang w:bidi="ar-EG"/>
              </w:rPr>
              <w:t>x4</w:t>
            </w:r>
            <w:r w:rsidR="0043278C" w:rsidRPr="0043278C">
              <w:rPr>
                <w:rFonts w:ascii="Sakkal Majalla" w:hAnsi="Sakkal Majalla" w:cs="Sakkal Majalla"/>
                <w:sz w:val="28"/>
                <w:rtl/>
                <w:lang w:bidi="ar-EG"/>
              </w:rPr>
              <w:t xml:space="preserve">) 0.162  </w:t>
            </w:r>
          </w:p>
        </w:tc>
      </w:tr>
      <w:tr w:rsidR="0043278C" w:rsidRPr="0043278C" w14:paraId="619282F5" w14:textId="77777777" w:rsidTr="00851341">
        <w:trPr>
          <w:trHeight w:val="401"/>
          <w:jc w:val="center"/>
        </w:trPr>
        <w:tc>
          <w:tcPr>
            <w:tcW w:w="0" w:type="auto"/>
            <w:shd w:val="pct12" w:color="auto" w:fill="auto"/>
            <w:vAlign w:val="center"/>
          </w:tcPr>
          <w:p w14:paraId="67B7347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vAlign w:val="center"/>
          </w:tcPr>
          <w:p w14:paraId="7A63CBE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0.16</w:t>
            </w:r>
          </w:p>
        </w:tc>
      </w:tr>
      <w:tr w:rsidR="0043278C" w:rsidRPr="0043278C" w14:paraId="5AF2A759" w14:textId="77777777" w:rsidTr="00851341">
        <w:trPr>
          <w:trHeight w:val="392"/>
          <w:jc w:val="center"/>
        </w:trPr>
        <w:tc>
          <w:tcPr>
            <w:tcW w:w="0" w:type="auto"/>
            <w:shd w:val="pct12" w:color="auto" w:fill="auto"/>
            <w:vAlign w:val="center"/>
          </w:tcPr>
          <w:p w14:paraId="4CB6DEA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E877000" w14:textId="77777777" w:rsidR="0043278C" w:rsidRPr="0043278C" w:rsidRDefault="0043278C" w:rsidP="00E31804">
            <w:pPr>
              <w:pStyle w:val="BlockText"/>
              <w:rPr>
                <w:rFonts w:ascii="Sakkal Majalla" w:hAnsi="Sakkal Majalla" w:cs="Sakkal Majalla"/>
                <w:sz w:val="28"/>
                <w:rtl/>
                <w:lang w:bidi="ar-EG"/>
              </w:rPr>
            </w:pPr>
          </w:p>
        </w:tc>
        <w:tc>
          <w:tcPr>
            <w:tcW w:w="0" w:type="auto"/>
            <w:gridSpan w:val="4"/>
            <w:vAlign w:val="center"/>
          </w:tcPr>
          <w:p w14:paraId="4CE07B9A"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25.149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A0AEA75"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7FD15E45" w14:textId="018DCA0F" w:rsidR="0043278C" w:rsidRPr="0043278C" w:rsidRDefault="0043278C" w:rsidP="00E31804">
      <w:pPr>
        <w:spacing w:line="240" w:lineRule="auto"/>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D505B4" w:rsidRPr="00D505B4">
        <w:rPr>
          <w:rFonts w:ascii="Sakkal Majalla" w:hAnsi="Sakkal Majalla" w:cs="Sakkal Majalla"/>
          <w:sz w:val="28"/>
          <w:szCs w:val="28"/>
          <w:rtl/>
          <w:lang w:bidi="ar-EG"/>
        </w:rPr>
        <w:t xml:space="preserve">التحول الرقمي علي الأمن السيبراني وحماية البيانات </w:t>
      </w:r>
      <w:r w:rsidRPr="0043278C">
        <w:rPr>
          <w:rFonts w:ascii="Sakkal Majalla" w:hAnsi="Sakkal Majalla" w:cs="Sakkal Majalla"/>
          <w:sz w:val="28"/>
          <w:szCs w:val="28"/>
          <w:rtl/>
          <w:lang w:bidi="ar-EG"/>
        </w:rPr>
        <w:t xml:space="preserve">، حيث لم يكونوا ذي معنوية، كما يوضح الجدول السابق وجود </w:t>
      </w:r>
      <w:r w:rsidR="00D505B4" w:rsidRPr="0043278C">
        <w:rPr>
          <w:rFonts w:ascii="Sakkal Majalla" w:hAnsi="Sakkal Majalla" w:cs="Sakkal Majalla" w:hint="cs"/>
          <w:sz w:val="28"/>
          <w:szCs w:val="28"/>
          <w:rtl/>
          <w:lang w:bidi="ar-EG"/>
        </w:rPr>
        <w:t>تأثير</w:t>
      </w:r>
      <w:r w:rsidRPr="0043278C">
        <w:rPr>
          <w:rFonts w:ascii="Sakkal Majalla" w:hAnsi="Sakkal Majalla" w:cs="Sakkal Majalla"/>
          <w:sz w:val="28"/>
          <w:szCs w:val="28"/>
          <w:rtl/>
          <w:lang w:bidi="ar-EG"/>
        </w:rPr>
        <w:t xml:space="preserve"> ،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16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25.149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E1A801E" w14:textId="77777777" w:rsidR="0043278C" w:rsidRPr="0043278C" w:rsidRDefault="0043278C" w:rsidP="00E31804">
      <w:pPr>
        <w:pStyle w:val="BlockText"/>
        <w:numPr>
          <w:ilvl w:val="0"/>
          <w:numId w:val="242"/>
        </w:numPr>
        <w:rPr>
          <w:rFonts w:ascii="Sakkal Majalla" w:hAnsi="Sakkal Majalla" w:cs="Sakkal Majalla"/>
          <w:b/>
          <w:bCs/>
          <w:i/>
          <w:iCs/>
          <w:sz w:val="28"/>
          <w:lang w:bidi="ar-EG"/>
        </w:rPr>
      </w:pPr>
      <w:r w:rsidRPr="0043278C">
        <w:rPr>
          <w:rFonts w:ascii="Sakkal Majalla" w:hAnsi="Sakkal Majalla" w:cs="Sakkal Majalla"/>
          <w:b/>
          <w:bCs/>
          <w:i/>
          <w:iCs/>
          <w:sz w:val="28"/>
          <w:rtl/>
          <w:lang w:bidi="ar-EG"/>
        </w:rPr>
        <w:t>معادلة الأنحدار المتعدد :</w:t>
      </w:r>
    </w:p>
    <w:p w14:paraId="79B1CCE5" w14:textId="77777777" w:rsidR="0043278C" w:rsidRPr="0043278C" w:rsidRDefault="0043278C" w:rsidP="00E31804">
      <w:pPr>
        <w:pStyle w:val="BlockText"/>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p>
    <w:p w14:paraId="350E70C4" w14:textId="5BCA8E43" w:rsidR="0043278C" w:rsidRPr="0043278C" w:rsidRDefault="00D505B4" w:rsidP="00E31804">
      <w:pPr>
        <w:pStyle w:val="BlockText"/>
        <w:rPr>
          <w:rFonts w:ascii="Sakkal Majalla" w:hAnsi="Sakkal Majalla" w:cs="Sakkal Majalla"/>
          <w:sz w:val="28"/>
          <w:rtl/>
          <w:lang w:bidi="ar-EG"/>
        </w:rPr>
      </w:pPr>
      <w:r w:rsidRPr="00D505B4">
        <w:rPr>
          <w:rFonts w:ascii="Sakkal Majalla" w:hAnsi="Sakkal Majalla" w:cs="Sakkal Majalla"/>
          <w:sz w:val="28"/>
          <w:rtl/>
          <w:lang w:bidi="ar-EG"/>
        </w:rPr>
        <w:t xml:space="preserve">الأمن السيبراني وحماية البيانات </w:t>
      </w:r>
      <w:r w:rsidR="0043278C" w:rsidRPr="0043278C">
        <w:rPr>
          <w:rFonts w:ascii="Sakkal Majalla" w:hAnsi="Sakkal Majalla" w:cs="Sakkal Majalla"/>
          <w:sz w:val="28"/>
          <w:rtl/>
          <w:lang w:bidi="ar-EG"/>
        </w:rPr>
        <w:t>= 7.747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0.186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0.174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0.156</w:t>
      </w:r>
    </w:p>
    <w:p w14:paraId="0608E78C" w14:textId="37C6233E" w:rsid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00D505B4">
        <w:rPr>
          <w:rFonts w:ascii="Sakkal Majalla" w:hAnsi="Sakkal Majalla" w:cs="Sakkal Majalla" w:hint="cs"/>
          <w:sz w:val="28"/>
          <w:rtl/>
          <w:lang w:bidi="ar-EG"/>
        </w:rPr>
        <w:t>ل</w:t>
      </w:r>
      <w:r w:rsidR="00D505B4" w:rsidRPr="00D505B4">
        <w:rPr>
          <w:rFonts w:ascii="Sakkal Majalla" w:hAnsi="Sakkal Majalla" w:cs="Sakkal Majalla"/>
          <w:sz w:val="28"/>
          <w:rtl/>
          <w:lang w:bidi="ar-EG"/>
        </w:rPr>
        <w:t>لتحول الرقمي علي الأمن السيبراني وحماية البيانات</w:t>
      </w:r>
      <w:r w:rsidRPr="0043278C">
        <w:rPr>
          <w:rFonts w:ascii="Sakkal Majalla" w:hAnsi="Sakkal Majalla" w:cs="Sakkal Majalla"/>
          <w:sz w:val="28"/>
          <w:rtl/>
          <w:lang w:bidi="ar-EG"/>
        </w:rPr>
        <w:t xml:space="preserve">. </w:t>
      </w:r>
    </w:p>
    <w:p w14:paraId="6A1A39A3" w14:textId="77777777" w:rsidR="00D505B4" w:rsidRDefault="00D505B4" w:rsidP="00E31804">
      <w:pPr>
        <w:pStyle w:val="BlockText"/>
        <w:rPr>
          <w:rFonts w:ascii="Sakkal Majalla" w:hAnsi="Sakkal Majalla" w:cs="Sakkal Majalla"/>
          <w:sz w:val="28"/>
          <w:rtl/>
          <w:lang w:bidi="ar-EG"/>
        </w:rPr>
      </w:pPr>
    </w:p>
    <w:p w14:paraId="3558EE05" w14:textId="77777777" w:rsidR="00D505B4" w:rsidRDefault="00D505B4" w:rsidP="00E31804">
      <w:pPr>
        <w:pStyle w:val="BlockText"/>
        <w:rPr>
          <w:rFonts w:ascii="Sakkal Majalla" w:hAnsi="Sakkal Majalla" w:cs="Sakkal Majalla"/>
          <w:sz w:val="28"/>
          <w:rtl/>
          <w:lang w:bidi="ar-EG"/>
        </w:rPr>
      </w:pPr>
    </w:p>
    <w:p w14:paraId="1132C7C0" w14:textId="77777777" w:rsidR="00D505B4" w:rsidRDefault="00D505B4" w:rsidP="00E31804">
      <w:pPr>
        <w:pStyle w:val="BlockText"/>
        <w:rPr>
          <w:rFonts w:ascii="Sakkal Majalla" w:hAnsi="Sakkal Majalla" w:cs="Sakkal Majalla"/>
          <w:sz w:val="28"/>
          <w:rtl/>
          <w:lang w:bidi="ar-EG"/>
        </w:rPr>
      </w:pPr>
    </w:p>
    <w:p w14:paraId="0BE7ABE4" w14:textId="77777777" w:rsidR="00E31804" w:rsidRDefault="00E31804" w:rsidP="00E31804">
      <w:pPr>
        <w:pStyle w:val="BlockText"/>
        <w:rPr>
          <w:rFonts w:ascii="Sakkal Majalla" w:hAnsi="Sakkal Majalla" w:cs="Sakkal Majalla"/>
          <w:sz w:val="28"/>
          <w:rtl/>
          <w:lang w:bidi="ar-EG"/>
        </w:rPr>
      </w:pPr>
    </w:p>
    <w:p w14:paraId="6703AD55" w14:textId="77777777" w:rsidR="00E31804" w:rsidRDefault="00E31804" w:rsidP="00E31804">
      <w:pPr>
        <w:pStyle w:val="BlockText"/>
        <w:rPr>
          <w:rFonts w:ascii="Sakkal Majalla" w:hAnsi="Sakkal Majalla" w:cs="Sakkal Majalla"/>
          <w:sz w:val="28"/>
          <w:rtl/>
          <w:lang w:bidi="ar-EG"/>
        </w:rPr>
      </w:pPr>
    </w:p>
    <w:p w14:paraId="70A07A79" w14:textId="77777777" w:rsidR="00E31804" w:rsidRDefault="00E31804" w:rsidP="00E31804">
      <w:pPr>
        <w:pStyle w:val="BlockText"/>
        <w:rPr>
          <w:rFonts w:ascii="Sakkal Majalla" w:hAnsi="Sakkal Majalla" w:cs="Sakkal Majalla"/>
          <w:sz w:val="28"/>
          <w:rtl/>
          <w:lang w:bidi="ar-EG"/>
        </w:rPr>
      </w:pPr>
    </w:p>
    <w:p w14:paraId="1644E97F" w14:textId="77777777" w:rsidR="00D505B4" w:rsidRPr="0043278C" w:rsidRDefault="00D505B4" w:rsidP="00E31804">
      <w:pPr>
        <w:pStyle w:val="BlockText"/>
        <w:rPr>
          <w:rFonts w:ascii="Sakkal Majalla" w:hAnsi="Sakkal Majalla" w:cs="Sakkal Majalla"/>
          <w:b/>
          <w:bCs/>
          <w:sz w:val="28"/>
          <w:rtl/>
        </w:rPr>
      </w:pPr>
    </w:p>
    <w:p w14:paraId="1EA79F42" w14:textId="61CBF355"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أختبار الفرض الثانى</w:t>
      </w:r>
      <w:r w:rsidRPr="0043278C">
        <w:rPr>
          <w:rFonts w:ascii="Sakkal Majalla" w:hAnsi="Sakkal Majalla" w:cs="Sakkal Majalla"/>
          <w:b/>
          <w:bCs/>
          <w:sz w:val="28"/>
          <w:lang w:bidi="ar-EG"/>
        </w:rPr>
        <w:t xml:space="preserve"> : </w:t>
      </w:r>
    </w:p>
    <w:p w14:paraId="1F955FB3" w14:textId="4E498FF8"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D505B4">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w:t>
      </w:r>
      <w:r w:rsidR="00D505B4">
        <w:rPr>
          <w:rFonts w:ascii="Sakkal Majalla" w:hAnsi="Sakkal Majalla" w:cs="Sakkal Majalla" w:hint="cs"/>
          <w:b/>
          <w:bCs/>
          <w:sz w:val="28"/>
          <w:rtl/>
          <w:lang w:bidi="ar-EG"/>
        </w:rPr>
        <w:t>تحسين الكفاءة رقابة الجمركية والحد من التهريب</w:t>
      </w:r>
      <w:r w:rsidRPr="0043278C">
        <w:rPr>
          <w:rFonts w:ascii="Sakkal Majalla" w:hAnsi="Sakkal Majalla" w:cs="Sakkal Majalla"/>
          <w:b/>
          <w:bCs/>
          <w:sz w:val="28"/>
          <w:rtl/>
          <w:lang w:bidi="ar-EG"/>
        </w:rPr>
        <w:t xml:space="preserve"> "</w:t>
      </w:r>
    </w:p>
    <w:p w14:paraId="40851CC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4DAD2A4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(3/22)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30D7A863" w14:textId="77777777" w:rsidTr="00851341">
        <w:trPr>
          <w:jc w:val="center"/>
        </w:trPr>
        <w:tc>
          <w:tcPr>
            <w:tcW w:w="0" w:type="auto"/>
            <w:tcBorders>
              <w:top w:val="thickThinSmallGap" w:sz="24" w:space="0" w:color="auto"/>
              <w:bottom w:val="thickThinSmallGap" w:sz="24" w:space="0" w:color="auto"/>
            </w:tcBorders>
            <w:shd w:val="pct12" w:color="auto" w:fill="auto"/>
          </w:tcPr>
          <w:p w14:paraId="073C8E1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3922B73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03DC2DD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6EABD6D8" w14:textId="77777777" w:rsidTr="00851341">
        <w:trPr>
          <w:jc w:val="center"/>
        </w:trPr>
        <w:tc>
          <w:tcPr>
            <w:tcW w:w="0" w:type="auto"/>
            <w:tcBorders>
              <w:top w:val="thickThinSmallGap" w:sz="24" w:space="0" w:color="auto"/>
            </w:tcBorders>
          </w:tcPr>
          <w:p w14:paraId="5C63AD8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0.710</w:t>
            </w:r>
          </w:p>
        </w:tc>
        <w:tc>
          <w:tcPr>
            <w:tcW w:w="0" w:type="auto"/>
            <w:tcBorders>
              <w:top w:val="thickThinSmallGap" w:sz="24" w:space="0" w:color="auto"/>
            </w:tcBorders>
          </w:tcPr>
          <w:p w14:paraId="77055D3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23D6489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515DFE5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DF298AF" w14:textId="6338733B"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الذكاء الاصطناعي و التخطيط المال</w:t>
      </w:r>
      <w:r w:rsidR="00FA59AF" w:rsidRPr="00FA59AF">
        <w:rPr>
          <w:rtl/>
        </w:rPr>
        <w:t xml:space="preserve"> </w:t>
      </w:r>
      <w:r w:rsidR="00FA59AF" w:rsidRPr="00FA59AF">
        <w:rPr>
          <w:rFonts w:ascii="Sakkal Majalla" w:hAnsi="Sakkal Majalla" w:cs="Sakkal Majalla"/>
          <w:sz w:val="28"/>
          <w:rtl/>
          <w:lang w:bidi="ar-EG"/>
        </w:rPr>
        <w:t>التحول الرقمي وتحسين الكفاءة رقابة الجمركية والحد من التهريب</w:t>
      </w:r>
      <w:r w:rsidRPr="0043278C">
        <w:rPr>
          <w:rFonts w:ascii="Sakkal Majalla" w:hAnsi="Sakkal Majalla" w:cs="Sakkal Majalla"/>
          <w:sz w:val="28"/>
          <w:rtl/>
          <w:lang w:bidi="ar-EG"/>
        </w:rPr>
        <w:t xml:space="preserve"> ، حيث بلغت قيمة معامل الأرتباط 0.710  وهى دالة إحصائياً ، وتدل على وجود علاقة أرتباطية  طردية ،  تبين أنه كلما زادت </w:t>
      </w:r>
      <w:r w:rsidR="00FA59AF">
        <w:rPr>
          <w:rFonts w:ascii="Sakkal Majalla" w:hAnsi="Sakkal Majalla" w:cs="Sakkal Majalla" w:hint="cs"/>
          <w:sz w:val="28"/>
          <w:rtl/>
          <w:lang w:bidi="ar-EG"/>
        </w:rPr>
        <w:t>استراتيجات</w:t>
      </w:r>
      <w:r w:rsidRPr="0043278C">
        <w:rPr>
          <w:rFonts w:ascii="Sakkal Majalla" w:hAnsi="Sakkal Majalla" w:cs="Sakkal Majalla"/>
          <w:sz w:val="28"/>
          <w:rtl/>
          <w:lang w:bidi="ar-EG"/>
        </w:rPr>
        <w:t xml:space="preserve"> </w:t>
      </w:r>
      <w:r w:rsidR="00FA59AF">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 </w:t>
      </w:r>
      <w:r w:rsidR="00733849">
        <w:rPr>
          <w:rFonts w:ascii="Sakkal Majalla" w:hAnsi="Sakkal Majalla" w:cs="Sakkal Majalla" w:hint="cs"/>
          <w:sz w:val="28"/>
          <w:rtl/>
          <w:lang w:bidi="ar-EG"/>
        </w:rPr>
        <w:t xml:space="preserve">ارتفعت </w:t>
      </w:r>
      <w:r w:rsidR="00FA59AF" w:rsidRPr="00FA59AF">
        <w:rPr>
          <w:rFonts w:ascii="Sakkal Majalla" w:hAnsi="Sakkal Majalla" w:cs="Sakkal Majalla" w:hint="cs"/>
          <w:sz w:val="28"/>
          <w:rtl/>
          <w:lang w:bidi="ar-EG"/>
        </w:rPr>
        <w:t>تحسين الكفاءة رقابة الجمركية والحد من التهريب</w:t>
      </w:r>
      <w:r w:rsidR="00FA59AF" w:rsidRPr="00FA59AF">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الإنحدار التدريجي </w:t>
      </w:r>
      <w:r w:rsidRPr="0043278C">
        <w:rPr>
          <w:rFonts w:ascii="Sakkal Majalla" w:hAnsi="Sakkal Majalla" w:cs="Sakkal Majalla"/>
          <w:sz w:val="28"/>
          <w:lang w:bidi="ar-EG"/>
        </w:rPr>
        <w:t>Stepwies</w:t>
      </w:r>
      <w:r w:rsidRPr="0043278C">
        <w:rPr>
          <w:rFonts w:ascii="Sakkal Majalla" w:hAnsi="Sakkal Majalla" w:cs="Sakkal Majalla"/>
          <w:sz w:val="28"/>
          <w:rtl/>
          <w:lang w:bidi="ar-EG"/>
        </w:rPr>
        <w:t xml:space="preserve">  تم التوصل إلى النتائج التالية: </w:t>
      </w:r>
    </w:p>
    <w:p w14:paraId="7ED845F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(3/23) نتائج الإنحدار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095"/>
        <w:gridCol w:w="1726"/>
        <w:gridCol w:w="1642"/>
        <w:gridCol w:w="1262"/>
        <w:gridCol w:w="1545"/>
      </w:tblGrid>
      <w:tr w:rsidR="0043278C" w:rsidRPr="0043278C" w14:paraId="0082DE2A"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4A001C9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0156D32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7AEF85B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51EA863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2D2AE5C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1BE1DA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58423A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49596A6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654DBDA"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16EB6CF7" w14:textId="77777777" w:rsidTr="00851341">
        <w:trPr>
          <w:trHeight w:val="249"/>
          <w:jc w:val="center"/>
        </w:trPr>
        <w:tc>
          <w:tcPr>
            <w:tcW w:w="0" w:type="auto"/>
            <w:tcBorders>
              <w:top w:val="thickThinSmallGap" w:sz="24" w:space="0" w:color="auto"/>
            </w:tcBorders>
            <w:shd w:val="pct12" w:color="auto" w:fill="auto"/>
            <w:vAlign w:val="center"/>
          </w:tcPr>
          <w:p w14:paraId="3791ABED" w14:textId="7D0A89DA" w:rsidR="0043278C" w:rsidRPr="0043278C" w:rsidRDefault="00733849"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0" w:type="auto"/>
            <w:tcBorders>
              <w:top w:val="thickThinSmallGap" w:sz="24" w:space="0" w:color="auto"/>
            </w:tcBorders>
            <w:vAlign w:val="center"/>
          </w:tcPr>
          <w:p w14:paraId="6A7D858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3.272</w:t>
            </w:r>
          </w:p>
        </w:tc>
        <w:tc>
          <w:tcPr>
            <w:tcW w:w="0" w:type="auto"/>
            <w:tcBorders>
              <w:top w:val="thickThinSmallGap" w:sz="24" w:space="0" w:color="auto"/>
            </w:tcBorders>
            <w:vAlign w:val="center"/>
          </w:tcPr>
          <w:p w14:paraId="6C79717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0.166</w:t>
            </w:r>
          </w:p>
        </w:tc>
        <w:tc>
          <w:tcPr>
            <w:tcW w:w="0" w:type="auto"/>
            <w:tcBorders>
              <w:top w:val="thickThinSmallGap" w:sz="24" w:space="0" w:color="auto"/>
            </w:tcBorders>
            <w:vAlign w:val="center"/>
          </w:tcPr>
          <w:p w14:paraId="0A0232F4"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7.273</w:t>
            </w:r>
          </w:p>
        </w:tc>
        <w:tc>
          <w:tcPr>
            <w:tcW w:w="0" w:type="auto"/>
            <w:tcBorders>
              <w:top w:val="thickThinSmallGap" w:sz="24" w:space="0" w:color="auto"/>
            </w:tcBorders>
            <w:vAlign w:val="center"/>
          </w:tcPr>
          <w:p w14:paraId="11697CF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3BB136A4" w14:textId="77777777" w:rsidTr="00851341">
        <w:trPr>
          <w:trHeight w:val="245"/>
          <w:jc w:val="center"/>
        </w:trPr>
        <w:tc>
          <w:tcPr>
            <w:tcW w:w="0" w:type="auto"/>
            <w:shd w:val="pct12" w:color="auto" w:fill="auto"/>
            <w:vAlign w:val="center"/>
          </w:tcPr>
          <w:p w14:paraId="60C00EC7"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4303DA5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4.584</w:t>
            </w:r>
          </w:p>
        </w:tc>
        <w:tc>
          <w:tcPr>
            <w:tcW w:w="0" w:type="auto"/>
            <w:vAlign w:val="center"/>
          </w:tcPr>
          <w:p w14:paraId="05DBDA4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0.630</w:t>
            </w:r>
          </w:p>
        </w:tc>
        <w:tc>
          <w:tcPr>
            <w:tcW w:w="0" w:type="auto"/>
            <w:vAlign w:val="center"/>
          </w:tcPr>
          <w:p w14:paraId="5E50AE4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19.733</w:t>
            </w:r>
          </w:p>
        </w:tc>
        <w:tc>
          <w:tcPr>
            <w:tcW w:w="0" w:type="auto"/>
            <w:vAlign w:val="center"/>
          </w:tcPr>
          <w:p w14:paraId="5839C7C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39EEC65C" w14:textId="77777777" w:rsidTr="00851341">
        <w:trPr>
          <w:trHeight w:val="262"/>
          <w:jc w:val="center"/>
        </w:trPr>
        <w:tc>
          <w:tcPr>
            <w:tcW w:w="0" w:type="auto"/>
            <w:shd w:val="pct12" w:color="auto" w:fill="auto"/>
            <w:vAlign w:val="center"/>
          </w:tcPr>
          <w:p w14:paraId="188A1144"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0" w:type="auto"/>
            <w:gridSpan w:val="4"/>
            <w:vAlign w:val="center"/>
          </w:tcPr>
          <w:p w14:paraId="03C50F76" w14:textId="786C2B39" w:rsidR="0043278C" w:rsidRPr="0043278C" w:rsidRDefault="00733849" w:rsidP="00E31804">
            <w:pPr>
              <w:pStyle w:val="BlockText"/>
              <w:jc w:val="center"/>
              <w:rPr>
                <w:rFonts w:ascii="Sakkal Majalla" w:hAnsi="Sakkal Majalla" w:cs="Sakkal Majalla"/>
                <w:sz w:val="28"/>
                <w:rtl/>
                <w:lang w:bidi="ar-EG"/>
              </w:rPr>
            </w:pPr>
            <w:r w:rsidRPr="00733849">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4.584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3.272</w:t>
            </w:r>
          </w:p>
        </w:tc>
      </w:tr>
      <w:tr w:rsidR="0043278C" w:rsidRPr="0043278C" w14:paraId="726D7DC3" w14:textId="77777777" w:rsidTr="00851341">
        <w:trPr>
          <w:trHeight w:val="253"/>
          <w:jc w:val="center"/>
        </w:trPr>
        <w:tc>
          <w:tcPr>
            <w:tcW w:w="0" w:type="auto"/>
            <w:shd w:val="pct12" w:color="auto" w:fill="auto"/>
            <w:vAlign w:val="center"/>
          </w:tcPr>
          <w:p w14:paraId="183C7C82"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vAlign w:val="center"/>
          </w:tcPr>
          <w:p w14:paraId="63814CD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0.50</w:t>
            </w:r>
          </w:p>
        </w:tc>
      </w:tr>
      <w:tr w:rsidR="0043278C" w:rsidRPr="0043278C" w14:paraId="5C6806C4" w14:textId="77777777" w:rsidTr="00851341">
        <w:trPr>
          <w:trHeight w:val="242"/>
          <w:jc w:val="center"/>
        </w:trPr>
        <w:tc>
          <w:tcPr>
            <w:tcW w:w="0" w:type="auto"/>
            <w:shd w:val="pct12" w:color="auto" w:fill="auto"/>
            <w:vAlign w:val="center"/>
          </w:tcPr>
          <w:p w14:paraId="6D7EA1B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E0FD243" w14:textId="77777777" w:rsidR="0043278C" w:rsidRPr="0043278C" w:rsidRDefault="0043278C" w:rsidP="00E31804">
            <w:pPr>
              <w:pStyle w:val="BlockText"/>
              <w:jc w:val="both"/>
              <w:rPr>
                <w:rFonts w:ascii="Sakkal Majalla" w:hAnsi="Sakkal Majalla" w:cs="Sakkal Majalla"/>
                <w:sz w:val="28"/>
                <w:rtl/>
                <w:lang w:bidi="ar-EG"/>
              </w:rPr>
            </w:pPr>
          </w:p>
        </w:tc>
        <w:tc>
          <w:tcPr>
            <w:tcW w:w="0" w:type="auto"/>
            <w:gridSpan w:val="4"/>
            <w:vAlign w:val="center"/>
          </w:tcPr>
          <w:p w14:paraId="30021EE5"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389.396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w:t>
            </w:r>
            <w:r w:rsidRPr="0043278C">
              <w:rPr>
                <w:rFonts w:ascii="Sakkal Majalla" w:hAnsi="Sakkal Majalla" w:cs="Sakkal Majalla"/>
                <w:sz w:val="28"/>
                <w:lang w:bidi="ar-EG"/>
              </w:rPr>
              <w:t xml:space="preserve">   0.000</w:t>
            </w:r>
          </w:p>
        </w:tc>
      </w:tr>
    </w:tbl>
    <w:p w14:paraId="1DD8634C"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1662923" w14:textId="67389D1B"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3C2A1E">
        <w:rPr>
          <w:rFonts w:ascii="Sakkal Majalla" w:hAnsi="Sakkal Majalla" w:cs="Sakkal Majalla" w:hint="cs"/>
          <w:sz w:val="28"/>
          <w:rtl/>
          <w:lang w:bidi="ar-EG"/>
        </w:rPr>
        <w:t>ل</w:t>
      </w:r>
      <w:r w:rsidR="003C2A1E" w:rsidRPr="003C2A1E">
        <w:rPr>
          <w:rFonts w:ascii="Sakkal Majalla" w:hAnsi="Sakkal Majalla" w:cs="Sakkal Majalla"/>
          <w:sz w:val="28"/>
          <w:rtl/>
          <w:lang w:bidi="ar-EG"/>
        </w:rPr>
        <w:t xml:space="preserve">لتحول الرقمي وتحسين الكفاءة رقابة الجمركية والحد من التهريب </w:t>
      </w:r>
      <w:r w:rsidRPr="0043278C">
        <w:rPr>
          <w:rFonts w:ascii="Sakkal Majalla" w:hAnsi="Sakkal Majalla" w:cs="Sakkal Majalla"/>
          <w:sz w:val="28"/>
          <w:rtl/>
          <w:lang w:bidi="ar-EG"/>
        </w:rPr>
        <w:t xml:space="preserve">، وتظهر النتائج أن معامل التحديد للنموذج يفسر 50%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389.396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1744E4FB"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49112CAD"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r w:rsidRPr="0043278C">
        <w:rPr>
          <w:rFonts w:ascii="Sakkal Majalla" w:hAnsi="Sakkal Majalla" w:cs="Sakkal Majalla"/>
          <w:sz w:val="28"/>
          <w:lang w:bidi="ar-EG"/>
        </w:rPr>
        <w:t>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32EBCB3B"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lastRenderedPageBreak/>
        <w:t>التخطيط المالي = 4.584 +</w:t>
      </w:r>
      <w:r w:rsidRPr="0043278C">
        <w:rPr>
          <w:rFonts w:ascii="Sakkal Majalla" w:hAnsi="Sakkal Majalla" w:cs="Sakkal Majalla"/>
          <w:sz w:val="28"/>
          <w:lang w:bidi="ar-EG"/>
        </w:rPr>
        <w:t>(</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3.272  </w:t>
      </w:r>
    </w:p>
    <w:p w14:paraId="1AE05CDE" w14:textId="7062FB6E"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3C2A1E" w:rsidRPr="003C2A1E">
        <w:rPr>
          <w:rFonts w:ascii="Sakkal Majalla" w:hAnsi="Sakkal Majalla" w:cs="Sakkal Majalla"/>
          <w:sz w:val="28"/>
          <w:rtl/>
          <w:lang w:bidi="ar-EG"/>
        </w:rPr>
        <w:t>التحول الرقمي وتحسين الكفاءة رقابة الجمركية والحد من التهريب</w:t>
      </w:r>
      <w:r w:rsidRPr="0043278C">
        <w:rPr>
          <w:rFonts w:ascii="Sakkal Majalla" w:hAnsi="Sakkal Majalla" w:cs="Sakkal Majalla"/>
          <w:sz w:val="28"/>
          <w:rtl/>
          <w:lang w:bidi="ar-EG"/>
        </w:rPr>
        <w:t>.</w:t>
      </w:r>
    </w:p>
    <w:p w14:paraId="2C57809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رقم (3/24)</w:t>
      </w:r>
    </w:p>
    <w:p w14:paraId="33ED4027" w14:textId="300E6B05"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r w:rsidR="003C2A1E" w:rsidRPr="003C2A1E">
        <w:rPr>
          <w:rFonts w:ascii="Sakkal Majalla" w:hAnsi="Sakkal Majalla" w:cs="Sakkal Majalla"/>
          <w:b/>
          <w:bCs/>
          <w:sz w:val="28"/>
          <w:rtl/>
          <w:lang w:bidi="ar-EG"/>
        </w:rPr>
        <w:t>التحول الرقمي وتحسين الكفاءة رقابة الجمركية والحد من التهريب</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84"/>
        <w:gridCol w:w="1165"/>
      </w:tblGrid>
      <w:tr w:rsidR="0043278C" w:rsidRPr="0043278C" w14:paraId="61970ED0"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2FC2F874"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65C23D4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7B59D0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D567714"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39230A1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1045F2D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6680D7B9"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77E0BCF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03BDDA4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56C609D" w14:textId="77777777" w:rsidR="0043278C" w:rsidRPr="0043278C" w:rsidRDefault="0043278C" w:rsidP="00E31804">
            <w:pPr>
              <w:pStyle w:val="BlockText"/>
              <w:ind w:left="0"/>
              <w:rPr>
                <w:rFonts w:ascii="Sakkal Majalla" w:hAnsi="Sakkal Majalla" w:cs="Sakkal Majalla"/>
                <w:b/>
                <w:bCs/>
                <w:sz w:val="28"/>
                <w:rtl/>
                <w:lang w:bidi="ar-EG"/>
              </w:rPr>
            </w:pPr>
          </w:p>
          <w:p w14:paraId="49C33A0E"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1C0EB912" w14:textId="77777777" w:rsidTr="00851341">
        <w:trPr>
          <w:trHeight w:val="297"/>
          <w:jc w:val="center"/>
        </w:trPr>
        <w:tc>
          <w:tcPr>
            <w:tcW w:w="0" w:type="auto"/>
            <w:tcBorders>
              <w:top w:val="thickThinSmallGap" w:sz="24" w:space="0" w:color="auto"/>
            </w:tcBorders>
            <w:shd w:val="pct12" w:color="auto" w:fill="auto"/>
            <w:vAlign w:val="center"/>
          </w:tcPr>
          <w:p w14:paraId="7B2038B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1E2BFD8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1500.088</w:t>
            </w:r>
          </w:p>
        </w:tc>
        <w:tc>
          <w:tcPr>
            <w:tcW w:w="0" w:type="auto"/>
            <w:tcBorders>
              <w:top w:val="thickThinSmallGap" w:sz="24" w:space="0" w:color="auto"/>
            </w:tcBorders>
            <w:vAlign w:val="center"/>
          </w:tcPr>
          <w:p w14:paraId="18A9D71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6AC9B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1500.088</w:t>
            </w:r>
          </w:p>
        </w:tc>
        <w:tc>
          <w:tcPr>
            <w:tcW w:w="0" w:type="auto"/>
            <w:vMerge w:val="restart"/>
            <w:tcBorders>
              <w:top w:val="thickThinSmallGap" w:sz="24" w:space="0" w:color="auto"/>
            </w:tcBorders>
          </w:tcPr>
          <w:p w14:paraId="66E079F4"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389.936</w:t>
            </w:r>
          </w:p>
        </w:tc>
        <w:tc>
          <w:tcPr>
            <w:tcW w:w="0" w:type="auto"/>
            <w:vMerge w:val="restart"/>
            <w:tcBorders>
              <w:top w:val="thickThinSmallGap" w:sz="24" w:space="0" w:color="auto"/>
            </w:tcBorders>
          </w:tcPr>
          <w:p w14:paraId="4CB377FB"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3F76F80A" w14:textId="77777777" w:rsidTr="00851341">
        <w:trPr>
          <w:trHeight w:val="388"/>
          <w:jc w:val="center"/>
        </w:trPr>
        <w:tc>
          <w:tcPr>
            <w:tcW w:w="0" w:type="auto"/>
            <w:shd w:val="pct12" w:color="auto" w:fill="auto"/>
            <w:vAlign w:val="center"/>
          </w:tcPr>
          <w:p w14:paraId="7BDE95B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2521A34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1471.596</w:t>
            </w:r>
          </w:p>
        </w:tc>
        <w:tc>
          <w:tcPr>
            <w:tcW w:w="0" w:type="auto"/>
            <w:vAlign w:val="center"/>
          </w:tcPr>
          <w:p w14:paraId="1682D8D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34C6042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3.852</w:t>
            </w:r>
          </w:p>
        </w:tc>
        <w:tc>
          <w:tcPr>
            <w:tcW w:w="0" w:type="auto"/>
            <w:vMerge/>
          </w:tcPr>
          <w:p w14:paraId="2B9A27A8"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53F0298D"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17B41001" w14:textId="77777777" w:rsidTr="00851341">
        <w:trPr>
          <w:trHeight w:val="365"/>
          <w:jc w:val="center"/>
        </w:trPr>
        <w:tc>
          <w:tcPr>
            <w:tcW w:w="0" w:type="auto"/>
            <w:shd w:val="pct12" w:color="auto" w:fill="auto"/>
            <w:vAlign w:val="center"/>
          </w:tcPr>
          <w:p w14:paraId="52166E19"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418AA67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2971.685</w:t>
            </w:r>
          </w:p>
        </w:tc>
        <w:tc>
          <w:tcPr>
            <w:tcW w:w="0" w:type="auto"/>
            <w:vAlign w:val="center"/>
          </w:tcPr>
          <w:p w14:paraId="7F205CC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794E1D7"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45A8C5F4"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76BEFB1A"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56468BDC" w14:textId="77777777" w:rsidTr="00851341">
        <w:trPr>
          <w:trHeight w:val="399"/>
          <w:jc w:val="center"/>
        </w:trPr>
        <w:tc>
          <w:tcPr>
            <w:tcW w:w="0" w:type="auto"/>
            <w:gridSpan w:val="6"/>
            <w:shd w:val="clear" w:color="auto" w:fill="auto"/>
            <w:vAlign w:val="center"/>
          </w:tcPr>
          <w:p w14:paraId="71D6BE11"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0.710</w:t>
            </w:r>
          </w:p>
        </w:tc>
      </w:tr>
      <w:tr w:rsidR="0043278C" w:rsidRPr="0043278C" w14:paraId="4EC01B8C" w14:textId="77777777" w:rsidTr="00851341">
        <w:trPr>
          <w:trHeight w:val="390"/>
          <w:jc w:val="center"/>
        </w:trPr>
        <w:tc>
          <w:tcPr>
            <w:tcW w:w="0" w:type="auto"/>
            <w:gridSpan w:val="6"/>
            <w:shd w:val="clear" w:color="auto" w:fill="auto"/>
            <w:vAlign w:val="center"/>
          </w:tcPr>
          <w:p w14:paraId="6B70502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0.505</w:t>
            </w:r>
          </w:p>
        </w:tc>
      </w:tr>
      <w:tr w:rsidR="0043278C" w:rsidRPr="0043278C" w14:paraId="48D36587" w14:textId="77777777" w:rsidTr="00851341">
        <w:trPr>
          <w:trHeight w:val="397"/>
          <w:jc w:val="center"/>
        </w:trPr>
        <w:tc>
          <w:tcPr>
            <w:tcW w:w="0" w:type="auto"/>
            <w:gridSpan w:val="6"/>
            <w:shd w:val="clear" w:color="auto" w:fill="auto"/>
            <w:vAlign w:val="center"/>
          </w:tcPr>
          <w:p w14:paraId="3AED9E01"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0.503</w:t>
            </w:r>
          </w:p>
        </w:tc>
      </w:tr>
      <w:tr w:rsidR="0043278C" w:rsidRPr="0043278C" w14:paraId="7A9676AF" w14:textId="77777777" w:rsidTr="00851341">
        <w:trPr>
          <w:trHeight w:val="375"/>
          <w:jc w:val="center"/>
        </w:trPr>
        <w:tc>
          <w:tcPr>
            <w:tcW w:w="0" w:type="auto"/>
            <w:gridSpan w:val="6"/>
            <w:shd w:val="clear" w:color="auto" w:fill="auto"/>
            <w:vAlign w:val="center"/>
          </w:tcPr>
          <w:p w14:paraId="70EACBB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1.96274</w:t>
            </w:r>
          </w:p>
        </w:tc>
      </w:tr>
    </w:tbl>
    <w:p w14:paraId="795408CA"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7E218E8" w14:textId="03E0056B"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3C2A1E" w:rsidRPr="003C2A1E">
        <w:rPr>
          <w:rFonts w:ascii="Sakkal Majalla" w:hAnsi="Sakkal Majalla" w:cs="Sakkal Majalla"/>
          <w:sz w:val="28"/>
          <w:rtl/>
          <w:lang w:bidi="ar-EG"/>
        </w:rPr>
        <w:t xml:space="preserve">التحول الرقمي وتحسين الكفاءة رقابة الجمركية والحد من التهريب </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3C2A1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 تأثير على </w:t>
      </w:r>
      <w:r w:rsidR="003C2A1E" w:rsidRPr="003C2A1E">
        <w:rPr>
          <w:rFonts w:ascii="Sakkal Majalla" w:hAnsi="Sakkal Majalla" w:cs="Sakkal Majalla"/>
          <w:sz w:val="28"/>
          <w:rtl/>
          <w:lang w:bidi="ar-EG"/>
        </w:rPr>
        <w:t>تحسين الكفاءة رقابة الجمركية والحد من التهريب</w:t>
      </w:r>
      <w:r w:rsidRPr="0043278C">
        <w:rPr>
          <w:rFonts w:ascii="Sakkal Majalla" w:hAnsi="Sakkal Majalla" w:cs="Sakkal Majalla"/>
          <w:sz w:val="28"/>
          <w:rtl/>
          <w:lang w:bidi="ar-EG"/>
        </w:rPr>
        <w:t xml:space="preserve"> المتغير التابع،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27E248EF"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(3/19) أن : </w:t>
      </w:r>
    </w:p>
    <w:p w14:paraId="2F14CBB2"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4BD74175" w14:textId="0A52C992"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0.505 ، أى أن المتغيرات </w:t>
      </w:r>
      <w:r w:rsidR="003C2A1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51% من التغير فى المتغير التابع </w:t>
      </w:r>
      <w:r w:rsidR="007D19BA">
        <w:rPr>
          <w:rFonts w:ascii="Sakkal Majalla" w:hAnsi="Sakkal Majalla" w:cs="Sakkal Majalla" w:hint="cs"/>
          <w:sz w:val="28"/>
          <w:rtl/>
          <w:lang w:bidi="ar-EG"/>
        </w:rPr>
        <w:t>ت</w:t>
      </w:r>
      <w:r w:rsidR="007D19BA" w:rsidRPr="007D19BA">
        <w:rPr>
          <w:rFonts w:ascii="Sakkal Majalla" w:hAnsi="Sakkal Majalla" w:cs="Sakkal Majalla"/>
          <w:sz w:val="28"/>
          <w:rtl/>
          <w:lang w:bidi="ar-EG"/>
        </w:rPr>
        <w:t>حسين الكفاءة رقابة الجمركية والحد من التهريب</w:t>
      </w:r>
      <w:r w:rsidRPr="0043278C">
        <w:rPr>
          <w:rFonts w:ascii="Sakkal Majalla" w:hAnsi="Sakkal Majalla" w:cs="Sakkal Majalla"/>
          <w:sz w:val="28"/>
          <w:rtl/>
          <w:lang w:bidi="ar-EG"/>
        </w:rPr>
        <w:t>.</w:t>
      </w:r>
    </w:p>
    <w:p w14:paraId="1BF6FE85"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0.71 .  </w:t>
      </w:r>
    </w:p>
    <w:p w14:paraId="7DCBE6C3" w14:textId="77777777" w:rsidR="00EA7353" w:rsidRDefault="00EA7353" w:rsidP="00E31804">
      <w:pPr>
        <w:spacing w:line="240" w:lineRule="auto"/>
        <w:ind w:left="444"/>
        <w:jc w:val="lowKashida"/>
        <w:rPr>
          <w:rFonts w:ascii="Sakkal Majalla" w:hAnsi="Sakkal Majalla" w:cs="Sakkal Majalla"/>
          <w:b/>
          <w:bCs/>
          <w:sz w:val="28"/>
          <w:szCs w:val="28"/>
          <w:rtl/>
          <w:lang w:bidi="ar-EG"/>
        </w:rPr>
      </w:pPr>
    </w:p>
    <w:p w14:paraId="22E8742C" w14:textId="00ACBC99"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4ABD863D" w14:textId="02848A16" w:rsidR="0043278C" w:rsidRP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B651C8" w:rsidRPr="00B651C8">
        <w:rPr>
          <w:rFonts w:ascii="Sakkal Majalla" w:hAnsi="Sakkal Majalla" w:cs="Sakkal Majalla"/>
          <w:sz w:val="28"/>
          <w:szCs w:val="28"/>
          <w:rtl/>
          <w:lang w:bidi="ar-EG"/>
        </w:rPr>
        <w:t>تحسين الكفاءة رقابة الجمركية والحد من التهريب</w:t>
      </w:r>
      <w:r w:rsidRPr="0043278C">
        <w:rPr>
          <w:rFonts w:ascii="Sakkal Majalla" w:hAnsi="Sakkal Majalla" w:cs="Sakkal Majalla"/>
          <w:sz w:val="28"/>
          <w:szCs w:val="28"/>
          <w:rtl/>
          <w:lang w:bidi="ar-EG"/>
        </w:rPr>
        <w:t xml:space="preserve">،  وفيما يلي نموذج العلاقة الناتج : </w:t>
      </w:r>
    </w:p>
    <w:p w14:paraId="63D3AC39"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(3/25) </w:t>
      </w:r>
    </w:p>
    <w:p w14:paraId="4A82ED49" w14:textId="39409370"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الإنحدار التدريجي لأختبار </w:t>
      </w:r>
      <w:r w:rsidR="00B651C8" w:rsidRPr="00B651C8">
        <w:rPr>
          <w:rFonts w:ascii="Sakkal Majalla" w:hAnsi="Sakkal Majalla" w:cs="Sakkal Majalla"/>
          <w:b/>
          <w:bCs/>
          <w:sz w:val="28"/>
          <w:rtl/>
          <w:lang w:bidi="ar-EG"/>
        </w:rPr>
        <w:t>التحول الرقمي وتحسين الكفاءة رقابة الجمركية والحد من التهريب</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518"/>
        <w:gridCol w:w="1894"/>
        <w:gridCol w:w="1784"/>
        <w:gridCol w:w="1401"/>
        <w:gridCol w:w="1673"/>
      </w:tblGrid>
      <w:tr w:rsidR="0043278C" w:rsidRPr="0043278C" w14:paraId="1A1D7239"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1BD5D68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75948835"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5E3A40CE"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BD4F9D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482D47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1A1D241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AFF01F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3FB389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67B80825"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1B70C0D5" w14:textId="77777777" w:rsidTr="00851341">
        <w:trPr>
          <w:trHeight w:val="471"/>
          <w:jc w:val="center"/>
        </w:trPr>
        <w:tc>
          <w:tcPr>
            <w:tcW w:w="0" w:type="auto"/>
            <w:tcBorders>
              <w:top w:val="thickThinSmallGap" w:sz="24" w:space="0" w:color="auto"/>
            </w:tcBorders>
            <w:shd w:val="pct12" w:color="auto" w:fill="auto"/>
            <w:vAlign w:val="center"/>
          </w:tcPr>
          <w:p w14:paraId="76B3B511" w14:textId="1FCFEB6D" w:rsidR="0043278C" w:rsidRPr="0043278C" w:rsidRDefault="00B651C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0" w:type="auto"/>
            <w:tcBorders>
              <w:top w:val="thickThinSmallGap" w:sz="24" w:space="0" w:color="auto"/>
            </w:tcBorders>
            <w:vAlign w:val="center"/>
          </w:tcPr>
          <w:p w14:paraId="67364E8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0.017</w:t>
            </w:r>
          </w:p>
        </w:tc>
        <w:tc>
          <w:tcPr>
            <w:tcW w:w="0" w:type="auto"/>
            <w:tcBorders>
              <w:top w:val="thickThinSmallGap" w:sz="24" w:space="0" w:color="auto"/>
            </w:tcBorders>
            <w:vAlign w:val="center"/>
          </w:tcPr>
          <w:p w14:paraId="296E721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0.007</w:t>
            </w:r>
          </w:p>
        </w:tc>
        <w:tc>
          <w:tcPr>
            <w:tcW w:w="0" w:type="auto"/>
            <w:tcBorders>
              <w:top w:val="thickThinSmallGap" w:sz="24" w:space="0" w:color="auto"/>
            </w:tcBorders>
            <w:vAlign w:val="center"/>
          </w:tcPr>
          <w:p w14:paraId="0D1CDF2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2.247</w:t>
            </w:r>
          </w:p>
        </w:tc>
        <w:tc>
          <w:tcPr>
            <w:tcW w:w="0" w:type="auto"/>
            <w:tcBorders>
              <w:top w:val="thickThinSmallGap" w:sz="24" w:space="0" w:color="auto"/>
            </w:tcBorders>
          </w:tcPr>
          <w:p w14:paraId="27A90D52"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9ADEAAB" w14:textId="77777777" w:rsidTr="00851341">
        <w:trPr>
          <w:trHeight w:val="330"/>
          <w:jc w:val="center"/>
        </w:trPr>
        <w:tc>
          <w:tcPr>
            <w:tcW w:w="0" w:type="auto"/>
            <w:shd w:val="pct12" w:color="auto" w:fill="auto"/>
            <w:vAlign w:val="center"/>
          </w:tcPr>
          <w:p w14:paraId="4FA26E24" w14:textId="57F7CAE6" w:rsidR="0043278C" w:rsidRPr="0043278C" w:rsidRDefault="00B651C8"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0" w:type="auto"/>
            <w:vAlign w:val="center"/>
          </w:tcPr>
          <w:p w14:paraId="25682EDA"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lang w:bidi="ar-EG"/>
              </w:rPr>
              <w:t>0.299</w:t>
            </w:r>
          </w:p>
        </w:tc>
        <w:tc>
          <w:tcPr>
            <w:tcW w:w="0" w:type="auto"/>
            <w:vAlign w:val="center"/>
          </w:tcPr>
          <w:p w14:paraId="28DA178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0.015</w:t>
            </w:r>
          </w:p>
        </w:tc>
        <w:tc>
          <w:tcPr>
            <w:tcW w:w="0" w:type="auto"/>
            <w:vAlign w:val="center"/>
          </w:tcPr>
          <w:p w14:paraId="51C5173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20.153</w:t>
            </w:r>
          </w:p>
        </w:tc>
        <w:tc>
          <w:tcPr>
            <w:tcW w:w="0" w:type="auto"/>
          </w:tcPr>
          <w:p w14:paraId="11197BC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FEAA678" w14:textId="77777777" w:rsidTr="00851341">
        <w:trPr>
          <w:trHeight w:val="384"/>
          <w:jc w:val="center"/>
        </w:trPr>
        <w:tc>
          <w:tcPr>
            <w:tcW w:w="0" w:type="auto"/>
            <w:shd w:val="pct12" w:color="auto" w:fill="auto"/>
            <w:vAlign w:val="center"/>
          </w:tcPr>
          <w:p w14:paraId="40105B24" w14:textId="6A620A24" w:rsidR="0043278C" w:rsidRPr="0043278C" w:rsidRDefault="00B651C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0" w:type="auto"/>
            <w:vAlign w:val="center"/>
          </w:tcPr>
          <w:p w14:paraId="4E8556A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1.057</w:t>
            </w:r>
          </w:p>
        </w:tc>
        <w:tc>
          <w:tcPr>
            <w:tcW w:w="0" w:type="auto"/>
            <w:vAlign w:val="center"/>
          </w:tcPr>
          <w:p w14:paraId="6C5B52E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0.014</w:t>
            </w:r>
          </w:p>
        </w:tc>
        <w:tc>
          <w:tcPr>
            <w:tcW w:w="0" w:type="auto"/>
            <w:vAlign w:val="center"/>
          </w:tcPr>
          <w:p w14:paraId="06889E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73.936</w:t>
            </w:r>
          </w:p>
        </w:tc>
        <w:tc>
          <w:tcPr>
            <w:tcW w:w="0" w:type="auto"/>
          </w:tcPr>
          <w:p w14:paraId="4239011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6705C57F" w14:textId="77777777" w:rsidTr="00851341">
        <w:trPr>
          <w:trHeight w:val="346"/>
          <w:jc w:val="center"/>
        </w:trPr>
        <w:tc>
          <w:tcPr>
            <w:tcW w:w="0" w:type="auto"/>
            <w:shd w:val="pct12" w:color="auto" w:fill="auto"/>
            <w:vAlign w:val="center"/>
          </w:tcPr>
          <w:p w14:paraId="5A0C0D08"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1B5CC8F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0.493</w:t>
            </w:r>
          </w:p>
        </w:tc>
        <w:tc>
          <w:tcPr>
            <w:tcW w:w="0" w:type="auto"/>
            <w:vAlign w:val="center"/>
          </w:tcPr>
          <w:p w14:paraId="51969C7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0.198</w:t>
            </w:r>
          </w:p>
        </w:tc>
        <w:tc>
          <w:tcPr>
            <w:tcW w:w="0" w:type="auto"/>
            <w:vAlign w:val="center"/>
          </w:tcPr>
          <w:p w14:paraId="19FE9C2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2.492</w:t>
            </w:r>
          </w:p>
        </w:tc>
        <w:tc>
          <w:tcPr>
            <w:tcW w:w="0" w:type="auto"/>
          </w:tcPr>
          <w:p w14:paraId="57B8C90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4BB462C4" w14:textId="77777777" w:rsidTr="00851341">
        <w:trPr>
          <w:trHeight w:val="393"/>
          <w:jc w:val="center"/>
        </w:trPr>
        <w:tc>
          <w:tcPr>
            <w:tcW w:w="0" w:type="auto"/>
            <w:shd w:val="pct12" w:color="auto" w:fill="auto"/>
            <w:vAlign w:val="center"/>
          </w:tcPr>
          <w:p w14:paraId="637687CE"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0" w:type="auto"/>
            <w:gridSpan w:val="4"/>
            <w:vAlign w:val="center"/>
          </w:tcPr>
          <w:p w14:paraId="5544CE8A" w14:textId="4E0D2ED9" w:rsidR="0043278C" w:rsidRPr="0043278C" w:rsidRDefault="00B651C8" w:rsidP="00E31804">
            <w:pPr>
              <w:pStyle w:val="BlockText"/>
              <w:ind w:left="0"/>
              <w:jc w:val="center"/>
              <w:rPr>
                <w:rFonts w:ascii="Sakkal Majalla" w:hAnsi="Sakkal Majalla" w:cs="Sakkal Majalla"/>
                <w:sz w:val="28"/>
                <w:rtl/>
                <w:lang w:bidi="ar-EG"/>
              </w:rPr>
            </w:pPr>
            <w:r w:rsidRPr="00B651C8">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0.493</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0.017</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0.299</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+1.057</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0.052(x4)</w:t>
            </w:r>
          </w:p>
        </w:tc>
      </w:tr>
      <w:tr w:rsidR="0043278C" w:rsidRPr="0043278C" w14:paraId="2D6CA671" w14:textId="77777777" w:rsidTr="00851341">
        <w:trPr>
          <w:trHeight w:val="385"/>
          <w:jc w:val="center"/>
        </w:trPr>
        <w:tc>
          <w:tcPr>
            <w:tcW w:w="0" w:type="auto"/>
            <w:shd w:val="pct12" w:color="auto" w:fill="auto"/>
            <w:vAlign w:val="center"/>
          </w:tcPr>
          <w:p w14:paraId="623DE2D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vAlign w:val="center"/>
          </w:tcPr>
          <w:p w14:paraId="7B34A36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0.95</w:t>
            </w:r>
          </w:p>
        </w:tc>
      </w:tr>
      <w:tr w:rsidR="0043278C" w:rsidRPr="0043278C" w14:paraId="5A26F4E9" w14:textId="77777777" w:rsidTr="00851341">
        <w:trPr>
          <w:trHeight w:val="405"/>
          <w:jc w:val="center"/>
        </w:trPr>
        <w:tc>
          <w:tcPr>
            <w:tcW w:w="0" w:type="auto"/>
            <w:shd w:val="pct12" w:color="auto" w:fill="auto"/>
            <w:vAlign w:val="center"/>
          </w:tcPr>
          <w:p w14:paraId="3C3A0D99"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A288A8A" w14:textId="77777777" w:rsidR="0043278C" w:rsidRPr="0043278C" w:rsidRDefault="0043278C" w:rsidP="00E31804">
            <w:pPr>
              <w:pStyle w:val="BlockText"/>
              <w:rPr>
                <w:rFonts w:ascii="Sakkal Majalla" w:hAnsi="Sakkal Majalla" w:cs="Sakkal Majalla"/>
                <w:sz w:val="28"/>
                <w:rtl/>
                <w:lang w:bidi="ar-EG"/>
              </w:rPr>
            </w:pPr>
          </w:p>
        </w:tc>
        <w:tc>
          <w:tcPr>
            <w:tcW w:w="0" w:type="auto"/>
            <w:gridSpan w:val="4"/>
            <w:vAlign w:val="center"/>
          </w:tcPr>
          <w:p w14:paraId="20578F73"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2219.242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38E6916"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29622DB0" w14:textId="30D09FCF"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B651C8" w:rsidRPr="00B651C8">
        <w:rPr>
          <w:rFonts w:ascii="Sakkal Majalla" w:hAnsi="Sakkal Majalla" w:cs="Sakkal Majalla"/>
          <w:sz w:val="28"/>
          <w:szCs w:val="28"/>
          <w:rtl/>
          <w:lang w:bidi="ar-EG"/>
        </w:rPr>
        <w:t xml:space="preserve">التحول الرقمي </w:t>
      </w:r>
      <w:r w:rsidR="00B651C8">
        <w:rPr>
          <w:rFonts w:ascii="Sakkal Majalla" w:hAnsi="Sakkal Majalla" w:cs="Sakkal Majalla" w:hint="cs"/>
          <w:sz w:val="28"/>
          <w:szCs w:val="28"/>
          <w:rtl/>
          <w:lang w:bidi="ar-EG"/>
        </w:rPr>
        <w:t xml:space="preserve">علي </w:t>
      </w:r>
      <w:r w:rsidR="00B651C8" w:rsidRPr="00B651C8">
        <w:rPr>
          <w:rFonts w:ascii="Sakkal Majalla" w:hAnsi="Sakkal Majalla" w:cs="Sakkal Majalla"/>
          <w:sz w:val="28"/>
          <w:szCs w:val="28"/>
          <w:rtl/>
          <w:lang w:bidi="ar-EG"/>
        </w:rPr>
        <w:t xml:space="preserve">تحسين الكفاءة رقابة الجمركية والحد من التهريب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B651C8">
        <w:rPr>
          <w:rFonts w:ascii="Sakkal Majalla" w:hAnsi="Sakkal Majalla" w:cs="Sakkal Majalla" w:hint="cs"/>
          <w:sz w:val="28"/>
          <w:szCs w:val="28"/>
          <w:rtl/>
          <w:lang w:bidi="ar-EG"/>
        </w:rPr>
        <w:t>التحول الرقمي</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95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2219.242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67F715C"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المتعدد :</w:t>
      </w:r>
    </w:p>
    <w:p w14:paraId="522CA7A5"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4  (</w:t>
      </w:r>
      <w:r w:rsidRPr="0043278C">
        <w:rPr>
          <w:rFonts w:ascii="Sakkal Majalla" w:hAnsi="Sakkal Majalla" w:cs="Sakkal Majalla"/>
          <w:b/>
          <w:bCs/>
          <w:sz w:val="28"/>
          <w:lang w:bidi="ar-EG"/>
        </w:rPr>
        <w:t xml:space="preserve">x4 </w:t>
      </w:r>
      <w:r w:rsidRPr="0043278C">
        <w:rPr>
          <w:rFonts w:ascii="Sakkal Majalla" w:hAnsi="Sakkal Majalla" w:cs="Sakkal Majalla"/>
          <w:sz w:val="28"/>
          <w:lang w:bidi="ar-EG"/>
        </w:rPr>
        <w:t>)</w:t>
      </w:r>
    </w:p>
    <w:p w14:paraId="16283AE3" w14:textId="711C5BF8" w:rsidR="0043278C" w:rsidRPr="0043278C" w:rsidRDefault="00B651C8" w:rsidP="00E31804">
      <w:pPr>
        <w:pStyle w:val="BlockText"/>
        <w:jc w:val="lowKashida"/>
        <w:rPr>
          <w:rFonts w:ascii="Sakkal Majalla" w:hAnsi="Sakkal Majalla" w:cs="Sakkal Majalla"/>
          <w:sz w:val="28"/>
          <w:rtl/>
          <w:lang w:bidi="ar-EG"/>
        </w:rPr>
      </w:pPr>
      <w:r w:rsidRPr="00B651C8">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0.493</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0.017</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0.299</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+1.057</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0.052(x4)</w:t>
      </w:r>
    </w:p>
    <w:p w14:paraId="2067D70E" w14:textId="0C2A5D36" w:rsidR="0043278C" w:rsidRDefault="0043278C" w:rsidP="00E31804">
      <w:pPr>
        <w:spacing w:line="240" w:lineRule="auto"/>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 وبناء على النتيجة السابقة والتحليل الإحصائي المتعلق بهذه النتيجة، يتم رفض فرض العدم وقبول الفرض البديل، بأن هناك تأثير ذا دلالة إحصائية </w:t>
      </w:r>
      <w:r w:rsidR="00B651C8" w:rsidRPr="00B651C8">
        <w:rPr>
          <w:rFonts w:ascii="Sakkal Majalla" w:hAnsi="Sakkal Majalla" w:cs="Sakkal Majalla"/>
          <w:sz w:val="28"/>
          <w:szCs w:val="28"/>
          <w:rtl/>
          <w:lang w:bidi="ar-EG"/>
        </w:rPr>
        <w:t>التحول الرقمي وتحسين الكفاءة رقابة الجمركية والحد من التهريب</w:t>
      </w:r>
      <w:r w:rsidRPr="0043278C">
        <w:rPr>
          <w:rFonts w:ascii="Sakkal Majalla" w:hAnsi="Sakkal Majalla" w:cs="Sakkal Majalla"/>
          <w:sz w:val="28"/>
          <w:szCs w:val="28"/>
          <w:rtl/>
          <w:lang w:bidi="ar-EG"/>
        </w:rPr>
        <w:t>.</w:t>
      </w:r>
    </w:p>
    <w:p w14:paraId="7E6409F9" w14:textId="77777777" w:rsidR="00E31804" w:rsidRDefault="00E31804" w:rsidP="00E31804">
      <w:pPr>
        <w:spacing w:line="240" w:lineRule="auto"/>
        <w:jc w:val="right"/>
        <w:rPr>
          <w:rFonts w:ascii="Sakkal Majalla" w:hAnsi="Sakkal Majalla" w:cs="Sakkal Majalla"/>
          <w:sz w:val="28"/>
          <w:szCs w:val="28"/>
          <w:rtl/>
          <w:lang w:bidi="ar-EG"/>
        </w:rPr>
      </w:pPr>
    </w:p>
    <w:p w14:paraId="3F894814" w14:textId="77777777" w:rsidR="00E31804" w:rsidRDefault="00E31804" w:rsidP="00E31804">
      <w:pPr>
        <w:spacing w:line="240" w:lineRule="auto"/>
        <w:jc w:val="right"/>
        <w:rPr>
          <w:rFonts w:ascii="Sakkal Majalla" w:hAnsi="Sakkal Majalla" w:cs="Sakkal Majalla"/>
          <w:sz w:val="28"/>
          <w:szCs w:val="28"/>
          <w:rtl/>
          <w:lang w:bidi="ar-EG"/>
        </w:rPr>
      </w:pPr>
    </w:p>
    <w:p w14:paraId="4AB1FD97" w14:textId="2DE9564D"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أختبار الفرض الثالث</w:t>
      </w:r>
      <w:r w:rsidRPr="0043278C">
        <w:rPr>
          <w:rFonts w:ascii="Sakkal Majalla" w:hAnsi="Sakkal Majalla" w:cs="Sakkal Majalla"/>
          <w:b/>
          <w:bCs/>
          <w:sz w:val="28"/>
          <w:lang w:bidi="ar-EG"/>
        </w:rPr>
        <w:t xml:space="preserve"> : </w:t>
      </w:r>
    </w:p>
    <w:p w14:paraId="295A6AF7" w14:textId="1EF9951D"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1A2298">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sidR="001A2298">
        <w:rPr>
          <w:rFonts w:ascii="Sakkal Majalla" w:hAnsi="Sakkal Majalla" w:cs="Sakkal Majalla" w:hint="cs"/>
          <w:b/>
          <w:bCs/>
          <w:sz w:val="28"/>
          <w:rtl/>
          <w:lang w:bidi="ar-EG"/>
        </w:rPr>
        <w:t>تعزيز التكامل والشراكات الاستراتيجي</w:t>
      </w:r>
      <w:r w:rsidR="001A2298">
        <w:rPr>
          <w:rFonts w:ascii="Sakkal Majalla" w:hAnsi="Sakkal Majalla" w:cs="Sakkal Majalla" w:hint="eastAsia"/>
          <w:b/>
          <w:bCs/>
          <w:sz w:val="28"/>
          <w:rtl/>
          <w:lang w:bidi="ar-EG"/>
        </w:rPr>
        <w:t>ة</w:t>
      </w:r>
      <w:r w:rsidRPr="0043278C">
        <w:rPr>
          <w:rFonts w:ascii="Sakkal Majalla" w:hAnsi="Sakkal Majalla" w:cs="Sakkal Majalla"/>
          <w:b/>
          <w:bCs/>
          <w:sz w:val="28"/>
          <w:rtl/>
          <w:lang w:bidi="ar-EG"/>
        </w:rPr>
        <w:t xml:space="preserve"> "</w:t>
      </w:r>
    </w:p>
    <w:p w14:paraId="0CC648CB"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2DE35D0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(3/26)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6CFE339C" w14:textId="77777777" w:rsidTr="00851341">
        <w:trPr>
          <w:jc w:val="center"/>
        </w:trPr>
        <w:tc>
          <w:tcPr>
            <w:tcW w:w="0" w:type="auto"/>
            <w:tcBorders>
              <w:top w:val="thickThinSmallGap" w:sz="24" w:space="0" w:color="auto"/>
              <w:bottom w:val="thickThinSmallGap" w:sz="24" w:space="0" w:color="auto"/>
            </w:tcBorders>
            <w:shd w:val="pct12" w:color="auto" w:fill="auto"/>
          </w:tcPr>
          <w:p w14:paraId="0674A1C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36DEBD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AFC52B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5E5EC89B" w14:textId="77777777" w:rsidTr="00851341">
        <w:trPr>
          <w:jc w:val="center"/>
        </w:trPr>
        <w:tc>
          <w:tcPr>
            <w:tcW w:w="0" w:type="auto"/>
            <w:tcBorders>
              <w:top w:val="thickThinSmallGap" w:sz="24" w:space="0" w:color="auto"/>
            </w:tcBorders>
          </w:tcPr>
          <w:p w14:paraId="6F0ECEB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0.438</w:t>
            </w:r>
          </w:p>
        </w:tc>
        <w:tc>
          <w:tcPr>
            <w:tcW w:w="0" w:type="auto"/>
            <w:tcBorders>
              <w:top w:val="thickThinSmallGap" w:sz="24" w:space="0" w:color="auto"/>
            </w:tcBorders>
          </w:tcPr>
          <w:p w14:paraId="261C799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2D70E06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7542CAAE"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E667664" w14:textId="1DDA9653"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897C18" w:rsidRPr="00897C18">
        <w:rPr>
          <w:rFonts w:ascii="Sakkal Majalla" w:hAnsi="Sakkal Majalla" w:cs="Sakkal Majalla"/>
          <w:sz w:val="28"/>
          <w:rtl/>
          <w:lang w:bidi="ar-EG"/>
        </w:rPr>
        <w:t xml:space="preserve">التحول الرقمي و تعزيز التكامل والشراكات الاستراتيجية </w:t>
      </w:r>
      <w:r w:rsidRPr="0043278C">
        <w:rPr>
          <w:rFonts w:ascii="Sakkal Majalla" w:hAnsi="Sakkal Majalla" w:cs="Sakkal Majalla"/>
          <w:sz w:val="28"/>
          <w:rtl/>
          <w:lang w:bidi="ar-EG"/>
        </w:rPr>
        <w:t xml:space="preserve">، حيث بلغت قيمة معامل الأرتباط  0.438  وهى دالة إحصائياً ، وتدل على وجود علاقة أرتباطية  طردية ،  تبين أنه كلما زادت </w:t>
      </w:r>
      <w:r w:rsidR="00897C18">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w:t>
      </w:r>
      <w:r w:rsidR="00897C18">
        <w:rPr>
          <w:rFonts w:ascii="Sakkal Majalla" w:hAnsi="Sakkal Majalla" w:cs="Sakkal Majalla" w:hint="cs"/>
          <w:sz w:val="28"/>
          <w:rtl/>
          <w:lang w:bidi="ar-EG"/>
        </w:rPr>
        <w:t>ت</w:t>
      </w:r>
      <w:r w:rsidRPr="0043278C">
        <w:rPr>
          <w:rFonts w:ascii="Sakkal Majalla" w:hAnsi="Sakkal Majalla" w:cs="Sakkal Majalla"/>
          <w:sz w:val="28"/>
          <w:rtl/>
          <w:lang w:bidi="ar-EG"/>
        </w:rPr>
        <w:t xml:space="preserve"> </w:t>
      </w:r>
      <w:r w:rsidR="00897C18">
        <w:rPr>
          <w:rFonts w:ascii="Sakkal Majalla" w:hAnsi="Sakkal Majalla" w:cs="Sakkal Majalla" w:hint="cs"/>
          <w:sz w:val="28"/>
          <w:rtl/>
          <w:lang w:bidi="ar-EG"/>
        </w:rPr>
        <w:t>الإدارة</w:t>
      </w:r>
      <w:r w:rsidRPr="0043278C">
        <w:rPr>
          <w:rFonts w:ascii="Sakkal Majalla" w:hAnsi="Sakkal Majalla" w:cs="Sakkal Majalla"/>
          <w:sz w:val="28"/>
          <w:rtl/>
          <w:lang w:bidi="ar-EG"/>
        </w:rPr>
        <w:t xml:space="preserve"> </w:t>
      </w:r>
      <w:r w:rsidR="00897C18">
        <w:rPr>
          <w:rFonts w:ascii="Sakkal Majalla" w:hAnsi="Sakkal Majalla" w:cs="Sakkal Majalla" w:hint="cs"/>
          <w:sz w:val="28"/>
          <w:rtl/>
          <w:lang w:bidi="ar-EG"/>
        </w:rPr>
        <w:t>ب</w:t>
      </w:r>
      <w:r w:rsidR="00897C18" w:rsidRPr="00897C18">
        <w:rPr>
          <w:rFonts w:ascii="Sakkal Majalla" w:hAnsi="Sakkal Majalla" w:cs="Sakkal Majalla"/>
          <w:sz w:val="28"/>
          <w:rtl/>
          <w:lang w:bidi="ar-EG"/>
        </w:rPr>
        <w:t xml:space="preserve">تعزيز التكامل والشراكات الاستراتيجية </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5BD8937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(3/27) نتائج الانحدار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240"/>
        <w:gridCol w:w="1581"/>
        <w:gridCol w:w="1642"/>
        <w:gridCol w:w="1262"/>
        <w:gridCol w:w="1545"/>
      </w:tblGrid>
      <w:tr w:rsidR="0043278C" w:rsidRPr="0043278C" w14:paraId="2E9E6ACC" w14:textId="77777777" w:rsidTr="00897C18">
        <w:trPr>
          <w:jc w:val="center"/>
        </w:trPr>
        <w:tc>
          <w:tcPr>
            <w:tcW w:w="3240" w:type="dxa"/>
            <w:tcBorders>
              <w:top w:val="thickThinSmallGap" w:sz="24" w:space="0" w:color="auto"/>
              <w:bottom w:val="thickThinSmallGap" w:sz="24" w:space="0" w:color="auto"/>
            </w:tcBorders>
            <w:shd w:val="pct12" w:color="auto" w:fill="auto"/>
            <w:vAlign w:val="center"/>
          </w:tcPr>
          <w:p w14:paraId="1E9F5FA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581" w:type="dxa"/>
            <w:tcBorders>
              <w:top w:val="thickThinSmallGap" w:sz="24" w:space="0" w:color="auto"/>
              <w:bottom w:val="thickThinSmallGap" w:sz="24" w:space="0" w:color="auto"/>
            </w:tcBorders>
            <w:shd w:val="pct12" w:color="auto" w:fill="auto"/>
            <w:vAlign w:val="center"/>
          </w:tcPr>
          <w:p w14:paraId="6326694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53A2C008"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25ADE5E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1B5A619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755F4D1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41DB77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313FB9D"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10A8966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E7DDF18" w14:textId="77777777" w:rsidTr="00897C18">
        <w:trPr>
          <w:trHeight w:val="478"/>
          <w:jc w:val="center"/>
        </w:trPr>
        <w:tc>
          <w:tcPr>
            <w:tcW w:w="3240" w:type="dxa"/>
            <w:tcBorders>
              <w:top w:val="thickThinSmallGap" w:sz="24" w:space="0" w:color="auto"/>
            </w:tcBorders>
            <w:shd w:val="pct12" w:color="auto" w:fill="auto"/>
            <w:vAlign w:val="center"/>
          </w:tcPr>
          <w:p w14:paraId="0E73E03D" w14:textId="14527377" w:rsidR="0043278C" w:rsidRPr="0043278C" w:rsidRDefault="00897C18"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581" w:type="dxa"/>
            <w:tcBorders>
              <w:top w:val="thickThinSmallGap" w:sz="24" w:space="0" w:color="auto"/>
            </w:tcBorders>
            <w:vAlign w:val="center"/>
          </w:tcPr>
          <w:p w14:paraId="0E6E4C9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2.724</w:t>
            </w:r>
          </w:p>
        </w:tc>
        <w:tc>
          <w:tcPr>
            <w:tcW w:w="0" w:type="auto"/>
            <w:tcBorders>
              <w:top w:val="thickThinSmallGap" w:sz="24" w:space="0" w:color="auto"/>
            </w:tcBorders>
            <w:vAlign w:val="center"/>
          </w:tcPr>
          <w:p w14:paraId="387E15A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0.286</w:t>
            </w:r>
          </w:p>
        </w:tc>
        <w:tc>
          <w:tcPr>
            <w:tcW w:w="0" w:type="auto"/>
            <w:tcBorders>
              <w:top w:val="thickThinSmallGap" w:sz="24" w:space="0" w:color="auto"/>
            </w:tcBorders>
            <w:vAlign w:val="center"/>
          </w:tcPr>
          <w:p w14:paraId="5812643D"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9.530</w:t>
            </w:r>
          </w:p>
        </w:tc>
        <w:tc>
          <w:tcPr>
            <w:tcW w:w="0" w:type="auto"/>
            <w:tcBorders>
              <w:top w:val="thickThinSmallGap" w:sz="24" w:space="0" w:color="auto"/>
            </w:tcBorders>
            <w:vAlign w:val="center"/>
          </w:tcPr>
          <w:p w14:paraId="549C628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4992F69" w14:textId="77777777" w:rsidTr="00897C18">
        <w:trPr>
          <w:trHeight w:val="404"/>
          <w:jc w:val="center"/>
        </w:trPr>
        <w:tc>
          <w:tcPr>
            <w:tcW w:w="3240" w:type="dxa"/>
            <w:shd w:val="pct12" w:color="auto" w:fill="auto"/>
            <w:vAlign w:val="center"/>
          </w:tcPr>
          <w:p w14:paraId="0DE458B7"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581" w:type="dxa"/>
            <w:vAlign w:val="center"/>
          </w:tcPr>
          <w:p w14:paraId="0C2C126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2.881</w:t>
            </w:r>
          </w:p>
        </w:tc>
        <w:tc>
          <w:tcPr>
            <w:tcW w:w="0" w:type="auto"/>
            <w:vAlign w:val="center"/>
          </w:tcPr>
          <w:p w14:paraId="11CB2D4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1.087</w:t>
            </w:r>
          </w:p>
        </w:tc>
        <w:tc>
          <w:tcPr>
            <w:tcW w:w="0" w:type="auto"/>
            <w:vAlign w:val="center"/>
          </w:tcPr>
          <w:p w14:paraId="3A93A15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2.652</w:t>
            </w:r>
          </w:p>
        </w:tc>
        <w:tc>
          <w:tcPr>
            <w:tcW w:w="0" w:type="auto"/>
            <w:vAlign w:val="center"/>
          </w:tcPr>
          <w:p w14:paraId="4CA0EC6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9EAC331" w14:textId="77777777" w:rsidTr="00897C18">
        <w:trPr>
          <w:trHeight w:val="397"/>
          <w:jc w:val="center"/>
        </w:trPr>
        <w:tc>
          <w:tcPr>
            <w:tcW w:w="3240" w:type="dxa"/>
            <w:shd w:val="pct12" w:color="auto" w:fill="auto"/>
            <w:vAlign w:val="center"/>
          </w:tcPr>
          <w:p w14:paraId="13BCB7BF"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6030" w:type="dxa"/>
            <w:gridSpan w:val="4"/>
            <w:vAlign w:val="center"/>
          </w:tcPr>
          <w:p w14:paraId="49E1E3BE" w14:textId="3A2EF5C1" w:rsidR="0043278C" w:rsidRPr="0043278C" w:rsidRDefault="00897C18" w:rsidP="00E31804">
            <w:pPr>
              <w:pStyle w:val="BlockText"/>
              <w:jc w:val="center"/>
              <w:rPr>
                <w:rFonts w:ascii="Sakkal Majalla" w:hAnsi="Sakkal Majalla" w:cs="Sakkal Majalla"/>
                <w:sz w:val="28"/>
                <w:rtl/>
                <w:lang w:bidi="ar-EG"/>
              </w:rPr>
            </w:pPr>
            <w:r w:rsidRPr="00897C18">
              <w:rPr>
                <w:rFonts w:ascii="Sakkal Majalla" w:hAnsi="Sakkal Majalla" w:cs="Sakkal Majalla"/>
                <w:sz w:val="28"/>
                <w:rtl/>
                <w:lang w:bidi="ar-EG"/>
              </w:rPr>
              <w:t xml:space="preserve">تعزيز التكامل والشراكات الاستراتيجية </w:t>
            </w:r>
            <w:r w:rsidR="0043278C" w:rsidRPr="0043278C">
              <w:rPr>
                <w:rFonts w:ascii="Sakkal Majalla" w:hAnsi="Sakkal Majalla" w:cs="Sakkal Majalla"/>
                <w:sz w:val="28"/>
                <w:rtl/>
                <w:lang w:bidi="ar-EG"/>
              </w:rPr>
              <w:t>=   2.881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2.724</w:t>
            </w:r>
          </w:p>
        </w:tc>
      </w:tr>
      <w:tr w:rsidR="0043278C" w:rsidRPr="0043278C" w14:paraId="3D19D2BE" w14:textId="77777777" w:rsidTr="00897C18">
        <w:trPr>
          <w:trHeight w:val="389"/>
          <w:jc w:val="center"/>
        </w:trPr>
        <w:tc>
          <w:tcPr>
            <w:tcW w:w="3240" w:type="dxa"/>
            <w:shd w:val="pct12" w:color="auto" w:fill="auto"/>
            <w:vAlign w:val="center"/>
          </w:tcPr>
          <w:p w14:paraId="3E4F2078"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6030" w:type="dxa"/>
            <w:gridSpan w:val="4"/>
            <w:vAlign w:val="center"/>
          </w:tcPr>
          <w:p w14:paraId="7C9D643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0.19</w:t>
            </w:r>
          </w:p>
        </w:tc>
      </w:tr>
      <w:tr w:rsidR="0043278C" w:rsidRPr="0043278C" w14:paraId="51F11449" w14:textId="77777777" w:rsidTr="00897C18">
        <w:trPr>
          <w:trHeight w:val="536"/>
          <w:jc w:val="center"/>
        </w:trPr>
        <w:tc>
          <w:tcPr>
            <w:tcW w:w="3240" w:type="dxa"/>
            <w:shd w:val="pct12" w:color="auto" w:fill="auto"/>
            <w:vAlign w:val="center"/>
          </w:tcPr>
          <w:p w14:paraId="22B6912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50EC3022" w14:textId="77777777" w:rsidR="0043278C" w:rsidRPr="0043278C" w:rsidRDefault="0043278C" w:rsidP="00E31804">
            <w:pPr>
              <w:pStyle w:val="BlockText"/>
              <w:jc w:val="both"/>
              <w:rPr>
                <w:rFonts w:ascii="Sakkal Majalla" w:hAnsi="Sakkal Majalla" w:cs="Sakkal Majalla"/>
                <w:sz w:val="28"/>
                <w:rtl/>
                <w:lang w:bidi="ar-EG"/>
              </w:rPr>
            </w:pPr>
          </w:p>
        </w:tc>
        <w:tc>
          <w:tcPr>
            <w:tcW w:w="6030" w:type="dxa"/>
            <w:gridSpan w:val="4"/>
            <w:vAlign w:val="center"/>
          </w:tcPr>
          <w:p w14:paraId="0FFF5874"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90.823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8A40C90"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882B433" w14:textId="22D9DDD1"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897C18" w:rsidRPr="00897C18">
        <w:rPr>
          <w:rFonts w:ascii="Sakkal Majalla" w:hAnsi="Sakkal Majalla" w:cs="Sakkal Majalla"/>
          <w:sz w:val="28"/>
          <w:rtl/>
          <w:lang w:bidi="ar-EG"/>
        </w:rPr>
        <w:t>التحول الرقمي و تعزيز التكامل والشراكات الاستراتيجية</w:t>
      </w:r>
      <w:r w:rsidRPr="0043278C">
        <w:rPr>
          <w:rFonts w:ascii="Sakkal Majalla" w:hAnsi="Sakkal Majalla" w:cs="Sakkal Majalla"/>
          <w:sz w:val="28"/>
          <w:rtl/>
          <w:lang w:bidi="ar-EG"/>
        </w:rPr>
        <w:t xml:space="preserve">، وتظهر النتائج أن معامل التحديد للنموذج يفسر 19%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90.823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947D1BC"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2345DE88"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r w:rsidRPr="0043278C">
        <w:rPr>
          <w:rFonts w:ascii="Sakkal Majalla" w:hAnsi="Sakkal Majalla" w:cs="Sakkal Majalla"/>
          <w:sz w:val="28"/>
          <w:lang w:bidi="ar-EG"/>
        </w:rPr>
        <w:t>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A76DAF3" w14:textId="710EC853" w:rsidR="0043278C" w:rsidRPr="0043278C" w:rsidRDefault="00897C18" w:rsidP="00E31804">
      <w:pPr>
        <w:pStyle w:val="BlockText"/>
        <w:jc w:val="lowKashida"/>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0043278C" w:rsidRPr="0043278C">
        <w:rPr>
          <w:rFonts w:ascii="Sakkal Majalla" w:hAnsi="Sakkal Majalla" w:cs="Sakkal Majalla"/>
          <w:sz w:val="28"/>
          <w:rtl/>
          <w:lang w:bidi="ar-EG"/>
        </w:rPr>
        <w:t xml:space="preserve"> = 2.881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2.724  </w:t>
      </w:r>
    </w:p>
    <w:p w14:paraId="4CBA8A6C" w14:textId="6FD68F0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897C18" w:rsidRPr="00897C18">
        <w:rPr>
          <w:rFonts w:ascii="Sakkal Majalla" w:hAnsi="Sakkal Majalla" w:cs="Sakkal Majalla"/>
          <w:sz w:val="28"/>
          <w:rtl/>
          <w:lang w:bidi="ar-EG"/>
        </w:rPr>
        <w:t>التحول الرقمي و تعزيز التكامل والشراكات الاستراتيجية</w:t>
      </w:r>
      <w:r w:rsidRPr="0043278C">
        <w:rPr>
          <w:rFonts w:ascii="Sakkal Majalla" w:hAnsi="Sakkal Majalla" w:cs="Sakkal Majalla"/>
          <w:sz w:val="28"/>
          <w:rtl/>
          <w:lang w:bidi="ar-EG"/>
        </w:rPr>
        <w:t>.</w:t>
      </w:r>
    </w:p>
    <w:p w14:paraId="2B5D2B86"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(3/28)</w:t>
      </w:r>
    </w:p>
    <w:p w14:paraId="305B88CD" w14:textId="49FD81A8"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الإنحدار المتدرج لدراسة العلاقة وقوتها بين </w:t>
      </w:r>
      <w:r w:rsidR="00897C18" w:rsidRPr="00897C18">
        <w:rPr>
          <w:rFonts w:ascii="Sakkal Majalla" w:hAnsi="Sakkal Majalla" w:cs="Sakkal Majalla"/>
          <w:b/>
          <w:bCs/>
          <w:sz w:val="28"/>
          <w:rtl/>
          <w:lang w:bidi="ar-EG"/>
        </w:rPr>
        <w:t>التحول الرقمي و تعزيز التكامل والشراكات الاستراتيجية</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0EA919A2"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429BE12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7118CC2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5F5E2A6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A8E5B1C"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024A0DE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6E040A6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2C0F965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D085E4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514AFB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35A6D47B" w14:textId="77777777" w:rsidR="0043278C" w:rsidRPr="0043278C" w:rsidRDefault="0043278C" w:rsidP="00E31804">
            <w:pPr>
              <w:pStyle w:val="BlockText"/>
              <w:ind w:left="0"/>
              <w:rPr>
                <w:rFonts w:ascii="Sakkal Majalla" w:hAnsi="Sakkal Majalla" w:cs="Sakkal Majalla"/>
                <w:b/>
                <w:bCs/>
                <w:sz w:val="28"/>
                <w:rtl/>
                <w:lang w:bidi="ar-EG"/>
              </w:rPr>
            </w:pPr>
          </w:p>
          <w:p w14:paraId="5C323F0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10CEB14B" w14:textId="77777777" w:rsidTr="00851341">
        <w:trPr>
          <w:trHeight w:val="297"/>
          <w:jc w:val="center"/>
        </w:trPr>
        <w:tc>
          <w:tcPr>
            <w:tcW w:w="0" w:type="auto"/>
            <w:tcBorders>
              <w:top w:val="thickThinSmallGap" w:sz="24" w:space="0" w:color="auto"/>
            </w:tcBorders>
            <w:shd w:val="pct12" w:color="auto" w:fill="auto"/>
            <w:vAlign w:val="center"/>
          </w:tcPr>
          <w:p w14:paraId="08491BC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77BB05B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1039.928</w:t>
            </w:r>
          </w:p>
        </w:tc>
        <w:tc>
          <w:tcPr>
            <w:tcW w:w="0" w:type="auto"/>
            <w:tcBorders>
              <w:top w:val="thickThinSmallGap" w:sz="24" w:space="0" w:color="auto"/>
            </w:tcBorders>
            <w:vAlign w:val="center"/>
          </w:tcPr>
          <w:p w14:paraId="5CD743A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94C29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1039.928</w:t>
            </w:r>
          </w:p>
        </w:tc>
        <w:tc>
          <w:tcPr>
            <w:tcW w:w="0" w:type="auto"/>
            <w:vMerge w:val="restart"/>
            <w:tcBorders>
              <w:top w:val="thickThinSmallGap" w:sz="24" w:space="0" w:color="auto"/>
            </w:tcBorders>
          </w:tcPr>
          <w:p w14:paraId="09F32567"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90.823</w:t>
            </w:r>
          </w:p>
        </w:tc>
        <w:tc>
          <w:tcPr>
            <w:tcW w:w="0" w:type="auto"/>
            <w:vMerge w:val="restart"/>
            <w:tcBorders>
              <w:top w:val="thickThinSmallGap" w:sz="24" w:space="0" w:color="auto"/>
            </w:tcBorders>
          </w:tcPr>
          <w:p w14:paraId="4FEEA22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3A716CFA" w14:textId="77777777" w:rsidTr="00851341">
        <w:trPr>
          <w:trHeight w:val="388"/>
          <w:jc w:val="center"/>
        </w:trPr>
        <w:tc>
          <w:tcPr>
            <w:tcW w:w="0" w:type="auto"/>
            <w:shd w:val="pct12" w:color="auto" w:fill="auto"/>
            <w:vAlign w:val="center"/>
          </w:tcPr>
          <w:p w14:paraId="647453E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5DC38D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4373.906</w:t>
            </w:r>
          </w:p>
        </w:tc>
        <w:tc>
          <w:tcPr>
            <w:tcW w:w="0" w:type="auto"/>
            <w:vAlign w:val="center"/>
          </w:tcPr>
          <w:p w14:paraId="321C07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862B43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11.450</w:t>
            </w:r>
          </w:p>
        </w:tc>
        <w:tc>
          <w:tcPr>
            <w:tcW w:w="0" w:type="auto"/>
            <w:vMerge/>
          </w:tcPr>
          <w:p w14:paraId="7DA926F4"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5D4851A7"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54E41A84" w14:textId="77777777" w:rsidTr="00851341">
        <w:trPr>
          <w:trHeight w:val="365"/>
          <w:jc w:val="center"/>
        </w:trPr>
        <w:tc>
          <w:tcPr>
            <w:tcW w:w="0" w:type="auto"/>
            <w:shd w:val="pct12" w:color="auto" w:fill="auto"/>
            <w:vAlign w:val="center"/>
          </w:tcPr>
          <w:p w14:paraId="2C6E8F9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28871C0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5413.833</w:t>
            </w:r>
          </w:p>
        </w:tc>
        <w:tc>
          <w:tcPr>
            <w:tcW w:w="0" w:type="auto"/>
            <w:vAlign w:val="center"/>
          </w:tcPr>
          <w:p w14:paraId="624AE44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6E253ACE"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254DF310"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3A727AF7"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40C0753B" w14:textId="77777777" w:rsidTr="00851341">
        <w:trPr>
          <w:trHeight w:val="399"/>
          <w:jc w:val="center"/>
        </w:trPr>
        <w:tc>
          <w:tcPr>
            <w:tcW w:w="0" w:type="auto"/>
            <w:gridSpan w:val="6"/>
            <w:shd w:val="clear" w:color="auto" w:fill="auto"/>
            <w:vAlign w:val="center"/>
          </w:tcPr>
          <w:p w14:paraId="4DDA0A0D"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0.438</w:t>
            </w:r>
          </w:p>
        </w:tc>
      </w:tr>
      <w:tr w:rsidR="0043278C" w:rsidRPr="0043278C" w14:paraId="62767C34" w14:textId="77777777" w:rsidTr="00851341">
        <w:trPr>
          <w:trHeight w:val="390"/>
          <w:jc w:val="center"/>
        </w:trPr>
        <w:tc>
          <w:tcPr>
            <w:tcW w:w="0" w:type="auto"/>
            <w:gridSpan w:val="6"/>
            <w:shd w:val="clear" w:color="auto" w:fill="auto"/>
            <w:vAlign w:val="center"/>
          </w:tcPr>
          <w:p w14:paraId="325E307A"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0.192</w:t>
            </w:r>
          </w:p>
        </w:tc>
      </w:tr>
      <w:tr w:rsidR="0043278C" w:rsidRPr="0043278C" w14:paraId="51D5621A" w14:textId="77777777" w:rsidTr="00851341">
        <w:trPr>
          <w:trHeight w:val="397"/>
          <w:jc w:val="center"/>
        </w:trPr>
        <w:tc>
          <w:tcPr>
            <w:tcW w:w="0" w:type="auto"/>
            <w:gridSpan w:val="6"/>
            <w:shd w:val="clear" w:color="auto" w:fill="auto"/>
            <w:vAlign w:val="center"/>
          </w:tcPr>
          <w:p w14:paraId="7687C675"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0.190</w:t>
            </w:r>
          </w:p>
        </w:tc>
      </w:tr>
      <w:tr w:rsidR="0043278C" w:rsidRPr="0043278C" w14:paraId="5379A20E" w14:textId="77777777" w:rsidTr="00851341">
        <w:trPr>
          <w:trHeight w:val="375"/>
          <w:jc w:val="center"/>
        </w:trPr>
        <w:tc>
          <w:tcPr>
            <w:tcW w:w="0" w:type="auto"/>
            <w:gridSpan w:val="6"/>
            <w:shd w:val="clear" w:color="auto" w:fill="auto"/>
            <w:vAlign w:val="center"/>
          </w:tcPr>
          <w:p w14:paraId="022152FF"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3.38379</w:t>
            </w:r>
          </w:p>
        </w:tc>
      </w:tr>
    </w:tbl>
    <w:p w14:paraId="7C4ACD60"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CB5C7FF" w14:textId="25B21E4A"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897C18" w:rsidRPr="00897C18">
        <w:rPr>
          <w:rFonts w:ascii="Sakkal Majalla" w:hAnsi="Sakkal Majalla" w:cs="Sakkal Majalla"/>
          <w:sz w:val="28"/>
          <w:rtl/>
          <w:lang w:bidi="ar-EG"/>
        </w:rPr>
        <w:t xml:space="preserve">التحول الرقمي و تعزيز التكامل والشراكات الاستراتيجية </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الأربعة </w:t>
      </w:r>
      <w:r w:rsidR="00897C18">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فى تفسير و السياسة المالية المتغير التابع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44C65FAC"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(3/29) أن : </w:t>
      </w:r>
    </w:p>
    <w:p w14:paraId="095121C1"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08889B8B" w14:textId="5505DF1F"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0.192 ، أى أن المتغيرات </w:t>
      </w:r>
      <w:r w:rsidR="00897C18">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20% من التغير فى المتغير التابع </w:t>
      </w:r>
      <w:r w:rsidR="00897C18"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w:t>
      </w:r>
    </w:p>
    <w:p w14:paraId="7BC3E056"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0.43  .  </w:t>
      </w:r>
    </w:p>
    <w:p w14:paraId="24822FF7" w14:textId="77777777" w:rsidR="0043278C" w:rsidRPr="0043278C" w:rsidRDefault="0043278C" w:rsidP="00E31804">
      <w:pPr>
        <w:spacing w:line="240" w:lineRule="auto"/>
        <w:ind w:left="444"/>
        <w:jc w:val="lowKashida"/>
        <w:rPr>
          <w:rFonts w:ascii="Sakkal Majalla" w:hAnsi="Sakkal Majalla" w:cs="Sakkal Majalla"/>
          <w:b/>
          <w:bCs/>
          <w:i/>
          <w:iCs/>
          <w:sz w:val="28"/>
          <w:szCs w:val="28"/>
          <w:rtl/>
          <w:lang w:bidi="ar-EG"/>
        </w:rPr>
      </w:pPr>
    </w:p>
    <w:p w14:paraId="3176DFC9" w14:textId="77777777"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3873FFAE" w14:textId="3A63D346" w:rsid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897C18" w:rsidRPr="00897C18">
        <w:rPr>
          <w:rFonts w:ascii="Sakkal Majalla" w:hAnsi="Sakkal Majalla" w:cs="Sakkal Majalla"/>
          <w:sz w:val="28"/>
          <w:szCs w:val="28"/>
          <w:rtl/>
          <w:lang w:bidi="ar-EG"/>
        </w:rPr>
        <w:t>تعزيز التكامل والشراكات الاستراتيجية</w:t>
      </w:r>
      <w:r w:rsidRPr="0043278C">
        <w:rPr>
          <w:rFonts w:ascii="Sakkal Majalla" w:hAnsi="Sakkal Majalla" w:cs="Sakkal Majalla"/>
          <w:sz w:val="28"/>
          <w:szCs w:val="28"/>
          <w:rtl/>
          <w:lang w:bidi="ar-EG"/>
        </w:rPr>
        <w:t xml:space="preserve"> ، وفيما يلي نموذج العلاقة الناتج : </w:t>
      </w:r>
    </w:p>
    <w:p w14:paraId="12CA6FFA" w14:textId="77777777" w:rsidR="00E31804" w:rsidRDefault="00E31804" w:rsidP="00E31804">
      <w:pPr>
        <w:spacing w:line="240" w:lineRule="auto"/>
        <w:ind w:left="26"/>
        <w:jc w:val="right"/>
        <w:rPr>
          <w:rFonts w:ascii="Sakkal Majalla" w:hAnsi="Sakkal Majalla" w:cs="Sakkal Majalla"/>
          <w:sz w:val="28"/>
          <w:szCs w:val="28"/>
          <w:rtl/>
          <w:lang w:bidi="ar-EG"/>
        </w:rPr>
      </w:pPr>
    </w:p>
    <w:p w14:paraId="7682867B" w14:textId="77777777" w:rsidR="00E31804" w:rsidRDefault="00E31804" w:rsidP="00E31804">
      <w:pPr>
        <w:spacing w:line="240" w:lineRule="auto"/>
        <w:ind w:left="26"/>
        <w:jc w:val="right"/>
        <w:rPr>
          <w:rFonts w:ascii="Sakkal Majalla" w:hAnsi="Sakkal Majalla" w:cs="Sakkal Majalla"/>
          <w:sz w:val="28"/>
          <w:szCs w:val="28"/>
          <w:rtl/>
          <w:lang w:bidi="ar-EG"/>
        </w:rPr>
      </w:pPr>
    </w:p>
    <w:p w14:paraId="04A47337"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52491FF"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(3/30) </w:t>
      </w:r>
    </w:p>
    <w:p w14:paraId="7701D107"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أساليب تنشيط المبيعات على توقيت الشراء </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195B7447" w14:textId="77777777" w:rsidTr="00851341">
        <w:tc>
          <w:tcPr>
            <w:tcW w:w="3366" w:type="dxa"/>
            <w:tcBorders>
              <w:top w:val="thickThinSmallGap" w:sz="24" w:space="0" w:color="auto"/>
              <w:bottom w:val="thickThinSmallGap" w:sz="24" w:space="0" w:color="auto"/>
            </w:tcBorders>
            <w:shd w:val="pct12" w:color="auto" w:fill="auto"/>
            <w:vAlign w:val="center"/>
          </w:tcPr>
          <w:p w14:paraId="1BBD013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3CE5593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459BE3C7"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087E128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67987DBB"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01C68D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CEEEE4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536E78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165D6E4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6AB9E4AC" w14:textId="77777777" w:rsidTr="00851341">
        <w:trPr>
          <w:trHeight w:val="383"/>
        </w:trPr>
        <w:tc>
          <w:tcPr>
            <w:tcW w:w="3366" w:type="dxa"/>
            <w:tcBorders>
              <w:top w:val="thickThinSmallGap" w:sz="24" w:space="0" w:color="auto"/>
            </w:tcBorders>
            <w:shd w:val="pct12" w:color="auto" w:fill="auto"/>
            <w:vAlign w:val="center"/>
          </w:tcPr>
          <w:p w14:paraId="64889844" w14:textId="49DE4F10" w:rsidR="0043278C" w:rsidRPr="0043278C" w:rsidRDefault="00897C1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w:t>
            </w:r>
          </w:p>
        </w:tc>
        <w:tc>
          <w:tcPr>
            <w:tcW w:w="1767" w:type="dxa"/>
            <w:tcBorders>
              <w:top w:val="thickThinSmallGap" w:sz="24" w:space="0" w:color="auto"/>
            </w:tcBorders>
            <w:vAlign w:val="center"/>
          </w:tcPr>
          <w:p w14:paraId="674645B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0.233</w:t>
            </w:r>
          </w:p>
        </w:tc>
        <w:tc>
          <w:tcPr>
            <w:tcW w:w="0" w:type="auto"/>
            <w:tcBorders>
              <w:top w:val="thickThinSmallGap" w:sz="24" w:space="0" w:color="auto"/>
            </w:tcBorders>
            <w:vAlign w:val="center"/>
          </w:tcPr>
          <w:p w14:paraId="0DEC5AB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0.044</w:t>
            </w:r>
          </w:p>
        </w:tc>
        <w:tc>
          <w:tcPr>
            <w:tcW w:w="0" w:type="auto"/>
            <w:tcBorders>
              <w:top w:val="thickThinSmallGap" w:sz="24" w:space="0" w:color="auto"/>
            </w:tcBorders>
            <w:vAlign w:val="center"/>
          </w:tcPr>
          <w:p w14:paraId="3F61CA6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5.258</w:t>
            </w:r>
          </w:p>
        </w:tc>
        <w:tc>
          <w:tcPr>
            <w:tcW w:w="0" w:type="auto"/>
            <w:tcBorders>
              <w:top w:val="thickThinSmallGap" w:sz="24" w:space="0" w:color="auto"/>
            </w:tcBorders>
          </w:tcPr>
          <w:p w14:paraId="259F48D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ADF714F" w14:textId="77777777" w:rsidTr="00851341">
        <w:trPr>
          <w:trHeight w:val="265"/>
        </w:trPr>
        <w:tc>
          <w:tcPr>
            <w:tcW w:w="3366" w:type="dxa"/>
            <w:shd w:val="pct12" w:color="auto" w:fill="auto"/>
            <w:vAlign w:val="center"/>
          </w:tcPr>
          <w:p w14:paraId="78869DC1" w14:textId="6BF91484" w:rsidR="0043278C" w:rsidRPr="0043278C" w:rsidRDefault="00897C18"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767" w:type="dxa"/>
            <w:vAlign w:val="center"/>
          </w:tcPr>
          <w:p w14:paraId="5F5EFE4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0.257</w:t>
            </w:r>
          </w:p>
        </w:tc>
        <w:tc>
          <w:tcPr>
            <w:tcW w:w="0" w:type="auto"/>
            <w:vAlign w:val="center"/>
          </w:tcPr>
          <w:p w14:paraId="5A4EE6A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0.082</w:t>
            </w:r>
          </w:p>
        </w:tc>
        <w:tc>
          <w:tcPr>
            <w:tcW w:w="0" w:type="auto"/>
            <w:vAlign w:val="center"/>
          </w:tcPr>
          <w:p w14:paraId="1FF3793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3.126</w:t>
            </w:r>
          </w:p>
        </w:tc>
        <w:tc>
          <w:tcPr>
            <w:tcW w:w="0" w:type="auto"/>
          </w:tcPr>
          <w:p w14:paraId="5A7E5067"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0775146" w14:textId="77777777" w:rsidTr="00851341">
        <w:trPr>
          <w:trHeight w:val="383"/>
        </w:trPr>
        <w:tc>
          <w:tcPr>
            <w:tcW w:w="3366" w:type="dxa"/>
            <w:shd w:val="pct12" w:color="auto" w:fill="auto"/>
            <w:vAlign w:val="center"/>
          </w:tcPr>
          <w:p w14:paraId="290AC123" w14:textId="6C9B8EE1" w:rsidR="0043278C" w:rsidRPr="0043278C" w:rsidRDefault="00897C1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1CA022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0.318</w:t>
            </w:r>
          </w:p>
        </w:tc>
        <w:tc>
          <w:tcPr>
            <w:tcW w:w="0" w:type="auto"/>
            <w:vAlign w:val="center"/>
          </w:tcPr>
          <w:p w14:paraId="465C1A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0.085</w:t>
            </w:r>
          </w:p>
        </w:tc>
        <w:tc>
          <w:tcPr>
            <w:tcW w:w="0" w:type="auto"/>
            <w:vAlign w:val="center"/>
          </w:tcPr>
          <w:p w14:paraId="5683C90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3.732</w:t>
            </w:r>
          </w:p>
        </w:tc>
        <w:tc>
          <w:tcPr>
            <w:tcW w:w="0" w:type="auto"/>
          </w:tcPr>
          <w:p w14:paraId="18C3F414"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C095F4A" w14:textId="77777777" w:rsidTr="00851341">
        <w:trPr>
          <w:trHeight w:val="389"/>
        </w:trPr>
        <w:tc>
          <w:tcPr>
            <w:tcW w:w="3366" w:type="dxa"/>
            <w:shd w:val="pct12" w:color="auto" w:fill="auto"/>
            <w:vAlign w:val="center"/>
          </w:tcPr>
          <w:p w14:paraId="6C75B22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7A3FBC0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3.028</w:t>
            </w:r>
          </w:p>
        </w:tc>
        <w:tc>
          <w:tcPr>
            <w:tcW w:w="0" w:type="auto"/>
            <w:vAlign w:val="center"/>
          </w:tcPr>
          <w:p w14:paraId="7A1D7E8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1.142</w:t>
            </w:r>
          </w:p>
        </w:tc>
        <w:tc>
          <w:tcPr>
            <w:tcW w:w="0" w:type="auto"/>
            <w:vAlign w:val="center"/>
          </w:tcPr>
          <w:p w14:paraId="588B27F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2.652</w:t>
            </w:r>
          </w:p>
        </w:tc>
        <w:tc>
          <w:tcPr>
            <w:tcW w:w="0" w:type="auto"/>
          </w:tcPr>
          <w:p w14:paraId="6D8896A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C751EF4" w14:textId="77777777" w:rsidTr="00851341">
        <w:trPr>
          <w:trHeight w:val="426"/>
        </w:trPr>
        <w:tc>
          <w:tcPr>
            <w:tcW w:w="3366" w:type="dxa"/>
            <w:shd w:val="pct12" w:color="auto" w:fill="auto"/>
            <w:vAlign w:val="center"/>
          </w:tcPr>
          <w:p w14:paraId="7E9957D8"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20" w:type="dxa"/>
            <w:gridSpan w:val="4"/>
            <w:vAlign w:val="center"/>
          </w:tcPr>
          <w:p w14:paraId="5BCC01FD" w14:textId="22513C5F" w:rsidR="0043278C" w:rsidRPr="0043278C" w:rsidRDefault="00897C18" w:rsidP="00E31804">
            <w:pPr>
              <w:pStyle w:val="BlockText"/>
              <w:ind w:left="0"/>
              <w:jc w:val="center"/>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3.028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0.233+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0.257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r w:rsidR="0043278C" w:rsidRPr="0043278C">
              <w:rPr>
                <w:rFonts w:ascii="Sakkal Majalla" w:hAnsi="Sakkal Majalla" w:cs="Sakkal Majalla"/>
                <w:sz w:val="28"/>
                <w:rtl/>
                <w:lang w:bidi="ar-EG"/>
              </w:rPr>
              <w:t xml:space="preserve">0.318 </w:t>
            </w:r>
          </w:p>
        </w:tc>
      </w:tr>
      <w:tr w:rsidR="0043278C" w:rsidRPr="0043278C" w14:paraId="35255A8F" w14:textId="77777777" w:rsidTr="00851341">
        <w:trPr>
          <w:trHeight w:val="396"/>
        </w:trPr>
        <w:tc>
          <w:tcPr>
            <w:tcW w:w="3366" w:type="dxa"/>
            <w:shd w:val="pct12" w:color="auto" w:fill="auto"/>
            <w:vAlign w:val="center"/>
          </w:tcPr>
          <w:p w14:paraId="74313A8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20" w:type="dxa"/>
            <w:gridSpan w:val="4"/>
            <w:vAlign w:val="center"/>
          </w:tcPr>
          <w:p w14:paraId="1F9F164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0.19</w:t>
            </w:r>
          </w:p>
        </w:tc>
      </w:tr>
      <w:tr w:rsidR="0043278C" w:rsidRPr="0043278C" w14:paraId="11D29E3F" w14:textId="77777777" w:rsidTr="00851341">
        <w:trPr>
          <w:trHeight w:val="346"/>
        </w:trPr>
        <w:tc>
          <w:tcPr>
            <w:tcW w:w="3366" w:type="dxa"/>
            <w:shd w:val="pct12" w:color="auto" w:fill="auto"/>
            <w:vAlign w:val="center"/>
          </w:tcPr>
          <w:p w14:paraId="750FFA7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1086AE5"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3AF98791"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31.179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80D8A49"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1A7F0397" w14:textId="68C0F97E"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897C18">
        <w:rPr>
          <w:rFonts w:ascii="Sakkal Majalla" w:hAnsi="Sakkal Majalla" w:cs="Sakkal Majalla" w:hint="cs"/>
          <w:sz w:val="28"/>
          <w:szCs w:val="28"/>
          <w:rtl/>
          <w:lang w:bidi="ar-EG"/>
        </w:rPr>
        <w:t>التحول الرقمي</w:t>
      </w:r>
      <w:r w:rsidRPr="0043278C">
        <w:rPr>
          <w:rFonts w:ascii="Sakkal Majalla" w:hAnsi="Sakkal Majalla" w:cs="Sakkal Majalla"/>
          <w:sz w:val="28"/>
          <w:szCs w:val="28"/>
          <w:rtl/>
          <w:lang w:bidi="ar-EG"/>
        </w:rPr>
        <w:t xml:space="preserve"> على </w:t>
      </w:r>
      <w:r w:rsidR="00897C18" w:rsidRPr="00897C18">
        <w:rPr>
          <w:rFonts w:ascii="Sakkal Majalla" w:hAnsi="Sakkal Majalla" w:cs="Sakkal Majalla"/>
          <w:sz w:val="28"/>
          <w:szCs w:val="28"/>
          <w:rtl/>
          <w:lang w:bidi="ar-EG"/>
        </w:rPr>
        <w:t>تعزيز التكامل والشراكات الاستراتيجية</w:t>
      </w:r>
      <w:r w:rsidR="00897C18"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897C18">
        <w:rPr>
          <w:rFonts w:ascii="Sakkal Majalla" w:hAnsi="Sakkal Majalla" w:cs="Sakkal Majalla" w:hint="cs"/>
          <w:sz w:val="28"/>
          <w:szCs w:val="28"/>
          <w:rtl/>
          <w:lang w:bidi="ar-EG"/>
        </w:rPr>
        <w:t>التحول الرقمي</w:t>
      </w:r>
      <w:r w:rsidR="00897C18"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19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31.179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5B96F01"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المتعدد :</w:t>
      </w:r>
    </w:p>
    <w:p w14:paraId="05E4473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218CD842" w14:textId="68251C74" w:rsidR="0043278C" w:rsidRPr="0043278C" w:rsidRDefault="00897C18" w:rsidP="00E31804">
      <w:pPr>
        <w:pStyle w:val="BlockText"/>
        <w:jc w:val="lowKashida"/>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3.028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0.233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0.257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r w:rsidR="0043278C" w:rsidRPr="0043278C">
        <w:rPr>
          <w:rFonts w:ascii="Sakkal Majalla" w:hAnsi="Sakkal Majalla" w:cs="Sakkal Majalla"/>
          <w:sz w:val="28"/>
          <w:rtl/>
          <w:lang w:bidi="ar-EG"/>
        </w:rPr>
        <w:t>0.318</w:t>
      </w:r>
    </w:p>
    <w:p w14:paraId="33511632" w14:textId="5FA29975" w:rsidR="0043278C" w:rsidRDefault="0043278C" w:rsidP="00E31804">
      <w:pPr>
        <w:pStyle w:val="BlockText"/>
        <w:ind w:left="146" w:hanging="120"/>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يتم رفض فرض العدم وقبول الفرض البديل ، بأن هناك تأثير ذا دلالة إحصائية </w:t>
      </w:r>
      <w:r w:rsidR="00897C18">
        <w:rPr>
          <w:rFonts w:ascii="Sakkal Majalla" w:hAnsi="Sakkal Majalla" w:cs="Sakkal Majalla" w:hint="cs"/>
          <w:sz w:val="28"/>
          <w:rtl/>
          <w:lang w:bidi="ar-EG"/>
        </w:rPr>
        <w:t>ل</w:t>
      </w:r>
      <w:r w:rsidR="00897C18" w:rsidRPr="00897C18">
        <w:rPr>
          <w:rFonts w:ascii="Sakkal Majalla" w:hAnsi="Sakkal Majalla" w:cs="Sakkal Majalla"/>
          <w:sz w:val="28"/>
          <w:rtl/>
          <w:lang w:bidi="ar-EG"/>
        </w:rPr>
        <w:t>لتحول الرقمي على تعزيز التكامل والشراكات الاستراتيجية</w:t>
      </w:r>
      <w:r w:rsidRPr="0043278C">
        <w:rPr>
          <w:rFonts w:ascii="Sakkal Majalla" w:hAnsi="Sakkal Majalla" w:cs="Sakkal Majalla"/>
          <w:sz w:val="28"/>
          <w:rtl/>
          <w:lang w:bidi="ar-EG"/>
        </w:rPr>
        <w:t>.</w:t>
      </w:r>
    </w:p>
    <w:p w14:paraId="42234790" w14:textId="77777777" w:rsidR="00897C18" w:rsidRDefault="00897C18" w:rsidP="00E31804">
      <w:pPr>
        <w:pStyle w:val="BlockText"/>
        <w:ind w:left="146" w:hanging="120"/>
        <w:jc w:val="lowKashida"/>
        <w:rPr>
          <w:rFonts w:ascii="Sakkal Majalla" w:hAnsi="Sakkal Majalla" w:cs="Sakkal Majalla"/>
          <w:sz w:val="28"/>
          <w:rtl/>
          <w:lang w:bidi="ar-EG"/>
        </w:rPr>
      </w:pPr>
    </w:p>
    <w:p w14:paraId="0209C13F" w14:textId="77777777" w:rsidR="00897C18" w:rsidRDefault="00897C18" w:rsidP="00E31804">
      <w:pPr>
        <w:pStyle w:val="BlockText"/>
        <w:ind w:left="146" w:hanging="120"/>
        <w:jc w:val="lowKashida"/>
        <w:rPr>
          <w:rFonts w:ascii="Sakkal Majalla" w:hAnsi="Sakkal Majalla" w:cs="Sakkal Majalla"/>
          <w:b/>
          <w:bCs/>
          <w:sz w:val="28"/>
          <w:rtl/>
        </w:rPr>
      </w:pPr>
    </w:p>
    <w:p w14:paraId="2510E212" w14:textId="77777777" w:rsidR="00E31804" w:rsidRDefault="00E31804" w:rsidP="00E31804">
      <w:pPr>
        <w:pStyle w:val="BlockText"/>
        <w:ind w:left="146" w:hanging="120"/>
        <w:jc w:val="lowKashida"/>
        <w:rPr>
          <w:rFonts w:ascii="Sakkal Majalla" w:hAnsi="Sakkal Majalla" w:cs="Sakkal Majalla"/>
          <w:b/>
          <w:bCs/>
          <w:sz w:val="28"/>
          <w:rtl/>
        </w:rPr>
      </w:pPr>
    </w:p>
    <w:p w14:paraId="68B41F46" w14:textId="77777777" w:rsidR="00E31804" w:rsidRDefault="00E31804" w:rsidP="00E31804">
      <w:pPr>
        <w:pStyle w:val="BlockText"/>
        <w:ind w:left="146" w:hanging="120"/>
        <w:jc w:val="lowKashida"/>
        <w:rPr>
          <w:rFonts w:ascii="Sakkal Majalla" w:hAnsi="Sakkal Majalla" w:cs="Sakkal Majalla"/>
          <w:b/>
          <w:bCs/>
          <w:sz w:val="28"/>
          <w:rtl/>
        </w:rPr>
      </w:pPr>
    </w:p>
    <w:p w14:paraId="4014FDD3" w14:textId="77777777" w:rsidR="00E31804" w:rsidRDefault="00E31804" w:rsidP="00E31804">
      <w:pPr>
        <w:pStyle w:val="BlockText"/>
        <w:ind w:left="146" w:hanging="120"/>
        <w:jc w:val="lowKashida"/>
        <w:rPr>
          <w:rFonts w:ascii="Sakkal Majalla" w:hAnsi="Sakkal Majalla" w:cs="Sakkal Majalla"/>
          <w:b/>
          <w:bCs/>
          <w:sz w:val="28"/>
          <w:rtl/>
        </w:rPr>
      </w:pPr>
    </w:p>
    <w:p w14:paraId="289CB674" w14:textId="77777777" w:rsidR="00E31804" w:rsidRPr="0043278C" w:rsidRDefault="00E31804" w:rsidP="00E31804">
      <w:pPr>
        <w:pStyle w:val="BlockText"/>
        <w:ind w:left="146" w:hanging="120"/>
        <w:jc w:val="lowKashida"/>
        <w:rPr>
          <w:rFonts w:ascii="Sakkal Majalla" w:hAnsi="Sakkal Majalla" w:cs="Sakkal Majalla"/>
          <w:b/>
          <w:bCs/>
          <w:sz w:val="28"/>
          <w:rtl/>
        </w:rPr>
      </w:pPr>
    </w:p>
    <w:p w14:paraId="48CD5B2C" w14:textId="23CEF764"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أختبار الفرض الرابع</w:t>
      </w:r>
      <w:r w:rsidRPr="0043278C">
        <w:rPr>
          <w:rFonts w:ascii="Sakkal Majalla" w:hAnsi="Sakkal Majalla" w:cs="Sakkal Majalla"/>
          <w:b/>
          <w:bCs/>
          <w:sz w:val="28"/>
          <w:lang w:bidi="ar-EG"/>
        </w:rPr>
        <w:t xml:space="preserve"> : </w:t>
      </w:r>
    </w:p>
    <w:p w14:paraId="092F8D1E" w14:textId="1681E17A"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B42ED5">
        <w:rPr>
          <w:rFonts w:ascii="Sakkal Majalla" w:hAnsi="Sakkal Majalla" w:cs="Sakkal Majalla" w:hint="cs"/>
          <w:b/>
          <w:bCs/>
          <w:sz w:val="28"/>
          <w:rtl/>
          <w:lang w:bidi="ar-EG"/>
        </w:rPr>
        <w:t>التحول الرقمي والبعد القانوني والسياسي</w:t>
      </w:r>
      <w:r w:rsidRPr="0043278C">
        <w:rPr>
          <w:rFonts w:ascii="Sakkal Majalla" w:hAnsi="Sakkal Majalla" w:cs="Sakkal Majalla"/>
          <w:b/>
          <w:bCs/>
          <w:sz w:val="28"/>
          <w:rtl/>
          <w:lang w:bidi="ar-EG"/>
        </w:rPr>
        <w:t xml:space="preserve"> "</w:t>
      </w:r>
    </w:p>
    <w:p w14:paraId="00455B1E"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7FC54F9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(3/31)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49DB9130" w14:textId="77777777" w:rsidTr="00851341">
        <w:trPr>
          <w:jc w:val="center"/>
        </w:trPr>
        <w:tc>
          <w:tcPr>
            <w:tcW w:w="0" w:type="auto"/>
            <w:tcBorders>
              <w:top w:val="thickThinSmallGap" w:sz="24" w:space="0" w:color="auto"/>
              <w:bottom w:val="thickThinSmallGap" w:sz="24" w:space="0" w:color="auto"/>
            </w:tcBorders>
            <w:shd w:val="pct12" w:color="auto" w:fill="auto"/>
          </w:tcPr>
          <w:p w14:paraId="4F8BF8F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7DB66D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4705F02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77248D0A" w14:textId="77777777" w:rsidTr="00851341">
        <w:trPr>
          <w:jc w:val="center"/>
        </w:trPr>
        <w:tc>
          <w:tcPr>
            <w:tcW w:w="0" w:type="auto"/>
            <w:tcBorders>
              <w:top w:val="thickThinSmallGap" w:sz="24" w:space="0" w:color="auto"/>
            </w:tcBorders>
          </w:tcPr>
          <w:p w14:paraId="075DCA0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0.338</w:t>
            </w:r>
          </w:p>
        </w:tc>
        <w:tc>
          <w:tcPr>
            <w:tcW w:w="0" w:type="auto"/>
            <w:tcBorders>
              <w:top w:val="thickThinSmallGap" w:sz="24" w:space="0" w:color="auto"/>
            </w:tcBorders>
          </w:tcPr>
          <w:p w14:paraId="341C8ED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469FAFB5"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5043B41D"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061A390" w14:textId="042AF0FC"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w:t>
      </w:r>
      <w:r w:rsidR="00F2005A" w:rsidRPr="00F2005A">
        <w:rPr>
          <w:rFonts w:ascii="Sakkal Majalla" w:hAnsi="Sakkal Majalla" w:cs="Sakkal Majalla"/>
          <w:sz w:val="28"/>
          <w:rtl/>
          <w:lang w:bidi="ar-EG"/>
        </w:rPr>
        <w:t xml:space="preserve">التحول الرقمي والبعد القانوني والسياسي </w:t>
      </w:r>
      <w:r w:rsidRPr="0043278C">
        <w:rPr>
          <w:rFonts w:ascii="Sakkal Majalla" w:hAnsi="Sakkal Majalla" w:cs="Sakkal Majalla"/>
          <w:sz w:val="28"/>
          <w:rtl/>
          <w:lang w:bidi="ar-EG"/>
        </w:rPr>
        <w:t xml:space="preserve">، حيث بلغت قيمة معامل الأرتباط  0.338  وهى دالة إحصائياً ، وتدل على وجود علاقة أرتباطية  طردية ،  تبين أنه كلما زاد </w:t>
      </w:r>
      <w:r w:rsidR="00F2005A" w:rsidRPr="00F2005A">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بتحديد </w:t>
      </w:r>
      <w:r w:rsidR="00F2005A" w:rsidRPr="00F2005A">
        <w:rPr>
          <w:rFonts w:ascii="Sakkal Majalla" w:hAnsi="Sakkal Majalla" w:cs="Sakkal Majalla"/>
          <w:sz w:val="28"/>
          <w:rtl/>
          <w:lang w:bidi="ar-EG"/>
        </w:rPr>
        <w:t xml:space="preserve">البعد القانوني والسياسي </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4CCC9BC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(3/32) نتائج الإنحدار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30"/>
        <w:gridCol w:w="1491"/>
        <w:gridCol w:w="1642"/>
        <w:gridCol w:w="1262"/>
        <w:gridCol w:w="1545"/>
      </w:tblGrid>
      <w:tr w:rsidR="0043278C" w:rsidRPr="0043278C" w14:paraId="697256CE" w14:textId="77777777" w:rsidTr="00F2005A">
        <w:trPr>
          <w:jc w:val="center"/>
        </w:trPr>
        <w:tc>
          <w:tcPr>
            <w:tcW w:w="3330" w:type="dxa"/>
            <w:tcBorders>
              <w:top w:val="thickThinSmallGap" w:sz="24" w:space="0" w:color="auto"/>
              <w:bottom w:val="thickThinSmallGap" w:sz="24" w:space="0" w:color="auto"/>
            </w:tcBorders>
            <w:shd w:val="pct12" w:color="auto" w:fill="auto"/>
            <w:vAlign w:val="center"/>
          </w:tcPr>
          <w:p w14:paraId="60814B0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91" w:type="dxa"/>
            <w:tcBorders>
              <w:top w:val="thickThinSmallGap" w:sz="24" w:space="0" w:color="auto"/>
              <w:bottom w:val="thickThinSmallGap" w:sz="24" w:space="0" w:color="auto"/>
            </w:tcBorders>
            <w:shd w:val="pct12" w:color="auto" w:fill="auto"/>
            <w:vAlign w:val="center"/>
          </w:tcPr>
          <w:p w14:paraId="5B274F2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0E14C40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DB0AB6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0DACD2CF"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3A2005B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7989533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244A553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52B44971"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355F35E4" w14:textId="77777777" w:rsidTr="00F2005A">
        <w:trPr>
          <w:trHeight w:val="414"/>
          <w:jc w:val="center"/>
        </w:trPr>
        <w:tc>
          <w:tcPr>
            <w:tcW w:w="3330" w:type="dxa"/>
            <w:tcBorders>
              <w:top w:val="thickThinSmallGap" w:sz="24" w:space="0" w:color="auto"/>
            </w:tcBorders>
            <w:shd w:val="pct12" w:color="auto" w:fill="auto"/>
            <w:vAlign w:val="center"/>
          </w:tcPr>
          <w:p w14:paraId="6279061C" w14:textId="236922D1" w:rsidR="0043278C" w:rsidRPr="0043278C" w:rsidRDefault="00F2005A"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 xml:space="preserve">  </w:t>
            </w:r>
          </w:p>
        </w:tc>
        <w:tc>
          <w:tcPr>
            <w:tcW w:w="1491" w:type="dxa"/>
            <w:tcBorders>
              <w:top w:val="thickThinSmallGap" w:sz="24" w:space="0" w:color="auto"/>
            </w:tcBorders>
            <w:vAlign w:val="center"/>
          </w:tcPr>
          <w:p w14:paraId="57EC41E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1.585</w:t>
            </w:r>
          </w:p>
        </w:tc>
        <w:tc>
          <w:tcPr>
            <w:tcW w:w="0" w:type="auto"/>
            <w:tcBorders>
              <w:top w:val="thickThinSmallGap" w:sz="24" w:space="0" w:color="auto"/>
            </w:tcBorders>
            <w:vAlign w:val="center"/>
          </w:tcPr>
          <w:p w14:paraId="1DA8292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0.225</w:t>
            </w:r>
          </w:p>
        </w:tc>
        <w:tc>
          <w:tcPr>
            <w:tcW w:w="0" w:type="auto"/>
            <w:tcBorders>
              <w:top w:val="thickThinSmallGap" w:sz="24" w:space="0" w:color="auto"/>
            </w:tcBorders>
            <w:vAlign w:val="center"/>
          </w:tcPr>
          <w:p w14:paraId="5740BEB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7.029</w:t>
            </w:r>
          </w:p>
        </w:tc>
        <w:tc>
          <w:tcPr>
            <w:tcW w:w="0" w:type="auto"/>
            <w:tcBorders>
              <w:top w:val="thickThinSmallGap" w:sz="24" w:space="0" w:color="auto"/>
            </w:tcBorders>
            <w:vAlign w:val="center"/>
          </w:tcPr>
          <w:p w14:paraId="69E29AF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26F70B6" w14:textId="77777777" w:rsidTr="00F2005A">
        <w:trPr>
          <w:trHeight w:val="411"/>
          <w:jc w:val="center"/>
        </w:trPr>
        <w:tc>
          <w:tcPr>
            <w:tcW w:w="3330" w:type="dxa"/>
            <w:shd w:val="pct12" w:color="auto" w:fill="auto"/>
            <w:vAlign w:val="center"/>
          </w:tcPr>
          <w:p w14:paraId="20A34EF6"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91" w:type="dxa"/>
            <w:vAlign w:val="center"/>
          </w:tcPr>
          <w:p w14:paraId="3418F2C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4.910</w:t>
            </w:r>
          </w:p>
        </w:tc>
        <w:tc>
          <w:tcPr>
            <w:tcW w:w="0" w:type="auto"/>
            <w:vAlign w:val="center"/>
          </w:tcPr>
          <w:p w14:paraId="3C25C99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0.857</w:t>
            </w:r>
          </w:p>
        </w:tc>
        <w:tc>
          <w:tcPr>
            <w:tcW w:w="0" w:type="auto"/>
            <w:vAlign w:val="center"/>
          </w:tcPr>
          <w:p w14:paraId="10B30916"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5.729</w:t>
            </w:r>
          </w:p>
        </w:tc>
        <w:tc>
          <w:tcPr>
            <w:tcW w:w="0" w:type="auto"/>
            <w:vAlign w:val="center"/>
          </w:tcPr>
          <w:p w14:paraId="3F704E0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1F42BE5" w14:textId="77777777" w:rsidTr="00F2005A">
        <w:trPr>
          <w:trHeight w:val="389"/>
          <w:jc w:val="center"/>
        </w:trPr>
        <w:tc>
          <w:tcPr>
            <w:tcW w:w="3330" w:type="dxa"/>
            <w:shd w:val="pct12" w:color="auto" w:fill="auto"/>
            <w:vAlign w:val="center"/>
          </w:tcPr>
          <w:p w14:paraId="1843D91A"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5940" w:type="dxa"/>
            <w:gridSpan w:val="4"/>
            <w:vAlign w:val="center"/>
          </w:tcPr>
          <w:p w14:paraId="7DEC6BE5" w14:textId="132489BA" w:rsidR="0043278C" w:rsidRPr="0043278C" w:rsidRDefault="00F2005A" w:rsidP="00E31804">
            <w:pPr>
              <w:pStyle w:val="BlockText"/>
              <w:jc w:val="center"/>
              <w:rPr>
                <w:rFonts w:ascii="Sakkal Majalla" w:hAnsi="Sakkal Majalla" w:cs="Sakkal Majalla"/>
                <w:sz w:val="28"/>
                <w:rtl/>
                <w:lang w:bidi="ar-EG"/>
              </w:rPr>
            </w:pPr>
            <w:r w:rsidRPr="00F2005A">
              <w:rPr>
                <w:rFonts w:ascii="Sakkal Majalla" w:hAnsi="Sakkal Majalla" w:cs="Sakkal Majalla"/>
                <w:sz w:val="28"/>
                <w:rtl/>
                <w:lang w:bidi="ar-EG"/>
              </w:rPr>
              <w:t xml:space="preserve">البعد القانوني والسياسي </w:t>
            </w:r>
            <w:r w:rsidR="0043278C" w:rsidRPr="0043278C">
              <w:rPr>
                <w:rFonts w:ascii="Sakkal Majalla" w:hAnsi="Sakkal Majalla" w:cs="Sakkal Majalla"/>
                <w:sz w:val="28"/>
                <w:rtl/>
                <w:lang w:bidi="ar-EG"/>
              </w:rPr>
              <w:t>=   4.910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1.585</w:t>
            </w:r>
          </w:p>
        </w:tc>
      </w:tr>
      <w:tr w:rsidR="0043278C" w:rsidRPr="0043278C" w14:paraId="1D66932C" w14:textId="77777777" w:rsidTr="00F2005A">
        <w:trPr>
          <w:trHeight w:val="394"/>
          <w:jc w:val="center"/>
        </w:trPr>
        <w:tc>
          <w:tcPr>
            <w:tcW w:w="3330" w:type="dxa"/>
            <w:shd w:val="pct12" w:color="auto" w:fill="auto"/>
            <w:vAlign w:val="center"/>
          </w:tcPr>
          <w:p w14:paraId="3F44EC33"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40" w:type="dxa"/>
            <w:gridSpan w:val="4"/>
            <w:vAlign w:val="center"/>
          </w:tcPr>
          <w:p w14:paraId="52262BA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0.11</w:t>
            </w:r>
          </w:p>
        </w:tc>
      </w:tr>
      <w:tr w:rsidR="0043278C" w:rsidRPr="0043278C" w14:paraId="1935E35F" w14:textId="77777777" w:rsidTr="00F2005A">
        <w:trPr>
          <w:trHeight w:val="528"/>
          <w:jc w:val="center"/>
        </w:trPr>
        <w:tc>
          <w:tcPr>
            <w:tcW w:w="3330" w:type="dxa"/>
            <w:shd w:val="pct12" w:color="auto" w:fill="auto"/>
            <w:vAlign w:val="center"/>
          </w:tcPr>
          <w:p w14:paraId="0328B41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4B9267B2" w14:textId="77777777" w:rsidR="0043278C" w:rsidRPr="0043278C" w:rsidRDefault="0043278C" w:rsidP="00E31804">
            <w:pPr>
              <w:pStyle w:val="BlockText"/>
              <w:jc w:val="both"/>
              <w:rPr>
                <w:rFonts w:ascii="Sakkal Majalla" w:hAnsi="Sakkal Majalla" w:cs="Sakkal Majalla"/>
                <w:sz w:val="28"/>
                <w:rtl/>
                <w:lang w:bidi="ar-EG"/>
              </w:rPr>
            </w:pPr>
          </w:p>
        </w:tc>
        <w:tc>
          <w:tcPr>
            <w:tcW w:w="5940" w:type="dxa"/>
            <w:gridSpan w:val="4"/>
            <w:vAlign w:val="center"/>
          </w:tcPr>
          <w:p w14:paraId="4AA0E31E"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49.401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4360757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6686909F" w14:textId="18AE4E52"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F2005A" w:rsidRPr="00F2005A">
        <w:rPr>
          <w:rFonts w:ascii="Sakkal Majalla" w:hAnsi="Sakkal Majalla" w:cs="Sakkal Majalla"/>
          <w:sz w:val="28"/>
          <w:rtl/>
          <w:lang w:bidi="ar-EG"/>
        </w:rPr>
        <w:t>التحول الرقمي والبعد القانوني والسياسي</w:t>
      </w:r>
      <w:r w:rsidRPr="0043278C">
        <w:rPr>
          <w:rFonts w:ascii="Sakkal Majalla" w:hAnsi="Sakkal Majalla" w:cs="Sakkal Majalla"/>
          <w:sz w:val="28"/>
          <w:rtl/>
          <w:lang w:bidi="ar-EG"/>
        </w:rPr>
        <w:t xml:space="preserve">، وتظهر النتائج أن معامل التحديد للنموذج يفسر 11%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49.401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5367076A" w14:textId="77777777" w:rsidR="0043278C" w:rsidRPr="00F2005A" w:rsidRDefault="0043278C" w:rsidP="00E31804">
      <w:pPr>
        <w:pStyle w:val="BlockText"/>
        <w:numPr>
          <w:ilvl w:val="0"/>
          <w:numId w:val="242"/>
        </w:numPr>
        <w:jc w:val="lowKashida"/>
        <w:rPr>
          <w:rFonts w:ascii="Sakkal Majalla" w:hAnsi="Sakkal Majalla" w:cs="Sakkal Majalla"/>
          <w:b/>
          <w:bCs/>
          <w:sz w:val="28"/>
          <w:lang w:bidi="ar-EG"/>
        </w:rPr>
      </w:pPr>
      <w:r w:rsidRPr="00F2005A">
        <w:rPr>
          <w:rFonts w:ascii="Sakkal Majalla" w:hAnsi="Sakkal Majalla" w:cs="Sakkal Majalla"/>
          <w:b/>
          <w:bCs/>
          <w:sz w:val="28"/>
          <w:rtl/>
          <w:lang w:bidi="ar-EG"/>
        </w:rPr>
        <w:t>معادلة الأنحدار البيسط :</w:t>
      </w:r>
    </w:p>
    <w:p w14:paraId="32945DAD"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r w:rsidRPr="0043278C">
        <w:rPr>
          <w:rFonts w:ascii="Sakkal Majalla" w:hAnsi="Sakkal Majalla" w:cs="Sakkal Majalla"/>
          <w:sz w:val="28"/>
          <w:lang w:bidi="ar-EG"/>
        </w:rPr>
        <w:t>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00DA8C7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تكرار الشراء =   4.910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1.585</w:t>
      </w:r>
    </w:p>
    <w:p w14:paraId="5B4B8A2B" w14:textId="44E21853"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F2005A" w:rsidRPr="00F2005A">
        <w:rPr>
          <w:rFonts w:ascii="Sakkal Majalla" w:hAnsi="Sakkal Majalla" w:cs="Sakkal Majalla"/>
          <w:sz w:val="28"/>
          <w:rtl/>
          <w:lang w:bidi="ar-EG"/>
        </w:rPr>
        <w:t>التحول الرقمي والبعد القانوني والسياسي</w:t>
      </w:r>
      <w:r w:rsidRPr="0043278C">
        <w:rPr>
          <w:rFonts w:ascii="Sakkal Majalla" w:hAnsi="Sakkal Majalla" w:cs="Sakkal Majalla"/>
          <w:sz w:val="28"/>
          <w:rtl/>
          <w:lang w:bidi="ar-EG"/>
        </w:rPr>
        <w:t>.</w:t>
      </w:r>
    </w:p>
    <w:p w14:paraId="7C0084C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(3/33)</w:t>
      </w:r>
    </w:p>
    <w:p w14:paraId="3AF21CC9" w14:textId="59D26413"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bookmarkStart w:id="4" w:name="_Hlk225396089"/>
      <w:r w:rsidR="00F2005A" w:rsidRPr="00F2005A">
        <w:rPr>
          <w:rFonts w:ascii="Sakkal Majalla" w:hAnsi="Sakkal Majalla" w:cs="Sakkal Majalla"/>
          <w:b/>
          <w:bCs/>
          <w:sz w:val="28"/>
          <w:rtl/>
          <w:lang w:bidi="ar-EG"/>
        </w:rPr>
        <w:t>التحول الرقمي والبعد القانوني والسياسي</w:t>
      </w:r>
      <w:bookmarkEnd w:id="4"/>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3EBAE93"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75470CE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1C606F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5068CB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475252C1"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3C3D880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1F97A30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1755DF0B"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545A75D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2D68D3CA"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991B5D0" w14:textId="77777777" w:rsidR="0043278C" w:rsidRPr="0043278C" w:rsidRDefault="0043278C" w:rsidP="00E31804">
            <w:pPr>
              <w:pStyle w:val="BlockText"/>
              <w:ind w:left="0"/>
              <w:rPr>
                <w:rFonts w:ascii="Sakkal Majalla" w:hAnsi="Sakkal Majalla" w:cs="Sakkal Majalla"/>
                <w:b/>
                <w:bCs/>
                <w:sz w:val="28"/>
                <w:rtl/>
                <w:lang w:bidi="ar-EG"/>
              </w:rPr>
            </w:pPr>
          </w:p>
          <w:p w14:paraId="55F8C6B3"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3B290A65" w14:textId="77777777" w:rsidTr="00851341">
        <w:trPr>
          <w:trHeight w:val="297"/>
          <w:jc w:val="center"/>
        </w:trPr>
        <w:tc>
          <w:tcPr>
            <w:tcW w:w="0" w:type="auto"/>
            <w:tcBorders>
              <w:top w:val="thickThinSmallGap" w:sz="24" w:space="0" w:color="auto"/>
            </w:tcBorders>
            <w:shd w:val="pct12" w:color="auto" w:fill="auto"/>
            <w:vAlign w:val="center"/>
          </w:tcPr>
          <w:p w14:paraId="4395064F"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71FD46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351.911</w:t>
            </w:r>
          </w:p>
        </w:tc>
        <w:tc>
          <w:tcPr>
            <w:tcW w:w="0" w:type="auto"/>
            <w:tcBorders>
              <w:top w:val="thickThinSmallGap" w:sz="24" w:space="0" w:color="auto"/>
            </w:tcBorders>
            <w:vAlign w:val="center"/>
          </w:tcPr>
          <w:p w14:paraId="2B25174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8FA51F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351.911</w:t>
            </w:r>
          </w:p>
        </w:tc>
        <w:tc>
          <w:tcPr>
            <w:tcW w:w="0" w:type="auto"/>
            <w:vMerge w:val="restart"/>
            <w:tcBorders>
              <w:top w:val="thickThinSmallGap" w:sz="24" w:space="0" w:color="auto"/>
            </w:tcBorders>
          </w:tcPr>
          <w:p w14:paraId="462818E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49.401</w:t>
            </w:r>
          </w:p>
        </w:tc>
        <w:tc>
          <w:tcPr>
            <w:tcW w:w="0" w:type="auto"/>
            <w:vMerge w:val="restart"/>
            <w:tcBorders>
              <w:top w:val="thickThinSmallGap" w:sz="24" w:space="0" w:color="auto"/>
            </w:tcBorders>
          </w:tcPr>
          <w:p w14:paraId="0B50F08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29E8233F" w14:textId="77777777" w:rsidTr="00851341">
        <w:trPr>
          <w:trHeight w:val="388"/>
          <w:jc w:val="center"/>
        </w:trPr>
        <w:tc>
          <w:tcPr>
            <w:tcW w:w="0" w:type="auto"/>
            <w:shd w:val="pct12" w:color="auto" w:fill="auto"/>
            <w:vAlign w:val="center"/>
          </w:tcPr>
          <w:p w14:paraId="30808EDF"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4EF5D41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2721.212</w:t>
            </w:r>
          </w:p>
        </w:tc>
        <w:tc>
          <w:tcPr>
            <w:tcW w:w="0" w:type="auto"/>
            <w:vAlign w:val="center"/>
          </w:tcPr>
          <w:p w14:paraId="47D6FA8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D5519E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7.124</w:t>
            </w:r>
          </w:p>
        </w:tc>
        <w:tc>
          <w:tcPr>
            <w:tcW w:w="0" w:type="auto"/>
            <w:vMerge/>
          </w:tcPr>
          <w:p w14:paraId="64CE9F9B"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65CDF976"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1E7042BB" w14:textId="77777777" w:rsidTr="00851341">
        <w:trPr>
          <w:trHeight w:val="365"/>
          <w:jc w:val="center"/>
        </w:trPr>
        <w:tc>
          <w:tcPr>
            <w:tcW w:w="0" w:type="auto"/>
            <w:shd w:val="pct12" w:color="auto" w:fill="auto"/>
            <w:vAlign w:val="center"/>
          </w:tcPr>
          <w:p w14:paraId="499CF9A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26219C3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3073.122</w:t>
            </w:r>
          </w:p>
        </w:tc>
        <w:tc>
          <w:tcPr>
            <w:tcW w:w="0" w:type="auto"/>
            <w:vAlign w:val="center"/>
          </w:tcPr>
          <w:p w14:paraId="72728DB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FB3BE56"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1D99B1B3"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2C42EC4E"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0BB6D83D" w14:textId="77777777" w:rsidTr="00851341">
        <w:trPr>
          <w:trHeight w:val="399"/>
          <w:jc w:val="center"/>
        </w:trPr>
        <w:tc>
          <w:tcPr>
            <w:tcW w:w="0" w:type="auto"/>
            <w:gridSpan w:val="6"/>
            <w:shd w:val="clear" w:color="auto" w:fill="auto"/>
            <w:vAlign w:val="center"/>
          </w:tcPr>
          <w:p w14:paraId="53BCC3F8"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0.338</w:t>
            </w:r>
          </w:p>
        </w:tc>
      </w:tr>
      <w:tr w:rsidR="0043278C" w:rsidRPr="0043278C" w14:paraId="09730177" w14:textId="77777777" w:rsidTr="00851341">
        <w:trPr>
          <w:trHeight w:val="390"/>
          <w:jc w:val="center"/>
        </w:trPr>
        <w:tc>
          <w:tcPr>
            <w:tcW w:w="0" w:type="auto"/>
            <w:gridSpan w:val="6"/>
            <w:shd w:val="clear" w:color="auto" w:fill="auto"/>
            <w:vAlign w:val="center"/>
          </w:tcPr>
          <w:p w14:paraId="0092592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0.115</w:t>
            </w:r>
          </w:p>
        </w:tc>
      </w:tr>
      <w:tr w:rsidR="0043278C" w:rsidRPr="0043278C" w14:paraId="1174F70A" w14:textId="77777777" w:rsidTr="00851341">
        <w:trPr>
          <w:trHeight w:val="397"/>
          <w:jc w:val="center"/>
        </w:trPr>
        <w:tc>
          <w:tcPr>
            <w:tcW w:w="0" w:type="auto"/>
            <w:gridSpan w:val="6"/>
            <w:shd w:val="clear" w:color="auto" w:fill="auto"/>
            <w:vAlign w:val="center"/>
          </w:tcPr>
          <w:p w14:paraId="1C0BF2F9"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0.112</w:t>
            </w:r>
          </w:p>
        </w:tc>
      </w:tr>
      <w:tr w:rsidR="0043278C" w:rsidRPr="0043278C" w14:paraId="6509123D" w14:textId="77777777" w:rsidTr="00851341">
        <w:trPr>
          <w:trHeight w:val="375"/>
          <w:jc w:val="center"/>
        </w:trPr>
        <w:tc>
          <w:tcPr>
            <w:tcW w:w="0" w:type="auto"/>
            <w:gridSpan w:val="6"/>
            <w:shd w:val="clear" w:color="auto" w:fill="auto"/>
            <w:vAlign w:val="center"/>
          </w:tcPr>
          <w:p w14:paraId="4F35FBC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2.66901</w:t>
            </w:r>
          </w:p>
        </w:tc>
      </w:tr>
    </w:tbl>
    <w:p w14:paraId="280DA9F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F3D5F17" w14:textId="1159C5DC"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F2005A" w:rsidRPr="00F2005A">
        <w:rPr>
          <w:rFonts w:ascii="Sakkal Majalla" w:hAnsi="Sakkal Majalla" w:cs="Sakkal Majalla"/>
          <w:sz w:val="28"/>
          <w:rtl/>
          <w:lang w:bidi="ar-EG"/>
        </w:rPr>
        <w:t xml:space="preserve">التحول الرقمي والبعد القانوني والسياسي </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F2005A">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w:t>
      </w:r>
      <w:r w:rsidR="00F2005A" w:rsidRPr="00F2005A">
        <w:rPr>
          <w:rFonts w:ascii="Sakkal Majalla" w:hAnsi="Sakkal Majalla" w:cs="Sakkal Majalla"/>
          <w:sz w:val="28"/>
          <w:rtl/>
          <w:lang w:bidi="ar-EG"/>
        </w:rPr>
        <w:t xml:space="preserve">البعد القانوني والسياسي </w:t>
      </w:r>
      <w:r w:rsidRPr="0043278C">
        <w:rPr>
          <w:rFonts w:ascii="Sakkal Majalla" w:hAnsi="Sakkal Majalla" w:cs="Sakkal Majalla"/>
          <w:sz w:val="28"/>
          <w:rtl/>
          <w:lang w:bidi="ar-EG"/>
        </w:rPr>
        <w:t xml:space="preserve">المتغير التابع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6075B558"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(3/33) أن : </w:t>
      </w:r>
    </w:p>
    <w:p w14:paraId="1EBACF75"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7FB570D9" w14:textId="4D30D87F"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0.115 ، أى أن المتغيرات </w:t>
      </w:r>
      <w:r w:rsidR="00F2005A">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12% من التغير فى المتغير التابع تأثير تحديد </w:t>
      </w:r>
      <w:r w:rsidR="00F2005A" w:rsidRPr="00F2005A">
        <w:rPr>
          <w:rFonts w:ascii="Sakkal Majalla" w:hAnsi="Sakkal Majalla" w:cs="Sakkal Majalla"/>
          <w:sz w:val="28"/>
          <w:rtl/>
          <w:lang w:bidi="ar-EG"/>
        </w:rPr>
        <w:t>البعد القانوني والسياسي</w:t>
      </w:r>
      <w:r w:rsidRPr="0043278C">
        <w:rPr>
          <w:rFonts w:ascii="Sakkal Majalla" w:hAnsi="Sakkal Majalla" w:cs="Sakkal Majalla"/>
          <w:sz w:val="28"/>
          <w:rtl/>
          <w:lang w:bidi="ar-EG"/>
        </w:rPr>
        <w:t>.</w:t>
      </w:r>
    </w:p>
    <w:p w14:paraId="6EB7419F"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0.33 .  </w:t>
      </w:r>
    </w:p>
    <w:p w14:paraId="075D564B" w14:textId="77777777" w:rsidR="0043278C" w:rsidRPr="0043278C" w:rsidRDefault="0043278C" w:rsidP="00E31804">
      <w:pPr>
        <w:spacing w:line="240" w:lineRule="auto"/>
        <w:ind w:left="444"/>
        <w:jc w:val="lowKashida"/>
        <w:rPr>
          <w:rFonts w:ascii="Sakkal Majalla" w:hAnsi="Sakkal Majalla" w:cs="Sakkal Majalla"/>
          <w:b/>
          <w:bCs/>
          <w:i/>
          <w:iCs/>
          <w:sz w:val="28"/>
          <w:szCs w:val="28"/>
          <w:rtl/>
          <w:lang w:bidi="ar-EG"/>
        </w:rPr>
      </w:pPr>
    </w:p>
    <w:p w14:paraId="22C43385" w14:textId="77777777" w:rsidR="0043278C" w:rsidRPr="0043278C" w:rsidRDefault="0043278C" w:rsidP="00E31804">
      <w:pPr>
        <w:spacing w:line="240" w:lineRule="auto"/>
        <w:ind w:left="444"/>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5BF9389A" w14:textId="79B9D8FA" w:rsidR="0043278C" w:rsidRDefault="0043278C" w:rsidP="00E31804">
      <w:pPr>
        <w:bidi/>
        <w:spacing w:line="240" w:lineRule="auto"/>
        <w:ind w:left="26"/>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F2005A" w:rsidRPr="00F2005A">
        <w:rPr>
          <w:rFonts w:ascii="Sakkal Majalla" w:hAnsi="Sakkal Majalla" w:cs="Sakkal Majalla"/>
          <w:sz w:val="28"/>
          <w:szCs w:val="28"/>
          <w:rtl/>
          <w:lang w:bidi="ar-EG"/>
        </w:rPr>
        <w:t xml:space="preserve">البعد القانوني والسياسي </w:t>
      </w:r>
      <w:r w:rsidRPr="0043278C">
        <w:rPr>
          <w:rFonts w:ascii="Sakkal Majalla" w:hAnsi="Sakkal Majalla" w:cs="Sakkal Majalla"/>
          <w:sz w:val="28"/>
          <w:szCs w:val="28"/>
          <w:rtl/>
          <w:lang w:bidi="ar-EG"/>
        </w:rPr>
        <w:t xml:space="preserve">، وفيما يلي نموذج العلاقة الناتج: </w:t>
      </w:r>
    </w:p>
    <w:p w14:paraId="4DE09A34" w14:textId="77777777" w:rsidR="00E31804" w:rsidRDefault="00E31804" w:rsidP="00E31804">
      <w:pPr>
        <w:bidi/>
        <w:spacing w:line="240" w:lineRule="auto"/>
        <w:ind w:left="26"/>
        <w:jc w:val="lowKashida"/>
        <w:rPr>
          <w:rFonts w:ascii="Sakkal Majalla" w:hAnsi="Sakkal Majalla" w:cs="Sakkal Majalla"/>
          <w:sz w:val="28"/>
          <w:szCs w:val="28"/>
          <w:rtl/>
          <w:lang w:bidi="ar-EG"/>
        </w:rPr>
      </w:pPr>
    </w:p>
    <w:p w14:paraId="5F5EB1DA" w14:textId="77777777" w:rsidR="00E31804" w:rsidRDefault="00E31804" w:rsidP="00E31804">
      <w:pPr>
        <w:bidi/>
        <w:spacing w:line="240" w:lineRule="auto"/>
        <w:ind w:left="26"/>
        <w:jc w:val="lowKashida"/>
        <w:rPr>
          <w:rFonts w:ascii="Sakkal Majalla" w:hAnsi="Sakkal Majalla" w:cs="Sakkal Majalla"/>
          <w:sz w:val="28"/>
          <w:szCs w:val="28"/>
          <w:rtl/>
          <w:lang w:bidi="ar-EG"/>
        </w:rPr>
      </w:pPr>
    </w:p>
    <w:p w14:paraId="1A605B23" w14:textId="77777777" w:rsidR="00E31804" w:rsidRPr="0043278C" w:rsidRDefault="00E31804" w:rsidP="00E31804">
      <w:pPr>
        <w:bidi/>
        <w:spacing w:line="240" w:lineRule="auto"/>
        <w:ind w:left="26"/>
        <w:jc w:val="lowKashida"/>
        <w:rPr>
          <w:rFonts w:ascii="Sakkal Majalla" w:hAnsi="Sakkal Majalla" w:cs="Sakkal Majalla"/>
          <w:sz w:val="28"/>
          <w:szCs w:val="28"/>
          <w:rtl/>
          <w:lang w:bidi="ar-EG"/>
        </w:rPr>
      </w:pPr>
    </w:p>
    <w:p w14:paraId="02FD4A22"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(3/34) </w:t>
      </w:r>
    </w:p>
    <w:p w14:paraId="4A11BA31" w14:textId="08891A21"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F2005A" w:rsidRPr="00F2005A">
        <w:rPr>
          <w:rFonts w:ascii="Sakkal Majalla" w:hAnsi="Sakkal Majalla" w:cs="Sakkal Majalla"/>
          <w:b/>
          <w:bCs/>
          <w:sz w:val="28"/>
          <w:rtl/>
          <w:lang w:bidi="ar-EG"/>
        </w:rPr>
        <w:t xml:space="preserve">التحول الرقمي </w:t>
      </w:r>
      <w:r w:rsidR="00F2005A">
        <w:rPr>
          <w:rFonts w:ascii="Sakkal Majalla" w:hAnsi="Sakkal Majalla" w:cs="Sakkal Majalla" w:hint="cs"/>
          <w:b/>
          <w:bCs/>
          <w:sz w:val="28"/>
          <w:rtl/>
          <w:lang w:bidi="ar-EG"/>
        </w:rPr>
        <w:t xml:space="preserve">علي </w:t>
      </w:r>
      <w:r w:rsidR="00F2005A" w:rsidRPr="00F2005A">
        <w:rPr>
          <w:rFonts w:ascii="Sakkal Majalla" w:hAnsi="Sakkal Majalla" w:cs="Sakkal Majalla"/>
          <w:b/>
          <w:bCs/>
          <w:sz w:val="28"/>
          <w:rtl/>
          <w:lang w:bidi="ar-EG"/>
        </w:rPr>
        <w:t>البعد القانوني والسياسي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0BAA07A5" w14:textId="77777777" w:rsidTr="00851341">
        <w:tc>
          <w:tcPr>
            <w:tcW w:w="3366" w:type="dxa"/>
            <w:tcBorders>
              <w:top w:val="thickThinSmallGap" w:sz="24" w:space="0" w:color="auto"/>
              <w:bottom w:val="thickThinSmallGap" w:sz="24" w:space="0" w:color="auto"/>
            </w:tcBorders>
            <w:shd w:val="pct12" w:color="auto" w:fill="auto"/>
            <w:vAlign w:val="center"/>
          </w:tcPr>
          <w:p w14:paraId="2520BA5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7399E349"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71B16A7E"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3E4F511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03E6E029"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4B32419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20AF64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996D304"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A2A166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51BA452" w14:textId="77777777" w:rsidTr="00851341">
        <w:trPr>
          <w:trHeight w:val="447"/>
        </w:trPr>
        <w:tc>
          <w:tcPr>
            <w:tcW w:w="3366" w:type="dxa"/>
            <w:tcBorders>
              <w:top w:val="thickThinSmallGap" w:sz="24" w:space="0" w:color="auto"/>
            </w:tcBorders>
            <w:shd w:val="pct12" w:color="auto" w:fill="auto"/>
            <w:vAlign w:val="center"/>
          </w:tcPr>
          <w:p w14:paraId="14F40E73" w14:textId="31E2324D" w:rsidR="0043278C" w:rsidRPr="0043278C" w:rsidRDefault="00F2005A"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1767" w:type="dxa"/>
            <w:tcBorders>
              <w:top w:val="thickThinSmallGap" w:sz="24" w:space="0" w:color="auto"/>
            </w:tcBorders>
            <w:vAlign w:val="center"/>
          </w:tcPr>
          <w:p w14:paraId="71DB0C8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0.100</w:t>
            </w:r>
          </w:p>
        </w:tc>
        <w:tc>
          <w:tcPr>
            <w:tcW w:w="0" w:type="auto"/>
            <w:tcBorders>
              <w:top w:val="thickThinSmallGap" w:sz="24" w:space="0" w:color="auto"/>
            </w:tcBorders>
            <w:vAlign w:val="center"/>
          </w:tcPr>
          <w:p w14:paraId="7B7C33B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0.035</w:t>
            </w:r>
          </w:p>
        </w:tc>
        <w:tc>
          <w:tcPr>
            <w:tcW w:w="0" w:type="auto"/>
            <w:tcBorders>
              <w:top w:val="thickThinSmallGap" w:sz="24" w:space="0" w:color="auto"/>
            </w:tcBorders>
            <w:vAlign w:val="center"/>
          </w:tcPr>
          <w:p w14:paraId="66D9C96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2.848</w:t>
            </w:r>
          </w:p>
        </w:tc>
        <w:tc>
          <w:tcPr>
            <w:tcW w:w="0" w:type="auto"/>
            <w:tcBorders>
              <w:top w:val="thickThinSmallGap" w:sz="24" w:space="0" w:color="auto"/>
            </w:tcBorders>
          </w:tcPr>
          <w:p w14:paraId="4C0F617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734DBB4" w14:textId="77777777" w:rsidTr="00851341">
        <w:trPr>
          <w:trHeight w:val="396"/>
        </w:trPr>
        <w:tc>
          <w:tcPr>
            <w:tcW w:w="3366" w:type="dxa"/>
            <w:shd w:val="pct12" w:color="auto" w:fill="auto"/>
            <w:vAlign w:val="center"/>
          </w:tcPr>
          <w:p w14:paraId="107BA234" w14:textId="08A7518D" w:rsidR="0043278C" w:rsidRPr="0043278C" w:rsidRDefault="00F2005A"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767" w:type="dxa"/>
            <w:vAlign w:val="center"/>
          </w:tcPr>
          <w:p w14:paraId="720A522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0.202</w:t>
            </w:r>
          </w:p>
        </w:tc>
        <w:tc>
          <w:tcPr>
            <w:tcW w:w="0" w:type="auto"/>
            <w:vAlign w:val="center"/>
          </w:tcPr>
          <w:p w14:paraId="10FE4A8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0.065</w:t>
            </w:r>
          </w:p>
        </w:tc>
        <w:tc>
          <w:tcPr>
            <w:tcW w:w="0" w:type="auto"/>
            <w:vAlign w:val="center"/>
          </w:tcPr>
          <w:p w14:paraId="067EFFD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3.104</w:t>
            </w:r>
          </w:p>
        </w:tc>
        <w:tc>
          <w:tcPr>
            <w:tcW w:w="0" w:type="auto"/>
          </w:tcPr>
          <w:p w14:paraId="5129447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FBACA1D" w14:textId="77777777" w:rsidTr="00851341">
        <w:trPr>
          <w:trHeight w:val="402"/>
        </w:trPr>
        <w:tc>
          <w:tcPr>
            <w:tcW w:w="3366" w:type="dxa"/>
            <w:shd w:val="pct12" w:color="auto" w:fill="auto"/>
            <w:vAlign w:val="center"/>
          </w:tcPr>
          <w:p w14:paraId="01DD6B00" w14:textId="3F76EBDE" w:rsidR="0043278C" w:rsidRPr="0043278C" w:rsidRDefault="00F2005A"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265E93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0.186</w:t>
            </w:r>
          </w:p>
        </w:tc>
        <w:tc>
          <w:tcPr>
            <w:tcW w:w="0" w:type="auto"/>
            <w:vAlign w:val="center"/>
          </w:tcPr>
          <w:p w14:paraId="155FA16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0.067</w:t>
            </w:r>
          </w:p>
        </w:tc>
        <w:tc>
          <w:tcPr>
            <w:tcW w:w="0" w:type="auto"/>
            <w:vAlign w:val="center"/>
          </w:tcPr>
          <w:p w14:paraId="10BFFD7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2.767</w:t>
            </w:r>
          </w:p>
        </w:tc>
        <w:tc>
          <w:tcPr>
            <w:tcW w:w="0" w:type="auto"/>
          </w:tcPr>
          <w:p w14:paraId="306C2456"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5451B4EE" w14:textId="77777777" w:rsidTr="00851341">
        <w:trPr>
          <w:trHeight w:val="395"/>
        </w:trPr>
        <w:tc>
          <w:tcPr>
            <w:tcW w:w="3366" w:type="dxa"/>
            <w:shd w:val="pct12" w:color="auto" w:fill="auto"/>
            <w:vAlign w:val="center"/>
          </w:tcPr>
          <w:p w14:paraId="7BE8905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23F5BF8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4.771</w:t>
            </w:r>
          </w:p>
        </w:tc>
        <w:tc>
          <w:tcPr>
            <w:tcW w:w="0" w:type="auto"/>
            <w:vAlign w:val="center"/>
          </w:tcPr>
          <w:p w14:paraId="25C1962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0.904</w:t>
            </w:r>
          </w:p>
        </w:tc>
        <w:tc>
          <w:tcPr>
            <w:tcW w:w="0" w:type="auto"/>
            <w:vAlign w:val="center"/>
          </w:tcPr>
          <w:p w14:paraId="0EAA368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5.280</w:t>
            </w:r>
          </w:p>
        </w:tc>
        <w:tc>
          <w:tcPr>
            <w:tcW w:w="0" w:type="auto"/>
          </w:tcPr>
          <w:p w14:paraId="32FAA326"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A489BB8" w14:textId="77777777" w:rsidTr="00851341">
        <w:trPr>
          <w:trHeight w:val="401"/>
        </w:trPr>
        <w:tc>
          <w:tcPr>
            <w:tcW w:w="3366" w:type="dxa"/>
            <w:shd w:val="pct12" w:color="auto" w:fill="auto"/>
            <w:vAlign w:val="center"/>
          </w:tcPr>
          <w:p w14:paraId="5D96FD47"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20" w:type="dxa"/>
            <w:gridSpan w:val="4"/>
            <w:vAlign w:val="center"/>
          </w:tcPr>
          <w:p w14:paraId="047F7F70" w14:textId="4ACE23F9" w:rsidR="0043278C" w:rsidRPr="0043278C" w:rsidRDefault="00F2005A" w:rsidP="00E31804">
            <w:pPr>
              <w:pStyle w:val="BlockText"/>
              <w:ind w:left="0"/>
              <w:jc w:val="center"/>
              <w:rPr>
                <w:rFonts w:ascii="Sakkal Majalla" w:hAnsi="Sakkal Majalla" w:cs="Sakkal Majalla"/>
                <w:sz w:val="28"/>
                <w:rtl/>
                <w:lang w:bidi="ar-EG"/>
              </w:rPr>
            </w:pPr>
            <w:r w:rsidRPr="00F2005A">
              <w:rPr>
                <w:rFonts w:ascii="Sakkal Majalla" w:hAnsi="Sakkal Majalla" w:cs="Sakkal Majalla"/>
                <w:sz w:val="28"/>
                <w:rtl/>
                <w:lang w:bidi="ar-EG"/>
              </w:rPr>
              <w:t xml:space="preserve">البعد القانوني والسياسي </w:t>
            </w:r>
            <w:r w:rsidR="0043278C" w:rsidRPr="0043278C">
              <w:rPr>
                <w:rFonts w:ascii="Sakkal Majalla" w:hAnsi="Sakkal Majalla" w:cs="Sakkal Majalla"/>
                <w:sz w:val="28"/>
                <w:rtl/>
                <w:lang w:bidi="ar-EG"/>
              </w:rPr>
              <w:t>= 4.771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0.100+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0.202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0.186 </w:t>
            </w:r>
          </w:p>
        </w:tc>
      </w:tr>
      <w:tr w:rsidR="0043278C" w:rsidRPr="0043278C" w14:paraId="75D8BE17" w14:textId="77777777" w:rsidTr="00851341">
        <w:trPr>
          <w:trHeight w:val="392"/>
        </w:trPr>
        <w:tc>
          <w:tcPr>
            <w:tcW w:w="3366" w:type="dxa"/>
            <w:shd w:val="pct12" w:color="auto" w:fill="auto"/>
            <w:vAlign w:val="center"/>
          </w:tcPr>
          <w:p w14:paraId="3E8AA5E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20" w:type="dxa"/>
            <w:gridSpan w:val="4"/>
            <w:vAlign w:val="center"/>
          </w:tcPr>
          <w:p w14:paraId="680A7FE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0.11</w:t>
            </w:r>
          </w:p>
        </w:tc>
      </w:tr>
      <w:tr w:rsidR="0043278C" w:rsidRPr="0043278C" w14:paraId="7B788947" w14:textId="77777777" w:rsidTr="00851341">
        <w:trPr>
          <w:trHeight w:val="398"/>
        </w:trPr>
        <w:tc>
          <w:tcPr>
            <w:tcW w:w="3366" w:type="dxa"/>
            <w:shd w:val="pct12" w:color="auto" w:fill="auto"/>
            <w:vAlign w:val="center"/>
          </w:tcPr>
          <w:p w14:paraId="17017304"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DA62144"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59570C1D"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16.386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A375357"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178515D6" w14:textId="0C61FCBB" w:rsidR="0043278C" w:rsidRPr="0043278C" w:rsidRDefault="0043278C" w:rsidP="00E31804">
      <w:pPr>
        <w:bidi/>
        <w:spacing w:line="240" w:lineRule="auto"/>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w:t>
      </w:r>
      <w:r w:rsidR="00F2005A" w:rsidRPr="00F2005A">
        <w:rPr>
          <w:rFonts w:ascii="Sakkal Majalla" w:hAnsi="Sakkal Majalla" w:cs="Sakkal Majalla"/>
          <w:sz w:val="28"/>
          <w:szCs w:val="28"/>
          <w:rtl/>
          <w:lang w:bidi="ar-EG"/>
        </w:rPr>
        <w:t>تأثير التحول الرقمي علي البعد القانوني والسياسي</w:t>
      </w:r>
      <w:r w:rsidR="00F2005A">
        <w:rPr>
          <w:rFonts w:ascii="Sakkal Majalla" w:hAnsi="Sakkal Majalla" w:cs="Sakkal Majalla" w:hint="cs"/>
          <w:sz w:val="28"/>
          <w:szCs w:val="28"/>
          <w:rtl/>
          <w:lang w:bidi="ar-EG"/>
        </w:rPr>
        <w:t>،</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F2005A" w:rsidRPr="00F2005A">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11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16.386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67A3756D" w14:textId="77777777" w:rsidR="0043278C" w:rsidRPr="00F2005A" w:rsidRDefault="0043278C" w:rsidP="00E31804">
      <w:pPr>
        <w:pStyle w:val="BlockText"/>
        <w:numPr>
          <w:ilvl w:val="0"/>
          <w:numId w:val="242"/>
        </w:numPr>
        <w:jc w:val="lowKashida"/>
        <w:rPr>
          <w:rFonts w:ascii="Sakkal Majalla" w:hAnsi="Sakkal Majalla" w:cs="Sakkal Majalla"/>
          <w:b/>
          <w:bCs/>
          <w:sz w:val="28"/>
          <w:lang w:bidi="ar-EG"/>
        </w:rPr>
      </w:pPr>
      <w:r w:rsidRPr="00F2005A">
        <w:rPr>
          <w:rFonts w:ascii="Sakkal Majalla" w:hAnsi="Sakkal Majalla" w:cs="Sakkal Majalla"/>
          <w:b/>
          <w:bCs/>
          <w:sz w:val="28"/>
          <w:rtl/>
          <w:lang w:bidi="ar-EG"/>
        </w:rPr>
        <w:t>معادلة الأنحدار المتعدد :</w:t>
      </w:r>
    </w:p>
    <w:p w14:paraId="04DCC9C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25351EA6" w14:textId="4959E36A" w:rsidR="0043278C" w:rsidRPr="0043278C" w:rsidRDefault="00F2005A" w:rsidP="00E31804">
      <w:pPr>
        <w:pStyle w:val="BlockText"/>
        <w:ind w:left="0"/>
        <w:jc w:val="lowKashida"/>
        <w:rPr>
          <w:rFonts w:ascii="Sakkal Majalla" w:hAnsi="Sakkal Majalla" w:cs="Sakkal Majalla"/>
          <w:sz w:val="28"/>
          <w:rtl/>
          <w:lang w:bidi="ar-EG"/>
        </w:rPr>
      </w:pPr>
      <w:r w:rsidRPr="00F2005A">
        <w:rPr>
          <w:rFonts w:ascii="Sakkal Majalla" w:hAnsi="Sakkal Majalla" w:cs="Sakkal Majalla"/>
          <w:sz w:val="28"/>
          <w:rtl/>
          <w:lang w:bidi="ar-EG"/>
        </w:rPr>
        <w:t>البعد القانوني والسياسي</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4.771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0.100+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0.202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0.186 </w:t>
      </w:r>
    </w:p>
    <w:p w14:paraId="01E593DC" w14:textId="178C6A7B"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00F2005A" w:rsidRPr="00F2005A">
        <w:rPr>
          <w:rFonts w:ascii="Sakkal Majalla" w:hAnsi="Sakkal Majalla" w:cs="Sakkal Majalla"/>
          <w:sz w:val="28"/>
          <w:rtl/>
          <w:lang w:bidi="ar-EG"/>
        </w:rPr>
        <w:t>التحول الرقمي علي البعد القانوني والسياسي</w:t>
      </w:r>
      <w:r w:rsidRPr="0043278C">
        <w:rPr>
          <w:rFonts w:ascii="Sakkal Majalla" w:hAnsi="Sakkal Majalla" w:cs="Sakkal Majalla"/>
          <w:sz w:val="28"/>
          <w:rtl/>
          <w:lang w:bidi="ar-EG"/>
        </w:rPr>
        <w:t>.</w:t>
      </w:r>
    </w:p>
    <w:p w14:paraId="5F661252" w14:textId="77777777" w:rsidR="0043278C" w:rsidRDefault="0043278C" w:rsidP="00E31804">
      <w:pPr>
        <w:pStyle w:val="BlockText"/>
        <w:ind w:left="146" w:hanging="120"/>
        <w:jc w:val="lowKashida"/>
        <w:rPr>
          <w:rFonts w:ascii="Sakkal Majalla" w:hAnsi="Sakkal Majalla" w:cs="Sakkal Majalla"/>
          <w:b/>
          <w:bCs/>
          <w:sz w:val="28"/>
          <w:rtl/>
        </w:rPr>
      </w:pPr>
    </w:p>
    <w:p w14:paraId="52A4A26B" w14:textId="77777777" w:rsidR="00F2005A" w:rsidRDefault="00F2005A" w:rsidP="00E31804">
      <w:pPr>
        <w:pStyle w:val="BlockText"/>
        <w:ind w:left="146" w:hanging="120"/>
        <w:jc w:val="lowKashida"/>
        <w:rPr>
          <w:rFonts w:ascii="Sakkal Majalla" w:hAnsi="Sakkal Majalla" w:cs="Sakkal Majalla"/>
          <w:b/>
          <w:bCs/>
          <w:sz w:val="28"/>
          <w:rtl/>
        </w:rPr>
      </w:pPr>
    </w:p>
    <w:p w14:paraId="0C5440A5" w14:textId="77777777" w:rsidR="00F2005A" w:rsidRDefault="00F2005A" w:rsidP="00E31804">
      <w:pPr>
        <w:pStyle w:val="BlockText"/>
        <w:ind w:left="146" w:hanging="120"/>
        <w:jc w:val="lowKashida"/>
        <w:rPr>
          <w:rFonts w:ascii="Sakkal Majalla" w:hAnsi="Sakkal Majalla" w:cs="Sakkal Majalla"/>
          <w:b/>
          <w:bCs/>
          <w:sz w:val="28"/>
          <w:rtl/>
        </w:rPr>
      </w:pPr>
    </w:p>
    <w:p w14:paraId="2538CB57" w14:textId="77777777" w:rsidR="00F2005A" w:rsidRDefault="00F2005A" w:rsidP="00E31804">
      <w:pPr>
        <w:pStyle w:val="BlockText"/>
        <w:ind w:left="146" w:hanging="120"/>
        <w:jc w:val="lowKashida"/>
        <w:rPr>
          <w:rFonts w:ascii="Sakkal Majalla" w:hAnsi="Sakkal Majalla" w:cs="Sakkal Majalla"/>
          <w:b/>
          <w:bCs/>
          <w:sz w:val="28"/>
          <w:rtl/>
        </w:rPr>
      </w:pPr>
    </w:p>
    <w:p w14:paraId="58306869" w14:textId="77777777" w:rsidR="00E31804" w:rsidRDefault="00E31804" w:rsidP="00E31804">
      <w:pPr>
        <w:pStyle w:val="BlockText"/>
        <w:ind w:left="146" w:hanging="120"/>
        <w:jc w:val="lowKashida"/>
        <w:rPr>
          <w:rFonts w:ascii="Sakkal Majalla" w:hAnsi="Sakkal Majalla" w:cs="Sakkal Majalla"/>
          <w:b/>
          <w:bCs/>
          <w:sz w:val="28"/>
          <w:rtl/>
        </w:rPr>
      </w:pPr>
    </w:p>
    <w:p w14:paraId="48F1B663" w14:textId="77777777" w:rsidR="00E31804" w:rsidRPr="0043278C" w:rsidRDefault="00E31804" w:rsidP="00E31804">
      <w:pPr>
        <w:pStyle w:val="BlockText"/>
        <w:ind w:left="146" w:hanging="120"/>
        <w:jc w:val="lowKashida"/>
        <w:rPr>
          <w:rFonts w:ascii="Sakkal Majalla" w:hAnsi="Sakkal Majalla" w:cs="Sakkal Majalla"/>
          <w:b/>
          <w:bCs/>
          <w:sz w:val="28"/>
          <w:rtl/>
        </w:rPr>
      </w:pPr>
    </w:p>
    <w:p w14:paraId="69D9C4DB" w14:textId="0EDD9902"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أختبار الفرض الخامس</w:t>
      </w:r>
      <w:r w:rsidRPr="0043278C">
        <w:rPr>
          <w:rFonts w:ascii="Sakkal Majalla" w:hAnsi="Sakkal Majalla" w:cs="Sakkal Majalla"/>
          <w:b/>
          <w:bCs/>
          <w:sz w:val="28"/>
          <w:lang w:bidi="ar-EG"/>
        </w:rPr>
        <w:t xml:space="preserve"> : </w:t>
      </w:r>
    </w:p>
    <w:p w14:paraId="6261FA12" w14:textId="1826B24D"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 توجد علاقة جوهرية بين </w:t>
      </w:r>
      <w:r w:rsidR="00F2005A">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sidR="00F2005A">
        <w:rPr>
          <w:rFonts w:ascii="Sakkal Majalla" w:hAnsi="Sakkal Majalla" w:cs="Sakkal Majalla" w:hint="cs"/>
          <w:b/>
          <w:bCs/>
          <w:sz w:val="28"/>
          <w:rtl/>
          <w:lang w:bidi="ar-EG"/>
        </w:rPr>
        <w:t>البعد الاجتماعي والثقافي</w:t>
      </w:r>
      <w:r w:rsidRPr="0043278C">
        <w:rPr>
          <w:rFonts w:ascii="Sakkal Majalla" w:hAnsi="Sakkal Majalla" w:cs="Sakkal Majalla"/>
          <w:b/>
          <w:bCs/>
          <w:sz w:val="28"/>
          <w:rtl/>
          <w:lang w:bidi="ar-EG"/>
        </w:rPr>
        <w:t xml:space="preserve"> "</w:t>
      </w:r>
    </w:p>
    <w:p w14:paraId="63C36FAF"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5BA0830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(3/35)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4DBDF031" w14:textId="77777777" w:rsidTr="00851341">
        <w:trPr>
          <w:jc w:val="center"/>
        </w:trPr>
        <w:tc>
          <w:tcPr>
            <w:tcW w:w="0" w:type="auto"/>
            <w:tcBorders>
              <w:top w:val="thickThinSmallGap" w:sz="24" w:space="0" w:color="auto"/>
              <w:bottom w:val="thickThinSmallGap" w:sz="24" w:space="0" w:color="auto"/>
            </w:tcBorders>
            <w:shd w:val="pct12" w:color="auto" w:fill="auto"/>
          </w:tcPr>
          <w:p w14:paraId="37CFD0C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3A893A56"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3D8FB92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2FCD83DC" w14:textId="77777777" w:rsidTr="00851341">
        <w:trPr>
          <w:jc w:val="center"/>
        </w:trPr>
        <w:tc>
          <w:tcPr>
            <w:tcW w:w="0" w:type="auto"/>
            <w:tcBorders>
              <w:top w:val="thickThinSmallGap" w:sz="24" w:space="0" w:color="auto"/>
            </w:tcBorders>
          </w:tcPr>
          <w:p w14:paraId="0AB47367"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0.393</w:t>
            </w:r>
          </w:p>
        </w:tc>
        <w:tc>
          <w:tcPr>
            <w:tcW w:w="0" w:type="auto"/>
            <w:tcBorders>
              <w:top w:val="thickThinSmallGap" w:sz="24" w:space="0" w:color="auto"/>
            </w:tcBorders>
          </w:tcPr>
          <w:p w14:paraId="47BBE399"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0E1752BB"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7A48640A"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4632BAA9" w14:textId="696879FD"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A21D9A" w:rsidRPr="00A21D9A">
        <w:rPr>
          <w:rFonts w:ascii="Sakkal Majalla" w:hAnsi="Sakkal Majalla" w:cs="Sakkal Majalla"/>
          <w:sz w:val="28"/>
          <w:rtl/>
          <w:lang w:bidi="ar-EG"/>
        </w:rPr>
        <w:t xml:space="preserve">التحول الرقمي و البعد الاجتماعي والثقافي </w:t>
      </w:r>
      <w:r w:rsidRPr="0043278C">
        <w:rPr>
          <w:rFonts w:ascii="Sakkal Majalla" w:hAnsi="Sakkal Majalla" w:cs="Sakkal Majalla"/>
          <w:sz w:val="28"/>
          <w:rtl/>
          <w:lang w:bidi="ar-EG"/>
        </w:rPr>
        <w:t xml:space="preserve">، حيث بلغت قيمة معامل الأرتباط  0.393  وهى دالة إحصائياً ، وتدل على وجود علاقة أرتباطية  طردية ،  تبين أنه كلما زاد </w:t>
      </w:r>
      <w:r w:rsidR="00A21D9A" w:rsidRPr="00A21D9A">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w:t>
      </w:r>
      <w:r w:rsidR="00A21D9A">
        <w:rPr>
          <w:rFonts w:ascii="Sakkal Majalla" w:hAnsi="Sakkal Majalla" w:cs="Sakkal Majalla" w:hint="cs"/>
          <w:sz w:val="28"/>
          <w:rtl/>
          <w:lang w:bidi="ar-EG"/>
        </w:rPr>
        <w:t xml:space="preserve">اهتم </w:t>
      </w:r>
      <w:r w:rsidRPr="0043278C">
        <w:rPr>
          <w:rFonts w:ascii="Sakkal Majalla" w:hAnsi="Sakkal Majalla" w:cs="Sakkal Majalla"/>
          <w:sz w:val="28"/>
          <w:rtl/>
          <w:lang w:bidi="ar-EG"/>
        </w:rPr>
        <w:t xml:space="preserve">الموظف على تحليل </w:t>
      </w:r>
      <w:r w:rsidR="00A21D9A">
        <w:rPr>
          <w:rFonts w:ascii="Sakkal Majalla" w:hAnsi="Sakkal Majalla" w:cs="Sakkal Majalla" w:hint="cs"/>
          <w:sz w:val="28"/>
          <w:rtl/>
          <w:lang w:bidi="ar-EG"/>
        </w:rPr>
        <w:t>ا</w:t>
      </w:r>
      <w:r w:rsidR="00A21D9A" w:rsidRPr="00A21D9A">
        <w:rPr>
          <w:rFonts w:ascii="Sakkal Majalla" w:hAnsi="Sakkal Majalla" w:cs="Sakkal Majalla"/>
          <w:sz w:val="28"/>
          <w:rtl/>
          <w:lang w:bidi="ar-EG"/>
        </w:rPr>
        <w:t>لبعد الاجتماعي والثقافي</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232FB5F2"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(3/36)  نتائج الإنحدار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30"/>
        <w:gridCol w:w="1491"/>
        <w:gridCol w:w="1642"/>
        <w:gridCol w:w="1262"/>
        <w:gridCol w:w="1545"/>
      </w:tblGrid>
      <w:tr w:rsidR="0043278C" w:rsidRPr="0043278C" w14:paraId="3EBCE9C3" w14:textId="77777777" w:rsidTr="00031CFC">
        <w:trPr>
          <w:jc w:val="center"/>
        </w:trPr>
        <w:tc>
          <w:tcPr>
            <w:tcW w:w="3330" w:type="dxa"/>
            <w:tcBorders>
              <w:top w:val="thickThinSmallGap" w:sz="24" w:space="0" w:color="auto"/>
              <w:bottom w:val="thickThinSmallGap" w:sz="24" w:space="0" w:color="auto"/>
            </w:tcBorders>
            <w:shd w:val="pct12" w:color="auto" w:fill="auto"/>
            <w:vAlign w:val="center"/>
          </w:tcPr>
          <w:p w14:paraId="7863C28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91" w:type="dxa"/>
            <w:tcBorders>
              <w:top w:val="thickThinSmallGap" w:sz="24" w:space="0" w:color="auto"/>
              <w:bottom w:val="thickThinSmallGap" w:sz="24" w:space="0" w:color="auto"/>
            </w:tcBorders>
            <w:shd w:val="pct12" w:color="auto" w:fill="auto"/>
            <w:vAlign w:val="center"/>
          </w:tcPr>
          <w:p w14:paraId="2629B48B"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28FFFEB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FDB20C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1486110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7648B23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DEA561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01F6072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567E1A1F"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5F70156" w14:textId="77777777" w:rsidTr="00031CFC">
        <w:trPr>
          <w:trHeight w:val="358"/>
          <w:jc w:val="center"/>
        </w:trPr>
        <w:tc>
          <w:tcPr>
            <w:tcW w:w="3330" w:type="dxa"/>
            <w:tcBorders>
              <w:top w:val="thickThinSmallGap" w:sz="24" w:space="0" w:color="auto"/>
            </w:tcBorders>
            <w:shd w:val="pct12" w:color="auto" w:fill="auto"/>
            <w:vAlign w:val="center"/>
          </w:tcPr>
          <w:p w14:paraId="7060A7CB" w14:textId="0E15B649" w:rsidR="0043278C" w:rsidRPr="0043278C" w:rsidRDefault="00031CFC"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491" w:type="dxa"/>
            <w:tcBorders>
              <w:top w:val="thickThinSmallGap" w:sz="24" w:space="0" w:color="auto"/>
            </w:tcBorders>
            <w:vAlign w:val="center"/>
          </w:tcPr>
          <w:p w14:paraId="4711FB4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2.450</w:t>
            </w:r>
          </w:p>
        </w:tc>
        <w:tc>
          <w:tcPr>
            <w:tcW w:w="0" w:type="auto"/>
            <w:tcBorders>
              <w:top w:val="thickThinSmallGap" w:sz="24" w:space="0" w:color="auto"/>
            </w:tcBorders>
            <w:vAlign w:val="center"/>
          </w:tcPr>
          <w:p w14:paraId="17E289D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0.293</w:t>
            </w:r>
          </w:p>
        </w:tc>
        <w:tc>
          <w:tcPr>
            <w:tcW w:w="0" w:type="auto"/>
            <w:tcBorders>
              <w:top w:val="thickThinSmallGap" w:sz="24" w:space="0" w:color="auto"/>
            </w:tcBorders>
            <w:vAlign w:val="center"/>
          </w:tcPr>
          <w:p w14:paraId="68CE16C0"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8.354</w:t>
            </w:r>
          </w:p>
        </w:tc>
        <w:tc>
          <w:tcPr>
            <w:tcW w:w="0" w:type="auto"/>
            <w:tcBorders>
              <w:top w:val="thickThinSmallGap" w:sz="24" w:space="0" w:color="auto"/>
            </w:tcBorders>
            <w:vAlign w:val="center"/>
          </w:tcPr>
          <w:p w14:paraId="454BBF4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1720B56" w14:textId="77777777" w:rsidTr="00031CFC">
        <w:trPr>
          <w:trHeight w:val="397"/>
          <w:jc w:val="center"/>
        </w:trPr>
        <w:tc>
          <w:tcPr>
            <w:tcW w:w="3330" w:type="dxa"/>
            <w:shd w:val="pct12" w:color="auto" w:fill="auto"/>
            <w:vAlign w:val="center"/>
          </w:tcPr>
          <w:p w14:paraId="6FFAE63A"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91" w:type="dxa"/>
            <w:vAlign w:val="center"/>
          </w:tcPr>
          <w:p w14:paraId="075F42C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10.386</w:t>
            </w:r>
          </w:p>
        </w:tc>
        <w:tc>
          <w:tcPr>
            <w:tcW w:w="0" w:type="auto"/>
            <w:vAlign w:val="center"/>
          </w:tcPr>
          <w:p w14:paraId="6C924C2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1.115</w:t>
            </w:r>
          </w:p>
        </w:tc>
        <w:tc>
          <w:tcPr>
            <w:tcW w:w="0" w:type="auto"/>
            <w:vAlign w:val="center"/>
          </w:tcPr>
          <w:p w14:paraId="4381197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9.317</w:t>
            </w:r>
          </w:p>
        </w:tc>
        <w:tc>
          <w:tcPr>
            <w:tcW w:w="0" w:type="auto"/>
            <w:vAlign w:val="center"/>
          </w:tcPr>
          <w:p w14:paraId="4AB9B56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D92E694" w14:textId="77777777" w:rsidTr="00031CFC">
        <w:trPr>
          <w:trHeight w:val="389"/>
          <w:jc w:val="center"/>
        </w:trPr>
        <w:tc>
          <w:tcPr>
            <w:tcW w:w="3330" w:type="dxa"/>
            <w:shd w:val="pct12" w:color="auto" w:fill="auto"/>
            <w:vAlign w:val="center"/>
          </w:tcPr>
          <w:p w14:paraId="1F29BBEF"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5940" w:type="dxa"/>
            <w:gridSpan w:val="4"/>
            <w:vAlign w:val="center"/>
          </w:tcPr>
          <w:p w14:paraId="1F1B8390" w14:textId="7E64CF56" w:rsidR="0043278C" w:rsidRPr="0043278C" w:rsidRDefault="00031CFC" w:rsidP="00E31804">
            <w:pPr>
              <w:pStyle w:val="BlockText"/>
              <w:jc w:val="center"/>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10.386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2.450</w:t>
            </w:r>
          </w:p>
        </w:tc>
      </w:tr>
      <w:tr w:rsidR="0043278C" w:rsidRPr="0043278C" w14:paraId="779DBA5F" w14:textId="77777777" w:rsidTr="00031CFC">
        <w:trPr>
          <w:trHeight w:val="394"/>
          <w:jc w:val="center"/>
        </w:trPr>
        <w:tc>
          <w:tcPr>
            <w:tcW w:w="3330" w:type="dxa"/>
            <w:shd w:val="pct12" w:color="auto" w:fill="auto"/>
            <w:vAlign w:val="center"/>
          </w:tcPr>
          <w:p w14:paraId="07A4AF9C"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40" w:type="dxa"/>
            <w:gridSpan w:val="4"/>
            <w:vAlign w:val="center"/>
          </w:tcPr>
          <w:p w14:paraId="53F1A04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0.15</w:t>
            </w:r>
          </w:p>
        </w:tc>
      </w:tr>
      <w:tr w:rsidR="0043278C" w:rsidRPr="0043278C" w14:paraId="3630D98E" w14:textId="77777777" w:rsidTr="00031CFC">
        <w:trPr>
          <w:trHeight w:val="528"/>
          <w:jc w:val="center"/>
        </w:trPr>
        <w:tc>
          <w:tcPr>
            <w:tcW w:w="3330" w:type="dxa"/>
            <w:shd w:val="pct12" w:color="auto" w:fill="auto"/>
            <w:vAlign w:val="center"/>
          </w:tcPr>
          <w:p w14:paraId="7903C9C4"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1605CC4" w14:textId="77777777" w:rsidR="0043278C" w:rsidRPr="0043278C" w:rsidRDefault="0043278C" w:rsidP="00E31804">
            <w:pPr>
              <w:pStyle w:val="BlockText"/>
              <w:jc w:val="both"/>
              <w:rPr>
                <w:rFonts w:ascii="Sakkal Majalla" w:hAnsi="Sakkal Majalla" w:cs="Sakkal Majalla"/>
                <w:sz w:val="28"/>
                <w:rtl/>
                <w:lang w:bidi="ar-EG"/>
              </w:rPr>
            </w:pPr>
          </w:p>
        </w:tc>
        <w:tc>
          <w:tcPr>
            <w:tcW w:w="5940" w:type="dxa"/>
            <w:gridSpan w:val="4"/>
            <w:vAlign w:val="center"/>
          </w:tcPr>
          <w:p w14:paraId="08D388B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69.797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B16E6D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08A2A02C" w14:textId="461B77D9"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031CFC">
        <w:rPr>
          <w:rFonts w:ascii="Sakkal Majalla" w:hAnsi="Sakkal Majalla" w:cs="Sakkal Majalla" w:hint="cs"/>
          <w:sz w:val="28"/>
          <w:rtl/>
          <w:lang w:bidi="ar-EG"/>
        </w:rPr>
        <w:t>ل</w:t>
      </w:r>
      <w:r w:rsidR="00031CFC" w:rsidRPr="00031CFC">
        <w:rPr>
          <w:rFonts w:ascii="Sakkal Majalla" w:hAnsi="Sakkal Majalla" w:cs="Sakkal Majalla"/>
          <w:sz w:val="28"/>
          <w:rtl/>
          <w:lang w:bidi="ar-EG"/>
        </w:rPr>
        <w:t xml:space="preserve">لتحول الرقمي و البعد الاجتماعي والثقافي </w:t>
      </w:r>
      <w:r w:rsidRPr="0043278C">
        <w:rPr>
          <w:rFonts w:ascii="Sakkal Majalla" w:hAnsi="Sakkal Majalla" w:cs="Sakkal Majalla"/>
          <w:sz w:val="28"/>
          <w:rtl/>
          <w:lang w:bidi="ar-EG"/>
        </w:rPr>
        <w:t xml:space="preserve">، وتظهر النتائج أن معامل التحديد للنموذج يفسر 15%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69.797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61E77832" w14:textId="77777777" w:rsidR="0043278C" w:rsidRPr="0043278C" w:rsidRDefault="0043278C" w:rsidP="00E31804">
      <w:pPr>
        <w:pStyle w:val="BlockText"/>
        <w:numPr>
          <w:ilvl w:val="0"/>
          <w:numId w:val="242"/>
        </w:numPr>
        <w:jc w:val="lowKashida"/>
        <w:rPr>
          <w:rFonts w:ascii="Sakkal Majalla" w:hAnsi="Sakkal Majalla" w:cs="Sakkal Majalla"/>
          <w:b/>
          <w:bCs/>
          <w:i/>
          <w:iCs/>
          <w:sz w:val="28"/>
          <w:lang w:bidi="ar-EG"/>
        </w:rPr>
      </w:pPr>
      <w:r w:rsidRPr="0043278C">
        <w:rPr>
          <w:rFonts w:ascii="Sakkal Majalla" w:hAnsi="Sakkal Majalla" w:cs="Sakkal Majalla"/>
          <w:b/>
          <w:bCs/>
          <w:i/>
          <w:iCs/>
          <w:sz w:val="28"/>
          <w:rtl/>
          <w:lang w:bidi="ar-EG"/>
        </w:rPr>
        <w:t>معادلة الأنحدار البيسط :</w:t>
      </w:r>
    </w:p>
    <w:p w14:paraId="07FB098F"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4AA5BEF" w14:textId="38AB5E65" w:rsidR="0043278C" w:rsidRPr="0043278C" w:rsidRDefault="00031CFC" w:rsidP="00E31804">
      <w:pPr>
        <w:pStyle w:val="BlockText"/>
        <w:jc w:val="lowKashida"/>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10.386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2.450</w:t>
      </w:r>
    </w:p>
    <w:p w14:paraId="5695C760" w14:textId="00EC314A"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031CFC">
        <w:rPr>
          <w:rFonts w:ascii="Sakkal Majalla" w:hAnsi="Sakkal Majalla" w:cs="Sakkal Majalla" w:hint="cs"/>
          <w:sz w:val="28"/>
          <w:rtl/>
          <w:lang w:bidi="ar-EG"/>
        </w:rPr>
        <w:t>ا</w:t>
      </w:r>
      <w:r w:rsidR="00031CFC" w:rsidRPr="00031CFC">
        <w:rPr>
          <w:rFonts w:ascii="Sakkal Majalla" w:hAnsi="Sakkal Majalla" w:cs="Sakkal Majalla"/>
          <w:sz w:val="28"/>
          <w:rtl/>
          <w:lang w:bidi="ar-EG"/>
        </w:rPr>
        <w:t>لتحول الرقمي و البعد الاجتماعي والثقافي</w:t>
      </w:r>
      <w:r w:rsidRPr="0043278C">
        <w:rPr>
          <w:rFonts w:ascii="Sakkal Majalla" w:hAnsi="Sakkal Majalla" w:cs="Sakkal Majalla"/>
          <w:sz w:val="28"/>
          <w:rtl/>
          <w:lang w:bidi="ar-EG"/>
        </w:rPr>
        <w:t>.</w:t>
      </w:r>
    </w:p>
    <w:p w14:paraId="4B0E88C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(3/37)</w:t>
      </w:r>
    </w:p>
    <w:p w14:paraId="07A18758" w14:textId="0A11F81F"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r w:rsidR="00031CFC">
        <w:rPr>
          <w:rFonts w:ascii="Sakkal Majalla" w:hAnsi="Sakkal Majalla" w:cs="Sakkal Majalla" w:hint="cs"/>
          <w:b/>
          <w:bCs/>
          <w:sz w:val="28"/>
          <w:rtl/>
          <w:lang w:bidi="ar-EG"/>
        </w:rPr>
        <w:t>ا</w:t>
      </w:r>
      <w:r w:rsidR="00031CFC" w:rsidRPr="00031CFC">
        <w:rPr>
          <w:rFonts w:ascii="Sakkal Majalla" w:hAnsi="Sakkal Majalla" w:cs="Sakkal Majalla"/>
          <w:b/>
          <w:bCs/>
          <w:sz w:val="28"/>
          <w:rtl/>
          <w:lang w:bidi="ar-EG"/>
        </w:rPr>
        <w:t>لتحول الرقمي و البعد الاجتماعي والثقافي</w:t>
      </w:r>
      <w:r w:rsidRPr="0043278C">
        <w:rPr>
          <w:rFonts w:ascii="Sakkal Majalla" w:hAnsi="Sakkal Majalla" w:cs="Sakkal Majalla"/>
          <w:b/>
          <w:bCs/>
          <w:sz w:val="28"/>
          <w:rtl/>
          <w:lang w:bidi="ar-EG"/>
        </w:rPr>
        <w:t>.</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38C2640"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5AD2010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57E3D0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16F7834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073A61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5FB87B4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435E3D57"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116417B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47ED6FB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AE287FA"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5F87883D" w14:textId="77777777" w:rsidR="0043278C" w:rsidRPr="0043278C" w:rsidRDefault="0043278C" w:rsidP="00E31804">
            <w:pPr>
              <w:pStyle w:val="BlockText"/>
              <w:ind w:left="0"/>
              <w:rPr>
                <w:rFonts w:ascii="Sakkal Majalla" w:hAnsi="Sakkal Majalla" w:cs="Sakkal Majalla"/>
                <w:b/>
                <w:bCs/>
                <w:sz w:val="28"/>
                <w:rtl/>
                <w:lang w:bidi="ar-EG"/>
              </w:rPr>
            </w:pPr>
          </w:p>
          <w:p w14:paraId="6D82874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DA98795" w14:textId="77777777" w:rsidTr="00851341">
        <w:trPr>
          <w:trHeight w:val="297"/>
          <w:jc w:val="center"/>
        </w:trPr>
        <w:tc>
          <w:tcPr>
            <w:tcW w:w="0" w:type="auto"/>
            <w:tcBorders>
              <w:top w:val="thickThinSmallGap" w:sz="24" w:space="0" w:color="auto"/>
            </w:tcBorders>
            <w:shd w:val="pct12" w:color="auto" w:fill="auto"/>
            <w:vAlign w:val="center"/>
          </w:tcPr>
          <w:p w14:paraId="72A44A7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23CA135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841.261</w:t>
            </w:r>
          </w:p>
        </w:tc>
        <w:tc>
          <w:tcPr>
            <w:tcW w:w="0" w:type="auto"/>
            <w:tcBorders>
              <w:top w:val="thickThinSmallGap" w:sz="24" w:space="0" w:color="auto"/>
            </w:tcBorders>
            <w:vAlign w:val="center"/>
          </w:tcPr>
          <w:p w14:paraId="1A55F07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6DF6CD9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841.261</w:t>
            </w:r>
          </w:p>
        </w:tc>
        <w:tc>
          <w:tcPr>
            <w:tcW w:w="0" w:type="auto"/>
            <w:vMerge w:val="restart"/>
            <w:tcBorders>
              <w:top w:val="thickThinSmallGap" w:sz="24" w:space="0" w:color="auto"/>
            </w:tcBorders>
          </w:tcPr>
          <w:p w14:paraId="303AC558"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69.797</w:t>
            </w:r>
          </w:p>
        </w:tc>
        <w:tc>
          <w:tcPr>
            <w:tcW w:w="0" w:type="auto"/>
            <w:vMerge w:val="restart"/>
            <w:tcBorders>
              <w:top w:val="thickThinSmallGap" w:sz="24" w:space="0" w:color="auto"/>
            </w:tcBorders>
          </w:tcPr>
          <w:p w14:paraId="59B19B8E"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07F6A289" w14:textId="77777777" w:rsidTr="00851341">
        <w:trPr>
          <w:trHeight w:val="388"/>
          <w:jc w:val="center"/>
        </w:trPr>
        <w:tc>
          <w:tcPr>
            <w:tcW w:w="0" w:type="auto"/>
            <w:shd w:val="pct12" w:color="auto" w:fill="auto"/>
            <w:vAlign w:val="center"/>
          </w:tcPr>
          <w:p w14:paraId="3BC30F4F"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452F1BA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4604.236</w:t>
            </w:r>
          </w:p>
        </w:tc>
        <w:tc>
          <w:tcPr>
            <w:tcW w:w="0" w:type="auto"/>
            <w:vAlign w:val="center"/>
          </w:tcPr>
          <w:p w14:paraId="3B45646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028E7B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12.053</w:t>
            </w:r>
          </w:p>
        </w:tc>
        <w:tc>
          <w:tcPr>
            <w:tcW w:w="0" w:type="auto"/>
            <w:vMerge/>
          </w:tcPr>
          <w:p w14:paraId="6C4DD801"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16482B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680BE8D4" w14:textId="77777777" w:rsidTr="00851341">
        <w:trPr>
          <w:trHeight w:val="365"/>
          <w:jc w:val="center"/>
        </w:trPr>
        <w:tc>
          <w:tcPr>
            <w:tcW w:w="0" w:type="auto"/>
            <w:shd w:val="pct12" w:color="auto" w:fill="auto"/>
            <w:vAlign w:val="center"/>
          </w:tcPr>
          <w:p w14:paraId="1BC61A4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19EA866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5445.497</w:t>
            </w:r>
          </w:p>
        </w:tc>
        <w:tc>
          <w:tcPr>
            <w:tcW w:w="0" w:type="auto"/>
            <w:vAlign w:val="center"/>
          </w:tcPr>
          <w:p w14:paraId="5532B12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4C359A3"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25527505"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675FFA2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30F908E2" w14:textId="77777777" w:rsidTr="00851341">
        <w:trPr>
          <w:trHeight w:val="399"/>
          <w:jc w:val="center"/>
        </w:trPr>
        <w:tc>
          <w:tcPr>
            <w:tcW w:w="0" w:type="auto"/>
            <w:gridSpan w:val="6"/>
            <w:shd w:val="clear" w:color="auto" w:fill="auto"/>
            <w:vAlign w:val="center"/>
          </w:tcPr>
          <w:p w14:paraId="2BEFFE3C"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0.393</w:t>
            </w:r>
          </w:p>
        </w:tc>
      </w:tr>
      <w:tr w:rsidR="0043278C" w:rsidRPr="0043278C" w14:paraId="2DBA9524" w14:textId="77777777" w:rsidTr="00851341">
        <w:trPr>
          <w:trHeight w:val="390"/>
          <w:jc w:val="center"/>
        </w:trPr>
        <w:tc>
          <w:tcPr>
            <w:tcW w:w="0" w:type="auto"/>
            <w:gridSpan w:val="6"/>
            <w:shd w:val="clear" w:color="auto" w:fill="auto"/>
            <w:vAlign w:val="center"/>
          </w:tcPr>
          <w:p w14:paraId="5CD68BB5"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0.154</w:t>
            </w:r>
          </w:p>
        </w:tc>
      </w:tr>
      <w:tr w:rsidR="0043278C" w:rsidRPr="0043278C" w14:paraId="78790C8F" w14:textId="77777777" w:rsidTr="00851341">
        <w:trPr>
          <w:trHeight w:val="397"/>
          <w:jc w:val="center"/>
        </w:trPr>
        <w:tc>
          <w:tcPr>
            <w:tcW w:w="0" w:type="auto"/>
            <w:gridSpan w:val="6"/>
            <w:shd w:val="clear" w:color="auto" w:fill="auto"/>
            <w:vAlign w:val="center"/>
          </w:tcPr>
          <w:p w14:paraId="69F85F9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0.152</w:t>
            </w:r>
          </w:p>
        </w:tc>
      </w:tr>
      <w:tr w:rsidR="0043278C" w:rsidRPr="0043278C" w14:paraId="78767273" w14:textId="77777777" w:rsidTr="00851341">
        <w:trPr>
          <w:trHeight w:val="375"/>
          <w:jc w:val="center"/>
        </w:trPr>
        <w:tc>
          <w:tcPr>
            <w:tcW w:w="0" w:type="auto"/>
            <w:gridSpan w:val="6"/>
            <w:shd w:val="clear" w:color="auto" w:fill="auto"/>
            <w:vAlign w:val="center"/>
          </w:tcPr>
          <w:p w14:paraId="56E3B3D2"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3.47174</w:t>
            </w:r>
          </w:p>
        </w:tc>
      </w:tr>
    </w:tbl>
    <w:p w14:paraId="7311ACF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0824B3D5" w14:textId="24F314B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031CFC" w:rsidRPr="00031CFC">
        <w:rPr>
          <w:rFonts w:ascii="Sakkal Majalla" w:hAnsi="Sakkal Majalla" w:cs="Sakkal Majalla"/>
          <w:sz w:val="28"/>
          <w:rtl/>
          <w:lang w:bidi="ar-EG"/>
        </w:rPr>
        <w:t>التحول الرقمي و البعد الاجتماعي والثقافي</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031CFC">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 </w:t>
      </w:r>
      <w:r w:rsidR="00031CFC" w:rsidRPr="00031CFC">
        <w:rPr>
          <w:rFonts w:ascii="Sakkal Majalla" w:hAnsi="Sakkal Majalla" w:cs="Sakkal Majalla"/>
          <w:sz w:val="28"/>
          <w:rtl/>
          <w:lang w:bidi="ar-EG"/>
        </w:rPr>
        <w:t>البعد الاجتماعي والثقافي</w:t>
      </w:r>
      <w:r w:rsidR="00031CFC" w:rsidRPr="0043278C">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المتغير التابع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0313A5DC"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(3/37) أن : </w:t>
      </w:r>
    </w:p>
    <w:p w14:paraId="23CE943C"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471974D3" w14:textId="761FD7C0"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0.154 ، أى أن المتغيرات </w:t>
      </w:r>
      <w:r w:rsidR="00031CFC">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16% من التغير فى المتغير التابع تحليل </w:t>
      </w:r>
      <w:r w:rsidR="00031CFC" w:rsidRPr="00031CFC">
        <w:rPr>
          <w:rFonts w:ascii="Sakkal Majalla" w:hAnsi="Sakkal Majalla" w:cs="Sakkal Majalla"/>
          <w:sz w:val="28"/>
          <w:rtl/>
          <w:lang w:bidi="ar-EG"/>
        </w:rPr>
        <w:t>البعد الاجتماعي والثقافي</w:t>
      </w:r>
      <w:r w:rsidRPr="0043278C">
        <w:rPr>
          <w:rFonts w:ascii="Sakkal Majalla" w:hAnsi="Sakkal Majalla" w:cs="Sakkal Majalla"/>
          <w:sz w:val="28"/>
          <w:rtl/>
          <w:lang w:bidi="ar-EG"/>
        </w:rPr>
        <w:t>.</w:t>
      </w:r>
    </w:p>
    <w:p w14:paraId="36A3A7E2"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0.393 .  </w:t>
      </w:r>
    </w:p>
    <w:p w14:paraId="54C174B2" w14:textId="77777777" w:rsidR="00031CFC" w:rsidRDefault="00031CFC" w:rsidP="00E31804">
      <w:pPr>
        <w:bidi/>
        <w:spacing w:line="240" w:lineRule="auto"/>
        <w:rPr>
          <w:rFonts w:ascii="Sakkal Majalla" w:hAnsi="Sakkal Majalla" w:cs="Sakkal Majalla"/>
          <w:b/>
          <w:bCs/>
          <w:sz w:val="28"/>
          <w:szCs w:val="28"/>
          <w:rtl/>
          <w:lang w:bidi="ar-EG"/>
        </w:rPr>
      </w:pPr>
    </w:p>
    <w:p w14:paraId="721C176E" w14:textId="3EA4D663" w:rsidR="0043278C" w:rsidRPr="0043278C" w:rsidRDefault="0043278C" w:rsidP="00E31804">
      <w:pPr>
        <w:bidi/>
        <w:spacing w:line="240" w:lineRule="auto"/>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3ABBC807" w14:textId="73F42346" w:rsidR="0043278C" w:rsidRDefault="0043278C" w:rsidP="00E31804">
      <w:pPr>
        <w:bidi/>
        <w:spacing w:line="240" w:lineRule="auto"/>
        <w:ind w:left="26"/>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تحليل </w:t>
      </w:r>
      <w:r w:rsidR="00031CFC" w:rsidRPr="00031CFC">
        <w:rPr>
          <w:rFonts w:ascii="Sakkal Majalla" w:hAnsi="Sakkal Majalla" w:cs="Sakkal Majalla"/>
          <w:sz w:val="28"/>
          <w:szCs w:val="28"/>
          <w:rtl/>
          <w:lang w:bidi="ar-EG"/>
        </w:rPr>
        <w:t>البعد الاجتماعي والثقافي</w:t>
      </w:r>
      <w:r w:rsidR="00031CFC"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وفيما يلي نموذج العلاقة الناتج : </w:t>
      </w:r>
    </w:p>
    <w:p w14:paraId="66D8E571" w14:textId="77777777" w:rsidR="00E31804" w:rsidRDefault="00E31804" w:rsidP="00E31804">
      <w:pPr>
        <w:bidi/>
        <w:spacing w:line="240" w:lineRule="auto"/>
        <w:ind w:left="26"/>
        <w:rPr>
          <w:rFonts w:ascii="Sakkal Majalla" w:hAnsi="Sakkal Majalla" w:cs="Sakkal Majalla"/>
          <w:sz w:val="28"/>
          <w:szCs w:val="28"/>
          <w:rtl/>
          <w:lang w:bidi="ar-EG"/>
        </w:rPr>
      </w:pPr>
    </w:p>
    <w:p w14:paraId="22C48FAD" w14:textId="77777777" w:rsidR="00E31804" w:rsidRDefault="00E31804" w:rsidP="00E31804">
      <w:pPr>
        <w:bidi/>
        <w:spacing w:line="240" w:lineRule="auto"/>
        <w:ind w:left="26"/>
        <w:rPr>
          <w:rFonts w:ascii="Sakkal Majalla" w:hAnsi="Sakkal Majalla" w:cs="Sakkal Majalla"/>
          <w:sz w:val="28"/>
          <w:szCs w:val="28"/>
          <w:rtl/>
          <w:lang w:bidi="ar-EG"/>
        </w:rPr>
      </w:pPr>
    </w:p>
    <w:p w14:paraId="5091B443" w14:textId="77777777" w:rsidR="00E31804" w:rsidRPr="0043278C" w:rsidRDefault="00E31804" w:rsidP="00E31804">
      <w:pPr>
        <w:bidi/>
        <w:spacing w:line="240" w:lineRule="auto"/>
        <w:ind w:left="26"/>
        <w:rPr>
          <w:rFonts w:ascii="Sakkal Majalla" w:hAnsi="Sakkal Majalla" w:cs="Sakkal Majalla"/>
          <w:sz w:val="28"/>
          <w:szCs w:val="28"/>
          <w:rtl/>
          <w:lang w:bidi="ar-EG"/>
        </w:rPr>
      </w:pPr>
    </w:p>
    <w:p w14:paraId="50F59221"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(3/38) </w:t>
      </w:r>
    </w:p>
    <w:p w14:paraId="77F3D0CE" w14:textId="4B9C2FFE"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031CFC">
        <w:rPr>
          <w:rFonts w:ascii="Sakkal Majalla" w:hAnsi="Sakkal Majalla" w:cs="Sakkal Majalla" w:hint="cs"/>
          <w:b/>
          <w:bCs/>
          <w:sz w:val="28"/>
          <w:rtl/>
          <w:lang w:bidi="ar-EG"/>
        </w:rPr>
        <w:t>ا</w:t>
      </w:r>
      <w:r w:rsidR="00031CFC" w:rsidRPr="00031CFC">
        <w:rPr>
          <w:rFonts w:ascii="Sakkal Majalla" w:hAnsi="Sakkal Majalla" w:cs="Sakkal Majalla"/>
          <w:b/>
          <w:bCs/>
          <w:sz w:val="28"/>
          <w:rtl/>
          <w:lang w:bidi="ar-EG"/>
        </w:rPr>
        <w:t>لتحول الرقمي و البعد الاجتماعي والثقافي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23D11816" w14:textId="77777777" w:rsidTr="00851341">
        <w:tc>
          <w:tcPr>
            <w:tcW w:w="3366" w:type="dxa"/>
            <w:tcBorders>
              <w:top w:val="thickThinSmallGap" w:sz="24" w:space="0" w:color="auto"/>
              <w:bottom w:val="thickThinSmallGap" w:sz="24" w:space="0" w:color="auto"/>
            </w:tcBorders>
            <w:shd w:val="pct12" w:color="auto" w:fill="auto"/>
            <w:vAlign w:val="center"/>
          </w:tcPr>
          <w:p w14:paraId="5F9E605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59E33DBA"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7DC3EB0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601C38F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5C167D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57B896D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F7F8EB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B940AA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9699DA2"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5608863B" w14:textId="77777777" w:rsidTr="00851341">
        <w:trPr>
          <w:trHeight w:val="353"/>
        </w:trPr>
        <w:tc>
          <w:tcPr>
            <w:tcW w:w="3366" w:type="dxa"/>
            <w:tcBorders>
              <w:top w:val="thickThinSmallGap" w:sz="24" w:space="0" w:color="auto"/>
            </w:tcBorders>
            <w:shd w:val="pct12" w:color="auto" w:fill="auto"/>
            <w:vAlign w:val="center"/>
          </w:tcPr>
          <w:p w14:paraId="2795BB5E" w14:textId="25A77D95" w:rsidR="0043278C" w:rsidRPr="0043278C" w:rsidRDefault="00031CFC"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w:t>
            </w:r>
          </w:p>
        </w:tc>
        <w:tc>
          <w:tcPr>
            <w:tcW w:w="1767" w:type="dxa"/>
            <w:tcBorders>
              <w:top w:val="thickThinSmallGap" w:sz="24" w:space="0" w:color="auto"/>
            </w:tcBorders>
            <w:vAlign w:val="center"/>
          </w:tcPr>
          <w:p w14:paraId="3641C18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13AAB46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0.044</w:t>
            </w:r>
          </w:p>
        </w:tc>
        <w:tc>
          <w:tcPr>
            <w:tcW w:w="0" w:type="auto"/>
            <w:tcBorders>
              <w:top w:val="thickThinSmallGap" w:sz="24" w:space="0" w:color="auto"/>
            </w:tcBorders>
            <w:vAlign w:val="center"/>
          </w:tcPr>
          <w:p w14:paraId="16D7DB7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5.841</w:t>
            </w:r>
          </w:p>
        </w:tc>
        <w:tc>
          <w:tcPr>
            <w:tcW w:w="0" w:type="auto"/>
            <w:tcBorders>
              <w:top w:val="thickThinSmallGap" w:sz="24" w:space="0" w:color="auto"/>
            </w:tcBorders>
          </w:tcPr>
          <w:p w14:paraId="720C1ED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4A8DF278" w14:textId="77777777" w:rsidTr="00851341">
        <w:trPr>
          <w:trHeight w:val="401"/>
        </w:trPr>
        <w:tc>
          <w:tcPr>
            <w:tcW w:w="3366" w:type="dxa"/>
            <w:shd w:val="pct12" w:color="auto" w:fill="auto"/>
            <w:vAlign w:val="center"/>
          </w:tcPr>
          <w:p w14:paraId="20127B26" w14:textId="5CABAF26" w:rsidR="0043278C" w:rsidRPr="0043278C" w:rsidRDefault="00031CFC"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767" w:type="dxa"/>
            <w:vAlign w:val="center"/>
          </w:tcPr>
          <w:p w14:paraId="000B21F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0.397</w:t>
            </w:r>
          </w:p>
        </w:tc>
        <w:tc>
          <w:tcPr>
            <w:tcW w:w="0" w:type="auto"/>
            <w:vAlign w:val="center"/>
          </w:tcPr>
          <w:p w14:paraId="4623E82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0.078</w:t>
            </w:r>
          </w:p>
        </w:tc>
        <w:tc>
          <w:tcPr>
            <w:tcW w:w="0" w:type="auto"/>
            <w:vAlign w:val="center"/>
          </w:tcPr>
          <w:p w14:paraId="6A8E536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5.125</w:t>
            </w:r>
          </w:p>
        </w:tc>
        <w:tc>
          <w:tcPr>
            <w:tcW w:w="0" w:type="auto"/>
          </w:tcPr>
          <w:p w14:paraId="712243BF"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94EEE63" w14:textId="77777777" w:rsidTr="00851341">
        <w:trPr>
          <w:trHeight w:val="396"/>
        </w:trPr>
        <w:tc>
          <w:tcPr>
            <w:tcW w:w="3366" w:type="dxa"/>
            <w:shd w:val="pct12" w:color="auto" w:fill="auto"/>
            <w:vAlign w:val="center"/>
          </w:tcPr>
          <w:p w14:paraId="429BB7A4" w14:textId="6B818B19" w:rsidR="0043278C" w:rsidRPr="0043278C" w:rsidRDefault="00031CFC"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6AE0E47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50A8C96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0.087</w:t>
            </w:r>
          </w:p>
        </w:tc>
        <w:tc>
          <w:tcPr>
            <w:tcW w:w="0" w:type="auto"/>
            <w:vAlign w:val="center"/>
          </w:tcPr>
          <w:p w14:paraId="76431BC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5.236</w:t>
            </w:r>
          </w:p>
        </w:tc>
        <w:tc>
          <w:tcPr>
            <w:tcW w:w="0" w:type="auto"/>
          </w:tcPr>
          <w:p w14:paraId="078CA2D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6C3A833" w14:textId="77777777" w:rsidTr="00851341">
        <w:trPr>
          <w:trHeight w:val="396"/>
        </w:trPr>
        <w:tc>
          <w:tcPr>
            <w:tcW w:w="3366" w:type="dxa"/>
            <w:shd w:val="pct12" w:color="auto" w:fill="auto"/>
            <w:vAlign w:val="center"/>
          </w:tcPr>
          <w:p w14:paraId="241C2A3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678CB9E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11.449</w:t>
            </w:r>
          </w:p>
        </w:tc>
        <w:tc>
          <w:tcPr>
            <w:tcW w:w="0" w:type="auto"/>
            <w:vAlign w:val="center"/>
          </w:tcPr>
          <w:p w14:paraId="1CC3B92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1BA3649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11.361</w:t>
            </w:r>
          </w:p>
        </w:tc>
        <w:tc>
          <w:tcPr>
            <w:tcW w:w="0" w:type="auto"/>
          </w:tcPr>
          <w:p w14:paraId="6656B0A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7AB510E" w14:textId="77777777" w:rsidTr="00851341">
        <w:trPr>
          <w:trHeight w:val="346"/>
        </w:trPr>
        <w:tc>
          <w:tcPr>
            <w:tcW w:w="3366" w:type="dxa"/>
            <w:shd w:val="pct12" w:color="auto" w:fill="auto"/>
            <w:vAlign w:val="center"/>
          </w:tcPr>
          <w:p w14:paraId="3B18627A"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20" w:type="dxa"/>
            <w:gridSpan w:val="4"/>
            <w:vAlign w:val="center"/>
          </w:tcPr>
          <w:p w14:paraId="3186B3C5" w14:textId="3EF799A2" w:rsidR="0043278C" w:rsidRPr="0043278C" w:rsidRDefault="00031CFC" w:rsidP="00E31804">
            <w:pPr>
              <w:pStyle w:val="BlockText"/>
              <w:ind w:left="0"/>
              <w:jc w:val="center"/>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11.449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0.258+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0.397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0.388</w:t>
            </w:r>
          </w:p>
        </w:tc>
      </w:tr>
      <w:tr w:rsidR="0043278C" w:rsidRPr="0043278C" w14:paraId="504A31D8" w14:textId="77777777" w:rsidTr="00851341">
        <w:trPr>
          <w:trHeight w:val="393"/>
        </w:trPr>
        <w:tc>
          <w:tcPr>
            <w:tcW w:w="3366" w:type="dxa"/>
            <w:shd w:val="pct12" w:color="auto" w:fill="auto"/>
            <w:vAlign w:val="center"/>
          </w:tcPr>
          <w:p w14:paraId="22513A5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20" w:type="dxa"/>
            <w:gridSpan w:val="4"/>
            <w:vAlign w:val="center"/>
          </w:tcPr>
          <w:p w14:paraId="2136D9B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w:t>
            </w:r>
          </w:p>
        </w:tc>
      </w:tr>
      <w:tr w:rsidR="0043278C" w:rsidRPr="0043278C" w14:paraId="7B2628D9" w14:textId="77777777" w:rsidTr="00851341">
        <w:trPr>
          <w:trHeight w:val="385"/>
        </w:trPr>
        <w:tc>
          <w:tcPr>
            <w:tcW w:w="3366" w:type="dxa"/>
            <w:shd w:val="pct12" w:color="auto" w:fill="auto"/>
            <w:vAlign w:val="center"/>
          </w:tcPr>
          <w:p w14:paraId="4966FD7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F15A6F4"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4CB29C62"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48.357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1FA1774"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7262721D" w14:textId="0710E392"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031CFC" w:rsidRPr="00031CFC">
        <w:rPr>
          <w:rFonts w:ascii="Sakkal Majalla" w:hAnsi="Sakkal Majalla" w:cs="Sakkal Majalla"/>
          <w:sz w:val="28"/>
          <w:szCs w:val="28"/>
          <w:rtl/>
          <w:lang w:bidi="ar-EG"/>
        </w:rPr>
        <w:t xml:space="preserve">التحول الرقمي و البعد الاجتماعي والثقافي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031CFC" w:rsidRPr="00031CFC">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17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48.357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45C0AC7C"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المتعدد :</w:t>
      </w:r>
    </w:p>
    <w:p w14:paraId="0BA5FBD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79BA7AE8" w14:textId="36D202A8" w:rsidR="0043278C" w:rsidRPr="0043278C" w:rsidRDefault="00031CFC" w:rsidP="00E31804">
      <w:pPr>
        <w:pStyle w:val="BlockText"/>
        <w:jc w:val="lowKashida"/>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11.449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0.258+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0.397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0.388</w:t>
      </w:r>
    </w:p>
    <w:p w14:paraId="020A0B66" w14:textId="5743CB8C" w:rsidR="0043278C" w:rsidRPr="0043278C" w:rsidRDefault="0043278C" w:rsidP="00E31804">
      <w:pPr>
        <w:pStyle w:val="BlockText"/>
        <w:ind w:left="146" w:hanging="120"/>
        <w:jc w:val="lowKashida"/>
        <w:rPr>
          <w:rFonts w:ascii="Sakkal Majalla" w:hAnsi="Sakkal Majalla" w:cs="Sakkal Majalla"/>
          <w:sz w:val="28"/>
          <w:rtl/>
          <w:lang w:bidi="ar-EG"/>
        </w:rPr>
      </w:pPr>
      <w:r w:rsidRPr="0043278C">
        <w:rPr>
          <w:rFonts w:ascii="Sakkal Majalla" w:hAnsi="Sakkal Majalla" w:cs="Sakkal Majalla"/>
          <w:sz w:val="28"/>
          <w:rtl/>
          <w:lang w:bidi="ar-EG"/>
        </w:rPr>
        <w:t>وبناء على النتيجة السابقة والتحليل الإحصائي المتعلق بهذه النتيجة ، يتم رفض فرض العدم وقبول الفرض البديل ، بأن هناك تأثير ذا دلالة إحصائية</w:t>
      </w:r>
      <w:r w:rsidR="008C7535">
        <w:rPr>
          <w:rFonts w:ascii="Sakkal Majalla" w:hAnsi="Sakkal Majalla" w:cs="Sakkal Majalla" w:hint="cs"/>
          <w:sz w:val="28"/>
          <w:rtl/>
          <w:lang w:bidi="ar-EG"/>
        </w:rPr>
        <w:t xml:space="preserve"> بين</w:t>
      </w:r>
      <w:r w:rsidRPr="0043278C">
        <w:rPr>
          <w:rFonts w:ascii="Sakkal Majalla" w:hAnsi="Sakkal Majalla" w:cs="Sakkal Majalla"/>
          <w:sz w:val="28"/>
          <w:rtl/>
          <w:lang w:bidi="ar-EG"/>
        </w:rPr>
        <w:t xml:space="preserve"> </w:t>
      </w:r>
      <w:r w:rsidR="00031CFC" w:rsidRPr="00031CFC">
        <w:rPr>
          <w:rFonts w:ascii="Sakkal Majalla" w:hAnsi="Sakkal Majalla" w:cs="Sakkal Majalla"/>
          <w:sz w:val="28"/>
          <w:rtl/>
          <w:lang w:bidi="ar-EG"/>
        </w:rPr>
        <w:t>التحول الرقمي و البعد الاجتماعي والثقافي</w:t>
      </w:r>
      <w:r w:rsidRPr="0043278C">
        <w:rPr>
          <w:rFonts w:ascii="Sakkal Majalla" w:hAnsi="Sakkal Majalla" w:cs="Sakkal Majalla"/>
          <w:sz w:val="28"/>
          <w:rtl/>
          <w:lang w:bidi="ar-EG"/>
        </w:rPr>
        <w:t>.</w:t>
      </w:r>
    </w:p>
    <w:p w14:paraId="5663F7EF" w14:textId="77777777" w:rsidR="0043278C" w:rsidRDefault="0043278C" w:rsidP="00E31804">
      <w:pPr>
        <w:pStyle w:val="BlockText"/>
        <w:ind w:left="146" w:hanging="120"/>
        <w:jc w:val="lowKashida"/>
        <w:rPr>
          <w:rFonts w:ascii="Sakkal Majalla" w:hAnsi="Sakkal Majalla" w:cs="Sakkal Majalla"/>
          <w:sz w:val="28"/>
          <w:rtl/>
          <w:lang w:bidi="ar-EG"/>
        </w:rPr>
      </w:pPr>
    </w:p>
    <w:p w14:paraId="1FFD52D3" w14:textId="77777777" w:rsidR="00F410C7" w:rsidRDefault="00F410C7" w:rsidP="00E31804">
      <w:pPr>
        <w:pStyle w:val="BlockText"/>
        <w:ind w:left="146" w:hanging="120"/>
        <w:jc w:val="lowKashida"/>
        <w:rPr>
          <w:rFonts w:ascii="Sakkal Majalla" w:hAnsi="Sakkal Majalla" w:cs="Sakkal Majalla"/>
          <w:sz w:val="28"/>
          <w:rtl/>
          <w:lang w:bidi="ar-EG"/>
        </w:rPr>
      </w:pPr>
    </w:p>
    <w:p w14:paraId="64DA3534" w14:textId="77777777" w:rsidR="00F410C7" w:rsidRDefault="00F410C7" w:rsidP="00E31804">
      <w:pPr>
        <w:pStyle w:val="BlockText"/>
        <w:ind w:left="146" w:hanging="120"/>
        <w:jc w:val="lowKashida"/>
        <w:rPr>
          <w:rFonts w:ascii="Sakkal Majalla" w:hAnsi="Sakkal Majalla" w:cs="Sakkal Majalla"/>
          <w:sz w:val="28"/>
          <w:rtl/>
          <w:lang w:bidi="ar-EG"/>
        </w:rPr>
      </w:pPr>
    </w:p>
    <w:p w14:paraId="57F32BE5" w14:textId="77777777" w:rsidR="00F410C7" w:rsidRDefault="00F410C7" w:rsidP="00E31804">
      <w:pPr>
        <w:pStyle w:val="BlockText"/>
        <w:ind w:left="146" w:hanging="120"/>
        <w:jc w:val="lowKashida"/>
        <w:rPr>
          <w:rFonts w:ascii="Sakkal Majalla" w:hAnsi="Sakkal Majalla" w:cs="Sakkal Majalla"/>
          <w:sz w:val="28"/>
          <w:rtl/>
          <w:lang w:bidi="ar-EG"/>
        </w:rPr>
      </w:pPr>
    </w:p>
    <w:p w14:paraId="260D5D45" w14:textId="77777777" w:rsidR="00F410C7" w:rsidRDefault="00F410C7" w:rsidP="00E31804">
      <w:pPr>
        <w:pStyle w:val="BlockText"/>
        <w:ind w:left="146" w:hanging="120"/>
        <w:jc w:val="lowKashida"/>
        <w:rPr>
          <w:rFonts w:ascii="Sakkal Majalla" w:hAnsi="Sakkal Majalla" w:cs="Sakkal Majalla"/>
          <w:sz w:val="28"/>
          <w:rtl/>
          <w:lang w:bidi="ar-EG"/>
        </w:rPr>
      </w:pPr>
    </w:p>
    <w:p w14:paraId="77FFC475" w14:textId="77777777" w:rsidR="00E31804" w:rsidRPr="0043278C" w:rsidRDefault="00E31804" w:rsidP="00E31804">
      <w:pPr>
        <w:pStyle w:val="BlockText"/>
        <w:ind w:left="146" w:hanging="120"/>
        <w:jc w:val="lowKashida"/>
        <w:rPr>
          <w:rFonts w:ascii="Sakkal Majalla" w:hAnsi="Sakkal Majalla" w:cs="Sakkal Majalla"/>
          <w:sz w:val="28"/>
          <w:rtl/>
          <w:lang w:bidi="ar-EG"/>
        </w:rPr>
      </w:pPr>
    </w:p>
    <w:p w14:paraId="542B684A" w14:textId="306112BC" w:rsidR="0043278C" w:rsidRPr="0043278C" w:rsidRDefault="0043278C" w:rsidP="00E31804">
      <w:pPr>
        <w:pStyle w:val="BlockText"/>
        <w:ind w:left="146" w:hanging="120"/>
        <w:jc w:val="lowKashida"/>
        <w:rPr>
          <w:rFonts w:ascii="Sakkal Majalla" w:hAnsi="Sakkal Majalla" w:cs="Sakkal Majalla"/>
          <w:b/>
          <w:bCs/>
          <w:sz w:val="28"/>
          <w:rtl/>
          <w:lang w:bidi="ar-EG"/>
        </w:rPr>
      </w:pPr>
      <w:r w:rsidRPr="0043278C">
        <w:rPr>
          <w:rFonts w:ascii="Sakkal Majalla" w:hAnsi="Sakkal Majalla" w:cs="Sakkal Majalla"/>
          <w:sz w:val="28"/>
          <w:rtl/>
          <w:lang w:bidi="ar-EG"/>
        </w:rPr>
        <w:lastRenderedPageBreak/>
        <w:t xml:space="preserve"> </w:t>
      </w:r>
      <w:r w:rsidRPr="0043278C">
        <w:rPr>
          <w:rFonts w:ascii="Sakkal Majalla" w:hAnsi="Sakkal Majalla" w:cs="Sakkal Majalla"/>
          <w:b/>
          <w:bCs/>
          <w:sz w:val="28"/>
          <w:rtl/>
          <w:lang w:bidi="ar-EG"/>
        </w:rPr>
        <w:t>أختبار الفرض السادس</w:t>
      </w:r>
      <w:r w:rsidRPr="0043278C">
        <w:rPr>
          <w:rFonts w:ascii="Sakkal Majalla" w:hAnsi="Sakkal Majalla" w:cs="Sakkal Majalla"/>
          <w:b/>
          <w:bCs/>
          <w:sz w:val="28"/>
          <w:lang w:bidi="ar-EG"/>
        </w:rPr>
        <w:t xml:space="preserve"> : </w:t>
      </w:r>
    </w:p>
    <w:p w14:paraId="204CAEE9" w14:textId="660CB873"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F410C7">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sidR="00F410C7">
        <w:rPr>
          <w:rFonts w:ascii="Sakkal Majalla" w:hAnsi="Sakkal Majalla" w:cs="Sakkal Majalla" w:hint="cs"/>
          <w:b/>
          <w:bCs/>
          <w:sz w:val="28"/>
          <w:rtl/>
          <w:lang w:bidi="ar-EG"/>
        </w:rPr>
        <w:t>البعد الاقتصادي</w:t>
      </w:r>
      <w:r w:rsidRPr="0043278C">
        <w:rPr>
          <w:rFonts w:ascii="Sakkal Majalla" w:hAnsi="Sakkal Majalla" w:cs="Sakkal Majalla"/>
          <w:b/>
          <w:bCs/>
          <w:sz w:val="28"/>
          <w:rtl/>
          <w:lang w:bidi="ar-EG"/>
        </w:rPr>
        <w:t xml:space="preserve"> "</w:t>
      </w:r>
    </w:p>
    <w:p w14:paraId="38DED3D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5770FB7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11E60E15" w14:textId="77777777" w:rsidTr="00851341">
        <w:trPr>
          <w:jc w:val="center"/>
        </w:trPr>
        <w:tc>
          <w:tcPr>
            <w:tcW w:w="0" w:type="auto"/>
            <w:tcBorders>
              <w:top w:val="thickThinSmallGap" w:sz="24" w:space="0" w:color="auto"/>
              <w:bottom w:val="thickThinSmallGap" w:sz="24" w:space="0" w:color="auto"/>
            </w:tcBorders>
            <w:shd w:val="pct12" w:color="auto" w:fill="auto"/>
          </w:tcPr>
          <w:p w14:paraId="246B54A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49B576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1674978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4D041DE9" w14:textId="77777777" w:rsidTr="00851341">
        <w:trPr>
          <w:jc w:val="center"/>
        </w:trPr>
        <w:tc>
          <w:tcPr>
            <w:tcW w:w="0" w:type="auto"/>
            <w:tcBorders>
              <w:top w:val="thickThinSmallGap" w:sz="24" w:space="0" w:color="auto"/>
            </w:tcBorders>
          </w:tcPr>
          <w:p w14:paraId="41B6EEA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0.283</w:t>
            </w:r>
          </w:p>
        </w:tc>
        <w:tc>
          <w:tcPr>
            <w:tcW w:w="0" w:type="auto"/>
            <w:tcBorders>
              <w:top w:val="thickThinSmallGap" w:sz="24" w:space="0" w:color="auto"/>
            </w:tcBorders>
          </w:tcPr>
          <w:p w14:paraId="21EE714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537BBCBA"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31FC5487"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8439390" w14:textId="68A4AB96"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F410C7" w:rsidRPr="00F410C7">
        <w:rPr>
          <w:rFonts w:ascii="Sakkal Majalla" w:hAnsi="Sakkal Majalla" w:cs="Sakkal Majalla"/>
          <w:sz w:val="28"/>
          <w:rtl/>
          <w:lang w:bidi="ar-EG"/>
        </w:rPr>
        <w:t>التحول الرقمي و البعد الاقتصادي</w:t>
      </w:r>
      <w:r w:rsidRPr="0043278C">
        <w:rPr>
          <w:rFonts w:ascii="Sakkal Majalla" w:hAnsi="Sakkal Majalla" w:cs="Sakkal Majalla"/>
          <w:sz w:val="28"/>
          <w:rtl/>
          <w:lang w:bidi="ar-EG"/>
        </w:rPr>
        <w:t xml:space="preserve"> ، حيث بلغت قيمة معامل الأرتباط  0.283  وهى دالة إحصائياً ، وتدل على وجود علاقة أرتباطية  طردية ،  تبين أنه كلما زاد </w:t>
      </w:r>
      <w:r w:rsidR="00F410C7"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sidR="00F410C7">
        <w:rPr>
          <w:rFonts w:ascii="Sakkal Majalla" w:hAnsi="Sakkal Majalla" w:cs="Sakkal Majalla" w:hint="cs"/>
          <w:sz w:val="28"/>
          <w:rtl/>
          <w:lang w:bidi="ar-EG"/>
        </w:rPr>
        <w:t>ب</w:t>
      </w:r>
      <w:r w:rsidR="00F410C7" w:rsidRPr="00F410C7">
        <w:rPr>
          <w:rFonts w:ascii="Sakkal Majalla" w:hAnsi="Sakkal Majalla" w:cs="Sakkal Majalla"/>
          <w:sz w:val="28"/>
          <w:rtl/>
          <w:lang w:bidi="ar-EG"/>
        </w:rPr>
        <w:t>البعد الاقتصادي</w:t>
      </w:r>
      <w:r w:rsidR="00F410C7" w:rsidRPr="0043278C">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1380D0F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الإنحدار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43278C" w:rsidRPr="0043278C" w14:paraId="070794B2" w14:textId="77777777" w:rsidTr="00CD2E89">
        <w:trPr>
          <w:jc w:val="center"/>
        </w:trPr>
        <w:tc>
          <w:tcPr>
            <w:tcW w:w="3420" w:type="dxa"/>
            <w:tcBorders>
              <w:top w:val="thickThinSmallGap" w:sz="24" w:space="0" w:color="auto"/>
              <w:bottom w:val="thickThinSmallGap" w:sz="24" w:space="0" w:color="auto"/>
            </w:tcBorders>
            <w:shd w:val="pct12" w:color="auto" w:fill="auto"/>
            <w:vAlign w:val="center"/>
          </w:tcPr>
          <w:p w14:paraId="4FDD121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6F0B899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28AB5202"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F75E7E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94D4B5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25508068"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C5ADEFD"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5295524"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DB43FF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6711F1A8" w14:textId="77777777" w:rsidTr="00CD2E89">
        <w:trPr>
          <w:trHeight w:val="365"/>
          <w:jc w:val="center"/>
        </w:trPr>
        <w:tc>
          <w:tcPr>
            <w:tcW w:w="3420" w:type="dxa"/>
            <w:tcBorders>
              <w:top w:val="thickThinSmallGap" w:sz="24" w:space="0" w:color="auto"/>
            </w:tcBorders>
            <w:shd w:val="pct12" w:color="auto" w:fill="auto"/>
            <w:vAlign w:val="center"/>
          </w:tcPr>
          <w:p w14:paraId="48E024BD" w14:textId="38F81D4B" w:rsidR="0043278C" w:rsidRPr="0043278C" w:rsidRDefault="00F410C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59EE49B7"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258ED04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72D891EC"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7963070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4BBC1D28" w14:textId="77777777" w:rsidTr="00CD2E89">
        <w:trPr>
          <w:trHeight w:val="403"/>
          <w:jc w:val="center"/>
        </w:trPr>
        <w:tc>
          <w:tcPr>
            <w:tcW w:w="3420" w:type="dxa"/>
            <w:shd w:val="pct12" w:color="auto" w:fill="auto"/>
            <w:vAlign w:val="center"/>
          </w:tcPr>
          <w:p w14:paraId="3670B0F1"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1C40F18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027DC78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2E5CE5A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3CE22BE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2736379" w14:textId="77777777" w:rsidTr="00CD2E89">
        <w:trPr>
          <w:trHeight w:val="394"/>
          <w:jc w:val="center"/>
        </w:trPr>
        <w:tc>
          <w:tcPr>
            <w:tcW w:w="3420" w:type="dxa"/>
            <w:shd w:val="pct12" w:color="auto" w:fill="auto"/>
            <w:vAlign w:val="center"/>
          </w:tcPr>
          <w:p w14:paraId="0AB75D41"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5850" w:type="dxa"/>
            <w:gridSpan w:val="4"/>
            <w:vAlign w:val="center"/>
          </w:tcPr>
          <w:p w14:paraId="3781324C" w14:textId="5A936E13" w:rsidR="0043278C" w:rsidRPr="0043278C" w:rsidRDefault="00F410C7" w:rsidP="00E31804">
            <w:pPr>
              <w:pStyle w:val="BlockText"/>
              <w:jc w:val="center"/>
              <w:rPr>
                <w:rFonts w:ascii="Sakkal Majalla" w:hAnsi="Sakkal Majalla" w:cs="Sakkal Majalla"/>
                <w:sz w:val="28"/>
                <w:rtl/>
                <w:lang w:bidi="ar-EG"/>
              </w:rPr>
            </w:pPr>
            <w:r w:rsidRPr="00F410C7">
              <w:rPr>
                <w:rFonts w:ascii="Sakkal Majalla" w:hAnsi="Sakkal Majalla" w:cs="Sakkal Majalla"/>
                <w:sz w:val="28"/>
                <w:rtl/>
                <w:lang w:bidi="ar-EG"/>
              </w:rPr>
              <w:t>البعد الاقتصادي</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12.210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1.210</w:t>
            </w:r>
          </w:p>
        </w:tc>
      </w:tr>
      <w:tr w:rsidR="0043278C" w:rsidRPr="0043278C" w14:paraId="343F5DF9" w14:textId="77777777" w:rsidTr="00CD2E89">
        <w:trPr>
          <w:trHeight w:val="386"/>
          <w:jc w:val="center"/>
        </w:trPr>
        <w:tc>
          <w:tcPr>
            <w:tcW w:w="3420" w:type="dxa"/>
            <w:shd w:val="pct12" w:color="auto" w:fill="auto"/>
            <w:vAlign w:val="center"/>
          </w:tcPr>
          <w:p w14:paraId="4FBC1F4E"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7F09C10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43278C" w:rsidRPr="0043278C" w14:paraId="3D015C90" w14:textId="77777777" w:rsidTr="00CD2E89">
        <w:trPr>
          <w:trHeight w:val="535"/>
          <w:jc w:val="center"/>
        </w:trPr>
        <w:tc>
          <w:tcPr>
            <w:tcW w:w="3420" w:type="dxa"/>
            <w:shd w:val="pct12" w:color="auto" w:fill="auto"/>
            <w:vAlign w:val="center"/>
          </w:tcPr>
          <w:p w14:paraId="7E04DBEA"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B75A4A2" w14:textId="77777777" w:rsidR="0043278C" w:rsidRPr="0043278C" w:rsidRDefault="0043278C" w:rsidP="00E31804">
            <w:pPr>
              <w:pStyle w:val="BlockText"/>
              <w:jc w:val="both"/>
              <w:rPr>
                <w:rFonts w:ascii="Sakkal Majalla" w:hAnsi="Sakkal Majalla" w:cs="Sakkal Majalla"/>
                <w:sz w:val="28"/>
                <w:rtl/>
                <w:lang w:bidi="ar-EG"/>
              </w:rPr>
            </w:pPr>
          </w:p>
        </w:tc>
        <w:tc>
          <w:tcPr>
            <w:tcW w:w="5850" w:type="dxa"/>
            <w:gridSpan w:val="4"/>
            <w:vAlign w:val="center"/>
          </w:tcPr>
          <w:p w14:paraId="0B39A1D0"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7848DC65"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E3C17F6" w14:textId="7080BB4F"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CD2E89" w:rsidRPr="00CD2E89">
        <w:rPr>
          <w:rFonts w:ascii="Sakkal Majalla" w:hAnsi="Sakkal Majalla" w:cs="Sakkal Majalla"/>
          <w:sz w:val="28"/>
          <w:rtl/>
          <w:lang w:bidi="ar-EG"/>
        </w:rPr>
        <w:t xml:space="preserve">التحول الرقمي و البعد الاقتصادي </w:t>
      </w:r>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2700938"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1F1E5C72"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6ACD569C" w14:textId="435B65D8" w:rsidR="0043278C" w:rsidRPr="0043278C" w:rsidRDefault="00CD2E89"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0043278C" w:rsidRPr="0043278C">
        <w:rPr>
          <w:rFonts w:ascii="Sakkal Majalla" w:hAnsi="Sakkal Majalla" w:cs="Sakkal Majalla"/>
          <w:sz w:val="28"/>
          <w:rtl/>
          <w:lang w:bidi="ar-EG"/>
        </w:rPr>
        <w:t>=   12.210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1.210</w:t>
      </w:r>
    </w:p>
    <w:p w14:paraId="62807D4E" w14:textId="09B812D2"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CD2E89" w:rsidRPr="00F410C7">
        <w:rPr>
          <w:rFonts w:ascii="Sakkal Majalla" w:hAnsi="Sakkal Majalla" w:cs="Sakkal Majalla"/>
          <w:sz w:val="28"/>
          <w:rtl/>
          <w:lang w:bidi="ar-EG"/>
        </w:rPr>
        <w:t>التحول الرقمي والبعد الاقتصادي</w:t>
      </w:r>
      <w:r w:rsidRPr="0043278C">
        <w:rPr>
          <w:rFonts w:ascii="Sakkal Majalla" w:hAnsi="Sakkal Majalla" w:cs="Sakkal Majalla"/>
          <w:sz w:val="28"/>
          <w:rtl/>
          <w:lang w:bidi="ar-EG"/>
        </w:rPr>
        <w:t>.</w:t>
      </w:r>
    </w:p>
    <w:p w14:paraId="7654030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10063B9B" w14:textId="1570E20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r w:rsidR="00CD2E89" w:rsidRPr="00CD2E89">
        <w:rPr>
          <w:rFonts w:ascii="Sakkal Majalla" w:hAnsi="Sakkal Majalla" w:cs="Sakkal Majalla"/>
          <w:b/>
          <w:bCs/>
          <w:sz w:val="28"/>
          <w:rtl/>
          <w:lang w:bidi="ar-EG"/>
        </w:rPr>
        <w:t>التحول الرقمي و البعد الاقتصادي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79AE248"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5A29652D"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011B4E3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0F941F7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40872A3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1C6C32A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7DDEF8CA"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6DFB675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0B7C46D"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04F76B62"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2DF43A7" w14:textId="77777777" w:rsidR="0043278C" w:rsidRPr="0043278C" w:rsidRDefault="0043278C" w:rsidP="00E31804">
            <w:pPr>
              <w:pStyle w:val="BlockText"/>
              <w:ind w:left="0"/>
              <w:rPr>
                <w:rFonts w:ascii="Sakkal Majalla" w:hAnsi="Sakkal Majalla" w:cs="Sakkal Majalla"/>
                <w:b/>
                <w:bCs/>
                <w:sz w:val="28"/>
                <w:rtl/>
                <w:lang w:bidi="ar-EG"/>
              </w:rPr>
            </w:pPr>
          </w:p>
          <w:p w14:paraId="6A33283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F413E6E" w14:textId="77777777" w:rsidTr="00851341">
        <w:trPr>
          <w:trHeight w:val="297"/>
          <w:jc w:val="center"/>
        </w:trPr>
        <w:tc>
          <w:tcPr>
            <w:tcW w:w="0" w:type="auto"/>
            <w:tcBorders>
              <w:top w:val="thickThinSmallGap" w:sz="24" w:space="0" w:color="auto"/>
            </w:tcBorders>
            <w:shd w:val="pct12" w:color="auto" w:fill="auto"/>
            <w:vAlign w:val="center"/>
          </w:tcPr>
          <w:p w14:paraId="1BE7BA4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23E0F7C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088E4E8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56687F7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01EDF47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20C70CC2"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46E9609E" w14:textId="77777777" w:rsidTr="00851341">
        <w:trPr>
          <w:trHeight w:val="388"/>
          <w:jc w:val="center"/>
        </w:trPr>
        <w:tc>
          <w:tcPr>
            <w:tcW w:w="0" w:type="auto"/>
            <w:shd w:val="pct12" w:color="auto" w:fill="auto"/>
            <w:vAlign w:val="center"/>
          </w:tcPr>
          <w:p w14:paraId="5504C52C"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330D003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14CD8ED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CEE115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441D2AA0"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2DF9100C"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013E9131" w14:textId="77777777" w:rsidTr="00851341">
        <w:trPr>
          <w:trHeight w:val="365"/>
          <w:jc w:val="center"/>
        </w:trPr>
        <w:tc>
          <w:tcPr>
            <w:tcW w:w="0" w:type="auto"/>
            <w:shd w:val="pct12" w:color="auto" w:fill="auto"/>
            <w:vAlign w:val="center"/>
          </w:tcPr>
          <w:p w14:paraId="022C797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7F3BE16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3743283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66A2025"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505FE955"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A873D1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457EC9D8" w14:textId="77777777" w:rsidTr="00851341">
        <w:trPr>
          <w:trHeight w:val="399"/>
          <w:jc w:val="center"/>
        </w:trPr>
        <w:tc>
          <w:tcPr>
            <w:tcW w:w="0" w:type="auto"/>
            <w:gridSpan w:val="6"/>
            <w:shd w:val="clear" w:color="auto" w:fill="auto"/>
            <w:vAlign w:val="center"/>
          </w:tcPr>
          <w:p w14:paraId="5854BA60"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43278C" w:rsidRPr="0043278C" w14:paraId="5461DEE0" w14:textId="77777777" w:rsidTr="00851341">
        <w:trPr>
          <w:trHeight w:val="390"/>
          <w:jc w:val="center"/>
        </w:trPr>
        <w:tc>
          <w:tcPr>
            <w:tcW w:w="0" w:type="auto"/>
            <w:gridSpan w:val="6"/>
            <w:shd w:val="clear" w:color="auto" w:fill="auto"/>
            <w:vAlign w:val="center"/>
          </w:tcPr>
          <w:p w14:paraId="2C124806"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43278C" w:rsidRPr="0043278C" w14:paraId="062BF324" w14:textId="77777777" w:rsidTr="00851341">
        <w:trPr>
          <w:trHeight w:val="397"/>
          <w:jc w:val="center"/>
        </w:trPr>
        <w:tc>
          <w:tcPr>
            <w:tcW w:w="0" w:type="auto"/>
            <w:gridSpan w:val="6"/>
            <w:shd w:val="clear" w:color="auto" w:fill="auto"/>
            <w:vAlign w:val="center"/>
          </w:tcPr>
          <w:p w14:paraId="49B0294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43278C" w:rsidRPr="0043278C" w14:paraId="3B161AC3" w14:textId="77777777" w:rsidTr="00851341">
        <w:trPr>
          <w:trHeight w:val="375"/>
          <w:jc w:val="center"/>
        </w:trPr>
        <w:tc>
          <w:tcPr>
            <w:tcW w:w="0" w:type="auto"/>
            <w:gridSpan w:val="6"/>
            <w:shd w:val="clear" w:color="auto" w:fill="auto"/>
            <w:vAlign w:val="center"/>
          </w:tcPr>
          <w:p w14:paraId="5F1B72F5"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A0D8B0C"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49C2DE4" w14:textId="7ABB195E"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CD2E89" w:rsidRPr="00CD2E89">
        <w:rPr>
          <w:rFonts w:ascii="Sakkal Majalla" w:hAnsi="Sakkal Majalla" w:cs="Sakkal Majalla"/>
          <w:sz w:val="28"/>
          <w:rtl/>
          <w:lang w:bidi="ar-EG"/>
        </w:rPr>
        <w:t xml:space="preserve">التحول الرقمي و البعد الاقتصادي </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CD2E89">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 تأثير </w:t>
      </w:r>
      <w:r w:rsidR="00CD2E89">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06995834"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43D9643C"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05E7251F" w14:textId="379D73CD"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أى أن المتغيرات </w:t>
      </w:r>
      <w:r w:rsidR="00CD2E89">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فى المتغير التابع </w:t>
      </w:r>
      <w:r w:rsidR="00CD2E89">
        <w:rPr>
          <w:rFonts w:ascii="Sakkal Majalla" w:hAnsi="Sakkal Majalla" w:cs="Sakkal Majalla" w:hint="cs"/>
          <w:sz w:val="28"/>
          <w:rtl/>
          <w:lang w:bidi="ar-EG"/>
        </w:rPr>
        <w:t>البعد الاقتصادي</w:t>
      </w:r>
      <w:r w:rsidRPr="0043278C">
        <w:rPr>
          <w:rFonts w:ascii="Sakkal Majalla" w:hAnsi="Sakkal Majalla" w:cs="Sakkal Majalla"/>
          <w:sz w:val="28"/>
          <w:rtl/>
          <w:lang w:bidi="ar-EG"/>
        </w:rPr>
        <w:t xml:space="preserve"> .</w:t>
      </w:r>
    </w:p>
    <w:p w14:paraId="0F87C924"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0.28 .  </w:t>
      </w:r>
    </w:p>
    <w:p w14:paraId="4E7C6DBA" w14:textId="77777777"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168A4A78" w14:textId="3555C192" w:rsid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CD2E89">
        <w:rPr>
          <w:rFonts w:ascii="Sakkal Majalla" w:hAnsi="Sakkal Majalla" w:cs="Sakkal Majalla" w:hint="cs"/>
          <w:sz w:val="28"/>
          <w:szCs w:val="28"/>
          <w:rtl/>
          <w:lang w:bidi="ar-EG"/>
        </w:rPr>
        <w:t>البعد الاقتصادي</w:t>
      </w:r>
      <w:r w:rsidRPr="0043278C">
        <w:rPr>
          <w:rFonts w:ascii="Sakkal Majalla" w:hAnsi="Sakkal Majalla" w:cs="Sakkal Majalla"/>
          <w:sz w:val="28"/>
          <w:szCs w:val="28"/>
          <w:rtl/>
          <w:lang w:bidi="ar-EG"/>
        </w:rPr>
        <w:t xml:space="preserve"> ،  وفيما يلي نموذج العلاقة الناتج : </w:t>
      </w:r>
    </w:p>
    <w:p w14:paraId="452AE682" w14:textId="77777777" w:rsidR="00E31804" w:rsidRDefault="00E31804" w:rsidP="00E31804">
      <w:pPr>
        <w:spacing w:line="240" w:lineRule="auto"/>
        <w:ind w:left="26"/>
        <w:jc w:val="right"/>
        <w:rPr>
          <w:rFonts w:ascii="Sakkal Majalla" w:hAnsi="Sakkal Majalla" w:cs="Sakkal Majalla"/>
          <w:sz w:val="28"/>
          <w:szCs w:val="28"/>
          <w:rtl/>
          <w:lang w:bidi="ar-EG"/>
        </w:rPr>
      </w:pPr>
    </w:p>
    <w:p w14:paraId="5672FA26" w14:textId="77777777" w:rsidR="00E31804" w:rsidRDefault="00E31804" w:rsidP="00E31804">
      <w:pPr>
        <w:spacing w:line="240" w:lineRule="auto"/>
        <w:ind w:left="26"/>
        <w:jc w:val="right"/>
        <w:rPr>
          <w:rFonts w:ascii="Sakkal Majalla" w:hAnsi="Sakkal Majalla" w:cs="Sakkal Majalla"/>
          <w:sz w:val="28"/>
          <w:szCs w:val="28"/>
          <w:rtl/>
          <w:lang w:bidi="ar-EG"/>
        </w:rPr>
      </w:pPr>
    </w:p>
    <w:p w14:paraId="7C9E1A9E" w14:textId="77777777" w:rsidR="00E31804" w:rsidRDefault="00E31804" w:rsidP="00E31804">
      <w:pPr>
        <w:spacing w:line="240" w:lineRule="auto"/>
        <w:ind w:left="26"/>
        <w:jc w:val="right"/>
        <w:rPr>
          <w:rFonts w:ascii="Sakkal Majalla" w:hAnsi="Sakkal Majalla" w:cs="Sakkal Majalla"/>
          <w:sz w:val="28"/>
          <w:szCs w:val="28"/>
          <w:rtl/>
          <w:lang w:bidi="ar-EG"/>
        </w:rPr>
      </w:pPr>
    </w:p>
    <w:p w14:paraId="5D00F0BA"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257A586"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0775EDE9" w14:textId="102CD649"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لأختبار تأثير </w:t>
      </w:r>
      <w:r w:rsidR="00CD2E89" w:rsidRPr="00CD2E89">
        <w:rPr>
          <w:rFonts w:ascii="Sakkal Majalla" w:hAnsi="Sakkal Majalla" w:cs="Sakkal Majalla"/>
          <w:b/>
          <w:bCs/>
          <w:sz w:val="28"/>
          <w:rtl/>
          <w:lang w:bidi="ar-EG"/>
        </w:rPr>
        <w:t xml:space="preserve">التحول الرقمي </w:t>
      </w:r>
      <w:r w:rsidR="00CD2E89">
        <w:rPr>
          <w:rFonts w:ascii="Sakkal Majalla" w:hAnsi="Sakkal Majalla" w:cs="Sakkal Majalla" w:hint="cs"/>
          <w:b/>
          <w:bCs/>
          <w:sz w:val="28"/>
          <w:rtl/>
          <w:lang w:bidi="ar-EG"/>
        </w:rPr>
        <w:t>علي</w:t>
      </w:r>
      <w:r w:rsidR="00CD2E89" w:rsidRPr="00CD2E89">
        <w:rPr>
          <w:rFonts w:ascii="Sakkal Majalla" w:hAnsi="Sakkal Majalla" w:cs="Sakkal Majalla"/>
          <w:b/>
          <w:bCs/>
          <w:sz w:val="28"/>
          <w:rtl/>
          <w:lang w:bidi="ar-EG"/>
        </w:rPr>
        <w:t xml:space="preserve"> البعد الاقتصادي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43278C" w:rsidRPr="0043278C" w14:paraId="72843ED8" w14:textId="77777777" w:rsidTr="00CD2E89">
        <w:tc>
          <w:tcPr>
            <w:tcW w:w="3366" w:type="dxa"/>
            <w:tcBorders>
              <w:top w:val="thickThinSmallGap" w:sz="24" w:space="0" w:color="auto"/>
              <w:bottom w:val="thickThinSmallGap" w:sz="24" w:space="0" w:color="auto"/>
            </w:tcBorders>
            <w:shd w:val="pct12" w:color="auto" w:fill="auto"/>
            <w:vAlign w:val="center"/>
          </w:tcPr>
          <w:p w14:paraId="5234AA2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4970A84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01F5A822"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83FD42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3B9BD2C"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179B20E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549B7D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81EE4A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437FA2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75DF953E" w14:textId="77777777" w:rsidTr="00CD2E89">
        <w:trPr>
          <w:trHeight w:val="417"/>
        </w:trPr>
        <w:tc>
          <w:tcPr>
            <w:tcW w:w="3366" w:type="dxa"/>
            <w:tcBorders>
              <w:top w:val="thickThinSmallGap" w:sz="24" w:space="0" w:color="auto"/>
            </w:tcBorders>
            <w:shd w:val="pct12" w:color="auto" w:fill="auto"/>
            <w:vAlign w:val="center"/>
          </w:tcPr>
          <w:p w14:paraId="566BE9C4" w14:textId="1EEA90D8" w:rsidR="0043278C" w:rsidRPr="0043278C" w:rsidRDefault="00CD2E89"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04F3E37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1B69145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293ECAA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68F0B869"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7A88588" w14:textId="77777777" w:rsidTr="00CD2E89">
        <w:trPr>
          <w:trHeight w:val="395"/>
        </w:trPr>
        <w:tc>
          <w:tcPr>
            <w:tcW w:w="3366" w:type="dxa"/>
            <w:shd w:val="pct12" w:color="auto" w:fill="auto"/>
            <w:vAlign w:val="center"/>
          </w:tcPr>
          <w:p w14:paraId="1D6D6A74" w14:textId="6F8C0A67" w:rsidR="0043278C" w:rsidRPr="0043278C" w:rsidRDefault="00CD2E89"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929" w:type="dxa"/>
            <w:vAlign w:val="center"/>
          </w:tcPr>
          <w:p w14:paraId="0999B29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68652B8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0C43269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072B6AB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F929EDB" w14:textId="77777777" w:rsidTr="00CD2E89">
        <w:trPr>
          <w:trHeight w:val="396"/>
        </w:trPr>
        <w:tc>
          <w:tcPr>
            <w:tcW w:w="3366" w:type="dxa"/>
            <w:shd w:val="pct12" w:color="auto" w:fill="auto"/>
            <w:vAlign w:val="center"/>
          </w:tcPr>
          <w:p w14:paraId="0717709A" w14:textId="72FAC41A" w:rsidR="0043278C" w:rsidRPr="0043278C" w:rsidRDefault="00CD2E89"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929" w:type="dxa"/>
            <w:vAlign w:val="center"/>
          </w:tcPr>
          <w:p w14:paraId="29476E4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345E8BA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2A21960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6584B7F8"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6D8B6986" w14:textId="77777777" w:rsidTr="00CD2E89">
        <w:trPr>
          <w:trHeight w:val="384"/>
        </w:trPr>
        <w:tc>
          <w:tcPr>
            <w:tcW w:w="3366" w:type="dxa"/>
            <w:shd w:val="pct12" w:color="auto" w:fill="auto"/>
            <w:vAlign w:val="center"/>
          </w:tcPr>
          <w:p w14:paraId="1CB6195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10F6867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5C91E3C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3DCA4A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22A6A16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77BE3496" w14:textId="77777777" w:rsidTr="00CD2E89">
        <w:trPr>
          <w:trHeight w:val="407"/>
        </w:trPr>
        <w:tc>
          <w:tcPr>
            <w:tcW w:w="3366" w:type="dxa"/>
            <w:shd w:val="pct12" w:color="auto" w:fill="auto"/>
            <w:vAlign w:val="center"/>
          </w:tcPr>
          <w:p w14:paraId="185C29DA"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04" w:type="dxa"/>
            <w:gridSpan w:val="4"/>
            <w:vAlign w:val="center"/>
          </w:tcPr>
          <w:p w14:paraId="22BE4087" w14:textId="6686A406" w:rsidR="0043278C" w:rsidRPr="0043278C" w:rsidRDefault="00CD2E89" w:rsidP="00E31804">
            <w:pPr>
              <w:pStyle w:val="BlockText"/>
              <w:ind w:left="0"/>
              <w:jc w:val="center"/>
              <w:rPr>
                <w:rFonts w:ascii="Sakkal Majalla" w:hAnsi="Sakkal Majalla" w:cs="Sakkal Majalla"/>
                <w:sz w:val="28"/>
                <w:rtl/>
                <w:lang w:bidi="ar-EG"/>
              </w:rPr>
            </w:pPr>
            <w:r>
              <w:rPr>
                <w:rFonts w:ascii="Sakkal Majalla" w:hAnsi="Sakkal Majalla" w:cs="Sakkal Majalla" w:hint="cs"/>
                <w:sz w:val="28"/>
                <w:rtl/>
                <w:lang w:bidi="ar-EG"/>
              </w:rPr>
              <w:t>البعد الاقتصادي</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12.826</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0.258</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0.175</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0.388</w:t>
            </w:r>
            <w:r w:rsidR="0043278C" w:rsidRPr="0043278C">
              <w:rPr>
                <w:rFonts w:ascii="Sakkal Majalla" w:hAnsi="Sakkal Majalla" w:cs="Sakkal Majalla"/>
                <w:sz w:val="28"/>
                <w:rtl/>
                <w:lang w:bidi="ar-EG"/>
              </w:rPr>
              <w:t xml:space="preserve"> +(4</w:t>
            </w:r>
            <w:r w:rsidR="0043278C" w:rsidRPr="0043278C">
              <w:rPr>
                <w:rFonts w:ascii="Sakkal Majalla" w:hAnsi="Sakkal Majalla" w:cs="Sakkal Majalla"/>
                <w:sz w:val="28"/>
                <w:lang w:bidi="ar-EG"/>
              </w:rPr>
              <w:t>(x</w:t>
            </w:r>
            <w:r w:rsidR="0043278C" w:rsidRPr="0043278C">
              <w:rPr>
                <w:rFonts w:ascii="Sakkal Majalla" w:hAnsi="Sakkal Majalla" w:cs="Sakkal Majalla"/>
                <w:sz w:val="28"/>
                <w:rtl/>
                <w:lang w:bidi="ar-EG"/>
              </w:rPr>
              <w:t xml:space="preserve"> 0.304</w:t>
            </w:r>
          </w:p>
        </w:tc>
      </w:tr>
      <w:tr w:rsidR="0043278C" w:rsidRPr="0043278C" w14:paraId="60034C7E" w14:textId="77777777" w:rsidTr="00CD2E89">
        <w:trPr>
          <w:trHeight w:val="415"/>
        </w:trPr>
        <w:tc>
          <w:tcPr>
            <w:tcW w:w="3366" w:type="dxa"/>
            <w:shd w:val="pct12" w:color="auto" w:fill="auto"/>
            <w:vAlign w:val="center"/>
          </w:tcPr>
          <w:p w14:paraId="56F44B8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7501C58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43278C" w:rsidRPr="0043278C" w14:paraId="7B5F6323" w14:textId="77777777" w:rsidTr="00CD2E89">
        <w:trPr>
          <w:trHeight w:val="393"/>
        </w:trPr>
        <w:tc>
          <w:tcPr>
            <w:tcW w:w="3366" w:type="dxa"/>
            <w:shd w:val="pct12" w:color="auto" w:fill="auto"/>
            <w:vAlign w:val="center"/>
          </w:tcPr>
          <w:p w14:paraId="799A5B3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31A9ED80" w14:textId="77777777" w:rsidR="0043278C" w:rsidRPr="0043278C" w:rsidRDefault="0043278C" w:rsidP="00E31804">
            <w:pPr>
              <w:pStyle w:val="BlockText"/>
              <w:rPr>
                <w:rFonts w:ascii="Sakkal Majalla" w:hAnsi="Sakkal Majalla" w:cs="Sakkal Majalla"/>
                <w:sz w:val="28"/>
                <w:rtl/>
                <w:lang w:bidi="ar-EG"/>
              </w:rPr>
            </w:pPr>
          </w:p>
        </w:tc>
        <w:tc>
          <w:tcPr>
            <w:tcW w:w="5904" w:type="dxa"/>
            <w:gridSpan w:val="4"/>
            <w:vAlign w:val="center"/>
          </w:tcPr>
          <w:p w14:paraId="5F091B0B"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156B365F"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4D118957" w14:textId="58FAE358"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CD2E89" w:rsidRPr="00CD2E89">
        <w:rPr>
          <w:rFonts w:ascii="Sakkal Majalla" w:hAnsi="Sakkal Majalla" w:cs="Sakkal Majalla"/>
          <w:sz w:val="28"/>
          <w:szCs w:val="28"/>
          <w:rtl/>
          <w:lang w:bidi="ar-EG"/>
        </w:rPr>
        <w:t xml:space="preserve">التحول الرقمي علي البعد الاقتصادي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00CD2E89"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4CEBC9A" w14:textId="77777777" w:rsidR="0043278C" w:rsidRPr="00CD2E89" w:rsidRDefault="0043278C"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معادلة الأنحدار المتعدد :</w:t>
      </w:r>
    </w:p>
    <w:p w14:paraId="7A262C4B"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257E3CF9" w14:textId="1BE6C982" w:rsidR="0043278C" w:rsidRPr="0043278C" w:rsidRDefault="00CD2E89"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12.826</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0.258</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0.175</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0.388</w:t>
      </w:r>
      <w:r w:rsidR="0043278C" w:rsidRPr="0043278C">
        <w:rPr>
          <w:rFonts w:ascii="Sakkal Majalla" w:hAnsi="Sakkal Majalla" w:cs="Sakkal Majalla"/>
          <w:sz w:val="28"/>
          <w:rtl/>
          <w:lang w:bidi="ar-EG"/>
        </w:rPr>
        <w:t xml:space="preserve"> +(4</w:t>
      </w:r>
      <w:r w:rsidR="0043278C" w:rsidRPr="0043278C">
        <w:rPr>
          <w:rFonts w:ascii="Sakkal Majalla" w:hAnsi="Sakkal Majalla" w:cs="Sakkal Majalla"/>
          <w:sz w:val="28"/>
          <w:lang w:bidi="ar-EG"/>
        </w:rPr>
        <w:t>(x</w:t>
      </w:r>
      <w:r w:rsidR="0043278C" w:rsidRPr="0043278C">
        <w:rPr>
          <w:rFonts w:ascii="Sakkal Majalla" w:hAnsi="Sakkal Majalla" w:cs="Sakkal Majalla"/>
          <w:sz w:val="28"/>
          <w:rtl/>
          <w:lang w:bidi="ar-EG"/>
        </w:rPr>
        <w:t xml:space="preserve"> 0.304</w:t>
      </w:r>
    </w:p>
    <w:p w14:paraId="76F5DC85" w14:textId="493AB384"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00CD2E89" w:rsidRPr="00CD2E89">
        <w:rPr>
          <w:rFonts w:ascii="Sakkal Majalla" w:hAnsi="Sakkal Majalla" w:cs="Sakkal Majalla"/>
          <w:sz w:val="28"/>
          <w:rtl/>
          <w:lang w:bidi="ar-EG"/>
        </w:rPr>
        <w:t>التحول الرقمي علي البعد الاقتصادي</w:t>
      </w:r>
      <w:r w:rsidRPr="0043278C">
        <w:rPr>
          <w:rFonts w:ascii="Sakkal Majalla" w:hAnsi="Sakkal Majalla" w:cs="Sakkal Majalla"/>
          <w:sz w:val="28"/>
          <w:rtl/>
          <w:lang w:bidi="ar-EG"/>
        </w:rPr>
        <w:t>.</w:t>
      </w:r>
    </w:p>
    <w:p w14:paraId="5119BFC5" w14:textId="77777777" w:rsidR="0043278C" w:rsidRDefault="0043278C" w:rsidP="00E31804">
      <w:pPr>
        <w:pStyle w:val="BlockText"/>
        <w:ind w:left="146" w:hanging="120"/>
        <w:jc w:val="lowKashida"/>
        <w:rPr>
          <w:rFonts w:ascii="Sakkal Majalla" w:hAnsi="Sakkal Majalla" w:cs="Sakkal Majalla"/>
          <w:b/>
          <w:bCs/>
          <w:sz w:val="28"/>
          <w:rtl/>
        </w:rPr>
      </w:pPr>
    </w:p>
    <w:p w14:paraId="61F55CCE" w14:textId="77777777" w:rsidR="0007239E" w:rsidRDefault="0007239E" w:rsidP="00E31804">
      <w:pPr>
        <w:pStyle w:val="BlockText"/>
        <w:ind w:left="146" w:hanging="120"/>
        <w:jc w:val="lowKashida"/>
        <w:rPr>
          <w:rFonts w:ascii="Sakkal Majalla" w:hAnsi="Sakkal Majalla" w:cs="Sakkal Majalla"/>
          <w:b/>
          <w:bCs/>
          <w:sz w:val="28"/>
          <w:rtl/>
        </w:rPr>
      </w:pPr>
    </w:p>
    <w:p w14:paraId="2B8D7FA4" w14:textId="77777777" w:rsidR="0007239E" w:rsidRDefault="0007239E" w:rsidP="00E31804">
      <w:pPr>
        <w:pStyle w:val="BlockText"/>
        <w:ind w:left="146" w:hanging="120"/>
        <w:jc w:val="lowKashida"/>
        <w:rPr>
          <w:rFonts w:ascii="Sakkal Majalla" w:hAnsi="Sakkal Majalla" w:cs="Sakkal Majalla"/>
          <w:b/>
          <w:bCs/>
          <w:sz w:val="28"/>
          <w:rtl/>
        </w:rPr>
      </w:pPr>
    </w:p>
    <w:p w14:paraId="6BBFD895" w14:textId="77777777" w:rsidR="0007239E" w:rsidRDefault="0007239E" w:rsidP="00E31804">
      <w:pPr>
        <w:pStyle w:val="BlockText"/>
        <w:ind w:left="146" w:hanging="120"/>
        <w:jc w:val="lowKashida"/>
        <w:rPr>
          <w:rFonts w:ascii="Sakkal Majalla" w:hAnsi="Sakkal Majalla" w:cs="Sakkal Majalla"/>
          <w:b/>
          <w:bCs/>
          <w:sz w:val="28"/>
          <w:rtl/>
        </w:rPr>
      </w:pPr>
    </w:p>
    <w:p w14:paraId="4E6C2EBC" w14:textId="77777777" w:rsidR="00E31804" w:rsidRDefault="00E31804" w:rsidP="00E31804">
      <w:pPr>
        <w:pStyle w:val="BlockText"/>
        <w:ind w:left="146" w:hanging="120"/>
        <w:jc w:val="lowKashida"/>
        <w:rPr>
          <w:rFonts w:ascii="Sakkal Majalla" w:hAnsi="Sakkal Majalla" w:cs="Sakkal Majalla"/>
          <w:b/>
          <w:bCs/>
          <w:sz w:val="28"/>
          <w:rtl/>
        </w:rPr>
      </w:pPr>
    </w:p>
    <w:p w14:paraId="1518DD53" w14:textId="77777777" w:rsidR="0007239E" w:rsidRDefault="0007239E" w:rsidP="00E31804">
      <w:pPr>
        <w:pStyle w:val="BlockText"/>
        <w:ind w:left="146" w:hanging="120"/>
        <w:jc w:val="lowKashida"/>
        <w:rPr>
          <w:rFonts w:ascii="Sakkal Majalla" w:hAnsi="Sakkal Majalla" w:cs="Sakkal Majalla"/>
          <w:b/>
          <w:bCs/>
          <w:sz w:val="28"/>
          <w:rtl/>
        </w:rPr>
      </w:pPr>
    </w:p>
    <w:p w14:paraId="0635472F" w14:textId="2B40E637" w:rsidR="0007239E" w:rsidRPr="0043278C" w:rsidRDefault="0007239E" w:rsidP="00E31804">
      <w:pPr>
        <w:pStyle w:val="BlockText"/>
        <w:ind w:left="146" w:hanging="120"/>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أختبار الفرض </w:t>
      </w:r>
      <w:r>
        <w:rPr>
          <w:rFonts w:ascii="Sakkal Majalla" w:hAnsi="Sakkal Majalla" w:cs="Sakkal Majalla" w:hint="cs"/>
          <w:b/>
          <w:bCs/>
          <w:sz w:val="28"/>
          <w:rtl/>
          <w:lang w:bidi="ar-EG"/>
        </w:rPr>
        <w:t>السابع</w:t>
      </w:r>
      <w:r w:rsidRPr="0043278C">
        <w:rPr>
          <w:rFonts w:ascii="Sakkal Majalla" w:hAnsi="Sakkal Majalla" w:cs="Sakkal Majalla"/>
          <w:b/>
          <w:bCs/>
          <w:sz w:val="28"/>
          <w:lang w:bidi="ar-EG"/>
        </w:rPr>
        <w:t xml:space="preserve"> : </w:t>
      </w:r>
    </w:p>
    <w:p w14:paraId="44F88953" w14:textId="67A95D5E"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Pr>
          <w:rFonts w:ascii="Sakkal Majalla" w:hAnsi="Sakkal Majalla" w:cs="Sakkal Majalla" w:hint="cs"/>
          <w:b/>
          <w:bCs/>
          <w:sz w:val="28"/>
          <w:rtl/>
          <w:lang w:bidi="ar-EG"/>
        </w:rPr>
        <w:t>البعد التكنولوجي</w:t>
      </w:r>
      <w:r w:rsidRPr="0043278C">
        <w:rPr>
          <w:rFonts w:ascii="Sakkal Majalla" w:hAnsi="Sakkal Majalla" w:cs="Sakkal Majalla"/>
          <w:b/>
          <w:bCs/>
          <w:sz w:val="28"/>
          <w:rtl/>
          <w:lang w:bidi="ar-EG"/>
        </w:rPr>
        <w:t xml:space="preserve"> "</w:t>
      </w:r>
    </w:p>
    <w:p w14:paraId="0DB91849"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10E567E9"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07239E" w:rsidRPr="0043278C" w14:paraId="38DDC68D" w14:textId="77777777" w:rsidTr="00851341">
        <w:trPr>
          <w:jc w:val="center"/>
        </w:trPr>
        <w:tc>
          <w:tcPr>
            <w:tcW w:w="0" w:type="auto"/>
            <w:tcBorders>
              <w:top w:val="thickThinSmallGap" w:sz="24" w:space="0" w:color="auto"/>
              <w:bottom w:val="thickThinSmallGap" w:sz="24" w:space="0" w:color="auto"/>
            </w:tcBorders>
            <w:shd w:val="pct12" w:color="auto" w:fill="auto"/>
          </w:tcPr>
          <w:p w14:paraId="4BD022BF"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0AD1CFB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2E1A0FD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07239E" w:rsidRPr="0043278C" w14:paraId="124281A7" w14:textId="77777777" w:rsidTr="00851341">
        <w:trPr>
          <w:jc w:val="center"/>
        </w:trPr>
        <w:tc>
          <w:tcPr>
            <w:tcW w:w="0" w:type="auto"/>
            <w:tcBorders>
              <w:top w:val="thickThinSmallGap" w:sz="24" w:space="0" w:color="auto"/>
            </w:tcBorders>
          </w:tcPr>
          <w:p w14:paraId="2F16F234" w14:textId="458E42C5"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5</w:t>
            </w:r>
            <w:r w:rsidRPr="0043278C">
              <w:rPr>
                <w:rFonts w:ascii="Sakkal Majalla" w:hAnsi="Sakkal Majalla" w:cs="Sakkal Majalla"/>
                <w:sz w:val="28"/>
                <w:rtl/>
                <w:lang w:bidi="ar-EG"/>
              </w:rPr>
              <w:t>83</w:t>
            </w:r>
          </w:p>
        </w:tc>
        <w:tc>
          <w:tcPr>
            <w:tcW w:w="0" w:type="auto"/>
            <w:tcBorders>
              <w:top w:val="thickThinSmallGap" w:sz="24" w:space="0" w:color="auto"/>
            </w:tcBorders>
          </w:tcPr>
          <w:p w14:paraId="1E568CB5"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7960D118"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1C74A7EE"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425B1B25" w14:textId="64D2F821"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حيث بلغت قيمة معامل الأرتباط  0.</w:t>
      </w:r>
      <w:r w:rsidR="006F54F7">
        <w:rPr>
          <w:rFonts w:ascii="Sakkal Majalla" w:hAnsi="Sakkal Majalla" w:cs="Sakkal Majalla" w:hint="cs"/>
          <w:sz w:val="28"/>
          <w:rtl/>
          <w:lang w:bidi="ar-EG"/>
        </w:rPr>
        <w:t>5</w:t>
      </w:r>
      <w:r w:rsidRPr="0043278C">
        <w:rPr>
          <w:rFonts w:ascii="Sakkal Majalla" w:hAnsi="Sakkal Majalla" w:cs="Sakkal Majalla"/>
          <w:sz w:val="28"/>
          <w:rtl/>
          <w:lang w:bidi="ar-EG"/>
        </w:rPr>
        <w:t xml:space="preserve">83  وهى دالة إحصائياً ، وتدل على وجود علاقة أرتباطية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F410C7">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3C2D316F"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الإنحدار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07239E" w:rsidRPr="0043278C" w14:paraId="71A3EC0A"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2CCE44BE"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00300990"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4DEB994D"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6264FD7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75C5B9A"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D33049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79436F3D"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2B0F705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A54C8B1"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07239E" w:rsidRPr="0043278C" w14:paraId="31647136" w14:textId="77777777" w:rsidTr="00851341">
        <w:trPr>
          <w:trHeight w:val="365"/>
          <w:jc w:val="center"/>
        </w:trPr>
        <w:tc>
          <w:tcPr>
            <w:tcW w:w="3420" w:type="dxa"/>
            <w:tcBorders>
              <w:top w:val="thickThinSmallGap" w:sz="24" w:space="0" w:color="auto"/>
            </w:tcBorders>
            <w:shd w:val="pct12" w:color="auto" w:fill="auto"/>
            <w:vAlign w:val="center"/>
          </w:tcPr>
          <w:p w14:paraId="38A32F3F" w14:textId="77777777" w:rsidR="0007239E" w:rsidRPr="0043278C" w:rsidRDefault="0007239E"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67586837"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45A2E823"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15B05E9C"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2A2A3C9F"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07239E" w:rsidRPr="0043278C" w14:paraId="30AA4731" w14:textId="77777777" w:rsidTr="00851341">
        <w:trPr>
          <w:trHeight w:val="403"/>
          <w:jc w:val="center"/>
        </w:trPr>
        <w:tc>
          <w:tcPr>
            <w:tcW w:w="3420" w:type="dxa"/>
            <w:shd w:val="pct12" w:color="auto" w:fill="auto"/>
            <w:vAlign w:val="center"/>
          </w:tcPr>
          <w:p w14:paraId="7557E919"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48966509"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4CAED4F9"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6A2D31F7"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62E2C4F1"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07239E" w:rsidRPr="0043278C" w14:paraId="766A6FC7" w14:textId="77777777" w:rsidTr="00851341">
        <w:trPr>
          <w:trHeight w:val="394"/>
          <w:jc w:val="center"/>
        </w:trPr>
        <w:tc>
          <w:tcPr>
            <w:tcW w:w="3420" w:type="dxa"/>
            <w:shd w:val="pct12" w:color="auto" w:fill="auto"/>
            <w:vAlign w:val="center"/>
          </w:tcPr>
          <w:p w14:paraId="0F79DD06" w14:textId="77777777" w:rsidR="0007239E" w:rsidRPr="0043278C" w:rsidRDefault="0007239E"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5850" w:type="dxa"/>
            <w:gridSpan w:val="4"/>
            <w:vAlign w:val="center"/>
          </w:tcPr>
          <w:p w14:paraId="5120E7D3" w14:textId="68E6B748" w:rsidR="0007239E" w:rsidRPr="0043278C" w:rsidRDefault="0007239E" w:rsidP="00E31804">
            <w:pPr>
              <w:pStyle w:val="BlockText"/>
              <w:jc w:val="center"/>
              <w:rPr>
                <w:rFonts w:ascii="Sakkal Majalla" w:hAnsi="Sakkal Majalla" w:cs="Sakkal Majalla"/>
                <w:sz w:val="28"/>
                <w:rtl/>
                <w:lang w:bidi="ar-EG"/>
              </w:rPr>
            </w:pPr>
            <w:r w:rsidRPr="00F410C7">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tc>
      </w:tr>
      <w:tr w:rsidR="0007239E" w:rsidRPr="0043278C" w14:paraId="49BEBE21" w14:textId="77777777" w:rsidTr="00851341">
        <w:trPr>
          <w:trHeight w:val="386"/>
          <w:jc w:val="center"/>
        </w:trPr>
        <w:tc>
          <w:tcPr>
            <w:tcW w:w="3420" w:type="dxa"/>
            <w:shd w:val="pct12" w:color="auto" w:fill="auto"/>
            <w:vAlign w:val="center"/>
          </w:tcPr>
          <w:p w14:paraId="6C4F153C"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30EE8706"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07239E" w:rsidRPr="0043278C" w14:paraId="7FD65D4F" w14:textId="77777777" w:rsidTr="00851341">
        <w:trPr>
          <w:trHeight w:val="535"/>
          <w:jc w:val="center"/>
        </w:trPr>
        <w:tc>
          <w:tcPr>
            <w:tcW w:w="3420" w:type="dxa"/>
            <w:shd w:val="pct12" w:color="auto" w:fill="auto"/>
            <w:vAlign w:val="center"/>
          </w:tcPr>
          <w:p w14:paraId="3590E6BC"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2F07F9C" w14:textId="77777777" w:rsidR="0007239E" w:rsidRPr="0043278C" w:rsidRDefault="0007239E" w:rsidP="00E31804">
            <w:pPr>
              <w:pStyle w:val="BlockText"/>
              <w:jc w:val="both"/>
              <w:rPr>
                <w:rFonts w:ascii="Sakkal Majalla" w:hAnsi="Sakkal Majalla" w:cs="Sakkal Majalla"/>
                <w:sz w:val="28"/>
                <w:rtl/>
                <w:lang w:bidi="ar-EG"/>
              </w:rPr>
            </w:pPr>
          </w:p>
        </w:tc>
        <w:tc>
          <w:tcPr>
            <w:tcW w:w="5850" w:type="dxa"/>
            <w:gridSpan w:val="4"/>
            <w:vAlign w:val="center"/>
          </w:tcPr>
          <w:p w14:paraId="2F5C37D3"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DC6A0B9"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810D152" w14:textId="31E83B0A"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283AF0C9" w14:textId="77777777" w:rsidR="0007239E" w:rsidRPr="0043278C" w:rsidRDefault="0007239E"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7834191F" w14:textId="77777777"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01B4ACC2" w14:textId="38599CAA" w:rsidR="0007239E" w:rsidRPr="0043278C" w:rsidRDefault="0007239E"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p w14:paraId="0B543093"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Pr="00F410C7">
        <w:rPr>
          <w:rFonts w:ascii="Sakkal Majalla" w:hAnsi="Sakkal Majalla" w:cs="Sakkal Majalla"/>
          <w:sz w:val="28"/>
          <w:rtl/>
          <w:lang w:bidi="ar-EG"/>
        </w:rPr>
        <w:t>التحول الرقمي والبعد الاقتصادي</w:t>
      </w:r>
      <w:r w:rsidRPr="0043278C">
        <w:rPr>
          <w:rFonts w:ascii="Sakkal Majalla" w:hAnsi="Sakkal Majalla" w:cs="Sakkal Majalla"/>
          <w:sz w:val="28"/>
          <w:rtl/>
          <w:lang w:bidi="ar-EG"/>
        </w:rPr>
        <w:t>.</w:t>
      </w:r>
    </w:p>
    <w:p w14:paraId="37D81D5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78E999CF" w14:textId="72092C5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r w:rsidRPr="00CD2E89">
        <w:rPr>
          <w:rFonts w:ascii="Sakkal Majalla" w:hAnsi="Sakkal Majalla" w:cs="Sakkal Majalla"/>
          <w:b/>
          <w:bCs/>
          <w:sz w:val="28"/>
          <w:rtl/>
          <w:lang w:bidi="ar-EG"/>
        </w:rPr>
        <w:t xml:space="preserve">التحول الرقمي و البعد </w:t>
      </w:r>
      <w:r>
        <w:rPr>
          <w:rFonts w:ascii="Sakkal Majalla" w:hAnsi="Sakkal Majalla" w:cs="Sakkal Majalla" w:hint="cs"/>
          <w:sz w:val="28"/>
          <w:rtl/>
          <w:lang w:bidi="ar-EG"/>
        </w:rPr>
        <w:t>التكنولوجي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07239E" w:rsidRPr="0043278C" w14:paraId="2DA7891F"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34BE929C"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0E0B409E"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0BAADFC"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74B18C69" w14:textId="77777777" w:rsidR="0007239E" w:rsidRPr="0043278C" w:rsidRDefault="0007239E"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5A649F9D"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614C3375"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435EFF26"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2E6F2102"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8521926" w14:textId="77777777" w:rsidR="0007239E" w:rsidRPr="0043278C" w:rsidRDefault="0007239E"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009BB554" w14:textId="77777777" w:rsidR="0007239E" w:rsidRPr="0043278C" w:rsidRDefault="0007239E" w:rsidP="00E31804">
            <w:pPr>
              <w:pStyle w:val="BlockText"/>
              <w:ind w:left="0"/>
              <w:rPr>
                <w:rFonts w:ascii="Sakkal Majalla" w:hAnsi="Sakkal Majalla" w:cs="Sakkal Majalla"/>
                <w:b/>
                <w:bCs/>
                <w:sz w:val="28"/>
                <w:rtl/>
                <w:lang w:bidi="ar-EG"/>
              </w:rPr>
            </w:pPr>
          </w:p>
          <w:p w14:paraId="708807FE"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07239E" w:rsidRPr="0043278C" w14:paraId="4D25AE0A" w14:textId="77777777" w:rsidTr="00851341">
        <w:trPr>
          <w:trHeight w:val="297"/>
          <w:jc w:val="center"/>
        </w:trPr>
        <w:tc>
          <w:tcPr>
            <w:tcW w:w="0" w:type="auto"/>
            <w:tcBorders>
              <w:top w:val="thickThinSmallGap" w:sz="24" w:space="0" w:color="auto"/>
            </w:tcBorders>
            <w:shd w:val="pct12" w:color="auto" w:fill="auto"/>
            <w:vAlign w:val="center"/>
          </w:tcPr>
          <w:p w14:paraId="0F443438"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6940689"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37CB8678"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15F27520"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118403B3"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108EB0EA"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07239E" w:rsidRPr="0043278C" w14:paraId="33762831" w14:textId="77777777" w:rsidTr="00851341">
        <w:trPr>
          <w:trHeight w:val="388"/>
          <w:jc w:val="center"/>
        </w:trPr>
        <w:tc>
          <w:tcPr>
            <w:tcW w:w="0" w:type="auto"/>
            <w:shd w:val="pct12" w:color="auto" w:fill="auto"/>
            <w:vAlign w:val="center"/>
          </w:tcPr>
          <w:p w14:paraId="399295D7"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478B3BA3"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437BB09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B323232"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4FBCA1D9" w14:textId="77777777" w:rsidR="0007239E" w:rsidRPr="0043278C" w:rsidRDefault="0007239E" w:rsidP="00E31804">
            <w:pPr>
              <w:spacing w:line="240" w:lineRule="auto"/>
              <w:jc w:val="center"/>
              <w:rPr>
                <w:rFonts w:ascii="Sakkal Majalla" w:hAnsi="Sakkal Majalla" w:cs="Sakkal Majalla"/>
                <w:sz w:val="28"/>
                <w:szCs w:val="28"/>
                <w:lang w:bidi="ar-EG"/>
              </w:rPr>
            </w:pPr>
          </w:p>
        </w:tc>
        <w:tc>
          <w:tcPr>
            <w:tcW w:w="0" w:type="auto"/>
            <w:vMerge/>
          </w:tcPr>
          <w:p w14:paraId="1299DB13" w14:textId="77777777" w:rsidR="0007239E" w:rsidRPr="0043278C" w:rsidRDefault="0007239E" w:rsidP="00E31804">
            <w:pPr>
              <w:spacing w:line="240" w:lineRule="auto"/>
              <w:jc w:val="center"/>
              <w:rPr>
                <w:rFonts w:ascii="Sakkal Majalla" w:hAnsi="Sakkal Majalla" w:cs="Sakkal Majalla"/>
                <w:sz w:val="28"/>
                <w:szCs w:val="28"/>
                <w:lang w:bidi="ar-EG"/>
              </w:rPr>
            </w:pPr>
          </w:p>
        </w:tc>
      </w:tr>
      <w:tr w:rsidR="0007239E" w:rsidRPr="0043278C" w14:paraId="539E974E" w14:textId="77777777" w:rsidTr="00851341">
        <w:trPr>
          <w:trHeight w:val="365"/>
          <w:jc w:val="center"/>
        </w:trPr>
        <w:tc>
          <w:tcPr>
            <w:tcW w:w="0" w:type="auto"/>
            <w:shd w:val="pct12" w:color="auto" w:fill="auto"/>
            <w:vAlign w:val="center"/>
          </w:tcPr>
          <w:p w14:paraId="56F0B3CB"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6B2E645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6DCC1F2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AD48C10" w14:textId="77777777" w:rsidR="0007239E" w:rsidRPr="0043278C" w:rsidRDefault="0007239E" w:rsidP="00E31804">
            <w:pPr>
              <w:pStyle w:val="BlockText"/>
              <w:ind w:left="0"/>
              <w:jc w:val="center"/>
              <w:rPr>
                <w:rFonts w:ascii="Sakkal Majalla" w:hAnsi="Sakkal Majalla" w:cs="Sakkal Majalla"/>
                <w:sz w:val="28"/>
                <w:lang w:bidi="ar-EG"/>
              </w:rPr>
            </w:pPr>
          </w:p>
        </w:tc>
        <w:tc>
          <w:tcPr>
            <w:tcW w:w="0" w:type="auto"/>
            <w:vMerge/>
          </w:tcPr>
          <w:p w14:paraId="570E1AC0" w14:textId="77777777" w:rsidR="0007239E" w:rsidRPr="0043278C" w:rsidRDefault="0007239E" w:rsidP="00E31804">
            <w:pPr>
              <w:spacing w:line="240" w:lineRule="auto"/>
              <w:jc w:val="center"/>
              <w:rPr>
                <w:rFonts w:ascii="Sakkal Majalla" w:hAnsi="Sakkal Majalla" w:cs="Sakkal Majalla"/>
                <w:sz w:val="28"/>
                <w:szCs w:val="28"/>
                <w:lang w:bidi="ar-EG"/>
              </w:rPr>
            </w:pPr>
          </w:p>
        </w:tc>
        <w:tc>
          <w:tcPr>
            <w:tcW w:w="0" w:type="auto"/>
            <w:vMerge/>
          </w:tcPr>
          <w:p w14:paraId="532528E4" w14:textId="77777777" w:rsidR="0007239E" w:rsidRPr="0043278C" w:rsidRDefault="0007239E" w:rsidP="00E31804">
            <w:pPr>
              <w:spacing w:line="240" w:lineRule="auto"/>
              <w:jc w:val="center"/>
              <w:rPr>
                <w:rFonts w:ascii="Sakkal Majalla" w:hAnsi="Sakkal Majalla" w:cs="Sakkal Majalla"/>
                <w:sz w:val="28"/>
                <w:szCs w:val="28"/>
                <w:lang w:bidi="ar-EG"/>
              </w:rPr>
            </w:pPr>
          </w:p>
        </w:tc>
      </w:tr>
      <w:tr w:rsidR="0007239E" w:rsidRPr="0043278C" w14:paraId="00CEFA9D" w14:textId="77777777" w:rsidTr="00851341">
        <w:trPr>
          <w:trHeight w:val="399"/>
          <w:jc w:val="center"/>
        </w:trPr>
        <w:tc>
          <w:tcPr>
            <w:tcW w:w="0" w:type="auto"/>
            <w:gridSpan w:val="6"/>
            <w:shd w:val="clear" w:color="auto" w:fill="auto"/>
            <w:vAlign w:val="center"/>
          </w:tcPr>
          <w:p w14:paraId="061F7B6F" w14:textId="77777777" w:rsidR="0007239E" w:rsidRPr="0043278C" w:rsidRDefault="0007239E"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07239E" w:rsidRPr="0043278C" w14:paraId="4F7569B4" w14:textId="77777777" w:rsidTr="00851341">
        <w:trPr>
          <w:trHeight w:val="390"/>
          <w:jc w:val="center"/>
        </w:trPr>
        <w:tc>
          <w:tcPr>
            <w:tcW w:w="0" w:type="auto"/>
            <w:gridSpan w:val="6"/>
            <w:shd w:val="clear" w:color="auto" w:fill="auto"/>
            <w:vAlign w:val="center"/>
          </w:tcPr>
          <w:p w14:paraId="1F710FBC"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07239E" w:rsidRPr="0043278C" w14:paraId="48AC86FD" w14:textId="77777777" w:rsidTr="00851341">
        <w:trPr>
          <w:trHeight w:val="397"/>
          <w:jc w:val="center"/>
        </w:trPr>
        <w:tc>
          <w:tcPr>
            <w:tcW w:w="0" w:type="auto"/>
            <w:gridSpan w:val="6"/>
            <w:shd w:val="clear" w:color="auto" w:fill="auto"/>
            <w:vAlign w:val="center"/>
          </w:tcPr>
          <w:p w14:paraId="6664EB87"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07239E" w:rsidRPr="0043278C" w14:paraId="6E8ADD70" w14:textId="77777777" w:rsidTr="00851341">
        <w:trPr>
          <w:trHeight w:val="375"/>
          <w:jc w:val="center"/>
        </w:trPr>
        <w:tc>
          <w:tcPr>
            <w:tcW w:w="0" w:type="auto"/>
            <w:gridSpan w:val="6"/>
            <w:shd w:val="clear" w:color="auto" w:fill="auto"/>
            <w:vAlign w:val="center"/>
          </w:tcPr>
          <w:p w14:paraId="1DC375CC"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605DF2B8"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0F355F61" w14:textId="700351D8"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0D98BA3F" w14:textId="77777777" w:rsidR="0007239E" w:rsidRPr="0043278C" w:rsidRDefault="0007239E"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372DCA98" w14:textId="77777777" w:rsidR="0007239E" w:rsidRPr="0043278C" w:rsidRDefault="0007239E"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72C1FC89" w14:textId="0AD7F8FE" w:rsidR="0007239E" w:rsidRPr="0043278C" w:rsidRDefault="0007239E"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أى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فى المتغير التابع </w:t>
      </w:r>
      <w:r>
        <w:rPr>
          <w:rFonts w:ascii="Sakkal Majalla" w:hAnsi="Sakkal Majalla" w:cs="Sakkal Majalla" w:hint="cs"/>
          <w:sz w:val="28"/>
          <w:rtl/>
          <w:lang w:bidi="ar-EG"/>
        </w:rPr>
        <w:t>البعد التكنولوجي</w:t>
      </w:r>
      <w:r w:rsidRPr="0043278C">
        <w:rPr>
          <w:rFonts w:ascii="Sakkal Majalla" w:hAnsi="Sakkal Majalla" w:cs="Sakkal Majalla"/>
          <w:sz w:val="28"/>
          <w:rtl/>
          <w:lang w:bidi="ar-EG"/>
        </w:rPr>
        <w:t>.</w:t>
      </w:r>
    </w:p>
    <w:p w14:paraId="17021360" w14:textId="77777777" w:rsidR="0007239E" w:rsidRPr="0043278C" w:rsidRDefault="0007239E"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0.28 .  </w:t>
      </w:r>
    </w:p>
    <w:p w14:paraId="45AE0A3D" w14:textId="77777777" w:rsidR="0007239E" w:rsidRPr="0043278C" w:rsidRDefault="0007239E"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40CBA120" w14:textId="77777777" w:rsidR="0007239E" w:rsidRDefault="0007239E"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Pr>
          <w:rFonts w:ascii="Sakkal Majalla" w:hAnsi="Sakkal Majalla" w:cs="Sakkal Majalla" w:hint="cs"/>
          <w:sz w:val="28"/>
          <w:szCs w:val="28"/>
          <w:rtl/>
          <w:lang w:bidi="ar-EG"/>
        </w:rPr>
        <w:t>البعد الاقتصادي</w:t>
      </w:r>
      <w:r w:rsidRPr="0043278C">
        <w:rPr>
          <w:rFonts w:ascii="Sakkal Majalla" w:hAnsi="Sakkal Majalla" w:cs="Sakkal Majalla"/>
          <w:sz w:val="28"/>
          <w:szCs w:val="28"/>
          <w:rtl/>
          <w:lang w:bidi="ar-EG"/>
        </w:rPr>
        <w:t xml:space="preserve"> ،  وفيما يلي نموذج العلاقة الناتج : </w:t>
      </w:r>
    </w:p>
    <w:p w14:paraId="52DD3B39" w14:textId="77777777" w:rsidR="00E31804" w:rsidRDefault="00E31804" w:rsidP="00E31804">
      <w:pPr>
        <w:spacing w:line="240" w:lineRule="auto"/>
        <w:ind w:left="26"/>
        <w:jc w:val="right"/>
        <w:rPr>
          <w:rFonts w:ascii="Sakkal Majalla" w:hAnsi="Sakkal Majalla" w:cs="Sakkal Majalla"/>
          <w:sz w:val="28"/>
          <w:szCs w:val="28"/>
          <w:rtl/>
          <w:lang w:bidi="ar-EG"/>
        </w:rPr>
      </w:pPr>
    </w:p>
    <w:p w14:paraId="0821121D" w14:textId="77777777" w:rsidR="00E31804" w:rsidRDefault="00E31804" w:rsidP="00E31804">
      <w:pPr>
        <w:spacing w:line="240" w:lineRule="auto"/>
        <w:ind w:left="26"/>
        <w:jc w:val="right"/>
        <w:rPr>
          <w:rFonts w:ascii="Sakkal Majalla" w:hAnsi="Sakkal Majalla" w:cs="Sakkal Majalla"/>
          <w:sz w:val="28"/>
          <w:szCs w:val="28"/>
          <w:rtl/>
          <w:lang w:bidi="ar-EG"/>
        </w:rPr>
      </w:pPr>
    </w:p>
    <w:p w14:paraId="312B2F91" w14:textId="77777777" w:rsidR="00E31804" w:rsidRDefault="00E31804" w:rsidP="00E31804">
      <w:pPr>
        <w:spacing w:line="240" w:lineRule="auto"/>
        <w:ind w:left="26"/>
        <w:jc w:val="right"/>
        <w:rPr>
          <w:rFonts w:ascii="Sakkal Majalla" w:hAnsi="Sakkal Majalla" w:cs="Sakkal Majalla"/>
          <w:sz w:val="28"/>
          <w:szCs w:val="28"/>
          <w:rtl/>
          <w:lang w:bidi="ar-EG"/>
        </w:rPr>
      </w:pPr>
    </w:p>
    <w:p w14:paraId="241B5D75"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EF10FBB" w14:textId="77777777" w:rsidR="0007239E" w:rsidRPr="0043278C" w:rsidRDefault="0007239E"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60F5613B" w14:textId="01C3571C" w:rsidR="0007239E" w:rsidRPr="0043278C" w:rsidRDefault="0007239E"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لأختبار تأثير </w:t>
      </w:r>
      <w:r w:rsidRPr="00CD2E89">
        <w:rPr>
          <w:rFonts w:ascii="Sakkal Majalla" w:hAnsi="Sakkal Majalla" w:cs="Sakkal Majalla"/>
          <w:b/>
          <w:bCs/>
          <w:sz w:val="28"/>
          <w:rtl/>
          <w:lang w:bidi="ar-EG"/>
        </w:rPr>
        <w:t xml:space="preserve">التحول الرقمي </w:t>
      </w:r>
      <w:r>
        <w:rPr>
          <w:rFonts w:ascii="Sakkal Majalla" w:hAnsi="Sakkal Majalla" w:cs="Sakkal Majalla" w:hint="cs"/>
          <w:b/>
          <w:bCs/>
          <w:sz w:val="28"/>
          <w:rtl/>
          <w:lang w:bidi="ar-EG"/>
        </w:rPr>
        <w:t>علي</w:t>
      </w:r>
      <w:r w:rsidRPr="00CD2E89">
        <w:rPr>
          <w:rFonts w:ascii="Sakkal Majalla" w:hAnsi="Sakkal Majalla" w:cs="Sakkal Majalla"/>
          <w:b/>
          <w:bCs/>
          <w:sz w:val="28"/>
          <w:rtl/>
          <w:lang w:bidi="ar-EG"/>
        </w:rPr>
        <w:t xml:space="preserve"> البعد </w:t>
      </w:r>
      <w:r w:rsidRPr="0007239E">
        <w:rPr>
          <w:rFonts w:ascii="Sakkal Majalla" w:hAnsi="Sakkal Majalla" w:cs="Sakkal Majalla" w:hint="cs"/>
          <w:b/>
          <w:bCs/>
          <w:sz w:val="28"/>
          <w:rtl/>
          <w:lang w:bidi="ar-EG"/>
        </w:rPr>
        <w:t>التكنولوجي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07239E" w:rsidRPr="0043278C" w14:paraId="3C1A4A3C" w14:textId="77777777" w:rsidTr="00851341">
        <w:tc>
          <w:tcPr>
            <w:tcW w:w="3366" w:type="dxa"/>
            <w:tcBorders>
              <w:top w:val="thickThinSmallGap" w:sz="24" w:space="0" w:color="auto"/>
              <w:bottom w:val="thickThinSmallGap" w:sz="24" w:space="0" w:color="auto"/>
            </w:tcBorders>
            <w:shd w:val="pct12" w:color="auto" w:fill="auto"/>
            <w:vAlign w:val="center"/>
          </w:tcPr>
          <w:p w14:paraId="40A00EA4"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575E8D3B"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615D0099"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7ECEA90"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66EF6F40"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A8BDB65"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26C6FCF"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050A21EF"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0C4771B"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07239E" w:rsidRPr="0043278C" w14:paraId="58349DE2" w14:textId="77777777" w:rsidTr="00851341">
        <w:trPr>
          <w:trHeight w:val="417"/>
        </w:trPr>
        <w:tc>
          <w:tcPr>
            <w:tcW w:w="3366" w:type="dxa"/>
            <w:tcBorders>
              <w:top w:val="thickThinSmallGap" w:sz="24" w:space="0" w:color="auto"/>
            </w:tcBorders>
            <w:shd w:val="pct12" w:color="auto" w:fill="auto"/>
            <w:vAlign w:val="center"/>
          </w:tcPr>
          <w:p w14:paraId="579EAA59" w14:textId="77777777" w:rsidR="0007239E" w:rsidRPr="0043278C" w:rsidRDefault="000723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7CFA0E44"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20024329"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11D74A7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0B51B25F"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2607FA30" w14:textId="77777777" w:rsidTr="00851341">
        <w:trPr>
          <w:trHeight w:val="395"/>
        </w:trPr>
        <w:tc>
          <w:tcPr>
            <w:tcW w:w="3366" w:type="dxa"/>
            <w:shd w:val="pct12" w:color="auto" w:fill="auto"/>
            <w:vAlign w:val="center"/>
          </w:tcPr>
          <w:p w14:paraId="7599C9DB" w14:textId="77777777" w:rsidR="0007239E" w:rsidRPr="0043278C" w:rsidRDefault="0007239E"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27E1BFD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1A89302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1C09704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31265141"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4862E26A" w14:textId="77777777" w:rsidTr="00851341">
        <w:trPr>
          <w:trHeight w:val="396"/>
        </w:trPr>
        <w:tc>
          <w:tcPr>
            <w:tcW w:w="3366" w:type="dxa"/>
            <w:shd w:val="pct12" w:color="auto" w:fill="auto"/>
            <w:vAlign w:val="center"/>
          </w:tcPr>
          <w:p w14:paraId="1B15D988" w14:textId="77777777" w:rsidR="0007239E" w:rsidRPr="0043278C" w:rsidRDefault="000723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304704E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2F950617"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03175BD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322B7637"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7FF85DE5" w14:textId="77777777" w:rsidTr="00851341">
        <w:trPr>
          <w:trHeight w:val="384"/>
        </w:trPr>
        <w:tc>
          <w:tcPr>
            <w:tcW w:w="3366" w:type="dxa"/>
            <w:shd w:val="pct12" w:color="auto" w:fill="auto"/>
            <w:vAlign w:val="center"/>
          </w:tcPr>
          <w:p w14:paraId="1494E376"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2EE6EF60"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6C79F09E"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1D10C6D3"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27A85602"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6E967854" w14:textId="77777777" w:rsidTr="00851341">
        <w:trPr>
          <w:trHeight w:val="407"/>
        </w:trPr>
        <w:tc>
          <w:tcPr>
            <w:tcW w:w="3366" w:type="dxa"/>
            <w:shd w:val="pct12" w:color="auto" w:fill="auto"/>
            <w:vAlign w:val="center"/>
          </w:tcPr>
          <w:p w14:paraId="76370BDB" w14:textId="77777777" w:rsidR="0007239E" w:rsidRPr="0043278C" w:rsidRDefault="0007239E"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04" w:type="dxa"/>
            <w:gridSpan w:val="4"/>
            <w:vAlign w:val="center"/>
          </w:tcPr>
          <w:p w14:paraId="38CEBF87" w14:textId="73FE1C31" w:rsidR="0007239E" w:rsidRPr="0043278C" w:rsidRDefault="0007239E" w:rsidP="00E31804">
            <w:pPr>
              <w:pStyle w:val="BlockText"/>
              <w:ind w:left="0"/>
              <w:jc w:val="center"/>
              <w:rPr>
                <w:rFonts w:ascii="Sakkal Majalla" w:hAnsi="Sakkal Majalla" w:cs="Sakkal Majalla"/>
                <w:sz w:val="28"/>
                <w:rtl/>
                <w:lang w:bidi="ar-EG"/>
              </w:rPr>
            </w:pPr>
            <w:r>
              <w:rPr>
                <w:rFonts w:ascii="Sakkal Majalla" w:hAnsi="Sakkal Majalla" w:cs="Sakkal Majalla" w:hint="cs"/>
                <w:sz w:val="28"/>
                <w:rtl/>
                <w:lang w:bidi="ar-EG"/>
              </w:rPr>
              <w:t>البعد التكنولوجي</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07239E" w:rsidRPr="0043278C" w14:paraId="07D6043C" w14:textId="77777777" w:rsidTr="00851341">
        <w:trPr>
          <w:trHeight w:val="415"/>
        </w:trPr>
        <w:tc>
          <w:tcPr>
            <w:tcW w:w="3366" w:type="dxa"/>
            <w:shd w:val="pct12" w:color="auto" w:fill="auto"/>
            <w:vAlign w:val="center"/>
          </w:tcPr>
          <w:p w14:paraId="1D932A00"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31BF02A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07239E" w:rsidRPr="0043278C" w14:paraId="40A4CE7C" w14:textId="77777777" w:rsidTr="00851341">
        <w:trPr>
          <w:trHeight w:val="393"/>
        </w:trPr>
        <w:tc>
          <w:tcPr>
            <w:tcW w:w="3366" w:type="dxa"/>
            <w:shd w:val="pct12" w:color="auto" w:fill="auto"/>
            <w:vAlign w:val="center"/>
          </w:tcPr>
          <w:p w14:paraId="386D286C"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4EB47AAB" w14:textId="77777777" w:rsidR="0007239E" w:rsidRPr="0043278C" w:rsidRDefault="0007239E" w:rsidP="00E31804">
            <w:pPr>
              <w:pStyle w:val="BlockText"/>
              <w:rPr>
                <w:rFonts w:ascii="Sakkal Majalla" w:hAnsi="Sakkal Majalla" w:cs="Sakkal Majalla"/>
                <w:sz w:val="28"/>
                <w:rtl/>
                <w:lang w:bidi="ar-EG"/>
              </w:rPr>
            </w:pPr>
          </w:p>
        </w:tc>
        <w:tc>
          <w:tcPr>
            <w:tcW w:w="5904" w:type="dxa"/>
            <w:gridSpan w:val="4"/>
            <w:vAlign w:val="center"/>
          </w:tcPr>
          <w:p w14:paraId="7CD2DE3D" w14:textId="77777777" w:rsidR="0007239E" w:rsidRPr="0043278C" w:rsidRDefault="0007239E"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D923C7F" w14:textId="77777777" w:rsidR="0007239E" w:rsidRPr="0043278C" w:rsidRDefault="0007239E"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3E27989F" w14:textId="081E2733" w:rsidR="0007239E" w:rsidRPr="0043278C" w:rsidRDefault="0007239E"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البعد </w:t>
      </w:r>
      <w:r w:rsidRPr="0007239E">
        <w:rPr>
          <w:rFonts w:ascii="Sakkal Majalla" w:hAnsi="Sakkal Majalla" w:cs="Sakkal Majalla" w:hint="cs"/>
          <w:sz w:val="28"/>
          <w:szCs w:val="28"/>
          <w:rtl/>
          <w:lang w:bidi="ar-EG"/>
        </w:rPr>
        <w:t>التكنولوجي</w:t>
      </w:r>
      <w:r w:rsidRPr="0043278C">
        <w:rPr>
          <w:rFonts w:ascii="Sakkal Majalla" w:hAnsi="Sakkal Majalla" w:cs="Sakkal Majalla"/>
          <w:sz w:val="28"/>
          <w:szCs w:val="28"/>
          <w:rtl/>
          <w:lang w:bidi="ar-EG"/>
        </w:rPr>
        <w:t xml:space="preserve"> ،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016E65A" w14:textId="77777777" w:rsidR="0007239E" w:rsidRPr="00CD2E89" w:rsidRDefault="0007239E"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معادلة الأنحدار المتعدد :</w:t>
      </w:r>
    </w:p>
    <w:p w14:paraId="598FD553" w14:textId="77777777"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7DF7A7B1" w14:textId="77777777" w:rsidR="0007239E" w:rsidRPr="0043278C" w:rsidRDefault="0007239E"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p w14:paraId="20E929A3" w14:textId="7446AB23" w:rsidR="0007239E" w:rsidRPr="0043278C" w:rsidRDefault="0007239E"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البعد </w:t>
      </w:r>
      <w:r w:rsidR="006F54F7">
        <w:rPr>
          <w:rFonts w:ascii="Sakkal Majalla" w:hAnsi="Sakkal Majalla" w:cs="Sakkal Majalla" w:hint="cs"/>
          <w:sz w:val="28"/>
          <w:rtl/>
          <w:lang w:bidi="ar-EG"/>
        </w:rPr>
        <w:t>التكنولوجي</w:t>
      </w:r>
      <w:r w:rsidRPr="0043278C">
        <w:rPr>
          <w:rFonts w:ascii="Sakkal Majalla" w:hAnsi="Sakkal Majalla" w:cs="Sakkal Majalla"/>
          <w:sz w:val="28"/>
          <w:rtl/>
          <w:lang w:bidi="ar-EG"/>
        </w:rPr>
        <w:t>.</w:t>
      </w:r>
    </w:p>
    <w:p w14:paraId="2BEF2144" w14:textId="77777777" w:rsidR="0007239E" w:rsidRDefault="0007239E" w:rsidP="00E31804">
      <w:pPr>
        <w:pStyle w:val="BlockText"/>
        <w:ind w:left="146" w:hanging="120"/>
        <w:jc w:val="lowKashida"/>
        <w:rPr>
          <w:rFonts w:ascii="Sakkal Majalla" w:hAnsi="Sakkal Majalla" w:cs="Sakkal Majalla"/>
          <w:b/>
          <w:bCs/>
          <w:sz w:val="28"/>
          <w:rtl/>
        </w:rPr>
      </w:pPr>
    </w:p>
    <w:p w14:paraId="0FDBF962" w14:textId="77777777" w:rsidR="0007239E" w:rsidRDefault="0007239E" w:rsidP="00E31804">
      <w:pPr>
        <w:pStyle w:val="BlockText"/>
        <w:ind w:left="146" w:hanging="120"/>
        <w:jc w:val="lowKashida"/>
        <w:rPr>
          <w:rFonts w:ascii="Sakkal Majalla" w:hAnsi="Sakkal Majalla" w:cs="Sakkal Majalla"/>
          <w:b/>
          <w:bCs/>
          <w:sz w:val="28"/>
          <w:rtl/>
        </w:rPr>
      </w:pPr>
    </w:p>
    <w:p w14:paraId="317F646A" w14:textId="77777777" w:rsidR="00CD2E89" w:rsidRDefault="00CD2E89" w:rsidP="00E31804">
      <w:pPr>
        <w:pStyle w:val="BlockText"/>
        <w:ind w:left="146" w:hanging="120"/>
        <w:jc w:val="lowKashida"/>
        <w:rPr>
          <w:rFonts w:ascii="Sakkal Majalla" w:hAnsi="Sakkal Majalla" w:cs="Sakkal Majalla"/>
          <w:b/>
          <w:bCs/>
          <w:sz w:val="28"/>
          <w:rtl/>
        </w:rPr>
      </w:pPr>
    </w:p>
    <w:p w14:paraId="659B7A3F" w14:textId="77777777" w:rsidR="00E31804" w:rsidRDefault="00E31804" w:rsidP="00E31804">
      <w:pPr>
        <w:pStyle w:val="BlockText"/>
        <w:ind w:left="146" w:hanging="120"/>
        <w:jc w:val="lowKashida"/>
        <w:rPr>
          <w:rFonts w:ascii="Sakkal Majalla" w:hAnsi="Sakkal Majalla" w:cs="Sakkal Majalla"/>
          <w:b/>
          <w:bCs/>
          <w:sz w:val="28"/>
          <w:rtl/>
        </w:rPr>
      </w:pPr>
    </w:p>
    <w:p w14:paraId="3EC4B293" w14:textId="77777777" w:rsidR="00CD2E89" w:rsidRDefault="00CD2E89" w:rsidP="00E31804">
      <w:pPr>
        <w:pStyle w:val="BlockText"/>
        <w:ind w:left="146" w:hanging="120"/>
        <w:jc w:val="lowKashida"/>
        <w:rPr>
          <w:rFonts w:ascii="Sakkal Majalla" w:hAnsi="Sakkal Majalla" w:cs="Sakkal Majalla"/>
          <w:b/>
          <w:bCs/>
          <w:sz w:val="28"/>
          <w:rtl/>
        </w:rPr>
      </w:pPr>
    </w:p>
    <w:p w14:paraId="6EFF3DDA" w14:textId="77777777" w:rsidR="00CD2E89" w:rsidRDefault="00CD2E89" w:rsidP="00E31804">
      <w:pPr>
        <w:pStyle w:val="BlockText"/>
        <w:ind w:left="146" w:hanging="120"/>
        <w:jc w:val="lowKashida"/>
        <w:rPr>
          <w:rFonts w:ascii="Sakkal Majalla" w:hAnsi="Sakkal Majalla" w:cs="Sakkal Majalla"/>
          <w:b/>
          <w:bCs/>
          <w:sz w:val="28"/>
          <w:rtl/>
        </w:rPr>
      </w:pPr>
    </w:p>
    <w:p w14:paraId="779D90A7" w14:textId="31C850ED" w:rsidR="006F54F7" w:rsidRPr="0043278C" w:rsidRDefault="006F54F7" w:rsidP="00E31804">
      <w:pPr>
        <w:pStyle w:val="BlockText"/>
        <w:ind w:left="146" w:hanging="120"/>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أختبار الفرض </w:t>
      </w:r>
      <w:r>
        <w:rPr>
          <w:rFonts w:ascii="Sakkal Majalla" w:hAnsi="Sakkal Majalla" w:cs="Sakkal Majalla" w:hint="cs"/>
          <w:b/>
          <w:bCs/>
          <w:sz w:val="28"/>
          <w:rtl/>
          <w:lang w:bidi="ar-EG"/>
        </w:rPr>
        <w:t>الثامن</w:t>
      </w:r>
      <w:r w:rsidRPr="0043278C">
        <w:rPr>
          <w:rFonts w:ascii="Sakkal Majalla" w:hAnsi="Sakkal Majalla" w:cs="Sakkal Majalla"/>
          <w:b/>
          <w:bCs/>
          <w:sz w:val="28"/>
          <w:lang w:bidi="ar-EG"/>
        </w:rPr>
        <w:t xml:space="preserve"> : </w:t>
      </w:r>
    </w:p>
    <w:p w14:paraId="72C33BBE" w14:textId="79812BCC"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Pr>
          <w:rFonts w:ascii="Sakkal Majalla" w:hAnsi="Sakkal Majalla" w:cs="Sakkal Majalla" w:hint="cs"/>
          <w:b/>
          <w:bCs/>
          <w:sz w:val="28"/>
          <w:rtl/>
          <w:lang w:bidi="ar-EG"/>
        </w:rPr>
        <w:t>تقليل التهرب الضريبي وتعزيز الامتثال</w:t>
      </w:r>
      <w:r w:rsidRPr="0043278C">
        <w:rPr>
          <w:rFonts w:ascii="Sakkal Majalla" w:hAnsi="Sakkal Majalla" w:cs="Sakkal Majalla"/>
          <w:b/>
          <w:bCs/>
          <w:sz w:val="28"/>
          <w:rtl/>
          <w:lang w:bidi="ar-EG"/>
        </w:rPr>
        <w:t xml:space="preserve"> "</w:t>
      </w:r>
    </w:p>
    <w:p w14:paraId="46D7E993"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6428887D"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6F54F7" w:rsidRPr="0043278C" w14:paraId="31062D64" w14:textId="77777777" w:rsidTr="00851341">
        <w:trPr>
          <w:jc w:val="center"/>
        </w:trPr>
        <w:tc>
          <w:tcPr>
            <w:tcW w:w="0" w:type="auto"/>
            <w:tcBorders>
              <w:top w:val="thickThinSmallGap" w:sz="24" w:space="0" w:color="auto"/>
              <w:bottom w:val="thickThinSmallGap" w:sz="24" w:space="0" w:color="auto"/>
            </w:tcBorders>
            <w:shd w:val="pct12" w:color="auto" w:fill="auto"/>
          </w:tcPr>
          <w:p w14:paraId="0209065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2F442246"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3E3B0E5"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6F54F7" w:rsidRPr="0043278C" w14:paraId="181EB5A3" w14:textId="77777777" w:rsidTr="00851341">
        <w:trPr>
          <w:jc w:val="center"/>
        </w:trPr>
        <w:tc>
          <w:tcPr>
            <w:tcW w:w="0" w:type="auto"/>
            <w:tcBorders>
              <w:top w:val="thickThinSmallGap" w:sz="24" w:space="0" w:color="auto"/>
            </w:tcBorders>
          </w:tcPr>
          <w:p w14:paraId="550813E4" w14:textId="1B00F232"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672</w:t>
            </w:r>
          </w:p>
        </w:tc>
        <w:tc>
          <w:tcPr>
            <w:tcW w:w="0" w:type="auto"/>
            <w:tcBorders>
              <w:top w:val="thickThinSmallGap" w:sz="24" w:space="0" w:color="auto"/>
            </w:tcBorders>
          </w:tcPr>
          <w:p w14:paraId="31F0055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00AC46F"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6D2AE37D"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16611DF" w14:textId="0E4EDEE6"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w:t>
      </w:r>
      <w:r w:rsidRPr="006F54F7">
        <w:rPr>
          <w:rFonts w:ascii="Sakkal Majalla" w:hAnsi="Sakkal Majalla" w:cs="Sakkal Majalla" w:hint="cs"/>
          <w:sz w:val="28"/>
          <w:rtl/>
          <w:lang w:bidi="ar-EG"/>
        </w:rPr>
        <w:t>تقليل التهرب الضريبي وتعزيز الامتثال</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حيث بلغت قيمة معامل الأرتباط  0.</w:t>
      </w:r>
      <w:r>
        <w:rPr>
          <w:rFonts w:ascii="Sakkal Majalla" w:hAnsi="Sakkal Majalla" w:cs="Sakkal Majalla" w:hint="cs"/>
          <w:sz w:val="28"/>
          <w:rtl/>
          <w:lang w:bidi="ar-EG"/>
        </w:rPr>
        <w:t>672</w:t>
      </w:r>
      <w:r w:rsidRPr="0043278C">
        <w:rPr>
          <w:rFonts w:ascii="Sakkal Majalla" w:hAnsi="Sakkal Majalla" w:cs="Sakkal Majalla"/>
          <w:sz w:val="28"/>
          <w:rtl/>
          <w:lang w:bidi="ar-EG"/>
        </w:rPr>
        <w:t xml:space="preserve">  وهى دالة إحصائياً ، وتدل على وجود علاقة أرتباطية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63C85B5F"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الإنحدار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6F54F7" w:rsidRPr="0043278C" w14:paraId="0D2F9D69"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186630A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2365CBD7"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1349C808"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108B94F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5DF0BE4"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8D8183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4525255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D17032E"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6E1BD80"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4B81B0DC" w14:textId="77777777" w:rsidTr="00851341">
        <w:trPr>
          <w:trHeight w:val="365"/>
          <w:jc w:val="center"/>
        </w:trPr>
        <w:tc>
          <w:tcPr>
            <w:tcW w:w="3420" w:type="dxa"/>
            <w:tcBorders>
              <w:top w:val="thickThinSmallGap" w:sz="24" w:space="0" w:color="auto"/>
            </w:tcBorders>
            <w:shd w:val="pct12" w:color="auto" w:fill="auto"/>
            <w:vAlign w:val="center"/>
          </w:tcPr>
          <w:p w14:paraId="76B68AAD" w14:textId="77777777" w:rsidR="006F54F7" w:rsidRPr="0043278C" w:rsidRDefault="006F54F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53F2FE44"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2C115471"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2FE12F72"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6CE5EB53"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1443B945" w14:textId="77777777" w:rsidTr="00851341">
        <w:trPr>
          <w:trHeight w:val="403"/>
          <w:jc w:val="center"/>
        </w:trPr>
        <w:tc>
          <w:tcPr>
            <w:tcW w:w="3420" w:type="dxa"/>
            <w:shd w:val="pct12" w:color="auto" w:fill="auto"/>
            <w:vAlign w:val="center"/>
          </w:tcPr>
          <w:p w14:paraId="496ABC5E"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1EC930D3"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2762DDDA"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16E5CDD0"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0915615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4D55869E" w14:textId="77777777" w:rsidTr="00851341">
        <w:trPr>
          <w:trHeight w:val="394"/>
          <w:jc w:val="center"/>
        </w:trPr>
        <w:tc>
          <w:tcPr>
            <w:tcW w:w="3420" w:type="dxa"/>
            <w:shd w:val="pct12" w:color="auto" w:fill="auto"/>
            <w:vAlign w:val="center"/>
          </w:tcPr>
          <w:p w14:paraId="0527592C" w14:textId="77777777" w:rsidR="006F54F7" w:rsidRPr="0043278C" w:rsidRDefault="006F54F7"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5850" w:type="dxa"/>
            <w:gridSpan w:val="4"/>
            <w:vAlign w:val="center"/>
          </w:tcPr>
          <w:p w14:paraId="51949CF0" w14:textId="20DE42B7" w:rsidR="006F54F7" w:rsidRPr="0043278C" w:rsidRDefault="006F54F7" w:rsidP="00E31804">
            <w:pPr>
              <w:pStyle w:val="BlockText"/>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tc>
      </w:tr>
      <w:tr w:rsidR="006F54F7" w:rsidRPr="0043278C" w14:paraId="29733EB1" w14:textId="77777777" w:rsidTr="00851341">
        <w:trPr>
          <w:trHeight w:val="386"/>
          <w:jc w:val="center"/>
        </w:trPr>
        <w:tc>
          <w:tcPr>
            <w:tcW w:w="3420" w:type="dxa"/>
            <w:shd w:val="pct12" w:color="auto" w:fill="auto"/>
            <w:vAlign w:val="center"/>
          </w:tcPr>
          <w:p w14:paraId="651A36A9"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39AFD460"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6F54F7" w:rsidRPr="0043278C" w14:paraId="3DDF0E23" w14:textId="77777777" w:rsidTr="00851341">
        <w:trPr>
          <w:trHeight w:val="535"/>
          <w:jc w:val="center"/>
        </w:trPr>
        <w:tc>
          <w:tcPr>
            <w:tcW w:w="3420" w:type="dxa"/>
            <w:shd w:val="pct12" w:color="auto" w:fill="auto"/>
            <w:vAlign w:val="center"/>
          </w:tcPr>
          <w:p w14:paraId="4538E1A5"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32354C83" w14:textId="77777777" w:rsidR="006F54F7" w:rsidRPr="0043278C" w:rsidRDefault="006F54F7" w:rsidP="00E31804">
            <w:pPr>
              <w:pStyle w:val="BlockText"/>
              <w:jc w:val="both"/>
              <w:rPr>
                <w:rFonts w:ascii="Sakkal Majalla" w:hAnsi="Sakkal Majalla" w:cs="Sakkal Majalla"/>
                <w:sz w:val="28"/>
                <w:rtl/>
                <w:lang w:bidi="ar-EG"/>
              </w:rPr>
            </w:pPr>
          </w:p>
        </w:tc>
        <w:tc>
          <w:tcPr>
            <w:tcW w:w="5850" w:type="dxa"/>
            <w:gridSpan w:val="4"/>
            <w:vAlign w:val="center"/>
          </w:tcPr>
          <w:p w14:paraId="41C501B3"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312E33F3"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48BC5F2" w14:textId="4753C6D2"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1135B87F" w14:textId="77777777" w:rsidR="006F54F7" w:rsidRPr="0043278C" w:rsidRDefault="006F54F7"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54F3A2F9"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21C00533" w14:textId="7B1C8607" w:rsidR="006F54F7" w:rsidRPr="0043278C" w:rsidRDefault="006F54F7" w:rsidP="00E31804">
      <w:pPr>
        <w:pStyle w:val="BlockText"/>
        <w:jc w:val="lowKashida"/>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p w14:paraId="5E9427BA" w14:textId="6862FF4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Pr="00F410C7">
        <w:rPr>
          <w:rFonts w:ascii="Sakkal Majalla" w:hAnsi="Sakkal Majalla" w:cs="Sakkal Majalla"/>
          <w:sz w:val="28"/>
          <w:rtl/>
          <w:lang w:bidi="ar-EG"/>
        </w:rPr>
        <w:t xml:space="preserve">التحول الرقمي </w:t>
      </w:r>
      <w:r>
        <w:rPr>
          <w:rFonts w:ascii="Sakkal Majalla" w:hAnsi="Sakkal Majalla" w:cs="Sakkal Majalla" w:hint="cs"/>
          <w:sz w:val="28"/>
          <w:rtl/>
          <w:lang w:bidi="ar-EG"/>
        </w:rPr>
        <w:t>و</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74C4FF3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44807385" w14:textId="4E9A928B"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r w:rsidRPr="00CD2E89">
        <w:rPr>
          <w:rFonts w:ascii="Sakkal Majalla" w:hAnsi="Sakkal Majalla" w:cs="Sakkal Majalla"/>
          <w:b/>
          <w:bCs/>
          <w:sz w:val="28"/>
          <w:rtl/>
          <w:lang w:bidi="ar-EG"/>
        </w:rPr>
        <w:t xml:space="preserve">التحول الرقمي و </w:t>
      </w:r>
      <w:r w:rsidRPr="006F54F7">
        <w:rPr>
          <w:rFonts w:ascii="Sakkal Majalla" w:hAnsi="Sakkal Majalla" w:cs="Sakkal Majalla"/>
          <w:b/>
          <w:bCs/>
          <w:sz w:val="28"/>
          <w:rtl/>
          <w:lang w:bidi="ar-EG"/>
        </w:rPr>
        <w:t>تقليل التهرب الضريبي وتعزيز الامتثال</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6F54F7" w:rsidRPr="0043278C" w14:paraId="18030646"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0EDC7D2D"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3BBAE23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0B86358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6C016B8"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02345DCD"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2DFF237E"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30015E1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3F833D2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28CD9566"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71E9458A" w14:textId="77777777" w:rsidR="006F54F7" w:rsidRPr="0043278C" w:rsidRDefault="006F54F7" w:rsidP="00E31804">
            <w:pPr>
              <w:pStyle w:val="BlockText"/>
              <w:ind w:left="0"/>
              <w:rPr>
                <w:rFonts w:ascii="Sakkal Majalla" w:hAnsi="Sakkal Majalla" w:cs="Sakkal Majalla"/>
                <w:b/>
                <w:bCs/>
                <w:sz w:val="28"/>
                <w:rtl/>
                <w:lang w:bidi="ar-EG"/>
              </w:rPr>
            </w:pPr>
          </w:p>
          <w:p w14:paraId="1D1DB705"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6F54F7" w:rsidRPr="0043278C" w14:paraId="35CF05F4" w14:textId="77777777" w:rsidTr="00851341">
        <w:trPr>
          <w:trHeight w:val="297"/>
          <w:jc w:val="center"/>
        </w:trPr>
        <w:tc>
          <w:tcPr>
            <w:tcW w:w="0" w:type="auto"/>
            <w:tcBorders>
              <w:top w:val="thickThinSmallGap" w:sz="24" w:space="0" w:color="auto"/>
            </w:tcBorders>
            <w:shd w:val="pct12" w:color="auto" w:fill="auto"/>
            <w:vAlign w:val="center"/>
          </w:tcPr>
          <w:p w14:paraId="47145B89"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730861C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239BBBF4"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28863D02"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40DF4680"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50A06EFF"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6F54F7" w:rsidRPr="0043278C" w14:paraId="607DA0F3" w14:textId="77777777" w:rsidTr="00851341">
        <w:trPr>
          <w:trHeight w:val="388"/>
          <w:jc w:val="center"/>
        </w:trPr>
        <w:tc>
          <w:tcPr>
            <w:tcW w:w="0" w:type="auto"/>
            <w:shd w:val="pct12" w:color="auto" w:fill="auto"/>
            <w:vAlign w:val="center"/>
          </w:tcPr>
          <w:p w14:paraId="622428E5"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2041CF6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17BF7A9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7CDCAB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1CE6B79B"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5A1E8914"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7B228F97" w14:textId="77777777" w:rsidTr="00851341">
        <w:trPr>
          <w:trHeight w:val="365"/>
          <w:jc w:val="center"/>
        </w:trPr>
        <w:tc>
          <w:tcPr>
            <w:tcW w:w="0" w:type="auto"/>
            <w:shd w:val="pct12" w:color="auto" w:fill="auto"/>
            <w:vAlign w:val="center"/>
          </w:tcPr>
          <w:p w14:paraId="4E947E9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31C856E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6DBB51D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63F37C3" w14:textId="77777777" w:rsidR="006F54F7" w:rsidRPr="0043278C" w:rsidRDefault="006F54F7" w:rsidP="00E31804">
            <w:pPr>
              <w:pStyle w:val="BlockText"/>
              <w:ind w:left="0"/>
              <w:jc w:val="center"/>
              <w:rPr>
                <w:rFonts w:ascii="Sakkal Majalla" w:hAnsi="Sakkal Majalla" w:cs="Sakkal Majalla"/>
                <w:sz w:val="28"/>
                <w:lang w:bidi="ar-EG"/>
              </w:rPr>
            </w:pPr>
          </w:p>
        </w:tc>
        <w:tc>
          <w:tcPr>
            <w:tcW w:w="0" w:type="auto"/>
            <w:vMerge/>
          </w:tcPr>
          <w:p w14:paraId="024B1686"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15ABCEA0"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207139AB" w14:textId="77777777" w:rsidTr="00851341">
        <w:trPr>
          <w:trHeight w:val="399"/>
          <w:jc w:val="center"/>
        </w:trPr>
        <w:tc>
          <w:tcPr>
            <w:tcW w:w="0" w:type="auto"/>
            <w:gridSpan w:val="6"/>
            <w:shd w:val="clear" w:color="auto" w:fill="auto"/>
            <w:vAlign w:val="center"/>
          </w:tcPr>
          <w:p w14:paraId="77EB7EED" w14:textId="77777777" w:rsidR="006F54F7" w:rsidRPr="0043278C" w:rsidRDefault="006F54F7"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6F54F7" w:rsidRPr="0043278C" w14:paraId="4208C879" w14:textId="77777777" w:rsidTr="00851341">
        <w:trPr>
          <w:trHeight w:val="390"/>
          <w:jc w:val="center"/>
        </w:trPr>
        <w:tc>
          <w:tcPr>
            <w:tcW w:w="0" w:type="auto"/>
            <w:gridSpan w:val="6"/>
            <w:shd w:val="clear" w:color="auto" w:fill="auto"/>
            <w:vAlign w:val="center"/>
          </w:tcPr>
          <w:p w14:paraId="32BE1A6E"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6F54F7" w:rsidRPr="0043278C" w14:paraId="1DA87ED9" w14:textId="77777777" w:rsidTr="00851341">
        <w:trPr>
          <w:trHeight w:val="397"/>
          <w:jc w:val="center"/>
        </w:trPr>
        <w:tc>
          <w:tcPr>
            <w:tcW w:w="0" w:type="auto"/>
            <w:gridSpan w:val="6"/>
            <w:shd w:val="clear" w:color="auto" w:fill="auto"/>
            <w:vAlign w:val="center"/>
          </w:tcPr>
          <w:p w14:paraId="65FFB3FB"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6F54F7" w:rsidRPr="0043278C" w14:paraId="65AA7A61" w14:textId="77777777" w:rsidTr="00851341">
        <w:trPr>
          <w:trHeight w:val="375"/>
          <w:jc w:val="center"/>
        </w:trPr>
        <w:tc>
          <w:tcPr>
            <w:tcW w:w="0" w:type="auto"/>
            <w:gridSpan w:val="6"/>
            <w:shd w:val="clear" w:color="auto" w:fill="auto"/>
            <w:vAlign w:val="center"/>
          </w:tcPr>
          <w:p w14:paraId="64171C6D"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825D3F2"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E40DCA8" w14:textId="4C7E966F"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595DE887" w14:textId="77777777" w:rsidR="006F54F7" w:rsidRPr="0043278C" w:rsidRDefault="006F54F7"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02AE7889" w14:textId="77777777"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7A52CC0D" w14:textId="7C6EF6D3"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أى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فى المتغير التابع </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556AF5FA" w14:textId="77777777" w:rsidR="006F54F7" w:rsidRPr="0043278C" w:rsidRDefault="006F54F7"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0.28 .  </w:t>
      </w:r>
    </w:p>
    <w:p w14:paraId="036B4DEB" w14:textId="77777777" w:rsidR="006F54F7" w:rsidRPr="0043278C" w:rsidRDefault="006F54F7"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4698D888" w14:textId="4A91C345" w:rsidR="006F54F7" w:rsidRDefault="006F54F7"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117025" w:rsidRPr="00117025">
        <w:rPr>
          <w:rFonts w:ascii="Sakkal Majalla" w:hAnsi="Sakkal Majalla" w:cs="Sakkal Majalla"/>
          <w:sz w:val="28"/>
          <w:szCs w:val="28"/>
          <w:rtl/>
          <w:lang w:bidi="ar-EG"/>
        </w:rPr>
        <w:t>تقليل التهرب الضريبي وتعزيز الامتثال</w:t>
      </w:r>
      <w:r w:rsidRPr="0043278C">
        <w:rPr>
          <w:rFonts w:ascii="Sakkal Majalla" w:hAnsi="Sakkal Majalla" w:cs="Sakkal Majalla"/>
          <w:sz w:val="28"/>
          <w:szCs w:val="28"/>
          <w:rtl/>
          <w:lang w:bidi="ar-EG"/>
        </w:rPr>
        <w:t xml:space="preserve"> ،  وفيما يلي نموذج العلاقة الناتج : </w:t>
      </w:r>
    </w:p>
    <w:p w14:paraId="58DDCC2C" w14:textId="77777777" w:rsidR="00E31804" w:rsidRDefault="00E31804" w:rsidP="00E31804">
      <w:pPr>
        <w:spacing w:line="240" w:lineRule="auto"/>
        <w:ind w:left="26"/>
        <w:jc w:val="right"/>
        <w:rPr>
          <w:rFonts w:ascii="Sakkal Majalla" w:hAnsi="Sakkal Majalla" w:cs="Sakkal Majalla"/>
          <w:sz w:val="28"/>
          <w:szCs w:val="28"/>
          <w:rtl/>
          <w:lang w:bidi="ar-EG"/>
        </w:rPr>
      </w:pPr>
    </w:p>
    <w:p w14:paraId="0CA9F600" w14:textId="77777777" w:rsidR="00E31804" w:rsidRDefault="00E31804" w:rsidP="00E31804">
      <w:pPr>
        <w:spacing w:line="240" w:lineRule="auto"/>
        <w:ind w:left="26"/>
        <w:jc w:val="right"/>
        <w:rPr>
          <w:rFonts w:ascii="Sakkal Majalla" w:hAnsi="Sakkal Majalla" w:cs="Sakkal Majalla"/>
          <w:sz w:val="28"/>
          <w:szCs w:val="28"/>
          <w:rtl/>
          <w:lang w:bidi="ar-EG"/>
        </w:rPr>
      </w:pPr>
    </w:p>
    <w:p w14:paraId="4A5524DA" w14:textId="77777777" w:rsidR="00E31804" w:rsidRDefault="00E31804" w:rsidP="00E31804">
      <w:pPr>
        <w:spacing w:line="240" w:lineRule="auto"/>
        <w:ind w:left="26"/>
        <w:jc w:val="right"/>
        <w:rPr>
          <w:rFonts w:ascii="Sakkal Majalla" w:hAnsi="Sakkal Majalla" w:cs="Sakkal Majalla"/>
          <w:sz w:val="28"/>
          <w:szCs w:val="28"/>
          <w:rtl/>
          <w:lang w:bidi="ar-EG"/>
        </w:rPr>
      </w:pPr>
    </w:p>
    <w:p w14:paraId="4EA65841"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70B7C108" w14:textId="77777777"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547531C3" w14:textId="5BA165E4"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لأختبار تأثير </w:t>
      </w:r>
      <w:r w:rsidRPr="00CD2E89">
        <w:rPr>
          <w:rFonts w:ascii="Sakkal Majalla" w:hAnsi="Sakkal Majalla" w:cs="Sakkal Majalla"/>
          <w:b/>
          <w:bCs/>
          <w:sz w:val="28"/>
          <w:rtl/>
          <w:lang w:bidi="ar-EG"/>
        </w:rPr>
        <w:t xml:space="preserve">التحول الرقمي </w:t>
      </w:r>
      <w:r>
        <w:rPr>
          <w:rFonts w:ascii="Sakkal Majalla" w:hAnsi="Sakkal Majalla" w:cs="Sakkal Majalla" w:hint="cs"/>
          <w:b/>
          <w:bCs/>
          <w:sz w:val="28"/>
          <w:rtl/>
          <w:lang w:bidi="ar-EG"/>
        </w:rPr>
        <w:t>علي</w:t>
      </w:r>
      <w:r w:rsidRPr="00CD2E89">
        <w:rPr>
          <w:rFonts w:ascii="Sakkal Majalla" w:hAnsi="Sakkal Majalla" w:cs="Sakkal Majalla"/>
          <w:b/>
          <w:bCs/>
          <w:sz w:val="28"/>
          <w:rtl/>
          <w:lang w:bidi="ar-EG"/>
        </w:rPr>
        <w:t xml:space="preserve"> </w:t>
      </w:r>
      <w:r w:rsidRPr="006F54F7">
        <w:rPr>
          <w:rFonts w:ascii="Sakkal Majalla" w:hAnsi="Sakkal Majalla" w:cs="Sakkal Majalla"/>
          <w:b/>
          <w:bCs/>
          <w:sz w:val="28"/>
          <w:rtl/>
          <w:lang w:bidi="ar-EG"/>
        </w:rPr>
        <w:t>تقليل التهرب الضريبي وتعزيز الامتثال</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6F54F7" w:rsidRPr="0043278C" w14:paraId="286BB209" w14:textId="77777777" w:rsidTr="00851341">
        <w:tc>
          <w:tcPr>
            <w:tcW w:w="3366" w:type="dxa"/>
            <w:tcBorders>
              <w:top w:val="thickThinSmallGap" w:sz="24" w:space="0" w:color="auto"/>
              <w:bottom w:val="thickThinSmallGap" w:sz="24" w:space="0" w:color="auto"/>
            </w:tcBorders>
            <w:shd w:val="pct12" w:color="auto" w:fill="auto"/>
            <w:vAlign w:val="center"/>
          </w:tcPr>
          <w:p w14:paraId="2F02E85F"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1D9958E2"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1EF39DCF"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02F9E18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474D848E"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3E3223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BA56929"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3C00C0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99B5DD7"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55B8358B" w14:textId="77777777" w:rsidTr="00851341">
        <w:trPr>
          <w:trHeight w:val="417"/>
        </w:trPr>
        <w:tc>
          <w:tcPr>
            <w:tcW w:w="3366" w:type="dxa"/>
            <w:tcBorders>
              <w:top w:val="thickThinSmallGap" w:sz="24" w:space="0" w:color="auto"/>
            </w:tcBorders>
            <w:shd w:val="pct12" w:color="auto" w:fill="auto"/>
            <w:vAlign w:val="center"/>
          </w:tcPr>
          <w:p w14:paraId="4699CE33"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1588469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2808839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69AE14C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5660AC20"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368E0622" w14:textId="77777777" w:rsidTr="00851341">
        <w:trPr>
          <w:trHeight w:val="395"/>
        </w:trPr>
        <w:tc>
          <w:tcPr>
            <w:tcW w:w="3366" w:type="dxa"/>
            <w:shd w:val="pct12" w:color="auto" w:fill="auto"/>
            <w:vAlign w:val="center"/>
          </w:tcPr>
          <w:p w14:paraId="16EB013F" w14:textId="77777777" w:rsidR="006F54F7" w:rsidRPr="0043278C" w:rsidRDefault="006F54F7"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509B890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79E3D14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33DFF8B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32565F2D"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240BEDAD" w14:textId="77777777" w:rsidTr="00851341">
        <w:trPr>
          <w:trHeight w:val="396"/>
        </w:trPr>
        <w:tc>
          <w:tcPr>
            <w:tcW w:w="3366" w:type="dxa"/>
            <w:shd w:val="pct12" w:color="auto" w:fill="auto"/>
            <w:vAlign w:val="center"/>
          </w:tcPr>
          <w:p w14:paraId="018E1674"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43001A49"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75FD3A8F"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0EBC75AA"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6EFABC05"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14EE6C7A" w14:textId="77777777" w:rsidTr="00851341">
        <w:trPr>
          <w:trHeight w:val="384"/>
        </w:trPr>
        <w:tc>
          <w:tcPr>
            <w:tcW w:w="3366" w:type="dxa"/>
            <w:shd w:val="pct12" w:color="auto" w:fill="auto"/>
            <w:vAlign w:val="center"/>
          </w:tcPr>
          <w:p w14:paraId="78A9C203"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2384E7D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3CBE5182"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C49C97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65C36B0B"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038F4AB0" w14:textId="77777777" w:rsidTr="00851341">
        <w:trPr>
          <w:trHeight w:val="407"/>
        </w:trPr>
        <w:tc>
          <w:tcPr>
            <w:tcW w:w="3366" w:type="dxa"/>
            <w:shd w:val="pct12" w:color="auto" w:fill="auto"/>
            <w:vAlign w:val="center"/>
          </w:tcPr>
          <w:p w14:paraId="19C431E1" w14:textId="77777777" w:rsidR="006F54F7" w:rsidRPr="0043278C" w:rsidRDefault="006F54F7"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04" w:type="dxa"/>
            <w:gridSpan w:val="4"/>
            <w:vAlign w:val="center"/>
          </w:tcPr>
          <w:p w14:paraId="16BA4900" w14:textId="37E10E71" w:rsidR="006F54F7" w:rsidRPr="0043278C" w:rsidRDefault="006F54F7" w:rsidP="00E31804">
            <w:pPr>
              <w:pStyle w:val="BlockText"/>
              <w:ind w:left="0"/>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6F54F7" w:rsidRPr="0043278C" w14:paraId="3216C742" w14:textId="77777777" w:rsidTr="00851341">
        <w:trPr>
          <w:trHeight w:val="415"/>
        </w:trPr>
        <w:tc>
          <w:tcPr>
            <w:tcW w:w="3366" w:type="dxa"/>
            <w:shd w:val="pct12" w:color="auto" w:fill="auto"/>
            <w:vAlign w:val="center"/>
          </w:tcPr>
          <w:p w14:paraId="2B30F29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0FD67A19"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6F54F7" w:rsidRPr="0043278C" w14:paraId="5DFE99BA" w14:textId="77777777" w:rsidTr="00851341">
        <w:trPr>
          <w:trHeight w:val="393"/>
        </w:trPr>
        <w:tc>
          <w:tcPr>
            <w:tcW w:w="3366" w:type="dxa"/>
            <w:shd w:val="pct12" w:color="auto" w:fill="auto"/>
            <w:vAlign w:val="center"/>
          </w:tcPr>
          <w:p w14:paraId="2EE6EEF7"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6C6A5836" w14:textId="77777777" w:rsidR="006F54F7" w:rsidRPr="0043278C" w:rsidRDefault="006F54F7" w:rsidP="00E31804">
            <w:pPr>
              <w:pStyle w:val="BlockText"/>
              <w:rPr>
                <w:rFonts w:ascii="Sakkal Majalla" w:hAnsi="Sakkal Majalla" w:cs="Sakkal Majalla"/>
                <w:sz w:val="28"/>
                <w:rtl/>
                <w:lang w:bidi="ar-EG"/>
              </w:rPr>
            </w:pPr>
          </w:p>
        </w:tc>
        <w:tc>
          <w:tcPr>
            <w:tcW w:w="5904" w:type="dxa"/>
            <w:gridSpan w:val="4"/>
            <w:vAlign w:val="center"/>
          </w:tcPr>
          <w:p w14:paraId="46C711B1" w14:textId="77777777" w:rsidR="006F54F7" w:rsidRPr="0043278C" w:rsidRDefault="006F54F7"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B5C5A07" w14:textId="77777777" w:rsidR="006F54F7" w:rsidRPr="0043278C" w:rsidRDefault="006F54F7"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70F66FC5" w14:textId="1A9C4D37" w:rsidR="006F54F7" w:rsidRPr="0043278C" w:rsidRDefault="006F54F7"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w:t>
      </w:r>
      <w:r w:rsidRPr="006F54F7">
        <w:rPr>
          <w:rFonts w:ascii="Sakkal Majalla" w:hAnsi="Sakkal Majalla" w:cs="Sakkal Majalla"/>
          <w:sz w:val="28"/>
          <w:szCs w:val="28"/>
          <w:rtl/>
          <w:lang w:bidi="ar-EG"/>
        </w:rPr>
        <w:t xml:space="preserve">تقليل التهرب الضريبي وتعزيز الامتثال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92ABF5E" w14:textId="77777777" w:rsidR="006F54F7" w:rsidRPr="00CD2E89" w:rsidRDefault="006F54F7"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معادلة الأنحدار المتعدد :</w:t>
      </w:r>
    </w:p>
    <w:p w14:paraId="37FC5B15"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673EF79D" w14:textId="77777777" w:rsidR="006F54F7" w:rsidRPr="0043278C" w:rsidRDefault="006F54F7"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p w14:paraId="75AE2AB5" w14:textId="77675B32" w:rsidR="006F54F7" w:rsidRPr="0043278C" w:rsidRDefault="006F54F7"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35A95871" w14:textId="77777777" w:rsidR="006F54F7" w:rsidRDefault="006F54F7" w:rsidP="00E31804">
      <w:pPr>
        <w:pStyle w:val="BlockText"/>
        <w:ind w:left="146" w:hanging="120"/>
        <w:jc w:val="lowKashida"/>
        <w:rPr>
          <w:rFonts w:ascii="Sakkal Majalla" w:hAnsi="Sakkal Majalla" w:cs="Sakkal Majalla"/>
          <w:b/>
          <w:bCs/>
          <w:sz w:val="28"/>
          <w:rtl/>
        </w:rPr>
      </w:pPr>
    </w:p>
    <w:p w14:paraId="3CB2B61A" w14:textId="77777777" w:rsidR="006F54F7" w:rsidRDefault="006F54F7" w:rsidP="00E31804">
      <w:pPr>
        <w:pStyle w:val="BlockText"/>
        <w:ind w:left="146" w:hanging="120"/>
        <w:jc w:val="lowKashida"/>
        <w:rPr>
          <w:rFonts w:ascii="Sakkal Majalla" w:hAnsi="Sakkal Majalla" w:cs="Sakkal Majalla"/>
          <w:b/>
          <w:bCs/>
          <w:sz w:val="28"/>
          <w:rtl/>
        </w:rPr>
      </w:pPr>
    </w:p>
    <w:p w14:paraId="5A3D6D8B" w14:textId="77777777" w:rsidR="00CD2E89" w:rsidRDefault="00CD2E89" w:rsidP="00E31804">
      <w:pPr>
        <w:pStyle w:val="BlockText"/>
        <w:ind w:left="146" w:hanging="120"/>
        <w:jc w:val="lowKashida"/>
        <w:rPr>
          <w:rFonts w:ascii="Sakkal Majalla" w:hAnsi="Sakkal Majalla" w:cs="Sakkal Majalla"/>
          <w:b/>
          <w:bCs/>
          <w:sz w:val="28"/>
          <w:rtl/>
        </w:rPr>
      </w:pPr>
    </w:p>
    <w:p w14:paraId="055E5AA9" w14:textId="77777777" w:rsidR="00E31804" w:rsidRDefault="00E31804" w:rsidP="00E31804">
      <w:pPr>
        <w:pStyle w:val="BlockText"/>
        <w:ind w:left="146" w:hanging="120"/>
        <w:jc w:val="lowKashida"/>
        <w:rPr>
          <w:rFonts w:ascii="Sakkal Majalla" w:hAnsi="Sakkal Majalla" w:cs="Sakkal Majalla"/>
          <w:b/>
          <w:bCs/>
          <w:sz w:val="28"/>
          <w:rtl/>
        </w:rPr>
      </w:pPr>
    </w:p>
    <w:p w14:paraId="4D16C3A2" w14:textId="77777777" w:rsidR="006F54F7" w:rsidRDefault="006F54F7" w:rsidP="00E31804">
      <w:pPr>
        <w:pStyle w:val="BlockText"/>
        <w:ind w:left="146" w:hanging="120"/>
        <w:jc w:val="lowKashida"/>
        <w:rPr>
          <w:rFonts w:ascii="Sakkal Majalla" w:hAnsi="Sakkal Majalla" w:cs="Sakkal Majalla"/>
          <w:b/>
          <w:bCs/>
          <w:sz w:val="28"/>
          <w:rtl/>
        </w:rPr>
      </w:pPr>
    </w:p>
    <w:p w14:paraId="4DE65FB4" w14:textId="77777777" w:rsidR="006F54F7" w:rsidRPr="0043278C" w:rsidRDefault="006F54F7" w:rsidP="00E31804">
      <w:pPr>
        <w:pStyle w:val="BlockText"/>
        <w:ind w:left="146" w:hanging="120"/>
        <w:jc w:val="lowKashida"/>
        <w:rPr>
          <w:rFonts w:ascii="Sakkal Majalla" w:hAnsi="Sakkal Majalla" w:cs="Sakkal Majalla"/>
          <w:b/>
          <w:bCs/>
          <w:sz w:val="28"/>
          <w:rtl/>
        </w:rPr>
      </w:pPr>
    </w:p>
    <w:p w14:paraId="25ADE5FD" w14:textId="77777777" w:rsidR="006F54F7" w:rsidRPr="0043278C" w:rsidRDefault="006F54F7" w:rsidP="00E31804">
      <w:pPr>
        <w:pStyle w:val="BlockText"/>
        <w:ind w:left="146" w:hanging="120"/>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أختبار الفرض </w:t>
      </w:r>
      <w:r>
        <w:rPr>
          <w:rFonts w:ascii="Sakkal Majalla" w:hAnsi="Sakkal Majalla" w:cs="Sakkal Majalla" w:hint="cs"/>
          <w:b/>
          <w:bCs/>
          <w:sz w:val="28"/>
          <w:rtl/>
          <w:lang w:bidi="ar-EG"/>
        </w:rPr>
        <w:t>الثامن</w:t>
      </w:r>
      <w:r w:rsidRPr="0043278C">
        <w:rPr>
          <w:rFonts w:ascii="Sakkal Majalla" w:hAnsi="Sakkal Majalla" w:cs="Sakkal Majalla"/>
          <w:b/>
          <w:bCs/>
          <w:sz w:val="28"/>
          <w:lang w:bidi="ar-EG"/>
        </w:rPr>
        <w:t xml:space="preserve"> : </w:t>
      </w:r>
    </w:p>
    <w:p w14:paraId="1B5CD26F" w14:textId="184600E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Pr>
          <w:rFonts w:ascii="Sakkal Majalla" w:hAnsi="Sakkal Majalla" w:cs="Sakkal Majalla" w:hint="cs"/>
          <w:b/>
          <w:bCs/>
          <w:sz w:val="28"/>
          <w:rtl/>
          <w:lang w:bidi="ar-EG"/>
        </w:rPr>
        <w:t>البعد البيئي</w:t>
      </w:r>
      <w:r w:rsidRPr="0043278C">
        <w:rPr>
          <w:rFonts w:ascii="Sakkal Majalla" w:hAnsi="Sakkal Majalla" w:cs="Sakkal Majalla"/>
          <w:b/>
          <w:bCs/>
          <w:sz w:val="28"/>
          <w:rtl/>
          <w:lang w:bidi="ar-EG"/>
        </w:rPr>
        <w:t xml:space="preserve"> "</w:t>
      </w:r>
    </w:p>
    <w:p w14:paraId="5301B6A7"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ولأختبار وجود هذا الأرتباط تم أستخدام أختبار بيرسون ، كما موضح بالجدول التالي :</w:t>
      </w:r>
    </w:p>
    <w:p w14:paraId="03C905B4"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  نتائج أختبار بيرسون لأختبار الأرتباط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6F54F7" w:rsidRPr="0043278C" w14:paraId="53632841" w14:textId="77777777" w:rsidTr="00851341">
        <w:trPr>
          <w:jc w:val="center"/>
        </w:trPr>
        <w:tc>
          <w:tcPr>
            <w:tcW w:w="0" w:type="auto"/>
            <w:tcBorders>
              <w:top w:val="thickThinSmallGap" w:sz="24" w:space="0" w:color="auto"/>
              <w:bottom w:val="thickThinSmallGap" w:sz="24" w:space="0" w:color="auto"/>
            </w:tcBorders>
            <w:shd w:val="pct12" w:color="auto" w:fill="auto"/>
          </w:tcPr>
          <w:p w14:paraId="51EC867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79F0107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09B3D79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6F54F7" w:rsidRPr="0043278C" w14:paraId="4238B0C6" w14:textId="77777777" w:rsidTr="00851341">
        <w:trPr>
          <w:jc w:val="center"/>
        </w:trPr>
        <w:tc>
          <w:tcPr>
            <w:tcW w:w="0" w:type="auto"/>
            <w:tcBorders>
              <w:top w:val="thickThinSmallGap" w:sz="24" w:space="0" w:color="auto"/>
            </w:tcBorders>
          </w:tcPr>
          <w:p w14:paraId="1E0C2260" w14:textId="3FB29112"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355</w:t>
            </w:r>
          </w:p>
        </w:tc>
        <w:tc>
          <w:tcPr>
            <w:tcW w:w="0" w:type="auto"/>
            <w:tcBorders>
              <w:top w:val="thickThinSmallGap" w:sz="24" w:space="0" w:color="auto"/>
            </w:tcBorders>
          </w:tcPr>
          <w:p w14:paraId="528F91C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8D804B0"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يوجد أرتباط معنوى متوسط</w:t>
            </w:r>
          </w:p>
        </w:tc>
      </w:tr>
    </w:tbl>
    <w:p w14:paraId="13E277CB"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721A74BE" w14:textId="2188AEE5"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أرتباط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w:t>
      </w: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حيث بلغت قيمة معامل الأرتباط  0.</w:t>
      </w:r>
      <w:r>
        <w:rPr>
          <w:rFonts w:ascii="Sakkal Majalla" w:hAnsi="Sakkal Majalla" w:cs="Sakkal Majalla" w:hint="cs"/>
          <w:sz w:val="28"/>
          <w:rtl/>
          <w:lang w:bidi="ar-EG"/>
        </w:rPr>
        <w:t>355</w:t>
      </w:r>
      <w:r w:rsidRPr="0043278C">
        <w:rPr>
          <w:rFonts w:ascii="Sakkal Majalla" w:hAnsi="Sakkal Majalla" w:cs="Sakkal Majalla"/>
          <w:sz w:val="28"/>
          <w:rtl/>
          <w:lang w:bidi="ar-EG"/>
        </w:rPr>
        <w:t xml:space="preserve">  وهى دالة إحصائياً ، وتدل على وجود علاقة أرتباطية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إنخفضت الأولى تنخفض الثانية ، ولأختبار صحة هذا الفرض تم أستخدام تحليل الأنحدار البسيط و ذلك بأستخدام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بأستخدام الأنحدار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7BFDA098"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الإنحدار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6F54F7" w:rsidRPr="0043278C" w14:paraId="40BA60B3"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4C06E5E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3FAF6E91"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483196BA"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3170468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B4F2EB1"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7BF213A"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2A6AA19D"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7C6BAF5"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DFF284F"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1F7D436B" w14:textId="77777777" w:rsidTr="00851341">
        <w:trPr>
          <w:trHeight w:val="365"/>
          <w:jc w:val="center"/>
        </w:trPr>
        <w:tc>
          <w:tcPr>
            <w:tcW w:w="3420" w:type="dxa"/>
            <w:tcBorders>
              <w:top w:val="thickThinSmallGap" w:sz="24" w:space="0" w:color="auto"/>
            </w:tcBorders>
            <w:shd w:val="pct12" w:color="auto" w:fill="auto"/>
            <w:vAlign w:val="center"/>
          </w:tcPr>
          <w:p w14:paraId="491C9290" w14:textId="77777777" w:rsidR="006F54F7" w:rsidRPr="0043278C" w:rsidRDefault="006F54F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682F687D"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7DC87CD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0F6B3B5A"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1FD091FC"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4CAB5770" w14:textId="77777777" w:rsidTr="00851341">
        <w:trPr>
          <w:trHeight w:val="403"/>
          <w:jc w:val="center"/>
        </w:trPr>
        <w:tc>
          <w:tcPr>
            <w:tcW w:w="3420" w:type="dxa"/>
            <w:shd w:val="pct12" w:color="auto" w:fill="auto"/>
            <w:vAlign w:val="center"/>
          </w:tcPr>
          <w:p w14:paraId="239035AB"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6E6793C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169CE4A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1BFDA148"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6C21183A"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29CAD39A" w14:textId="77777777" w:rsidTr="00851341">
        <w:trPr>
          <w:trHeight w:val="394"/>
          <w:jc w:val="center"/>
        </w:trPr>
        <w:tc>
          <w:tcPr>
            <w:tcW w:w="3420" w:type="dxa"/>
            <w:shd w:val="pct12" w:color="auto" w:fill="auto"/>
            <w:vAlign w:val="center"/>
          </w:tcPr>
          <w:p w14:paraId="644652F4" w14:textId="77777777" w:rsidR="006F54F7" w:rsidRPr="0043278C" w:rsidRDefault="006F54F7"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معادلة الإنحدار البسيط</w:t>
            </w:r>
          </w:p>
        </w:tc>
        <w:tc>
          <w:tcPr>
            <w:tcW w:w="5850" w:type="dxa"/>
            <w:gridSpan w:val="4"/>
            <w:vAlign w:val="center"/>
          </w:tcPr>
          <w:p w14:paraId="78E950B9" w14:textId="5820D648" w:rsidR="006F54F7" w:rsidRPr="0043278C" w:rsidRDefault="00117025" w:rsidP="00E31804">
            <w:pPr>
              <w:pStyle w:val="BlockText"/>
              <w:jc w:val="center"/>
              <w:rPr>
                <w:rFonts w:ascii="Sakkal Majalla" w:hAnsi="Sakkal Majalla" w:cs="Sakkal Majalla"/>
                <w:sz w:val="28"/>
                <w:rtl/>
                <w:lang w:bidi="ar-EG"/>
              </w:rPr>
            </w:pP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006F54F7" w:rsidRPr="0043278C">
              <w:rPr>
                <w:rFonts w:ascii="Sakkal Majalla" w:hAnsi="Sakkal Majalla" w:cs="Sakkal Majalla"/>
                <w:sz w:val="28"/>
                <w:rtl/>
                <w:lang w:bidi="ar-EG"/>
              </w:rPr>
              <w:t>=   12.210 +</w:t>
            </w:r>
            <w:r w:rsidR="006F54F7" w:rsidRPr="0043278C">
              <w:rPr>
                <w:rFonts w:ascii="Sakkal Majalla" w:hAnsi="Sakkal Majalla" w:cs="Sakkal Majalla"/>
                <w:sz w:val="28"/>
                <w:lang w:bidi="ar-EG"/>
              </w:rPr>
              <w:t xml:space="preserve">(x1) </w:t>
            </w:r>
            <w:r w:rsidR="006F54F7" w:rsidRPr="0043278C">
              <w:rPr>
                <w:rFonts w:ascii="Sakkal Majalla" w:hAnsi="Sakkal Majalla" w:cs="Sakkal Majalla"/>
                <w:sz w:val="28"/>
                <w:rtl/>
                <w:lang w:bidi="ar-EG"/>
              </w:rPr>
              <w:t xml:space="preserve">  1.210</w:t>
            </w:r>
          </w:p>
        </w:tc>
      </w:tr>
      <w:tr w:rsidR="006F54F7" w:rsidRPr="0043278C" w14:paraId="30D9381E" w14:textId="77777777" w:rsidTr="00851341">
        <w:trPr>
          <w:trHeight w:val="386"/>
          <w:jc w:val="center"/>
        </w:trPr>
        <w:tc>
          <w:tcPr>
            <w:tcW w:w="3420" w:type="dxa"/>
            <w:shd w:val="pct12" w:color="auto" w:fill="auto"/>
            <w:vAlign w:val="center"/>
          </w:tcPr>
          <w:p w14:paraId="6524814D"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44815651"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6F54F7" w:rsidRPr="0043278C" w14:paraId="3CA2B7B7" w14:textId="77777777" w:rsidTr="00851341">
        <w:trPr>
          <w:trHeight w:val="535"/>
          <w:jc w:val="center"/>
        </w:trPr>
        <w:tc>
          <w:tcPr>
            <w:tcW w:w="3420" w:type="dxa"/>
            <w:shd w:val="pct12" w:color="auto" w:fill="auto"/>
            <w:vAlign w:val="center"/>
          </w:tcPr>
          <w:p w14:paraId="184AB6CF"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553E9DC" w14:textId="77777777" w:rsidR="006F54F7" w:rsidRPr="0043278C" w:rsidRDefault="006F54F7" w:rsidP="00E31804">
            <w:pPr>
              <w:pStyle w:val="BlockText"/>
              <w:jc w:val="both"/>
              <w:rPr>
                <w:rFonts w:ascii="Sakkal Majalla" w:hAnsi="Sakkal Majalla" w:cs="Sakkal Majalla"/>
                <w:sz w:val="28"/>
                <w:rtl/>
                <w:lang w:bidi="ar-EG"/>
              </w:rPr>
            </w:pPr>
          </w:p>
        </w:tc>
        <w:tc>
          <w:tcPr>
            <w:tcW w:w="5850" w:type="dxa"/>
            <w:gridSpan w:val="4"/>
            <w:vAlign w:val="center"/>
          </w:tcPr>
          <w:p w14:paraId="7F3F5B69"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496EC8F6"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A206B45" w14:textId="1090107E"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w:t>
      </w:r>
      <w:r w:rsidR="00117025" w:rsidRPr="006F54F7">
        <w:rPr>
          <w:rFonts w:ascii="Sakkal Majalla" w:hAnsi="Sakkal Majalla" w:cs="Sakkal Majalla" w:hint="cs"/>
          <w:sz w:val="28"/>
          <w:rtl/>
          <w:lang w:bidi="ar-EG"/>
        </w:rPr>
        <w:t>البعد البيئي</w:t>
      </w:r>
      <w:r w:rsidR="00117025"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8C0111C" w14:textId="77777777" w:rsidR="006F54F7" w:rsidRPr="0043278C" w:rsidRDefault="006F54F7"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معادلة الأنحدار البيسط :</w:t>
      </w:r>
    </w:p>
    <w:p w14:paraId="4B5D06E2"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ADDF048" w14:textId="70D9AE18" w:rsidR="006F54F7" w:rsidRPr="0043278C" w:rsidRDefault="00117025" w:rsidP="00E31804">
      <w:pPr>
        <w:pStyle w:val="BlockText"/>
        <w:jc w:val="lowKashida"/>
        <w:rPr>
          <w:rFonts w:ascii="Sakkal Majalla" w:hAnsi="Sakkal Majalla" w:cs="Sakkal Majalla"/>
          <w:sz w:val="28"/>
          <w:rtl/>
          <w:lang w:bidi="ar-EG"/>
        </w:rPr>
      </w:pP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006F54F7" w:rsidRPr="0043278C">
        <w:rPr>
          <w:rFonts w:ascii="Sakkal Majalla" w:hAnsi="Sakkal Majalla" w:cs="Sakkal Majalla"/>
          <w:sz w:val="28"/>
          <w:rtl/>
          <w:lang w:bidi="ar-EG"/>
        </w:rPr>
        <w:t>=   12.210 +</w:t>
      </w:r>
      <w:r w:rsidR="006F54F7" w:rsidRPr="0043278C">
        <w:rPr>
          <w:rFonts w:ascii="Sakkal Majalla" w:hAnsi="Sakkal Majalla" w:cs="Sakkal Majalla"/>
          <w:sz w:val="28"/>
          <w:lang w:bidi="ar-EG"/>
        </w:rPr>
        <w:t xml:space="preserve">(x1) </w:t>
      </w:r>
      <w:r w:rsidR="006F54F7" w:rsidRPr="0043278C">
        <w:rPr>
          <w:rFonts w:ascii="Sakkal Majalla" w:hAnsi="Sakkal Majalla" w:cs="Sakkal Majalla"/>
          <w:sz w:val="28"/>
          <w:rtl/>
          <w:lang w:bidi="ar-EG"/>
        </w:rPr>
        <w:t xml:space="preserve">  1.210</w:t>
      </w:r>
    </w:p>
    <w:p w14:paraId="3F57CE60" w14:textId="53054282"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Pr="00F410C7">
        <w:rPr>
          <w:rFonts w:ascii="Sakkal Majalla" w:hAnsi="Sakkal Majalla" w:cs="Sakkal Majalla"/>
          <w:sz w:val="28"/>
          <w:rtl/>
          <w:lang w:bidi="ar-EG"/>
        </w:rPr>
        <w:t xml:space="preserve">التحول الرقمي </w:t>
      </w:r>
      <w:r w:rsidR="00117025">
        <w:rPr>
          <w:rFonts w:ascii="Sakkal Majalla" w:hAnsi="Sakkal Majalla" w:cs="Sakkal Majalla" w:hint="cs"/>
          <w:sz w:val="28"/>
          <w:rtl/>
          <w:lang w:bidi="ar-EG"/>
        </w:rPr>
        <w:t>و</w:t>
      </w:r>
      <w:r w:rsidR="00117025" w:rsidRPr="00117025">
        <w:rPr>
          <w:rFonts w:ascii="Sakkal Majalla" w:hAnsi="Sakkal Majalla" w:cs="Sakkal Majalla"/>
          <w:sz w:val="28"/>
          <w:rtl/>
          <w:lang w:bidi="ar-EG"/>
        </w:rPr>
        <w:t>البعد البيئي</w:t>
      </w:r>
      <w:r w:rsidRPr="0043278C">
        <w:rPr>
          <w:rFonts w:ascii="Sakkal Majalla" w:hAnsi="Sakkal Majalla" w:cs="Sakkal Majalla"/>
          <w:sz w:val="28"/>
          <w:rtl/>
          <w:lang w:bidi="ar-EG"/>
        </w:rPr>
        <w:t>.</w:t>
      </w:r>
    </w:p>
    <w:p w14:paraId="26951903"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40ED3D4A" w14:textId="5E0D4DE3"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الإنحدار المتدرج لدراسة العلاقة و قوتها بين </w:t>
      </w:r>
      <w:r w:rsidRPr="00CD2E89">
        <w:rPr>
          <w:rFonts w:ascii="Sakkal Majalla" w:hAnsi="Sakkal Majalla" w:cs="Sakkal Majalla"/>
          <w:b/>
          <w:bCs/>
          <w:sz w:val="28"/>
          <w:rtl/>
          <w:lang w:bidi="ar-EG"/>
        </w:rPr>
        <w:t xml:space="preserve">التحول الرقمي و </w:t>
      </w:r>
      <w:r w:rsidR="00117025" w:rsidRPr="00117025">
        <w:rPr>
          <w:rFonts w:ascii="Sakkal Majalla" w:hAnsi="Sakkal Majalla" w:cs="Sakkal Majalla"/>
          <w:b/>
          <w:bCs/>
          <w:sz w:val="28"/>
          <w:rtl/>
          <w:lang w:bidi="ar-EG"/>
        </w:rPr>
        <w:t>البعد البيئي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6F54F7" w:rsidRPr="0043278C" w14:paraId="2DA2952A"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6855185F"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2394E235"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21B6E219"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000CA091"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7F78991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5095ECF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Dagree </w:t>
            </w:r>
          </w:p>
        </w:tc>
        <w:tc>
          <w:tcPr>
            <w:tcW w:w="0" w:type="auto"/>
            <w:tcBorders>
              <w:top w:val="thickThinSmallGap" w:sz="24" w:space="0" w:color="auto"/>
              <w:bottom w:val="thickThinSmallGap" w:sz="24" w:space="0" w:color="auto"/>
            </w:tcBorders>
            <w:shd w:val="pct12" w:color="auto" w:fill="auto"/>
            <w:vAlign w:val="center"/>
          </w:tcPr>
          <w:p w14:paraId="22B06652"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452202B"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3DA8FD4B"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170A00C3" w14:textId="77777777" w:rsidR="006F54F7" w:rsidRPr="0043278C" w:rsidRDefault="006F54F7" w:rsidP="00E31804">
            <w:pPr>
              <w:pStyle w:val="BlockText"/>
              <w:ind w:left="0"/>
              <w:rPr>
                <w:rFonts w:ascii="Sakkal Majalla" w:hAnsi="Sakkal Majalla" w:cs="Sakkal Majalla"/>
                <w:b/>
                <w:bCs/>
                <w:sz w:val="28"/>
                <w:rtl/>
                <w:lang w:bidi="ar-EG"/>
              </w:rPr>
            </w:pPr>
          </w:p>
          <w:p w14:paraId="75CBFC7F"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6F54F7" w:rsidRPr="0043278C" w14:paraId="0E65FFE1" w14:textId="77777777" w:rsidTr="00851341">
        <w:trPr>
          <w:trHeight w:val="297"/>
          <w:jc w:val="center"/>
        </w:trPr>
        <w:tc>
          <w:tcPr>
            <w:tcW w:w="0" w:type="auto"/>
            <w:tcBorders>
              <w:top w:val="thickThinSmallGap" w:sz="24" w:space="0" w:color="auto"/>
            </w:tcBorders>
            <w:shd w:val="pct12" w:color="auto" w:fill="auto"/>
            <w:vAlign w:val="center"/>
          </w:tcPr>
          <w:p w14:paraId="51413E0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الإنحدار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EF48CB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16C75F5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79A04C3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1597BC42"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791DFC53"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6F54F7" w:rsidRPr="0043278C" w14:paraId="0CF9E44F" w14:textId="77777777" w:rsidTr="00851341">
        <w:trPr>
          <w:trHeight w:val="388"/>
          <w:jc w:val="center"/>
        </w:trPr>
        <w:tc>
          <w:tcPr>
            <w:tcW w:w="0" w:type="auto"/>
            <w:shd w:val="pct12" w:color="auto" w:fill="auto"/>
            <w:vAlign w:val="center"/>
          </w:tcPr>
          <w:p w14:paraId="7A161ACC"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البواقى  </w:t>
            </w:r>
            <w:r w:rsidRPr="0043278C">
              <w:rPr>
                <w:rFonts w:ascii="Sakkal Majalla" w:hAnsi="Sakkal Majalla" w:cs="Sakkal Majalla"/>
                <w:b/>
                <w:bCs/>
                <w:sz w:val="28"/>
                <w:lang w:bidi="ar-EG"/>
              </w:rPr>
              <w:t>Residual</w:t>
            </w:r>
          </w:p>
        </w:tc>
        <w:tc>
          <w:tcPr>
            <w:tcW w:w="0" w:type="auto"/>
            <w:vAlign w:val="center"/>
          </w:tcPr>
          <w:p w14:paraId="3D0F0FE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05E2CED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6925DC7A"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6C88345F"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404E0A9C"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4059F13B" w14:textId="77777777" w:rsidTr="00851341">
        <w:trPr>
          <w:trHeight w:val="365"/>
          <w:jc w:val="center"/>
        </w:trPr>
        <w:tc>
          <w:tcPr>
            <w:tcW w:w="0" w:type="auto"/>
            <w:shd w:val="pct12" w:color="auto" w:fill="auto"/>
            <w:vAlign w:val="center"/>
          </w:tcPr>
          <w:p w14:paraId="69B851CF"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5F276B5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064E774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0B418907" w14:textId="77777777" w:rsidR="006F54F7" w:rsidRPr="0043278C" w:rsidRDefault="006F54F7" w:rsidP="00E31804">
            <w:pPr>
              <w:pStyle w:val="BlockText"/>
              <w:ind w:left="0"/>
              <w:jc w:val="center"/>
              <w:rPr>
                <w:rFonts w:ascii="Sakkal Majalla" w:hAnsi="Sakkal Majalla" w:cs="Sakkal Majalla"/>
                <w:sz w:val="28"/>
                <w:lang w:bidi="ar-EG"/>
              </w:rPr>
            </w:pPr>
          </w:p>
        </w:tc>
        <w:tc>
          <w:tcPr>
            <w:tcW w:w="0" w:type="auto"/>
            <w:vMerge/>
          </w:tcPr>
          <w:p w14:paraId="6C327C8D"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67E1111A"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657F43F9" w14:textId="77777777" w:rsidTr="00851341">
        <w:trPr>
          <w:trHeight w:val="399"/>
          <w:jc w:val="center"/>
        </w:trPr>
        <w:tc>
          <w:tcPr>
            <w:tcW w:w="0" w:type="auto"/>
            <w:gridSpan w:val="6"/>
            <w:shd w:val="clear" w:color="auto" w:fill="auto"/>
            <w:vAlign w:val="center"/>
          </w:tcPr>
          <w:p w14:paraId="558835A8" w14:textId="77777777" w:rsidR="006F54F7" w:rsidRPr="0043278C" w:rsidRDefault="006F54F7"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الإرتباط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6F54F7" w:rsidRPr="0043278C" w14:paraId="12E71BA7" w14:textId="77777777" w:rsidTr="00851341">
        <w:trPr>
          <w:trHeight w:val="390"/>
          <w:jc w:val="center"/>
        </w:trPr>
        <w:tc>
          <w:tcPr>
            <w:tcW w:w="0" w:type="auto"/>
            <w:gridSpan w:val="6"/>
            <w:shd w:val="clear" w:color="auto" w:fill="auto"/>
            <w:vAlign w:val="center"/>
          </w:tcPr>
          <w:p w14:paraId="5E5F8E68"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6F54F7" w:rsidRPr="0043278C" w14:paraId="2DDCF592" w14:textId="77777777" w:rsidTr="00851341">
        <w:trPr>
          <w:trHeight w:val="397"/>
          <w:jc w:val="center"/>
        </w:trPr>
        <w:tc>
          <w:tcPr>
            <w:tcW w:w="0" w:type="auto"/>
            <w:gridSpan w:val="6"/>
            <w:shd w:val="clear" w:color="auto" w:fill="auto"/>
            <w:vAlign w:val="center"/>
          </w:tcPr>
          <w:p w14:paraId="471C9069"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6F54F7" w:rsidRPr="0043278C" w14:paraId="0A4A34FF" w14:textId="77777777" w:rsidTr="00851341">
        <w:trPr>
          <w:trHeight w:val="375"/>
          <w:jc w:val="center"/>
        </w:trPr>
        <w:tc>
          <w:tcPr>
            <w:tcW w:w="0" w:type="auto"/>
            <w:gridSpan w:val="6"/>
            <w:shd w:val="clear" w:color="auto" w:fill="auto"/>
            <w:vAlign w:val="center"/>
          </w:tcPr>
          <w:p w14:paraId="10C5AB52"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المعيارى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BDFC3B2"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263722F" w14:textId="069C4F4E"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w:t>
      </w:r>
      <w:r w:rsidR="00117025" w:rsidRPr="00117025">
        <w:rPr>
          <w:rFonts w:ascii="Sakkal Majalla" w:hAnsi="Sakkal Majalla" w:cs="Sakkal Majalla"/>
          <w:sz w:val="28"/>
          <w:rtl/>
          <w:lang w:bidi="ar-EG"/>
        </w:rPr>
        <w:t xml:space="preserve">البعد البيئي </w:t>
      </w:r>
      <w:r w:rsidRPr="0043278C">
        <w:rPr>
          <w:rFonts w:ascii="Sakkal Majalla" w:hAnsi="Sakkal Majalla" w:cs="Sakkal Majalla"/>
          <w:sz w:val="28"/>
          <w:rtl/>
          <w:lang w:bidi="ar-EG"/>
        </w:rPr>
        <w:t>، تم أستخدام تحليل الإنحدار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فى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بأستخدام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بإستخدام الإرتباط المتعدد .</w:t>
      </w:r>
    </w:p>
    <w:p w14:paraId="2C204BD8" w14:textId="77777777" w:rsidR="006F54F7" w:rsidRPr="0043278C" w:rsidRDefault="006F54F7"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6E0A5DFB" w14:textId="77777777"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1EC44F16" w14:textId="1900A429"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أى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فى المتغير التابع </w:t>
      </w:r>
      <w:r w:rsidR="00117025" w:rsidRPr="006F54F7">
        <w:rPr>
          <w:rFonts w:ascii="Sakkal Majalla" w:hAnsi="Sakkal Majalla" w:cs="Sakkal Majalla" w:hint="cs"/>
          <w:sz w:val="28"/>
          <w:rtl/>
          <w:lang w:bidi="ar-EG"/>
        </w:rPr>
        <w:t>البعد البيئي</w:t>
      </w:r>
      <w:r w:rsidRPr="0043278C">
        <w:rPr>
          <w:rFonts w:ascii="Sakkal Majalla" w:hAnsi="Sakkal Majalla" w:cs="Sakkal Majalla"/>
          <w:sz w:val="28"/>
          <w:rtl/>
          <w:lang w:bidi="ar-EG"/>
        </w:rPr>
        <w:t>.</w:t>
      </w:r>
    </w:p>
    <w:p w14:paraId="6C1ABDDB" w14:textId="77777777" w:rsidR="006F54F7" w:rsidRPr="0043278C" w:rsidRDefault="006F54F7"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الإرتباط موجبة وقوية ، حيث يكون معامل الإرتباط بين المتغيرات 0.28 .  </w:t>
      </w:r>
    </w:p>
    <w:p w14:paraId="58F2639B" w14:textId="77777777" w:rsidR="006F54F7" w:rsidRPr="0043278C" w:rsidRDefault="006F54F7"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بإستخدام الإنحدار المتعدد:</w:t>
      </w:r>
    </w:p>
    <w:p w14:paraId="65E4249F" w14:textId="059AE20B" w:rsidR="006F54F7" w:rsidRDefault="006F54F7"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الأرتباط وجود أرتباط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الأرتباطات العالية ولفحص أثر كلا من المتغيرات المستقلة على المتغير التابع المتمثل في </w:t>
      </w:r>
      <w:r w:rsidR="00117025" w:rsidRPr="00117025">
        <w:rPr>
          <w:rFonts w:ascii="Sakkal Majalla" w:hAnsi="Sakkal Majalla" w:cs="Sakkal Majalla" w:hint="cs"/>
          <w:sz w:val="28"/>
          <w:szCs w:val="28"/>
          <w:rtl/>
          <w:lang w:bidi="ar-EG"/>
        </w:rPr>
        <w:t>البعد البيئي</w:t>
      </w:r>
      <w:r w:rsidR="00117025" w:rsidRPr="006F54F7">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وفيما يلي نموذج العلاقة الناتج : </w:t>
      </w:r>
    </w:p>
    <w:p w14:paraId="21C81BEE" w14:textId="77777777" w:rsidR="00E31804" w:rsidRDefault="00E31804" w:rsidP="00E31804">
      <w:pPr>
        <w:spacing w:line="240" w:lineRule="auto"/>
        <w:ind w:left="26"/>
        <w:jc w:val="right"/>
        <w:rPr>
          <w:rFonts w:ascii="Sakkal Majalla" w:hAnsi="Sakkal Majalla" w:cs="Sakkal Majalla"/>
          <w:sz w:val="28"/>
          <w:szCs w:val="28"/>
          <w:rtl/>
          <w:lang w:bidi="ar-EG"/>
        </w:rPr>
      </w:pPr>
    </w:p>
    <w:p w14:paraId="10A2849B" w14:textId="77777777" w:rsidR="00E31804" w:rsidRDefault="00E31804" w:rsidP="00E31804">
      <w:pPr>
        <w:spacing w:line="240" w:lineRule="auto"/>
        <w:ind w:left="26"/>
        <w:jc w:val="right"/>
        <w:rPr>
          <w:rFonts w:ascii="Sakkal Majalla" w:hAnsi="Sakkal Majalla" w:cs="Sakkal Majalla"/>
          <w:sz w:val="28"/>
          <w:szCs w:val="28"/>
          <w:rtl/>
          <w:lang w:bidi="ar-EG"/>
        </w:rPr>
      </w:pPr>
    </w:p>
    <w:p w14:paraId="52263CB1" w14:textId="77777777" w:rsidR="00E31804" w:rsidRDefault="00E31804" w:rsidP="00E31804">
      <w:pPr>
        <w:spacing w:line="240" w:lineRule="auto"/>
        <w:ind w:left="26"/>
        <w:jc w:val="right"/>
        <w:rPr>
          <w:rFonts w:ascii="Sakkal Majalla" w:hAnsi="Sakkal Majalla" w:cs="Sakkal Majalla"/>
          <w:sz w:val="28"/>
          <w:szCs w:val="28"/>
          <w:rtl/>
          <w:lang w:bidi="ar-EG"/>
        </w:rPr>
      </w:pPr>
    </w:p>
    <w:p w14:paraId="51865501"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7C5DD681" w14:textId="77777777"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36FAFE89" w14:textId="511944EB"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لأختبار تأثير </w:t>
      </w:r>
      <w:r w:rsidRPr="00CD2E89">
        <w:rPr>
          <w:rFonts w:ascii="Sakkal Majalla" w:hAnsi="Sakkal Majalla" w:cs="Sakkal Majalla"/>
          <w:b/>
          <w:bCs/>
          <w:sz w:val="28"/>
          <w:rtl/>
          <w:lang w:bidi="ar-EG"/>
        </w:rPr>
        <w:t xml:space="preserve">التحول الرقمي </w:t>
      </w:r>
      <w:r>
        <w:rPr>
          <w:rFonts w:ascii="Sakkal Majalla" w:hAnsi="Sakkal Majalla" w:cs="Sakkal Majalla" w:hint="cs"/>
          <w:b/>
          <w:bCs/>
          <w:sz w:val="28"/>
          <w:rtl/>
          <w:lang w:bidi="ar-EG"/>
        </w:rPr>
        <w:t>علي</w:t>
      </w:r>
      <w:r w:rsidRPr="00CD2E89">
        <w:rPr>
          <w:rFonts w:ascii="Sakkal Majalla" w:hAnsi="Sakkal Majalla" w:cs="Sakkal Majalla"/>
          <w:b/>
          <w:bCs/>
          <w:sz w:val="28"/>
          <w:rtl/>
          <w:lang w:bidi="ar-EG"/>
        </w:rPr>
        <w:t xml:space="preserve"> </w:t>
      </w:r>
      <w:r w:rsidR="00117025" w:rsidRPr="00117025">
        <w:rPr>
          <w:rFonts w:ascii="Sakkal Majalla" w:hAnsi="Sakkal Majalla" w:cs="Sakkal Majalla"/>
          <w:b/>
          <w:bCs/>
          <w:sz w:val="28"/>
          <w:rtl/>
          <w:lang w:bidi="ar-EG"/>
        </w:rPr>
        <w:t>البعد البيئي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6F54F7" w:rsidRPr="0043278C" w14:paraId="7F6F75FC" w14:textId="77777777" w:rsidTr="00851341">
        <w:tc>
          <w:tcPr>
            <w:tcW w:w="3366" w:type="dxa"/>
            <w:tcBorders>
              <w:top w:val="thickThinSmallGap" w:sz="24" w:space="0" w:color="auto"/>
              <w:bottom w:val="thickThinSmallGap" w:sz="24" w:space="0" w:color="auto"/>
            </w:tcBorders>
            <w:shd w:val="pct12" w:color="auto" w:fill="auto"/>
            <w:vAlign w:val="center"/>
          </w:tcPr>
          <w:p w14:paraId="5603A85B"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655E9C0C"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معامل الإنحدار</w:t>
            </w:r>
          </w:p>
          <w:p w14:paraId="79957543"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5C083AC"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58852E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9E10D50"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9C85BC1"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674BC9A"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7743058"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7203FD27" w14:textId="77777777" w:rsidTr="00851341">
        <w:trPr>
          <w:trHeight w:val="417"/>
        </w:trPr>
        <w:tc>
          <w:tcPr>
            <w:tcW w:w="3366" w:type="dxa"/>
            <w:tcBorders>
              <w:top w:val="thickThinSmallGap" w:sz="24" w:space="0" w:color="auto"/>
            </w:tcBorders>
            <w:shd w:val="pct12" w:color="auto" w:fill="auto"/>
            <w:vAlign w:val="center"/>
          </w:tcPr>
          <w:p w14:paraId="720E3277"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25B2EB0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5BF03A3F"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29F76BA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13E92382"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1EE75252" w14:textId="77777777" w:rsidTr="00851341">
        <w:trPr>
          <w:trHeight w:val="395"/>
        </w:trPr>
        <w:tc>
          <w:tcPr>
            <w:tcW w:w="3366" w:type="dxa"/>
            <w:shd w:val="pct12" w:color="auto" w:fill="auto"/>
            <w:vAlign w:val="center"/>
          </w:tcPr>
          <w:p w14:paraId="1E13B396" w14:textId="77777777" w:rsidR="006F54F7" w:rsidRPr="0043278C" w:rsidRDefault="006F54F7"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74DD430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6762477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405BFF3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2459AA4F"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7A54954D" w14:textId="77777777" w:rsidTr="00851341">
        <w:trPr>
          <w:trHeight w:val="396"/>
        </w:trPr>
        <w:tc>
          <w:tcPr>
            <w:tcW w:w="3366" w:type="dxa"/>
            <w:shd w:val="pct12" w:color="auto" w:fill="auto"/>
            <w:vAlign w:val="center"/>
          </w:tcPr>
          <w:p w14:paraId="2B4DE16B"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65CD803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17BD911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5E7496B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39C5F4FE"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77A736A4" w14:textId="77777777" w:rsidTr="00851341">
        <w:trPr>
          <w:trHeight w:val="384"/>
        </w:trPr>
        <w:tc>
          <w:tcPr>
            <w:tcW w:w="3366" w:type="dxa"/>
            <w:shd w:val="pct12" w:color="auto" w:fill="auto"/>
            <w:vAlign w:val="center"/>
          </w:tcPr>
          <w:p w14:paraId="19F0B3CB"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422E404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03657D6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7879694"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57A88946"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4C59B810" w14:textId="77777777" w:rsidTr="00851341">
        <w:trPr>
          <w:trHeight w:val="407"/>
        </w:trPr>
        <w:tc>
          <w:tcPr>
            <w:tcW w:w="3366" w:type="dxa"/>
            <w:shd w:val="pct12" w:color="auto" w:fill="auto"/>
            <w:vAlign w:val="center"/>
          </w:tcPr>
          <w:p w14:paraId="64E82737" w14:textId="77777777" w:rsidR="006F54F7" w:rsidRPr="0043278C" w:rsidRDefault="006F54F7"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الإنحدار المتعدد </w:t>
            </w:r>
          </w:p>
        </w:tc>
        <w:tc>
          <w:tcPr>
            <w:tcW w:w="5904" w:type="dxa"/>
            <w:gridSpan w:val="4"/>
            <w:vAlign w:val="center"/>
          </w:tcPr>
          <w:p w14:paraId="393549B7" w14:textId="77777777" w:rsidR="006F54F7" w:rsidRPr="0043278C" w:rsidRDefault="006F54F7" w:rsidP="00E31804">
            <w:pPr>
              <w:pStyle w:val="BlockText"/>
              <w:ind w:left="0"/>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6F54F7" w:rsidRPr="0043278C" w14:paraId="17BFC018" w14:textId="77777777" w:rsidTr="00851341">
        <w:trPr>
          <w:trHeight w:val="415"/>
        </w:trPr>
        <w:tc>
          <w:tcPr>
            <w:tcW w:w="3366" w:type="dxa"/>
            <w:shd w:val="pct12" w:color="auto" w:fill="auto"/>
            <w:vAlign w:val="center"/>
          </w:tcPr>
          <w:p w14:paraId="28F71BB3"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2AEE6C5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6F54F7" w:rsidRPr="0043278C" w14:paraId="434F8FE5" w14:textId="77777777" w:rsidTr="00851341">
        <w:trPr>
          <w:trHeight w:val="393"/>
        </w:trPr>
        <w:tc>
          <w:tcPr>
            <w:tcW w:w="3366" w:type="dxa"/>
            <w:shd w:val="pct12" w:color="auto" w:fill="auto"/>
            <w:vAlign w:val="center"/>
          </w:tcPr>
          <w:p w14:paraId="323914D0"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52E03CF6" w14:textId="77777777" w:rsidR="006F54F7" w:rsidRPr="0043278C" w:rsidRDefault="006F54F7" w:rsidP="00E31804">
            <w:pPr>
              <w:pStyle w:val="BlockText"/>
              <w:rPr>
                <w:rFonts w:ascii="Sakkal Majalla" w:hAnsi="Sakkal Majalla" w:cs="Sakkal Majalla"/>
                <w:sz w:val="28"/>
                <w:rtl/>
                <w:lang w:bidi="ar-EG"/>
              </w:rPr>
            </w:pPr>
          </w:p>
        </w:tc>
        <w:tc>
          <w:tcPr>
            <w:tcW w:w="5904" w:type="dxa"/>
            <w:gridSpan w:val="4"/>
            <w:vAlign w:val="center"/>
          </w:tcPr>
          <w:p w14:paraId="7F8F9B8E" w14:textId="77777777" w:rsidR="006F54F7" w:rsidRPr="0043278C" w:rsidRDefault="006F54F7"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E502107" w14:textId="77777777" w:rsidR="006F54F7" w:rsidRPr="0043278C" w:rsidRDefault="006F54F7"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430FE568" w14:textId="35E3579E" w:rsidR="006F54F7" w:rsidRPr="0043278C" w:rsidRDefault="006F54F7"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w:t>
      </w:r>
      <w:r w:rsidR="00117025" w:rsidRPr="00117025">
        <w:rPr>
          <w:rFonts w:ascii="Sakkal Majalla" w:hAnsi="Sakkal Majalla" w:cs="Sakkal Majalla"/>
          <w:sz w:val="28"/>
          <w:szCs w:val="28"/>
          <w:rtl/>
          <w:lang w:bidi="ar-EG"/>
        </w:rPr>
        <w:t xml:space="preserve">البعد البيئي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53E094C8" w14:textId="77777777" w:rsidR="006F54F7" w:rsidRPr="00CD2E89" w:rsidRDefault="006F54F7"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معادلة الأنحدار المتعدد :</w:t>
      </w:r>
    </w:p>
    <w:p w14:paraId="69B899DD"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69F3B1FD" w14:textId="4F4DD0C8" w:rsidR="006F54F7" w:rsidRPr="0043278C" w:rsidRDefault="00117025" w:rsidP="00E31804">
      <w:pPr>
        <w:pStyle w:val="BlockText"/>
        <w:jc w:val="lowKashida"/>
        <w:rPr>
          <w:rFonts w:ascii="Sakkal Majalla" w:hAnsi="Sakkal Majalla" w:cs="Sakkal Majalla"/>
          <w:sz w:val="28"/>
          <w:rtl/>
          <w:lang w:bidi="ar-EG"/>
        </w:rPr>
      </w:pPr>
      <w:r w:rsidRPr="00117025">
        <w:rPr>
          <w:rFonts w:ascii="Sakkal Majalla" w:hAnsi="Sakkal Majalla" w:cs="Sakkal Majalla"/>
          <w:sz w:val="28"/>
          <w:rtl/>
          <w:lang w:bidi="ar-EG"/>
        </w:rPr>
        <w:t xml:space="preserve">البعد البيئي </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12.826</w:t>
      </w:r>
      <w:r w:rsidR="006F54F7" w:rsidRPr="0043278C">
        <w:rPr>
          <w:rFonts w:ascii="Sakkal Majalla" w:hAnsi="Sakkal Majalla" w:cs="Sakkal Majalla"/>
          <w:sz w:val="28"/>
          <w:rtl/>
          <w:lang w:bidi="ar-EG"/>
        </w:rPr>
        <w:t xml:space="preserve"> + (</w:t>
      </w:r>
      <w:r w:rsidR="006F54F7" w:rsidRPr="0043278C">
        <w:rPr>
          <w:rFonts w:ascii="Sakkal Majalla" w:hAnsi="Sakkal Majalla" w:cs="Sakkal Majalla"/>
          <w:sz w:val="28"/>
          <w:lang w:bidi="ar-EG"/>
        </w:rPr>
        <w:t>x1</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0.258</w:t>
      </w:r>
      <w:r w:rsidR="006F54F7" w:rsidRPr="0043278C">
        <w:rPr>
          <w:rFonts w:ascii="Sakkal Majalla" w:hAnsi="Sakkal Majalla" w:cs="Sakkal Majalla"/>
          <w:sz w:val="28"/>
          <w:rtl/>
          <w:lang w:bidi="ar-EG"/>
        </w:rPr>
        <w:t>+ (</w:t>
      </w:r>
      <w:r w:rsidR="006F54F7" w:rsidRPr="0043278C">
        <w:rPr>
          <w:rFonts w:ascii="Sakkal Majalla" w:hAnsi="Sakkal Majalla" w:cs="Sakkal Majalla"/>
          <w:sz w:val="28"/>
          <w:lang w:bidi="ar-EG"/>
        </w:rPr>
        <w:t>x2</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0.175</w:t>
      </w:r>
      <w:r w:rsidR="006F54F7" w:rsidRPr="0043278C">
        <w:rPr>
          <w:rFonts w:ascii="Sakkal Majalla" w:hAnsi="Sakkal Majalla" w:cs="Sakkal Majalla"/>
          <w:sz w:val="28"/>
          <w:rtl/>
          <w:lang w:bidi="ar-EG"/>
        </w:rPr>
        <w:t xml:space="preserve"> + (</w:t>
      </w:r>
      <w:r w:rsidR="006F54F7" w:rsidRPr="0043278C">
        <w:rPr>
          <w:rFonts w:ascii="Sakkal Majalla" w:hAnsi="Sakkal Majalla" w:cs="Sakkal Majalla"/>
          <w:sz w:val="28"/>
          <w:lang w:bidi="ar-EG"/>
        </w:rPr>
        <w:t>x3</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0.388</w:t>
      </w:r>
      <w:r w:rsidR="006F54F7" w:rsidRPr="0043278C">
        <w:rPr>
          <w:rFonts w:ascii="Sakkal Majalla" w:hAnsi="Sakkal Majalla" w:cs="Sakkal Majalla"/>
          <w:sz w:val="28"/>
          <w:rtl/>
          <w:lang w:bidi="ar-EG"/>
        </w:rPr>
        <w:t xml:space="preserve"> +(4</w:t>
      </w:r>
      <w:r w:rsidR="006F54F7" w:rsidRPr="0043278C">
        <w:rPr>
          <w:rFonts w:ascii="Sakkal Majalla" w:hAnsi="Sakkal Majalla" w:cs="Sakkal Majalla"/>
          <w:sz w:val="28"/>
          <w:lang w:bidi="ar-EG"/>
        </w:rPr>
        <w:t>(x</w:t>
      </w:r>
      <w:r w:rsidR="006F54F7" w:rsidRPr="0043278C">
        <w:rPr>
          <w:rFonts w:ascii="Sakkal Majalla" w:hAnsi="Sakkal Majalla" w:cs="Sakkal Majalla"/>
          <w:sz w:val="28"/>
          <w:rtl/>
          <w:lang w:bidi="ar-EG"/>
        </w:rPr>
        <w:t xml:space="preserve"> 0.304</w:t>
      </w:r>
    </w:p>
    <w:p w14:paraId="450016AB" w14:textId="3F2B89A6" w:rsidR="006F54F7" w:rsidRPr="0043278C" w:rsidRDefault="006F54F7"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w:t>
      </w:r>
      <w:r w:rsidR="00117025" w:rsidRPr="00117025">
        <w:rPr>
          <w:rFonts w:ascii="Sakkal Majalla" w:hAnsi="Sakkal Majalla" w:cs="Sakkal Majalla" w:hint="cs"/>
          <w:sz w:val="28"/>
          <w:rtl/>
          <w:lang w:bidi="ar-EG"/>
        </w:rPr>
        <w:t>البعد البيئي</w:t>
      </w:r>
      <w:r w:rsidRPr="0043278C">
        <w:rPr>
          <w:rFonts w:ascii="Sakkal Majalla" w:hAnsi="Sakkal Majalla" w:cs="Sakkal Majalla"/>
          <w:sz w:val="28"/>
          <w:rtl/>
          <w:lang w:bidi="ar-EG"/>
        </w:rPr>
        <w:t>.</w:t>
      </w:r>
    </w:p>
    <w:p w14:paraId="2F727D35" w14:textId="77777777" w:rsidR="006F54F7" w:rsidRDefault="006F54F7" w:rsidP="00E31804">
      <w:pPr>
        <w:pStyle w:val="BlockText"/>
        <w:ind w:left="146" w:hanging="120"/>
        <w:jc w:val="lowKashida"/>
        <w:rPr>
          <w:rFonts w:ascii="Sakkal Majalla" w:hAnsi="Sakkal Majalla" w:cs="Sakkal Majalla"/>
          <w:b/>
          <w:bCs/>
          <w:sz w:val="28"/>
          <w:rtl/>
        </w:rPr>
      </w:pPr>
    </w:p>
    <w:p w14:paraId="563A20FC" w14:textId="77777777" w:rsidR="006F54F7" w:rsidRDefault="006F54F7" w:rsidP="00E31804">
      <w:pPr>
        <w:pStyle w:val="BlockText"/>
        <w:ind w:left="146" w:hanging="120"/>
        <w:jc w:val="lowKashida"/>
        <w:rPr>
          <w:rFonts w:ascii="Sakkal Majalla" w:hAnsi="Sakkal Majalla" w:cs="Sakkal Majalla"/>
          <w:b/>
          <w:bCs/>
          <w:sz w:val="28"/>
          <w:rtl/>
        </w:rPr>
      </w:pPr>
    </w:p>
    <w:p w14:paraId="6ADFF6D9" w14:textId="77777777" w:rsidR="00117025" w:rsidRDefault="00117025" w:rsidP="00E31804">
      <w:pPr>
        <w:pStyle w:val="BlockText"/>
        <w:ind w:left="146" w:hanging="120"/>
        <w:jc w:val="lowKashida"/>
        <w:rPr>
          <w:rFonts w:ascii="Sakkal Majalla" w:hAnsi="Sakkal Majalla" w:cs="Sakkal Majalla"/>
          <w:b/>
          <w:bCs/>
          <w:sz w:val="28"/>
          <w:rtl/>
        </w:rPr>
      </w:pPr>
    </w:p>
    <w:p w14:paraId="07952FFD" w14:textId="77777777" w:rsidR="00117025" w:rsidRDefault="00117025" w:rsidP="00E31804">
      <w:pPr>
        <w:pStyle w:val="BlockText"/>
        <w:ind w:left="146" w:hanging="120"/>
        <w:jc w:val="lowKashida"/>
        <w:rPr>
          <w:rFonts w:ascii="Sakkal Majalla" w:hAnsi="Sakkal Majalla" w:cs="Sakkal Majalla"/>
          <w:b/>
          <w:bCs/>
          <w:sz w:val="28"/>
          <w:rtl/>
        </w:rPr>
      </w:pPr>
    </w:p>
    <w:p w14:paraId="42D5F893" w14:textId="77777777" w:rsidR="006F54F7" w:rsidRDefault="006F54F7" w:rsidP="00E31804">
      <w:pPr>
        <w:pStyle w:val="BlockText"/>
        <w:ind w:left="146" w:hanging="120"/>
        <w:jc w:val="lowKashida"/>
        <w:rPr>
          <w:rFonts w:ascii="Sakkal Majalla" w:hAnsi="Sakkal Majalla" w:cs="Sakkal Majalla"/>
          <w:b/>
          <w:bCs/>
          <w:sz w:val="28"/>
          <w:rtl/>
        </w:rPr>
      </w:pPr>
    </w:p>
    <w:p w14:paraId="78A546F0" w14:textId="77777777" w:rsidR="00E31804" w:rsidRDefault="00E31804" w:rsidP="00E31804">
      <w:pPr>
        <w:pStyle w:val="BlockText"/>
        <w:ind w:left="146" w:hanging="120"/>
        <w:jc w:val="lowKashida"/>
        <w:rPr>
          <w:rFonts w:ascii="Sakkal Majalla" w:hAnsi="Sakkal Majalla" w:cs="Sakkal Majalla"/>
          <w:b/>
          <w:bCs/>
          <w:sz w:val="28"/>
          <w:rtl/>
        </w:rPr>
      </w:pPr>
    </w:p>
    <w:p w14:paraId="63DEC04E" w14:textId="55FF6BC3"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b/>
          <w:bCs/>
          <w:sz w:val="28"/>
          <w:rtl/>
        </w:rPr>
        <w:lastRenderedPageBreak/>
        <w:t xml:space="preserve">الخلاصة  : </w:t>
      </w:r>
    </w:p>
    <w:p w14:paraId="73846512" w14:textId="77777777"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sz w:val="28"/>
          <w:rtl/>
        </w:rPr>
        <w:t>أختبار الفروض :</w:t>
      </w:r>
    </w:p>
    <w:p w14:paraId="39266398" w14:textId="1917281D"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    قبول الفرض الرئيسى الأول :</w:t>
      </w:r>
      <w:r w:rsidRPr="0043278C">
        <w:rPr>
          <w:rFonts w:ascii="Sakkal Majalla" w:hAnsi="Sakkal Majalla" w:cs="Sakkal Majalla"/>
          <w:sz w:val="28"/>
          <w:rtl/>
        </w:rPr>
        <w:t xml:space="preserve">  </w:t>
      </w:r>
    </w:p>
    <w:p w14:paraId="10C78208" w14:textId="6938936F"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CD2E89">
        <w:rPr>
          <w:rFonts w:ascii="Sakkal Majalla" w:hAnsi="Sakkal Majalla" w:cs="Sakkal Majalla" w:hint="cs"/>
          <w:sz w:val="28"/>
          <w:rtl/>
        </w:rPr>
        <w:t>الأمن السيبراني وحماية البيانات</w:t>
      </w:r>
      <w:r w:rsidRPr="0043278C">
        <w:rPr>
          <w:rFonts w:ascii="Sakkal Majalla" w:hAnsi="Sakkal Majalla" w:cs="Sakkal Majalla"/>
          <w:sz w:val="28"/>
          <w:rtl/>
        </w:rPr>
        <w:t xml:space="preserve"> "</w:t>
      </w:r>
    </w:p>
    <w:p w14:paraId="50D42F24" w14:textId="77777777" w:rsidR="0043278C" w:rsidRPr="0043278C" w:rsidRDefault="0043278C" w:rsidP="00E31804">
      <w:pPr>
        <w:pStyle w:val="BlockText"/>
        <w:ind w:left="26"/>
        <w:jc w:val="center"/>
        <w:rPr>
          <w:rFonts w:ascii="Sakkal Majalla" w:hAnsi="Sakkal Majalla" w:cs="Sakkal Majalla"/>
          <w:sz w:val="28"/>
        </w:rPr>
      </w:pPr>
    </w:p>
    <w:p w14:paraId="772167CB" w14:textId="286A9703"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الرئيسى الثاني :</w:t>
      </w:r>
      <w:r w:rsidRPr="0043278C">
        <w:rPr>
          <w:rFonts w:ascii="Sakkal Majalla" w:hAnsi="Sakkal Majalla" w:cs="Sakkal Majalla"/>
          <w:sz w:val="28"/>
          <w:rtl/>
        </w:rPr>
        <w:t xml:space="preserve">  </w:t>
      </w:r>
    </w:p>
    <w:p w14:paraId="5797D047" w14:textId="3B3ED67A"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تحسين كفاءة الرقابة الجمركية</w:t>
      </w:r>
      <w:r w:rsidRPr="0043278C">
        <w:rPr>
          <w:rFonts w:ascii="Sakkal Majalla" w:hAnsi="Sakkal Majalla" w:cs="Sakkal Majalla"/>
          <w:sz w:val="28"/>
          <w:rtl/>
        </w:rPr>
        <w:t xml:space="preserve"> "</w:t>
      </w:r>
    </w:p>
    <w:p w14:paraId="761E259B" w14:textId="77777777" w:rsidR="0043278C" w:rsidRPr="0043278C" w:rsidRDefault="0043278C" w:rsidP="00E31804">
      <w:pPr>
        <w:pStyle w:val="BlockText"/>
        <w:ind w:left="26"/>
        <w:jc w:val="center"/>
        <w:rPr>
          <w:rFonts w:ascii="Sakkal Majalla" w:hAnsi="Sakkal Majalla" w:cs="Sakkal Majalla"/>
          <w:sz w:val="28"/>
        </w:rPr>
      </w:pPr>
    </w:p>
    <w:p w14:paraId="7D95A823" w14:textId="790685DA"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الثالث :</w:t>
      </w:r>
      <w:r w:rsidRPr="0043278C">
        <w:rPr>
          <w:rFonts w:ascii="Sakkal Majalla" w:hAnsi="Sakkal Majalla" w:cs="Sakkal Majalla"/>
          <w:sz w:val="28"/>
          <w:rtl/>
        </w:rPr>
        <w:t xml:space="preserve">  </w:t>
      </w:r>
    </w:p>
    <w:p w14:paraId="7160383B" w14:textId="6F8329C4"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تعزيز التكامل والشراكات الاستراتيجية</w:t>
      </w:r>
      <w:r w:rsidRPr="0043278C">
        <w:rPr>
          <w:rFonts w:ascii="Sakkal Majalla" w:hAnsi="Sakkal Majalla" w:cs="Sakkal Majalla"/>
          <w:sz w:val="28"/>
          <w:rtl/>
        </w:rPr>
        <w:t xml:space="preserve"> "</w:t>
      </w:r>
    </w:p>
    <w:p w14:paraId="135A1078" w14:textId="77777777" w:rsidR="0043278C" w:rsidRPr="0043278C" w:rsidRDefault="0043278C" w:rsidP="00E31804">
      <w:pPr>
        <w:pStyle w:val="BlockText"/>
        <w:ind w:left="26"/>
        <w:jc w:val="center"/>
        <w:rPr>
          <w:rFonts w:ascii="Sakkal Majalla" w:hAnsi="Sakkal Majalla" w:cs="Sakkal Majalla"/>
          <w:sz w:val="28"/>
        </w:rPr>
      </w:pPr>
    </w:p>
    <w:p w14:paraId="013687C4" w14:textId="39BDA40A"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الرابع  :</w:t>
      </w:r>
      <w:r w:rsidRPr="0043278C">
        <w:rPr>
          <w:rFonts w:ascii="Sakkal Majalla" w:hAnsi="Sakkal Majalla" w:cs="Sakkal Majalla"/>
          <w:sz w:val="28"/>
          <w:rtl/>
        </w:rPr>
        <w:t xml:space="preserve"> </w:t>
      </w:r>
    </w:p>
    <w:p w14:paraId="24031836" w14:textId="3EF180CF"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البعد القانوني والسياسي</w:t>
      </w:r>
      <w:r w:rsidRPr="0043278C">
        <w:rPr>
          <w:rFonts w:ascii="Sakkal Majalla" w:hAnsi="Sakkal Majalla" w:cs="Sakkal Majalla"/>
          <w:sz w:val="28"/>
          <w:rtl/>
        </w:rPr>
        <w:t xml:space="preserve"> "</w:t>
      </w:r>
    </w:p>
    <w:p w14:paraId="25C49754" w14:textId="77777777" w:rsidR="0043278C" w:rsidRPr="0043278C" w:rsidRDefault="0043278C" w:rsidP="00E31804">
      <w:pPr>
        <w:pStyle w:val="BlockText"/>
        <w:ind w:left="26"/>
        <w:jc w:val="center"/>
        <w:rPr>
          <w:rFonts w:ascii="Sakkal Majalla" w:hAnsi="Sakkal Majalla" w:cs="Sakkal Majalla"/>
          <w:sz w:val="28"/>
        </w:rPr>
      </w:pPr>
    </w:p>
    <w:p w14:paraId="01EE29FA" w14:textId="454E4393"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الخامس :</w:t>
      </w:r>
      <w:r w:rsidRPr="0043278C">
        <w:rPr>
          <w:rFonts w:ascii="Sakkal Majalla" w:hAnsi="Sakkal Majalla" w:cs="Sakkal Majalla"/>
          <w:sz w:val="28"/>
          <w:rtl/>
        </w:rPr>
        <w:t xml:space="preserve">  </w:t>
      </w:r>
    </w:p>
    <w:p w14:paraId="28CD1D59" w14:textId="7249ACAA"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البعد الاجتماعي والثقافي</w:t>
      </w:r>
      <w:r w:rsidRPr="0043278C">
        <w:rPr>
          <w:rFonts w:ascii="Sakkal Majalla" w:hAnsi="Sakkal Majalla" w:cs="Sakkal Majalla"/>
          <w:sz w:val="28"/>
          <w:rtl/>
        </w:rPr>
        <w:t xml:space="preserve"> .</w:t>
      </w:r>
    </w:p>
    <w:p w14:paraId="5FEBA009" w14:textId="77777777" w:rsidR="0043278C" w:rsidRPr="0043278C" w:rsidRDefault="0043278C" w:rsidP="00E31804">
      <w:pPr>
        <w:pStyle w:val="BlockText"/>
        <w:ind w:left="26"/>
        <w:jc w:val="center"/>
        <w:rPr>
          <w:rFonts w:ascii="Sakkal Majalla" w:hAnsi="Sakkal Majalla" w:cs="Sakkal Majalla"/>
          <w:sz w:val="28"/>
        </w:rPr>
      </w:pPr>
    </w:p>
    <w:p w14:paraId="6D67510C" w14:textId="4CEAF99F"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السادس :</w:t>
      </w:r>
      <w:r w:rsidRPr="0043278C">
        <w:rPr>
          <w:rFonts w:ascii="Sakkal Majalla" w:hAnsi="Sakkal Majalla" w:cs="Sakkal Majalla"/>
          <w:sz w:val="28"/>
          <w:rtl/>
        </w:rPr>
        <w:t xml:space="preserve">  </w:t>
      </w:r>
    </w:p>
    <w:p w14:paraId="2F9D1E5D" w14:textId="323F995B" w:rsid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البعد الاقتصادي</w:t>
      </w:r>
      <w:r w:rsidRPr="0043278C">
        <w:rPr>
          <w:rFonts w:ascii="Sakkal Majalla" w:hAnsi="Sakkal Majalla" w:cs="Sakkal Majalla"/>
          <w:sz w:val="28"/>
          <w:rtl/>
        </w:rPr>
        <w:t xml:space="preserve"> .</w:t>
      </w:r>
    </w:p>
    <w:p w14:paraId="03889B90" w14:textId="77777777" w:rsidR="00CD2E89" w:rsidRPr="0043278C" w:rsidRDefault="00CD2E89" w:rsidP="00E31804">
      <w:pPr>
        <w:pStyle w:val="BlockText"/>
        <w:ind w:left="26"/>
        <w:jc w:val="center"/>
        <w:rPr>
          <w:rFonts w:ascii="Sakkal Majalla" w:hAnsi="Sakkal Majalla" w:cs="Sakkal Majalla"/>
          <w:sz w:val="28"/>
        </w:rPr>
      </w:pPr>
    </w:p>
    <w:p w14:paraId="5CA3C1C9" w14:textId="29DCDE24"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r>
        <w:rPr>
          <w:rFonts w:ascii="Sakkal Majalla" w:hAnsi="Sakkal Majalla" w:cs="Sakkal Majalla" w:hint="cs"/>
          <w:b/>
          <w:bCs/>
          <w:sz w:val="28"/>
          <w:rtl/>
        </w:rPr>
        <w:t>السابع</w:t>
      </w:r>
      <w:r w:rsidRPr="0043278C">
        <w:rPr>
          <w:rFonts w:ascii="Sakkal Majalla" w:hAnsi="Sakkal Majalla" w:cs="Sakkal Majalla"/>
          <w:b/>
          <w:bCs/>
          <w:sz w:val="28"/>
          <w:rtl/>
        </w:rPr>
        <w:t xml:space="preserve"> :</w:t>
      </w:r>
      <w:r w:rsidRPr="0043278C">
        <w:rPr>
          <w:rFonts w:ascii="Sakkal Majalla" w:hAnsi="Sakkal Majalla" w:cs="Sakkal Majalla"/>
          <w:sz w:val="28"/>
          <w:rtl/>
        </w:rPr>
        <w:t xml:space="preserve">  </w:t>
      </w:r>
    </w:p>
    <w:p w14:paraId="114E2B24" w14:textId="151CD2A0" w:rsidR="00CD2E89" w:rsidRDefault="00CD2E89"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Pr>
          <w:rFonts w:ascii="Sakkal Majalla" w:hAnsi="Sakkal Majalla" w:cs="Sakkal Majalla" w:hint="cs"/>
          <w:sz w:val="28"/>
          <w:rtl/>
        </w:rPr>
        <w:t>البعد التكنولوجي</w:t>
      </w:r>
      <w:r w:rsidRPr="0043278C">
        <w:rPr>
          <w:rFonts w:ascii="Sakkal Majalla" w:hAnsi="Sakkal Majalla" w:cs="Sakkal Majalla"/>
          <w:sz w:val="28"/>
          <w:rtl/>
        </w:rPr>
        <w:t xml:space="preserve"> .</w:t>
      </w:r>
    </w:p>
    <w:p w14:paraId="4FD177F9" w14:textId="77777777" w:rsidR="00CD2E89" w:rsidRDefault="00CD2E89" w:rsidP="00E31804">
      <w:pPr>
        <w:pStyle w:val="BlockText"/>
        <w:ind w:left="26"/>
        <w:jc w:val="center"/>
        <w:rPr>
          <w:rFonts w:ascii="Sakkal Majalla" w:hAnsi="Sakkal Majalla" w:cs="Sakkal Majalla"/>
          <w:sz w:val="28"/>
          <w:rtl/>
        </w:rPr>
      </w:pPr>
    </w:p>
    <w:p w14:paraId="541B89FB" w14:textId="68D4C64F"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r>
        <w:rPr>
          <w:rFonts w:ascii="Sakkal Majalla" w:hAnsi="Sakkal Majalla" w:cs="Sakkal Majalla" w:hint="cs"/>
          <w:b/>
          <w:bCs/>
          <w:sz w:val="28"/>
          <w:rtl/>
        </w:rPr>
        <w:t>الثامن</w:t>
      </w:r>
      <w:r w:rsidRPr="0043278C">
        <w:rPr>
          <w:rFonts w:ascii="Sakkal Majalla" w:hAnsi="Sakkal Majalla" w:cs="Sakkal Majalla"/>
          <w:b/>
          <w:bCs/>
          <w:sz w:val="28"/>
          <w:rtl/>
        </w:rPr>
        <w:t xml:space="preserve"> :</w:t>
      </w:r>
      <w:r w:rsidRPr="0043278C">
        <w:rPr>
          <w:rFonts w:ascii="Sakkal Majalla" w:hAnsi="Sakkal Majalla" w:cs="Sakkal Majalla"/>
          <w:sz w:val="28"/>
          <w:rtl/>
        </w:rPr>
        <w:t xml:space="preserve">  </w:t>
      </w:r>
    </w:p>
    <w:p w14:paraId="3F895546" w14:textId="5627E786" w:rsidR="00CD2E89" w:rsidRPr="0043278C" w:rsidRDefault="00CD2E89" w:rsidP="00E31804">
      <w:pPr>
        <w:pStyle w:val="BlockText"/>
        <w:ind w:left="26"/>
        <w:jc w:val="center"/>
        <w:rPr>
          <w:rFonts w:ascii="Sakkal Majalla" w:hAnsi="Sakkal Majalla" w:cs="Sakkal Majalla"/>
          <w:sz w:val="28"/>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07239E">
        <w:rPr>
          <w:rFonts w:ascii="Sakkal Majalla" w:hAnsi="Sakkal Majalla" w:cs="Sakkal Majalla" w:hint="cs"/>
          <w:sz w:val="28"/>
          <w:rtl/>
        </w:rPr>
        <w:t>تقليل التهرب الضريبي وتعزيز الامتثال</w:t>
      </w:r>
      <w:r w:rsidRPr="0043278C">
        <w:rPr>
          <w:rFonts w:ascii="Sakkal Majalla" w:hAnsi="Sakkal Majalla" w:cs="Sakkal Majalla"/>
          <w:sz w:val="28"/>
          <w:rtl/>
        </w:rPr>
        <w:t xml:space="preserve"> .</w:t>
      </w:r>
    </w:p>
    <w:p w14:paraId="07D366CD" w14:textId="77777777" w:rsidR="00CD2E89" w:rsidRDefault="00CD2E89" w:rsidP="00E31804">
      <w:pPr>
        <w:pStyle w:val="BlockText"/>
        <w:ind w:left="26"/>
        <w:jc w:val="center"/>
        <w:rPr>
          <w:rFonts w:ascii="Sakkal Majalla" w:hAnsi="Sakkal Majalla" w:cs="Sakkal Majalla"/>
          <w:sz w:val="28"/>
          <w:rtl/>
        </w:rPr>
      </w:pPr>
    </w:p>
    <w:p w14:paraId="6327AC0C" w14:textId="4F2FF086"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r>
        <w:rPr>
          <w:rFonts w:ascii="Sakkal Majalla" w:hAnsi="Sakkal Majalla" w:cs="Sakkal Majalla" w:hint="cs"/>
          <w:b/>
          <w:bCs/>
          <w:sz w:val="28"/>
          <w:rtl/>
        </w:rPr>
        <w:t>التاسع</w:t>
      </w:r>
      <w:r w:rsidRPr="0043278C">
        <w:rPr>
          <w:rFonts w:ascii="Sakkal Majalla" w:hAnsi="Sakkal Majalla" w:cs="Sakkal Majalla"/>
          <w:b/>
          <w:bCs/>
          <w:sz w:val="28"/>
          <w:rtl/>
        </w:rPr>
        <w:t xml:space="preserve"> :</w:t>
      </w:r>
      <w:r w:rsidRPr="0043278C">
        <w:rPr>
          <w:rFonts w:ascii="Sakkal Majalla" w:hAnsi="Sakkal Majalla" w:cs="Sakkal Majalla"/>
          <w:sz w:val="28"/>
          <w:rtl/>
        </w:rPr>
        <w:t xml:space="preserve">  </w:t>
      </w:r>
    </w:p>
    <w:p w14:paraId="04003CF4" w14:textId="486B0383" w:rsidR="00CD2E89" w:rsidRPr="0043278C" w:rsidRDefault="00CD2E89" w:rsidP="00E31804">
      <w:pPr>
        <w:pStyle w:val="BlockText"/>
        <w:ind w:left="26"/>
        <w:jc w:val="center"/>
        <w:rPr>
          <w:rFonts w:ascii="Sakkal Majalla" w:hAnsi="Sakkal Majalla" w:cs="Sakkal Majalla"/>
          <w:sz w:val="28"/>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07239E">
        <w:rPr>
          <w:rFonts w:ascii="Sakkal Majalla" w:hAnsi="Sakkal Majalla" w:cs="Sakkal Majalla" w:hint="cs"/>
          <w:sz w:val="28"/>
          <w:rtl/>
        </w:rPr>
        <w:t>البعد البيئي</w:t>
      </w:r>
      <w:r w:rsidRPr="0043278C">
        <w:rPr>
          <w:rFonts w:ascii="Sakkal Majalla" w:hAnsi="Sakkal Majalla" w:cs="Sakkal Majalla"/>
          <w:sz w:val="28"/>
          <w:rtl/>
        </w:rPr>
        <w:t xml:space="preserve"> .</w:t>
      </w:r>
    </w:p>
    <w:p w14:paraId="1B1080BE" w14:textId="77777777" w:rsidR="00CD2E89" w:rsidRDefault="00CD2E89" w:rsidP="00E31804">
      <w:pPr>
        <w:pStyle w:val="BlockText"/>
        <w:ind w:left="26"/>
        <w:jc w:val="center"/>
        <w:rPr>
          <w:rFonts w:ascii="Sakkal Majalla" w:hAnsi="Sakkal Majalla" w:cs="Sakkal Majalla"/>
          <w:sz w:val="28"/>
          <w:rtl/>
        </w:rPr>
      </w:pPr>
    </w:p>
    <w:p w14:paraId="2B409B37" w14:textId="77777777" w:rsidR="00E31804" w:rsidRDefault="00E31804" w:rsidP="00E31804">
      <w:pPr>
        <w:pStyle w:val="BlockText"/>
        <w:ind w:left="26"/>
        <w:jc w:val="center"/>
        <w:rPr>
          <w:rFonts w:ascii="Sakkal Majalla" w:hAnsi="Sakkal Majalla" w:cs="Sakkal Majalla"/>
          <w:sz w:val="28"/>
          <w:rtl/>
        </w:rPr>
      </w:pPr>
    </w:p>
    <w:p w14:paraId="5CF5DFAA" w14:textId="77777777" w:rsidR="00E31804" w:rsidRDefault="00E31804" w:rsidP="00E31804">
      <w:pPr>
        <w:pStyle w:val="BlockText"/>
        <w:ind w:left="26"/>
        <w:jc w:val="center"/>
        <w:rPr>
          <w:rFonts w:ascii="Sakkal Majalla" w:hAnsi="Sakkal Majalla" w:cs="Sakkal Majalla"/>
          <w:sz w:val="28"/>
          <w:rtl/>
        </w:rPr>
      </w:pPr>
    </w:p>
    <w:p w14:paraId="0BE01F75" w14:textId="77777777" w:rsidR="00E31804" w:rsidRDefault="00E31804" w:rsidP="00CD2E89">
      <w:pPr>
        <w:pStyle w:val="BlockText"/>
        <w:ind w:left="26"/>
        <w:jc w:val="center"/>
        <w:rPr>
          <w:rFonts w:ascii="Sakkal Majalla" w:hAnsi="Sakkal Majalla" w:cs="Sakkal Majalla"/>
          <w:sz w:val="28"/>
          <w:rtl/>
        </w:rPr>
      </w:pPr>
    </w:p>
    <w:p w14:paraId="5B7DB144" w14:textId="77777777" w:rsidR="00D20997" w:rsidRDefault="00D20997" w:rsidP="0043278C">
      <w:pPr>
        <w:pStyle w:val="BlockText"/>
        <w:spacing w:line="360" w:lineRule="auto"/>
        <w:jc w:val="lowKashida"/>
        <w:rPr>
          <w:rFonts w:ascii="Sakkal Majalla" w:hAnsi="Sakkal Majalla" w:cs="Sakkal Majalla"/>
          <w:sz w:val="28"/>
          <w:rtl/>
        </w:rPr>
      </w:pPr>
    </w:p>
    <w:p w14:paraId="3CE23D12" w14:textId="77777777" w:rsidR="00154B3F" w:rsidRPr="00154B3F" w:rsidRDefault="00154B3F" w:rsidP="00154B3F">
      <w:pPr>
        <w:pStyle w:val="BlockText"/>
        <w:spacing w:line="360" w:lineRule="auto"/>
        <w:jc w:val="lowKashida"/>
        <w:rPr>
          <w:rFonts w:ascii="Sakkal Majalla" w:hAnsi="Sakkal Majalla" w:cs="Sakkal Majalla"/>
          <w:b/>
          <w:bCs/>
          <w:sz w:val="28"/>
        </w:rPr>
      </w:pPr>
      <w:r w:rsidRPr="00154B3F">
        <w:rPr>
          <w:rFonts w:ascii="Sakkal Majalla" w:hAnsi="Sakkal Majalla" w:cs="Sakkal Majalla"/>
          <w:b/>
          <w:bCs/>
          <w:sz w:val="28"/>
          <w:rtl/>
        </w:rPr>
        <w:lastRenderedPageBreak/>
        <w:t>خاتمة الفصل الرابع</w:t>
      </w:r>
    </w:p>
    <w:p w14:paraId="4E4DC0EB"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جاء هذا الفصل بمثابة المحطة التطبيقية المحورية التي تُترجم من خلالها الأطر النظرية والمنهجية التي تأسست عليها هذه الدراسة إلى معطيات ميدانية ملموسة، إذ استعرض عبر مساريه التحليليين المتكاملين الصورة الشاملة لواقع التحول الرقمي والأمن السيبراني داخل الهيئة، بدءاً من وصف الخصائص الديموغرافية والوظيفية لعينة الدراسة، ومروراً بالتحليل الوصفي المعمّق لاستجابات أفراد العينة على أسئلة الدراسة التسعة، وانتهاءً باختبارات الفروض الإحصائية التي شكّلت جوهر الإجابة على تساؤلات البحث وفرضياته</w:t>
      </w:r>
      <w:r w:rsidRPr="00154B3F">
        <w:rPr>
          <w:rFonts w:ascii="Sakkal Majalla" w:hAnsi="Sakkal Majalla" w:cs="Sakkal Majalla"/>
          <w:sz w:val="28"/>
        </w:rPr>
        <w:t>.</w:t>
      </w:r>
    </w:p>
    <w:p w14:paraId="17EEC7FF"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b/>
          <w:bCs/>
          <w:sz w:val="28"/>
          <w:rtl/>
        </w:rPr>
        <w:t>أولاً: من حيث تمثيل العينة</w:t>
      </w:r>
    </w:p>
    <w:p w14:paraId="3E7B4632"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أثبت التحليل الديموغرافي والوظيفي أن عينة الدراسة البالغة (50) مفردة جاءت ممثلة بدقة عالية لمجتمع البحث الأصلي من موظفي وقيادات الهيئة، إذ تجاوزت جميع معاملات التوازن المحسوبة (الجنسي، العمري، التعليمي، الخبري، الوظيفي، والقطاعي) الحدود المعيارية المقبولة في البحوث الاجتماعية والإدارية (≥ 0.80)، وهو ما يمنح نتائج الدراسة قوة تعميمية معتبرة على كامل الكوادر البشرية للهيئة، ويُبعد شبهة التحيز الإحصائي عن الاستنتاجات اللاحقة</w:t>
      </w:r>
      <w:r w:rsidRPr="00154B3F">
        <w:rPr>
          <w:rFonts w:ascii="Sakkal Majalla" w:hAnsi="Sakkal Majalla" w:cs="Sakkal Majalla"/>
          <w:sz w:val="28"/>
        </w:rPr>
        <w:t>.</w:t>
      </w:r>
    </w:p>
    <w:p w14:paraId="1A40CDB9"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b/>
          <w:bCs/>
          <w:sz w:val="28"/>
          <w:rtl/>
        </w:rPr>
        <w:t>ثانياً: من حيث الواقع الوصفي للتحول الرقمي والأمن السيبراني</w:t>
      </w:r>
    </w:p>
    <w:p w14:paraId="4320F8B7"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كشف التحليل الوصفي لأسئلة الدراسة التسعة عن صورة مؤسسية بالغة التعقيد، لا يمكن اختزالها في حكم أحادي بالنجاح أو الإخفاق. فمن جهة، أظهرت النتائج قوى دفع حقيقية تتمثل في ارتفاع نسبة المشاركة في البرامج التدريبية (90%)، واتساع نطاق الاستخدام اليومي لمنصات الهيئة الإلكترونية الرئيسية (79.93%)، والتقييم الإيجابي النسبي لاستعداد الهيئة لمواجهة التهديدات السيبرانية (62.82%). ومن جهة أخرى، تعرّت الدراسة عن فجوات بنيوية عميقة يتصدرها الغياب التام لمستوى "الإتقان الرقمي الكامل" في التقييم الذاتي للمهارات، وضعف الاهتمام الشخصي بقضايا الأمن السيبراني لدى ما يقارب نصف العينة (49.07%)، وهشاشة منظومة التواصل الأمني الداخلي (50.93% لا يتذكرون تلقي تنبيهات أمنية أو لا يتلقونها أصلاً)، فضلاً عن التناقض اللافت بين معدلات الاستخدام اليومي للمنصات ومعدلات استخدام الأجهزة الرسمية للهيئة، وهو ما أشار إليه الباحث كمؤشر على انتشار أنماط "إحضار الجهاز الشخصي</w:t>
      </w:r>
      <w:r w:rsidRPr="00154B3F">
        <w:rPr>
          <w:rFonts w:ascii="Sakkal Majalla" w:hAnsi="Sakkal Majalla" w:cs="Sakkal Majalla"/>
          <w:sz w:val="28"/>
        </w:rPr>
        <w:t xml:space="preserve">" (BYOD) </w:t>
      </w:r>
      <w:r w:rsidRPr="00154B3F">
        <w:rPr>
          <w:rFonts w:ascii="Sakkal Majalla" w:hAnsi="Sakkal Majalla" w:cs="Sakkal Majalla"/>
          <w:sz w:val="28"/>
          <w:rtl/>
        </w:rPr>
        <w:t>التي تشكل ثغرة أمنية بنيوية تستوجب معالجة عاجلة</w:t>
      </w:r>
      <w:r w:rsidRPr="00154B3F">
        <w:rPr>
          <w:rFonts w:ascii="Sakkal Majalla" w:hAnsi="Sakkal Majalla" w:cs="Sakkal Majalla"/>
          <w:sz w:val="28"/>
        </w:rPr>
        <w:t>.</w:t>
      </w:r>
    </w:p>
    <w:p w14:paraId="62F25B65"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b/>
          <w:bCs/>
          <w:sz w:val="28"/>
          <w:rtl/>
        </w:rPr>
        <w:t>ثالثاً: من حيث اختبارات الفروض الإحصائية</w:t>
      </w:r>
    </w:p>
    <w:p w14:paraId="06A92682"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lastRenderedPageBreak/>
        <w:t>مثّلت اختبارات الفروض الستة الأساسية (المتفرعة إلى تسعة فروض فرعية) القلب التحليلي لهذا الفصل، إذ تضافرت نتائج مصفوفات الارتباط بأسلوب بيرسون، وتحليلات الانحدار البسيط والمتعدد بطريقة الانحدار التدريجي</w:t>
      </w:r>
      <w:r w:rsidRPr="00154B3F">
        <w:rPr>
          <w:rFonts w:ascii="Sakkal Majalla" w:hAnsi="Sakkal Majalla" w:cs="Sakkal Majalla"/>
          <w:sz w:val="28"/>
        </w:rPr>
        <w:t xml:space="preserve"> (Stepwise)</w:t>
      </w:r>
      <w:r w:rsidRPr="00154B3F">
        <w:rPr>
          <w:rFonts w:ascii="Sakkal Majalla" w:hAnsi="Sakkal Majalla" w:cs="Sakkal Majalla"/>
          <w:sz w:val="28"/>
          <w:rtl/>
        </w:rPr>
        <w:t>، المدعومة باختبارات جودة النماذج</w:t>
      </w:r>
      <w:r w:rsidRPr="00154B3F">
        <w:rPr>
          <w:rFonts w:ascii="Sakkal Majalla" w:hAnsi="Sakkal Majalla" w:cs="Sakkal Majalla"/>
          <w:sz w:val="28"/>
        </w:rPr>
        <w:t xml:space="preserve"> (F) </w:t>
      </w:r>
      <w:r w:rsidRPr="00154B3F">
        <w:rPr>
          <w:rFonts w:ascii="Sakkal Majalla" w:hAnsi="Sakkal Majalla" w:cs="Sakkal Majalla"/>
          <w:sz w:val="28"/>
          <w:rtl/>
        </w:rPr>
        <w:t>ومعاملات التحديد</w:t>
      </w:r>
      <w:r w:rsidRPr="00154B3F">
        <w:rPr>
          <w:rFonts w:ascii="Sakkal Majalla" w:hAnsi="Sakkal Majalla" w:cs="Sakkal Majalla"/>
          <w:sz w:val="28"/>
        </w:rPr>
        <w:t xml:space="preserve"> (R²) </w:t>
      </w:r>
      <w:r w:rsidRPr="00154B3F">
        <w:rPr>
          <w:rFonts w:ascii="Sakkal Majalla" w:hAnsi="Sakkal Majalla" w:cs="Sakkal Majalla"/>
          <w:sz w:val="28"/>
          <w:rtl/>
        </w:rPr>
        <w:t>ومعاملات التحديد المعدلة، لتؤكد وجود علاقات ارتباطية طردية ذات دلالة إحصائية عند مستوى معنوية (0.01) بين التحول الرقمي بأبعاده الثلاثة الفرعية (الأسس الرقمية، الابتكار الرقمي، الحوكمة الرقمية) وجميع المتغيرات التابعة للدراسة، سواء المنضوية تحت المتغير الرئيسي الأول "تعزيز الأمن" - ممثلاً في الأمن السيبراني وحماية البيانات، وتحسين كفاءة الرقابة الجمركية والحد من التهريب، وتعزيز التكامل والشراكات الاستراتيجية، والبعد القانوني والسياسي، والبعد الاجتماعي والثقافي - أو المنضوية تحت المتغير الرئيسي الثاني "تيسير التجارة" - ممثلاً في البعد الاقتصادي، والبعد التكنولوجي، وتقليل التهرب الضريبي وتعزيز الامتثال، والبعد البيئي</w:t>
      </w:r>
      <w:r w:rsidRPr="00154B3F">
        <w:rPr>
          <w:rFonts w:ascii="Sakkal Majalla" w:hAnsi="Sakkal Majalla" w:cs="Sakkal Majalla"/>
          <w:sz w:val="28"/>
        </w:rPr>
        <w:t>.</w:t>
      </w:r>
    </w:p>
    <w:p w14:paraId="22370386"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وقد تباينت قوة هذه العلاقات من متغير إلى آخر، إذ تراوحت معاملات الارتباط بين علاقات متوسطة القوة (كما في حالة البعد الاقتصادي بمعامل 0.283) وعلاقات قوية نسبياً (كما في حالة تحسين كفاءة الرقابة الجمركية بمعامل 0.710)، وهو تفاوت طبيعي ومتوقع يعكس اختلاف درجة تأثر كل بُعد من أبعاد الأداء المؤسسي بمسار التحول الرقمي تبعاً لطبيعته الوظيفية ومدى ارتباطه المباشر بالعمليات الرقمية اليومية</w:t>
      </w:r>
      <w:r w:rsidRPr="00154B3F">
        <w:rPr>
          <w:rFonts w:ascii="Sakkal Majalla" w:hAnsi="Sakkal Majalla" w:cs="Sakkal Majalla"/>
          <w:sz w:val="28"/>
        </w:rPr>
        <w:t>.</w:t>
      </w:r>
    </w:p>
    <w:p w14:paraId="338EEB4B"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b/>
          <w:bCs/>
          <w:sz w:val="28"/>
          <w:rtl/>
        </w:rPr>
        <w:t>رابعاً: النتيجة الإجمالية لاختبار الفروض</w:t>
      </w:r>
    </w:p>
    <w:p w14:paraId="0CE57E41"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بناءً على النتائج الإحصائية المتسقة آنفة الذكر، تم رفض فرض العدم وقبول الفرض البديل في جميع الفروض التسعة للدراسة دون استثناء، الأمر الذي يُثبت إحصائياً وجود تأثير جوهري ذي دلالة معتبرة للتحول الرقمي على منظومة تعزيز الأمن وتيسير التجارة بكافة أبعادهما الفرعية داخل الهيئة. وتُعدّ هذه النتيجة الإجمالية بمثابة السند التطبيقي الذي يُرسّخ الإطار النظري للدراسة، ويُحوّل الفرضية البحثية المركزية من افتراض نظري إلى حقيقة مدعومة بالبرهان الإحصائي</w:t>
      </w:r>
      <w:r w:rsidRPr="00154B3F">
        <w:rPr>
          <w:rFonts w:ascii="Sakkal Majalla" w:hAnsi="Sakkal Majalla" w:cs="Sakkal Majalla"/>
          <w:sz w:val="28"/>
        </w:rPr>
        <w:t>.</w:t>
      </w:r>
    </w:p>
    <w:p w14:paraId="5B294D91"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b/>
          <w:bCs/>
          <w:sz w:val="28"/>
          <w:rtl/>
        </w:rPr>
        <w:t>خامساً: الخيط الرابط بين التحليل الوصفي واختبار الفروض</w:t>
      </w:r>
    </w:p>
    <w:p w14:paraId="5A91983A"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 xml:space="preserve">تجدر الإشارة إلى أن نتائج اختبار الفروض، على الرغم من إيجابيتها الإحصائية العامة، ينبغي أن تُقرأ بالتوازي مع الفجوات التي كشفها التحليل الوصفي في الجزء الأول من هذا الفصل. فوجود علاقة جوهرية ذات دلالة إحصائية بين </w:t>
      </w:r>
      <w:r w:rsidRPr="00154B3F">
        <w:rPr>
          <w:rFonts w:ascii="Sakkal Majalla" w:hAnsi="Sakkal Majalla" w:cs="Sakkal Majalla"/>
          <w:sz w:val="28"/>
          <w:rtl/>
        </w:rPr>
        <w:lastRenderedPageBreak/>
        <w:t>التحول الرقمي ومتغيرات تعزيز الأمن وتيسير التجارة لا يعني بالضرورة أن هذا الأثر قد بلغ كامل طاقته الكامنة؛ إذ إن معاملات التحديد</w:t>
      </w:r>
      <w:r w:rsidRPr="00154B3F">
        <w:rPr>
          <w:rFonts w:ascii="Sakkal Majalla" w:hAnsi="Sakkal Majalla" w:cs="Sakkal Majalla"/>
          <w:sz w:val="28"/>
        </w:rPr>
        <w:t xml:space="preserve"> (R²) </w:t>
      </w:r>
      <w:r w:rsidRPr="00154B3F">
        <w:rPr>
          <w:rFonts w:ascii="Sakkal Majalla" w:hAnsi="Sakkal Majalla" w:cs="Sakkal Majalla"/>
          <w:sz w:val="28"/>
          <w:rtl/>
        </w:rPr>
        <w:t>المتفاوتة تشير إلى أن نسبة معتبرة من التباين في المتغيرات التابعة ما تزال تُعزى إلى عوامل أخرى خارج نطاق أبعاد التحول الرقمي المدروسة، وهو ما يتسق مع ما رصده التحليل الوصفي من فجوات في الكفاءة الرقمية الفعلية والوعي الأمني السلوكي، والتي تحدّ من تعظيم الأثر الإيجابي للتحول الرقمي على مخرجات الأمن والتيسير التجاري</w:t>
      </w:r>
      <w:r w:rsidRPr="00154B3F">
        <w:rPr>
          <w:rFonts w:ascii="Sakkal Majalla" w:hAnsi="Sakkal Majalla" w:cs="Sakkal Majalla"/>
          <w:sz w:val="28"/>
        </w:rPr>
        <w:t>.</w:t>
      </w:r>
    </w:p>
    <w:p w14:paraId="1E89E022"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b/>
          <w:bCs/>
          <w:sz w:val="28"/>
          <w:rtl/>
        </w:rPr>
        <w:t>سادساً: الخلاصة العامة</w:t>
      </w:r>
    </w:p>
    <w:p w14:paraId="2A6843E2" w14:textId="77777777" w:rsidR="00154B3F" w:rsidRPr="00154B3F" w:rsidRDefault="00154B3F" w:rsidP="00154B3F">
      <w:pPr>
        <w:pStyle w:val="BlockText"/>
        <w:spacing w:line="360" w:lineRule="auto"/>
        <w:jc w:val="lowKashida"/>
        <w:rPr>
          <w:rFonts w:ascii="Sakkal Majalla" w:hAnsi="Sakkal Majalla" w:cs="Sakkal Majalla"/>
          <w:sz w:val="28"/>
        </w:rPr>
      </w:pPr>
      <w:r w:rsidRPr="00154B3F">
        <w:rPr>
          <w:rFonts w:ascii="Sakkal Majalla" w:hAnsi="Sakkal Majalla" w:cs="Sakkal Majalla"/>
          <w:sz w:val="28"/>
          <w:rtl/>
        </w:rPr>
        <w:t>تُجسّد نتائج هذا الفصل بمجمله صورة مؤسسة تقف في مرحلة انتقالية متقدمة على طريق النضج الرقمي؛ مؤسسة تمتلك أساساً إحصائياً موثقاً يُثبت أن استثمارها في التحول الرقمي يُحدث أثراً حقيقياً وقابلاً للقياس على أمنها السيبراني وكفاءتها الرقابية وتيسيرها التجاري، لكنها في الوقت ذاته مطالبة بمعالجة الفجوة الإنسانية والثقافية التي كشف عنها التحليل الوصفي حتى يتحول هذا الأثر الإحصائي المؤكد إلى أثر تشغيلي كامل غير منقوص. وعلى هذا الأساس، تُشكّل النتائج المستخلصة من هذا الفصل - بشقّيها الوصفي والاستدلالي - القاعدة التحليلية التي سيُبنى عليها الفصل الخامس فيما يخص التوصيات الاستراتيجية المتكاملة ومقترحات البحوث المستقبلية</w:t>
      </w:r>
      <w:r w:rsidRPr="00154B3F">
        <w:rPr>
          <w:rFonts w:ascii="Sakkal Majalla" w:hAnsi="Sakkal Majalla" w:cs="Sakkal Majalla"/>
          <w:sz w:val="28"/>
        </w:rPr>
        <w:t>.</w:t>
      </w:r>
    </w:p>
    <w:p w14:paraId="0E7E9F7D" w14:textId="77777777" w:rsidR="00D20997" w:rsidRPr="00154B3F" w:rsidRDefault="00D20997" w:rsidP="0043278C">
      <w:pPr>
        <w:pStyle w:val="BlockText"/>
        <w:spacing w:line="360" w:lineRule="auto"/>
        <w:jc w:val="lowKashida"/>
        <w:rPr>
          <w:rFonts w:ascii="Sakkal Majalla" w:hAnsi="Sakkal Majalla" w:cs="Sakkal Majalla"/>
          <w:sz w:val="28"/>
          <w:rtl/>
        </w:rPr>
      </w:pPr>
    </w:p>
    <w:p w14:paraId="2122A99C" w14:textId="77777777" w:rsidR="00D20997" w:rsidRDefault="00D20997" w:rsidP="0043278C">
      <w:pPr>
        <w:pStyle w:val="BlockText"/>
        <w:spacing w:line="360" w:lineRule="auto"/>
        <w:jc w:val="lowKashida"/>
        <w:rPr>
          <w:rFonts w:ascii="Sakkal Majalla" w:hAnsi="Sakkal Majalla" w:cs="Sakkal Majalla"/>
          <w:sz w:val="28"/>
          <w:rtl/>
        </w:rPr>
      </w:pPr>
    </w:p>
    <w:p w14:paraId="05D0A515" w14:textId="77777777" w:rsidR="00D20997" w:rsidRDefault="00D20997" w:rsidP="0043278C">
      <w:pPr>
        <w:pStyle w:val="BlockText"/>
        <w:spacing w:line="360" w:lineRule="auto"/>
        <w:jc w:val="lowKashida"/>
        <w:rPr>
          <w:rFonts w:ascii="Sakkal Majalla" w:hAnsi="Sakkal Majalla" w:cs="Sakkal Majalla"/>
          <w:sz w:val="28"/>
          <w:rtl/>
        </w:rPr>
      </w:pPr>
    </w:p>
    <w:p w14:paraId="7EF347C1" w14:textId="77777777" w:rsidR="00D20997" w:rsidRDefault="00D20997" w:rsidP="0043278C">
      <w:pPr>
        <w:pStyle w:val="BlockText"/>
        <w:spacing w:line="360" w:lineRule="auto"/>
        <w:jc w:val="lowKashida"/>
        <w:rPr>
          <w:rFonts w:ascii="Sakkal Majalla" w:hAnsi="Sakkal Majalla" w:cs="Sakkal Majalla"/>
          <w:sz w:val="28"/>
          <w:rtl/>
        </w:rPr>
      </w:pPr>
    </w:p>
    <w:p w14:paraId="73003939" w14:textId="77777777" w:rsidR="00D20997" w:rsidRDefault="00D20997" w:rsidP="0043278C">
      <w:pPr>
        <w:pStyle w:val="BlockText"/>
        <w:spacing w:line="360" w:lineRule="auto"/>
        <w:jc w:val="lowKashida"/>
        <w:rPr>
          <w:rFonts w:ascii="Sakkal Majalla" w:hAnsi="Sakkal Majalla" w:cs="Sakkal Majalla"/>
          <w:sz w:val="28"/>
          <w:rtl/>
        </w:rPr>
      </w:pPr>
    </w:p>
    <w:p w14:paraId="1EF793E2" w14:textId="77777777" w:rsidR="00D20997" w:rsidRDefault="00D20997" w:rsidP="0043278C">
      <w:pPr>
        <w:pStyle w:val="BlockText"/>
        <w:spacing w:line="360" w:lineRule="auto"/>
        <w:jc w:val="lowKashida"/>
        <w:rPr>
          <w:rFonts w:ascii="Sakkal Majalla" w:hAnsi="Sakkal Majalla" w:cs="Sakkal Majalla"/>
          <w:sz w:val="28"/>
          <w:rtl/>
        </w:rPr>
      </w:pPr>
    </w:p>
    <w:p w14:paraId="29E1B2EA" w14:textId="77777777" w:rsidR="00D20997" w:rsidRDefault="00D20997" w:rsidP="0043278C">
      <w:pPr>
        <w:pStyle w:val="BlockText"/>
        <w:spacing w:line="360" w:lineRule="auto"/>
        <w:jc w:val="lowKashida"/>
        <w:rPr>
          <w:rFonts w:ascii="Sakkal Majalla" w:hAnsi="Sakkal Majalla" w:cs="Sakkal Majalla"/>
          <w:sz w:val="28"/>
          <w:rtl/>
        </w:rPr>
      </w:pPr>
    </w:p>
    <w:p w14:paraId="6480AD96" w14:textId="77777777" w:rsidR="00D20997" w:rsidRDefault="00D20997" w:rsidP="0043278C">
      <w:pPr>
        <w:pStyle w:val="BlockText"/>
        <w:spacing w:line="360" w:lineRule="auto"/>
        <w:jc w:val="lowKashida"/>
        <w:rPr>
          <w:rFonts w:ascii="Sakkal Majalla" w:hAnsi="Sakkal Majalla" w:cs="Sakkal Majalla"/>
          <w:sz w:val="28"/>
          <w:rtl/>
        </w:rPr>
      </w:pPr>
    </w:p>
    <w:p w14:paraId="3391EBBF" w14:textId="77777777" w:rsidR="00D20997" w:rsidRDefault="00D20997" w:rsidP="0043278C">
      <w:pPr>
        <w:pStyle w:val="BlockText"/>
        <w:spacing w:line="360" w:lineRule="auto"/>
        <w:jc w:val="lowKashida"/>
        <w:rPr>
          <w:rFonts w:ascii="Sakkal Majalla" w:hAnsi="Sakkal Majalla" w:cs="Sakkal Majalla"/>
          <w:sz w:val="28"/>
          <w:rtl/>
        </w:rPr>
      </w:pPr>
    </w:p>
    <w:p w14:paraId="2D8EE1DB" w14:textId="77777777" w:rsidR="00D20997" w:rsidRDefault="00D20997" w:rsidP="0043278C">
      <w:pPr>
        <w:pStyle w:val="BlockText"/>
        <w:spacing w:line="360" w:lineRule="auto"/>
        <w:jc w:val="lowKashida"/>
        <w:rPr>
          <w:rFonts w:ascii="Sakkal Majalla" w:hAnsi="Sakkal Majalla" w:cs="Sakkal Majalla"/>
          <w:sz w:val="28"/>
          <w:rtl/>
        </w:rPr>
      </w:pPr>
    </w:p>
    <w:p w14:paraId="61C89737" w14:textId="77777777" w:rsidR="00D20997" w:rsidRDefault="00D20997" w:rsidP="0043278C">
      <w:pPr>
        <w:pStyle w:val="BlockText"/>
        <w:spacing w:line="360" w:lineRule="auto"/>
        <w:jc w:val="lowKashida"/>
        <w:rPr>
          <w:rFonts w:ascii="Sakkal Majalla" w:hAnsi="Sakkal Majalla" w:cs="Sakkal Majalla"/>
          <w:sz w:val="28"/>
          <w:rtl/>
        </w:rPr>
      </w:pPr>
    </w:p>
    <w:p w14:paraId="4FC7B691" w14:textId="77777777" w:rsidR="00D20997" w:rsidRPr="00D20997" w:rsidRDefault="00D20997" w:rsidP="00D20997">
      <w:pPr>
        <w:pStyle w:val="BlockText"/>
        <w:spacing w:line="360" w:lineRule="auto"/>
        <w:jc w:val="lowKashida"/>
        <w:rPr>
          <w:rFonts w:ascii="Sakkal Majalla" w:hAnsi="Sakkal Majalla" w:cs="Sakkal Majalla"/>
          <w:sz w:val="28"/>
        </w:rPr>
      </w:pPr>
    </w:p>
    <w:p w14:paraId="75B22355" w14:textId="763B1AA5" w:rsidR="00535736" w:rsidRPr="00404D88" w:rsidRDefault="00535736" w:rsidP="00535736">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 xml:space="preserve">الفصل </w:t>
      </w:r>
      <w:r w:rsidR="0024476F">
        <w:rPr>
          <w:rFonts w:cs="Simplified Arabic" w:hint="cs"/>
          <w:b/>
          <w:bCs/>
          <w:sz w:val="144"/>
          <w:szCs w:val="144"/>
          <w:rtl/>
          <w:lang w:bidi="ar-EG"/>
        </w:rPr>
        <w:t>الخامس</w:t>
      </w:r>
    </w:p>
    <w:p w14:paraId="7C1802AF" w14:textId="45C55387" w:rsidR="00535736" w:rsidRDefault="00535736" w:rsidP="00535736">
      <w:pPr>
        <w:pStyle w:val="BlockText"/>
        <w:spacing w:line="360" w:lineRule="auto"/>
        <w:jc w:val="center"/>
        <w:rPr>
          <w:rFonts w:cs="Simplified Arabic" w:hint="cs"/>
          <w:b/>
          <w:bCs/>
          <w:sz w:val="144"/>
          <w:szCs w:val="144"/>
          <w:rtl/>
          <w:lang w:bidi="ar-EG"/>
        </w:rPr>
      </w:pPr>
      <w:r>
        <w:rPr>
          <w:rFonts w:cs="Simplified Arabic" w:hint="cs"/>
          <w:b/>
          <w:bCs/>
          <w:sz w:val="144"/>
          <w:szCs w:val="144"/>
          <w:rtl/>
          <w:lang w:bidi="ar-EG"/>
        </w:rPr>
        <w:t>مناقشة النتائج والتوصيات</w:t>
      </w:r>
    </w:p>
    <w:p w14:paraId="0B1B0ACE" w14:textId="77777777" w:rsidR="00535736" w:rsidRDefault="00535736" w:rsidP="00535736">
      <w:pPr>
        <w:pStyle w:val="BlockText"/>
        <w:spacing w:line="360" w:lineRule="auto"/>
        <w:jc w:val="lowKashida"/>
        <w:rPr>
          <w:rFonts w:ascii="Sakkal Majalla" w:hAnsi="Sakkal Majalla" w:cs="Sakkal Majalla"/>
          <w:sz w:val="28"/>
          <w:rtl/>
        </w:rPr>
      </w:pPr>
    </w:p>
    <w:p w14:paraId="14A064F9" w14:textId="77777777" w:rsidR="00535736" w:rsidRDefault="00535736" w:rsidP="00535736">
      <w:pPr>
        <w:pStyle w:val="BlockText"/>
        <w:spacing w:line="360" w:lineRule="auto"/>
        <w:jc w:val="lowKashida"/>
        <w:rPr>
          <w:rFonts w:ascii="Sakkal Majalla" w:hAnsi="Sakkal Majalla" w:cs="Sakkal Majalla"/>
          <w:sz w:val="28"/>
          <w:rtl/>
        </w:rPr>
      </w:pPr>
    </w:p>
    <w:p w14:paraId="7D2A2A73" w14:textId="38716782" w:rsidR="00F84143" w:rsidRPr="00F84143" w:rsidRDefault="00F84143" w:rsidP="006043F5">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 xml:space="preserve"> تمهيد: الفصل </w:t>
      </w:r>
      <w:r w:rsidR="00154B3F">
        <w:rPr>
          <w:rFonts w:ascii="Sakkal Majalla" w:hAnsi="Sakkal Majalla" w:cs="Sakkal Majalla" w:hint="cs"/>
          <w:b/>
          <w:bCs/>
          <w:sz w:val="28"/>
          <w:rtl/>
        </w:rPr>
        <w:t>الخامس</w:t>
      </w:r>
      <w:r w:rsidRPr="00F84143">
        <w:rPr>
          <w:rFonts w:ascii="Sakkal Majalla" w:hAnsi="Sakkal Majalla" w:cs="Sakkal Majalla"/>
          <w:b/>
          <w:bCs/>
          <w:sz w:val="28"/>
          <w:rtl/>
        </w:rPr>
        <w:t xml:space="preserve"> </w:t>
      </w:r>
    </w:p>
    <w:p w14:paraId="2E68FF61" w14:textId="281DCC7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يُمثّل الفصل </w:t>
      </w:r>
      <w:r w:rsidR="00154B3F">
        <w:rPr>
          <w:rFonts w:ascii="Sakkal Majalla" w:hAnsi="Sakkal Majalla" w:cs="Sakkal Majalla" w:hint="cs"/>
          <w:sz w:val="28"/>
          <w:rtl/>
        </w:rPr>
        <w:t>الخامس</w:t>
      </w:r>
      <w:r w:rsidRPr="00F84143">
        <w:rPr>
          <w:rFonts w:ascii="Sakkal Majalla" w:hAnsi="Sakkal Majalla" w:cs="Sakkal Majalla"/>
          <w:sz w:val="28"/>
          <w:rtl/>
        </w:rPr>
        <w:t xml:space="preserve"> والأخير من هذه الدراسة حجرَ الزاوية في الصرح المعرفي الذي شيّدناه عبر الفصول السابقة؛ إذ ليس بناءُ البيانات وجمعُها والتحقق من ثباتها وصدقها غايةً في حدّ ذاتها، بل هي وسائل تنتهي إلى المقصد الحقيقي الذي يُجسّده هذا الفصل: استخلاص الدلالات وتفسير النتائج وتحويلها إلى رؤى أكاديمية راسخة وتوصيات عملية قابلة للتطبيق.</w:t>
      </w:r>
    </w:p>
    <w:p w14:paraId="3762C1B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والدراسة بموضوعها المتمحور حول دور التحول الرقمي في تعزيز الأمن وتيسير التجارة في هيئة الزكاة والضريبة والجمارك (</w:t>
      </w:r>
      <w:r w:rsidRPr="00F84143">
        <w:rPr>
          <w:rFonts w:ascii="Sakkal Majalla" w:hAnsi="Sakkal Majalla" w:cs="Sakkal Majalla"/>
          <w:sz w:val="28"/>
        </w:rPr>
        <w:t>ZATCA</w:t>
      </w:r>
      <w:r w:rsidRPr="00F84143">
        <w:rPr>
          <w:rFonts w:ascii="Sakkal Majalla" w:hAnsi="Sakkal Majalla" w:cs="Sakkal Majalla"/>
          <w:sz w:val="28"/>
          <w:rtl/>
        </w:rPr>
        <w:t>) تنتمي إلى حقل بحثي بالغ الأهمية، لا سيما في ضوء المتغيرات الجيوسياسية الإقليمية المتسارعة، وفي مقدمتها أزمة الملاحة في البحر الأحمر التي أعادت رسم خارطة الأولويات اللوجستية الاستراتيجية للمملكة العربية السعودية والمنطقة. وقد جاء هذا الفصل على امتداد واسع وعمق تحليلي نادر، مُتجاوزاً حدود الوصف إلى رحاب النقد الأكاديمي البنّاء والاقتراح الاستراتيجي المؤسَّس.</w:t>
      </w:r>
    </w:p>
    <w:p w14:paraId="67BAB372"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يشتمل هذا الفصل على عشرة محاور رئيسية كبرى: يبدأ بمناقشة النتائج التفصيلية في ضوء الإطار النظري والأدبيات السابقة، ثم يمتد إلى تحليل المشهد الجيوسياسي الراهن وتداعياته على المنظومة الجمركية الرقمية، ويتوقف طويلاً عند خطط العمل التفصيلية لكل من </w:t>
      </w:r>
      <w:r w:rsidRPr="00F84143">
        <w:rPr>
          <w:rFonts w:ascii="Sakkal Majalla" w:hAnsi="Sakkal Majalla" w:cs="Sakkal Majalla"/>
          <w:sz w:val="28"/>
        </w:rPr>
        <w:t>ZATCA</w:t>
      </w:r>
      <w:r w:rsidRPr="00F84143">
        <w:rPr>
          <w:rFonts w:ascii="Sakkal Majalla" w:hAnsi="Sakkal Majalla" w:cs="Sakkal Majalla"/>
          <w:sz w:val="28"/>
          <w:rtl/>
        </w:rPr>
        <w:t xml:space="preserve"> والمملكة العربية السعودية والمنطقة العربية والقطاع الخاص، وينتهي بلوحة قيادة مؤشرات الأداء الشاملة ومقترحات البحوث المستقبلية والخاتمة. وفي كل محور من هذه المحاور يحرص الباحث على إبداء رأيه العلمي المستقل والصريح، انطلاقاً من إيمانه بأن الرأي الأكاديمي الجريء المؤسَّس على أدلة هو أحد أبرز مساهمات البحث العلمي في المعرفة الإنسانية.</w:t>
      </w:r>
    </w:p>
    <w:p w14:paraId="3D0DF7B0" w14:textId="2C7F433F" w:rsidR="00F84143" w:rsidRDefault="00F84143" w:rsidP="00F84143">
      <w:pPr>
        <w:pStyle w:val="BlockText"/>
        <w:spacing w:line="360" w:lineRule="auto"/>
        <w:jc w:val="lowKashida"/>
        <w:rPr>
          <w:rFonts w:ascii="Sakkal Majalla" w:hAnsi="Sakkal Majalla" w:cs="Sakkal Majalla"/>
          <w:sz w:val="28"/>
          <w:rtl/>
        </w:rPr>
      </w:pPr>
      <w:r w:rsidRPr="006043F5">
        <w:rPr>
          <w:rFonts w:ascii="Sakkal Majalla" w:hAnsi="Sakkal Majalla" w:cs="Sakkal Majalla"/>
          <w:b/>
          <w:bCs/>
          <w:sz w:val="28"/>
          <w:rtl/>
        </w:rPr>
        <w:t>رأي الباحث:</w:t>
      </w:r>
      <w:r w:rsidRPr="00F84143">
        <w:rPr>
          <w:rFonts w:ascii="Sakkal Majalla" w:hAnsi="Sakkal Majalla" w:cs="Sakkal Majalla"/>
          <w:sz w:val="28"/>
          <w:rtl/>
        </w:rPr>
        <w:t xml:space="preserve"> يُشير الباحث في هذا التمهيد إلى حقيقة منهجية جوهرية كثيراً ما تُغفلها الأطروحات الأكاديمية: أن الفصل الختامي لأي بحث علمي هو اختبار الباحث الحقيقي. فحين تنتهي مرحلة جمع البيانات وتحليلها، يجد الباحث نفسه وجهاً لوجه مع أسئلة أعمق: ماذا تعني هذه الأرقام؟ وكيف تُقرأ في سياقها؟ وما الذي يجب أن يتغير بناءً عليها؟ وقد سعت هذه الدراسة إلى الإجابة عن هذه الأسئلة بأمانة علمية تامة ورأي مستقل جريء، وإن تعارض في بعض جوانبه مع التوجه الرسمي السائد.</w:t>
      </w:r>
    </w:p>
    <w:p w14:paraId="2B858562" w14:textId="77777777" w:rsidR="0024476F" w:rsidRDefault="0024476F" w:rsidP="0024476F">
      <w:pPr>
        <w:pStyle w:val="BlockText"/>
        <w:spacing w:line="360" w:lineRule="auto"/>
        <w:ind w:left="26"/>
        <w:rPr>
          <w:rFonts w:ascii="Sakkal Majalla" w:hAnsi="Sakkal Majalla" w:cs="Sakkal Majalla"/>
          <w:b/>
          <w:bCs/>
          <w:sz w:val="28"/>
          <w:rtl/>
        </w:rPr>
      </w:pPr>
    </w:p>
    <w:p w14:paraId="375B46AD" w14:textId="3C5AD3C6"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hint="cs"/>
          <w:b/>
          <w:bCs/>
          <w:sz w:val="28"/>
          <w:rtl/>
        </w:rPr>
        <w:lastRenderedPageBreak/>
        <w:t xml:space="preserve"> </w:t>
      </w:r>
      <w:r w:rsidRPr="0024476F">
        <w:rPr>
          <w:rFonts w:ascii="Sakkal Majalla" w:hAnsi="Sakkal Majalla" w:cs="Sakkal Majalla"/>
          <w:b/>
          <w:bCs/>
          <w:sz w:val="28"/>
          <w:rtl/>
        </w:rPr>
        <w:t>مناقشة النتائج في ضوء الإطار الاقتصادي الاستراتيجي الجمركي</w:t>
      </w:r>
    </w:p>
    <w:p w14:paraId="43B33AE8" w14:textId="58CE1D4D" w:rsidR="0024476F" w:rsidRPr="0024476F"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hint="cs"/>
          <w:sz w:val="28"/>
          <w:rtl/>
        </w:rPr>
        <w:t xml:space="preserve">  </w:t>
      </w:r>
      <w:r w:rsidRPr="0024476F">
        <w:rPr>
          <w:rFonts w:ascii="Sakkal Majalla" w:hAnsi="Sakkal Majalla" w:cs="Sakkal Majalla"/>
          <w:sz w:val="28"/>
        </w:rPr>
        <w:t xml:space="preserve"> </w:t>
      </w:r>
      <w:r w:rsidRPr="0024476F">
        <w:rPr>
          <w:rFonts w:ascii="Sakkal Majalla" w:hAnsi="Sakkal Majalla" w:cs="Sakkal Majalla" w:hint="cs"/>
          <w:sz w:val="28"/>
          <w:rtl/>
        </w:rPr>
        <w:t xml:space="preserve">  </w:t>
      </w:r>
      <w:r w:rsidRPr="0024476F">
        <w:rPr>
          <w:rFonts w:ascii="Sakkal Majalla" w:hAnsi="Sakkal Majalla" w:cs="Sakkal Majalla"/>
          <w:sz w:val="28"/>
          <w:rtl/>
        </w:rPr>
        <w:t>تمهيد: السياق العام لمناقشة النتائج</w:t>
      </w:r>
    </w:p>
    <w:p w14:paraId="4DE7AAE0"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انطلاقاً من نتائج التحليل الإحصائي التي أثبتت وجود تأثير معنوي دال إحصائياً لأبعاد التحول الرقمي (الأسس الرقمية، والابتكار الرقمي، والحوكمة الرقمية) على كلٍّ من تعزيز الأمن وتيسير التجارة بهيئة الزكاة والضريبة والجمارك</w:t>
      </w:r>
      <w:r w:rsidRPr="00E31804">
        <w:rPr>
          <w:rFonts w:ascii="Sakkal Majalla" w:hAnsi="Sakkal Majalla" w:cs="Sakkal Majalla"/>
          <w:sz w:val="28"/>
        </w:rPr>
        <w:t xml:space="preserve"> (ZATCA)</w:t>
      </w:r>
      <w:r w:rsidRPr="00E31804">
        <w:rPr>
          <w:rFonts w:ascii="Sakkal Majalla" w:hAnsi="Sakkal Majalla" w:cs="Sakkal Majalla"/>
          <w:sz w:val="28"/>
          <w:rtl/>
        </w:rPr>
        <w:t>، تسعى هذه المناقشة إلى تأطير تلك النتائج في سياق اقتصادي استراتيجي جمركي متكامل، يأخذ في الحسبان ثلاثة محاور متشابكة: أولاً التوجه العالمي نحو الجمارك الذكية وسلاسل الإمداد الرقمية، وثانياً إعادة رسم المملكة العربية السعودية لاستراتيجيتها اللوجستية البحرية والبرية، وثالثاً المتغيرات الجيوسياسية الراهنة المرتبطة بالصراع الإسرائيلي الإيراني وتداعياته على المنطقة العربية وعلى منظومة التجارة الدولية</w:t>
      </w:r>
      <w:r w:rsidRPr="00E31804">
        <w:rPr>
          <w:rFonts w:ascii="Sakkal Majalla" w:hAnsi="Sakkal Majalla" w:cs="Sakkal Majalla"/>
          <w:sz w:val="28"/>
        </w:rPr>
        <w:t>.</w:t>
      </w:r>
    </w:p>
    <w:p w14:paraId="4B932FFC" w14:textId="3A9BC5EE"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نتائج الدراسة في ضوء الأداء المؤسسي لهيئة</w:t>
      </w:r>
      <w:r w:rsidRPr="0024476F">
        <w:rPr>
          <w:rFonts w:ascii="Sakkal Majalla" w:hAnsi="Sakkal Majalla" w:cs="Sakkal Majalla"/>
          <w:b/>
          <w:bCs/>
          <w:sz w:val="28"/>
        </w:rPr>
        <w:t xml:space="preserve"> ZATCA: </w:t>
      </w:r>
      <w:r w:rsidRPr="0024476F">
        <w:rPr>
          <w:rFonts w:ascii="Sakkal Majalla" w:hAnsi="Sakkal Majalla" w:cs="Sakkal Majalla"/>
          <w:b/>
          <w:bCs/>
          <w:sz w:val="28"/>
          <w:rtl/>
        </w:rPr>
        <w:t>قراءة اقتصادية استراتيجية</w:t>
      </w:r>
    </w:p>
    <w:p w14:paraId="68A4C3DD"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أثبتت نتائج الدراسة الميدانية أن التحول الرقمي في هيئة الزكاة والضريبة والجمارك حقّق مستوىً مرتفعاً من الكفاءة المؤسسية في أبعاد تعزيز الأمن وتيسير التجارة، وذلك على النحو التالي</w:t>
      </w:r>
      <w:r w:rsidRPr="00E31804">
        <w:rPr>
          <w:rFonts w:ascii="Sakkal Majalla" w:hAnsi="Sakkal Majalla" w:cs="Sakkal Majalla"/>
          <w:sz w:val="28"/>
        </w:rPr>
        <w:t>:</w:t>
      </w:r>
    </w:p>
    <w:p w14:paraId="13FAF604" w14:textId="77777777" w:rsidR="0024476F" w:rsidRPr="00E31804"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أولاً: على صعيد تعزيز الأمن</w:t>
      </w:r>
      <w:r w:rsidRPr="00E31804">
        <w:rPr>
          <w:rFonts w:ascii="Sakkal Majalla" w:hAnsi="Sakkal Majalla" w:cs="Sakkal Majalla"/>
          <w:sz w:val="28"/>
          <w:rtl/>
        </w:rPr>
        <w:t>، كشف التحليل العاملي أن عامل "الكفاءة الأمنية الرقمية والوقائية" استأثر بأعلى نسبة تباين مفسَّر بلغت نحو 24.46%، فيما سجّل بُعد تقليل التهرب الضريبي وتعزيز الامتثال أعلى متوسط تشبع عاملي في الدراسة بأكملها بلغ 0.978، مما يعكس وعياً مؤسسياً راسخاً بأن الأمن الرقمي والامتثال المالي ركيزتان لا تنفصلان عن بعضهما في المنظومة الجمركية الحديثة. وتتوافق هذه النتيجة مع ما توصّل إليه كلٌّ من</w:t>
      </w:r>
      <w:r w:rsidRPr="00E31804">
        <w:rPr>
          <w:rFonts w:ascii="Sakkal Majalla" w:hAnsi="Sakkal Majalla" w:cs="Sakkal Majalla"/>
          <w:sz w:val="28"/>
        </w:rPr>
        <w:t xml:space="preserve"> Hanelt et al. (2021) </w:t>
      </w:r>
      <w:r w:rsidRPr="00E31804">
        <w:rPr>
          <w:rFonts w:ascii="Sakkal Majalla" w:hAnsi="Sakkal Majalla" w:cs="Sakkal Majalla"/>
          <w:sz w:val="28"/>
          <w:rtl/>
        </w:rPr>
        <w:t>و</w:t>
      </w:r>
      <w:r w:rsidRPr="00E31804">
        <w:rPr>
          <w:rFonts w:ascii="Sakkal Majalla" w:hAnsi="Sakkal Majalla" w:cs="Sakkal Majalla"/>
          <w:sz w:val="28"/>
        </w:rPr>
        <w:t xml:space="preserve"> Smith (2020) </w:t>
      </w:r>
      <w:r w:rsidRPr="00E31804">
        <w:rPr>
          <w:rFonts w:ascii="Sakkal Majalla" w:hAnsi="Sakkal Majalla" w:cs="Sakkal Majalla"/>
          <w:sz w:val="28"/>
          <w:rtl/>
        </w:rPr>
        <w:t>من أن التحول الثقافي والإطار القانوني يُشكّلان العمود الفقري لأي منظومة أمن جمركي رقمي فعّالة</w:t>
      </w:r>
      <w:r w:rsidRPr="00E31804">
        <w:rPr>
          <w:rFonts w:ascii="Sakkal Majalla" w:hAnsi="Sakkal Majalla" w:cs="Sakkal Majalla"/>
          <w:sz w:val="28"/>
        </w:rPr>
        <w:t>.</w:t>
      </w:r>
    </w:p>
    <w:p w14:paraId="1DBCAD2E" w14:textId="77777777" w:rsidR="0024476F" w:rsidRPr="00E31804"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ثانياً: على صعيد تيسير التجارة</w:t>
      </w:r>
      <w:r w:rsidRPr="00E31804">
        <w:rPr>
          <w:rFonts w:ascii="Sakkal Majalla" w:hAnsi="Sakkal Majalla" w:cs="Sakkal Majalla"/>
          <w:sz w:val="28"/>
          <w:rtl/>
        </w:rPr>
        <w:t>، أظهرت النتائج أن هيئة</w:t>
      </w:r>
      <w:r w:rsidRPr="00E31804">
        <w:rPr>
          <w:rFonts w:ascii="Sakkal Majalla" w:hAnsi="Sakkal Majalla" w:cs="Sakkal Majalla"/>
          <w:sz w:val="28"/>
        </w:rPr>
        <w:t xml:space="preserve"> ZATCA </w:t>
      </w:r>
      <w:r w:rsidRPr="00E31804">
        <w:rPr>
          <w:rFonts w:ascii="Sakkal Majalla" w:hAnsi="Sakkal Majalla" w:cs="Sakkal Majalla"/>
          <w:sz w:val="28"/>
          <w:rtl/>
        </w:rPr>
        <w:t>قطعت شوطاً متقدماً في تقليص متوسط زمن الإفراج الجمركي إلى ما بين ساعة وساعتين في شحنات منخفضة المخاطر، وهو مستوى يُنافس نظيره في الاتحاد الأوروبي ويتجاوز النموذج الأمريكي</w:t>
      </w:r>
      <w:r w:rsidRPr="00E31804">
        <w:rPr>
          <w:rFonts w:ascii="Sakkal Majalla" w:hAnsi="Sakkal Majalla" w:cs="Sakkal Majalla"/>
          <w:sz w:val="28"/>
        </w:rPr>
        <w:t xml:space="preserve"> (CBP)</w:t>
      </w:r>
      <w:r w:rsidRPr="00E31804">
        <w:rPr>
          <w:rFonts w:ascii="Sakkal Majalla" w:hAnsi="Sakkal Majalla" w:cs="Sakkal Majalla"/>
          <w:sz w:val="28"/>
          <w:rtl/>
        </w:rPr>
        <w:t>، فيما لا يزال يقل عن النموذج السنغافوري الذي بات يُنجز بعض عمليات الفسح في أقل من 15 دقيقة بفضل منظومة</w:t>
      </w:r>
      <w:r w:rsidRPr="00E31804">
        <w:rPr>
          <w:rFonts w:ascii="Sakkal Majalla" w:hAnsi="Sakkal Majalla" w:cs="Sakkal Majalla"/>
          <w:sz w:val="28"/>
        </w:rPr>
        <w:t xml:space="preserve"> DAISY </w:t>
      </w:r>
      <w:r w:rsidRPr="00E31804">
        <w:rPr>
          <w:rFonts w:ascii="Sakkal Majalla" w:hAnsi="Sakkal Majalla" w:cs="Sakkal Majalla"/>
          <w:sz w:val="28"/>
          <w:rtl/>
        </w:rPr>
        <w:t>المعتمدة على الذكاء الاصطناعي. ومن الناحية الاقتصادية، يُترجَم هذا الأداء إلى وفورات تشغيلية تُقدَّر بنحو 2.1 مليار ريال سنوياً في تكاليف اللوجستيات الجمركية وفق تقرير</w:t>
      </w:r>
      <w:r w:rsidRPr="00E31804">
        <w:rPr>
          <w:rFonts w:ascii="Sakkal Majalla" w:hAnsi="Sakkal Majalla" w:cs="Sakkal Majalla"/>
          <w:sz w:val="28"/>
        </w:rPr>
        <w:t xml:space="preserve"> ZATCA (2025)</w:t>
      </w:r>
      <w:r w:rsidRPr="00E31804">
        <w:rPr>
          <w:rFonts w:ascii="Sakkal Majalla" w:hAnsi="Sakkal Majalla" w:cs="Sakkal Majalla"/>
          <w:sz w:val="28"/>
          <w:rtl/>
        </w:rPr>
        <w:t>، فضلاً عن مساهمته في رفع تصنيف المملكة على مؤشر أداء اللوجستيات</w:t>
      </w:r>
      <w:r w:rsidRPr="00E31804">
        <w:rPr>
          <w:rFonts w:ascii="Sakkal Majalla" w:hAnsi="Sakkal Majalla" w:cs="Sakkal Majalla"/>
          <w:sz w:val="28"/>
        </w:rPr>
        <w:t xml:space="preserve"> (LPI) </w:t>
      </w:r>
      <w:r w:rsidRPr="00E31804">
        <w:rPr>
          <w:rFonts w:ascii="Sakkal Majalla" w:hAnsi="Sakkal Majalla" w:cs="Sakkal Majalla"/>
          <w:sz w:val="28"/>
          <w:rtl/>
        </w:rPr>
        <w:t>الصادر عن البنك الدولي</w:t>
      </w:r>
      <w:r w:rsidRPr="00E31804">
        <w:rPr>
          <w:rFonts w:ascii="Sakkal Majalla" w:hAnsi="Sakkal Majalla" w:cs="Sakkal Majalla"/>
          <w:sz w:val="28"/>
        </w:rPr>
        <w:t xml:space="preserve"> (World Bank, 2020).</w:t>
      </w:r>
    </w:p>
    <w:p w14:paraId="39F675B8" w14:textId="3F0EECB6" w:rsidR="0024476F" w:rsidRDefault="0024476F" w:rsidP="0024476F">
      <w:pPr>
        <w:pStyle w:val="BlockText"/>
        <w:spacing w:line="360" w:lineRule="auto"/>
        <w:ind w:left="26"/>
        <w:rPr>
          <w:rFonts w:ascii="Sakkal Majalla" w:hAnsi="Sakkal Majalla" w:cs="Sakkal Majalla"/>
          <w:b/>
          <w:bCs/>
          <w:sz w:val="28"/>
          <w:rtl/>
        </w:rPr>
      </w:pPr>
      <w:r w:rsidRPr="0024476F">
        <w:rPr>
          <w:rFonts w:ascii="Sakkal Majalla" w:hAnsi="Sakkal Majalla" w:cs="Sakkal Majalla" w:hint="cs"/>
          <w:b/>
          <w:bCs/>
          <w:sz w:val="28"/>
          <w:rtl/>
        </w:rPr>
        <w:lastRenderedPageBreak/>
        <w:t xml:space="preserve"> </w:t>
      </w:r>
      <w:r w:rsidRPr="0024476F">
        <w:rPr>
          <w:rFonts w:ascii="Sakkal Majalla" w:hAnsi="Sakkal Majalla" w:cs="Sakkal Majalla"/>
          <w:b/>
          <w:bCs/>
          <w:sz w:val="28"/>
          <w:rtl/>
        </w:rPr>
        <w:t xml:space="preserve">التحول الرقمي وإعادة رسم الاستراتيجية اللوجستية السعودية: </w:t>
      </w:r>
    </w:p>
    <w:p w14:paraId="6A4C7A40" w14:textId="649EC4F2" w:rsidR="0024476F" w:rsidRPr="0024476F"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الدعم البحري والبري في سلاسل الإمداد</w:t>
      </w:r>
    </w:p>
    <w:p w14:paraId="12FAE077"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تكتسب نتائج الدراسة أهمية استراتيجية مضاعفة حين تُقرأ في سياق التحولات الجوهرية التي شهدتها الاستراتيجية اللوجستية للمملكة العربية السعودية خلال الفترة 2022–2025، لا سيما في ضوء مساعي رؤية 2030 لتحويل المملكة إلى مركز لوجستي عالمي يربط ثلاث قارات</w:t>
      </w:r>
      <w:r w:rsidRPr="00E31804">
        <w:rPr>
          <w:rFonts w:ascii="Sakkal Majalla" w:hAnsi="Sakkal Majalla" w:cs="Sakkal Majalla"/>
          <w:sz w:val="28"/>
        </w:rPr>
        <w:t>.</w:t>
      </w:r>
    </w:p>
    <w:p w14:paraId="3D81E855"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أولاً: تطوير البنية اللوجستية البحرية</w:t>
      </w:r>
    </w:p>
    <w:p w14:paraId="3BBADA13"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أطلقت المملكة العربية السعودية حزمة من المبادرات اللوجستية البحرية الكبرى التي تتكامل مباشرةً مع نتائج هذه الدراسة؛ إذ باتت موانئ جدة الإسلامية وميناء الملك عبدالله وميناء جازان تعتمد منظومة رقمية متكاملة للتخليص الجمركي تتصل مباشرةً بأنظمة</w:t>
      </w:r>
      <w:r w:rsidRPr="00E31804">
        <w:rPr>
          <w:rFonts w:ascii="Sakkal Majalla" w:hAnsi="Sakkal Majalla" w:cs="Sakkal Majalla"/>
          <w:sz w:val="28"/>
        </w:rPr>
        <w:t xml:space="preserve"> ZATCA</w:t>
      </w:r>
      <w:r w:rsidRPr="00E31804">
        <w:rPr>
          <w:rFonts w:ascii="Sakkal Majalla" w:hAnsi="Sakkal Majalla" w:cs="Sakkal Majalla"/>
          <w:sz w:val="28"/>
          <w:rtl/>
        </w:rPr>
        <w:t>، مما أسهم في تقليص أوقات التخليص بنسبة تتجاوز 40% مقارنةً بما قبل 2020 (تقرير هيئة الموانئ السعودية، 2024). وفي ضوء نتائج الدراسة الحالية التي أثبتت الأثر الإيجابي للابتكار الرقمي على تيسير التجارة، يمكن القول إن المنافذ البحرية باتت تُجسّد النموذج التطبيقي الأوضح لهذا الأثر، حيث دُمجت منصات التخليص الجمركي الرقمي مع أنظمة تتبع الحاويات في الوقت الحقيقي</w:t>
      </w:r>
      <w:r w:rsidRPr="00E31804">
        <w:rPr>
          <w:rFonts w:ascii="Sakkal Majalla" w:hAnsi="Sakkal Majalla" w:cs="Sakkal Majalla"/>
          <w:sz w:val="28"/>
        </w:rPr>
        <w:t xml:space="preserve"> (Real-time Container Tracking) </w:t>
      </w:r>
      <w:r w:rsidRPr="00E31804">
        <w:rPr>
          <w:rFonts w:ascii="Sakkal Majalla" w:hAnsi="Sakkal Majalla" w:cs="Sakkal Majalla"/>
          <w:sz w:val="28"/>
          <w:rtl/>
        </w:rPr>
        <w:t>بما يُعزز الأمن ويُقلّص تكاليف التشغيل في آنٍ واحد</w:t>
      </w:r>
      <w:r w:rsidRPr="00E31804">
        <w:rPr>
          <w:rFonts w:ascii="Sakkal Majalla" w:hAnsi="Sakkal Majalla" w:cs="Sakkal Majalla"/>
          <w:sz w:val="28"/>
        </w:rPr>
        <w:t>.</w:t>
      </w:r>
    </w:p>
    <w:p w14:paraId="0A4CD28A"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ثانياً: تطوير البنية اللوجستية البرية وممرات التجارة</w:t>
      </w:r>
    </w:p>
    <w:p w14:paraId="40359E1F"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على صعيد اللوجستيات البرية، وضعت المملكة الربط البري بدول مجلس التعاون الخليجي في صدارة أولوياتها اللوجستية، إذ تعمل هيئة</w:t>
      </w:r>
      <w:r w:rsidRPr="00E31804">
        <w:rPr>
          <w:rFonts w:ascii="Sakkal Majalla" w:hAnsi="Sakkal Majalla" w:cs="Sakkal Majalla"/>
          <w:sz w:val="28"/>
        </w:rPr>
        <w:t xml:space="preserve"> ZATCA </w:t>
      </w:r>
      <w:r w:rsidRPr="00E31804">
        <w:rPr>
          <w:rFonts w:ascii="Sakkal Majalla" w:hAnsi="Sakkal Majalla" w:cs="Sakkal Majalla"/>
          <w:sz w:val="28"/>
          <w:rtl/>
        </w:rPr>
        <w:t>على توحيد منظومة التخليص الجمركي عبر المنافذ البرية الكبرى كمنفذ البطحاء ومنفذ حالة عمار وغيرهما، وذلك في إطار مشروع "النافذة الجمركية الخليجية الموحدة" الذي يهدف إلى تحقيق تكامل رقمي جمركي كامل بين دول المجلس بحلول 2026. وتتقاطع هذه المبادرة مع نتيجة دراستنا التي أظهرت أن عامل "التكامل المؤسسي والشراكات الاستراتيجية" فسّر ما يقارب 11.71% من التباين الكلي، مما يؤكد أن الشراكات عابرة الحدود تُمثّل بُعداً استراتيجياً محورياً في تعزيز فعالية التحول الرقمي الجمركي</w:t>
      </w:r>
      <w:r w:rsidRPr="00E31804">
        <w:rPr>
          <w:rFonts w:ascii="Sakkal Majalla" w:hAnsi="Sakkal Majalla" w:cs="Sakkal Majalla"/>
          <w:sz w:val="28"/>
        </w:rPr>
        <w:t>.</w:t>
      </w:r>
    </w:p>
    <w:p w14:paraId="63FFE89F"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ثالثاً: دمج المملكة في سلاسل الإمداد الإقليمية والدولية</w:t>
      </w:r>
    </w:p>
    <w:p w14:paraId="6B8C0209"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lastRenderedPageBreak/>
        <w:t>تسعى المملكة العربية السعودية في إطار رؤية 2030 إلى تحقيق دمج فعلي في سلاسل الإمداد الدولية عبر محورين متوازيين: الأول هو تطوير منطقة نيوم وميناء أكبو</w:t>
      </w:r>
      <w:r w:rsidRPr="00E31804">
        <w:rPr>
          <w:rFonts w:ascii="Sakkal Majalla" w:hAnsi="Sakkal Majalla" w:cs="Sakkal Majalla"/>
          <w:sz w:val="28"/>
        </w:rPr>
        <w:t xml:space="preserve"> (NEOM) </w:t>
      </w:r>
      <w:r w:rsidRPr="00E31804">
        <w:rPr>
          <w:rFonts w:ascii="Sakkal Majalla" w:hAnsi="Sakkal Majalla" w:cs="Sakkal Majalla"/>
          <w:sz w:val="28"/>
          <w:rtl/>
        </w:rPr>
        <w:t>باعتبارهما نموذجاً للجمارك الذكية الكاملة، والثاني هو الانضمام الفاعل إلى اتفاقية تيسير التجارة لمنظمة التجارة العالمية</w:t>
      </w:r>
      <w:r w:rsidRPr="00E31804">
        <w:rPr>
          <w:rFonts w:ascii="Sakkal Majalla" w:hAnsi="Sakkal Majalla" w:cs="Sakkal Majalla"/>
          <w:sz w:val="28"/>
        </w:rPr>
        <w:t xml:space="preserve"> (WTO-TFA) </w:t>
      </w:r>
      <w:r w:rsidRPr="00E31804">
        <w:rPr>
          <w:rFonts w:ascii="Sakkal Majalla" w:hAnsi="Sakkal Majalla" w:cs="Sakkal Majalla"/>
          <w:sz w:val="28"/>
          <w:rtl/>
        </w:rPr>
        <w:t>بالشكل الذي يُلزم بتطبيق معايير الشفافية الجمركية الرقمية الكاملة. وتدعم نتائج هذه الدراسة هذين المحورين، لا سيما في ضوء ما أثبته التحليل الإحصائي من أن تحسّن الأسس الرقمية يرتبط ارتباطاً طردياً معنوياً بتحسّن مؤشرات تيسير التجارة وتقليص التهريب والتهرب الضريبي، وهو ما يتسق مع توصيات تقرير</w:t>
      </w:r>
      <w:r w:rsidRPr="00E31804">
        <w:rPr>
          <w:rFonts w:ascii="Sakkal Majalla" w:hAnsi="Sakkal Majalla" w:cs="Sakkal Majalla"/>
          <w:sz w:val="28"/>
        </w:rPr>
        <w:t xml:space="preserve"> OECD (2020) </w:t>
      </w:r>
      <w:r w:rsidRPr="00E31804">
        <w:rPr>
          <w:rFonts w:ascii="Sakkal Majalla" w:hAnsi="Sakkal Majalla" w:cs="Sakkal Majalla"/>
          <w:sz w:val="28"/>
          <w:rtl/>
        </w:rPr>
        <w:t>حول معايير الجاهزية الرقمية لدول الاقتصادات الكبرى</w:t>
      </w:r>
      <w:r w:rsidRPr="00E31804">
        <w:rPr>
          <w:rFonts w:ascii="Sakkal Majalla" w:hAnsi="Sakkal Majalla" w:cs="Sakkal Majalla"/>
          <w:sz w:val="28"/>
        </w:rPr>
        <w:t>.</w:t>
      </w:r>
    </w:p>
    <w:p w14:paraId="75371125"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غير أن الدراسة رصدت جملة من التحديات التشغيلية التي ينبغي أخذها في الحسبان عند دمج الاستراتيجية الرقمية الجمركية في سلاسل الإمداد، أبرزها: (أ) فجوة الابتكار التنبؤي، إذ لا تزال دقة نماذج الذكاء الاصطناعي في</w:t>
      </w:r>
      <w:r w:rsidRPr="00E31804">
        <w:rPr>
          <w:rFonts w:ascii="Sakkal Majalla" w:hAnsi="Sakkal Majalla" w:cs="Sakkal Majalla"/>
          <w:sz w:val="28"/>
        </w:rPr>
        <w:t xml:space="preserve"> ZATCA </w:t>
      </w:r>
      <w:r w:rsidRPr="00E31804">
        <w:rPr>
          <w:rFonts w:ascii="Sakkal Majalla" w:hAnsi="Sakkal Majalla" w:cs="Sakkal Majalla"/>
          <w:sz w:val="28"/>
          <w:rtl/>
        </w:rPr>
        <w:t>البالغة نحو 81% تقل عن مستوياتها في كوريا الجنوبية (94%) وسنغافورة</w:t>
      </w:r>
      <w:r w:rsidRPr="00E31804">
        <w:rPr>
          <w:rFonts w:ascii="Sakkal Majalla" w:hAnsi="Sakkal Majalla" w:cs="Sakkal Majalla"/>
          <w:sz w:val="28"/>
        </w:rPr>
        <w:t xml:space="preserve"> (DAISY)</w:t>
      </w:r>
      <w:r w:rsidRPr="00E31804">
        <w:rPr>
          <w:rFonts w:ascii="Sakkal Majalla" w:hAnsi="Sakkal Majalla" w:cs="Sakkal Majalla"/>
          <w:sz w:val="28"/>
          <w:rtl/>
        </w:rPr>
        <w:t>، مما يستدعي استثمارات إضافية في الذكاء الاصطناعي الوقائي. و(ب) محدودية التكامل الإقليمي المتعدد الأطراف خارج نطاق دول مجلس التعاون، إذ لم يبلغ عدد الجهات المرتبطة رقمياً بمنصات</w:t>
      </w:r>
      <w:r w:rsidRPr="00E31804">
        <w:rPr>
          <w:rFonts w:ascii="Sakkal Majalla" w:hAnsi="Sakkal Majalla" w:cs="Sakkal Majalla"/>
          <w:sz w:val="28"/>
        </w:rPr>
        <w:t xml:space="preserve"> ZATCA </w:t>
      </w:r>
      <w:r w:rsidRPr="00E31804">
        <w:rPr>
          <w:rFonts w:ascii="Sakkal Majalla" w:hAnsi="Sakkal Majalla" w:cs="Sakkal Majalla"/>
          <w:sz w:val="28"/>
          <w:rtl/>
        </w:rPr>
        <w:t>مبلغه في نموذج سنغافورة</w:t>
      </w:r>
      <w:r w:rsidRPr="00E31804">
        <w:rPr>
          <w:rFonts w:ascii="Sakkal Majalla" w:hAnsi="Sakkal Majalla" w:cs="Sakkal Majalla"/>
          <w:sz w:val="28"/>
        </w:rPr>
        <w:t xml:space="preserve"> (NTP) </w:t>
      </w:r>
      <w:r w:rsidRPr="00E31804">
        <w:rPr>
          <w:rFonts w:ascii="Sakkal Majalla" w:hAnsi="Sakkal Majalla" w:cs="Sakkal Majalla"/>
          <w:sz w:val="28"/>
          <w:rtl/>
        </w:rPr>
        <w:t>الذي يربط 100% من الجهات المعنية. و(ج) التحديات المرتبطة بالتوسع في تطبيق الفوترة الإلكترونية الإلزامية</w:t>
      </w:r>
      <w:r w:rsidRPr="00E31804">
        <w:rPr>
          <w:rFonts w:ascii="Sakkal Majalla" w:hAnsi="Sakkal Majalla" w:cs="Sakkal Majalla"/>
          <w:sz w:val="28"/>
        </w:rPr>
        <w:t xml:space="preserve"> (e-invoicing) </w:t>
      </w:r>
      <w:r w:rsidRPr="00E31804">
        <w:rPr>
          <w:rFonts w:ascii="Sakkal Majalla" w:hAnsi="Sakkal Majalla" w:cs="Sakkal Majalla"/>
          <w:sz w:val="28"/>
          <w:rtl/>
        </w:rPr>
        <w:t>وإخضاع القطاعات الاقتصادية غير الرسمية لمنظومة الامتثال الجمركي والضريبي الرقمي الكامل</w:t>
      </w:r>
      <w:r w:rsidRPr="00E31804">
        <w:rPr>
          <w:rFonts w:ascii="Sakkal Majalla" w:hAnsi="Sakkal Majalla" w:cs="Sakkal Majalla"/>
          <w:sz w:val="28"/>
        </w:rPr>
        <w:t>.</w:t>
      </w:r>
    </w:p>
    <w:p w14:paraId="16C82A3C" w14:textId="77777777" w:rsidR="0024476F" w:rsidRDefault="0024476F" w:rsidP="0024476F">
      <w:pPr>
        <w:pStyle w:val="BlockText"/>
        <w:spacing w:line="360" w:lineRule="auto"/>
        <w:ind w:left="26"/>
        <w:rPr>
          <w:rFonts w:ascii="Sakkal Majalla" w:hAnsi="Sakkal Majalla" w:cs="Sakkal Majalla"/>
          <w:sz w:val="28"/>
          <w:rtl/>
        </w:rPr>
      </w:pPr>
      <w:r w:rsidRPr="0024476F">
        <w:rPr>
          <w:rFonts w:ascii="Sakkal Majalla" w:hAnsi="Sakkal Majalla" w:cs="Sakkal Majalla"/>
          <w:b/>
          <w:bCs/>
          <w:sz w:val="28"/>
        </w:rPr>
        <w:t xml:space="preserve"> </w:t>
      </w:r>
      <w:r w:rsidRPr="0024476F">
        <w:rPr>
          <w:rFonts w:ascii="Sakkal Majalla" w:hAnsi="Sakkal Majalla" w:cs="Sakkal Majalla" w:hint="cs"/>
          <w:b/>
          <w:bCs/>
          <w:sz w:val="28"/>
          <w:rtl/>
        </w:rPr>
        <w:t xml:space="preserve">  </w:t>
      </w:r>
      <w:r w:rsidRPr="0024476F">
        <w:rPr>
          <w:rFonts w:ascii="Sakkal Majalla" w:hAnsi="Sakkal Majalla" w:cs="Sakkal Majalla"/>
          <w:b/>
          <w:bCs/>
          <w:sz w:val="28"/>
          <w:rtl/>
        </w:rPr>
        <w:t>الصراع الإسرائيلي الإيراني وتداعياته على التجارة الإقليمية والأمن الجمركي السعودي</w:t>
      </w:r>
      <w:r w:rsidRPr="0024476F">
        <w:rPr>
          <w:rFonts w:ascii="Sakkal Majalla" w:hAnsi="Sakkal Majalla" w:cs="Sakkal Majalla"/>
          <w:sz w:val="28"/>
          <w:rtl/>
        </w:rPr>
        <w:t xml:space="preserve">: </w:t>
      </w:r>
    </w:p>
    <w:p w14:paraId="11335958" w14:textId="2BD6A5AE" w:rsidR="0024476F" w:rsidRPr="00E31804"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محور استراتيجي راهن</w:t>
      </w:r>
      <w:r>
        <w:rPr>
          <w:rFonts w:ascii="Sakkal Majalla" w:hAnsi="Sakkal Majalla" w:cs="Sakkal Majalla" w:hint="cs"/>
          <w:sz w:val="28"/>
          <w:rtl/>
        </w:rPr>
        <w:t xml:space="preserve"> </w:t>
      </w:r>
      <w:r w:rsidRPr="00E31804">
        <w:rPr>
          <w:rFonts w:ascii="Sakkal Majalla" w:hAnsi="Sakkal Majalla" w:cs="Sakkal Majalla"/>
          <w:sz w:val="28"/>
          <w:rtl/>
        </w:rPr>
        <w:t>يُعدّ هذا المحور من أكثر المتغيرات الجيوسياسية إلحاحاً في فهم السياق الذي تعمل فيه هيئة</w:t>
      </w:r>
      <w:r w:rsidRPr="00E31804">
        <w:rPr>
          <w:rFonts w:ascii="Sakkal Majalla" w:hAnsi="Sakkal Majalla" w:cs="Sakkal Majalla"/>
          <w:sz w:val="28"/>
        </w:rPr>
        <w:t xml:space="preserve"> ZATCA </w:t>
      </w:r>
      <w:r w:rsidRPr="00E31804">
        <w:rPr>
          <w:rFonts w:ascii="Sakkal Majalla" w:hAnsi="Sakkal Majalla" w:cs="Sakkal Majalla"/>
          <w:sz w:val="28"/>
          <w:rtl/>
        </w:rPr>
        <w:t>وتتشكّل فيه أولوياتها الاستراتيجية للتحول الرقمي. فمنذ تصاعد التوترات الإيرانية الإسرائيلية في الفترة 2023-2025، وما رافقها من ضربات متبادلة وتهديدات للممرات الملاحية الحيوية، باتت الاستراتيجية الجمركية الأمنية للمملكة تعمل في بيئة إقليمية بالغة التعقيد تتشابك فيها أربعة محاور</w:t>
      </w:r>
      <w:r w:rsidRPr="00E31804">
        <w:rPr>
          <w:rFonts w:ascii="Sakkal Majalla" w:hAnsi="Sakkal Majalla" w:cs="Sakkal Majalla"/>
          <w:sz w:val="28"/>
        </w:rPr>
        <w:t>:</w:t>
      </w:r>
    </w:p>
    <w:p w14:paraId="79F74E8C"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الأول: التهديدات لمسالك التجارة الدولية عبر البحر الأحمر وهرمز</w:t>
      </w:r>
    </w:p>
    <w:p w14:paraId="1F8D38F0"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 xml:space="preserve">أسفرت هجمات الحوثيين في اليمن، المدعومين إيرانياً، على الملاحة في البحر الأحمر منذ أواخر 2023، عن توترات حادة في مسالك الشحن العالمية، إذ اضطرت عشرات شركات الشحن الكبرى إلى تحويل مساراتها حول رأس الحسن الأفريقي بدلاً من المرور عبر قناة السويس، مما رفع تكاليف الشحن الدولي بنسبة تتراوح بين 150% و300% في بعض المسارات. وقد ألقى </w:t>
      </w:r>
      <w:r w:rsidRPr="00E31804">
        <w:rPr>
          <w:rFonts w:ascii="Sakkal Majalla" w:hAnsi="Sakkal Majalla" w:cs="Sakkal Majalla"/>
          <w:sz w:val="28"/>
          <w:rtl/>
        </w:rPr>
        <w:lastRenderedPageBreak/>
        <w:t>ذلك بظلاله مباشرةً على منظومة سلاسل الإمداد في المنطقة العربية ككل، وعلى الاقتصاد السعودي تحديداً، نظراً لاعتماد قطاع الاستيراد السعودي اعتماداً جوهرياً على مسار البحر الأحمر. وفي هذا السياق، تبرز نتائج الدراسة الحالية التي أثبتت أن تعزيز قدرات الرقابة الرقمية الجمركية يرتبط ارتباطاً إيجابياً بالاستجابة السريعة للأزمات اللوجستية، باعتبار أن المنظومة الرقمية المتكاملة تُتيح إعادة توجيه تدفقات البضائع وتعديل آليات التخليص في الوقت الحقيقي بما يُقلّص الأضرار الاقتصادية الناجمة عن تعطّل الممرات الملاحية التقليدية</w:t>
      </w:r>
      <w:r w:rsidRPr="00E31804">
        <w:rPr>
          <w:rFonts w:ascii="Sakkal Majalla" w:hAnsi="Sakkal Majalla" w:cs="Sakkal Majalla"/>
          <w:sz w:val="28"/>
        </w:rPr>
        <w:t>.</w:t>
      </w:r>
    </w:p>
    <w:p w14:paraId="07CE0E35"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الثاني: إعادة رسم المملكة لخريطة اعتمادها اللوجستي</w:t>
      </w:r>
    </w:p>
    <w:p w14:paraId="0703B184"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في ضوء التهديدات المتصاعدة للممرات الملاحية، شرعت المملكة العربية السعودية في إعادة هيكلة خارطة اعتمادها اللوجستي عبر ثلاثة مسارات متوازية: الأول هو تعزيز ميناء الجبيل وميناء الدمام على ساحل الخليج العربي بديلاً احتياطياً استراتيجياً عن موانئ البحر الأحمر عند الضرورة، مع ربطهما رقمياً الكامل بمنظومة</w:t>
      </w:r>
      <w:r w:rsidRPr="00E31804">
        <w:rPr>
          <w:rFonts w:ascii="Sakkal Majalla" w:hAnsi="Sakkal Majalla" w:cs="Sakkal Majalla"/>
          <w:sz w:val="28"/>
        </w:rPr>
        <w:t xml:space="preserve"> ZATCA </w:t>
      </w:r>
      <w:r w:rsidRPr="00E31804">
        <w:rPr>
          <w:rFonts w:ascii="Sakkal Majalla" w:hAnsi="Sakkal Majalla" w:cs="Sakkal Majalla"/>
          <w:sz w:val="28"/>
          <w:rtl/>
        </w:rPr>
        <w:t>الجمركية. والثاني هو تطوير الشبكة البرية عبر الأردن والعراق وصولاً إلى أوروبا وآسيا الوسطى في إطار منظومة "طريق التنمية" العراقي والممرات البرية البديلة، وذلك باعتبارهما خطي دفاع لوجستيين أمام أي انقطاع في الممرات البحرية. والثالث هو التسريع في تطوير الربط الجوي اللوجستي عبر مطارات الدمام وجدة والرياض لاستيعاب حركة الشحن الجوي المتصاعدة جراء إعادة التوجيه اللوجستي. وتتصل هذه المبادرات الثلاث بنتائج الدراسة اتصالاً مباشراً، إذ يستلزم التحوّل إلى مسارات لوجستية بديلة تكاملاً رقمياً جمركياً سلساً بين المنافذ المختلفة، وهو ما يُجسّد تماماً الأثر الإيجابي الذي رصدته الدراسة لبُعد "الحوكمة الرقمية" على تيسير التجارة</w:t>
      </w:r>
      <w:r w:rsidRPr="00E31804">
        <w:rPr>
          <w:rFonts w:ascii="Sakkal Majalla" w:hAnsi="Sakkal Majalla" w:cs="Sakkal Majalla"/>
          <w:sz w:val="28"/>
        </w:rPr>
        <w:t>.</w:t>
      </w:r>
    </w:p>
    <w:p w14:paraId="33BDD983"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الثالث: التداعيات الأمنية المباشرة على الجمارك السعودية</w:t>
      </w:r>
    </w:p>
    <w:p w14:paraId="154E5826"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 xml:space="preserve">أفرز الصراع الإسرائيلي الإيراني تداعيات أمنية مباشرة على منظومة الأمن الجمركي في المملكة، تتجلى في عدة محاور: (أ) تصاعد مخاطر تهريب الأسلحة والمواد ذات الاستخدام المزدوج عبر المنافذ البرية والبحرية في ظل اضطراب موازين القوى الإقليمية، وهو ما يستدعي تعزيزاً إضافياً لمنظومة الرقابة الجمركية الذكية القائمة على الذكاء الاصطناعي وتحليل المخاطر المسبق. و(ب) تصاعد التهديدات السيبرانية الموجّهة للبنية التحتية الجمركية الرقمية من جهات حكومية وشبه حكومية في المنطقة، مما يجعل نتيجة الدراسة المتعلقة بالأثر الإيجابي لبُعد الأسس الرقمية على تعزيز الأمن السيبراني ذات صلة استراتيجية بالغة الأهمية. و(ج) ضرورة تعزيز التكامل الاستخباراتي الجمركي مع الجهات الإقليمية والدولية المعنية لمواجهة </w:t>
      </w:r>
      <w:r w:rsidRPr="00E31804">
        <w:rPr>
          <w:rFonts w:ascii="Sakkal Majalla" w:hAnsi="Sakkal Majalla" w:cs="Sakkal Majalla"/>
          <w:sz w:val="28"/>
          <w:rtl/>
        </w:rPr>
        <w:lastRenderedPageBreak/>
        <w:t>التهديدات العابرة للحدود، وهو ما يتقاطع مع ما أثبتته الدراسة من أهمية بُعد "التكامل والشراكات الاستراتيجية" في تعزيز الأمن الجمركي</w:t>
      </w:r>
      <w:r w:rsidRPr="00E31804">
        <w:rPr>
          <w:rFonts w:ascii="Sakkal Majalla" w:hAnsi="Sakkal Majalla" w:cs="Sakkal Majalla"/>
          <w:sz w:val="28"/>
        </w:rPr>
        <w:t>.</w:t>
      </w:r>
    </w:p>
    <w:p w14:paraId="7998704F"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الرابع: فرص اقتصادية استراتيجية نشأت عن التحولات الإقليمية</w:t>
      </w:r>
    </w:p>
    <w:p w14:paraId="681983FA"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في مقابل تلك التحديات، أفرز الاضطراب الإقليمي فرصاً استراتيجية حقيقية للمملكة العربية السعودية لتعزيز دورها كمركز لوجستي بديل في المنطقة؛ إذ باتت دول عديدة تسعى لتنويع مسارات سلاسل إمدادها بعيداً عن المسارات المعرّضة للتهديد، مما يفتح أمام المملكة فرصة لاستقطاب حصة أكبر من حركة الترانزيت الإقليمي والدولي. وتكتسب نتائج الدراسة هنا أهمية استراتيجية واضحة، إذ يُثبت التحليل الإحصائي أن تعزيز التحول الرقمي الجمركي يُسهم مباشرةً في رفع كفاءة وتنافسية المملكة كمركز لوجستي، وذلك عبر تحسين مؤشرات سرعة التخليص، ودقة الرقابة، وشفافية الإجراءات، وهي المعايير التي تتصدر قائمة متطلبات الشركاء التجاريين الدوليين عند اختيار مسارات سلاسل إمدادهم</w:t>
      </w:r>
      <w:r w:rsidRPr="00E31804">
        <w:rPr>
          <w:rFonts w:ascii="Sakkal Majalla" w:hAnsi="Sakkal Majalla" w:cs="Sakkal Majalla"/>
          <w:sz w:val="28"/>
        </w:rPr>
        <w:t>.</w:t>
      </w:r>
    </w:p>
    <w:p w14:paraId="35E902A2" w14:textId="02452CB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hint="cs"/>
          <w:b/>
          <w:bCs/>
          <w:sz w:val="28"/>
          <w:rtl/>
        </w:rPr>
        <w:t xml:space="preserve">  </w:t>
      </w:r>
      <w:r w:rsidRPr="0024476F">
        <w:rPr>
          <w:rFonts w:ascii="Sakkal Majalla" w:hAnsi="Sakkal Majalla" w:cs="Sakkal Majalla"/>
          <w:b/>
          <w:bCs/>
          <w:sz w:val="28"/>
          <w:rtl/>
        </w:rPr>
        <w:t>خلاصة المناقشة: نحو منظومة جمركية رقمية آمنة ومرنة</w:t>
      </w:r>
    </w:p>
    <w:p w14:paraId="4716E182"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تكشف مناقشة نتائج الدراسة في ضوء هذه المحاور الاستراتيجية الثلاثة</w:t>
      </w:r>
      <w:r w:rsidRPr="00E31804">
        <w:rPr>
          <w:rFonts w:ascii="Sakkal Majalla" w:hAnsi="Sakkal Majalla" w:cs="Sakkal Majalla"/>
          <w:sz w:val="28"/>
        </w:rPr>
        <w:t xml:space="preserve"> (</w:t>
      </w:r>
      <w:r w:rsidRPr="00E31804">
        <w:rPr>
          <w:rFonts w:ascii="Sakkal Majalla" w:hAnsi="Sakkal Majalla" w:cs="Sakkal Majalla"/>
          <w:sz w:val="28"/>
          <w:rtl/>
        </w:rPr>
        <w:t>الأداء المؤسسي لـ</w:t>
      </w:r>
      <w:r w:rsidRPr="00E31804">
        <w:rPr>
          <w:rFonts w:ascii="Sakkal Majalla" w:hAnsi="Sakkal Majalla" w:cs="Sakkal Majalla"/>
          <w:sz w:val="28"/>
        </w:rPr>
        <w:t xml:space="preserve"> ZATCA</w:t>
      </w:r>
      <w:r w:rsidRPr="00E31804">
        <w:rPr>
          <w:rFonts w:ascii="Sakkal Majalla" w:hAnsi="Sakkal Majalla" w:cs="Sakkal Majalla"/>
          <w:sz w:val="28"/>
          <w:rtl/>
        </w:rPr>
        <w:t>، والاستراتيجية اللوجستية السعودية، والبيئة الجيوسياسية الإقليمية</w:t>
      </w:r>
      <w:r w:rsidRPr="00E31804">
        <w:rPr>
          <w:rFonts w:ascii="Sakkal Majalla" w:hAnsi="Sakkal Majalla" w:cs="Sakkal Majalla"/>
          <w:sz w:val="28"/>
        </w:rPr>
        <w:t xml:space="preserve">) </w:t>
      </w:r>
      <w:r w:rsidRPr="00E31804">
        <w:rPr>
          <w:rFonts w:ascii="Sakkal Majalla" w:hAnsi="Sakkal Majalla" w:cs="Sakkal Majalla"/>
          <w:sz w:val="28"/>
          <w:rtl/>
        </w:rPr>
        <w:t>عن معادلة استراتيجية من ثلاثة أضلاع: الأول هو أن التحول الرقمي الجمركي لم يعد خياراً تنافسياً بل أصبح ضرورة وجودية في ظل البيئة الإقليمية الراهنة. والثاني هو أن المرونة اللوجستية</w:t>
      </w:r>
      <w:r w:rsidRPr="00E31804">
        <w:rPr>
          <w:rFonts w:ascii="Sakkal Majalla" w:hAnsi="Sakkal Majalla" w:cs="Sakkal Majalla"/>
          <w:sz w:val="28"/>
        </w:rPr>
        <w:t xml:space="preserve"> (Logistical Resilience) </w:t>
      </w:r>
      <w:r w:rsidRPr="00E31804">
        <w:rPr>
          <w:rFonts w:ascii="Sakkal Majalla" w:hAnsi="Sakkal Majalla" w:cs="Sakkal Majalla"/>
          <w:sz w:val="28"/>
          <w:rtl/>
        </w:rPr>
        <w:t>التي تتيحها المنظومة الرقمية الجمركية المتكاملة تُمثّل درعاً وقائياً استراتيجياً في مواجهة الصدمات الجيوسياسية المتصاعدة. والثالث هو أن التوازن الدقيق بين متطلبات تعزيز الأمن الجمركي ومتطلبات تيسير التجارة، الذي تُجسّده نتائج هذه الدراسة، يُشكّل النموذج الأمثل للاستجابة لتعقيدات البيئة الإقليمية الراهنة</w:t>
      </w:r>
      <w:r w:rsidRPr="00E31804">
        <w:rPr>
          <w:rFonts w:ascii="Sakkal Majalla" w:hAnsi="Sakkal Majalla" w:cs="Sakkal Majalla"/>
          <w:sz w:val="28"/>
        </w:rPr>
        <w:t>.</w:t>
      </w:r>
    </w:p>
    <w:p w14:paraId="53D61E34"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وقد أثبتت هيئة</w:t>
      </w:r>
      <w:r w:rsidRPr="00E31804">
        <w:rPr>
          <w:rFonts w:ascii="Sakkal Majalla" w:hAnsi="Sakkal Majalla" w:cs="Sakkal Majalla"/>
          <w:sz w:val="28"/>
        </w:rPr>
        <w:t xml:space="preserve"> ZATCA </w:t>
      </w:r>
      <w:r w:rsidRPr="00E31804">
        <w:rPr>
          <w:rFonts w:ascii="Sakkal Majalla" w:hAnsi="Sakkal Majalla" w:cs="Sakkal Majalla"/>
          <w:sz w:val="28"/>
          <w:rtl/>
        </w:rPr>
        <w:t>قدرةً لافتة على تحقيق هذا التوازن، مما يضعها في موقع إقليمي متقدم على خريطة الجمارك الذكية. غير أن استدامة هذا التميّز ومواصلة تعزيزه في ظل المتغيرات الجيوسياسية الراهنة تستلزم مضيّاً في مسار الاستثمار في الذكاء الاصطناعي التنبؤي، وتوسيع شبكة الشراكات الاستراتيجية الرقمية الإقليمية والدولية، وتطوير منظومة الأمن السيبراني الجمركي بما يواكب تصاعد التهديدات الإقليمية، وهي توصيات تُؤسّس لها نتائج هذه الدراسة وتدعمها بمتانة إحصائية وأكاديمية موثوقة</w:t>
      </w:r>
      <w:r w:rsidRPr="00E31804">
        <w:rPr>
          <w:rFonts w:ascii="Sakkal Majalla" w:hAnsi="Sakkal Majalla" w:cs="Sakkal Majalla"/>
          <w:sz w:val="28"/>
        </w:rPr>
        <w:t>.</w:t>
      </w:r>
    </w:p>
    <w:p w14:paraId="5BE3F6A6" w14:textId="77777777" w:rsidR="00F84143" w:rsidRDefault="00F84143" w:rsidP="00F84143">
      <w:pPr>
        <w:pStyle w:val="BlockText"/>
        <w:spacing w:line="360" w:lineRule="auto"/>
        <w:jc w:val="lowKashida"/>
        <w:rPr>
          <w:rFonts w:ascii="Sakkal Majalla" w:hAnsi="Sakkal Majalla" w:cs="Sakkal Majalla"/>
          <w:sz w:val="28"/>
          <w:rtl/>
        </w:rPr>
      </w:pPr>
    </w:p>
    <w:p w14:paraId="076A99D5" w14:textId="564B19E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أولاً — مناقشة النتائج</w:t>
      </w:r>
      <w:r w:rsidR="00D305F3">
        <w:rPr>
          <w:rFonts w:ascii="Sakkal Majalla" w:hAnsi="Sakkal Majalla" w:cs="Sakkal Majalla" w:hint="cs"/>
          <w:b/>
          <w:bCs/>
          <w:sz w:val="28"/>
          <w:rtl/>
        </w:rPr>
        <w:t xml:space="preserve"> الدراسة</w:t>
      </w:r>
      <w:r w:rsidRPr="00F84143">
        <w:rPr>
          <w:rFonts w:ascii="Sakkal Majalla" w:hAnsi="Sakkal Majalla" w:cs="Sakkal Majalla"/>
          <w:b/>
          <w:bCs/>
          <w:sz w:val="28"/>
          <w:rtl/>
        </w:rPr>
        <w:t xml:space="preserve"> </w:t>
      </w:r>
      <w:r w:rsidR="0024476F">
        <w:rPr>
          <w:rFonts w:ascii="Sakkal Majalla" w:hAnsi="Sakkal Majalla" w:cs="Sakkal Majalla" w:hint="cs"/>
          <w:b/>
          <w:bCs/>
          <w:sz w:val="28"/>
          <w:rtl/>
        </w:rPr>
        <w:t>الفعلية</w:t>
      </w:r>
    </w:p>
    <w:p w14:paraId="4586F55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تندرج مناقشة النتائج في سياق علمي يجمع بين البُعد الوصفي التحليلي والبُعد التفسيري النقدي؛ إذ لا يكتفي الباحث بعرض ما توصّل إليه، بل يسعى إلى تفسير هذه النتائج وتعليلها ومقارنتها بما أفرزته الدراسات السابقة وما أرساه الإطار النظري، مع استحضار المتغيرات السياقية التي أثّرت في مجريات الظاهرة المدروسة وشكّلت مآلاتها.</w:t>
      </w:r>
    </w:p>
    <w:p w14:paraId="629B6570" w14:textId="7AF6BA6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1. أثر الأسس الرقمية في كفاءة الأداء الجمركي وعلاقتها بتعزيز الأمن وتيسير التجارة</w:t>
      </w:r>
    </w:p>
    <w:p w14:paraId="5E8C50CC"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تُشكل الأسس الرقمية المتينة الركيزة الأساسية التي انطلقت منها هيئة الزكاة والضريبة والجمارك (</w:t>
      </w:r>
      <w:r w:rsidRPr="00F84143">
        <w:rPr>
          <w:rFonts w:ascii="Sakkal Majalla" w:hAnsi="Sakkal Majalla" w:cs="Sakkal Majalla"/>
          <w:sz w:val="28"/>
        </w:rPr>
        <w:t>ZATCA</w:t>
      </w:r>
      <w:r w:rsidRPr="00F84143">
        <w:rPr>
          <w:rFonts w:ascii="Sakkal Majalla" w:hAnsi="Sakkal Majalla" w:cs="Sakkal Majalla"/>
          <w:sz w:val="28"/>
          <w:rtl/>
        </w:rPr>
        <w:t xml:space="preserve">) لإعادة هندسة العمليات الجمركية والضريبية. إن الانتقال من الأنظمة شبه الآلية إلى بيئة رقمية بالكامل أسهم في تقليص البيروقراطية وتحسين تدفق البضائع عبر المنافذ المختلفة. أثبتت نتائج التحليل الإحصائي وجود أثر ذي دلالة إحصائية عالية للأسس الرقمية بأبعادها الفرعية على كلٍّ من تعزيز الأمن وتيسير التجارة في هيئة </w:t>
      </w:r>
      <w:r w:rsidRPr="00F84143">
        <w:rPr>
          <w:rFonts w:ascii="Sakkal Majalla" w:hAnsi="Sakkal Majalla" w:cs="Sakkal Majalla"/>
          <w:sz w:val="28"/>
        </w:rPr>
        <w:t>ZATCA</w:t>
      </w:r>
      <w:r w:rsidRPr="00F84143">
        <w:rPr>
          <w:rFonts w:ascii="Sakkal Majalla" w:hAnsi="Sakkal Majalla" w:cs="Sakkal Majalla"/>
          <w:sz w:val="28"/>
          <w:rtl/>
        </w:rPr>
        <w:t>. وقد جاءت قيم معاملات الارتباط والانحدار المعيارية داعمةً لهذا الاستنتاج بمستوى ثقة تجاوز 99%، وهو ما يُثبت الفرضية الأولى من فرضيات الدراسة.</w:t>
      </w:r>
    </w:p>
    <w:p w14:paraId="6EFCEBF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وتُشير الأسس الرقمية في سياق هذه الدراسة إلى منظومة البنية التحتية المادية والتقنية التي تقوم عليها العمليات الجمركية الرقمية، وتشمل: شبكات الاتصالات الآمنة عالية السرعة، ومراكز البيانات والمعالجة، وأنظمة إدارة قواعد البيانات الضخمة (</w:t>
      </w:r>
      <w:r w:rsidRPr="00F84143">
        <w:rPr>
          <w:rFonts w:ascii="Sakkal Majalla" w:hAnsi="Sakkal Majalla" w:cs="Sakkal Majalla"/>
          <w:sz w:val="28"/>
        </w:rPr>
        <w:t>Big Data</w:t>
      </w:r>
      <w:r w:rsidRPr="00F84143">
        <w:rPr>
          <w:rFonts w:ascii="Sakkal Majalla" w:hAnsi="Sakkal Majalla" w:cs="Sakkal Majalla"/>
          <w:sz w:val="28"/>
          <w:rtl/>
        </w:rPr>
        <w:t>), وبنية الخدمات المشتركة ذات المرونة الكافية لاستيعاب النمو المتسارع في حجم المعاملات.</w:t>
      </w:r>
    </w:p>
    <w:p w14:paraId="31FFFDCD" w14:textId="1A287E80"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تكامل الأنظمة الأساسية:</w:t>
      </w:r>
      <w:r w:rsidRPr="00F84143">
        <w:rPr>
          <w:rFonts w:ascii="Sakkal Majalla" w:hAnsi="Sakkal Majalla" w:cs="Sakkal Majalla"/>
          <w:sz w:val="28"/>
          <w:rtl/>
        </w:rPr>
        <w:t xml:space="preserve"> نجحت الهيئة في ربط الأنظمة الجمركية والزكوية والضريبية تحت مظلة تقنية موحدة، مما أتاح تدفقاً آمناً وسلساً للبيانات بين الإدارات المختصة والمنافذ الحدودية.</w:t>
      </w:r>
    </w:p>
    <w:p w14:paraId="44B86A14" w14:textId="236B031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تقليص زمن الإفراج الجمركي:</w:t>
      </w:r>
      <w:r w:rsidRPr="00F84143">
        <w:rPr>
          <w:rFonts w:ascii="Sakkal Majalla" w:hAnsi="Sakkal Majalla" w:cs="Sakkal Majalla"/>
          <w:sz w:val="28"/>
          <w:rtl/>
        </w:rPr>
        <w:t xml:space="preserve"> بفضل البنية التحتية الرقمية المتطورة، انخفض متوسط وقت الإفراج الجمركي ليصل إلى ما بين ساعة وساعتين فقط للشحنات منخفضة المخاطر، مقارنةً بأيام عديدة كانت سائدة قبل مسيرة التحول الرقمي؛ وهو إنجاز قياسي يعزز من تنافسية المملكة كمركز لوجستي عالمي.</w:t>
      </w:r>
    </w:p>
    <w:p w14:paraId="71CA5B7A" w14:textId="48029D3C"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أتمتة الفوترة والتحصيل:</w:t>
      </w:r>
      <w:r w:rsidRPr="00F84143">
        <w:rPr>
          <w:rFonts w:ascii="Sakkal Majalla" w:hAnsi="Sakkal Majalla" w:cs="Sakkal Majalla"/>
          <w:sz w:val="28"/>
          <w:rtl/>
        </w:rPr>
        <w:t xml:space="preserve"> ساهمت الأسس الرقمية في أتمتة عمليات احتساب الرسوم والضرائب والزكاة، مما قلل من الأخطاء البشرية وزاد من دقة التحصيل المالي والتزام المكلفين.</w:t>
      </w:r>
    </w:p>
    <w:p w14:paraId="7B244BD5"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3A7E159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وفي سياق هيئة </w:t>
      </w:r>
      <w:r w:rsidRPr="00F84143">
        <w:rPr>
          <w:rFonts w:ascii="Sakkal Majalla" w:hAnsi="Sakkal Majalla" w:cs="Sakkal Majalla"/>
          <w:sz w:val="28"/>
        </w:rPr>
        <w:t>ZATCA</w:t>
      </w:r>
      <w:r w:rsidRPr="00F84143">
        <w:rPr>
          <w:rFonts w:ascii="Sakkal Majalla" w:hAnsi="Sakkal Majalla" w:cs="Sakkal Majalla"/>
          <w:sz w:val="28"/>
          <w:rtl/>
        </w:rPr>
        <w:t xml:space="preserve"> تحديداً، يتجلى أثر الأسس الرقمية بوضوح في مؤشرَين محوريَّين: الأول هو انخفاض متوسط وقت الإفراج الجمركي إلى ما بين ساعة وساعتين للشحنات منخفضة المخاطر، مقارنةً بأيام عديدة كانت سائدة قبل مسيرة التحول الرقمي؛ والثاني هو القدرة على معالجة ملايين المعاملات الجمركية والضريبية يومياً دون انهيار أو تعثر في الأنظمة، وهو ما يعكس صلابة البنية التحتية الرقمية وإتقان تصميمها المعماري. وعلى صعيد المقارنة الدولية، تتقاطع نتائج هذه الدراسة مع ما أثبته </w:t>
      </w:r>
      <w:r w:rsidRPr="00F84143">
        <w:rPr>
          <w:rFonts w:ascii="Sakkal Majalla" w:hAnsi="Sakkal Majalla" w:cs="Sakkal Majalla"/>
          <w:sz w:val="28"/>
        </w:rPr>
        <w:t>Klievink et al</w:t>
      </w:r>
      <w:r w:rsidRPr="00F84143">
        <w:rPr>
          <w:rFonts w:ascii="Sakkal Majalla" w:hAnsi="Sakkal Majalla" w:cs="Sakkal Majalla"/>
          <w:sz w:val="28"/>
          <w:rtl/>
        </w:rPr>
        <w:t xml:space="preserve">. (2016) في دراستهم الرائدة حول أنظمة الشبّاك الواحد الجمركية، التي خلصت إلى أن جودة البنية التحتية الرقمية تُشكّل 68% من العوامل المحددة لنجاح منظومة </w:t>
      </w:r>
      <w:r w:rsidRPr="00F84143">
        <w:rPr>
          <w:rFonts w:ascii="Sakkal Majalla" w:hAnsi="Sakkal Majalla" w:cs="Sakkal Majalla"/>
          <w:sz w:val="28"/>
        </w:rPr>
        <w:t>Single Window</w:t>
      </w:r>
      <w:r w:rsidRPr="00F84143">
        <w:rPr>
          <w:rFonts w:ascii="Sakkal Majalla" w:hAnsi="Sakkal Majalla" w:cs="Sakkal Majalla"/>
          <w:sz w:val="28"/>
          <w:rtl/>
        </w:rPr>
        <w:t xml:space="preserve">. كما تنسجم مع نتائج </w:t>
      </w:r>
      <w:r w:rsidRPr="00F84143">
        <w:rPr>
          <w:rFonts w:ascii="Sakkal Majalla" w:hAnsi="Sakkal Majalla" w:cs="Sakkal Majalla"/>
          <w:sz w:val="28"/>
        </w:rPr>
        <w:t>Weerakkody et al</w:t>
      </w:r>
      <w:r w:rsidRPr="00F84143">
        <w:rPr>
          <w:rFonts w:ascii="Sakkal Majalla" w:hAnsi="Sakkal Majalla" w:cs="Sakkal Majalla"/>
          <w:sz w:val="28"/>
          <w:rtl/>
        </w:rPr>
        <w:t>. (2019) الذين أكدوا أن الاستثمار في الأسس الرقمية الجمركية يُحقق عوائد اقتصادية تتراوح بين 3 و5 أضعاف التكلفة على المدى المتوسط.</w:t>
      </w:r>
    </w:p>
    <w:p w14:paraId="797E0B58" w14:textId="19D7E42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إحصاء محوري:</w:t>
      </w:r>
      <w:r w:rsidRPr="00F84143">
        <w:rPr>
          <w:rFonts w:ascii="Sakkal Majalla" w:hAnsi="Sakkal Majalla" w:cs="Sakkal Majalla"/>
          <w:sz w:val="28"/>
          <w:rtl/>
        </w:rPr>
        <w:t xml:space="preserve"> أثبت التحليل العاملي الاستكشافي أن عامل 'جودة البنية الرقمية وموثوقيتها' استأثر بأعلى نسبة تباين مفسَّر في البُعد الأول بلغت 26.34%، وهو ما يُجسّد الأهمية النسبية الكبرى لهذا المتغير في المنظومة الكلية للتحول الرقمي الجمركي.</w:t>
      </w:r>
    </w:p>
    <w:p w14:paraId="7CF7C64C" w14:textId="130549F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487F5675" w14:textId="56D9125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الاستثمار المبكر في الأسس الرقمية الصلبة لم يكن مجرد تطوير تقني اعتيادي، بل كان خطوة استراتيجية استباقية مكنت المنظومة الجمركية من الصمود والمرونة. إن تماسك البنية التحتية الرقمية هو الضمانة الحقيقية التي سمحت للهيئة باستيعاب التوسعات اللاحقة في تقنيات الذكاء الاصطناعي والربط الإقليمي دون حدوث اختناقات تشغيلية. ويرى الباحث أن الأثر الكبير للأسس الرقمية على تعزيز الأمن وتيسير التجارة في هيئة </w:t>
      </w:r>
      <w:r w:rsidRPr="00F84143">
        <w:rPr>
          <w:rFonts w:ascii="Sakkal Majalla" w:hAnsi="Sakkal Majalla" w:cs="Sakkal Majalla"/>
          <w:sz w:val="28"/>
        </w:rPr>
        <w:t>ZATCA</w:t>
      </w:r>
      <w:r w:rsidRPr="00F84143">
        <w:rPr>
          <w:rFonts w:ascii="Sakkal Majalla" w:hAnsi="Sakkal Majalla" w:cs="Sakkal Majalla"/>
          <w:sz w:val="28"/>
          <w:rtl/>
        </w:rPr>
        <w:t xml:space="preserve"> ليس مجرد تأكيد لما قررته النظريات، بل هو إضافة تُثري فهمنا من زاوية السياق الخليجي ذي الخصوصية. فالمملكة العربية السعودية بحجم اقتصادها واتساع جغرافيتها وتنوع منافذها البحرية والبرية والجوية قدّمت نموذجاً نادراً: كيف تبني دولة كبرى بنيتها الرقمية الجمركية في بيئة متقلبة جيوسياسياً وتُنجح هذا البناء. هذا الإنجاز يستحق أن يُدرَّس في الجامعات الدولية كحالة دراسية (</w:t>
      </w:r>
      <w:r w:rsidRPr="00F84143">
        <w:rPr>
          <w:rFonts w:ascii="Sakkal Majalla" w:hAnsi="Sakkal Majalla" w:cs="Sakkal Majalla"/>
          <w:sz w:val="28"/>
        </w:rPr>
        <w:t>Case Study</w:t>
      </w:r>
      <w:r w:rsidRPr="00F84143">
        <w:rPr>
          <w:rFonts w:ascii="Sakkal Majalla" w:hAnsi="Sakkal Majalla" w:cs="Sakkal Majalla"/>
          <w:sz w:val="28"/>
          <w:rtl/>
        </w:rPr>
        <w:t>) من الطراز الأول.</w:t>
      </w:r>
    </w:p>
    <w:p w14:paraId="1072DE48" w14:textId="12F58DD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2. أثر الابتكار الرقمي والتقنيات الناشئة والكفاءة الأمنية والتجارية</w:t>
      </w:r>
    </w:p>
    <w:p w14:paraId="21C62B21"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4A714297"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جاء بُعد الابتكار الرقمي في مقدمة الأبعاد المفسِّرة للتباين في المتغيرات التابعة، إذ أثبت التحليل العاملي أن عامل 'الكفاءة الأمنية الرقمية والوقائية' فسّر نحو 24.46% من التباين الكلي في عينة الدراسة، فيما سجّل مؤشر تقليل التهرب الضريبي أعلى تشبع عاملي في الدراسة كاملاً بلغ 0.978، وهي قيمة نادراً ما تُشاهَد في الدراسات المماثلة. لم تتوقف الهيئة عند حدود الرقمنة التقليدية للإجراءات، بل اتجهت نحو تبني الابتكار الرقمي والتقنيات الناشئة كأدوات أساسية لاستشراف المستقبل الجمركي وتأمين سلاسل الإمداد.</w:t>
      </w:r>
    </w:p>
    <w:p w14:paraId="0B37D20B" w14:textId="2CF85B13"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الذكاء الاصطناعي وتعلّم الآلة:</w:t>
      </w:r>
      <w:r w:rsidRPr="00F84143">
        <w:rPr>
          <w:rFonts w:ascii="Sakkal Majalla" w:hAnsi="Sakkal Majalla" w:cs="Sakkal Majalla"/>
          <w:sz w:val="28"/>
          <w:rtl/>
        </w:rPr>
        <w:t xml:space="preserve"> تم دمج خوارزميات الذكاء الاصطناعي في أنظمة الفحص والتحليل، مما رفع من كفاءة التعرف على الحاويات والشحنات ذات المخاطر العالية دون إعاقة حركة الشحنات منخفضة المخاطر.</w:t>
      </w:r>
    </w:p>
    <w:p w14:paraId="7781B4DA" w14:textId="526C13B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إنترنت الأشياء (</w:t>
      </w:r>
      <w:r w:rsidRPr="00F84143">
        <w:rPr>
          <w:rFonts w:ascii="Sakkal Majalla" w:hAnsi="Sakkal Majalla" w:cs="Sakkal Majalla"/>
          <w:b/>
          <w:bCs/>
          <w:sz w:val="28"/>
        </w:rPr>
        <w:t>IoT</w:t>
      </w:r>
      <w:r w:rsidRPr="00F84143">
        <w:rPr>
          <w:rFonts w:ascii="Sakkal Majalla" w:hAnsi="Sakkal Majalla" w:cs="Sakkal Majalla"/>
          <w:b/>
          <w:bCs/>
          <w:sz w:val="28"/>
          <w:rtl/>
        </w:rPr>
        <w:t>) وتتبع الشحنات:</w:t>
      </w:r>
      <w:r w:rsidRPr="00F84143">
        <w:rPr>
          <w:rFonts w:ascii="Sakkal Majalla" w:hAnsi="Sakkal Majalla" w:cs="Sakkal Majalla"/>
          <w:sz w:val="28"/>
          <w:rtl/>
        </w:rPr>
        <w:t xml:space="preserve"> تتيح التقنيات الحديثة تتبع الشحنات العابرة (الترانزيت) عبر الأجهزة الذكية والأقفال الإلكترونية، مما يضمن سلامة الشحنات وعدم التلاعب بها طوال مسارها داخل أراضي المملكة.</w:t>
      </w:r>
    </w:p>
    <w:p w14:paraId="46040CA0" w14:textId="2C605175"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التحليلات المتقدمة والبيانات الضخمة:</w:t>
      </w:r>
      <w:r w:rsidRPr="00F84143">
        <w:rPr>
          <w:rFonts w:ascii="Sakkal Majalla" w:hAnsi="Sakkal Majalla" w:cs="Sakkal Majalla"/>
          <w:sz w:val="28"/>
          <w:rtl/>
        </w:rPr>
        <w:t xml:space="preserve"> تستفيد الهيئة من الكم الهائل من البيانات الجمركية والضريبية المتدفقة يومياً لإنتاج تحليلات تنبؤية تساعد في اتخاذ قرارات فورية دقيقة تدعم تسهيل التجارة وحماية الأمن الوطني.</w:t>
      </w:r>
    </w:p>
    <w:p w14:paraId="595563BF"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ولفهم هذه النتائج في عمقها، لا بد من استحضار السياق الابتكاري الذي أطلقته </w:t>
      </w:r>
      <w:r w:rsidRPr="00F84143">
        <w:rPr>
          <w:rFonts w:ascii="Sakkal Majalla" w:hAnsi="Sakkal Majalla" w:cs="Sakkal Majalla"/>
          <w:sz w:val="28"/>
        </w:rPr>
        <w:t>ZATCA</w:t>
      </w:r>
      <w:r w:rsidRPr="00F84143">
        <w:rPr>
          <w:rFonts w:ascii="Sakkal Majalla" w:hAnsi="Sakkal Majalla" w:cs="Sakkal Majalla"/>
          <w:sz w:val="28"/>
          <w:rtl/>
        </w:rPr>
        <w:t xml:space="preserve"> على مدار السنوات الماضية؛ إذ تُعدّ منظومة الفوترة الإلكترونية الإلزامية (</w:t>
      </w:r>
      <w:r w:rsidRPr="00F84143">
        <w:rPr>
          <w:rFonts w:ascii="Sakkal Majalla" w:hAnsi="Sakkal Majalla" w:cs="Sakkal Majalla"/>
          <w:sz w:val="28"/>
        </w:rPr>
        <w:t>e-Invoicing</w:t>
      </w:r>
      <w:r w:rsidRPr="00F84143">
        <w:rPr>
          <w:rFonts w:ascii="Sakkal Majalla" w:hAnsi="Sakkal Majalla" w:cs="Sakkal Majalla"/>
          <w:sz w:val="28"/>
          <w:rtl/>
        </w:rPr>
        <w:t>) الإنجازَ الأبرز في مسيرة الابتكار الرقمي الجمركي السعودي. فمنذ الإطلاق التدريجي لها بدءاً من 2021، ارتفع عدد الشركات المنضمة إلى المنظومة من صفر إلى أكثر من 120,000 شركة بحلول 2024، وتُعدّ هذه التغطية الواسعة من أبرز التجارب في العالم النامي وحتى في بعض الدول المتقدمة.</w:t>
      </w:r>
    </w:p>
    <w:p w14:paraId="2CF06AB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أما ابتكار تحليل المخاطر المعتمد على الذكاء الاصطناعي، فهو إضافة نوعية غيّرت جوهرياً أسلوب اختيار الشحنات للتفتيش الجمركي؛ إذ انتقلت الهيئة من نهج الفحص العشوائي (</w:t>
      </w:r>
      <w:r w:rsidRPr="00F84143">
        <w:rPr>
          <w:rFonts w:ascii="Sakkal Majalla" w:hAnsi="Sakkal Majalla" w:cs="Sakkal Majalla"/>
          <w:sz w:val="28"/>
        </w:rPr>
        <w:t>Random Inspection</w:t>
      </w:r>
      <w:r w:rsidRPr="00F84143">
        <w:rPr>
          <w:rFonts w:ascii="Sakkal Majalla" w:hAnsi="Sakkal Majalla" w:cs="Sakkal Majalla"/>
          <w:sz w:val="28"/>
          <w:rtl/>
        </w:rPr>
        <w:t>) إلى نهج الاستهداف الاستخباراتي الدقيق (</w:t>
      </w:r>
      <w:r w:rsidRPr="00F84143">
        <w:rPr>
          <w:rFonts w:ascii="Sakkal Majalla" w:hAnsi="Sakkal Majalla" w:cs="Sakkal Majalla"/>
          <w:sz w:val="28"/>
        </w:rPr>
        <w:t>Targeted Intelligence</w:t>
      </w:r>
      <w:r w:rsidRPr="00F84143">
        <w:rPr>
          <w:rFonts w:ascii="Sakkal Majalla" w:hAnsi="Sakkal Majalla" w:cs="Sakkal Majalla"/>
          <w:sz w:val="28"/>
          <w:rtl/>
        </w:rPr>
        <w:t xml:space="preserve">) الذي يُحلّل آلاف المتغيرات في ثوانٍ معدودة ليُصنّف كل شحنة وفق درجة مخاطرتها الفعلية. وتُشير بيانات الهيئة إلى أن هذا النهج رفع كفاءة اكتشاف المخالفات الجمركية والتهريب بنسبة تجاوزت 340% مقارنةً بنهج الفحص العشوائي. ويتقاطع هذا الاستنتاج مع ما وثّقه </w:t>
      </w:r>
      <w:r w:rsidRPr="00F84143">
        <w:rPr>
          <w:rFonts w:ascii="Sakkal Majalla" w:hAnsi="Sakkal Majalla" w:cs="Sakkal Majalla"/>
          <w:sz w:val="28"/>
        </w:rPr>
        <w:t>De Wulf &amp; Sokol</w:t>
      </w:r>
      <w:r w:rsidRPr="00F84143">
        <w:rPr>
          <w:rFonts w:ascii="Sakkal Majalla" w:hAnsi="Sakkal Majalla" w:cs="Sakkal Majalla"/>
          <w:sz w:val="28"/>
          <w:rtl/>
        </w:rPr>
        <w:t xml:space="preserve"> (2005) في دراستهم المرجعية حول تحديث إدارات الجمارك، التي خلصت إلى أن استخدام تحليل المخاطر القائم على البيانات يُمكّن من رفع كفاءة التفتيش بمقدار 3 إلى 6 أضعاف مقارنةً بالفحص التقليدي. كما تنسجم هذه النتائج مع توصيات البنك الدولي في تقريره </w:t>
      </w:r>
      <w:r w:rsidRPr="00F84143">
        <w:rPr>
          <w:rFonts w:ascii="Sakkal Majalla" w:hAnsi="Sakkal Majalla" w:cs="Sakkal Majalla"/>
          <w:sz w:val="28"/>
          <w:rtl/>
        </w:rPr>
        <w:lastRenderedPageBreak/>
        <w:t>'</w:t>
      </w:r>
      <w:r w:rsidRPr="00F84143">
        <w:rPr>
          <w:rFonts w:ascii="Sakkal Majalla" w:hAnsi="Sakkal Majalla" w:cs="Sakkal Majalla"/>
          <w:sz w:val="28"/>
        </w:rPr>
        <w:t>Customs Modernization Handbook</w:t>
      </w:r>
      <w:r w:rsidRPr="00F84143">
        <w:rPr>
          <w:rFonts w:ascii="Sakkal Majalla" w:hAnsi="Sakkal Majalla" w:cs="Sakkal Majalla"/>
          <w:sz w:val="28"/>
          <w:rtl/>
        </w:rPr>
        <w:t>' الذي يؤكد أن تطبيق نظم إدارة المخاطر الرقمية يُمثّل 'الاستثمار الجمركي الأعلى عائداً على المدى القصير والمتوسط'.</w:t>
      </w:r>
    </w:p>
    <w:p w14:paraId="5D86294E" w14:textId="6AA9E22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رقم لافت:</w:t>
      </w:r>
      <w:r w:rsidRPr="00F84143">
        <w:rPr>
          <w:rFonts w:ascii="Sakkal Majalla" w:hAnsi="Sakkal Majalla" w:cs="Sakkal Majalla"/>
          <w:sz w:val="28"/>
          <w:rtl/>
        </w:rPr>
        <w:t xml:space="preserve"> أشارت بيانات </w:t>
      </w:r>
      <w:r w:rsidRPr="00F84143">
        <w:rPr>
          <w:rFonts w:ascii="Sakkal Majalla" w:hAnsi="Sakkal Majalla" w:cs="Sakkal Majalla"/>
          <w:sz w:val="28"/>
        </w:rPr>
        <w:t>ZATCA</w:t>
      </w:r>
      <w:r w:rsidRPr="00F84143">
        <w:rPr>
          <w:rFonts w:ascii="Sakkal Majalla" w:hAnsi="Sakkal Majalla" w:cs="Sakkal Majalla"/>
          <w:sz w:val="28"/>
          <w:rtl/>
        </w:rPr>
        <w:t xml:space="preserve"> إلى أن منظومة الفوترة الإلكترونية أسهمت في اكتشاف فجوات ضريبية مخفية وتصحيح تسويات ضريبية خاطئة بلغت قيمتها المجمّعة عشرات المليارات من الريالات منذ إطلاقها، وهو ما يُجسّد المردود الاستثنائي للابتكار الرقمي الجمركي بمقاييس مالية ملموسة.</w:t>
      </w:r>
    </w:p>
    <w:p w14:paraId="28BEA6E7" w14:textId="714B096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3515A77D" w14:textId="66B42AA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يؤكد الباحث أن الابتكار الرقمي يمثل القوة الضاربة الحديثة للهيئة. إن الاعتماد على الذكاء الاصطناعي في إدارة المخاطر يحل المعضلة الأزلية في العمل الجمركي: التوازن الصعب بين "تيسير التجارة" و"إحكام الرقابة الأمنية". الابتكار جعل الأمن ذكياً وغير مرئي، مما يحسن تجربة المستثمر دون التنازل عن السيادة الأمنية. ويُميّز الباحث هنا بين نوعين من الابتكار الرقمي الجمركي: الأول ابتكار كفاءة يهدف إلى أداء نفس العمل بسرعة أكبر وتكلفة أقل، والثاني ابتكار تحويلي يُغيّر جوهرياً طبيعة العمل الجمركي ذاته ويُعيد تعريف دوره في منظومة الاقتصاد الوطني. ويرى الباحث أن </w:t>
      </w:r>
      <w:r w:rsidRPr="00F84143">
        <w:rPr>
          <w:rFonts w:ascii="Sakkal Majalla" w:hAnsi="Sakkal Majalla" w:cs="Sakkal Majalla"/>
          <w:sz w:val="28"/>
        </w:rPr>
        <w:t>ZATCA</w:t>
      </w:r>
      <w:r w:rsidRPr="00F84143">
        <w:rPr>
          <w:rFonts w:ascii="Sakkal Majalla" w:hAnsi="Sakkal Majalla" w:cs="Sakkal Majalla"/>
          <w:sz w:val="28"/>
          <w:rtl/>
        </w:rPr>
        <w:t xml:space="preserve"> نجحت في تحقيق النوع الأول بامتياز، وهي في طريقها نحو النوع الثاني الذي سيجعلها شريكاً استراتيجياً فاعلاً في صنع السياسات الاقتصادية الوطنية، لا مجرد جهة تنفيذية للرسوم والضرائب. هذا التحول الجوهري في الدور يستحق أن يكون محل اهتمام صانعي القرار في أعلى مستويات الدولة.</w:t>
      </w:r>
    </w:p>
    <w:p w14:paraId="658BF05D" w14:textId="7C9E093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 xml:space="preserve"> 3. أثر الحوكمة الرقمية والامتثال وإشكالية الاستدامة</w:t>
      </w:r>
    </w:p>
    <w:p w14:paraId="0D17EF03"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تعد الحوكمة الرقمية صمام الأمان الذي يضمن سلامة المعاملات، وشفافية الإجراءات، وحماية البيانات السيادية، بالإضافة إلى رفع معدلات الامتثال الطوعي من قبل المكلفين والشركات. تُكشف نتائج بُعد الحوكمة الرقمية عن ظاهرة نظرية جديرة بالتأمل؛ ففي حين يُميل المنطق التبسيطي إلى النظر إلى الحوكمة بوصفها 'إطاراً تنظيمياً ثانوياً' مقارنةً بالأسس التقنية والابتكارات التكنولوجية، يكشف التحليل الكمي عن حقيقة مغايرة: أن الحوكمة الرقمية هي الضامن الحقيقي لاستدامة التحول الرقمي الجمركي وعدم ارتداده.</w:t>
      </w:r>
    </w:p>
    <w:p w14:paraId="6A38EB67"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24ABB9C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وقد فسّر عامل 'التكامل المؤسسي والشراكات الاستراتيجية' 11.71% من التباين الكلي في نتائج الدراسة، وهو رقم يبدو متواضعاً للوهلة الأولى، لكنه يتضخم كثيراً حين نُدرك أن تفسير 11% من التباين في ظاهرة اجتماعية معقدة كالتحول الرقمي الجمركي يُعادل تأثيراً تشغيلياً هائلاً على أرض الواقع. فالربط الرقمي بين </w:t>
      </w:r>
      <w:r w:rsidRPr="00F84143">
        <w:rPr>
          <w:rFonts w:ascii="Sakkal Majalla" w:hAnsi="Sakkal Majalla" w:cs="Sakkal Majalla"/>
          <w:sz w:val="28"/>
        </w:rPr>
        <w:t>ZATCA</w:t>
      </w:r>
      <w:r w:rsidRPr="00F84143">
        <w:rPr>
          <w:rFonts w:ascii="Sakkal Majalla" w:hAnsi="Sakkal Majalla" w:cs="Sakkal Majalla"/>
          <w:sz w:val="28"/>
          <w:rtl/>
        </w:rPr>
        <w:t xml:space="preserve"> وأكثر من 70 جهة حكومية عبر النافذة الجمركية الموحدة 'بيان' هو التجسيد المادي لهذا البُعد، وبدونه لن تُغني أسس رقمية متطورة ولا ابتكارات تقنية متقدمة شيئاً.</w:t>
      </w:r>
    </w:p>
    <w:p w14:paraId="7B6F2D1B" w14:textId="379E8B2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منصات الامتثال الموحدة:</w:t>
      </w:r>
      <w:r w:rsidRPr="00F84143">
        <w:rPr>
          <w:rFonts w:ascii="Sakkal Majalla" w:hAnsi="Sakkal Majalla" w:cs="Sakkal Majalla"/>
          <w:sz w:val="28"/>
          <w:rtl/>
        </w:rPr>
        <w:t xml:space="preserve"> أتاحت الأنظمة الرقمية للمكلفين والشركات آليات واضحة وشفافة لتقديم الإقرارات وسداد المستحقات، مما رفع من معدلات الالتزام الطوعي وخفض نسب التهرب الضريبي والجمركي.</w:t>
      </w:r>
    </w:p>
    <w:p w14:paraId="73226469" w14:textId="47EA91F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الشفافية ومكافحة الفساد:</w:t>
      </w:r>
      <w:r w:rsidRPr="00F84143">
        <w:rPr>
          <w:rFonts w:ascii="Sakkal Majalla" w:hAnsi="Sakkal Majalla" w:cs="Sakkal Majalla"/>
          <w:sz w:val="28"/>
          <w:rtl/>
        </w:rPr>
        <w:t xml:space="preserve"> أدت أتمتة القرارات الجمركية وتقليل التدخل البشري المباشر في عمليات الفحص والتقييم إلى تجفيف منابع الاجتهادات الشخصية، مما رسخ قيم النزاهة والشفافية في كافة المعاملات.</w:t>
      </w:r>
    </w:p>
    <w:p w14:paraId="0972F6E0" w14:textId="2466A29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حماية السيادة الرقمية والبيانات:</w:t>
      </w:r>
      <w:r w:rsidRPr="00F84143">
        <w:rPr>
          <w:rFonts w:ascii="Sakkal Majalla" w:hAnsi="Sakkal Majalla" w:cs="Sakkal Majalla"/>
          <w:sz w:val="28"/>
          <w:rtl/>
        </w:rPr>
        <w:t xml:space="preserve"> تبنت الهيئة أطر حوكمة صارمة لحماية البيانات المالية والتجارية المتداولة عبر منصاتها، مع ضمان توافقها مع السياسات الوطنية للأمن السيبراني.</w:t>
      </w:r>
    </w:p>
    <w:p w14:paraId="2E2354C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أما عامل 'الإطار التشريعي الداعم للرقمنة' فقد جاء في مرتبة محورية في الهيكل العاملي، وهو يعكس نضجاً مؤسسياً لافتاً في تجربة </w:t>
      </w:r>
      <w:r w:rsidRPr="00F84143">
        <w:rPr>
          <w:rFonts w:ascii="Sakkal Majalla" w:hAnsi="Sakkal Majalla" w:cs="Sakkal Majalla"/>
          <w:sz w:val="28"/>
        </w:rPr>
        <w:t>ZATCA</w:t>
      </w:r>
      <w:r w:rsidRPr="00F84143">
        <w:rPr>
          <w:rFonts w:ascii="Sakkal Majalla" w:hAnsi="Sakkal Majalla" w:cs="Sakkal Majalla"/>
          <w:sz w:val="28"/>
          <w:rtl/>
        </w:rPr>
        <w:t xml:space="preserve">؛ إذ لم تكتفِ الهيئة بتطوير الأنظمة الرقمية، بل حرصت على بناء المنظومة التشريعية المواكِبة التي تمنح هذه الأنظمة قوتها الإلزامية وصلاحياتها الرسمية. وهذا التكامل بين التقني والتشريعي هو ما يُفرّق بين التحول الرقمي الرشيد المستدام والتحول المُجزَّأ العشوائي. كما تُشير نتائج الدراسة إلى أن منظومة الحوكمة في </w:t>
      </w:r>
      <w:r w:rsidRPr="00F84143">
        <w:rPr>
          <w:rFonts w:ascii="Sakkal Majalla" w:hAnsi="Sakkal Majalla" w:cs="Sakkal Majalla"/>
          <w:sz w:val="28"/>
        </w:rPr>
        <w:t>ZATCA</w:t>
      </w:r>
      <w:r w:rsidRPr="00F84143">
        <w:rPr>
          <w:rFonts w:ascii="Sakkal Majalla" w:hAnsi="Sakkal Majalla" w:cs="Sakkal Majalla"/>
          <w:sz w:val="28"/>
          <w:rtl/>
        </w:rPr>
        <w:t xml:space="preserve"> تُحقق ما يصطلح عليه في الأدبيات الإدارية بـ'حوكمة الأنظمة الأيكولوجية الرقمية' (</w:t>
      </w:r>
      <w:r w:rsidRPr="00F84143">
        <w:rPr>
          <w:rFonts w:ascii="Sakkal Majalla" w:hAnsi="Sakkal Majalla" w:cs="Sakkal Majalla"/>
          <w:sz w:val="28"/>
        </w:rPr>
        <w:t>Digital Ecosystem Governance</w:t>
      </w:r>
      <w:r w:rsidRPr="00F84143">
        <w:rPr>
          <w:rFonts w:ascii="Sakkal Majalla" w:hAnsi="Sakkal Majalla" w:cs="Sakkal Majalla"/>
          <w:sz w:val="28"/>
          <w:rtl/>
        </w:rPr>
        <w:t>)، وهي نموذج حوكمة متقدم يتجاوز الضوابط الداخلية ليشمل إدارة الشبكة الواسعة من المؤسسات والشركات والأفراد المتعاملين مع المنظومة الجمركية الرقمية.</w:t>
      </w:r>
    </w:p>
    <w:p w14:paraId="6826BD1A" w14:textId="560FA5B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31316E94" w14:textId="31545C4E"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الحوكمة الرقمية هي الروح التي تحرك الجسد التقني للهيئة. بدون حوكمة صارمة وأطر امتثال واضحة، تصبح التقنية عبئاً بدلاً من أن تكون حلاً. لقد نجحت </w:t>
      </w:r>
      <w:r w:rsidRPr="00F84143">
        <w:rPr>
          <w:rFonts w:ascii="Sakkal Majalla" w:hAnsi="Sakkal Majalla" w:cs="Sakkal Majalla"/>
          <w:sz w:val="28"/>
        </w:rPr>
        <w:t>ZATCA</w:t>
      </w:r>
      <w:r w:rsidRPr="00F84143">
        <w:rPr>
          <w:rFonts w:ascii="Sakkal Majalla" w:hAnsi="Sakkal Majalla" w:cs="Sakkal Majalla"/>
          <w:sz w:val="28"/>
          <w:rtl/>
        </w:rPr>
        <w:t xml:space="preserve"> في تحويل الامتثال من صيغة "الفرض الإلزامي" إلى بيئة "التسهيل الرقمي الطوعي"، مما خلق علاقة ثقة مستدامة بين القطاعين العام الخاص. ويؤمن الباحث أن أزمة معظم </w:t>
      </w:r>
      <w:r w:rsidRPr="00F84143">
        <w:rPr>
          <w:rFonts w:ascii="Sakkal Majalla" w:hAnsi="Sakkal Majalla" w:cs="Sakkal Majalla"/>
          <w:sz w:val="28"/>
          <w:rtl/>
        </w:rPr>
        <w:lastRenderedPageBreak/>
        <w:t xml:space="preserve">مشاريع التحول الرقمي الفاشلة في العالم النامي هي أزمة حوكمة لا أزمة تقنية؛ إذ كثيراً ما تُستورَد أرقى التقنيات العالمية ثم تُترَك دون بيئة حوكمية داعمة فتتعثر وتموت. والتجربة السعودية في </w:t>
      </w:r>
      <w:r w:rsidRPr="00F84143">
        <w:rPr>
          <w:rFonts w:ascii="Sakkal Majalla" w:hAnsi="Sakkal Majalla" w:cs="Sakkal Majalla"/>
          <w:sz w:val="28"/>
        </w:rPr>
        <w:t>ZATCA</w:t>
      </w:r>
      <w:r w:rsidRPr="00F84143">
        <w:rPr>
          <w:rFonts w:ascii="Sakkal Majalla" w:hAnsi="Sakkal Majalla" w:cs="Sakkal Majalla"/>
          <w:sz w:val="28"/>
          <w:rtl/>
        </w:rPr>
        <w:t xml:space="preserve"> — رغم ما فيها من تحديات — تُقدّم درساً ثميناً: أن الحوكمة الرقمية الرشيدة هي التربة التي تنبت فيها التقنية وتُثمر. وقد يكون هذا هو الإسهام الأكثر قيمةً للتجربة السعودية في الأدبيات الجمركية الدولية.</w:t>
      </w:r>
    </w:p>
    <w:p w14:paraId="5A2F1201" w14:textId="0C65F07C"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 مراجعة الفرضيات التسع في ضوء النتائج الإجمالية</w:t>
      </w:r>
    </w:p>
    <w:p w14:paraId="5D067C4A" w14:textId="77777777" w:rsid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جاءت نتائج اختبار الفرضيات التسع للدراسة داعمةً بالكامل للنموذج النظري المقترح، وإن تباينت درجات قوة العلاقة بين المتغيرات المستقلة والتابعة:</w:t>
      </w:r>
    </w:p>
    <w:tbl>
      <w:tblPr>
        <w:tblStyle w:val="PlainTable3"/>
        <w:tblW w:w="0" w:type="auto"/>
        <w:jc w:val="center"/>
        <w:tblLook w:val="04A0" w:firstRow="1" w:lastRow="0" w:firstColumn="1" w:lastColumn="0" w:noHBand="0" w:noVBand="1"/>
      </w:tblPr>
      <w:tblGrid>
        <w:gridCol w:w="1009"/>
        <w:gridCol w:w="3559"/>
        <w:gridCol w:w="1144"/>
        <w:gridCol w:w="1074"/>
        <w:gridCol w:w="1122"/>
        <w:gridCol w:w="1452"/>
      </w:tblGrid>
      <w:tr w:rsidR="00F84143" w:rsidRPr="00F84143" w14:paraId="3D5D98A9" w14:textId="77777777" w:rsidTr="00F84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61531CF"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رقم الفرضية</w:t>
            </w:r>
          </w:p>
        </w:tc>
        <w:tc>
          <w:tcPr>
            <w:tcW w:w="0" w:type="auto"/>
            <w:hideMark/>
          </w:tcPr>
          <w:p w14:paraId="36249BB4"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محتوى الفرضية</w:t>
            </w:r>
          </w:p>
        </w:tc>
        <w:tc>
          <w:tcPr>
            <w:tcW w:w="0" w:type="auto"/>
            <w:hideMark/>
          </w:tcPr>
          <w:p w14:paraId="35762980"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قيمة</w:t>
            </w:r>
            <w:r w:rsidRPr="00F84143">
              <w:rPr>
                <w:rFonts w:ascii="Sakkal Majalla" w:eastAsia="Times New Roman" w:hAnsi="Sakkal Majalla" w:cs="Sakkal Majalla"/>
                <w:sz w:val="24"/>
                <w:szCs w:val="24"/>
              </w:rPr>
              <w:t xml:space="preserve"> </w:t>
            </w:r>
            <w:r w:rsidRPr="00F84143">
              <w:rPr>
                <w:rFonts w:ascii="Cambria" w:eastAsia="Times New Roman" w:hAnsi="Cambria" w:cs="Cambria"/>
                <w:sz w:val="24"/>
                <w:szCs w:val="24"/>
              </w:rPr>
              <w:t>β</w:t>
            </w:r>
            <w:r w:rsidRPr="00F84143">
              <w:rPr>
                <w:rFonts w:ascii="Sakkal Majalla" w:eastAsia="Times New Roman" w:hAnsi="Sakkal Majalla" w:cs="Sakkal Majalla"/>
                <w:sz w:val="24"/>
                <w:szCs w:val="24"/>
              </w:rPr>
              <w:t xml:space="preserve"> </w:t>
            </w:r>
            <w:r w:rsidRPr="00F84143">
              <w:rPr>
                <w:rFonts w:ascii="Sakkal Majalla" w:eastAsia="Times New Roman" w:hAnsi="Sakkal Majalla" w:cs="Sakkal Majalla"/>
                <w:sz w:val="24"/>
                <w:szCs w:val="24"/>
                <w:rtl/>
              </w:rPr>
              <w:t>المعيارية</w:t>
            </w:r>
          </w:p>
        </w:tc>
        <w:tc>
          <w:tcPr>
            <w:tcW w:w="0" w:type="auto"/>
            <w:hideMark/>
          </w:tcPr>
          <w:p w14:paraId="1122D690"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مستوى الدلالة</w:t>
            </w:r>
          </w:p>
        </w:tc>
        <w:tc>
          <w:tcPr>
            <w:tcW w:w="0" w:type="auto"/>
            <w:hideMark/>
          </w:tcPr>
          <w:p w14:paraId="008E1B99"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النتيجة</w:t>
            </w:r>
          </w:p>
        </w:tc>
        <w:tc>
          <w:tcPr>
            <w:tcW w:w="0" w:type="auto"/>
            <w:hideMark/>
          </w:tcPr>
          <w:p w14:paraId="66C5626B"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الإحالة النظرية</w:t>
            </w:r>
          </w:p>
        </w:tc>
      </w:tr>
      <w:tr w:rsidR="00F84143" w:rsidRPr="00F84143" w14:paraId="2A555E49"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B65F04"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₁</w:t>
            </w:r>
          </w:p>
        </w:tc>
        <w:tc>
          <w:tcPr>
            <w:tcW w:w="0" w:type="auto"/>
            <w:hideMark/>
          </w:tcPr>
          <w:p w14:paraId="5167EB34"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الأسس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1AB70010"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0.743</w:t>
            </w:r>
          </w:p>
        </w:tc>
        <w:tc>
          <w:tcPr>
            <w:tcW w:w="0" w:type="auto"/>
            <w:hideMark/>
          </w:tcPr>
          <w:p w14:paraId="798A14F0"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4152450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0C300C52"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Klievink et al.</w:t>
            </w:r>
          </w:p>
        </w:tc>
      </w:tr>
      <w:tr w:rsidR="00F84143" w:rsidRPr="00F84143" w14:paraId="3126717C"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0EEEB6"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₂</w:t>
            </w:r>
          </w:p>
        </w:tc>
        <w:tc>
          <w:tcPr>
            <w:tcW w:w="0" w:type="auto"/>
            <w:hideMark/>
          </w:tcPr>
          <w:p w14:paraId="5FE88DF0"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الأسس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779A1783"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0.768</w:t>
            </w:r>
          </w:p>
        </w:tc>
        <w:tc>
          <w:tcPr>
            <w:tcW w:w="0" w:type="auto"/>
            <w:hideMark/>
          </w:tcPr>
          <w:p w14:paraId="6D84E8EF"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EE90BD7"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6D780A0C"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World Bank (2021)</w:t>
            </w:r>
          </w:p>
        </w:tc>
      </w:tr>
      <w:tr w:rsidR="00F84143" w:rsidRPr="00F84143" w14:paraId="7BC28786"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DC7718"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₃</w:t>
            </w:r>
          </w:p>
        </w:tc>
        <w:tc>
          <w:tcPr>
            <w:tcW w:w="0" w:type="auto"/>
            <w:hideMark/>
          </w:tcPr>
          <w:p w14:paraId="66D18D69"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الابتكار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102AF01B"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0.812</w:t>
            </w:r>
          </w:p>
        </w:tc>
        <w:tc>
          <w:tcPr>
            <w:tcW w:w="0" w:type="auto"/>
            <w:hideMark/>
          </w:tcPr>
          <w:p w14:paraId="5A49F20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61D7F068"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342EA025"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Hanelt et al.</w:t>
            </w:r>
          </w:p>
        </w:tc>
      </w:tr>
      <w:tr w:rsidR="00F84143" w:rsidRPr="00F84143" w14:paraId="067D6F61"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D628F2"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₄</w:t>
            </w:r>
          </w:p>
        </w:tc>
        <w:tc>
          <w:tcPr>
            <w:tcW w:w="0" w:type="auto"/>
            <w:hideMark/>
          </w:tcPr>
          <w:p w14:paraId="62EDC320"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الابتكار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56637C2A"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0.791</w:t>
            </w:r>
          </w:p>
        </w:tc>
        <w:tc>
          <w:tcPr>
            <w:tcW w:w="0" w:type="auto"/>
            <w:hideMark/>
          </w:tcPr>
          <w:p w14:paraId="419F336B"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38479BF"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5C3F611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Smith (2020)</w:t>
            </w:r>
          </w:p>
        </w:tc>
      </w:tr>
      <w:tr w:rsidR="00F84143" w:rsidRPr="00F84143" w14:paraId="6609F837"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6878D"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₅</w:t>
            </w:r>
          </w:p>
        </w:tc>
        <w:tc>
          <w:tcPr>
            <w:tcW w:w="0" w:type="auto"/>
            <w:hideMark/>
          </w:tcPr>
          <w:p w14:paraId="022ADF4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الحوكمة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41C3687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0.684</w:t>
            </w:r>
          </w:p>
        </w:tc>
        <w:tc>
          <w:tcPr>
            <w:tcW w:w="0" w:type="auto"/>
            <w:hideMark/>
          </w:tcPr>
          <w:p w14:paraId="008BDC14"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086A7E3"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18E360EC"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Weerakkody et al.</w:t>
            </w:r>
          </w:p>
        </w:tc>
      </w:tr>
      <w:tr w:rsidR="00F84143" w:rsidRPr="00F84143" w14:paraId="113A07A4"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843A33"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₆</w:t>
            </w:r>
          </w:p>
        </w:tc>
        <w:tc>
          <w:tcPr>
            <w:tcW w:w="0" w:type="auto"/>
            <w:hideMark/>
          </w:tcPr>
          <w:p w14:paraId="16B97B04"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الحوكمة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64B0FCA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0.712</w:t>
            </w:r>
          </w:p>
        </w:tc>
        <w:tc>
          <w:tcPr>
            <w:tcW w:w="0" w:type="auto"/>
            <w:hideMark/>
          </w:tcPr>
          <w:p w14:paraId="74DA69D6"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7A1B33A5"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0099395B"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OECD (2020)</w:t>
            </w:r>
          </w:p>
        </w:tc>
      </w:tr>
      <w:tr w:rsidR="00F84143" w:rsidRPr="00F84143" w14:paraId="16D5A7D6"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43DF2A"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₇</w:t>
            </w:r>
          </w:p>
        </w:tc>
        <w:tc>
          <w:tcPr>
            <w:tcW w:w="0" w:type="auto"/>
            <w:hideMark/>
          </w:tcPr>
          <w:p w14:paraId="18D549A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التحول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الأثر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الكلي</w:t>
            </w:r>
            <w:r w:rsidRPr="00F84143">
              <w:rPr>
                <w:rFonts w:ascii="Sakkal Majalla" w:eastAsia="Times New Roman" w:hAnsi="Sakkal Majalla" w:cs="Sakkal Majalla"/>
                <w:sz w:val="24"/>
                <w:szCs w:val="24"/>
                <w:rtl/>
              </w:rPr>
              <w:t>)</w:t>
            </w:r>
          </w:p>
        </w:tc>
        <w:tc>
          <w:tcPr>
            <w:tcW w:w="0" w:type="auto"/>
            <w:hideMark/>
          </w:tcPr>
          <w:p w14:paraId="49766EF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0.821</w:t>
            </w:r>
          </w:p>
        </w:tc>
        <w:tc>
          <w:tcPr>
            <w:tcW w:w="0" w:type="auto"/>
            <w:hideMark/>
          </w:tcPr>
          <w:p w14:paraId="5F8CE76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3B955DA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6C370C09"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Meta-analysis</w:t>
            </w:r>
          </w:p>
        </w:tc>
      </w:tr>
      <w:tr w:rsidR="00F84143" w:rsidRPr="00F84143" w14:paraId="67E8377B"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48C3E"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₈</w:t>
            </w:r>
          </w:p>
        </w:tc>
        <w:tc>
          <w:tcPr>
            <w:tcW w:w="0" w:type="auto"/>
            <w:hideMark/>
          </w:tcPr>
          <w:p w14:paraId="66D4F5A5"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التحول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الأثر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الكلي</w:t>
            </w:r>
            <w:r w:rsidRPr="00F84143">
              <w:rPr>
                <w:rFonts w:ascii="Sakkal Majalla" w:eastAsia="Times New Roman" w:hAnsi="Sakkal Majalla" w:cs="Sakkal Majalla"/>
                <w:sz w:val="24"/>
                <w:szCs w:val="24"/>
                <w:rtl/>
              </w:rPr>
              <w:t>)</w:t>
            </w:r>
          </w:p>
        </w:tc>
        <w:tc>
          <w:tcPr>
            <w:tcW w:w="0" w:type="auto"/>
            <w:hideMark/>
          </w:tcPr>
          <w:p w14:paraId="12E0B3F4"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0.836</w:t>
            </w:r>
          </w:p>
        </w:tc>
        <w:tc>
          <w:tcPr>
            <w:tcW w:w="0" w:type="auto"/>
            <w:hideMark/>
          </w:tcPr>
          <w:p w14:paraId="51645887"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1A5186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05A6B7DC"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WCO (2023)</w:t>
            </w:r>
          </w:p>
        </w:tc>
      </w:tr>
      <w:tr w:rsidR="00F84143" w:rsidRPr="00F84143" w14:paraId="66CAD03D"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A54B3D"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₉</w:t>
            </w:r>
          </w:p>
        </w:tc>
        <w:tc>
          <w:tcPr>
            <w:tcW w:w="0" w:type="auto"/>
            <w:hideMark/>
          </w:tcPr>
          <w:p w14:paraId="2A445008"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أثر تعزيز الأمن كمتغير وسيط في العلاقة بين التحول الرقمي وتيسير التجارة</w:t>
            </w:r>
          </w:p>
        </w:tc>
        <w:tc>
          <w:tcPr>
            <w:tcW w:w="0" w:type="auto"/>
            <w:hideMark/>
          </w:tcPr>
          <w:p w14:paraId="19BF19D3"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0.794</w:t>
            </w:r>
          </w:p>
        </w:tc>
        <w:tc>
          <w:tcPr>
            <w:tcW w:w="0" w:type="auto"/>
            <w:hideMark/>
          </w:tcPr>
          <w:p w14:paraId="534E821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05E2001B"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4A2ACB6C"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النموذج المقترح</w:t>
            </w:r>
          </w:p>
        </w:tc>
      </w:tr>
    </w:tbl>
    <w:p w14:paraId="1F090EC7" w14:textId="77777777" w:rsidR="00F84143" w:rsidRPr="00F84143" w:rsidRDefault="00F84143" w:rsidP="00F84143">
      <w:pPr>
        <w:pStyle w:val="BlockText"/>
        <w:spacing w:line="360" w:lineRule="auto"/>
        <w:rPr>
          <w:rFonts w:ascii="Sakkal Majalla" w:hAnsi="Sakkal Majalla" w:cs="Sakkal Majalla"/>
          <w:b/>
          <w:bCs/>
          <w:sz w:val="28"/>
        </w:rPr>
      </w:pPr>
      <w:r w:rsidRPr="00F84143">
        <w:rPr>
          <w:rFonts w:ascii="Sakkal Majalla" w:hAnsi="Sakkal Majalla" w:cs="Sakkal Majalla"/>
          <w:b/>
          <w:bCs/>
          <w:sz w:val="28"/>
          <w:rtl/>
        </w:rPr>
        <w:t>ملاحظات</w:t>
      </w:r>
    </w:p>
    <w:p w14:paraId="3988A4D6"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علاقة قوية</w:t>
      </w:r>
      <w:r w:rsidRPr="00F84143">
        <w:rPr>
          <w:rFonts w:ascii="Sakkal Majalla" w:hAnsi="Sakkal Majalla" w:cs="Sakkal Majalla"/>
          <w:sz w:val="28"/>
        </w:rPr>
        <w:t xml:space="preserve"> (</w:t>
      </w:r>
      <w:r w:rsidRPr="00F84143">
        <w:rPr>
          <w:rFonts w:ascii="Cambria" w:hAnsi="Cambria" w:cs="Cambria"/>
          <w:sz w:val="28"/>
        </w:rPr>
        <w:t>β</w:t>
      </w:r>
      <w:r w:rsidRPr="00F84143">
        <w:rPr>
          <w:rFonts w:ascii="Sakkal Majalla" w:hAnsi="Sakkal Majalla" w:cs="Sakkal Majalla"/>
          <w:sz w:val="28"/>
        </w:rPr>
        <w:t xml:space="preserve"> ≥ 0.79). </w:t>
      </w:r>
    </w:p>
    <w:p w14:paraId="4A287697"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أثر كلي قوي جدًا للتحول الرقمي</w:t>
      </w:r>
      <w:r w:rsidRPr="00F84143">
        <w:rPr>
          <w:rFonts w:ascii="Sakkal Majalla" w:hAnsi="Sakkal Majalla" w:cs="Sakkal Majalla"/>
          <w:sz w:val="28"/>
        </w:rPr>
        <w:t xml:space="preserve">. </w:t>
      </w:r>
    </w:p>
    <w:p w14:paraId="0D5A5853"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يؤكد وجود أثر تكاملي/وسيط بين التحول الرقمي، وتعزيز الأمن، وتيسير التجارة</w:t>
      </w:r>
      <w:r w:rsidRPr="00F84143">
        <w:rPr>
          <w:rFonts w:ascii="Sakkal Majalla" w:hAnsi="Sakkal Majalla" w:cs="Sakkal Majalla"/>
          <w:sz w:val="28"/>
        </w:rPr>
        <w:t xml:space="preserve">. </w:t>
      </w:r>
    </w:p>
    <w:p w14:paraId="5DFB16FB"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akkal Majalla" w:hAnsi="Sakkal Majalla" w:cs="Sakkal Majalla"/>
          <w:sz w:val="28"/>
          <w:rtl/>
        </w:rPr>
        <w:t xml:space="preserve">جميع الفرضيات دالة إحصائيًا عند مستوى </w:t>
      </w:r>
      <w:r w:rsidRPr="00F84143">
        <w:rPr>
          <w:rFonts w:ascii="Sakkal Majalla" w:hAnsi="Sakkal Majalla" w:cs="Sakkal Majalla"/>
          <w:b/>
          <w:bCs/>
          <w:sz w:val="28"/>
        </w:rPr>
        <w:t>p &lt; 0.001</w:t>
      </w:r>
      <w:r w:rsidRPr="00F84143">
        <w:rPr>
          <w:rFonts w:ascii="Sakkal Majalla" w:hAnsi="Sakkal Majalla" w:cs="Sakkal Majalla"/>
          <w:sz w:val="28"/>
          <w:rtl/>
        </w:rPr>
        <w:t>، مما يدل على قوة النموذج وارتفاع مستوى الثقة في نتائج الدراسة</w:t>
      </w:r>
      <w:r w:rsidRPr="00F84143">
        <w:rPr>
          <w:rFonts w:ascii="Sakkal Majalla" w:hAnsi="Sakkal Majalla" w:cs="Sakkal Majalla"/>
          <w:sz w:val="28"/>
        </w:rPr>
        <w:t xml:space="preserve">. </w:t>
      </w:r>
    </w:p>
    <w:p w14:paraId="01E24C59" w14:textId="593BD1AA"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رأي الباحث:</w:t>
      </w:r>
    </w:p>
    <w:p w14:paraId="619795EC" w14:textId="55D62FC3"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يلفت الباحث الانتباه إلى دلالة بالغة الأهمية في هذه النتائج: أن الفرضية التاسعة  وهي أعقد الفرضيات وأكثرها شمولاً  حققت أعلى معامل ارتباط مُعياري في النموذج (0.794)، وهو ما يُثبت أن الأثر التكاملي للتحول الرقمي على الأمن والتجارة معاً أقوى من أثره على كل منهما بمعزل. هذا يعني أن الأمن والتجارة في المنظومة الجمركية الرقمية الناضجة ليسا هدفَين متنافسَين كما يشيع في الأدبيات القديمة، بل هما وجهان لعملة واحدة يُقوّي كل منهما الآخر. وهذا في رأي الباحث الإسهام النظري الأبرز لهذه الدراسة في حقل الجمارك الرقمية.</w:t>
      </w:r>
    </w:p>
    <w:p w14:paraId="1B7797E7" w14:textId="11F2B950"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ثانياً: المخاطر الجيوسياسية وأزمة الشحن — التحليل الشامل 2023–2026</w:t>
      </w:r>
    </w:p>
    <w:p w14:paraId="08988F00"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يمكن لأي دراسة علمية جادة أن تتناول دور التحول الرقمي الجمركي في المملكة العربية السعودية دون أن تضع نتائجها في سياقها الجيوسياسي الأشمل. فالمملكة لا تعمل في جزيرة منعزلة، بل هي عقدة في شبكة تفاعلات جيوسياسية بالغة التعقيد وسريعة التحول، وكل تحرك في هذه الشبكة ينعكس مباشرةً أو بصورة غير مباشرة على منظومتها التجارية والجمركية. يقف المشهد الجيوسياسي الإقليمي والمنظومة الجمركية في قلب العاصفة والأزمات المتلاحقة بين عامي 2023 و2026، مما جعل من التحول الرقمي الجمركي خط الدفاع الأول عن الأمن الاقتصادي للمملكة.</w:t>
      </w:r>
    </w:p>
    <w:p w14:paraId="653BD5E2" w14:textId="030277F3"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 xml:space="preserve"> 4/</w:t>
      </w:r>
      <w:r>
        <w:rPr>
          <w:rFonts w:ascii="Sakkal Majalla" w:hAnsi="Sakkal Majalla" w:cs="Sakkal Majalla" w:hint="cs"/>
          <w:b/>
          <w:bCs/>
          <w:sz w:val="28"/>
          <w:rtl/>
        </w:rPr>
        <w:t>4</w:t>
      </w:r>
      <w:r w:rsidRPr="00F84143">
        <w:rPr>
          <w:rFonts w:ascii="Sakkal Majalla" w:hAnsi="Sakkal Majalla" w:cs="Sakkal Majalla"/>
          <w:b/>
          <w:bCs/>
          <w:sz w:val="28"/>
          <w:rtl/>
        </w:rPr>
        <w:t xml:space="preserve"> — المشهد الجيوسياسي الراهن: قراءة تحليلية شاملة (2023–2026)</w:t>
      </w:r>
    </w:p>
    <w:p w14:paraId="0303A860" w14:textId="3D14218E"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/1 — أزمة البحر الأحمر: الحدث الذي أعاد رسم خارطة التجارة العالمية</w:t>
      </w:r>
    </w:p>
    <w:p w14:paraId="60DA42DA" w14:textId="79AAB53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في نوفمبر 2023، أطلقت جماعة الحوثي في اليمن سلسلة هجمات ممنهجة على ناقلات الشحن التجاري العابرة لمضيق باب المندب، مستهدفة عمق الملاحة الدولية. لم يكن هذا الحدث مجرد اضطراب أمني عابر، بل كان إيذاناً ببداية إعادة هيكلة حقيقية لمنظومة التجارة العالمية، وعلى رأسها التجارة الخليجية. لا يمكن فهم هجمات الحوثيين على الملاحة التجارية في البحر الأحمر فهماً صحيحاً دون استحضار جذورها التاريخية والإيديولوجية. فالحوثيون  الذين يُعرّفون أنفسهم بحركة 'أنصار الله'  هم في الأصل حركة ذات جذور دينية وسياسية في محافظة صعدة اليمنية الشمالية، ظهرت في مطلع التسعينيات كحركة تجديد ديني زيدي. ومع تطور الصراع اليمني وتعقّد تشابكاته الإقليمية في العقدَين الأخيرَين، تحوّلت هذه الحركة إلى قوة عسكرية ضاربة تسيطر على الجزء الأكبر من شمال اليمن، بما فيه العاصمة صنعاء، وتحظى بدعم إيراني تسليحياً واستخباراتياً.</w:t>
      </w:r>
    </w:p>
    <w:p w14:paraId="2BFC84F2" w14:textId="2CF44185"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في أعقاب الحرب على غزة في أكتوبر 2023، أعلن الحوثيون استخدام أذرعهم البحرية ضد السفن التجارية العابرة للبحر الأحمر ومضيق باب المندب، في خطوة صوّروها ذريعةً إعلامياً تضامناً مع الفلسطينيين. غير أن المحللين الاستراتيجيين يُجمعون على أن الدوافع الحقيقية أعمق وأكثر تعدداً: فإلى جانب الدافع الإيديولوجي، ثمة دوافع استراتيجية إيرانية لاستخدام الحوثيين ورقةَ ضغط في مفاوضاتها الدولية، ودوافع داخلية يمنية تسعى إلى تعزيز شعبية الحوثيين داخلياً عبر إبراز 'قوتهم الإقليمية'. وعلى المستوى التقني، وظّف الحوثيون ترسانة تسليحية متطورة بمعايير الجماعات غير الحكومية: صواريخ مضادة للسفن، وطائرات مسيّرة (</w:t>
      </w:r>
      <w:r w:rsidRPr="00F84143">
        <w:rPr>
          <w:rFonts w:ascii="Sakkal Majalla" w:hAnsi="Sakkal Majalla" w:cs="Sakkal Majalla"/>
          <w:sz w:val="28"/>
        </w:rPr>
        <w:t>Drones</w:t>
      </w:r>
      <w:r w:rsidRPr="00F84143">
        <w:rPr>
          <w:rFonts w:ascii="Sakkal Majalla" w:hAnsi="Sakkal Majalla" w:cs="Sakkal Majalla"/>
          <w:sz w:val="28"/>
          <w:rtl/>
        </w:rPr>
        <w:t>) من أنواع متعددة، وأسلحة انتحارية بحرية (</w:t>
      </w:r>
      <w:r w:rsidRPr="00F84143">
        <w:rPr>
          <w:rFonts w:ascii="Sakkal Majalla" w:hAnsi="Sakkal Majalla" w:cs="Sakkal Majalla"/>
          <w:sz w:val="28"/>
        </w:rPr>
        <w:t>Naval Suicide Drones</w:t>
      </w:r>
      <w:r w:rsidRPr="00F84143">
        <w:rPr>
          <w:rFonts w:ascii="Sakkal Majalla" w:hAnsi="Sakkal Majalla" w:cs="Sakkal Majalla"/>
          <w:sz w:val="28"/>
          <w:rtl/>
        </w:rPr>
        <w:t xml:space="preserve">)، ومنظومات استهداف </w:t>
      </w:r>
      <w:r w:rsidRPr="00F84143">
        <w:rPr>
          <w:rFonts w:ascii="Sakkal Majalla" w:hAnsi="Sakkal Majalla" w:cs="Sakkal Majalla"/>
          <w:sz w:val="28"/>
        </w:rPr>
        <w:t>GPS</w:t>
      </w:r>
      <w:r w:rsidRPr="00F84143">
        <w:rPr>
          <w:rFonts w:ascii="Sakkal Majalla" w:hAnsi="Sakkal Majalla" w:cs="Sakkal Majalla"/>
          <w:sz w:val="28"/>
          <w:rtl/>
        </w:rPr>
        <w:t xml:space="preserve"> دقيقة. وقد أدت هذه الترسانة  التي يُقدّر المحللون أن إيران تُزوّد الحوثيين بها عبر طرق تهريب متعددة  إلى اضطراب حقيقي وغير مسبوق في ممر تجاري من أهم الممرات على وجه الأرض.</w:t>
      </w:r>
    </w:p>
    <w:p w14:paraId="38A80F0E" w14:textId="3612CA6A"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الأرقام التي تُعيد كتابة التاريخ التجاري:</w:t>
      </w:r>
    </w:p>
    <w:p w14:paraId="22565405"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تكاد توجد أزمة ملاحية في تاريخ التجارة الحديث تضاهي أزمة البحر الأحمر من حيث السرعة والاتساع في الأثر الاقتصادي. فيما يلي تقرير الأرقام الموثّقة التي يستند إليها الباحث:</w:t>
      </w:r>
    </w:p>
    <w:p w14:paraId="4E00B116" w14:textId="178CB4FF"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شنّ الحوثيون أكثر من 190 هجوماً على السفن التجارية بحلول أكتوبر 2024، ما اضطر معظم شركات الشحن الكبرى (مثل </w:t>
      </w:r>
      <w:r w:rsidRPr="00F84143">
        <w:rPr>
          <w:rFonts w:ascii="Sakkal Majalla" w:hAnsi="Sakkal Majalla" w:cs="Sakkal Majalla"/>
          <w:sz w:val="28"/>
        </w:rPr>
        <w:t>Maersk</w:t>
      </w:r>
      <w:r w:rsidRPr="00F84143">
        <w:rPr>
          <w:rFonts w:ascii="Sakkal Majalla" w:hAnsi="Sakkal Majalla" w:cs="Sakkal Majalla"/>
          <w:sz w:val="28"/>
          <w:rtl/>
        </w:rPr>
        <w:t xml:space="preserve"> و</w:t>
      </w:r>
      <w:r w:rsidRPr="00F84143">
        <w:rPr>
          <w:rFonts w:ascii="Sakkal Majalla" w:hAnsi="Sakkal Majalla" w:cs="Sakkal Majalla"/>
          <w:sz w:val="28"/>
        </w:rPr>
        <w:t>MSC</w:t>
      </w:r>
      <w:r w:rsidRPr="00F84143">
        <w:rPr>
          <w:rFonts w:ascii="Sakkal Majalla" w:hAnsi="Sakkal Majalla" w:cs="Sakkal Majalla"/>
          <w:sz w:val="28"/>
          <w:rtl/>
        </w:rPr>
        <w:t>) إلى إعادة توجيه ناقلاتها عبر طريق رأس الرجاء الصالح دورةً حول أفريقيا، بدلاً من المرور عبر قناة السويس.</w:t>
      </w:r>
    </w:p>
    <w:p w14:paraId="0B9680C5" w14:textId="0C084CFE"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يستوعب البحر الأحمر في سنواته الطبيعية ما بين 12 و15 بالمئة من حجم التجارة البحرية العالمية، ونحو 30 بالمئة من إجمالي تجارة الحاويات، وكان الطريق عبر قناة السويس يُوفّر على رحلة آسيا-أوروبا قرابة 4,000 ميل بحري مقارنةً بطريق رأس الرجاء الصالح.</w:t>
      </w:r>
    </w:p>
    <w:p w14:paraId="27D6CEFF" w14:textId="357E6226"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وصل عدد الضربات الحوثية على السفن التجارية إلى أكثر من 130 سفينة بحلول مارس 2025.</w:t>
      </w:r>
    </w:p>
    <w:p w14:paraId="76CFE6C6" w14:textId="4C881648"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انخفض تدفق النفط عبر مضيق باب المندب من معدل 8.8 مليون برميل يومياً إلى نحو 4 ملايين برميل يومياً بحلول أغسطس 2024، مما يمثّل انخفاضاً بنسبة تجاوزت 54 بالمئة عن المستوى الطبيعي.</w:t>
      </w:r>
    </w:p>
    <w:p w14:paraId="20D5277A" w14:textId="1BCBB721"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وصل مؤشر أسعار الشحن (</w:t>
      </w:r>
      <w:r w:rsidRPr="00F84143">
        <w:rPr>
          <w:rFonts w:ascii="Sakkal Majalla" w:hAnsi="Sakkal Majalla" w:cs="Sakkal Majalla"/>
          <w:sz w:val="28"/>
        </w:rPr>
        <w:t>FEU</w:t>
      </w:r>
      <w:r w:rsidRPr="00F84143">
        <w:rPr>
          <w:rFonts w:ascii="Sakkal Majalla" w:hAnsi="Sakkal Majalla" w:cs="Sakkal Majalla"/>
          <w:sz w:val="28"/>
          <w:rtl/>
        </w:rPr>
        <w:t>) إلى 5,272 دولار (ذروة يناير 2024) مقابل ~1,200 دولار قبل الأزمة.</w:t>
      </w:r>
    </w:p>
    <w:p w14:paraId="2C583C60" w14:textId="713D20D6"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زيادة مدة الرحلة (+10 أيام في المتوسط) وزيادة مسافة الرحلة (+3,000 ميل بحري إضافي).</w:t>
      </w:r>
    </w:p>
    <w:p w14:paraId="50110C89" w14:textId="5121A641"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ارتفعت أقساط التأمين البحري من 0.05% من قيمة البضاعة إلى 0.7-1% من قيمة البضاعة.</w:t>
      </w:r>
    </w:p>
    <w:p w14:paraId="391ABF8F" w14:textId="12F3F6D7"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أثر تضخمي عالمي مُقدَّر (</w:t>
      </w:r>
      <w:r w:rsidRPr="00F84143">
        <w:rPr>
          <w:rFonts w:ascii="Sakkal Majalla" w:hAnsi="Sakkal Majalla" w:cs="Sakkal Majalla"/>
          <w:sz w:val="28"/>
        </w:rPr>
        <w:t>J.P. Morgan</w:t>
      </w:r>
      <w:r w:rsidRPr="00F84143">
        <w:rPr>
          <w:rFonts w:ascii="Sakkal Majalla" w:hAnsi="Sakkal Majalla" w:cs="Sakkal Majalla"/>
          <w:sz w:val="28"/>
          <w:rtl/>
        </w:rPr>
        <w:t>) بلغ +0.7 نقطة مئوية.</w:t>
      </w:r>
    </w:p>
    <w:p w14:paraId="523397FB" w14:textId="345146CF"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زيادة انبعاثات </w:t>
      </w:r>
      <w:r w:rsidRPr="00F84143">
        <w:rPr>
          <w:rFonts w:ascii="Sakkal Majalla" w:hAnsi="Sakkal Majalla" w:cs="Sakkal Majalla"/>
          <w:sz w:val="28"/>
        </w:rPr>
        <w:t>CO</w:t>
      </w:r>
      <w:r w:rsidRPr="00F84143">
        <w:rPr>
          <w:rFonts w:ascii="Cambria Math" w:hAnsi="Cambria Math" w:cs="Cambria Math"/>
          <w:sz w:val="28"/>
        </w:rPr>
        <w:t>₂</w:t>
      </w:r>
      <w:r w:rsidRPr="00F84143">
        <w:rPr>
          <w:rFonts w:ascii="Sakkal Majalla" w:hAnsi="Sakkal Majalla" w:cs="Sakkal Majalla"/>
          <w:sz w:val="28"/>
          <w:rtl/>
        </w:rPr>
        <w:t xml:space="preserve"> للرحلات المُعاد توجيهها بنسبة +30-35%.</w:t>
      </w:r>
    </w:p>
    <w:p w14:paraId="4528F4EB" w14:textId="0B2D33B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مراحل تطور الأزمة: من الانفجار إلى الهدنة المتوترة:</w:t>
      </w:r>
    </w:p>
    <w:p w14:paraId="4F48BEA7"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مرّت أزمة البحر الأحمر بمراحل متعددة يُوثّقها الباحث على النحو التالي:</w:t>
      </w:r>
    </w:p>
    <w:p w14:paraId="34C6D9FF" w14:textId="059F8CB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1</w:t>
      </w:r>
      <w:r w:rsidRPr="00F84143">
        <w:rPr>
          <w:rFonts w:ascii="Sakkal Majalla" w:hAnsi="Sakkal Majalla" w:cs="Sakkal Majalla"/>
          <w:b/>
          <w:bCs/>
          <w:sz w:val="28"/>
          <w:rtl/>
        </w:rPr>
        <w:t>. [المرحلة الأولى] الانطلاق والتصعيد (نوفمبر 2023 — مارس 2024):</w:t>
      </w:r>
      <w:r w:rsidRPr="00F84143">
        <w:rPr>
          <w:rFonts w:ascii="Sakkal Majalla" w:hAnsi="Sakkal Majalla" w:cs="Sakkal Majalla"/>
          <w:sz w:val="28"/>
          <w:rtl/>
        </w:rPr>
        <w:t xml:space="preserve"> بدأت الأزمة بأول هجوم حوثي على سفينة تجارية في نوفمبر 2023، ثم تصاعدت وتيرة الهجمات بسرعة مذهلة لتبلغ ذروتها في الربع الأول من 2024. وخلال هذه المرحلة أعلنت الولايات المتحدة عن عملية '</w:t>
      </w:r>
      <w:r w:rsidRPr="00F84143">
        <w:rPr>
          <w:rFonts w:ascii="Sakkal Majalla" w:hAnsi="Sakkal Majalla" w:cs="Sakkal Majalla"/>
          <w:sz w:val="28"/>
        </w:rPr>
        <w:t>Operation Prosperity Guardian</w:t>
      </w:r>
      <w:r w:rsidRPr="00F84143">
        <w:rPr>
          <w:rFonts w:ascii="Sakkal Majalla" w:hAnsi="Sakkal Majalla" w:cs="Sakkal Majalla"/>
          <w:sz w:val="28"/>
          <w:rtl/>
        </w:rPr>
        <w:t>'، وإن بقيت فاعليتها محدودة في ردع الهجمات.</w:t>
      </w:r>
    </w:p>
    <w:p w14:paraId="4BA5D07F" w14:textId="58549FA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2</w:t>
      </w:r>
      <w:r w:rsidRPr="00F84143">
        <w:rPr>
          <w:rFonts w:ascii="Sakkal Majalla" w:hAnsi="Sakkal Majalla" w:cs="Sakkal Majalla"/>
          <w:b/>
          <w:bCs/>
          <w:sz w:val="28"/>
          <w:rtl/>
        </w:rPr>
        <w:t xml:space="preserve">. [المرحلة الثانية] المواجهة العسكرية وإعادة التوجيه الكامل (أبريل 2024 — فبراير 2025): </w:t>
      </w:r>
      <w:r w:rsidRPr="00F84143">
        <w:rPr>
          <w:rFonts w:ascii="Sakkal Majalla" w:hAnsi="Sakkal Majalla" w:cs="Sakkal Majalla"/>
          <w:sz w:val="28"/>
          <w:rtl/>
        </w:rPr>
        <w:t>شنّت الولايات المتحدة والمملكة المتحدة ضربات مباشرة على مواقع الحوثيين في اليمن، فيما أطلق الاتحاد الأوروبي عملية '</w:t>
      </w:r>
      <w:r w:rsidRPr="00F84143">
        <w:rPr>
          <w:rFonts w:ascii="Sakkal Majalla" w:hAnsi="Sakkal Majalla" w:cs="Sakkal Majalla"/>
          <w:sz w:val="28"/>
        </w:rPr>
        <w:t>Aspides</w:t>
      </w:r>
      <w:r w:rsidRPr="00F84143">
        <w:rPr>
          <w:rFonts w:ascii="Sakkal Majalla" w:hAnsi="Sakkal Majalla" w:cs="Sakkal Majalla"/>
          <w:sz w:val="28"/>
          <w:rtl/>
        </w:rPr>
        <w:t>' لحماية الشحن التجاري. وقرّرت معظم شركات الشحن الكبرى إعادة توجيه ناقلاتها بشكل شبه كامل عبر طريق رأس الرجاء الصالح.</w:t>
      </w:r>
    </w:p>
    <w:p w14:paraId="333C6F34" w14:textId="588AC88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3</w:t>
      </w:r>
      <w:r w:rsidRPr="00F84143">
        <w:rPr>
          <w:rFonts w:ascii="Sakkal Majalla" w:hAnsi="Sakkal Majalla" w:cs="Sakkal Majalla"/>
          <w:b/>
          <w:bCs/>
          <w:sz w:val="28"/>
          <w:rtl/>
        </w:rPr>
        <w:t xml:space="preserve">. [المرحلة الثالثة] عملية </w:t>
      </w:r>
      <w:r w:rsidRPr="00F84143">
        <w:rPr>
          <w:rFonts w:ascii="Sakkal Majalla" w:hAnsi="Sakkal Majalla" w:cs="Sakkal Majalla"/>
          <w:b/>
          <w:bCs/>
          <w:sz w:val="28"/>
        </w:rPr>
        <w:t>Rough Rider</w:t>
      </w:r>
      <w:r w:rsidRPr="00F84143">
        <w:rPr>
          <w:rFonts w:ascii="Sakkal Majalla" w:hAnsi="Sakkal Majalla" w:cs="Sakkal Majalla"/>
          <w:b/>
          <w:bCs/>
          <w:sz w:val="28"/>
          <w:rtl/>
        </w:rPr>
        <w:t xml:space="preserve"> والهدنة الأولى (مارس — أكتوبر 2025): </w:t>
      </w:r>
      <w:r w:rsidRPr="00F84143">
        <w:rPr>
          <w:rFonts w:ascii="Sakkal Majalla" w:hAnsi="Sakkal Majalla" w:cs="Sakkal Majalla"/>
          <w:sz w:val="28"/>
          <w:rtl/>
        </w:rPr>
        <w:t>في 15 مارس 2025 أطلقت الولايات المتحدة '</w:t>
      </w:r>
      <w:r w:rsidRPr="00F84143">
        <w:rPr>
          <w:rFonts w:ascii="Sakkal Majalla" w:hAnsi="Sakkal Majalla" w:cs="Sakkal Majalla"/>
          <w:sz w:val="28"/>
        </w:rPr>
        <w:t>Operation Rough Rider</w:t>
      </w:r>
      <w:r w:rsidRPr="00F84143">
        <w:rPr>
          <w:rFonts w:ascii="Sakkal Majalla" w:hAnsi="Sakkal Majalla" w:cs="Sakkal Majalla"/>
          <w:sz w:val="28"/>
          <w:rtl/>
        </w:rPr>
        <w:t>' وهي حملة عسكرية أشمل على البنية التحتية الحوثية. وفي مايو 2025 توسّطت عُمان في اتفاق هدنة أمريكي-حوثي محدود النطاق.</w:t>
      </w:r>
    </w:p>
    <w:p w14:paraId="3082FA47" w14:textId="14075C5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4</w:t>
      </w:r>
      <w:r w:rsidRPr="00F84143">
        <w:rPr>
          <w:rFonts w:ascii="Sakkal Majalla" w:hAnsi="Sakkal Majalla" w:cs="Sakkal Majalla"/>
          <w:b/>
          <w:bCs/>
          <w:sz w:val="28"/>
          <w:rtl/>
        </w:rPr>
        <w:t>. [المرحلة الرابعة] التهدئة غير المكتملة (أكتوبر 2025 — اليوم):</w:t>
      </w:r>
      <w:r w:rsidRPr="00F84143">
        <w:rPr>
          <w:rFonts w:ascii="Sakkal Majalla" w:hAnsi="Sakkal Majalla" w:cs="Sakkal Majalla"/>
          <w:sz w:val="28"/>
          <w:rtl/>
        </w:rPr>
        <w:t xml:space="preserve"> إثر هدنة غزة في أكتوبر 2025، أوقف الحوثيون هجماتهم على الشحن التجاري العام، غير أن شركات الشحن الكبرى لم تعد بعدُ إلى مسار قناة السويس بشكل كامل، وبقي تهديد استئناف الهجمات ماثلاً مع أي تصعيد في المنطقة. ثم جاء يوليو 2025 ليُفجّر هدوءاً هشاً، حين شنّ الحوثيون هجومَين متتاليَين أغرقا سفينتَي "ماجيك سيز" (</w:t>
      </w:r>
      <w:r w:rsidRPr="00F84143">
        <w:rPr>
          <w:rFonts w:ascii="Sakkal Majalla" w:hAnsi="Sakkal Majalla" w:cs="Sakkal Majalla"/>
          <w:sz w:val="28"/>
        </w:rPr>
        <w:t>Magic Seas</w:t>
      </w:r>
      <w:r w:rsidRPr="00F84143">
        <w:rPr>
          <w:rFonts w:ascii="Sakkal Majalla" w:hAnsi="Sakkal Majalla" w:cs="Sakkal Majalla"/>
          <w:sz w:val="28"/>
          <w:rtl/>
        </w:rPr>
        <w:t>) و"إيتيرنيتي سي" (</w:t>
      </w:r>
      <w:r w:rsidRPr="00F84143">
        <w:rPr>
          <w:rFonts w:ascii="Sakkal Majalla" w:hAnsi="Sakkal Majalla" w:cs="Sakkal Majalla"/>
          <w:sz w:val="28"/>
        </w:rPr>
        <w:t>Eternity Sea</w:t>
      </w:r>
      <w:r w:rsidRPr="00F84143">
        <w:rPr>
          <w:rFonts w:ascii="Sakkal Majalla" w:hAnsi="Sakkal Majalla" w:cs="Sakkal Majalla"/>
          <w:sz w:val="28"/>
          <w:rtl/>
        </w:rPr>
        <w:t>)، وأسفرا عن سقوط قتلى وأسر رهائن، لتعود أسعار الشحن إلى الارتفاع بنسب تراوحت بين 200 و400 بالمئة على عدد من المسارات الحيوية.</w:t>
      </w:r>
    </w:p>
    <w:p w14:paraId="3E6D2DFB" w14:textId="48AF1DB0"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رأي الباحث الأكاديمي:</w:t>
      </w:r>
    </w:p>
    <w:p w14:paraId="7D89D125" w14:textId="0112D30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أزمة البحر الأحمر كشفت حقيقة جوهرية طالما أغفلها صانعو السياسات: أن التجارة الدولية مبنية على هشاشة بنيوية عميقة، إذ يكفي اضطراب أمني في مضيق مائي واحد ليرفع أسعار السلع الأساسية في عواصم عالمية بعيدة. وهذه الهشاشة بالذات هي ما يجعل التحول الرقمي الجمركي — وفي مقدمته نموذج </w:t>
      </w:r>
      <w:r w:rsidRPr="00F84143">
        <w:rPr>
          <w:rFonts w:ascii="Sakkal Majalla" w:hAnsi="Sakkal Majalla" w:cs="Sakkal Majalla"/>
          <w:sz w:val="28"/>
        </w:rPr>
        <w:t>ZATCA</w:t>
      </w:r>
      <w:r w:rsidRPr="00F84143">
        <w:rPr>
          <w:rFonts w:ascii="Sakkal Majalla" w:hAnsi="Sakkal Majalla" w:cs="Sakkal Majalla"/>
          <w:sz w:val="28"/>
          <w:rtl/>
        </w:rPr>
        <w:t xml:space="preserve"> — أمراً استراتيجياً لا ترفاً، بل ضرورة وجودية وحتمية لأي دولة تعتمد على استقرار وتدفق التجارة الدولية. ويحرص الباحث على تقديم قراءة متوازنة لأثر أزمة البحر الأحمر على المملكة؛ فهي من ناحية تحدٍّ اقتصادي حقيقي رفع التكاليف وأربك خطط التوسع اللوجستي، لكنها من ناحية أخرى منحت المملكة ورقة تفاوض استراتيجية نادرة: إذ أصبحت الممرات البرية السعودية ترانزيت الخيار لا ترانزيت الاضطرار، وهو تحول جوهري في المكانة الجيوسياسية. والتحول الرقمي الجمركي المتمثل في منظومة </w:t>
      </w:r>
      <w:r w:rsidRPr="00F84143">
        <w:rPr>
          <w:rFonts w:ascii="Sakkal Majalla" w:hAnsi="Sakkal Majalla" w:cs="Sakkal Majalla"/>
          <w:sz w:val="28"/>
        </w:rPr>
        <w:t>ZATCA</w:t>
      </w:r>
      <w:r w:rsidRPr="00F84143">
        <w:rPr>
          <w:rFonts w:ascii="Sakkal Majalla" w:hAnsi="Sakkal Majalla" w:cs="Sakkal Majalla"/>
          <w:sz w:val="28"/>
          <w:rtl/>
        </w:rPr>
        <w:t xml:space="preserve"> هو الذي يُحوّل هذه الفرصة الجيوسياسية إلى مزية تنافسية حقيقية قابلة للقياس والتسويق.</w:t>
      </w:r>
    </w:p>
    <w:p w14:paraId="6E378404" w14:textId="2D6B88F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Pr>
          <w:rFonts w:ascii="Sakkal Majalla" w:hAnsi="Sakkal Majalla" w:cs="Sakkal Majalla" w:hint="cs"/>
          <w:b/>
          <w:bCs/>
          <w:sz w:val="28"/>
          <w:rtl/>
        </w:rPr>
        <w:t>4</w:t>
      </w:r>
      <w:r w:rsidRPr="00F84143">
        <w:rPr>
          <w:rFonts w:ascii="Sakkal Majalla" w:hAnsi="Sakkal Majalla" w:cs="Sakkal Majalla"/>
          <w:b/>
          <w:bCs/>
          <w:sz w:val="28"/>
          <w:rtl/>
        </w:rPr>
        <w:t>/2 — التداعيات الاقتصادية المباشرة على المملكة العربية السعودية ودول الخليج</w:t>
      </w:r>
    </w:p>
    <w:p w14:paraId="75FC9605" w14:textId="55CEEB2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تقع دول مجلس التعاون الخليجي بما فيها المملكة العربية السعودية في منطقة آمنة من تداعيات هذه الأزمة، بل إنها تعيش في قلب العاصفة بشكل أو بآخر وتتأثر بالمحاور التالية:</w:t>
      </w:r>
    </w:p>
    <w:p w14:paraId="7F4352AA" w14:textId="5F2CD40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أولاً: ارتفاع تكاليف الاستيراد غير النفطي:</w:t>
      </w:r>
      <w:r w:rsidRPr="00F84143">
        <w:rPr>
          <w:rFonts w:ascii="Sakkal Majalla" w:hAnsi="Sakkal Majalla" w:cs="Sakkal Majalla"/>
          <w:sz w:val="28"/>
          <w:rtl/>
        </w:rPr>
        <w:t xml:space="preserve"> أدى إعادة توجيه السفن عبر طريق رأس الرجاء الصالح إلى إضافة أسابيع كاملة على أوقات تسليم البضائع وزيادة حادة في تكاليف الوقود والتشغيل، وهي تكاليف انعكست مباشرةً على أسعار السلع الأساسية في الأسواق الإقليمية، من الإلكترونيات إلى الغذاء. وتُشير التقديرات إلى أن فاتورة الاستيراد السعودية ارتفعت بمعدل 12-18% بسبب الأزمة.</w:t>
      </w:r>
    </w:p>
    <w:p w14:paraId="54C73C77" w14:textId="7B75562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ثانياً: ضغط التأمين البحري وتهديد استثمارات الموانئ:</w:t>
      </w:r>
      <w:r w:rsidRPr="00F84143">
        <w:rPr>
          <w:rFonts w:ascii="Sakkal Majalla" w:hAnsi="Sakkal Majalla" w:cs="Sakkal Majalla"/>
          <w:sz w:val="28"/>
          <w:rtl/>
        </w:rPr>
        <w:t xml:space="preserve"> ارتفعت أقساط التأمين البحري ضد مخاطر الحرب لتصل إلى نحو واحد بالمئة من قيمة البضاعة المشحونة وهي نسبة غير مسبوقة وهو ما ضاعف الأعباء على الشركات المستوردة والمصدِّرة في دول الخليج، ولا سيما الشركات الصغيرة والمتوسطة. كما أربك اضطراب حركة الشحن استثمارات المملكة الضخمة في تطوير موانئها البحرية (ميناء جدة الإسلامي، وميناء الملك عبد</w:t>
      </w:r>
      <w:r w:rsidR="006043F5">
        <w:rPr>
          <w:rFonts w:ascii="Sakkal Majalla" w:hAnsi="Sakkal Majalla" w:cs="Sakkal Majalla" w:hint="cs"/>
          <w:sz w:val="28"/>
          <w:rtl/>
        </w:rPr>
        <w:t xml:space="preserve"> </w:t>
      </w:r>
      <w:r w:rsidRPr="00F84143">
        <w:rPr>
          <w:rFonts w:ascii="Sakkal Majalla" w:hAnsi="Sakkal Majalla" w:cs="Sakkal Majalla"/>
          <w:sz w:val="28"/>
          <w:rtl/>
        </w:rPr>
        <w:t>العزيز بالدمام، وميناء ينبع).</w:t>
      </w:r>
    </w:p>
    <w:p w14:paraId="7A67930B" w14:textId="5F764EE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lastRenderedPageBreak/>
        <w:t xml:space="preserve">ثالثاً: الأثر على مشاريع رؤية 2030 اللوجستية: </w:t>
      </w:r>
      <w:r w:rsidRPr="00F84143">
        <w:rPr>
          <w:rFonts w:ascii="Sakkal Majalla" w:hAnsi="Sakkal Majalla" w:cs="Sakkal Majalla"/>
          <w:sz w:val="28"/>
          <w:rtl/>
        </w:rPr>
        <w:t>تضمّنت رؤية 2030 هدفاً صريحاً لرفع المملكة إلى مرتبة المراكز اللوجستية العالمية الخمسة. وأزمة البحر الأحمر رغم تحدياتها أتاحت فرصة فريدة لإبراز قيمة الممرات البرية السعودية البديلة وتسويقها دولياً.</w:t>
      </w:r>
    </w:p>
    <w:p w14:paraId="728109D3" w14:textId="391A3F5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رابعاً: عودة القرصنة الصومالية:</w:t>
      </w:r>
      <w:r w:rsidRPr="00F84143">
        <w:rPr>
          <w:rFonts w:ascii="Sakkal Majalla" w:hAnsi="Sakkal Majalla" w:cs="Sakkal Majalla"/>
          <w:sz w:val="28"/>
          <w:rtl/>
        </w:rPr>
        <w:t xml:space="preserve"> أسهمت هجمات الحوثيين في انشغال القوى البحرية الدولية وعودة نشاط القراصنة الصوماليين في خليج عدن والبحر العربي بصورة لم تُشهَد منذ سنوات، إذ سجّلت هيئة البحرية التجارية الدولية في أشهر معدودة من 2024 هجمات قرصنة تفوق ما سُجل عام 2023 كاملاً، مما يعني أن المنطقة باتت تواجه تهديداً مزدوجاً: الحوثيون شمالاً والقراصنة جنوباً.</w:t>
      </w:r>
    </w:p>
    <w:p w14:paraId="7998B3A6" w14:textId="3FD8D2A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7230F01F" w14:textId="6BC483AF"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تجمع هذه التداعيات في رأي الباحث خيوطاً ثلاثة خطيرة: أمن بحري مهدَّد، وتكاليف تجارية متصاعدة، وثقة اقتصادية متزعزعة. والمفارقة أن المملكة العربية السعودية وجدت في هذه الأزمة رغم قسوتها وتحدياتها فرصةً استراتيجية نادرة: فطالما كانت الطرق البحرية المعتادة آمنة ورخيصة، لم يكن للمملكة أن تُقنع شركات الشحن العالمية بتفضيل الممرات البرية عبر أراضيها. أما اليوم، مع ارتفاع تكاليف الطريق البحري وتصاعد مخاطره، فإن الممرات البرية السعودية والطرق البديلة عبر الخليج أصبحت بديلاً جاذباً وحقيقياً مدعوماً بالبنية الرقمية لـ </w:t>
      </w:r>
      <w:r w:rsidRPr="00F84143">
        <w:rPr>
          <w:rFonts w:ascii="Sakkal Majalla" w:hAnsi="Sakkal Majalla" w:cs="Sakkal Majalla"/>
          <w:sz w:val="28"/>
        </w:rPr>
        <w:t>ZATCA</w:t>
      </w:r>
      <w:r w:rsidRPr="00F84143">
        <w:rPr>
          <w:rFonts w:ascii="Sakkal Majalla" w:hAnsi="Sakkal Majalla" w:cs="Sakkal Majalla"/>
          <w:sz w:val="28"/>
          <w:rtl/>
        </w:rPr>
        <w:t>.</w:t>
      </w:r>
    </w:p>
    <w:p w14:paraId="66CA9D2F" w14:textId="7170441E"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/3 — الصراع الإيراني-الإسرائيلي والمشهد الجيوسياسي الأوسع: متغيرات تُعقّد المشهد</w:t>
      </w:r>
    </w:p>
    <w:p w14:paraId="57C6678F"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يُشكّل الصراع الإيراني-الإسرائيلي إطاراً جيوسياسياً أعمق تقع ضمنه أزمة البحر الأحمر وتداعياتها؛ فالحوثيون ليسوا فاعلاً مستقلاً بل هم أحد أذرع ما يُعرف بـ'محور المقاومة' الذي تقوده إيران وتُوجّهه سياسياً وتُغذّيه عسكرياً. لا يمكن فهم أزمة الشحن في البحر الأحمر بمعزل عن المشهد الجيوسياسي الأشمل الذي يتضمن المتغيرات التالية:</w:t>
      </w:r>
    </w:p>
    <w:p w14:paraId="4EFCF2E2" w14:textId="5E3DEA1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 xml:space="preserve">المتغير الأول — الصراع الإيراني-الإسرائيلي وتوترات 2026: </w:t>
      </w:r>
      <w:r w:rsidRPr="00F84143">
        <w:rPr>
          <w:rFonts w:ascii="Sakkal Majalla" w:hAnsi="Sakkal Majalla" w:cs="Sakkal Majalla"/>
          <w:sz w:val="28"/>
          <w:rtl/>
        </w:rPr>
        <w:t>حذّر الحوثيون صراحةً من استئناف وتصعيد هجماتهم البحرية في حال تصاعدت حدة الصراع المباشر بين إيران وإسرائيل، وهو سيناريو يظل قائماً ومرشحاً للتفاقم في ظل توترات متصاعدة في الأفق الإقليمي لعام 2026. ويوظّف الحوثيون هجماتهم البحرية كأداة للإشارة السياسية (</w:t>
      </w:r>
      <w:r w:rsidRPr="00F84143">
        <w:rPr>
          <w:rFonts w:ascii="Sakkal Majalla" w:hAnsi="Sakkal Majalla" w:cs="Sakkal Majalla"/>
          <w:sz w:val="28"/>
        </w:rPr>
        <w:t>Political Signaling</w:t>
      </w:r>
      <w:r w:rsidRPr="00F84143">
        <w:rPr>
          <w:rFonts w:ascii="Sakkal Majalla" w:hAnsi="Sakkal Majalla" w:cs="Sakkal Majalla"/>
          <w:sz w:val="28"/>
          <w:rtl/>
        </w:rPr>
        <w:t xml:space="preserve">) المحسوبة. وقد مرّ هذا الصراع بمراحل من التصعيد والهدوء النسبي؛ ففي أبريل 2024 شهد المنطقة تبادل ضربات مباشرة بين إيران وإسرائيل لأول مرة في تاريخ الصراع المُعلن بينهما. ومضيق هرمز يُمثّل الاختناق الأشد حساسية </w:t>
      </w:r>
      <w:r w:rsidRPr="00F84143">
        <w:rPr>
          <w:rFonts w:ascii="Sakkal Majalla" w:hAnsi="Sakkal Majalla" w:cs="Sakkal Majalla"/>
          <w:sz w:val="28"/>
          <w:rtl/>
        </w:rPr>
        <w:lastRenderedPageBreak/>
        <w:t>في خارطة الطاقة العالمية؛ إذ يمر عبره نحو 21% من إجمالي النفط المُتداول عالمياً. وأي تصعيد إيراني في الخليج يُهدد هذا الممر سيُلقي بظلاله المباشرة على الصادرات النفطية السعودية والإمارتية والكويتية.</w:t>
      </w:r>
    </w:p>
    <w:p w14:paraId="58FEBA84" w14:textId="6E61745C"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المتغير الثاني — التنافس الصيني-الأمريكي في بحر الخليج والمنطقة:</w:t>
      </w:r>
      <w:r w:rsidRPr="00F84143">
        <w:rPr>
          <w:rFonts w:ascii="Sakkal Majalla" w:hAnsi="Sakkal Majalla" w:cs="Sakkal Majalla"/>
          <w:sz w:val="28"/>
          <w:rtl/>
        </w:rPr>
        <w:t xml:space="preserve"> تتحرك كل من الولايات المتحدة والصين بمنطق مختلف في إدارة هذه الأزمة؛ فواشنطن تُمسك بزمام القوة البحرية العسكرية عبر تحالف "حارس الازدهار"، بينما تتحرك بكين بهدوء دبلوماسي حذر مستفيدة من علاقاتها مع أطراف النزاع. تبدو المملكة العربية السعودية في هذا السياق أمام خيارات صعبة: فمن جهة، تربطها علاقة استراتيجية عميقة مع الولايات المتحدة (السلاح، الحماية الأمنية، العملة الاحتياطية)؛ ومن جهة أخرى، باتت الصين أكبر مستورد للنفط السعودي وشريكاً تجارياً محورياً. واتفاقية تطبيع الرياض-بكين عام 2023 أضافت بُعداً استراتيجياً جديداً. وبرامج 'الفصل التقني' (</w:t>
      </w:r>
      <w:r w:rsidRPr="00F84143">
        <w:rPr>
          <w:rFonts w:ascii="Sakkal Majalla" w:hAnsi="Sakkal Majalla" w:cs="Sakkal Majalla"/>
          <w:sz w:val="28"/>
        </w:rPr>
        <w:t>Tech Decoupling</w:t>
      </w:r>
      <w:r w:rsidRPr="00F84143">
        <w:rPr>
          <w:rFonts w:ascii="Sakkal Majalla" w:hAnsi="Sakkal Majalla" w:cs="Sakkal Majalla"/>
          <w:sz w:val="28"/>
          <w:rtl/>
        </w:rPr>
        <w:t>) التي تفرضها واشنطن على بعض التقنيات الصينية تضع المملكة أمام خيارات صعبة في استراتيجيتها التقنية الجمركية.</w:t>
      </w:r>
    </w:p>
    <w:p w14:paraId="3F4641CE" w14:textId="12C3780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المتغير الثالث — أثر الرسوم الجمركية والسياسات الحمائية (رسوم ترامب):</w:t>
      </w:r>
      <w:r w:rsidRPr="00F84143">
        <w:rPr>
          <w:rFonts w:ascii="Sakkal Majalla" w:hAnsi="Sakkal Majalla" w:cs="Sakkal Majalla"/>
          <w:sz w:val="28"/>
          <w:rtl/>
        </w:rPr>
        <w:t xml:space="preserve"> تتضافر أزمة الشحن مع موجات الحمائية الاقتصادية والسياسات الجمركية العالمية الجديدة لإدارة ترامب 2025. قرّرت إدارة ترامب في 2025 فرض رسوم جمركية انتقامية واسعة النطاق على واردات أمريكية من دول عديدة، وفي مقدمتها الصين التي واجهت رسوماً تجاوزت 25%. وقد أفرزت هذه الرسوم تداعيات متشعبة على التجارة الخليجية: بحثت شركات التجارة الدولية عن ممرات بديلة لتفادي الرسوم الأمريكية، مما أوجد حركة غير عادية في موانئ إقليمية بوصفها محطات ترانزيت 'محايدة' مع مخاطر التحايل الجمركي (</w:t>
      </w:r>
      <w:r w:rsidRPr="00F84143">
        <w:rPr>
          <w:rFonts w:ascii="Sakkal Majalla" w:hAnsi="Sakkal Majalla" w:cs="Sakkal Majalla"/>
          <w:sz w:val="28"/>
        </w:rPr>
        <w:t>Tariff Circumvention</w:t>
      </w:r>
      <w:r w:rsidRPr="00F84143">
        <w:rPr>
          <w:rFonts w:ascii="Sakkal Majalla" w:hAnsi="Sakkal Majalla" w:cs="Sakkal Majalla"/>
          <w:sz w:val="28"/>
          <w:rtl/>
        </w:rPr>
        <w:t>). كما تتضاعف التكاليف على سلاسل الإمداد الخليجية في حال تزامنت الرسوم الأمريكية مع اضطرابات شحن البحر الأحمر، مما يُغذّي ضغوطاً تضخمية متراكمة.</w:t>
      </w:r>
    </w:p>
    <w:p w14:paraId="01146FD2" w14:textId="5F0233A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08126C7C" w14:textId="7BA031F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يُقدّر الباحث أن الصراع الإيراني-الإسرائيلي يُمثّل المتغير الجيوسياسي الأصعب في التعامل معه استراتيجياً، وذلك لأنه صراع وجودي من منظور أطرافه. ويرى الباحث أن رسوم ترامب الجمركية مهما كانت دوافعها تُقدّم درساً استراتيجياً بالغ الأهمية للمملكة العربية السعودية: أن الجمارك في العالم المعاصر ليست مجرد آلية لجمع الإيرادات، بل هي أداة سياسة اقتصادية واستراتيجية من الطراز الأول. ومن هنا تزداد قيمة التحول الرقمي الجمركي في </w:t>
      </w:r>
      <w:r w:rsidRPr="00F84143">
        <w:rPr>
          <w:rFonts w:ascii="Sakkal Majalla" w:hAnsi="Sakkal Majalla" w:cs="Sakkal Majalla"/>
          <w:sz w:val="28"/>
        </w:rPr>
        <w:t>ZATCA</w:t>
      </w:r>
      <w:r w:rsidRPr="00F84143">
        <w:rPr>
          <w:rFonts w:ascii="Sakkal Majalla" w:hAnsi="Sakkal Majalla" w:cs="Sakkal Majalla"/>
          <w:sz w:val="28"/>
          <w:rtl/>
        </w:rPr>
        <w:t xml:space="preserve">: فكلما أصبحت الهيئة أكثر رشاقةً وذكاءً رقمياً، كانت أقدر على الاستجابة السريعة للمتغيرات الجيوسياسية في منظومة التجارة العالمية </w:t>
      </w:r>
      <w:r w:rsidRPr="00F84143">
        <w:rPr>
          <w:rFonts w:ascii="Sakkal Majalla" w:hAnsi="Sakkal Majalla" w:cs="Sakkal Majalla"/>
          <w:sz w:val="28"/>
          <w:rtl/>
        </w:rPr>
        <w:lastRenderedPageBreak/>
        <w:t>وتحويلها لصالح المصلحة الوطنية. ويرى الباحث أن المملكة العربية السعودية تنتهج بحكمة ملحوظة سياسة 'التوازن التقني' مع الشركاء الغربيين والآسيويين، وهو الخيار الأكثر حكمةً في بيئة دولية متقلبة.</w:t>
      </w:r>
    </w:p>
    <w:p w14:paraId="210FE6F2" w14:textId="7C00071D"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 xml:space="preserve">/4 — كيف يستجيب التحول الرقمي الجمركي لهذه المخاطر؟ نموذج </w:t>
      </w:r>
      <w:r w:rsidRPr="00F84143">
        <w:rPr>
          <w:rFonts w:ascii="Sakkal Majalla" w:hAnsi="Sakkal Majalla" w:cs="Sakkal Majalla"/>
          <w:b/>
          <w:bCs/>
          <w:sz w:val="28"/>
        </w:rPr>
        <w:t>ZATCA</w:t>
      </w:r>
      <w:r w:rsidRPr="00F84143">
        <w:rPr>
          <w:rFonts w:ascii="Sakkal Majalla" w:hAnsi="Sakkal Majalla" w:cs="Sakkal Majalla"/>
          <w:b/>
          <w:bCs/>
          <w:sz w:val="28"/>
          <w:rtl/>
        </w:rPr>
        <w:t xml:space="preserve"> مرجعاً</w:t>
      </w:r>
    </w:p>
    <w:p w14:paraId="10DB50D5" w14:textId="4AB08DD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وهنا يأتي السؤال الجوهري الذي تجيب عنه هذه الدراسة: كيف يُشكّل التحول الرقمي الجمركي ممثَّلاً في نموذج </w:t>
      </w:r>
      <w:r w:rsidRPr="00F84143">
        <w:rPr>
          <w:rFonts w:ascii="Sakkal Majalla" w:hAnsi="Sakkal Majalla" w:cs="Sakkal Majalla"/>
          <w:sz w:val="28"/>
        </w:rPr>
        <w:t>ZATCA</w:t>
      </w:r>
      <w:r w:rsidRPr="00F84143">
        <w:rPr>
          <w:rFonts w:ascii="Sakkal Majalla" w:hAnsi="Sakkal Majalla" w:cs="Sakkal Majalla"/>
          <w:sz w:val="28"/>
          <w:rtl/>
        </w:rPr>
        <w:t xml:space="preserve">  درعاً وقائيةً ورافعةً استراتيجية في مواجهة هذه المخاطر المتشعبة؟</w:t>
      </w:r>
    </w:p>
    <w:p w14:paraId="73C7AECF" w14:textId="30D469DF"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أولاً — المرونة اللوجستية عبر الرقمنة الشاملة:</w:t>
      </w:r>
      <w:r w:rsidRPr="00F84143">
        <w:rPr>
          <w:rFonts w:ascii="Sakkal Majalla" w:hAnsi="Sakkal Majalla" w:cs="Sakkal Majalla"/>
          <w:sz w:val="28"/>
          <w:rtl/>
        </w:rPr>
        <w:t xml:space="preserve"> المنظومة الرقمية المتكاملة التي بنتها </w:t>
      </w:r>
      <w:r w:rsidRPr="00F84143">
        <w:rPr>
          <w:rFonts w:ascii="Sakkal Majalla" w:hAnsi="Sakkal Majalla" w:cs="Sakkal Majalla"/>
          <w:sz w:val="28"/>
        </w:rPr>
        <w:t>ZATCA</w:t>
      </w:r>
      <w:r w:rsidRPr="00F84143">
        <w:rPr>
          <w:rFonts w:ascii="Sakkal Majalla" w:hAnsi="Sakkal Majalla" w:cs="Sakkal Majalla"/>
          <w:sz w:val="28"/>
          <w:rtl/>
        </w:rPr>
        <w:t xml:space="preserve"> لا تُيسّر التجارة في الأوقات الطبيعية فحسب، بل تُصبح أكثر قيمةً في لحظات الأزمات؛ إذ يُتيح التخليص الرقمي الآني تحويل الشحنات بسرعة من الممرات البحرية المهددة إلى البدائل البرية والجوية. هذه 'القابلية للتشغيل البيني' (</w:t>
      </w:r>
      <w:r w:rsidRPr="00F84143">
        <w:rPr>
          <w:rFonts w:ascii="Sakkal Majalla" w:hAnsi="Sakkal Majalla" w:cs="Sakkal Majalla"/>
          <w:sz w:val="28"/>
        </w:rPr>
        <w:t>Interoperability</w:t>
      </w:r>
      <w:r w:rsidRPr="00F84143">
        <w:rPr>
          <w:rFonts w:ascii="Sakkal Majalla" w:hAnsi="Sakkal Majalla" w:cs="Sakkal Majalla"/>
          <w:sz w:val="28"/>
          <w:rtl/>
        </w:rPr>
        <w:t>) بين أنواع مختلفة من المنافذ هي ما يُتيح للمملكة تحويل الشحنات بسرعة من ممر مهدَّد إلى بديل أكثر أماناً.</w:t>
      </w:r>
    </w:p>
    <w:p w14:paraId="4E8A31F6" w14:textId="41C0B24A"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ثانياً — منظومة إدارة المخاطر الاستباقية القائمة على الذكاء الاصطناعي:</w:t>
      </w:r>
      <w:r w:rsidR="00625AFE">
        <w:rPr>
          <w:rFonts w:ascii="Sakkal Majalla" w:hAnsi="Sakkal Majalla" w:cs="Sakkal Majalla" w:hint="cs"/>
          <w:b/>
          <w:bCs/>
          <w:sz w:val="28"/>
          <w:rtl/>
        </w:rPr>
        <w:t xml:space="preserve"> </w:t>
      </w:r>
      <w:r w:rsidRPr="00F84143">
        <w:rPr>
          <w:rFonts w:ascii="Sakkal Majalla" w:hAnsi="Sakkal Majalla" w:cs="Sakkal Majalla"/>
          <w:sz w:val="28"/>
          <w:rtl/>
        </w:rPr>
        <w:t xml:space="preserve">الذكاء الاصطناعي الذي تُشغّله </w:t>
      </w:r>
      <w:r w:rsidRPr="00F84143">
        <w:rPr>
          <w:rFonts w:ascii="Sakkal Majalla" w:hAnsi="Sakkal Majalla" w:cs="Sakkal Majalla"/>
          <w:sz w:val="28"/>
        </w:rPr>
        <w:t>ZATCA</w:t>
      </w:r>
      <w:r w:rsidRPr="00F84143">
        <w:rPr>
          <w:rFonts w:ascii="Sakkal Majalla" w:hAnsi="Sakkal Majalla" w:cs="Sakkal Majalla"/>
          <w:sz w:val="28"/>
          <w:rtl/>
        </w:rPr>
        <w:t xml:space="preserve"> في تصنيف المخاطر لا يقتصر على اكتشاف التهريب التقليدي، بل يمتد إلى تحليل المخاطر الجيوسياسية التي تهدد سلاسل الإمداد. المنظومة الرقمية المتكاملة هي في جوهرها نظام استخبارات جمركي متطور يترك 'بصمة بيانات' لكل شحنة يمكن تحليلها لاكتشاف الأنماط غير الطبيعية.</w:t>
      </w:r>
    </w:p>
    <w:p w14:paraId="26AB8076" w14:textId="42DE76E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ثالثاً — البوابة الجمركية الخليجية الموحدة كدرع إقليمي:</w:t>
      </w:r>
      <w:r w:rsidRPr="00F84143">
        <w:rPr>
          <w:rFonts w:ascii="Sakkal Majalla" w:hAnsi="Sakkal Majalla" w:cs="Sakkal Majalla"/>
          <w:sz w:val="28"/>
          <w:rtl/>
        </w:rPr>
        <w:t xml:space="preserve"> في زمن أزمة البحر الأحمر، تحوّلت النافذة الجمركية الخليجية الموحدة من كونها أداة كفاءة اقتصادية إلى أداة أمن قومي إقليمي؛ إذ يُمكّن الربط الرقمي الآني بين هيئات جمارك دول مجلس التعاون الخليجي (</w:t>
      </w:r>
      <w:r w:rsidRPr="00F84143">
        <w:rPr>
          <w:rFonts w:ascii="Sakkal Majalla" w:hAnsi="Sakkal Majalla" w:cs="Sakkal Majalla"/>
          <w:sz w:val="28"/>
        </w:rPr>
        <w:t>GCC</w:t>
      </w:r>
      <w:r w:rsidRPr="00F84143">
        <w:rPr>
          <w:rFonts w:ascii="Sakkal Majalla" w:hAnsi="Sakkal Majalla" w:cs="Sakkal Majalla"/>
          <w:sz w:val="28"/>
          <w:rtl/>
        </w:rPr>
        <w:t>) من مشاركة معلومات استخباراتية جمركية في وقت حقيقي.</w:t>
      </w:r>
    </w:p>
    <w:p w14:paraId="1C6BFD65" w14:textId="6326A5D2"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رابعاً — بناء شبكة الممرات التجارية البديلة رقمياً:</w:t>
      </w:r>
    </w:p>
    <w:p w14:paraId="75E4CCF3" w14:textId="335979F6"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الممر الأول — طريق التجارة البري العربي (</w:t>
      </w:r>
      <w:r w:rsidRPr="00625AFE">
        <w:rPr>
          <w:rFonts w:ascii="Sakkal Majalla" w:hAnsi="Sakkal Majalla" w:cs="Sakkal Majalla"/>
          <w:b/>
          <w:bCs/>
          <w:sz w:val="28"/>
        </w:rPr>
        <w:t>ASEAN-GCC-Europe Landbridge</w:t>
      </w:r>
      <w:r w:rsidRPr="00625AFE">
        <w:rPr>
          <w:rFonts w:ascii="Sakkal Majalla" w:hAnsi="Sakkal Majalla" w:cs="Sakkal Majalla"/>
          <w:b/>
          <w:bCs/>
          <w:sz w:val="28"/>
          <w:rtl/>
        </w:rPr>
        <w:t>):</w:t>
      </w:r>
      <w:r w:rsidRPr="00F84143">
        <w:rPr>
          <w:rFonts w:ascii="Sakkal Majalla" w:hAnsi="Sakkal Majalla" w:cs="Sakkal Majalla"/>
          <w:sz w:val="28"/>
          <w:rtl/>
        </w:rPr>
        <w:t xml:space="preserve"> التحول الرقمي الجمركي لـ </w:t>
      </w:r>
      <w:r w:rsidRPr="00F84143">
        <w:rPr>
          <w:rFonts w:ascii="Sakkal Majalla" w:hAnsi="Sakkal Majalla" w:cs="Sakkal Majalla"/>
          <w:sz w:val="28"/>
        </w:rPr>
        <w:t>ZATCA</w:t>
      </w:r>
      <w:r w:rsidRPr="00F84143">
        <w:rPr>
          <w:rFonts w:ascii="Sakkal Majalla" w:hAnsi="Sakkal Majalla" w:cs="Sakkal Majalla"/>
          <w:sz w:val="28"/>
          <w:rtl/>
        </w:rPr>
        <w:t xml:space="preserve"> هو الذي يُحوّل الموقع الجغرافي للمملكة من ميزة نظرية إلى واقع تشغيلي حقيقي.</w:t>
      </w:r>
    </w:p>
    <w:p w14:paraId="65978E7F" w14:textId="04BDB51A"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الممر الثاني — منفذ حالة عمار البري (الشمال السعودي):</w:t>
      </w:r>
      <w:r w:rsidRPr="00F84143">
        <w:rPr>
          <w:rFonts w:ascii="Sakkal Majalla" w:hAnsi="Sakkal Majalla" w:cs="Sakkal Majalla"/>
          <w:sz w:val="28"/>
          <w:rtl/>
        </w:rPr>
        <w:t xml:space="preserve"> يُمثّل نقطة محورية في خطوط التجارة البرية البديلة نحو الشام وأوروبا.</w:t>
      </w:r>
    </w:p>
    <w:p w14:paraId="024280AC" w14:textId="3728CBBD"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الممر الثالث — منصة نيوم (</w:t>
      </w:r>
      <w:r w:rsidRPr="00625AFE">
        <w:rPr>
          <w:rFonts w:ascii="Sakkal Majalla" w:hAnsi="Sakkal Majalla" w:cs="Sakkal Majalla"/>
          <w:b/>
          <w:bCs/>
          <w:sz w:val="28"/>
        </w:rPr>
        <w:t>NEOM</w:t>
      </w:r>
      <w:r w:rsidRPr="00625AFE">
        <w:rPr>
          <w:rFonts w:ascii="Sakkal Majalla" w:hAnsi="Sakkal Majalla" w:cs="Sakkal Majalla"/>
          <w:b/>
          <w:bCs/>
          <w:sz w:val="28"/>
          <w:rtl/>
        </w:rPr>
        <w:t>) للتجارة الرقمية:</w:t>
      </w:r>
      <w:r w:rsidRPr="00F84143">
        <w:rPr>
          <w:rFonts w:ascii="Sakkal Majalla" w:hAnsi="Sakkal Majalla" w:cs="Sakkal Majalla"/>
          <w:sz w:val="28"/>
          <w:rtl/>
        </w:rPr>
        <w:t xml:space="preserve"> التكامل الرقمي الكامل بين منظومة </w:t>
      </w:r>
      <w:r w:rsidRPr="00F84143">
        <w:rPr>
          <w:rFonts w:ascii="Sakkal Majalla" w:hAnsi="Sakkal Majalla" w:cs="Sakkal Majalla"/>
          <w:sz w:val="28"/>
        </w:rPr>
        <w:t>ZATCA</w:t>
      </w:r>
      <w:r w:rsidRPr="00F84143">
        <w:rPr>
          <w:rFonts w:ascii="Sakkal Majalla" w:hAnsi="Sakkal Majalla" w:cs="Sakkal Majalla"/>
          <w:sz w:val="28"/>
          <w:rtl/>
        </w:rPr>
        <w:t xml:space="preserve"> ومنصات </w:t>
      </w:r>
      <w:r w:rsidRPr="00F84143">
        <w:rPr>
          <w:rFonts w:ascii="Sakkal Majalla" w:hAnsi="Sakkal Majalla" w:cs="Sakkal Majalla"/>
          <w:sz w:val="28"/>
        </w:rPr>
        <w:t>NEOM</w:t>
      </w:r>
      <w:r w:rsidRPr="00F84143">
        <w:rPr>
          <w:rFonts w:ascii="Sakkal Majalla" w:hAnsi="Sakkal Majalla" w:cs="Sakkal Majalla"/>
          <w:sz w:val="28"/>
          <w:rtl/>
        </w:rPr>
        <w:t xml:space="preserve"> اللوجستية هو الضمان الحقيقي لتدفق البضائع بمرونة فائقة.</w:t>
      </w:r>
    </w:p>
    <w:p w14:paraId="4C4EF47D" w14:textId="0270809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خامساً — التكيف الجمركي مع نماذج الشحن الجديدة:</w:t>
      </w:r>
    </w:p>
    <w:p w14:paraId="0C064D7C" w14:textId="164CEDCB"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الشحن متعدد الوسائط (</w:t>
      </w:r>
      <w:r w:rsidRPr="00625AFE">
        <w:rPr>
          <w:rFonts w:ascii="Sakkal Majalla" w:hAnsi="Sakkal Majalla" w:cs="Sakkal Majalla"/>
          <w:b/>
          <w:bCs/>
          <w:sz w:val="28"/>
        </w:rPr>
        <w:t>Multimodal Shipping</w:t>
      </w:r>
      <w:r w:rsidRPr="00625AFE">
        <w:rPr>
          <w:rFonts w:ascii="Sakkal Majalla" w:hAnsi="Sakkal Majalla" w:cs="Sakkal Majalla"/>
          <w:b/>
          <w:bCs/>
          <w:sz w:val="28"/>
          <w:rtl/>
        </w:rPr>
        <w:t>):</w:t>
      </w:r>
      <w:r w:rsidRPr="00F84143">
        <w:rPr>
          <w:rFonts w:ascii="Sakkal Majalla" w:hAnsi="Sakkal Majalla" w:cs="Sakkal Majalla"/>
          <w:sz w:val="28"/>
          <w:rtl/>
        </w:rPr>
        <w:t xml:space="preserve"> يتطلب تطوير "التخليص الجمركي المسبق الشامل" الذي يُغطّي كامل الرحلة اللوجستية متعددة الوسائط ببوليصة تأمين وإجراء رقمي واحد.</w:t>
      </w:r>
    </w:p>
    <w:p w14:paraId="68D75201" w14:textId="74DCEAFF"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الترانزيت العابر للحدود السعودية:</w:t>
      </w:r>
      <w:r w:rsidRPr="00F84143">
        <w:rPr>
          <w:rFonts w:ascii="Sakkal Majalla" w:hAnsi="Sakkal Majalla" w:cs="Sakkal Majalla"/>
          <w:sz w:val="28"/>
          <w:rtl/>
        </w:rPr>
        <w:t xml:space="preserve"> استمرار تطوير منظومة جمركية رقمية فائقة السرعة خاصة بالترانزيت تحاكي نموذج سنغافورة.</w:t>
      </w:r>
    </w:p>
    <w:p w14:paraId="2771E6E7" w14:textId="07C7B8DC"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الشحن الجوي كبديل استراتيجي عاجل:</w:t>
      </w:r>
      <w:r w:rsidRPr="00F84143">
        <w:rPr>
          <w:rFonts w:ascii="Sakkal Majalla" w:hAnsi="Sakkal Majalla" w:cs="Sakkal Majalla"/>
          <w:sz w:val="28"/>
          <w:rtl/>
        </w:rPr>
        <w:t xml:space="preserve"> شهدت المطارات المحورية طلباً متزايداً لنقل البضائع الثمينة، مما تطلب أتمتة كاملة لمنظومات الفحص الرقمي الجوي.</w:t>
      </w:r>
    </w:p>
    <w:p w14:paraId="2C991FD4" w14:textId="2711FEE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رأي الباحث الأكاديمي:</w:t>
      </w:r>
    </w:p>
    <w:p w14:paraId="0966CC47" w14:textId="0EC3B9DE"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يعتقد الباحث أن الأزمة الحوثية وتوترات البحر الأحمر بكل ما أحدثته من خسائر وتكاليف قدّمت للمملكة العربية السعودية وللهيئة خدمة استراتيجية غير مقصودة: فهي وضعت التحول الرقمي الجمركي في مركز صنع القرار السياسي والاقتصادي الأعلى للدولة. بعد أن كان التحول الرقمي يُنظر إليه كمشروع تقني لتحسين الكفاءة، أصبح اليوم أجندةً أمنية استراتيجية وعموداً فقرياً للأمن الاقتصادي. يخلص الباحث إلى أن التحول الرقمي الجمركي في </w:t>
      </w:r>
      <w:r w:rsidRPr="00F84143">
        <w:rPr>
          <w:rFonts w:ascii="Sakkal Majalla" w:hAnsi="Sakkal Majalla" w:cs="Sakkal Majalla"/>
          <w:sz w:val="28"/>
        </w:rPr>
        <w:t>ZATCA</w:t>
      </w:r>
      <w:r w:rsidRPr="00F84143">
        <w:rPr>
          <w:rFonts w:ascii="Sakkal Majalla" w:hAnsi="Sakkal Majalla" w:cs="Sakkal Majalla"/>
          <w:sz w:val="28"/>
          <w:rtl/>
        </w:rPr>
        <w:t xml:space="preserve"> أعاد تعريف 'الأمن الجمركي' في السياق السعودي؛ فلم يعد مقتصراً على منع الإدخال غير المشروع للبضائع، بل أصبح يشمل الأمن الاقتصادي للدولة في وجه الصدمات الخارجية والمخاطر الجيوسياسية.</w:t>
      </w:r>
    </w:p>
    <w:p w14:paraId="6688704F" w14:textId="2D9266C7"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4/</w:t>
      </w:r>
      <w:r w:rsidR="00625AFE">
        <w:rPr>
          <w:rFonts w:ascii="Sakkal Majalla" w:hAnsi="Sakkal Majalla" w:cs="Sakkal Majalla" w:hint="cs"/>
          <w:b/>
          <w:bCs/>
          <w:sz w:val="28"/>
          <w:rtl/>
        </w:rPr>
        <w:t>4</w:t>
      </w:r>
      <w:r w:rsidRPr="00625AFE">
        <w:rPr>
          <w:rFonts w:ascii="Sakkal Majalla" w:hAnsi="Sakkal Majalla" w:cs="Sakkal Majalla"/>
          <w:b/>
          <w:bCs/>
          <w:sz w:val="28"/>
          <w:rtl/>
        </w:rPr>
        <w:t>/5 — الأزمة الجيوسياسية كفرصة استراتيجية: قراءة في التحولات المتاحة</w:t>
      </w:r>
    </w:p>
    <w:p w14:paraId="6E1F8538"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كثيراً ما تُقرأ الأزمات الجيوسياسية من زاوية التهديد والخسارة حصراً. لكن الباحث المتأمّل في التاريخ الاقتصادي يدرك أن الأزمات الكبرى غالباً ما تُعيد توزيع الأوراق الاستراتيجية بين اللاعبين الإقليميين والدوليين. ومن الفرص الاستراتيجية التي أتاحتها الأزمة:</w:t>
      </w:r>
    </w:p>
    <w:p w14:paraId="11CFDA4D" w14:textId="195B6FD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1</w:t>
      </w:r>
      <w:r w:rsidRPr="00625AFE">
        <w:rPr>
          <w:rFonts w:ascii="Sakkal Majalla" w:hAnsi="Sakkal Majalla" w:cs="Sakkal Majalla"/>
          <w:b/>
          <w:bCs/>
          <w:sz w:val="28"/>
          <w:rtl/>
        </w:rPr>
        <w:t>. تحويل المملكة إلى مركز ترانزيت إقليمي بديل:</w:t>
      </w:r>
      <w:r w:rsidRPr="00F84143">
        <w:rPr>
          <w:rFonts w:ascii="Sakkal Majalla" w:hAnsi="Sakkal Majalla" w:cs="Sakkal Majalla"/>
          <w:sz w:val="28"/>
          <w:rtl/>
        </w:rPr>
        <w:t xml:space="preserve"> تصاعد الطلب على ممرات الترانزيت البرية والجوية السعودية.</w:t>
      </w:r>
    </w:p>
    <w:p w14:paraId="6DF67F41" w14:textId="29662BE4"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2. تسريع مسار التكامل الجمركي الخليجي:</w:t>
      </w:r>
      <w:r w:rsidRPr="00F84143">
        <w:rPr>
          <w:rFonts w:ascii="Sakkal Majalla" w:hAnsi="Sakkal Majalla" w:cs="Sakkal Majalla"/>
          <w:sz w:val="28"/>
          <w:rtl/>
        </w:rPr>
        <w:t xml:space="preserve"> أثبتت الأزمة حاجة دول الخليج إلى منظومة جمركية متكاملة تُتيح تحويل الشحنات بمرونة بين موانئ الدول الست.</w:t>
      </w:r>
    </w:p>
    <w:p w14:paraId="247CE52A" w14:textId="786818B2"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3. تعزيز الاستثمار في منظومة الشحن الجوي:</w:t>
      </w:r>
      <w:r w:rsidRPr="00F84143">
        <w:rPr>
          <w:rFonts w:ascii="Sakkal Majalla" w:hAnsi="Sakkal Majalla" w:cs="Sakkal Majalla"/>
          <w:sz w:val="28"/>
          <w:rtl/>
        </w:rPr>
        <w:t xml:space="preserve"> ارتفاع الطلب على الشحن الجوي يُتيح للمملكة توظيف موقعها الجغرافي المتوسط.</w:t>
      </w:r>
    </w:p>
    <w:p w14:paraId="66703C2B" w14:textId="28BA7D27"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4. إثبات قيمة التحول الرقمي الجمركي على المستوى الدولي:</w:t>
      </w:r>
      <w:r w:rsidRPr="00F84143">
        <w:rPr>
          <w:rFonts w:ascii="Sakkal Majalla" w:hAnsi="Sakkal Majalla" w:cs="Sakkal Majalla"/>
          <w:sz w:val="28"/>
          <w:rtl/>
        </w:rPr>
        <w:t xml:space="preserve"> تقف </w:t>
      </w:r>
      <w:r w:rsidRPr="00F84143">
        <w:rPr>
          <w:rFonts w:ascii="Sakkal Majalla" w:hAnsi="Sakkal Majalla" w:cs="Sakkal Majalla"/>
          <w:sz w:val="28"/>
        </w:rPr>
        <w:t>ZATCA</w:t>
      </w:r>
      <w:r w:rsidRPr="00F84143">
        <w:rPr>
          <w:rFonts w:ascii="Sakkal Majalla" w:hAnsi="Sakkal Majalla" w:cs="Sakkal Majalla"/>
          <w:sz w:val="28"/>
          <w:rtl/>
        </w:rPr>
        <w:t xml:space="preserve"> بمنظومتها الرقمية المتطورة في موقع مميز لاستقطاب ثقة الشركات الدولية.</w:t>
      </w:r>
    </w:p>
    <w:p w14:paraId="62147D55" w14:textId="5EB90927"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رأي الباحث:</w:t>
      </w:r>
    </w:p>
    <w:p w14:paraId="47190C02" w14:textId="7BA112C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يُصرّح الباحث بقناعة استراتيجية: أن المملكة العربية السعودية في 2025-2026 تقف أمام نافذة فرص تاريخية نادرة لإعادة تأهيل نفسها كمحور لوجستي عالمي من الطراز الأول. وهذه النافذة ليست مفتوحة إلى الأبد؛ فمتى انتهت أزمة البحر الأحمر وعادت الملاحة إلى مساراتها الطبيعية، ستضيق هذه النافذة مجدداً. لذا فإن السرعة في تطوير المنظومة الرقمية الجمركية وتسويقها دولياً وتعزيز الممرات البديلة هي استثمار ذو حساسية زمنية عالية لا يحتمل التأجيل.</w:t>
      </w:r>
    </w:p>
    <w:p w14:paraId="0CAA146F" w14:textId="621C6CF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ثالثاً: الأبعاد الخفية للتحول الرقمي الجمركي </w:t>
      </w:r>
    </w:p>
    <w:p w14:paraId="40EC9A8C" w14:textId="5C46686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1. التحول الرقمي الجمركي وسيادة البيانات الوطنية</w:t>
      </w:r>
    </w:p>
    <w:p w14:paraId="0704EDD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يُطرح الباحث في هذا المحور قضية بالغة الأهمية لم تنل حقها الكافي من الدراسة: قضية سيادة البيانات الجمركية بوصفها مسألة أمن قومي اقتصادي من الدرجة الأولى. البيانات التي تعالجها هيئة </w:t>
      </w:r>
      <w:r w:rsidRPr="00F84143">
        <w:rPr>
          <w:rFonts w:ascii="Sakkal Majalla" w:hAnsi="Sakkal Majalla" w:cs="Sakkal Majalla"/>
          <w:sz w:val="28"/>
        </w:rPr>
        <w:t>ZATCA</w:t>
      </w:r>
      <w:r w:rsidRPr="00F84143">
        <w:rPr>
          <w:rFonts w:ascii="Sakkal Majalla" w:hAnsi="Sakkal Majalla" w:cs="Sakkal Majalla"/>
          <w:sz w:val="28"/>
          <w:rtl/>
        </w:rPr>
        <w:t xml:space="preserve"> يومياً هي في جوهرها 'صورة حية' من الاقتصاد السعودي. ومع توجّه </w:t>
      </w:r>
      <w:r w:rsidRPr="00F84143">
        <w:rPr>
          <w:rFonts w:ascii="Sakkal Majalla" w:hAnsi="Sakkal Majalla" w:cs="Sakkal Majalla"/>
          <w:sz w:val="28"/>
        </w:rPr>
        <w:t>ZATCA</w:t>
      </w:r>
      <w:r w:rsidRPr="00F84143">
        <w:rPr>
          <w:rFonts w:ascii="Sakkal Majalla" w:hAnsi="Sakkal Majalla" w:cs="Sakkal Majalla"/>
          <w:sz w:val="28"/>
          <w:rtl/>
        </w:rPr>
        <w:t xml:space="preserve"> نحو الشراكة مع شركات تقنية دولية كبرى، تبرز إشكالية مشروعة: كيف تضمن الهيئة أن هذه البيانات الاستراتيجية تبقى في السيادة الوطنية الكاملة؟</w:t>
      </w:r>
    </w:p>
    <w:p w14:paraId="3E112A84"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الإجابة تتطلب بناء 'استراتيجية السيادة الرقمية الجمركية' المتضمنة لعناصر رئيسية:</w:t>
      </w:r>
    </w:p>
    <w:p w14:paraId="3398E059" w14:textId="291A7B66"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السحابة الحكومية الجمركية المُقيَّدة:</w:t>
      </w:r>
      <w:r w:rsidRPr="00F84143">
        <w:rPr>
          <w:rFonts w:ascii="Sakkal Majalla" w:hAnsi="Sakkal Majalla" w:cs="Sakkal Majalla"/>
          <w:sz w:val="28"/>
          <w:rtl/>
        </w:rPr>
        <w:t xml:space="preserve"> بناء بنية سحابية حكومية خاصة لاستضافة البيانات الجمركية الحساسة داخل الحدود السعودية.</w:t>
      </w:r>
    </w:p>
    <w:p w14:paraId="0AE37A5F" w14:textId="34168907"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تشريع سيادة البيانات الجمركية:</w:t>
      </w:r>
      <w:r w:rsidRPr="00F84143">
        <w:rPr>
          <w:rFonts w:ascii="Sakkal Majalla" w:hAnsi="Sakkal Majalla" w:cs="Sakkal Majalla"/>
          <w:sz w:val="28"/>
          <w:rtl/>
        </w:rPr>
        <w:t xml:space="preserve"> إصدار لوائح تشريعية صريحة تحدد تصنيف بيانات </w:t>
      </w:r>
      <w:r w:rsidRPr="00F84143">
        <w:rPr>
          <w:rFonts w:ascii="Sakkal Majalla" w:hAnsi="Sakkal Majalla" w:cs="Sakkal Majalla"/>
          <w:sz w:val="28"/>
        </w:rPr>
        <w:t>ZATCA</w:t>
      </w:r>
      <w:r w:rsidRPr="00F84143">
        <w:rPr>
          <w:rFonts w:ascii="Sakkal Majalla" w:hAnsi="Sakkal Majalla" w:cs="Sakkal Majalla"/>
          <w:sz w:val="28"/>
          <w:rtl/>
        </w:rPr>
        <w:t xml:space="preserve"> من حيث السيادة والحساسية.</w:t>
      </w:r>
    </w:p>
    <w:p w14:paraId="53DA3F4A" w14:textId="2627F23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تدقيق مستقل دوري لاتفاقيات معالجة البيانات:</w:t>
      </w:r>
      <w:r w:rsidRPr="00F84143">
        <w:rPr>
          <w:rFonts w:ascii="Sakkal Majalla" w:hAnsi="Sakkal Majalla" w:cs="Sakkal Majalla"/>
          <w:sz w:val="28"/>
          <w:rtl/>
        </w:rPr>
        <w:t xml:space="preserve"> إجراء مراجعات مستقلة لعقود ومعاملات بيانات </w:t>
      </w:r>
      <w:r w:rsidRPr="00F84143">
        <w:rPr>
          <w:rFonts w:ascii="Sakkal Majalla" w:hAnsi="Sakkal Majalla" w:cs="Sakkal Majalla"/>
          <w:sz w:val="28"/>
        </w:rPr>
        <w:t>ZATCA</w:t>
      </w:r>
      <w:r w:rsidRPr="00F84143">
        <w:rPr>
          <w:rFonts w:ascii="Sakkal Majalla" w:hAnsi="Sakkal Majalla" w:cs="Sakkal Majalla"/>
          <w:sz w:val="28"/>
          <w:rtl/>
        </w:rPr>
        <w:t xml:space="preserve"> مع الشركاء التقنيين.</w:t>
      </w:r>
    </w:p>
    <w:p w14:paraId="76BADD3C" w14:textId="158E583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تطوير الكفاءة الوطنية في علوم البيانات الجمركية:</w:t>
      </w:r>
      <w:r w:rsidRPr="00F84143">
        <w:rPr>
          <w:rFonts w:ascii="Sakkal Majalla" w:hAnsi="Sakkal Majalla" w:cs="Sakkal Majalla"/>
          <w:sz w:val="28"/>
          <w:rtl/>
        </w:rPr>
        <w:t xml:space="preserve"> الاستثمار في بناء فريق وطني من علماء البيانات والمطورين المتخصصين في المجال الجمركي.</w:t>
      </w:r>
    </w:p>
    <w:p w14:paraId="45C9E651" w14:textId="08DBE34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يرى الباحث أن سيادة البيانات الجمركية هي الجيل القادم من السيادة الاقتصادية الوطنية. فكما أن السيادة على النفط كانت القضية الاقتصادية المحورية للقرن العشرين، ستكون السيادة على البيانات ومنها البيانات الجمركية القضية المحورية للقرن الحادي والعشرين. والمملكة العربية السعودية التي نجحت في استعادة سيادتها على ثرواتها النفطية في السبعينيات، تمتلك اليوم التجربة والإرادة لبناء سيادة مماثلة على ثرواتها الرقمية.</w:t>
      </w:r>
    </w:p>
    <w:p w14:paraId="1DBEB95C" w14:textId="76AAEB0A"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2. العلاقة المنسية: التحول الرقمي الجمركي والتضخم المحلي</w:t>
      </w:r>
    </w:p>
    <w:p w14:paraId="146D8081" w14:textId="6BB4598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تُنبّه هذه الدراسة إلى علاقة جوهرية نادراً ما تُناقَش: العلاقة بين كفاءة التخليص الجمركي الرقمي ومعدلات التضخم المحلي. المنطق الاقتصادي بسيط ومباشر: كل ساعة يقضيها حاوية شحن في انتظار التخليص الجمركي تُكلّف المستورد مبالغ (تكلفة التأخير، رسوم التخزين، فرصة ضائعة). هذه التكاليف تُضاف حتماً إلى سعر السلعة النهائي. أي أن كل تقليص في وقت التخليص يُترجَم مباشرةً إلى ضغط أسعار سلعي أقل على المستهلك. وتتضاعف أهمية هذه العلاقة في سياق أزمة البحر الأحمر التي أضافت ما يزيد على 0.7 نقطة مئوية إلى التضخم العالمي. فمنظومة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التي أسهمت في الحفاظ على أوقات تخليص معقولة كانت عملياً أداةً لاحتواء التضخم المستورد.</w:t>
      </w:r>
    </w:p>
    <w:p w14:paraId="18100729" w14:textId="5C49FB5D"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يُعتقد الباحث أن هذه العلاقة المُهمَلة تستحق أن تُصبح جزءاً من الخطاب الاقتصادي الرسمي؛ فحين يُعلن البنك المركزي السعودي (ساما) عن إجراءات لمكافحة التضخم، ينبغي أن يكون تطوير 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جزءاً من حزمة هذه الإجراءات. الجمارك الذكية هي سياسة مالية غير تقليدية فعّالة، وإن لم تُصنَّف هكذا في الأدبيات السائدة. استطاعت </w:t>
      </w:r>
      <w:r w:rsidRPr="00F84143">
        <w:rPr>
          <w:rFonts w:ascii="Sakkal Majalla" w:hAnsi="Sakkal Majalla" w:cs="Sakkal Majalla"/>
          <w:sz w:val="28"/>
        </w:rPr>
        <w:t>ZATCA</w:t>
      </w:r>
      <w:r w:rsidRPr="00F84143">
        <w:rPr>
          <w:rFonts w:ascii="Sakkal Majalla" w:hAnsi="Sakkal Majalla" w:cs="Sakkal Majalla"/>
          <w:sz w:val="28"/>
          <w:rtl/>
        </w:rPr>
        <w:t xml:space="preserve"> بفضل رقمنة الإجراءات أن تحتوي جزءاً هاماً من الأثر التضخمي المستورد لأزمة الشحن العالمية.</w:t>
      </w:r>
    </w:p>
    <w:p w14:paraId="30FA7738" w14:textId="466E6B8E"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3. الجمارك الإنسانية الرقمية: مفهوم مقترح</w:t>
      </w:r>
    </w:p>
    <w:p w14:paraId="13BC61A9" w14:textId="77777777" w:rsidR="00F84143" w:rsidRPr="00625AFE" w:rsidRDefault="00F84143" w:rsidP="00F84143">
      <w:pPr>
        <w:pStyle w:val="BlockText"/>
        <w:spacing w:line="360" w:lineRule="auto"/>
        <w:jc w:val="lowKashida"/>
        <w:rPr>
          <w:rFonts w:ascii="Sakkal Majalla" w:hAnsi="Sakkal Majalla" w:cs="Sakkal Majalla"/>
          <w:b/>
          <w:bCs/>
          <w:sz w:val="28"/>
          <w:rtl/>
        </w:rPr>
      </w:pPr>
    </w:p>
    <w:p w14:paraId="3CFB3A5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يُقدّم الباحث مفهوماً أكاديمياً جديداً: مفهوم 'الجمارك الإنسانية الرقمية' (</w:t>
      </w:r>
      <w:r w:rsidRPr="00F84143">
        <w:rPr>
          <w:rFonts w:ascii="Sakkal Majalla" w:hAnsi="Sakkal Majalla" w:cs="Sakkal Majalla"/>
          <w:sz w:val="28"/>
        </w:rPr>
        <w:t>Digital Humanitarian Customs</w:t>
      </w:r>
      <w:r w:rsidRPr="00F84143">
        <w:rPr>
          <w:rFonts w:ascii="Sakkal Majalla" w:hAnsi="Sakkal Majalla" w:cs="Sakkal Majalla"/>
          <w:sz w:val="28"/>
          <w:rtl/>
        </w:rPr>
        <w:t xml:space="preserve">). ويُشير هذا المفهوم إلى توظيف القدرات الرقمية المتطورة للهيئة الجمركية لخدمة الأهداف الإنسانية في أوقات الأزمات والكوارث. حين تضرب كارثة طبيعية دولةً مجاورة، تقف الإجراءات الجمركية التقليدية عائقاً في وجه تدفق المساعدات. 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يمكن أن تُطلق 'وضعية التخليص الإنساني الطارئ' (</w:t>
      </w:r>
      <w:r w:rsidRPr="00F84143">
        <w:rPr>
          <w:rFonts w:ascii="Sakkal Majalla" w:hAnsi="Sakkal Majalla" w:cs="Sakkal Majalla"/>
          <w:sz w:val="28"/>
        </w:rPr>
        <w:t>Emergency Humanitarian Clearance Mode</w:t>
      </w:r>
      <w:r w:rsidRPr="00F84143">
        <w:rPr>
          <w:rFonts w:ascii="Sakkal Majalla" w:hAnsi="Sakkal Majalla" w:cs="Sakkal Majalla"/>
          <w:sz w:val="28"/>
          <w:rtl/>
        </w:rPr>
        <w:t>) في غضون دقائق، تُجيز بموجبها تخليص المواد الإنسانية الموثّقة بصورة آنية شبه فورية، مع الحفاظ على الرقابة الأمنية الكاملة عبر تحقق رقمي موثوق.</w:t>
      </w:r>
    </w:p>
    <w:p w14:paraId="01AAF1DB" w14:textId="68FD6B24"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يُرى الباحث أن 'الجمارك الإنسانية الرقمية' ليست مجرد مقترح إجرائي، بل هي تعبير عن فلسفة جمركية أرقى: الجمارك ليست ضريبة على التبادل بل هي إدارة ذكية للتدفقات عبر الحدود لخدمة المصلحة الوطنية والإنسانية معاً.</w:t>
      </w:r>
    </w:p>
    <w:p w14:paraId="0B5A98E6" w14:textId="099C481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 4. الاقتصاد غير الرسمي وتأثيرات التحول الرقمي الجمركي</w:t>
      </w:r>
    </w:p>
    <w:p w14:paraId="3283FDB4"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يُثير التحول الرقمي الجمركي قضيةً حساسة: أثره على الاقتصاد غير الرسمي. فكما أن الرقمنة الجمركية تُيسّر التجارة المشروعة، فإنها تُضيّق الفضاء الذي يعمل فيه الاقتصاد غير الرسمي. هذا الأثر المزدوج يستحق دراسة متوازنة: فمن ناحية، الحد من التجارة غير الرسمية يُعزز إيرادات الدولة ويُقلّص الفساد. ومن ناحية أخرى، قد يُنتج ضغطاً على فئات اجتماعية اعتادت على هوامش غير رسمية في التجارة العابرة.</w:t>
      </w:r>
    </w:p>
    <w:p w14:paraId="4149C998" w14:textId="20B93B4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يرفض الباحث التبسيط المفرط الذي يُقدّم التحول الرقمي الجمركي بوصفه حلاً كاملاً بلا تكاليف اجتماعية؛ فكل إصلاح هيكلي كبير ينتج فائزين وخاسرين في الأمد القصير. ومهمة صانع السياسة الرشيد أن يُدير هذه التكاليف الانتقالية بحكمة، من خلال إطلاق برامج ومبادرات مصاحبة من الهيئة لدعم وتسهيل انتقال المنشآت الصغيرة جداً والأنشطة الرمادية.</w:t>
      </w:r>
    </w:p>
    <w:p w14:paraId="76AFE2CC" w14:textId="15C2E348"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 5. جمارك الميتافيرس والاقتصاد الافتراضي</w:t>
      </w:r>
    </w:p>
    <w:p w14:paraId="1674CE4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مع التحول العالمي نحو الاقتصاد الرقمي والمنتجات الافتراضية (</w:t>
      </w:r>
      <w:r w:rsidRPr="00F84143">
        <w:rPr>
          <w:rFonts w:ascii="Sakkal Majalla" w:hAnsi="Sakkal Majalla" w:cs="Sakkal Majalla"/>
          <w:sz w:val="28"/>
        </w:rPr>
        <w:t>Metaverse &amp; NFTs</w:t>
      </w:r>
      <w:r w:rsidRPr="00F84143">
        <w:rPr>
          <w:rFonts w:ascii="Sakkal Majalla" w:hAnsi="Sakkal Majalla" w:cs="Sakkal Majalla"/>
          <w:sz w:val="28"/>
          <w:rtl/>
        </w:rPr>
        <w:t xml:space="preserve">)، يطرح الباحث تساؤلاً مستقبلياً: كيف ستتعامل هيئات الجمارك مع "استيراد" المنتجات الرقمية عابرة الحدود؟ يجب على </w:t>
      </w:r>
      <w:r w:rsidRPr="00F84143">
        <w:rPr>
          <w:rFonts w:ascii="Sakkal Majalla" w:hAnsi="Sakkal Majalla" w:cs="Sakkal Majalla"/>
          <w:sz w:val="28"/>
        </w:rPr>
        <w:t>ZATCA</w:t>
      </w:r>
      <w:r w:rsidRPr="00F84143">
        <w:rPr>
          <w:rFonts w:ascii="Sakkal Majalla" w:hAnsi="Sakkal Majalla" w:cs="Sakkal Majalla"/>
          <w:sz w:val="28"/>
          <w:rtl/>
        </w:rPr>
        <w:t xml:space="preserve"> الاستعداد لابتكار أطر </w:t>
      </w:r>
      <w:r w:rsidRPr="00F84143">
        <w:rPr>
          <w:rFonts w:ascii="Sakkal Majalla" w:hAnsi="Sakkal Majalla" w:cs="Sakkal Majalla"/>
          <w:sz w:val="28"/>
          <w:rtl/>
        </w:rPr>
        <w:lastRenderedPageBreak/>
        <w:t>تشريعية لفرض رسوم أو ضرائب على السلع الرقمية الافتراضية التي تُستهلك داخل المملكة، وهو ما سيتطلب أنظمة تتبع بلوكشين متطورة تتجاوز مفهوم الشحن المادي.</w:t>
      </w:r>
    </w:p>
    <w:p w14:paraId="69785BCB" w14:textId="7096103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رابعاً: التحليل المقارن الدولي — </w:t>
      </w:r>
      <w:r w:rsidRPr="00625AFE">
        <w:rPr>
          <w:rFonts w:ascii="Sakkal Majalla" w:hAnsi="Sakkal Majalla" w:cs="Sakkal Majalla"/>
          <w:b/>
          <w:bCs/>
          <w:sz w:val="28"/>
        </w:rPr>
        <w:t>ZATCA</w:t>
      </w:r>
      <w:r w:rsidRPr="00625AFE">
        <w:rPr>
          <w:rFonts w:ascii="Sakkal Majalla" w:hAnsi="Sakkal Majalla" w:cs="Sakkal Majalla"/>
          <w:b/>
          <w:bCs/>
          <w:sz w:val="28"/>
          <w:rtl/>
        </w:rPr>
        <w:t xml:space="preserve"> في مواجهة النماذج العالمية</w:t>
      </w:r>
    </w:p>
    <w:p w14:paraId="6295746A" w14:textId="366F0234" w:rsidR="003B0738" w:rsidRPr="003B0738" w:rsidRDefault="00F84143" w:rsidP="003B0738">
      <w:pPr>
        <w:pStyle w:val="BlockText"/>
        <w:spacing w:line="360" w:lineRule="auto"/>
        <w:jc w:val="lowKashida"/>
        <w:rPr>
          <w:rFonts w:ascii="Sakkal Majalla" w:hAnsi="Sakkal Majalla" w:cs="Sakkal Majalla"/>
          <w:sz w:val="28"/>
        </w:rPr>
      </w:pPr>
      <w:r w:rsidRPr="00F84143">
        <w:rPr>
          <w:rFonts w:ascii="Sakkal Majalla" w:hAnsi="Sakkal Majalla" w:cs="Sakkal Majalla"/>
          <w:sz w:val="28"/>
          <w:rtl/>
        </w:rPr>
        <w:t xml:space="preserve">لا يمكن تقييم أداء هيئة </w:t>
      </w:r>
      <w:r w:rsidRPr="00F84143">
        <w:rPr>
          <w:rFonts w:ascii="Sakkal Majalla" w:hAnsi="Sakkal Majalla" w:cs="Sakkal Majalla"/>
          <w:sz w:val="28"/>
        </w:rPr>
        <w:t>ZATCA</w:t>
      </w:r>
      <w:r w:rsidRPr="00F84143">
        <w:rPr>
          <w:rFonts w:ascii="Sakkal Majalla" w:hAnsi="Sakkal Majalla" w:cs="Sakkal Majalla"/>
          <w:sz w:val="28"/>
          <w:rtl/>
        </w:rPr>
        <w:t xml:space="preserve"> بمعزل عن المشهد الدولي المقارن. تُقدّم هذه المقارنة صورةً دقيقة عن الموقع الفعلي لـ</w:t>
      </w:r>
      <w:r w:rsidRPr="00F84143">
        <w:rPr>
          <w:rFonts w:ascii="Sakkal Majalla" w:hAnsi="Sakkal Majalla" w:cs="Sakkal Majalla"/>
          <w:sz w:val="28"/>
        </w:rPr>
        <w:t>ZATCA</w:t>
      </w:r>
      <w:r w:rsidRPr="00F84143">
        <w:rPr>
          <w:rFonts w:ascii="Sakkal Majalla" w:hAnsi="Sakkal Majalla" w:cs="Sakkal Majalla"/>
          <w:sz w:val="28"/>
          <w:rtl/>
        </w:rPr>
        <w:t xml:space="preserve"> على الخارطة الجمركية الدولية</w:t>
      </w:r>
      <w:r w:rsidR="003B0738">
        <w:rPr>
          <w:rFonts w:ascii="Sakkal Majalla" w:hAnsi="Sakkal Majalla" w:cs="Sakkal Majalla" w:hint="cs"/>
          <w:sz w:val="28"/>
          <w:rtl/>
        </w:rPr>
        <w:t>، و</w:t>
      </w:r>
      <w:r w:rsidR="003B0738" w:rsidRPr="003B0738">
        <w:rPr>
          <w:rFonts w:ascii="Sakkal Majalla" w:hAnsi="Sakkal Majalla" w:cs="Sakkal Majalla"/>
          <w:sz w:val="28"/>
          <w:rtl/>
        </w:rPr>
        <w:t xml:space="preserve">لا يمكن تقييم أداء هيئة </w:t>
      </w:r>
      <w:r w:rsidR="003B0738" w:rsidRPr="003B0738">
        <w:rPr>
          <w:rFonts w:ascii="Sakkal Majalla" w:hAnsi="Sakkal Majalla" w:cs="Sakkal Majalla"/>
          <w:sz w:val="28"/>
        </w:rPr>
        <w:t xml:space="preserve">ZATCA </w:t>
      </w:r>
      <w:r w:rsidR="003B0738" w:rsidRPr="003B0738">
        <w:rPr>
          <w:rFonts w:ascii="Sakkal Majalla" w:hAnsi="Sakkal Majalla" w:cs="Sakkal Majalla"/>
          <w:sz w:val="28"/>
          <w:rtl/>
        </w:rPr>
        <w:t>بمعزل عن المشهد الدولي المقارن، إذ تُبرز المقارنة التالية موقع الهيئة مقارنةً بأبرز الإدارات الجمركية الرقمية عالميًا</w:t>
      </w:r>
      <w:r w:rsidR="003B0738" w:rsidRPr="003B0738">
        <w:rPr>
          <w:rFonts w:ascii="Sakkal Majalla" w:hAnsi="Sakkal Majalla" w:cs="Sakkal Majalla"/>
          <w:sz w:val="28"/>
        </w:rPr>
        <w:t>.</w:t>
      </w:r>
    </w:p>
    <w:tbl>
      <w:tblPr>
        <w:tblStyle w:val="PlainTable3"/>
        <w:tblW w:w="0" w:type="auto"/>
        <w:tblLook w:val="04A0" w:firstRow="1" w:lastRow="0" w:firstColumn="1" w:lastColumn="0" w:noHBand="0" w:noVBand="1"/>
      </w:tblPr>
      <w:tblGrid>
        <w:gridCol w:w="1769"/>
        <w:gridCol w:w="1020"/>
        <w:gridCol w:w="1199"/>
        <w:gridCol w:w="1151"/>
        <w:gridCol w:w="1108"/>
        <w:gridCol w:w="1055"/>
        <w:gridCol w:w="1038"/>
        <w:gridCol w:w="1020"/>
      </w:tblGrid>
      <w:tr w:rsidR="003B0738" w:rsidRPr="003B0738" w14:paraId="1DE073D4" w14:textId="77777777" w:rsidTr="003B07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A9FED2A" w14:textId="77777777" w:rsidR="003B0738" w:rsidRPr="003B0738" w:rsidRDefault="003B0738" w:rsidP="003B0738">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معيار المقارنة</w:t>
            </w:r>
          </w:p>
        </w:tc>
        <w:tc>
          <w:tcPr>
            <w:tcW w:w="0" w:type="auto"/>
            <w:hideMark/>
          </w:tcPr>
          <w:p w14:paraId="045A11E5"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ZATCA (2024)</w:t>
            </w:r>
          </w:p>
        </w:tc>
        <w:tc>
          <w:tcPr>
            <w:tcW w:w="0" w:type="auto"/>
            <w:hideMark/>
          </w:tcPr>
          <w:p w14:paraId="0E6D230F"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سنغافورة</w:t>
            </w:r>
            <w:r w:rsidRPr="003B0738">
              <w:rPr>
                <w:rFonts w:ascii="Sakkal Majalla" w:eastAsia="Times New Roman" w:hAnsi="Sakkal Majalla" w:cs="Sakkal Majalla"/>
                <w:sz w:val="24"/>
                <w:szCs w:val="24"/>
              </w:rPr>
              <w:t xml:space="preserve"> (DAISY)</w:t>
            </w:r>
          </w:p>
        </w:tc>
        <w:tc>
          <w:tcPr>
            <w:tcW w:w="0" w:type="auto"/>
            <w:hideMark/>
          </w:tcPr>
          <w:p w14:paraId="0BE6B804"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كوريا الجنوبية</w:t>
            </w:r>
            <w:r w:rsidRPr="003B0738">
              <w:rPr>
                <w:rFonts w:ascii="Sakkal Majalla" w:eastAsia="Times New Roman" w:hAnsi="Sakkal Majalla" w:cs="Sakkal Majalla"/>
                <w:sz w:val="24"/>
                <w:szCs w:val="24"/>
              </w:rPr>
              <w:t xml:space="preserve"> (UNI-PASS)</w:t>
            </w:r>
          </w:p>
        </w:tc>
        <w:tc>
          <w:tcPr>
            <w:tcW w:w="0" w:type="auto"/>
            <w:hideMark/>
          </w:tcPr>
          <w:p w14:paraId="2D2E2275"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هولندا (ميناء روتردام)</w:t>
            </w:r>
          </w:p>
        </w:tc>
        <w:tc>
          <w:tcPr>
            <w:tcW w:w="0" w:type="auto"/>
            <w:hideMark/>
          </w:tcPr>
          <w:p w14:paraId="5DECB466"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الاتحاد الأوروبي</w:t>
            </w:r>
            <w:r w:rsidRPr="003B0738">
              <w:rPr>
                <w:rFonts w:ascii="Sakkal Majalla" w:eastAsia="Times New Roman" w:hAnsi="Sakkal Majalla" w:cs="Sakkal Majalla"/>
                <w:sz w:val="24"/>
                <w:szCs w:val="24"/>
              </w:rPr>
              <w:t xml:space="preserve"> (ICS2)</w:t>
            </w:r>
          </w:p>
        </w:tc>
        <w:tc>
          <w:tcPr>
            <w:tcW w:w="0" w:type="auto"/>
            <w:hideMark/>
          </w:tcPr>
          <w:p w14:paraId="5CD19B59"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المملكة المتحدة</w:t>
            </w:r>
            <w:r w:rsidRPr="003B0738">
              <w:rPr>
                <w:rFonts w:ascii="Sakkal Majalla" w:eastAsia="Times New Roman" w:hAnsi="Sakkal Majalla" w:cs="Sakkal Majalla"/>
                <w:sz w:val="24"/>
                <w:szCs w:val="24"/>
              </w:rPr>
              <w:t xml:space="preserve"> (CDS)</w:t>
            </w:r>
          </w:p>
        </w:tc>
        <w:tc>
          <w:tcPr>
            <w:tcW w:w="0" w:type="auto"/>
            <w:hideMark/>
          </w:tcPr>
          <w:p w14:paraId="70418D8E"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الإمارات (مرسال 2)</w:t>
            </w:r>
          </w:p>
        </w:tc>
      </w:tr>
      <w:tr w:rsidR="003B0738" w:rsidRPr="003B0738" w14:paraId="2093C4A9"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84D94"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متوسط وقت الإفراج</w:t>
            </w:r>
          </w:p>
        </w:tc>
        <w:tc>
          <w:tcPr>
            <w:tcW w:w="0" w:type="auto"/>
            <w:hideMark/>
          </w:tcPr>
          <w:p w14:paraId="0D54FE2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60–120 </w:t>
            </w:r>
            <w:r w:rsidRPr="003B0738">
              <w:rPr>
                <w:rFonts w:ascii="Sakkal Majalla" w:eastAsia="Times New Roman" w:hAnsi="Sakkal Majalla" w:cs="Sakkal Majalla"/>
                <w:sz w:val="24"/>
                <w:szCs w:val="24"/>
                <w:rtl/>
              </w:rPr>
              <w:t>دقيقة</w:t>
            </w:r>
          </w:p>
        </w:tc>
        <w:tc>
          <w:tcPr>
            <w:tcW w:w="0" w:type="auto"/>
            <w:hideMark/>
          </w:tcPr>
          <w:p w14:paraId="10A6304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15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295CF2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30–45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839FFEF"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41C671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0AAB89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50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078424A"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00F6012B"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5FEC4E93"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دقة الذكاء الاصطناعي في إدارة المخاطر</w:t>
            </w:r>
          </w:p>
        </w:tc>
        <w:tc>
          <w:tcPr>
            <w:tcW w:w="0" w:type="auto"/>
            <w:hideMark/>
          </w:tcPr>
          <w:p w14:paraId="078F582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81%</w:t>
            </w:r>
          </w:p>
        </w:tc>
        <w:tc>
          <w:tcPr>
            <w:tcW w:w="0" w:type="auto"/>
            <w:hideMark/>
          </w:tcPr>
          <w:p w14:paraId="21366E65"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94%+ </w:t>
            </w:r>
            <w:r w:rsidRPr="003B0738">
              <w:rPr>
                <w:rFonts w:ascii="Segoe UI Symbol" w:eastAsia="Times New Roman" w:hAnsi="Segoe UI Symbol" w:cs="Segoe UI Symbol"/>
                <w:sz w:val="24"/>
                <w:szCs w:val="24"/>
              </w:rPr>
              <w:t>✦✦✦</w:t>
            </w:r>
          </w:p>
        </w:tc>
        <w:tc>
          <w:tcPr>
            <w:tcW w:w="0" w:type="auto"/>
            <w:hideMark/>
          </w:tcPr>
          <w:p w14:paraId="4035ED7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88% </w:t>
            </w:r>
            <w:r w:rsidRPr="003B0738">
              <w:rPr>
                <w:rFonts w:ascii="Segoe UI Symbol" w:eastAsia="Times New Roman" w:hAnsi="Segoe UI Symbol" w:cs="Segoe UI Symbol"/>
                <w:sz w:val="24"/>
                <w:szCs w:val="24"/>
              </w:rPr>
              <w:t>✦✦</w:t>
            </w:r>
          </w:p>
        </w:tc>
        <w:tc>
          <w:tcPr>
            <w:tcW w:w="0" w:type="auto"/>
            <w:hideMark/>
          </w:tcPr>
          <w:p w14:paraId="6FE2A5DF"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90% </w:t>
            </w:r>
            <w:r w:rsidRPr="003B0738">
              <w:rPr>
                <w:rFonts w:ascii="Segoe UI Symbol" w:eastAsia="Times New Roman" w:hAnsi="Segoe UI Symbol" w:cs="Segoe UI Symbol"/>
                <w:sz w:val="24"/>
                <w:szCs w:val="24"/>
              </w:rPr>
              <w:t>✦✦</w:t>
            </w:r>
          </w:p>
        </w:tc>
        <w:tc>
          <w:tcPr>
            <w:tcW w:w="0" w:type="auto"/>
            <w:hideMark/>
          </w:tcPr>
          <w:p w14:paraId="65024117"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85% </w:t>
            </w:r>
            <w:r w:rsidRPr="003B0738">
              <w:rPr>
                <w:rFonts w:ascii="Segoe UI Symbol" w:eastAsia="Times New Roman" w:hAnsi="Segoe UI Symbol" w:cs="Segoe UI Symbol"/>
                <w:sz w:val="24"/>
                <w:szCs w:val="24"/>
              </w:rPr>
              <w:t>✦✦</w:t>
            </w:r>
          </w:p>
        </w:tc>
        <w:tc>
          <w:tcPr>
            <w:tcW w:w="0" w:type="auto"/>
            <w:hideMark/>
          </w:tcPr>
          <w:p w14:paraId="2287EA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82% </w:t>
            </w:r>
            <w:r w:rsidRPr="003B0738">
              <w:rPr>
                <w:rFonts w:ascii="Segoe UI Symbol" w:eastAsia="Times New Roman" w:hAnsi="Segoe UI Symbol" w:cs="Segoe UI Symbol"/>
                <w:sz w:val="24"/>
                <w:szCs w:val="24"/>
              </w:rPr>
              <w:t>✦</w:t>
            </w:r>
          </w:p>
        </w:tc>
        <w:tc>
          <w:tcPr>
            <w:tcW w:w="0" w:type="auto"/>
            <w:hideMark/>
          </w:tcPr>
          <w:p w14:paraId="533DB282"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85% </w:t>
            </w:r>
            <w:r w:rsidRPr="003B0738">
              <w:rPr>
                <w:rFonts w:ascii="Segoe UI Symbol" w:eastAsia="Times New Roman" w:hAnsi="Segoe UI Symbol" w:cs="Segoe UI Symbol"/>
                <w:sz w:val="24"/>
                <w:szCs w:val="24"/>
              </w:rPr>
              <w:t>✦✦</w:t>
            </w:r>
          </w:p>
        </w:tc>
      </w:tr>
      <w:tr w:rsidR="003B0738" w:rsidRPr="003B0738" w14:paraId="40055BF8"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977D39"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نسبة الخدمات الرقمية</w:t>
            </w:r>
          </w:p>
        </w:tc>
        <w:tc>
          <w:tcPr>
            <w:tcW w:w="0" w:type="auto"/>
            <w:hideMark/>
          </w:tcPr>
          <w:p w14:paraId="66ABF32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87%</w:t>
            </w:r>
          </w:p>
        </w:tc>
        <w:tc>
          <w:tcPr>
            <w:tcW w:w="0" w:type="auto"/>
            <w:hideMark/>
          </w:tcPr>
          <w:p w14:paraId="6D9C503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99.8% </w:t>
            </w:r>
            <w:r w:rsidRPr="003B0738">
              <w:rPr>
                <w:rFonts w:ascii="Segoe UI Symbol" w:eastAsia="Times New Roman" w:hAnsi="Segoe UI Symbol" w:cs="Segoe UI Symbol"/>
                <w:sz w:val="24"/>
                <w:szCs w:val="24"/>
              </w:rPr>
              <w:t>✦✦✦</w:t>
            </w:r>
          </w:p>
        </w:tc>
        <w:tc>
          <w:tcPr>
            <w:tcW w:w="0" w:type="auto"/>
            <w:hideMark/>
          </w:tcPr>
          <w:p w14:paraId="20BE7CD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97% </w:t>
            </w:r>
            <w:r w:rsidRPr="003B0738">
              <w:rPr>
                <w:rFonts w:ascii="Segoe UI Symbol" w:eastAsia="Times New Roman" w:hAnsi="Segoe UI Symbol" w:cs="Segoe UI Symbol"/>
                <w:sz w:val="24"/>
                <w:szCs w:val="24"/>
              </w:rPr>
              <w:t>✦✦✦</w:t>
            </w:r>
          </w:p>
        </w:tc>
        <w:tc>
          <w:tcPr>
            <w:tcW w:w="0" w:type="auto"/>
            <w:hideMark/>
          </w:tcPr>
          <w:p w14:paraId="46C9025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98% </w:t>
            </w:r>
            <w:r w:rsidRPr="003B0738">
              <w:rPr>
                <w:rFonts w:ascii="Segoe UI Symbol" w:eastAsia="Times New Roman" w:hAnsi="Segoe UI Symbol" w:cs="Segoe UI Symbol"/>
                <w:sz w:val="24"/>
                <w:szCs w:val="24"/>
              </w:rPr>
              <w:t>✦✦✦</w:t>
            </w:r>
          </w:p>
        </w:tc>
        <w:tc>
          <w:tcPr>
            <w:tcW w:w="0" w:type="auto"/>
            <w:hideMark/>
          </w:tcPr>
          <w:p w14:paraId="286B146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91% </w:t>
            </w:r>
            <w:r w:rsidRPr="003B0738">
              <w:rPr>
                <w:rFonts w:ascii="Segoe UI Symbol" w:eastAsia="Times New Roman" w:hAnsi="Segoe UI Symbol" w:cs="Segoe UI Symbol"/>
                <w:sz w:val="24"/>
                <w:szCs w:val="24"/>
              </w:rPr>
              <w:t>✦✦</w:t>
            </w:r>
          </w:p>
        </w:tc>
        <w:tc>
          <w:tcPr>
            <w:tcW w:w="0" w:type="auto"/>
            <w:hideMark/>
          </w:tcPr>
          <w:p w14:paraId="2EFA7CA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89% </w:t>
            </w:r>
            <w:r w:rsidRPr="003B0738">
              <w:rPr>
                <w:rFonts w:ascii="Segoe UI Symbol" w:eastAsia="Times New Roman" w:hAnsi="Segoe UI Symbol" w:cs="Segoe UI Symbol"/>
                <w:sz w:val="24"/>
                <w:szCs w:val="24"/>
              </w:rPr>
              <w:t>✦✦</w:t>
            </w:r>
          </w:p>
        </w:tc>
        <w:tc>
          <w:tcPr>
            <w:tcW w:w="0" w:type="auto"/>
            <w:hideMark/>
          </w:tcPr>
          <w:p w14:paraId="5A8BCB5C"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95% </w:t>
            </w:r>
            <w:r w:rsidRPr="003B0738">
              <w:rPr>
                <w:rFonts w:ascii="Segoe UI Symbol" w:eastAsia="Times New Roman" w:hAnsi="Segoe UI Symbol" w:cs="Segoe UI Symbol"/>
                <w:sz w:val="24"/>
                <w:szCs w:val="24"/>
              </w:rPr>
              <w:t>✦✦✦</w:t>
            </w:r>
          </w:p>
        </w:tc>
      </w:tr>
      <w:tr w:rsidR="003B0738" w:rsidRPr="003B0738" w14:paraId="3518FF88"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28A600E0"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الربط مع الجهات الحكومية</w:t>
            </w:r>
          </w:p>
        </w:tc>
        <w:tc>
          <w:tcPr>
            <w:tcW w:w="0" w:type="auto"/>
            <w:hideMark/>
          </w:tcPr>
          <w:p w14:paraId="037C6BA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+70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73B2DE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35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45BD168"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+50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17D2CE5"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A3003D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27 </w:t>
            </w:r>
            <w:r w:rsidRPr="003B0738">
              <w:rPr>
                <w:rFonts w:ascii="Sakkal Majalla" w:eastAsia="Times New Roman" w:hAnsi="Sakkal Majalla" w:cs="Sakkal Majalla"/>
                <w:sz w:val="24"/>
                <w:szCs w:val="24"/>
                <w:rtl/>
              </w:rPr>
              <w:t>دولة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7F0F2C5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15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425B1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3BD2D84B"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FDCAD"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استخدام تقنية</w:t>
            </w:r>
            <w:r w:rsidRPr="003B0738">
              <w:rPr>
                <w:rFonts w:ascii="Sakkal Majalla" w:eastAsia="Times New Roman" w:hAnsi="Sakkal Majalla" w:cs="Sakkal Majalla"/>
                <w:sz w:val="24"/>
                <w:szCs w:val="24"/>
              </w:rPr>
              <w:t xml:space="preserve"> Blockchain </w:t>
            </w:r>
            <w:r w:rsidRPr="003B0738">
              <w:rPr>
                <w:rFonts w:ascii="Sakkal Majalla" w:eastAsia="Times New Roman" w:hAnsi="Sakkal Majalla" w:cs="Sakkal Majalla"/>
                <w:sz w:val="24"/>
                <w:szCs w:val="24"/>
                <w:rtl/>
              </w:rPr>
              <w:t>الجمركية</w:t>
            </w:r>
          </w:p>
        </w:tc>
        <w:tc>
          <w:tcPr>
            <w:tcW w:w="0" w:type="auto"/>
            <w:hideMark/>
          </w:tcPr>
          <w:p w14:paraId="4A918B46"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تطبيق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C98DFA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 بالكامل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FC8369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EE26E6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FB17C4B"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6FA292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609AA31"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3B722261"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22C07B75"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منظومة الأمن السيبراني</w:t>
            </w:r>
          </w:p>
        </w:tc>
        <w:tc>
          <w:tcPr>
            <w:tcW w:w="0" w:type="auto"/>
            <w:hideMark/>
          </w:tcPr>
          <w:p w14:paraId="4D4CF2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C01C3C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AC121E9"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E3E8EF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1001AE3"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C1438E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ED8BA5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5F45D6A9"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DBD9B"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التكامل الإقليمي</w:t>
            </w:r>
          </w:p>
        </w:tc>
        <w:tc>
          <w:tcPr>
            <w:tcW w:w="0" w:type="auto"/>
            <w:hideMark/>
          </w:tcPr>
          <w:p w14:paraId="527F9908"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خليجي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41EAAD1"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w:t>
            </w:r>
            <w:r w:rsidRPr="003B0738">
              <w:rPr>
                <w:rFonts w:ascii="Sakkal Majalla" w:eastAsia="Times New Roman" w:hAnsi="Sakkal Majalla" w:cs="Sakkal Majalla"/>
                <w:sz w:val="24"/>
                <w:szCs w:val="24"/>
              </w:rPr>
              <w:t xml:space="preserve"> ASEAN </w:t>
            </w:r>
            <w:r w:rsidRPr="003B0738">
              <w:rPr>
                <w:rFonts w:ascii="Sakkal Majalla" w:eastAsia="Times New Roman" w:hAnsi="Sakkal Majalla" w:cs="Sakkal Majalla"/>
                <w:sz w:val="24"/>
                <w:szCs w:val="24"/>
                <w:rtl/>
              </w:rPr>
              <w:t>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78BBE6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محدود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7149B9C"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أوروبي 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CA284D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27 </w:t>
            </w:r>
            <w:r w:rsidRPr="003B0738">
              <w:rPr>
                <w:rFonts w:ascii="Sakkal Majalla" w:eastAsia="Times New Roman" w:hAnsi="Sakkal Majalla" w:cs="Sakkal Majalla"/>
                <w:sz w:val="24"/>
                <w:szCs w:val="24"/>
                <w:rtl/>
              </w:rPr>
              <w:t>دولة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71D0004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محدود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3A7968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خليجي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0939D2CD"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1548FEA5"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مؤشر الأداء اللوجستي</w:t>
            </w:r>
            <w:r w:rsidRPr="003B0738">
              <w:rPr>
                <w:rFonts w:ascii="Sakkal Majalla" w:eastAsia="Times New Roman" w:hAnsi="Sakkal Majalla" w:cs="Sakkal Majalla"/>
                <w:sz w:val="24"/>
                <w:szCs w:val="24"/>
              </w:rPr>
              <w:t xml:space="preserve"> (LPI)</w:t>
            </w:r>
          </w:p>
        </w:tc>
        <w:tc>
          <w:tcPr>
            <w:tcW w:w="0" w:type="auto"/>
            <w:hideMark/>
          </w:tcPr>
          <w:p w14:paraId="2C5DACFA"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3.6/5 </w:t>
            </w:r>
            <w:r w:rsidRPr="003B0738">
              <w:rPr>
                <w:rFonts w:ascii="Segoe UI Symbol" w:eastAsia="Times New Roman" w:hAnsi="Segoe UI Symbol" w:cs="Segoe UI Symbol"/>
                <w:sz w:val="24"/>
                <w:szCs w:val="24"/>
              </w:rPr>
              <w:t>✦✦</w:t>
            </w:r>
          </w:p>
        </w:tc>
        <w:tc>
          <w:tcPr>
            <w:tcW w:w="0" w:type="auto"/>
            <w:hideMark/>
          </w:tcPr>
          <w:p w14:paraId="20C1ACA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4.0/5 </w:t>
            </w:r>
            <w:r w:rsidRPr="003B0738">
              <w:rPr>
                <w:rFonts w:ascii="Segoe UI Symbol" w:eastAsia="Times New Roman" w:hAnsi="Segoe UI Symbol" w:cs="Segoe UI Symbol"/>
                <w:sz w:val="24"/>
                <w:szCs w:val="24"/>
              </w:rPr>
              <w:t>✦✦✦</w:t>
            </w:r>
          </w:p>
        </w:tc>
        <w:tc>
          <w:tcPr>
            <w:tcW w:w="0" w:type="auto"/>
            <w:hideMark/>
          </w:tcPr>
          <w:p w14:paraId="4109D84A"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3.8/5 </w:t>
            </w:r>
            <w:r w:rsidRPr="003B0738">
              <w:rPr>
                <w:rFonts w:ascii="Segoe UI Symbol" w:eastAsia="Times New Roman" w:hAnsi="Segoe UI Symbol" w:cs="Segoe UI Symbol"/>
                <w:sz w:val="24"/>
                <w:szCs w:val="24"/>
              </w:rPr>
              <w:t>✦✦</w:t>
            </w:r>
          </w:p>
        </w:tc>
        <w:tc>
          <w:tcPr>
            <w:tcW w:w="0" w:type="auto"/>
            <w:hideMark/>
          </w:tcPr>
          <w:p w14:paraId="31BB6341"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4.2/5 </w:t>
            </w:r>
            <w:r w:rsidRPr="003B0738">
              <w:rPr>
                <w:rFonts w:ascii="Segoe UI Symbol" w:eastAsia="Times New Roman" w:hAnsi="Segoe UI Symbol" w:cs="Segoe UI Symbol"/>
                <w:sz w:val="24"/>
                <w:szCs w:val="24"/>
              </w:rPr>
              <w:t>✦✦✦</w:t>
            </w:r>
          </w:p>
        </w:tc>
        <w:tc>
          <w:tcPr>
            <w:tcW w:w="0" w:type="auto"/>
            <w:hideMark/>
          </w:tcPr>
          <w:p w14:paraId="7CDB7C51"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متوسط الاتحاد الأوروبي</w:t>
            </w:r>
          </w:p>
        </w:tc>
        <w:tc>
          <w:tcPr>
            <w:tcW w:w="0" w:type="auto"/>
            <w:hideMark/>
          </w:tcPr>
          <w:p w14:paraId="0B3D291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3.9/5 </w:t>
            </w:r>
            <w:r w:rsidRPr="003B0738">
              <w:rPr>
                <w:rFonts w:ascii="Segoe UI Symbol" w:eastAsia="Times New Roman" w:hAnsi="Segoe UI Symbol" w:cs="Segoe UI Symbol"/>
                <w:sz w:val="24"/>
                <w:szCs w:val="24"/>
              </w:rPr>
              <w:t>✦✦✦</w:t>
            </w:r>
          </w:p>
        </w:tc>
        <w:tc>
          <w:tcPr>
            <w:tcW w:w="0" w:type="auto"/>
            <w:hideMark/>
          </w:tcPr>
          <w:p w14:paraId="445EF069"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4.0/5 </w:t>
            </w:r>
            <w:r w:rsidRPr="003B0738">
              <w:rPr>
                <w:rFonts w:ascii="Segoe UI Symbol" w:eastAsia="Times New Roman" w:hAnsi="Segoe UI Symbol" w:cs="Segoe UI Symbol"/>
                <w:sz w:val="24"/>
                <w:szCs w:val="24"/>
              </w:rPr>
              <w:t>✦✦✦</w:t>
            </w:r>
          </w:p>
        </w:tc>
      </w:tr>
      <w:tr w:rsidR="003B0738" w:rsidRPr="003B0738" w14:paraId="0B87362C"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8B01C"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التجارة الخضراء</w:t>
            </w:r>
          </w:p>
        </w:tc>
        <w:tc>
          <w:tcPr>
            <w:tcW w:w="0" w:type="auto"/>
            <w:hideMark/>
          </w:tcPr>
          <w:p w14:paraId="0768C70A"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9A88C3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برنامج معتمد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2173188"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ED4004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رائدة عالميًا</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61C7844"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إطار موحد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D3EB0ED"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916675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bl>
    <w:p w14:paraId="5D35E6FC" w14:textId="77777777" w:rsidR="003B0738" w:rsidRPr="003B0738" w:rsidRDefault="003B0738" w:rsidP="003B0738">
      <w:p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Times New Roman" w:eastAsia="Times New Roman" w:hAnsi="Times New Roman" w:cs="Times New Roman"/>
          <w:b/>
          <w:bCs/>
          <w:sz w:val="24"/>
          <w:szCs w:val="24"/>
          <w:rtl/>
        </w:rPr>
        <w:t>مفتاح الرموز</w:t>
      </w:r>
      <w:r w:rsidRPr="003B0738">
        <w:rPr>
          <w:rFonts w:ascii="Times New Roman" w:eastAsia="Times New Roman" w:hAnsi="Times New Roman" w:cs="Times New Roman"/>
          <w:b/>
          <w:bCs/>
          <w:sz w:val="24"/>
          <w:szCs w:val="24"/>
        </w:rPr>
        <w:t>:</w:t>
      </w:r>
    </w:p>
    <w:p w14:paraId="77EB49CE" w14:textId="77777777" w:rsidR="003B0738" w:rsidRPr="003B0738" w:rsidRDefault="003B0738" w:rsidP="003B0738">
      <w:pPr>
        <w:numPr>
          <w:ilvl w:val="0"/>
          <w:numId w:val="290"/>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مبتدئ</w:t>
      </w:r>
    </w:p>
    <w:p w14:paraId="187B5222" w14:textId="77777777" w:rsidR="003B0738" w:rsidRPr="003B0738" w:rsidRDefault="003B0738" w:rsidP="003B0738">
      <w:pPr>
        <w:numPr>
          <w:ilvl w:val="0"/>
          <w:numId w:val="290"/>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lastRenderedPageBreak/>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متقدم</w:t>
      </w:r>
    </w:p>
    <w:p w14:paraId="4E0AA437" w14:textId="77777777" w:rsidR="003B0738" w:rsidRPr="003B0738" w:rsidRDefault="003B0738" w:rsidP="003B0738">
      <w:pPr>
        <w:numPr>
          <w:ilvl w:val="0"/>
          <w:numId w:val="290"/>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رائد عالمي</w:t>
      </w:r>
    </w:p>
    <w:p w14:paraId="02F4ED46" w14:textId="1749E867"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قراءة تحليلية في المقارنة الدولية:</w:t>
      </w:r>
    </w:p>
    <w:p w14:paraId="093F4A95" w14:textId="5F1CD39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الأول — فجوة الذكاء الاصطناعي قابلة للردم:</w:t>
      </w:r>
      <w:r w:rsidRPr="00F84143">
        <w:rPr>
          <w:rFonts w:ascii="Sakkal Majalla" w:hAnsi="Sakkal Majalla" w:cs="Sakkal Majalla"/>
          <w:sz w:val="28"/>
          <w:rtl/>
        </w:rPr>
        <w:t xml:space="preserve"> الفارق بين دقة </w:t>
      </w:r>
      <w:r w:rsidRPr="00F84143">
        <w:rPr>
          <w:rFonts w:ascii="Sakkal Majalla" w:hAnsi="Sakkal Majalla" w:cs="Sakkal Majalla"/>
          <w:sz w:val="28"/>
        </w:rPr>
        <w:t>AI</w:t>
      </w:r>
      <w:r w:rsidRPr="00F84143">
        <w:rPr>
          <w:rFonts w:ascii="Sakkal Majalla" w:hAnsi="Sakkal Majalla" w:cs="Sakkal Majalla"/>
          <w:sz w:val="28"/>
          <w:rtl/>
        </w:rPr>
        <w:t xml:space="preserve"> في </w:t>
      </w:r>
      <w:r w:rsidRPr="00F84143">
        <w:rPr>
          <w:rFonts w:ascii="Sakkal Majalla" w:hAnsi="Sakkal Majalla" w:cs="Sakkal Majalla"/>
          <w:sz w:val="28"/>
        </w:rPr>
        <w:t>ZATCA</w:t>
      </w:r>
      <w:r w:rsidRPr="00F84143">
        <w:rPr>
          <w:rFonts w:ascii="Sakkal Majalla" w:hAnsi="Sakkal Majalla" w:cs="Sakkal Majalla"/>
          <w:sz w:val="28"/>
          <w:rtl/>
        </w:rPr>
        <w:t xml:space="preserve"> (81%) وسنغافورة (94%) لا يعكس فجوة تقنية هيكلية، بل فجوة في حجم ونوعية بيانات التدريب.</w:t>
      </w:r>
    </w:p>
    <w:p w14:paraId="5C1CF9CA" w14:textId="09DD9E2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الثاني — ميزة الربط المؤسسي:</w:t>
      </w:r>
      <w:r w:rsidRPr="00F84143">
        <w:rPr>
          <w:rFonts w:ascii="Sakkal Majalla" w:hAnsi="Sakkal Majalla" w:cs="Sakkal Majalla"/>
          <w:sz w:val="28"/>
          <w:rtl/>
        </w:rPr>
        <w:t xml:space="preserve"> تتفوق </w:t>
      </w:r>
      <w:r w:rsidRPr="00F84143">
        <w:rPr>
          <w:rFonts w:ascii="Sakkal Majalla" w:hAnsi="Sakkal Majalla" w:cs="Sakkal Majalla"/>
          <w:sz w:val="28"/>
        </w:rPr>
        <w:t>ZATCA</w:t>
      </w:r>
      <w:r w:rsidRPr="00F84143">
        <w:rPr>
          <w:rFonts w:ascii="Sakkal Majalla" w:hAnsi="Sakkal Majalla" w:cs="Sakkal Majalla"/>
          <w:sz w:val="28"/>
          <w:rtl/>
        </w:rPr>
        <w:t xml:space="preserve"> على سنغافورة وكوريا في عدد الجهات المرتبطة رقمياً (70+ مقابل 35-50).</w:t>
      </w:r>
    </w:p>
    <w:p w14:paraId="5EA7AC0A" w14:textId="14FF706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الثالث — الفجوة في التكامل الإقليمي هي الأكبر:</w:t>
      </w:r>
      <w:r w:rsidRPr="00F84143">
        <w:rPr>
          <w:rFonts w:ascii="Sakkal Majalla" w:hAnsi="Sakkal Majalla" w:cs="Sakkal Majalla"/>
          <w:sz w:val="28"/>
          <w:rtl/>
        </w:rPr>
        <w:t xml:space="preserve"> يُمثّل التكامل الإقليمي الجزئي مع دول </w:t>
      </w:r>
      <w:r w:rsidRPr="00F84143">
        <w:rPr>
          <w:rFonts w:ascii="Sakkal Majalla" w:hAnsi="Sakkal Majalla" w:cs="Sakkal Majalla"/>
          <w:sz w:val="28"/>
        </w:rPr>
        <w:t>GCC</w:t>
      </w:r>
      <w:r w:rsidRPr="00F84143">
        <w:rPr>
          <w:rFonts w:ascii="Sakkal Majalla" w:hAnsi="Sakkal Majalla" w:cs="Sakkal Majalla"/>
          <w:sz w:val="28"/>
          <w:rtl/>
        </w:rPr>
        <w:t xml:space="preserve"> الفجوة الأوضح مقارنةً بالاتحاد الأوروبي (27 دولة) وسنغافورة (</w:t>
      </w:r>
      <w:r w:rsidRPr="00F84143">
        <w:rPr>
          <w:rFonts w:ascii="Sakkal Majalla" w:hAnsi="Sakkal Majalla" w:cs="Sakkal Majalla"/>
          <w:sz w:val="28"/>
        </w:rPr>
        <w:t>ASEAN</w:t>
      </w:r>
      <w:r w:rsidRPr="00F84143">
        <w:rPr>
          <w:rFonts w:ascii="Sakkal Majalla" w:hAnsi="Sakkal Majalla" w:cs="Sakkal Majalla"/>
          <w:sz w:val="28"/>
          <w:rtl/>
        </w:rPr>
        <w:t xml:space="preserve"> كامل).</w:t>
      </w:r>
    </w:p>
    <w:p w14:paraId="617FDB3D" w14:textId="69E574E5"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الرابع — قوة الأمن السيبراني ميزة تنافسية:</w:t>
      </w:r>
      <w:r w:rsidRPr="00F84143">
        <w:rPr>
          <w:rFonts w:ascii="Sakkal Majalla" w:hAnsi="Sakkal Majalla" w:cs="Sakkal Majalla"/>
          <w:sz w:val="28"/>
          <w:rtl/>
        </w:rPr>
        <w:t xml:space="preserve"> تنتمي </w:t>
      </w:r>
      <w:r w:rsidRPr="00F84143">
        <w:rPr>
          <w:rFonts w:ascii="Sakkal Majalla" w:hAnsi="Sakkal Majalla" w:cs="Sakkal Majalla"/>
          <w:sz w:val="28"/>
        </w:rPr>
        <w:t>ZATCA</w:t>
      </w:r>
      <w:r w:rsidRPr="00F84143">
        <w:rPr>
          <w:rFonts w:ascii="Sakkal Majalla" w:hAnsi="Sakkal Majalla" w:cs="Sakkal Majalla"/>
          <w:sz w:val="28"/>
          <w:rtl/>
        </w:rPr>
        <w:t xml:space="preserve"> إلى مجموعة 'المتقدمين' في الأمن السيبراني الجمركي.</w:t>
      </w:r>
    </w:p>
    <w:p w14:paraId="010AAAAD" w14:textId="167813E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الخامس — التجارة الخضراء الجمركية: الفرصة المُهمَلة:</w:t>
      </w:r>
      <w:r w:rsidRPr="00F84143">
        <w:rPr>
          <w:rFonts w:ascii="Sakkal Majalla" w:hAnsi="Sakkal Majalla" w:cs="Sakkal Majalla"/>
          <w:sz w:val="28"/>
          <w:rtl/>
        </w:rPr>
        <w:t xml:space="preserve"> تبقى </w:t>
      </w:r>
      <w:r w:rsidRPr="00F84143">
        <w:rPr>
          <w:rFonts w:ascii="Sakkal Majalla" w:hAnsi="Sakkal Majalla" w:cs="Sakkal Majalla"/>
          <w:sz w:val="28"/>
        </w:rPr>
        <w:t>ZATCA</w:t>
      </w:r>
      <w:r w:rsidRPr="00F84143">
        <w:rPr>
          <w:rFonts w:ascii="Sakkal Majalla" w:hAnsi="Sakkal Majalla" w:cs="Sakkal Majalla"/>
          <w:sz w:val="28"/>
          <w:rtl/>
        </w:rPr>
        <w:t xml:space="preserve"> في المرحلة الأولى من هذا المسار مقارنة بهولندا وسنغافورة.</w:t>
      </w:r>
    </w:p>
    <w:p w14:paraId="39220E94" w14:textId="63304F94"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رأي الباحث:</w:t>
      </w:r>
    </w:p>
    <w:p w14:paraId="6A961865" w14:textId="4F69CC70"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يرفض الباحث قراءة هذه المقارنة من زاوية الإحباط. فسنغافورة دولة مدينة تعمل منذ عقود على نموذج مُوحَّد وصغير الحجم. أما </w:t>
      </w:r>
      <w:r w:rsidRPr="00F84143">
        <w:rPr>
          <w:rFonts w:ascii="Sakkal Majalla" w:hAnsi="Sakkal Majalla" w:cs="Sakkal Majalla"/>
          <w:sz w:val="28"/>
        </w:rPr>
        <w:t>ZATCA</w:t>
      </w:r>
      <w:r w:rsidRPr="00F84143">
        <w:rPr>
          <w:rFonts w:ascii="Sakkal Majalla" w:hAnsi="Sakkal Majalla" w:cs="Sakkal Majalla"/>
          <w:sz w:val="28"/>
          <w:rtl/>
        </w:rPr>
        <w:t xml:space="preserve"> فتعمل في بيئة تعدد المنافذ وضخامة الاقتصاد والتعقيد الجيوسياسي — ومع ذلك تحقق أداءً يُنافس هذه النماذج. الإنجاز الحقيقي لا يُقاس بالأرقام وحدها بل بالتقدم النسبي في بيئة أصعب. الدرس الحقيقي المستفاد من نموذج سنغافورة هو استيعاب "فلسفتها التشغيلية": حين تُصبح الجمارك بوابة ذكية محفزة للاقتصاد الوطني وجاذبة للاستثمار. وتجربة جمارك دبي (مرسال 2) تُشكّل مرجعاً إقليمياً متميزاً في تيسير تجارة الترانزيت وإعادة التصدير، حيث تتفوق </w:t>
      </w:r>
      <w:r w:rsidRPr="00F84143">
        <w:rPr>
          <w:rFonts w:ascii="Sakkal Majalla" w:hAnsi="Sakkal Majalla" w:cs="Sakkal Majalla"/>
          <w:sz w:val="28"/>
        </w:rPr>
        <w:t>ZATCA</w:t>
      </w:r>
      <w:r w:rsidRPr="00F84143">
        <w:rPr>
          <w:rFonts w:ascii="Sakkal Majalla" w:hAnsi="Sakkal Majalla" w:cs="Sakkal Majalla"/>
          <w:sz w:val="28"/>
          <w:rtl/>
        </w:rPr>
        <w:t xml:space="preserve"> في نطاق الشمول الضريبي والزكوي المدمج بينما تتفوق تجربة دبي في سرعة مناولة الترانزيت العالمية.</w:t>
      </w:r>
    </w:p>
    <w:p w14:paraId="1B32CDEF"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055B3700" w14:textId="28D4BF34"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lastRenderedPageBreak/>
        <w:t>خامساً: القراءة النقدية — التحديات التي لا يُقال عنها</w:t>
      </w:r>
    </w:p>
    <w:p w14:paraId="63BB9BB0"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يأبى الباحث أن يختم تحليله دون ممارسة النقد الأكاديمي البنّاء. فالتقارير الرسمية تُبرز الإنجازات، والدراسات الأكاديمية المستقلة هي التي تكشف التحديات.</w:t>
      </w:r>
    </w:p>
    <w:p w14:paraId="44E5371A" w14:textId="35B5B94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الأول — فجوة الكفاءة والمهارات البشرية الرقمية (</w:t>
      </w:r>
      <w:r w:rsidRPr="003B0738">
        <w:rPr>
          <w:rFonts w:ascii="Sakkal Majalla" w:hAnsi="Sakkal Majalla" w:cs="Sakkal Majalla"/>
          <w:b/>
          <w:bCs/>
          <w:sz w:val="28"/>
        </w:rPr>
        <w:t>Digital Skills Gap</w:t>
      </w:r>
      <w:r w:rsidRPr="003B0738">
        <w:rPr>
          <w:rFonts w:ascii="Sakkal Majalla" w:hAnsi="Sakkal Majalla" w:cs="Sakkal Majalla"/>
          <w:b/>
          <w:bCs/>
          <w:sz w:val="28"/>
          <w:rtl/>
        </w:rPr>
        <w:t>):</w:t>
      </w:r>
      <w:r w:rsidRPr="00F84143">
        <w:rPr>
          <w:rFonts w:ascii="Sakkal Majalla" w:hAnsi="Sakkal Majalla" w:cs="Sakkal Majalla"/>
          <w:sz w:val="28"/>
          <w:rtl/>
        </w:rPr>
        <w:t xml:space="preserve"> إن السرعة الفائقة لوتيرة التحول الرقمي في </w:t>
      </w:r>
      <w:r w:rsidRPr="00F84143">
        <w:rPr>
          <w:rFonts w:ascii="Sakkal Majalla" w:hAnsi="Sakkal Majalla" w:cs="Sakkal Majalla"/>
          <w:sz w:val="28"/>
        </w:rPr>
        <w:t>ZATCA</w:t>
      </w:r>
      <w:r w:rsidRPr="00F84143">
        <w:rPr>
          <w:rFonts w:ascii="Sakkal Majalla" w:hAnsi="Sakkal Majalla" w:cs="Sakkal Majalla"/>
          <w:sz w:val="28"/>
          <w:rtl/>
        </w:rPr>
        <w:t xml:space="preserve"> خلقت نوعاً من التوتر الهيكلي بين سرعة تطوير الأنظمة وسرعة إعادة تأهيل الكفاءات البشرية التنفيذية.</w:t>
      </w:r>
    </w:p>
    <w:p w14:paraId="287FCC1E" w14:textId="54C97617"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 xml:space="preserve">  الحل المقترح:</w:t>
      </w:r>
      <w:r w:rsidR="003B0738">
        <w:rPr>
          <w:rFonts w:ascii="Sakkal Majalla" w:hAnsi="Sakkal Majalla" w:cs="Sakkal Majalla" w:hint="cs"/>
          <w:b/>
          <w:bCs/>
          <w:sz w:val="28"/>
          <w:rtl/>
        </w:rPr>
        <w:t xml:space="preserve"> بر</w:t>
      </w:r>
      <w:r w:rsidRPr="00F84143">
        <w:rPr>
          <w:rFonts w:ascii="Sakkal Majalla" w:hAnsi="Sakkal Majalla" w:cs="Sakkal Majalla"/>
          <w:sz w:val="28"/>
          <w:rtl/>
        </w:rPr>
        <w:t>نامج 'المُعيل الرقمي الجمركي' لتعيين متخصصين رقميين في كل منطقة جغرافية لمساعدة الشركات الصغيرة، وتحويل برامج التدريب إلى "أكاديمية زاتكا للجمارك الرقمية والذكاء الاصطناعي".</w:t>
      </w:r>
    </w:p>
    <w:p w14:paraId="49C67569" w14:textId="37D2A51A"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الثاني — الاعتماد المفرط والخطير على موردي التقنية الدوليين:</w:t>
      </w:r>
      <w:r w:rsidRPr="00F84143">
        <w:rPr>
          <w:rFonts w:ascii="Sakkal Majalla" w:hAnsi="Sakkal Majalla" w:cs="Sakkal Majalla"/>
          <w:sz w:val="28"/>
          <w:rtl/>
        </w:rPr>
        <w:t xml:space="preserve"> جزء كبير من البنية التحتية لـ</w:t>
      </w:r>
      <w:r w:rsidRPr="00F84143">
        <w:rPr>
          <w:rFonts w:ascii="Sakkal Majalla" w:hAnsi="Sakkal Majalla" w:cs="Sakkal Majalla"/>
          <w:sz w:val="28"/>
        </w:rPr>
        <w:t>ZATCA</w:t>
      </w:r>
      <w:r w:rsidRPr="00F84143">
        <w:rPr>
          <w:rFonts w:ascii="Sakkal Majalla" w:hAnsi="Sakkal Majalla" w:cs="Sakkal Majalla"/>
          <w:sz w:val="28"/>
          <w:rtl/>
        </w:rPr>
        <w:t xml:space="preserve"> مبنيّ على حلول شركات دولية كبرى (</w:t>
      </w:r>
      <w:r w:rsidRPr="00F84143">
        <w:rPr>
          <w:rFonts w:ascii="Sakkal Majalla" w:hAnsi="Sakkal Majalla" w:cs="Sakkal Majalla"/>
          <w:sz w:val="28"/>
        </w:rPr>
        <w:t>SAP, Oracle</w:t>
      </w:r>
      <w:r w:rsidRPr="00F84143">
        <w:rPr>
          <w:rFonts w:ascii="Sakkal Majalla" w:hAnsi="Sakkal Majalla" w:cs="Sakkal Majalla"/>
          <w:sz w:val="28"/>
          <w:rtl/>
        </w:rPr>
        <w:t>). هذا الاعتماد يُشكّل نقطة ضعف استراتيجية وأمنية على المدى البعيد.</w:t>
      </w:r>
    </w:p>
    <w:p w14:paraId="5D93272B" w14:textId="60D5658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استراتيجية 'التوطين التقني التدريجي' و'توطين الخوارزميات البرمجية' لإحلال أنظمة تحليل مخاطر جمركية محلية الصنع بالكامل بكوادر وطنية.</w:t>
      </w:r>
    </w:p>
    <w:p w14:paraId="71527748" w14:textId="0921FD4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الثالث — التكامل الرقمي غير المتكافئ مع القطاع الخاص:</w:t>
      </w:r>
      <w:r w:rsidRPr="00F84143">
        <w:rPr>
          <w:rFonts w:ascii="Sakkal Majalla" w:hAnsi="Sakkal Majalla" w:cs="Sakkal Majalla"/>
          <w:sz w:val="28"/>
          <w:rtl/>
        </w:rPr>
        <w:t xml:space="preserve"> تعاني آلاف المنشآت الصغيرة والمتوسطة (</w:t>
      </w:r>
      <w:r w:rsidRPr="00F84143">
        <w:rPr>
          <w:rFonts w:ascii="Sakkal Majalla" w:hAnsi="Sakkal Majalla" w:cs="Sakkal Majalla"/>
          <w:sz w:val="28"/>
        </w:rPr>
        <w:t>SMEs</w:t>
      </w:r>
      <w:r w:rsidRPr="00F84143">
        <w:rPr>
          <w:rFonts w:ascii="Sakkal Majalla" w:hAnsi="Sakkal Majalla" w:cs="Sakkal Majalla"/>
          <w:sz w:val="28"/>
          <w:rtl/>
        </w:rPr>
        <w:t>) من صعوبات وتكاليف جدية في المواءمة والاندماج التقني الكامل مع منظومات الفوترة الإلكترونية.</w:t>
      </w:r>
    </w:p>
    <w:p w14:paraId="03B6FD1F" w14:textId="1E48C16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إطلاق حزم دعم للمنشآت الصغيرة والمتوسطة بربط مجاني أو منخفض التكلفة، وبرنامج شراكات مع التقنيين الوسطاء (</w:t>
      </w:r>
      <w:r w:rsidRPr="00F84143">
        <w:rPr>
          <w:rFonts w:ascii="Sakkal Majalla" w:hAnsi="Sakkal Majalla" w:cs="Sakkal Majalla"/>
          <w:sz w:val="28"/>
        </w:rPr>
        <w:t>Customs Tech Brokers</w:t>
      </w:r>
      <w:r w:rsidRPr="00F84143">
        <w:rPr>
          <w:rFonts w:ascii="Sakkal Majalla" w:hAnsi="Sakkal Majalla" w:cs="Sakkal Majalla"/>
          <w:sz w:val="28"/>
          <w:rtl/>
        </w:rPr>
        <w:t>).</w:t>
      </w:r>
    </w:p>
    <w:p w14:paraId="1E193A66" w14:textId="070ECCD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الرابع — مقاومة التغيير الثقافي والمؤسسي داخل المنظومة:</w:t>
      </w:r>
      <w:r w:rsidRPr="00F84143">
        <w:rPr>
          <w:rFonts w:ascii="Sakkal Majalla" w:hAnsi="Sakkal Majalla" w:cs="Sakkal Majalla"/>
          <w:sz w:val="28"/>
          <w:rtl/>
        </w:rPr>
        <w:t xml:space="preserve"> لا تزال ثقافة "الورق" وعقلية الإجراءات اليدوية راسخةً لدى شريحة من الكوادر البشرية والمتعاملين القدامى.</w:t>
      </w:r>
    </w:p>
    <w:p w14:paraId="48E20E01" w14:textId="5C09788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برنامج 'سفراء التحول الرقمي' داخل </w:t>
      </w:r>
      <w:r w:rsidRPr="00F84143">
        <w:rPr>
          <w:rFonts w:ascii="Sakkal Majalla" w:hAnsi="Sakkal Majalla" w:cs="Sakkal Majalla"/>
          <w:sz w:val="28"/>
        </w:rPr>
        <w:t>ZATCA</w:t>
      </w:r>
      <w:r w:rsidRPr="00F84143">
        <w:rPr>
          <w:rFonts w:ascii="Sakkal Majalla" w:hAnsi="Sakkal Majalla" w:cs="Sakkal Majalla"/>
          <w:sz w:val="28"/>
          <w:rtl/>
        </w:rPr>
        <w:t>، وتغيير العقلية البيروقراطية القائمة على "الرقابة الشكلية" بعقلية قائمة على "ثقافة الخدمة وتسهيل التدفق".</w:t>
      </w:r>
    </w:p>
    <w:p w14:paraId="6F97786B" w14:textId="721B41BA"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رأي الباحث:</w:t>
      </w:r>
    </w:p>
    <w:p w14:paraId="20F392D7" w14:textId="1AB582B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يُؤكّد الباحث أن الاعتراف العلمي الصريح بهذه التحديات ليس تقليلاً من الإنجازات، بل هو شرط علمي وأصيل لضمان استدامتها. فالمؤسسة الذكية والقوية هي التي تملك الشجاعة لتشخيص نقاط ضعفها بصدق لتصحيحها. الاعتراف بهذه التحديات والفجوات الهيكلية وتشخيصها بكل موضوعية ليس تقليلاً أو انتقاصاً من الإنجازات والقفزات الهائلة، بل هو شرط علمي وأصيل لضمان استدامة هذه الإنجازات وتطويرها المستقبلي.</w:t>
      </w:r>
    </w:p>
    <w:p w14:paraId="18D5EC4E" w14:textId="40639F89"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سادساً: توصيات الدراسة — منظومة شاملة ومُصنَّفة</w:t>
      </w:r>
    </w:p>
    <w:p w14:paraId="18619868"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تنبثق توصيات هذه الدراسة من نتائجها الإحصائية والتحليلية وتحليلاتها الجيوسياسية. يُصنّفها الباحث على ثلاثة مستويات: التوصيات العاجلة (أفق 6-12 شهراً)، والتوصيات المتوسطة المدى (أفق 2-3 سنوات)، والتوصيات الاستراتيجية بعيدة المدى (أفق 2030 وما بعده).</w:t>
      </w:r>
    </w:p>
    <w:p w14:paraId="407BD91D" w14:textId="55187601"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1. توصيات لهيئة الزكاة والضريبة والجمارك (</w:t>
      </w:r>
      <w:r w:rsidRPr="00237CDC">
        <w:rPr>
          <w:rFonts w:ascii="Sakkal Majalla" w:hAnsi="Sakkal Majalla" w:cs="Sakkal Majalla"/>
          <w:b/>
          <w:bCs/>
          <w:sz w:val="28"/>
        </w:rPr>
        <w:t>ZATCA</w:t>
      </w:r>
      <w:r w:rsidRPr="00237CDC">
        <w:rPr>
          <w:rFonts w:ascii="Sakkal Majalla" w:hAnsi="Sakkal Majalla" w:cs="Sakkal Majalla"/>
          <w:b/>
          <w:bCs/>
          <w:sz w:val="28"/>
          <w:rtl/>
        </w:rPr>
        <w:t>)</w:t>
      </w:r>
    </w:p>
    <w:p w14:paraId="7749A7BF" w14:textId="74FBE024" w:rsidR="00F84143" w:rsidRPr="00237CDC" w:rsidRDefault="00237CDC" w:rsidP="00F84143">
      <w:pPr>
        <w:pStyle w:val="BlockText"/>
        <w:spacing w:line="360" w:lineRule="auto"/>
        <w:jc w:val="lowKashida"/>
        <w:rPr>
          <w:rFonts w:ascii="Sakkal Majalla" w:hAnsi="Sakkal Majalla" w:cs="Sakkal Majalla"/>
          <w:b/>
          <w:bCs/>
          <w:sz w:val="28"/>
          <w:rtl/>
        </w:rPr>
      </w:pPr>
      <w:r>
        <w:rPr>
          <w:rFonts w:ascii="Sakkal Majalla" w:hAnsi="Sakkal Majalla" w:cs="Sakkal Majalla" w:hint="cs"/>
          <w:b/>
          <w:bCs/>
          <w:sz w:val="28"/>
          <w:rtl/>
        </w:rPr>
        <w:t>ت</w:t>
      </w:r>
      <w:r w:rsidR="00F84143" w:rsidRPr="00237CDC">
        <w:rPr>
          <w:rFonts w:ascii="Sakkal Majalla" w:hAnsi="Sakkal Majalla" w:cs="Sakkal Majalla"/>
          <w:b/>
          <w:bCs/>
          <w:sz w:val="28"/>
          <w:rtl/>
        </w:rPr>
        <w:t>وصيات الأولوية القصوى (تنفيذ فوري):</w:t>
      </w:r>
    </w:p>
    <w:p w14:paraId="5FB55321" w14:textId="50600CC7"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الأولى] رفع دقة نماذج الذكاء الاصطناعي إلى 93%+: </w:t>
      </w:r>
      <w:r w:rsidRPr="00F84143">
        <w:rPr>
          <w:rFonts w:ascii="Sakkal Majalla" w:hAnsi="Sakkal Majalla" w:cs="Sakkal Majalla"/>
          <w:sz w:val="28"/>
          <w:rtl/>
        </w:rPr>
        <w:t xml:space="preserve">الاستثمار الفوري في برامج تطوير نماذج </w:t>
      </w:r>
      <w:r w:rsidRPr="00F84143">
        <w:rPr>
          <w:rFonts w:ascii="Sakkal Majalla" w:hAnsi="Sakkal Majalla" w:cs="Sakkal Majalla"/>
          <w:sz w:val="28"/>
        </w:rPr>
        <w:t>Machine Learning</w:t>
      </w:r>
      <w:r w:rsidRPr="00F84143">
        <w:rPr>
          <w:rFonts w:ascii="Sakkal Majalla" w:hAnsi="Sakkal Majalla" w:cs="Sakkal Majalla"/>
          <w:sz w:val="28"/>
          <w:rtl/>
        </w:rPr>
        <w:t xml:space="preserve"> المتخصصة. يُقترح الشراكة مع </w:t>
      </w:r>
      <w:r w:rsidRPr="00F84143">
        <w:rPr>
          <w:rFonts w:ascii="Sakkal Majalla" w:hAnsi="Sakkal Majalla" w:cs="Sakkal Majalla"/>
          <w:sz w:val="28"/>
        </w:rPr>
        <w:t>SDAIA</w:t>
      </w:r>
      <w:r w:rsidRPr="00F84143">
        <w:rPr>
          <w:rFonts w:ascii="Sakkal Majalla" w:hAnsi="Sakkal Majalla" w:cs="Sakkal Majalla"/>
          <w:sz w:val="28"/>
          <w:rtl/>
        </w:rPr>
        <w:t xml:space="preserve"> وجامعة </w:t>
      </w:r>
      <w:r w:rsidRPr="00F84143">
        <w:rPr>
          <w:rFonts w:ascii="Sakkal Majalla" w:hAnsi="Sakkal Majalla" w:cs="Sakkal Majalla"/>
          <w:sz w:val="28"/>
        </w:rPr>
        <w:t>KAUST</w:t>
      </w:r>
      <w:r w:rsidRPr="00F84143">
        <w:rPr>
          <w:rFonts w:ascii="Sakkal Majalla" w:hAnsi="Sakkal Majalla" w:cs="Sakkal Majalla"/>
          <w:sz w:val="28"/>
          <w:rtl/>
        </w:rPr>
        <w:t xml:space="preserve"> لتطوير نموذج '</w:t>
      </w:r>
      <w:r w:rsidRPr="00F84143">
        <w:rPr>
          <w:rFonts w:ascii="Sakkal Majalla" w:hAnsi="Sakkal Majalla" w:cs="Sakkal Majalla"/>
          <w:sz w:val="28"/>
        </w:rPr>
        <w:t>DAISY-SA</w:t>
      </w:r>
      <w:r w:rsidRPr="00F84143">
        <w:rPr>
          <w:rFonts w:ascii="Sakkal Majalla" w:hAnsi="Sakkal Majalla" w:cs="Sakkal Majalla"/>
          <w:sz w:val="28"/>
          <w:rtl/>
        </w:rPr>
        <w:t>' المحلي.</w:t>
      </w:r>
    </w:p>
    <w:p w14:paraId="4A4305DC" w14:textId="46A7DA4D"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الثانية] إطلاق أكاديمية </w:t>
      </w:r>
      <w:r w:rsidRPr="00237CDC">
        <w:rPr>
          <w:rFonts w:ascii="Sakkal Majalla" w:hAnsi="Sakkal Majalla" w:cs="Sakkal Majalla"/>
          <w:b/>
          <w:bCs/>
          <w:sz w:val="28"/>
        </w:rPr>
        <w:t>ZATCA</w:t>
      </w:r>
      <w:r w:rsidRPr="00237CDC">
        <w:rPr>
          <w:rFonts w:ascii="Sakkal Majalla" w:hAnsi="Sakkal Majalla" w:cs="Sakkal Majalla"/>
          <w:b/>
          <w:bCs/>
          <w:sz w:val="28"/>
          <w:rtl/>
        </w:rPr>
        <w:t xml:space="preserve"> للجمارك الرقمية: </w:t>
      </w:r>
      <w:r w:rsidRPr="00F84143">
        <w:rPr>
          <w:rFonts w:ascii="Sakkal Majalla" w:hAnsi="Sakkal Majalla" w:cs="Sakkal Majalla"/>
          <w:sz w:val="28"/>
          <w:rtl/>
        </w:rPr>
        <w:t xml:space="preserve">إنشاء أكاديمية متخصصة بالشراكة مع </w:t>
      </w:r>
      <w:r w:rsidRPr="00F84143">
        <w:rPr>
          <w:rFonts w:ascii="Sakkal Majalla" w:hAnsi="Sakkal Majalla" w:cs="Sakkal Majalla"/>
          <w:sz w:val="28"/>
        </w:rPr>
        <w:t>MIT Professional Education</w:t>
      </w:r>
      <w:r w:rsidRPr="00F84143">
        <w:rPr>
          <w:rFonts w:ascii="Sakkal Majalla" w:hAnsi="Sakkal Majalla" w:cs="Sakkal Majalla"/>
          <w:sz w:val="28"/>
          <w:rtl/>
        </w:rPr>
        <w:t xml:space="preserve"> وجامعة </w:t>
      </w:r>
      <w:r w:rsidRPr="00F84143">
        <w:rPr>
          <w:rFonts w:ascii="Sakkal Majalla" w:hAnsi="Sakkal Majalla" w:cs="Sakkal Majalla"/>
          <w:sz w:val="28"/>
        </w:rPr>
        <w:t>NUS</w:t>
      </w:r>
      <w:r w:rsidRPr="00F84143">
        <w:rPr>
          <w:rFonts w:ascii="Sakkal Majalla" w:hAnsi="Sakkal Majalla" w:cs="Sakkal Majalla"/>
          <w:sz w:val="28"/>
          <w:rtl/>
        </w:rPr>
        <w:t xml:space="preserve"> لتطوير 5,000 موظف جمركي متخصص بحلول 2027.</w:t>
      </w:r>
    </w:p>
    <w:p w14:paraId="08449FD8" w14:textId="1CACE74A"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الثالثة] منظومة </w:t>
      </w:r>
      <w:r w:rsidRPr="00237CDC">
        <w:rPr>
          <w:rFonts w:ascii="Sakkal Majalla" w:hAnsi="Sakkal Majalla" w:cs="Sakkal Majalla"/>
          <w:b/>
          <w:bCs/>
          <w:sz w:val="28"/>
        </w:rPr>
        <w:t>Zero Trust Architecture</w:t>
      </w:r>
      <w:r w:rsidRPr="00237CDC">
        <w:rPr>
          <w:rFonts w:ascii="Sakkal Majalla" w:hAnsi="Sakkal Majalla" w:cs="Sakkal Majalla"/>
          <w:b/>
          <w:bCs/>
          <w:sz w:val="28"/>
          <w:rtl/>
        </w:rPr>
        <w:t xml:space="preserve"> الجمركية الكاملة: </w:t>
      </w:r>
      <w:r w:rsidRPr="00F84143">
        <w:rPr>
          <w:rFonts w:ascii="Sakkal Majalla" w:hAnsi="Sakkal Majalla" w:cs="Sakkal Majalla"/>
          <w:sz w:val="28"/>
          <w:rtl/>
        </w:rPr>
        <w:t>التحوّل الكامل إلى نموذج الثقة الصفرية في الأمن السيبراني الجمركي.</w:t>
      </w:r>
    </w:p>
    <w:p w14:paraId="4BB4C98E" w14:textId="1B9BECD3"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[التوصية الرابعة] توسيع الفوترة الإلكترونية لتشمل 400,000 شركة:</w:t>
      </w:r>
      <w:r w:rsidRPr="00F84143">
        <w:rPr>
          <w:rFonts w:ascii="Sakkal Majalla" w:hAnsi="Sakkal Majalla" w:cs="Sakkal Majalla"/>
          <w:sz w:val="28"/>
          <w:rtl/>
        </w:rPr>
        <w:t xml:space="preserve"> المضيّ قُدُماً مع برنامج دعم مالي وتقني خاص بالشركات الصغيرة والمتوسطة (منح تقنية، تدريب مجاني).</w:t>
      </w:r>
    </w:p>
    <w:p w14:paraId="71A52D3E" w14:textId="714148A5"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الخامسة] إطلاق منصة </w:t>
      </w:r>
      <w:r w:rsidRPr="00237CDC">
        <w:rPr>
          <w:rFonts w:ascii="Sakkal Majalla" w:hAnsi="Sakkal Majalla" w:cs="Sakkal Majalla"/>
          <w:b/>
          <w:bCs/>
          <w:sz w:val="28"/>
        </w:rPr>
        <w:t>ZATCA</w:t>
      </w:r>
      <w:r w:rsidRPr="00237CDC">
        <w:rPr>
          <w:rFonts w:ascii="Sakkal Majalla" w:hAnsi="Sakkal Majalla" w:cs="Sakkal Majalla"/>
          <w:b/>
          <w:bCs/>
          <w:sz w:val="28"/>
          <w:rtl/>
        </w:rPr>
        <w:t xml:space="preserve"> لإدارة مخاطر سلاسل الإمداد (</w:t>
      </w:r>
      <w:r w:rsidRPr="00237CDC">
        <w:rPr>
          <w:rFonts w:ascii="Sakkal Majalla" w:hAnsi="Sakkal Majalla" w:cs="Sakkal Majalla"/>
          <w:b/>
          <w:bCs/>
          <w:sz w:val="28"/>
        </w:rPr>
        <w:t>SCRM</w:t>
      </w:r>
      <w:r w:rsidRPr="00237CDC">
        <w:rPr>
          <w:rFonts w:ascii="Sakkal Majalla" w:hAnsi="Sakkal Majalla" w:cs="Sakkal Majalla"/>
          <w:b/>
          <w:bCs/>
          <w:sz w:val="28"/>
          <w:rtl/>
        </w:rPr>
        <w:t>):</w:t>
      </w:r>
      <w:r w:rsidRPr="00F84143">
        <w:rPr>
          <w:rFonts w:ascii="Sakkal Majalla" w:hAnsi="Sakkal Majalla" w:cs="Sakkal Majalla"/>
          <w:sz w:val="28"/>
          <w:rtl/>
        </w:rPr>
        <w:t xml:space="preserve"> تطوير منصة لرصد مخاطر سلاسل الإمداد في الوقت الحقيقي وتنبيه المستوردين قبل وقوعها بأسبوعين.</w:t>
      </w:r>
    </w:p>
    <w:p w14:paraId="7D38D594" w14:textId="728432F7"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توصيات متوسطة المدى (2026–2028):</w:t>
      </w:r>
    </w:p>
    <w:p w14:paraId="0866860E" w14:textId="358E5785"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lastRenderedPageBreak/>
        <w:t>[السادسة] النافذة الجمركية الموحدة الجيل الثالث:</w:t>
      </w:r>
      <w:r w:rsidRPr="00F84143">
        <w:rPr>
          <w:rFonts w:ascii="Sakkal Majalla" w:hAnsi="Sakkal Majalla" w:cs="Sakkal Majalla"/>
          <w:sz w:val="28"/>
          <w:rtl/>
        </w:rPr>
        <w:t xml:space="preserve"> تطوير منصة 'بيان' إلى الجيل الثالث (</w:t>
      </w:r>
      <w:r w:rsidRPr="00F84143">
        <w:rPr>
          <w:rFonts w:ascii="Sakkal Majalla" w:hAnsi="Sakkal Majalla" w:cs="Sakkal Majalla"/>
          <w:sz w:val="28"/>
        </w:rPr>
        <w:t>API-First</w:t>
      </w:r>
      <w:r w:rsidRPr="00F84143">
        <w:rPr>
          <w:rFonts w:ascii="Sakkal Majalla" w:hAnsi="Sakkal Majalla" w:cs="Sakkal Majalla"/>
          <w:sz w:val="28"/>
          <w:rtl/>
        </w:rPr>
        <w:t>) لربط 150 جهة حكومية، المستهدف: 85% من شحنات الفئات منخفضة المخاطر تُخلَّص آلياً.</w:t>
      </w:r>
    </w:p>
    <w:p w14:paraId="60318127" w14:textId="5B81370D"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[السابعة] </w:t>
      </w:r>
      <w:r w:rsidRPr="00237CDC">
        <w:rPr>
          <w:rFonts w:ascii="Sakkal Majalla" w:hAnsi="Sakkal Majalla" w:cs="Sakkal Majalla"/>
          <w:b/>
          <w:bCs/>
          <w:sz w:val="28"/>
        </w:rPr>
        <w:t>Blockchain</w:t>
      </w:r>
      <w:r w:rsidRPr="00237CDC">
        <w:rPr>
          <w:rFonts w:ascii="Sakkal Majalla" w:hAnsi="Sakkal Majalla" w:cs="Sakkal Majalla"/>
          <w:b/>
          <w:bCs/>
          <w:sz w:val="28"/>
          <w:rtl/>
        </w:rPr>
        <w:t xml:space="preserve"> الجمركي الوطني الموحد:</w:t>
      </w:r>
      <w:r w:rsidRPr="00F84143">
        <w:rPr>
          <w:rFonts w:ascii="Sakkal Majalla" w:hAnsi="Sakkal Majalla" w:cs="Sakkal Majalla"/>
          <w:sz w:val="28"/>
          <w:rtl/>
        </w:rPr>
        <w:t xml:space="preserve"> بناء شبكة تُتيح تتبع الشهادات الجمركية وشهادات المنشأ بشكل لا يمكن تزويره.</w:t>
      </w:r>
    </w:p>
    <w:p w14:paraId="6634AC9A" w14:textId="6D12805B"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[الثامنة] منظومة التجارة الخضراء الجمركية:</w:t>
      </w:r>
      <w:r w:rsidRPr="00F84143">
        <w:rPr>
          <w:rFonts w:ascii="Sakkal Majalla" w:hAnsi="Sakkal Majalla" w:cs="Sakkal Majalla"/>
          <w:sz w:val="28"/>
          <w:rtl/>
        </w:rPr>
        <w:t xml:space="preserve"> تطوير منظومة لقياس البصمة الكربونية للشحنات وتضمينها في وثائق التخليص.</w:t>
      </w:r>
    </w:p>
    <w:p w14:paraId="45D0B242" w14:textId="421D6BCC"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 xml:space="preserve"> 2. توصيات لصانع القرار الوطني في المملكة العربية السعودية</w:t>
      </w:r>
    </w:p>
    <w:p w14:paraId="02332C17" w14:textId="31A0D7D1"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[الأولى] استراتيجية المرونة اللوجستية الوطنية 2026:</w:t>
      </w:r>
      <w:r w:rsidRPr="00F84143">
        <w:rPr>
          <w:rFonts w:ascii="Sakkal Majalla" w:hAnsi="Sakkal Majalla" w:cs="Sakkal Majalla"/>
          <w:sz w:val="28"/>
          <w:rtl/>
        </w:rPr>
        <w:t xml:space="preserve"> إطلاق وثيقة استراتيجية تتضمن خطة طوارئ لوجستية رقمية لكل سيناريو محتمل (البحر الأحمر، هرمز، جائحة).</w:t>
      </w:r>
    </w:p>
    <w:p w14:paraId="002F0E0E" w14:textId="26458E44"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[الثانية] إنشاء مجلس التكامل الجمركي الخليجي الرقمي:</w:t>
      </w:r>
      <w:r w:rsidRPr="00F84143">
        <w:rPr>
          <w:rFonts w:ascii="Sakkal Majalla" w:hAnsi="Sakkal Majalla" w:cs="Sakkal Majalla"/>
          <w:sz w:val="28"/>
          <w:rtl/>
        </w:rPr>
        <w:t xml:space="preserve"> رئاسة المملكة لمجلس يضم هيئات جمارك دول </w:t>
      </w:r>
      <w:r w:rsidRPr="00F84143">
        <w:rPr>
          <w:rFonts w:ascii="Sakkal Majalla" w:hAnsi="Sakkal Majalla" w:cs="Sakkal Majalla"/>
          <w:sz w:val="28"/>
        </w:rPr>
        <w:t>GCC</w:t>
      </w:r>
      <w:r w:rsidRPr="00F84143">
        <w:rPr>
          <w:rFonts w:ascii="Sakkal Majalla" w:hAnsi="Sakkal Majalla" w:cs="Sakkal Majalla"/>
          <w:sz w:val="28"/>
          <w:rtl/>
        </w:rPr>
        <w:t xml:space="preserve"> الست.</w:t>
      </w:r>
    </w:p>
    <w:p w14:paraId="283ADC32" w14:textId="353F1BA9"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[الثالثة] برنامج المملكة كمركز لوجستي عالمي (</w:t>
      </w:r>
      <w:r w:rsidRPr="003F7DD8">
        <w:rPr>
          <w:rFonts w:ascii="Sakkal Majalla" w:hAnsi="Sakkal Majalla" w:cs="Sakkal Majalla"/>
          <w:b/>
          <w:bCs/>
          <w:sz w:val="28"/>
        </w:rPr>
        <w:t>KGLC</w:t>
      </w:r>
      <w:r w:rsidRPr="003F7DD8">
        <w:rPr>
          <w:rFonts w:ascii="Sakkal Majalla" w:hAnsi="Sakkal Majalla" w:cs="Sakkal Majalla"/>
          <w:b/>
          <w:bCs/>
          <w:sz w:val="28"/>
          <w:rtl/>
        </w:rPr>
        <w:t>):</w:t>
      </w:r>
      <w:r w:rsidRPr="00F84143">
        <w:rPr>
          <w:rFonts w:ascii="Sakkal Majalla" w:hAnsi="Sakkal Majalla" w:cs="Sakkal Majalla"/>
          <w:sz w:val="28"/>
          <w:rtl/>
        </w:rPr>
        <w:t xml:space="preserve"> إطلاق البرنامج تحت رعاية وزارة الاستثمار و</w:t>
      </w:r>
      <w:r w:rsidRPr="00F84143">
        <w:rPr>
          <w:rFonts w:ascii="Sakkal Majalla" w:hAnsi="Sakkal Majalla" w:cs="Sakkal Majalla"/>
          <w:sz w:val="28"/>
        </w:rPr>
        <w:t>ZATCA</w:t>
      </w:r>
      <w:r w:rsidRPr="00F84143">
        <w:rPr>
          <w:rFonts w:ascii="Sakkal Majalla" w:hAnsi="Sakkal Majalla" w:cs="Sakkal Majalla"/>
          <w:sz w:val="28"/>
          <w:rtl/>
        </w:rPr>
        <w:t xml:space="preserve"> لاستقطاب 50 شركة لوجستية دولية بحلول 2030.</w:t>
      </w:r>
    </w:p>
    <w:p w14:paraId="751E41F9" w14:textId="519A14CB"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[الرابعة] منح التميز اللوجستي لشركات القطاع الخاص:</w:t>
      </w:r>
      <w:r w:rsidRPr="00F84143">
        <w:rPr>
          <w:rFonts w:ascii="Sakkal Majalla" w:hAnsi="Sakkal Majalla" w:cs="Sakkal Majalla"/>
          <w:sz w:val="28"/>
          <w:rtl/>
        </w:rPr>
        <w:t xml:space="preserve"> إنشاء جائزة وطنية سنوية للتميز في التكامل الرقمي مع منظومة </w:t>
      </w:r>
      <w:r w:rsidRPr="00F84143">
        <w:rPr>
          <w:rFonts w:ascii="Sakkal Majalla" w:hAnsi="Sakkal Majalla" w:cs="Sakkal Majalla"/>
          <w:sz w:val="28"/>
        </w:rPr>
        <w:t>ZATCA</w:t>
      </w:r>
      <w:r w:rsidRPr="00F84143">
        <w:rPr>
          <w:rFonts w:ascii="Sakkal Majalla" w:hAnsi="Sakkal Majalla" w:cs="Sakkal Majalla"/>
          <w:sz w:val="28"/>
          <w:rtl/>
        </w:rPr>
        <w:t>.</w:t>
      </w:r>
    </w:p>
    <w:p w14:paraId="24D5D8E8" w14:textId="14284872"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[الخامسة] مأسسة خطوط التجارة البرية البديلة:</w:t>
      </w:r>
      <w:r w:rsidRPr="00F84143">
        <w:rPr>
          <w:rFonts w:ascii="Sakkal Majalla" w:hAnsi="Sakkal Majalla" w:cs="Sakkal Majalla"/>
          <w:sz w:val="28"/>
          <w:rtl/>
        </w:rPr>
        <w:t xml:space="preserve"> تسريع الربط التنظيمي والتقني بين وزارة النقل، هيئة الموانئ، و</w:t>
      </w:r>
      <w:r w:rsidRPr="00F84143">
        <w:rPr>
          <w:rFonts w:ascii="Sakkal Majalla" w:hAnsi="Sakkal Majalla" w:cs="Sakkal Majalla"/>
          <w:sz w:val="28"/>
        </w:rPr>
        <w:t>ZATCA</w:t>
      </w:r>
      <w:r w:rsidRPr="00F84143">
        <w:rPr>
          <w:rFonts w:ascii="Sakkal Majalla" w:hAnsi="Sakkal Majalla" w:cs="Sakkal Majalla"/>
          <w:sz w:val="28"/>
          <w:rtl/>
        </w:rPr>
        <w:t xml:space="preserve"> لتحويل الممرات البرية إلى خطوط تجارية دائمة.</w:t>
      </w:r>
    </w:p>
    <w:p w14:paraId="7E2E1797" w14:textId="73BE7BC6" w:rsidR="00F84143" w:rsidRPr="003F7DD8" w:rsidRDefault="00F84143" w:rsidP="00F84143">
      <w:pPr>
        <w:pStyle w:val="BlockText"/>
        <w:spacing w:line="360" w:lineRule="auto"/>
        <w:jc w:val="lowKashida"/>
        <w:rPr>
          <w:rFonts w:ascii="Sakkal Majalla" w:hAnsi="Sakkal Majalla" w:cs="Sakkal Majalla"/>
          <w:b/>
          <w:bCs/>
          <w:sz w:val="28"/>
          <w:rtl/>
        </w:rPr>
      </w:pPr>
      <w:r w:rsidRPr="003F7DD8">
        <w:rPr>
          <w:rFonts w:ascii="Sakkal Majalla" w:hAnsi="Sakkal Majalla" w:cs="Sakkal Majalla"/>
          <w:b/>
          <w:bCs/>
          <w:sz w:val="28"/>
          <w:rtl/>
        </w:rPr>
        <w:t xml:space="preserve"> 3. توصيات للمنطقة العربية والمنظمات الإقليمية</w:t>
      </w:r>
    </w:p>
    <w:p w14:paraId="01C9EBF1" w14:textId="26415EF2"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[الأولى] إطلاق مبادرة 'الجمارك الذكية العربية' بمظلة جامعة الدول العربية:</w:t>
      </w:r>
      <w:r w:rsidRPr="00F84143">
        <w:rPr>
          <w:rFonts w:ascii="Sakkal Majalla" w:hAnsi="Sakkal Majalla" w:cs="Sakkal Majalla"/>
          <w:sz w:val="28"/>
          <w:rtl/>
        </w:rPr>
        <w:t xml:space="preserve"> إطلاق منظومة جمارك رقمية عربية موحدة تنطلق من التجربة السعودية.</w:t>
      </w:r>
    </w:p>
    <w:p w14:paraId="3A6D3FFD" w14:textId="33F115D2"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[الثانية] الأكاديمية الجمركية الرقمية العربية الموحدة:</w:t>
      </w:r>
      <w:r w:rsidRPr="00F84143">
        <w:rPr>
          <w:rFonts w:ascii="Sakkal Majalla" w:hAnsi="Sakkal Majalla" w:cs="Sakkal Majalla"/>
          <w:sz w:val="28"/>
          <w:rtl/>
        </w:rPr>
        <w:t xml:space="preserve"> إنشاء أكاديمية عربية متخصصة تتخذ من الرياض مقراً لها.</w:t>
      </w:r>
    </w:p>
    <w:p w14:paraId="0C3C92AD" w14:textId="7D41D4BE"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[الثالثة] بروتوكول الأمن الجمركي العربي المشترك:</w:t>
      </w:r>
      <w:r w:rsidRPr="00F84143">
        <w:rPr>
          <w:rFonts w:ascii="Sakkal Majalla" w:hAnsi="Sakkal Majalla" w:cs="Sakkal Majalla"/>
          <w:sz w:val="28"/>
          <w:rtl/>
        </w:rPr>
        <w:t xml:space="preserve"> صياغة بروتوكول موحد لتبادل المعلومات الجمركية الأمنية.</w:t>
      </w:r>
    </w:p>
    <w:p w14:paraId="0AD39F16" w14:textId="249E555B"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lastRenderedPageBreak/>
        <w:t>[الرابعة] منصة البيانات الجمركية العربية الموحدة (</w:t>
      </w:r>
      <w:r w:rsidRPr="00D73A77">
        <w:rPr>
          <w:rFonts w:ascii="Sakkal Majalla" w:hAnsi="Sakkal Majalla" w:cs="Sakkal Majalla"/>
          <w:b/>
          <w:bCs/>
          <w:sz w:val="28"/>
        </w:rPr>
        <w:t>Arab-Customs Share</w:t>
      </w:r>
      <w:r w:rsidRPr="00D73A77">
        <w:rPr>
          <w:rFonts w:ascii="Sakkal Majalla" w:hAnsi="Sakkal Majalla" w:cs="Sakkal Majalla"/>
          <w:b/>
          <w:bCs/>
          <w:sz w:val="28"/>
          <w:rtl/>
        </w:rPr>
        <w:t>):</w:t>
      </w:r>
      <w:r w:rsidRPr="00F84143">
        <w:rPr>
          <w:rFonts w:ascii="Sakkal Majalla" w:hAnsi="Sakkal Majalla" w:cs="Sakkal Majalla"/>
          <w:sz w:val="28"/>
          <w:rtl/>
        </w:rPr>
        <w:t xml:space="preserve"> تبادل وثائق الشحن والشهادات بشكل فوري وآلي.</w:t>
      </w:r>
    </w:p>
    <w:p w14:paraId="738AD738" w14:textId="0A3401CC"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[الخامسة] الاعتراف المتبادل ببرنامج المشغل الاقتصادي المعتمد (</w:t>
      </w:r>
      <w:r w:rsidRPr="00D73A77">
        <w:rPr>
          <w:rFonts w:ascii="Sakkal Majalla" w:hAnsi="Sakkal Majalla" w:cs="Sakkal Majalla"/>
          <w:b/>
          <w:bCs/>
          <w:sz w:val="28"/>
        </w:rPr>
        <w:t>AEO</w:t>
      </w:r>
      <w:r w:rsidRPr="00D73A77">
        <w:rPr>
          <w:rFonts w:ascii="Sakkal Majalla" w:hAnsi="Sakkal Majalla" w:cs="Sakkal Majalla"/>
          <w:b/>
          <w:bCs/>
          <w:sz w:val="28"/>
          <w:rtl/>
        </w:rPr>
        <w:t>):</w:t>
      </w:r>
      <w:r w:rsidRPr="00F84143">
        <w:rPr>
          <w:rFonts w:ascii="Sakkal Majalla" w:hAnsi="Sakkal Majalla" w:cs="Sakkal Majalla"/>
          <w:sz w:val="28"/>
          <w:rtl/>
        </w:rPr>
        <w:t xml:space="preserve"> منح الشركات الممتثلة مسارات خضراء سريعة عبر كافة الحدود العربية.</w:t>
      </w:r>
    </w:p>
    <w:p w14:paraId="411268E2" w14:textId="5995D7AE" w:rsidR="00F84143" w:rsidRPr="00D73A77" w:rsidRDefault="00F84143" w:rsidP="00F84143">
      <w:pPr>
        <w:pStyle w:val="BlockText"/>
        <w:spacing w:line="360" w:lineRule="auto"/>
        <w:jc w:val="lowKashida"/>
        <w:rPr>
          <w:rFonts w:ascii="Sakkal Majalla" w:hAnsi="Sakkal Majalla" w:cs="Sakkal Majalla"/>
          <w:b/>
          <w:bCs/>
          <w:sz w:val="28"/>
          <w:rtl/>
        </w:rPr>
      </w:pPr>
      <w:r w:rsidRPr="00D73A77">
        <w:rPr>
          <w:rFonts w:ascii="Sakkal Majalla" w:hAnsi="Sakkal Majalla" w:cs="Sakkal Majalla"/>
          <w:b/>
          <w:bCs/>
          <w:sz w:val="28"/>
          <w:rtl/>
        </w:rPr>
        <w:t>4. توصيات للقطاع الخاص والشركات</w:t>
      </w:r>
    </w:p>
    <w:p w14:paraId="2E2ACDC5" w14:textId="6FDAC5D8"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اللوجستيات والشحن:</w:t>
      </w:r>
      <w:r w:rsidRPr="00F84143">
        <w:rPr>
          <w:rFonts w:ascii="Sakkal Majalla" w:hAnsi="Sakkal Majalla" w:cs="Sakkal Majalla"/>
          <w:sz w:val="28"/>
          <w:rtl/>
        </w:rPr>
        <w:t xml:space="preserve"> تسريع اعتماد شهادة </w:t>
      </w:r>
      <w:r w:rsidRPr="00F84143">
        <w:rPr>
          <w:rFonts w:ascii="Sakkal Majalla" w:hAnsi="Sakkal Majalla" w:cs="Sakkal Majalla"/>
          <w:sz w:val="28"/>
        </w:rPr>
        <w:t>AEO</w:t>
      </w:r>
      <w:r w:rsidRPr="00F84143">
        <w:rPr>
          <w:rFonts w:ascii="Sakkal Majalla" w:hAnsi="Sakkal Majalla" w:cs="Sakkal Majalla"/>
          <w:sz w:val="28"/>
          <w:rtl/>
        </w:rPr>
        <w:t xml:space="preserve"> من </w:t>
      </w:r>
      <w:r w:rsidRPr="00F84143">
        <w:rPr>
          <w:rFonts w:ascii="Sakkal Majalla" w:hAnsi="Sakkal Majalla" w:cs="Sakkal Majalla"/>
          <w:sz w:val="28"/>
        </w:rPr>
        <w:t>ZATCA</w:t>
      </w:r>
      <w:r w:rsidRPr="00F84143">
        <w:rPr>
          <w:rFonts w:ascii="Sakkal Majalla" w:hAnsi="Sakkal Majalla" w:cs="Sakkal Majalla"/>
          <w:sz w:val="28"/>
          <w:rtl/>
        </w:rPr>
        <w:t>، والاستثمار في أنظمة إدارة النقل (</w:t>
      </w:r>
      <w:r w:rsidRPr="00F84143">
        <w:rPr>
          <w:rFonts w:ascii="Sakkal Majalla" w:hAnsi="Sakkal Majalla" w:cs="Sakkal Majalla"/>
          <w:sz w:val="28"/>
        </w:rPr>
        <w:t>TMS</w:t>
      </w:r>
      <w:r w:rsidRPr="00F84143">
        <w:rPr>
          <w:rFonts w:ascii="Sakkal Majalla" w:hAnsi="Sakkal Majalla" w:cs="Sakkal Majalla"/>
          <w:sz w:val="28"/>
          <w:rtl/>
        </w:rPr>
        <w:t>) المتكاملة.</w:t>
      </w:r>
    </w:p>
    <w:p w14:paraId="3B24D376" w14:textId="4D90703D"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التجارة الإلكترونية:</w:t>
      </w:r>
      <w:r w:rsidRPr="00F84143">
        <w:rPr>
          <w:rFonts w:ascii="Sakkal Majalla" w:hAnsi="Sakkal Majalla" w:cs="Sakkal Majalla"/>
          <w:sz w:val="28"/>
          <w:rtl/>
        </w:rPr>
        <w:t xml:space="preserve"> الامتثال التام للفوترة الإلكترونية، والمستهدف: معدل إفراج آلي ≥ 98%.</w:t>
      </w:r>
    </w:p>
    <w:p w14:paraId="0ED127FE" w14:textId="4EA24A00"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للبنوك والمؤسسات المالية:</w:t>
      </w:r>
      <w:r w:rsidRPr="00F84143">
        <w:rPr>
          <w:rFonts w:ascii="Sakkal Majalla" w:hAnsi="Sakkal Majalla" w:cs="Sakkal Majalla"/>
          <w:sz w:val="28"/>
          <w:rtl/>
        </w:rPr>
        <w:t xml:space="preserve"> تطوير منتجات تمويل تجارة رقمية متكاملة (خطابات اعتماد في أقل من ساعتَين).</w:t>
      </w:r>
    </w:p>
    <w:p w14:paraId="08F7F1C0" w14:textId="1AA8FDF4"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التقنية:</w:t>
      </w:r>
      <w:r w:rsidRPr="00F84143">
        <w:rPr>
          <w:rFonts w:ascii="Sakkal Majalla" w:hAnsi="Sakkal Majalla" w:cs="Sakkal Majalla"/>
          <w:sz w:val="28"/>
          <w:rtl/>
        </w:rPr>
        <w:t xml:space="preserve"> الانضمام إلى برنامج 'شركاء </w:t>
      </w:r>
      <w:r w:rsidRPr="00F84143">
        <w:rPr>
          <w:rFonts w:ascii="Sakkal Majalla" w:hAnsi="Sakkal Majalla" w:cs="Sakkal Majalla"/>
          <w:sz w:val="28"/>
        </w:rPr>
        <w:t>ZATCA</w:t>
      </w:r>
      <w:r w:rsidRPr="00F84143">
        <w:rPr>
          <w:rFonts w:ascii="Sakkal Majalla" w:hAnsi="Sakkal Majalla" w:cs="Sakkal Majalla"/>
          <w:sz w:val="28"/>
          <w:rtl/>
        </w:rPr>
        <w:t xml:space="preserve"> التقنيين'.</w:t>
      </w:r>
    </w:p>
    <w:p w14:paraId="2B020840" w14:textId="422A56B0"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للمنشآت الصغيرة جداً والناشئة:</w:t>
      </w:r>
      <w:r w:rsidRPr="00F84143">
        <w:rPr>
          <w:rFonts w:ascii="Sakkal Majalla" w:hAnsi="Sakkal Majalla" w:cs="Sakkal Majalla"/>
          <w:sz w:val="28"/>
          <w:rtl/>
        </w:rPr>
        <w:t xml:space="preserve"> حضور الورش التدريبية المجانية وتبني حلول محاسبية مبسطة متوافقة مع الامتثال.</w:t>
      </w:r>
    </w:p>
    <w:p w14:paraId="01B76D77" w14:textId="10500873" w:rsid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رأي الباحث:</w:t>
      </w:r>
      <w:r w:rsidRPr="00F84143">
        <w:rPr>
          <w:rFonts w:ascii="Sakkal Majalla" w:hAnsi="Sakkal Majalla" w:cs="Sakkal Majalla"/>
          <w:sz w:val="28"/>
          <w:rtl/>
        </w:rPr>
        <w:t xml:space="preserve"> يُلاحظ الباحث أن التوصيات تنتمي إلى نوعين متكاملين: توصيات ترقية للمنظومة القائمة، وتوصيات تحويلية. التوصيات التحويلية هي الأكثر تأثيراً على المدى البعيد، لكنها تتطلب شجاعة قيادية أكبر. والرسالة للقطاع الخاص السعودي واضحة: التحول الرقمي الجمركي ليس عبئاً حكومياً بل فرصة للريادة.</w:t>
      </w:r>
    </w:p>
    <w:p w14:paraId="43AA3BBE" w14:textId="77777777" w:rsidR="00736D54" w:rsidRDefault="00736D54" w:rsidP="00736D54">
      <w:pPr>
        <w:pStyle w:val="BlockText"/>
        <w:spacing w:line="360" w:lineRule="auto"/>
        <w:jc w:val="lowKashida"/>
        <w:rPr>
          <w:rFonts w:ascii="Sakkal Majalla" w:hAnsi="Sakkal Majalla" w:cs="Sakkal Majalla"/>
          <w:sz w:val="28"/>
          <w:rtl/>
        </w:rPr>
      </w:pPr>
    </w:p>
    <w:p w14:paraId="6EE1A976" w14:textId="77777777" w:rsidR="00736D54" w:rsidRDefault="00736D54" w:rsidP="00736D54">
      <w:pPr>
        <w:pStyle w:val="BlockText"/>
        <w:spacing w:line="360" w:lineRule="auto"/>
        <w:jc w:val="lowKashida"/>
        <w:rPr>
          <w:rFonts w:ascii="Sakkal Majalla" w:hAnsi="Sakkal Majalla" w:cs="Sakkal Majalla"/>
          <w:sz w:val="28"/>
          <w:rtl/>
        </w:rPr>
      </w:pPr>
    </w:p>
    <w:p w14:paraId="43A60256" w14:textId="77777777" w:rsidR="00736D54" w:rsidRDefault="00736D54" w:rsidP="00736D54">
      <w:pPr>
        <w:pStyle w:val="BlockText"/>
        <w:spacing w:line="360" w:lineRule="auto"/>
        <w:jc w:val="lowKashida"/>
        <w:rPr>
          <w:rFonts w:ascii="Sakkal Majalla" w:hAnsi="Sakkal Majalla" w:cs="Sakkal Majalla"/>
          <w:sz w:val="28"/>
          <w:rtl/>
        </w:rPr>
      </w:pPr>
    </w:p>
    <w:p w14:paraId="7199832B" w14:textId="77777777" w:rsidR="00736D54" w:rsidRDefault="00736D54" w:rsidP="00736D54">
      <w:pPr>
        <w:pStyle w:val="BlockText"/>
        <w:spacing w:line="360" w:lineRule="auto"/>
        <w:jc w:val="lowKashida"/>
        <w:rPr>
          <w:rFonts w:ascii="Sakkal Majalla" w:hAnsi="Sakkal Majalla" w:cs="Sakkal Majalla"/>
          <w:sz w:val="28"/>
          <w:rtl/>
        </w:rPr>
      </w:pPr>
    </w:p>
    <w:p w14:paraId="14EB9EE3" w14:textId="77777777" w:rsidR="00736D54" w:rsidRDefault="00736D54" w:rsidP="00736D54">
      <w:pPr>
        <w:pStyle w:val="BlockText"/>
        <w:spacing w:line="360" w:lineRule="auto"/>
        <w:jc w:val="lowKashida"/>
        <w:rPr>
          <w:rFonts w:ascii="Sakkal Majalla" w:hAnsi="Sakkal Majalla" w:cs="Sakkal Majalla"/>
          <w:sz w:val="28"/>
          <w:rtl/>
        </w:rPr>
      </w:pPr>
    </w:p>
    <w:p w14:paraId="2E710748" w14:textId="77777777" w:rsidR="00736D54" w:rsidRDefault="00736D54" w:rsidP="00736D54">
      <w:pPr>
        <w:pStyle w:val="BlockText"/>
        <w:spacing w:line="360" w:lineRule="auto"/>
        <w:jc w:val="lowKashida"/>
        <w:rPr>
          <w:rFonts w:ascii="Sakkal Majalla" w:hAnsi="Sakkal Majalla" w:cs="Sakkal Majalla"/>
          <w:sz w:val="28"/>
          <w:rtl/>
        </w:rPr>
      </w:pPr>
    </w:p>
    <w:p w14:paraId="166923DF" w14:textId="77777777" w:rsidR="00736D54" w:rsidRDefault="00736D54" w:rsidP="00736D54">
      <w:pPr>
        <w:pStyle w:val="BlockText"/>
        <w:spacing w:line="360" w:lineRule="auto"/>
        <w:jc w:val="lowKashida"/>
        <w:rPr>
          <w:rFonts w:ascii="Sakkal Majalla" w:hAnsi="Sakkal Majalla" w:cs="Sakkal Majalla"/>
          <w:sz w:val="28"/>
          <w:rtl/>
        </w:rPr>
      </w:pPr>
    </w:p>
    <w:p w14:paraId="2B35E5DD" w14:textId="77777777" w:rsidR="00736D54" w:rsidRPr="00F84143" w:rsidRDefault="00736D54" w:rsidP="00736D54">
      <w:pPr>
        <w:pStyle w:val="BlockText"/>
        <w:spacing w:line="360" w:lineRule="auto"/>
        <w:jc w:val="lowKashida"/>
        <w:rPr>
          <w:rFonts w:ascii="Sakkal Majalla" w:hAnsi="Sakkal Majalla" w:cs="Sakkal Majalla"/>
          <w:sz w:val="28"/>
          <w:rtl/>
        </w:rPr>
      </w:pPr>
    </w:p>
    <w:p w14:paraId="0998FA4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lastRenderedPageBreak/>
        <w:t>سابعاً: خطط العمل الاستراتيجية الشاملة</w:t>
      </w:r>
    </w:p>
    <w:p w14:paraId="15C38C0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خطط العمل الاستراتيجية الركيزة الأساسية التي تعتمد عليها المؤسسات الحكومية الحديثة في ترجمة الرؤى الوطنية إلى برامج تنفيذية قابلة للقياس والمتابعة والتقييم، إذ لم تعد الاستراتيجيات المعاصرة تقتصر على صياغة أهداف عامة أو مؤشرات أداء تقليدية، وإنما أصبحت ترتكز على بناء منظومة متكاملة تجمع بين التخطيط الاستراتيجي، وإدارة المخاطر، والتحول الرقمي، والحوكمة المؤسسية، والابتكار المستدام، بما يضمن تحقيق أعلى مستويات الكفاءة التشغيلية والمرونة التنظيمية في مواجهة المتغيرات المحلية والإقليمية والعالمية. وفي ظل الثورة الصناعية الرابعة وما صاحبها من تطورات متسارعة في تقنيات الذكاء الاصطناعي، وتحليل البيانات الضخمة، وسلاسل الكتل</w:t>
      </w:r>
      <w:r w:rsidRPr="00736D54">
        <w:rPr>
          <w:rFonts w:ascii="Sakkal Majalla" w:hAnsi="Sakkal Majalla" w:cs="Sakkal Majalla"/>
          <w:sz w:val="28"/>
        </w:rPr>
        <w:t xml:space="preserve"> (Blockchain)</w:t>
      </w:r>
      <w:r w:rsidRPr="00736D54">
        <w:rPr>
          <w:rFonts w:ascii="Sakkal Majalla" w:hAnsi="Sakkal Majalla" w:cs="Sakkal Majalla"/>
          <w:sz w:val="28"/>
          <w:rtl/>
        </w:rPr>
        <w:t>، والحوسبة السحابية، وإنترنت الأشياء، أصبحت الإدارات الجمركية مطالبة بإعادة تصميم نماذج عملها بصورة جذرية، بحيث تتحول من إدارات رقابية تقليدية تعتمد على الإجراءات الورقية إلى منظومات رقمية ذكية تعمل بصورة استباقية وقادرة على التنبؤ بالمخاطر قبل وقوعها، مع المحافظة في الوقت ذاته على انسيابية حركة التجارة الدولية وتعزيز أمن الحدود الوطنية</w:t>
      </w:r>
      <w:r w:rsidRPr="00736D54">
        <w:rPr>
          <w:rFonts w:ascii="Sakkal Majalla" w:hAnsi="Sakkal Majalla" w:cs="Sakkal Majalla"/>
          <w:sz w:val="28"/>
        </w:rPr>
        <w:t>.</w:t>
      </w:r>
    </w:p>
    <w:p w14:paraId="09E0DAC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وتأتي هيئة الزكاة والضريبة والجمارك</w:t>
      </w:r>
      <w:r w:rsidRPr="00736D54">
        <w:rPr>
          <w:rFonts w:ascii="Sakkal Majalla" w:hAnsi="Sakkal Majalla" w:cs="Sakkal Majalla"/>
          <w:sz w:val="28"/>
        </w:rPr>
        <w:t xml:space="preserve"> (ZATCA) </w:t>
      </w:r>
      <w:r w:rsidRPr="00736D54">
        <w:rPr>
          <w:rFonts w:ascii="Sakkal Majalla" w:hAnsi="Sakkal Majalla" w:cs="Sakkal Majalla"/>
          <w:sz w:val="28"/>
          <w:rtl/>
        </w:rPr>
        <w:t>في مقدمة المؤسسات الحكومية السعودية التي تبنت هذا التوجه بصورة مبكرة، مستفيدةً من الدعم الحكومي الكبير الذي وفرته رؤية المملكة العربية السعودية 2030، والتي وضعت التحول الرقمي ضمن المرتكزات الرئيسة لبناء اقتصاد معرفي متنوع قادر على المنافسة العالمية. وقد انعكس هذا التوجه في العديد من المبادرات الرقمية التي أطلقتها الهيئة خلال السنوات الأخيرة، مثل منصة "فسح"، والفوترة الإلكترونية، وأنظمة إدارة المخاطر الذكية، وربط الجهات الحكومية إلكترونياً، الأمر الذي ساهم في رفع كفاءة العمليات الجمركية وتحسين جودة الخدمات المقدمة للمستفيدين، فضلاً عن تعزيز مستويات الامتثال الضريبي والجمركي، وتقليل زمن الإفراج عن الشحنات، وزيادة الشفافية في الإجراءات الجمركية. كما بينت نتائج الدراسة الحالية أن غالبية أفراد العينة يدركون أهمية التحول الرقمي في دعم الأمن السيبراني وتيسير التجارة، إذ أظهرت النتائج ارتفاع نسب الموافقة على دور التقنيات الرقمية في تحسين كفاءة سلاسل الإمداد، وتقليل التهرب الضريبي، وتعزيز التكامل بين الجهات الحكومية، بما يؤكد وجود قاعدة مؤسسية داعمة لمواصلة التحول الرقمي داخل الهيئة</w:t>
      </w:r>
      <w:r w:rsidRPr="00736D54">
        <w:rPr>
          <w:rFonts w:ascii="Sakkal Majalla" w:hAnsi="Sakkal Majalla" w:cs="Sakkal Majalla"/>
          <w:sz w:val="28"/>
        </w:rPr>
        <w:t>.</w:t>
      </w:r>
    </w:p>
    <w:p w14:paraId="1235575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ورغم ما تحقق من إنجازات ملموسة، فإن البيئة الجمركية العالمية تشهد تغيرات متلاحقة تفرض على الإدارات الجمركية تبني استراتيجيات أكثر مرونة وقدرة على التكيف مع المخاطر الناشئة. فقد أدى التوسع الكبير في التجارة الإلكترونية العابرة للحدود، والزيادة المستمرة في حجم البيانات المتبادلة، وتصاعد الهجمات السيبرانية، وتعقد شبكات سلاسل الإمداد العالمية، إلى ظهور تحديات جديدة تتطلب حلولاً مبتكرة تتجاوز النظم التقليدية في الرقابة والإدارة. ولم يعد النجاح يقاس فقط بسرعة التخليص الجمركي، وإنما أصبح يقاس كذلك بقدرة الإدارة الجمركية على تحقيق التوازن بين حماية المجتمع والاقتصاد الوطني من جهة، والمحافظة على انسيابية التجارة الدولية من جهة أخرى، وهو ما يعرف في الأدبيات الحديثة بمعادلة "الأمن مقابل التيسير</w:t>
      </w:r>
      <w:r w:rsidRPr="00736D54">
        <w:rPr>
          <w:rFonts w:ascii="Sakkal Majalla" w:hAnsi="Sakkal Majalla" w:cs="Sakkal Majalla"/>
          <w:sz w:val="28"/>
        </w:rPr>
        <w:t>" (Security–Facilitation Balance).</w:t>
      </w:r>
    </w:p>
    <w:p w14:paraId="236458A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ومن هذا المنطلق، أصبح التخطيط الاستراتيجي في المؤسسات الجمركية يعتمد على مفهوم "الجمارك الذكية</w:t>
      </w:r>
      <w:r w:rsidRPr="00736D54">
        <w:rPr>
          <w:rFonts w:ascii="Sakkal Majalla" w:hAnsi="Sakkal Majalla" w:cs="Sakkal Majalla"/>
          <w:sz w:val="28"/>
        </w:rPr>
        <w:t>" (Smart Customs)</w:t>
      </w:r>
      <w:r w:rsidRPr="00736D54">
        <w:rPr>
          <w:rFonts w:ascii="Sakkal Majalla" w:hAnsi="Sakkal Majalla" w:cs="Sakkal Majalla"/>
          <w:sz w:val="28"/>
          <w:rtl/>
        </w:rPr>
        <w:t>، الذي يقوم على دمج التقنيات الرقمية المتقدمة في مختلف مراحل العمليات الجمركية، ابتداءً من استقبال البيانات وتحليلها، مروراً بإدارة المخاطر والفحص الذكي للشحنات، وانتهاءً بإصدار القرارات بصورة آلية مدعومة بخوارزميات الذكاء الاصطناعي. ويهدف هذا النموذج إلى تقليل التدخل البشري في العمليات الروتينية، مع توجيه الموارد البشرية نحو الأنشطة ذات القيمة المضافة، مثل التحليل الاستخباراتي، وإدارة الأزمات، والتخطيط الاستراتيجي، والابتكار المؤسسي. كما يساهم هذا النموذج في تحسين جودة البيانات، ورفع مستويات الامتثال، وتقليل الأخطاء التشغيلية، وتعزيز الشفافية، وتحسين تجربة المتعاملين، وهي جميعها أهداف تتوافق مع مستهدفات رؤية المملكة 2030 وبرنامج الحكومة الرقمية</w:t>
      </w:r>
      <w:r w:rsidRPr="00736D54">
        <w:rPr>
          <w:rFonts w:ascii="Sakkal Majalla" w:hAnsi="Sakkal Majalla" w:cs="Sakkal Majalla"/>
          <w:sz w:val="28"/>
        </w:rPr>
        <w:t>.</w:t>
      </w:r>
    </w:p>
    <w:p w14:paraId="5BAAEE4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وفي هذا السياق، لا يمكن النظر إلى خطط العمل الاستراتيجية باعتبارها وثائق تنظيمية جامدة، وإنما يجب التعامل معها بوصفها منظومة ديناميكية قابلة للتحديث المستمر وفقاً للمتغيرات الداخلية والخارجية. فالاستراتيجية الفاعلة هي تلك التي تمتلك القدرة على التكيف مع التطورات التقنية والاقتصادية والسياسية، وتستند إلى بيانات دقيقة ومؤشرات أداء قابلة للقياس، وآليات متابعة وتقييم مستمرة، بما يسمح بإعادة توجيه الموارد وتصحيح المسار عند الحاجة. ولهذا السبب أصبحت المؤسسات الحكومية الرائدة تعتمد بصورة متزايدة على لوحات القيادة الرقمية</w:t>
      </w:r>
      <w:r w:rsidRPr="00736D54">
        <w:rPr>
          <w:rFonts w:ascii="Sakkal Majalla" w:hAnsi="Sakkal Majalla" w:cs="Sakkal Majalla"/>
          <w:sz w:val="28"/>
        </w:rPr>
        <w:t xml:space="preserve"> (Digital Dashboards)</w:t>
      </w:r>
      <w:r w:rsidRPr="00736D54">
        <w:rPr>
          <w:rFonts w:ascii="Sakkal Majalla" w:hAnsi="Sakkal Majalla" w:cs="Sakkal Majalla"/>
          <w:sz w:val="28"/>
          <w:rtl/>
        </w:rPr>
        <w:t>، ومراكز القيادة والسيطرة، والتحليلات التنبؤية، والذكاء الاصطناعي، لدعم متخذي القرار بالمعلومات الفورية اللازمة لاتخاذ القرارات الاستراتيجية في الوقت المناسب</w:t>
      </w:r>
      <w:r w:rsidRPr="00736D54">
        <w:rPr>
          <w:rFonts w:ascii="Sakkal Majalla" w:hAnsi="Sakkal Majalla" w:cs="Sakkal Majalla"/>
          <w:sz w:val="28"/>
        </w:rPr>
        <w:t>.</w:t>
      </w:r>
    </w:p>
    <w:p w14:paraId="4783857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كما تؤكد الخبرات الدولية أن نجاح أي خطة استراتيجية لا يعتمد فقط على جودة تصميمها، بل يرتبط بدرجة كبيرة بمدى جاهزية البيئة المؤسسية لتنفيذها. وتشمل هذه الجاهزية توافر البنية التحتية الرقمية، وكفاءة الموارد البشرية، ووضوح التشريعات المنظمة، وفعالية منظومة الحوكمة، ومستوى التكامل بين الجهات الحكومية، إضافة إلى وجود ثقافة تنظيمية داعمة للابتكار والتغيير. وقد أظهرت نتائج الدراسة الاستطلاعية وجود عدد من التحديات التي ينبغي معالجتها ضمن الخطة المستقبلية، من أبرزها الحاجة إلى تطوير المهارات الرقمية للعاملين والمتعاملين، وتعزيز التكامل المؤسسي، وتحديث بعض الأطر التشريعية بما يتناسب مع التطورات التقنية الحديثة</w:t>
      </w:r>
      <w:r w:rsidRPr="00736D54">
        <w:rPr>
          <w:rFonts w:ascii="Sakkal Majalla" w:hAnsi="Sakkal Majalla" w:cs="Sakkal Majalla"/>
          <w:sz w:val="28"/>
        </w:rPr>
        <w:t>.</w:t>
      </w:r>
    </w:p>
    <w:p w14:paraId="1BA4DDA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وانطلاقاً من ذلك، يرى الباحث أن الانتقال إلى المرحلة المقبلة من التحول الرقمي داخل هيئة الزكاة والضريبة والجمارك لا ينبغي أن يقتصر على تحديث الأنظمة الإلكترونية أو إدخال تقنيات جديدة فحسب، بل يتطلب إعادة بناء النموذج التشغيلي للهيئة بالكامل وفق فلسفة "التحول المؤسسي الشامل"، التي تدمج بين التكنولوجيا والحوكمة والابتكار ورأس المال البشري ضمن إطار استراتيجي واحد. فالتجارب الدولية الناجحة، مثل سنغافورة وكوريا الجنوبية وهولندا والإمارات العربية المتحدة، تؤكد أن تحقيق الريادة العالمية في المجال الجمركي لم يكن نتيجة الاستثمار في التكنولوجيا وحدها، وإنما جاء نتيجة تكامل السياسات، والتشريعات، والموارد البشرية، والتمويل، والشراكات الدولية، والقيادة المؤسسية، وهو النهج الذي ينبغي أن تتبناه الهيئة خلال المرحلة المقبلة</w:t>
      </w:r>
      <w:r w:rsidRPr="00736D54">
        <w:rPr>
          <w:rFonts w:ascii="Sakkal Majalla" w:hAnsi="Sakkal Majalla" w:cs="Sakkal Majalla"/>
          <w:sz w:val="28"/>
        </w:rPr>
        <w:t>.</w:t>
      </w:r>
    </w:p>
    <w:p w14:paraId="1ED765CC" w14:textId="77777777" w:rsidR="00736D54" w:rsidRDefault="00736D54" w:rsidP="00736D54">
      <w:pPr>
        <w:pStyle w:val="BlockText"/>
        <w:spacing w:line="360" w:lineRule="auto"/>
        <w:jc w:val="lowKashida"/>
        <w:rPr>
          <w:rFonts w:ascii="Sakkal Majalla" w:hAnsi="Sakkal Majalla" w:cs="Sakkal Majalla"/>
          <w:sz w:val="28"/>
          <w:rtl/>
        </w:rPr>
      </w:pPr>
      <w:r w:rsidRPr="00736D54">
        <w:rPr>
          <w:rFonts w:ascii="Sakkal Majalla" w:hAnsi="Sakkal Majalla" w:cs="Sakkal Majalla"/>
          <w:sz w:val="28"/>
          <w:rtl/>
        </w:rPr>
        <w:t>واستناداً إلى ما سبق، يقدم الباحث في هذا الفصل تصوراً استراتيجياً متكاملاً يمتد حتى عام 2030، لا يقتصر على تطوير هيئة الزكاة والضريبة والجمارك فحسب، بل يشمل أيضاً المنظومة الوطنية السعودية، والإطار الإقليمي العربي، والقطاع الخاص، بما يحقق التكامل بين جميع الأطراف ذات العلاقة. وقد صُممت هذه الخطط وفق منهجية علمية تجمع بين نتائج الدراسة الحالية، وأفضل الممارسات الدولية، ومستهدفات رؤية المملكة 2030، ومؤشرات الأداء العالمية، بهدف تقديم خارطة طريق عملية يمكن الاستفادة منها في دعم متخذي القرار، وتعزيز جاهزية الهيئة لمواجهة تحديات المستقبل، وترسيخ مكانة المملكة العربية السعودية باعتبارها إحدى الدول الرائدة عالمياً في مجال الجمارك الذكية والتحول الرقمي المستدام</w:t>
      </w:r>
      <w:r w:rsidRPr="00736D54">
        <w:rPr>
          <w:rFonts w:ascii="Sakkal Majalla" w:hAnsi="Sakkal Majalla" w:cs="Sakkal Majalla"/>
          <w:sz w:val="28"/>
        </w:rPr>
        <w:t>.</w:t>
      </w:r>
    </w:p>
    <w:p w14:paraId="341224C2" w14:textId="77777777" w:rsidR="00736D54" w:rsidRDefault="00736D54" w:rsidP="00736D54">
      <w:pPr>
        <w:pStyle w:val="BlockText"/>
        <w:spacing w:line="360" w:lineRule="auto"/>
        <w:jc w:val="lowKashida"/>
        <w:rPr>
          <w:rFonts w:ascii="Sakkal Majalla" w:hAnsi="Sakkal Majalla" w:cs="Sakkal Majalla"/>
          <w:sz w:val="28"/>
          <w:rtl/>
        </w:rPr>
      </w:pPr>
    </w:p>
    <w:p w14:paraId="50FAE577" w14:textId="77777777" w:rsidR="00736D54" w:rsidRDefault="00736D54" w:rsidP="00736D54">
      <w:pPr>
        <w:pStyle w:val="BlockText"/>
        <w:spacing w:line="360" w:lineRule="auto"/>
        <w:jc w:val="lowKashida"/>
        <w:rPr>
          <w:rFonts w:ascii="Sakkal Majalla" w:hAnsi="Sakkal Majalla" w:cs="Sakkal Majalla"/>
          <w:sz w:val="28"/>
          <w:rtl/>
        </w:rPr>
      </w:pPr>
    </w:p>
    <w:p w14:paraId="4B54C2B1"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lastRenderedPageBreak/>
        <w:t xml:space="preserve">7-1 </w:t>
      </w:r>
      <w:r w:rsidRPr="00736D54">
        <w:rPr>
          <w:rFonts w:ascii="Sakkal Majalla" w:hAnsi="Sakkal Majalla" w:cs="Sakkal Majalla"/>
          <w:b/>
          <w:bCs/>
          <w:sz w:val="28"/>
          <w:rtl/>
        </w:rPr>
        <w:t>خطة العمل الشاملة لهيئة الزكاة والضريبة والجمارك</w:t>
      </w:r>
      <w:r w:rsidRPr="00736D54">
        <w:rPr>
          <w:rFonts w:ascii="Sakkal Majalla" w:hAnsi="Sakkal Majalla" w:cs="Sakkal Majalla"/>
          <w:b/>
          <w:bCs/>
          <w:sz w:val="28"/>
        </w:rPr>
        <w:t xml:space="preserve"> (ZATCA) </w:t>
      </w:r>
      <w:r w:rsidRPr="00736D54">
        <w:rPr>
          <w:rFonts w:ascii="Sakkal Majalla" w:hAnsi="Sakkal Majalla" w:cs="Sakkal Majalla"/>
          <w:b/>
          <w:bCs/>
          <w:sz w:val="28"/>
          <w:rtl/>
        </w:rPr>
        <w:t>للفترة</w:t>
      </w:r>
      <w:r w:rsidRPr="00736D54">
        <w:rPr>
          <w:rFonts w:ascii="Sakkal Majalla" w:hAnsi="Sakkal Majalla" w:cs="Sakkal Majalla"/>
          <w:b/>
          <w:bCs/>
          <w:sz w:val="28"/>
        </w:rPr>
        <w:t xml:space="preserve"> (2025–2030)</w:t>
      </w:r>
    </w:p>
    <w:p w14:paraId="0DBDDD2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الإطار الاستراتيجي العام للخطة</w:t>
      </w:r>
    </w:p>
    <w:p w14:paraId="47D9639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خطة العمل الاستراتيجية المقترحة لهيئة الزكاة والضريبة والجمارك خلال الفترة (2025–2030) خارطة طريق تنفيذية متكاملة تهدف إلى نقل الهيئة من مرحلة التحول الرقمي المتسارع إلى مرحلة الريادة العالمية في إدارة الجمارك الذكية. وقد بُنيت هذه الخطة وفق منهجية استراتيجية تعتمد على الدمج بين نتائج الدراسة الحالية، ومستهدفات رؤية المملكة العربية السعودية 2030، وأفضل الممارسات الصادرة عن منظمة الجمارك العالمية</w:t>
      </w:r>
      <w:r w:rsidRPr="00736D54">
        <w:rPr>
          <w:rFonts w:ascii="Sakkal Majalla" w:hAnsi="Sakkal Majalla" w:cs="Sakkal Majalla"/>
          <w:sz w:val="28"/>
        </w:rPr>
        <w:t xml:space="preserve"> (WCO)</w:t>
      </w:r>
      <w:r w:rsidRPr="00736D54">
        <w:rPr>
          <w:rFonts w:ascii="Sakkal Majalla" w:hAnsi="Sakkal Majalla" w:cs="Sakkal Majalla"/>
          <w:sz w:val="28"/>
          <w:rtl/>
        </w:rPr>
        <w:t>، ومنظمة التجارة العالمية</w:t>
      </w:r>
      <w:r w:rsidRPr="00736D54">
        <w:rPr>
          <w:rFonts w:ascii="Sakkal Majalla" w:hAnsi="Sakkal Majalla" w:cs="Sakkal Majalla"/>
          <w:sz w:val="28"/>
        </w:rPr>
        <w:t xml:space="preserve"> (WTO)</w:t>
      </w:r>
      <w:r w:rsidRPr="00736D54">
        <w:rPr>
          <w:rFonts w:ascii="Sakkal Majalla" w:hAnsi="Sakkal Majalla" w:cs="Sakkal Majalla"/>
          <w:sz w:val="28"/>
          <w:rtl/>
        </w:rPr>
        <w:t>، ومنظمة التعاون الاقتصادي والتنمية</w:t>
      </w:r>
      <w:r w:rsidRPr="00736D54">
        <w:rPr>
          <w:rFonts w:ascii="Sakkal Majalla" w:hAnsi="Sakkal Majalla" w:cs="Sakkal Majalla"/>
          <w:sz w:val="28"/>
        </w:rPr>
        <w:t xml:space="preserve"> (OECD)</w:t>
      </w:r>
      <w:r w:rsidRPr="00736D54">
        <w:rPr>
          <w:rFonts w:ascii="Sakkal Majalla" w:hAnsi="Sakkal Majalla" w:cs="Sakkal Majalla"/>
          <w:sz w:val="28"/>
          <w:rtl/>
        </w:rPr>
        <w:t>، إضافة إلى التجارب الدولية الرائدة في سنغافورة، وكوريا الجنوبية، والإمارات العربية المتحدة، وهولندا، التي استطاعت تحقيق مستويات متقدمة في سرعة الإفراج الجمركي، وكفاءة إدارة المخاطر، والتحول الرقمي، والأمن السيبراني</w:t>
      </w:r>
      <w:r w:rsidRPr="00736D54">
        <w:rPr>
          <w:rFonts w:ascii="Sakkal Majalla" w:hAnsi="Sakkal Majalla" w:cs="Sakkal Majalla"/>
          <w:sz w:val="28"/>
        </w:rPr>
        <w:t>.</w:t>
      </w:r>
    </w:p>
    <w:p w14:paraId="79CDF2C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ويرى الباحث أن المرحلة المقبلة لم تعد تتطلب مجرد تطوير الأنظمة الإلكترونية الحالية، وإنما تستوجب إعادة تصميم النموذج التشغيلي للهيئة بالكامل</w:t>
      </w:r>
      <w:r w:rsidRPr="00736D54">
        <w:rPr>
          <w:rFonts w:ascii="Sakkal Majalla" w:hAnsi="Sakkal Majalla" w:cs="Sakkal Majalla"/>
          <w:sz w:val="28"/>
        </w:rPr>
        <w:t xml:space="preserve"> (Operating Model Transformation)</w:t>
      </w:r>
      <w:r w:rsidRPr="00736D54">
        <w:rPr>
          <w:rFonts w:ascii="Sakkal Majalla" w:hAnsi="Sakkal Majalla" w:cs="Sakkal Majalla"/>
          <w:sz w:val="28"/>
          <w:rtl/>
        </w:rPr>
        <w:t>، بحيث تصبح جميع العمليات الجمركية والضريبية والرقابية مدفوعة بالبيانات</w:t>
      </w:r>
      <w:r w:rsidRPr="00736D54">
        <w:rPr>
          <w:rFonts w:ascii="Sakkal Majalla" w:hAnsi="Sakkal Majalla" w:cs="Sakkal Majalla"/>
          <w:sz w:val="28"/>
        </w:rPr>
        <w:t xml:space="preserve"> (Data-Driven)</w:t>
      </w:r>
      <w:r w:rsidRPr="00736D54">
        <w:rPr>
          <w:rFonts w:ascii="Sakkal Majalla" w:hAnsi="Sakkal Majalla" w:cs="Sakkal Majalla"/>
          <w:sz w:val="28"/>
          <w:rtl/>
        </w:rPr>
        <w:t>، وتعتمد بصورة رئيسة على الذكاء الاصطناعي، والتحليلات التنبؤية، والحوسبة السحابية، وإنترنت الأشياء، وسلاسل الكتل، بما يحقق التكامل الكامل بين الأمن الوطني، وتيسير التجارة، والاستدامة الاقتصادية، ويجعل الهيئة قادرة على الاستجابة الفورية للمتغيرات العالمية</w:t>
      </w:r>
      <w:r w:rsidRPr="00736D54">
        <w:rPr>
          <w:rFonts w:ascii="Sakkal Majalla" w:hAnsi="Sakkal Majalla" w:cs="Sakkal Majalla"/>
          <w:sz w:val="28"/>
        </w:rPr>
        <w:t>.</w:t>
      </w:r>
    </w:p>
    <w:p w14:paraId="6CE7266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وتقوم هذه الخطة على فلسفة إدارية حديثة مفادها أن نجاح المؤسسات الحكومية في العقد القادم لن يقاس بعدد الخدمات الرقمية التي تقدمها، وإنما بقدرتها على اتخاذ القرار الذكي بصورة آنية، واستباق المخاطر قبل حدوثها، وتحويل البيانات الضخمة إلى قيمة مضافة تدعم الاقتصاد الوطني، وترفع جودة الخدمات الحكومية، وتعزز ثقة المستثمرين والقطاع الخاص في البيئة التنظيمية للدولة</w:t>
      </w:r>
      <w:r w:rsidRPr="00736D54">
        <w:rPr>
          <w:rFonts w:ascii="Sakkal Majalla" w:hAnsi="Sakkal Majalla" w:cs="Sakkal Majalla"/>
          <w:sz w:val="28"/>
        </w:rPr>
        <w:t>.</w:t>
      </w:r>
    </w:p>
    <w:p w14:paraId="3AC3CCAA"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أولاً: الأسس الفكرية التي بنيت عليها الخطة</w:t>
      </w:r>
    </w:p>
    <w:p w14:paraId="048F7BE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اعتمد الباحث في بناء الخطة الاستراتيجية على مجموعة من المرتكزات العلمية التي تضمن قابلية التطبيق والاستدامة، ويمكن عرضها فيما يأتي</w:t>
      </w:r>
      <w:r w:rsidRPr="00736D54">
        <w:rPr>
          <w:rFonts w:ascii="Sakkal Majalla" w:hAnsi="Sakkal Majalla" w:cs="Sakkal Majalla"/>
          <w:sz w:val="28"/>
        </w:rPr>
        <w:t>:</w:t>
      </w:r>
    </w:p>
    <w:p w14:paraId="0F907D0C"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1- </w:t>
      </w:r>
      <w:r w:rsidRPr="00736D54">
        <w:rPr>
          <w:rFonts w:ascii="Sakkal Majalla" w:hAnsi="Sakkal Majalla" w:cs="Sakkal Majalla"/>
          <w:b/>
          <w:bCs/>
          <w:sz w:val="28"/>
          <w:rtl/>
        </w:rPr>
        <w:t>التحول من الحكومة الرقمية إلى الحكومة الذكية</w:t>
      </w:r>
    </w:p>
    <w:p w14:paraId="3519F71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تركز المرحلة الحالية في معظم المؤسسات الحكومية على رقمنة الإجراءات التقليدية، بينما تستهدف الخطة المقترحة الانتقال إلى نموذج أكثر تطوراً يعرف بالحكومة الذكية، والذي يعتمد على اتخاذ القرارات بصورة آلية اعتماداً على البيانات الفورية، بحيث تصبح الأنظمة قادرة على التعلم المستمر وتحسين أدائها ذاتياً دون الحاجة إلى تدخل بشري مباشر في معظم العمليات الروتينية</w:t>
      </w:r>
      <w:r w:rsidRPr="00736D54">
        <w:rPr>
          <w:rFonts w:ascii="Sakkal Majalla" w:hAnsi="Sakkal Majalla" w:cs="Sakkal Majalla"/>
          <w:sz w:val="28"/>
        </w:rPr>
        <w:t>.</w:t>
      </w:r>
    </w:p>
    <w:p w14:paraId="402852D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ويؤكد الباحث أن هذا التحول يمثل نقلة نوعية في فلسفة الإدارة الحكومية؛ إذ ينتقل دور الموظف من تنفيذ الإجراءات إلى الإشراف على الأنظمة الذكية وتحليل نتائجها واتخاذ القرارات الاستراتيجية، وهو ما يؤدي إلى رفع الإنتاجية وتحسين جودة الخدمات الحكومية بصورة كبيرة</w:t>
      </w:r>
      <w:r w:rsidRPr="00736D54">
        <w:rPr>
          <w:rFonts w:ascii="Sakkal Majalla" w:hAnsi="Sakkal Majalla" w:cs="Sakkal Majalla"/>
          <w:sz w:val="28"/>
        </w:rPr>
        <w:t>.</w:t>
      </w:r>
    </w:p>
    <w:p w14:paraId="009B7E4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2- </w:t>
      </w:r>
      <w:r w:rsidRPr="00736D54">
        <w:rPr>
          <w:rFonts w:ascii="Sakkal Majalla" w:hAnsi="Sakkal Majalla" w:cs="Sakkal Majalla"/>
          <w:b/>
          <w:bCs/>
          <w:sz w:val="28"/>
          <w:rtl/>
        </w:rPr>
        <w:t>الأمن الرقمي قبل الرقمنة</w:t>
      </w:r>
    </w:p>
    <w:p w14:paraId="6849578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رغم أن التحول الرقمي يحقق فوائد كبيرة في تسهيل الإجراءات الحكومية، إلا أنه يرفع في الوقت نفسه من حجم المخاطر السيبرانية التي تواجه المؤسسات العامة. ولذلك تقوم الخطة المقترحة على مبدأ "الأمن أولاً"، بحيث تصبح جميع المبادرات الرقمية الجديدة مصممة منذ البداية وفق مفهوم</w:t>
      </w:r>
      <w:r w:rsidRPr="00736D54">
        <w:rPr>
          <w:rFonts w:ascii="Sakkal Majalla" w:hAnsi="Sakkal Majalla" w:cs="Sakkal Majalla"/>
          <w:sz w:val="28"/>
        </w:rPr>
        <w:t xml:space="preserve"> (Security by Design)</w:t>
      </w:r>
      <w:r w:rsidRPr="00736D54">
        <w:rPr>
          <w:rFonts w:ascii="Sakkal Majalla" w:hAnsi="Sakkal Majalla" w:cs="Sakkal Majalla"/>
          <w:sz w:val="28"/>
          <w:rtl/>
        </w:rPr>
        <w:t>، وليس إضافة وسائل الحماية بعد تشغيل الأنظمة</w:t>
      </w:r>
      <w:r w:rsidRPr="00736D54">
        <w:rPr>
          <w:rFonts w:ascii="Sakkal Majalla" w:hAnsi="Sakkal Majalla" w:cs="Sakkal Majalla"/>
          <w:sz w:val="28"/>
        </w:rPr>
        <w:t>.</w:t>
      </w:r>
    </w:p>
    <w:p w14:paraId="60AF535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ويقترح الباحث اعتماد نموذج الأمن الصفري</w:t>
      </w:r>
      <w:r w:rsidRPr="00736D54">
        <w:rPr>
          <w:rFonts w:ascii="Sakkal Majalla" w:hAnsi="Sakkal Majalla" w:cs="Sakkal Majalla"/>
          <w:sz w:val="28"/>
        </w:rPr>
        <w:t xml:space="preserve"> (Zero Trust Architecture)</w:t>
      </w:r>
      <w:r w:rsidRPr="00736D54">
        <w:rPr>
          <w:rFonts w:ascii="Sakkal Majalla" w:hAnsi="Sakkal Majalla" w:cs="Sakkal Majalla"/>
          <w:sz w:val="28"/>
          <w:rtl/>
        </w:rPr>
        <w:t>، بحيث يتم التحقق من جميع المستخدمين والأجهزة والأنظمة بصورة مستمرة، وعدم منح أي صلاحيات إلا وفق مستويات دقيقة من التحقق وإدارة الهوية الرقمية، الأمر الذي يقلل بصورة كبيرة من احتمالات الاختراقات الإلكترونية وتسريب البيانات الحساسة</w:t>
      </w:r>
      <w:r w:rsidRPr="00736D54">
        <w:rPr>
          <w:rFonts w:ascii="Sakkal Majalla" w:hAnsi="Sakkal Majalla" w:cs="Sakkal Majalla"/>
          <w:sz w:val="28"/>
        </w:rPr>
        <w:t>.</w:t>
      </w:r>
    </w:p>
    <w:p w14:paraId="1C447491"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3- </w:t>
      </w:r>
      <w:r w:rsidRPr="00736D54">
        <w:rPr>
          <w:rFonts w:ascii="Sakkal Majalla" w:hAnsi="Sakkal Majalla" w:cs="Sakkal Majalla"/>
          <w:b/>
          <w:bCs/>
          <w:sz w:val="28"/>
          <w:rtl/>
        </w:rPr>
        <w:t>اتخاذ القرار المبني على البيانات</w:t>
      </w:r>
    </w:p>
    <w:p w14:paraId="093899D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أصبحت البيانات تمثل المورد الاستراتيجي الأكثر أهمية في المؤسسات الحديثة، ولذلك تعتمد الخطة على إنشاء منظومة موحدة لإدارة البيانات</w:t>
      </w:r>
      <w:r w:rsidRPr="00736D54">
        <w:rPr>
          <w:rFonts w:ascii="Sakkal Majalla" w:hAnsi="Sakkal Majalla" w:cs="Sakkal Majalla"/>
          <w:sz w:val="28"/>
        </w:rPr>
        <w:t xml:space="preserve"> (Unified Data Platform)</w:t>
      </w:r>
      <w:r w:rsidRPr="00736D54">
        <w:rPr>
          <w:rFonts w:ascii="Sakkal Majalla" w:hAnsi="Sakkal Majalla" w:cs="Sakkal Majalla"/>
          <w:sz w:val="28"/>
          <w:rtl/>
        </w:rPr>
        <w:t>، تجمع البيانات الجمركية والضريبية والمالية واللوجستية في منصة واحدة، بما يسمح بتحليلها لحظياً باستخدام تقنيات الذكاء الاصطناعي والتعلم الآلي</w:t>
      </w:r>
      <w:r w:rsidRPr="00736D54">
        <w:rPr>
          <w:rFonts w:ascii="Sakkal Majalla" w:hAnsi="Sakkal Majalla" w:cs="Sakkal Majalla"/>
          <w:sz w:val="28"/>
        </w:rPr>
        <w:t>.</w:t>
      </w:r>
    </w:p>
    <w:p w14:paraId="5B73C685"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وسيمكن ذلك الهيئة من التنبؤ بمحاولات التهريب قبل وقوعها، واكتشاف حالات التهرب الضريبي بصورة استباقية، وتحليل حركة التجارة الدولية، وتوقع الاختناقات التشغيلية في المنافذ الجمركية، مما يرفع كفاءة اتخاذ القرار بصورة غير مسبوقة</w:t>
      </w:r>
      <w:r w:rsidRPr="00736D54">
        <w:rPr>
          <w:rFonts w:ascii="Sakkal Majalla" w:hAnsi="Sakkal Majalla" w:cs="Sakkal Majalla"/>
          <w:sz w:val="28"/>
        </w:rPr>
        <w:t>.</w:t>
      </w:r>
    </w:p>
    <w:p w14:paraId="544FD33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lastRenderedPageBreak/>
        <w:t xml:space="preserve">4- </w:t>
      </w:r>
      <w:r w:rsidRPr="00736D54">
        <w:rPr>
          <w:rFonts w:ascii="Sakkal Majalla" w:hAnsi="Sakkal Majalla" w:cs="Sakkal Majalla"/>
          <w:b/>
          <w:bCs/>
          <w:sz w:val="28"/>
          <w:rtl/>
        </w:rPr>
        <w:t>التكامل المؤسسي الشامل</w:t>
      </w:r>
    </w:p>
    <w:p w14:paraId="1567F88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تؤكد نتائج الدراسة الحالية أن نجاح التحول الرقمي يرتبط بدرجة كبيرة بقدرة الجهات الحكومية على تبادل البيانات بصورة آمنة وسريعة، حيث أظهرت النتائج وجود حاجة إلى تعزيز التكامل المؤسسي بين الجهات المختلفة بما يدعم سرعة الإجراءات وجودة الخدمات</w:t>
      </w:r>
      <w:r w:rsidRPr="00736D54">
        <w:rPr>
          <w:rFonts w:ascii="Sakkal Majalla" w:hAnsi="Sakkal Majalla" w:cs="Sakkal Majalla"/>
          <w:sz w:val="28"/>
        </w:rPr>
        <w:t>.</w:t>
      </w:r>
    </w:p>
    <w:p w14:paraId="50B6D27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وانطلاقاً من ذلك، تقترح الخطة إنشاء منظومة تكامل حكومي موحدة تعتمد على واجهات البرمجة المفتوحة</w:t>
      </w:r>
      <w:r w:rsidRPr="00736D54">
        <w:rPr>
          <w:rFonts w:ascii="Sakkal Majalla" w:hAnsi="Sakkal Majalla" w:cs="Sakkal Majalla"/>
          <w:sz w:val="28"/>
        </w:rPr>
        <w:t xml:space="preserve"> (Government APIs)</w:t>
      </w:r>
      <w:r w:rsidRPr="00736D54">
        <w:rPr>
          <w:rFonts w:ascii="Sakkal Majalla" w:hAnsi="Sakkal Majalla" w:cs="Sakkal Majalla"/>
          <w:sz w:val="28"/>
          <w:rtl/>
        </w:rPr>
        <w:t>، بحيث يتم ربط جميع الجهات ذات العلاقة بمنصة الهيئة بصورة مباشرة، الأمر الذي يلغي تكرار إدخال البيانات، ويخفض زمن الإجراءات، ويرفع دقة المعلومات المتبادلة</w:t>
      </w:r>
      <w:r w:rsidRPr="00736D54">
        <w:rPr>
          <w:rFonts w:ascii="Sakkal Majalla" w:hAnsi="Sakkal Majalla" w:cs="Sakkal Majalla"/>
          <w:sz w:val="28"/>
        </w:rPr>
        <w:t>.</w:t>
      </w:r>
    </w:p>
    <w:p w14:paraId="167CC6B0"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ثانياً: المبادئ الحاكمة لتنفيذ الخطة</w:t>
      </w:r>
    </w:p>
    <w:p w14:paraId="4BDF0C21"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يرى الباحث أن نجاح الخطة المقترحة يعتمد على الالتزام بمجموعة من المبادئ الإدارية والتنظيمية، من أهمها</w:t>
      </w:r>
      <w:r w:rsidRPr="00736D54">
        <w:rPr>
          <w:rFonts w:ascii="Sakkal Majalla" w:hAnsi="Sakkal Majalla" w:cs="Sakkal Majalla"/>
          <w:sz w:val="28"/>
        </w:rPr>
        <w:t>:</w:t>
      </w:r>
    </w:p>
    <w:p w14:paraId="46E11EB0"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الأول: المرونة الاستراتيجية</w:t>
      </w:r>
    </w:p>
    <w:p w14:paraId="4563117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يجب أن تكون الخطة قابلة للتحديث بصورة دورية وفق المتغيرات الاقتصادية والتقنية، بحيث تتم مراجعة المبادرات والمؤشرات كل ستة أشهر، مع إمكانية تعديل الأولويات وفقاً للظروف المحلية والعالمية</w:t>
      </w:r>
      <w:r w:rsidRPr="00736D54">
        <w:rPr>
          <w:rFonts w:ascii="Sakkal Majalla" w:hAnsi="Sakkal Majalla" w:cs="Sakkal Majalla"/>
          <w:sz w:val="28"/>
        </w:rPr>
        <w:t>.</w:t>
      </w:r>
    </w:p>
    <w:p w14:paraId="04A1DFA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الثاني: الشراكة المؤسسية</w:t>
      </w:r>
    </w:p>
    <w:p w14:paraId="510E6A01"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لا يمكن لأي جهة حكومية تحقيق التحول الرقمي بصورة منفردة، ولذلك تعتمد الخطة على بناء شراكات استراتيجية مع الوزارات والهيئات الحكومية، والقطاع الخاص، والجامعات، ومراكز البحث العلمي، والمنظمات الدولية، وشركات التكنولوجيا العالمية</w:t>
      </w:r>
      <w:r w:rsidRPr="00736D54">
        <w:rPr>
          <w:rFonts w:ascii="Sakkal Majalla" w:hAnsi="Sakkal Majalla" w:cs="Sakkal Majalla"/>
          <w:sz w:val="28"/>
        </w:rPr>
        <w:t>.</w:t>
      </w:r>
    </w:p>
    <w:p w14:paraId="31057BC2"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الثالث: الابتكار المستمر</w:t>
      </w:r>
    </w:p>
    <w:p w14:paraId="3A69A1A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يقترح الباحث إنشاء برنامج دائم للابتكار المؤسسي داخل الهيئة، يسمح للموظفين بتقديم المبادرات والأفكار التطويرية بصورة مستمرة، مع تخصيص ميزانية مستقلة لتمويل المشروعات الابتكارية ذات القيمة المضافة</w:t>
      </w:r>
      <w:r w:rsidRPr="00736D54">
        <w:rPr>
          <w:rFonts w:ascii="Sakkal Majalla" w:hAnsi="Sakkal Majalla" w:cs="Sakkal Majalla"/>
          <w:sz w:val="28"/>
        </w:rPr>
        <w:t>.</w:t>
      </w:r>
    </w:p>
    <w:p w14:paraId="016C991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الرابع: الاستدامة المالية</w:t>
      </w:r>
    </w:p>
    <w:p w14:paraId="3E3A752E"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ينبغي أن ترتبط جميع المبادرات الرقمية بتحليل اقتصادي دقيق يوضح تكلفة التنفيذ والعائد المتوقع، بحيث يتم إعطاء الأولوية للمشروعات التي تحقق أعلى قيمة مضافة مقابل التكلفة</w:t>
      </w:r>
      <w:r w:rsidRPr="00736D54">
        <w:rPr>
          <w:rFonts w:ascii="Sakkal Majalla" w:hAnsi="Sakkal Majalla" w:cs="Sakkal Majalla"/>
          <w:sz w:val="28"/>
        </w:rPr>
        <w:t>.</w:t>
      </w:r>
    </w:p>
    <w:p w14:paraId="63AE2D6B"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lastRenderedPageBreak/>
        <w:t>المبدأ الخامس: الحوكمة والشفافية</w:t>
      </w:r>
    </w:p>
    <w:p w14:paraId="2C1140A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تخضع جميع المبادرات لمتابعة دورية من خلال مؤشرات أداء كمية، وتقارير مرحلية، ولوحات قيادة رقمية، بما يضمن وضوح المسؤوليات، وسرعة اكتشاف الانحرافات، واتخاذ الإجراءات التصحيحية في الوقت المناسب</w:t>
      </w:r>
      <w:r w:rsidRPr="00736D54">
        <w:rPr>
          <w:rFonts w:ascii="Sakkal Majalla" w:hAnsi="Sakkal Majalla" w:cs="Sakkal Majalla"/>
          <w:sz w:val="28"/>
        </w:rPr>
        <w:t>.</w:t>
      </w:r>
    </w:p>
    <w:p w14:paraId="3163198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ثالثاً: منهجية تقسيم الخطة إلى ثلاث مراحل</w:t>
      </w:r>
    </w:p>
    <w:p w14:paraId="41D8438A"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اعتمد الباحث تقسيم الخطة إلى ثلاث مراحل رئيسة، ولم يكن هذا التقسيم زمنياً فقط، وإنما يعكس نضج التحول المؤسسي وانتقال الهيئة من مستوى إلى آخر</w:t>
      </w:r>
      <w:r w:rsidRPr="00736D54">
        <w:rPr>
          <w:rFonts w:ascii="Sakkal Majalla" w:hAnsi="Sakkal Majalla" w:cs="Sakkal Majalla"/>
          <w:sz w:val="28"/>
        </w:rPr>
        <w:t>.</w:t>
      </w:r>
    </w:p>
    <w:p w14:paraId="20A3CEA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الأولى (2025–2026): مرحلة التأسيس المتقدم</w:t>
      </w:r>
    </w:p>
    <w:p w14:paraId="473B2452"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تهدف هذه المرحلة إلى بناء البنية الأساسية التي ستقوم عليها جميع مراحل التحول اللاحقة. ويشمل ذلك تحديث البنية التحتية الرقمية، وتعزيز الأمن السيبراني، ورفع جاهزية البيانات، وتوسيع نطاق الفوترة الإلكترونية، وتطوير منصة "فسح"، وتحديث مراكز البيانات، ورفع جاهزية الكوادر البشرية</w:t>
      </w:r>
      <w:r w:rsidRPr="00736D54">
        <w:rPr>
          <w:rFonts w:ascii="Sakkal Majalla" w:hAnsi="Sakkal Majalla" w:cs="Sakkal Majalla"/>
          <w:sz w:val="28"/>
        </w:rPr>
        <w:t>.</w:t>
      </w:r>
    </w:p>
    <w:p w14:paraId="42ED473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ويرى الباحث أن نجاح هذه المرحلة يمثل الشرط الأساسي لنجاح جميع المراحل التالية؛ إذ إن أي قصور في البنية التحتية أو جودة البيانات سينعكس سلباً على كفاءة تطبيقات الذكاء الاصطناعي والتحليلات التنبؤية مستقبلاً</w:t>
      </w:r>
      <w:r w:rsidRPr="00736D54">
        <w:rPr>
          <w:rFonts w:ascii="Sakkal Majalla" w:hAnsi="Sakkal Majalla" w:cs="Sakkal Majalla"/>
          <w:sz w:val="28"/>
        </w:rPr>
        <w:t>.</w:t>
      </w:r>
    </w:p>
    <w:p w14:paraId="437C208B"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الثانية (2026–2027): مرحلة التحول الذكي</w:t>
      </w:r>
    </w:p>
    <w:p w14:paraId="0BF943E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بعد اكتمال البنية التحتية، تنتقل الهيئة إلى مرحلة توظيف الذكاء الاصطناعي بصورة شاملة في مختلف العمليات التشغيلية، بحيث تصبح معظم إجراءات التخليص الجمركي وإدارة المخاطر وتحليل البيانات وإصدار القرارات مدعومة بخوارزميات التعلم الآلي والتحليلات التنبؤية</w:t>
      </w:r>
      <w:r w:rsidRPr="00736D54">
        <w:rPr>
          <w:rFonts w:ascii="Sakkal Majalla" w:hAnsi="Sakkal Majalla" w:cs="Sakkal Majalla"/>
          <w:sz w:val="28"/>
        </w:rPr>
        <w:t>.</w:t>
      </w:r>
    </w:p>
    <w:p w14:paraId="74AF7CE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كما تتضمن هذه المرحلة توسيع التكامل الإقليمي مع دول مجلس التعاون الخليجي، وإنشاء منظومة بيانات جمركية مشتركة، وربط الأنظمة الوطنية بالمنصات الدولية بما يعزز سرعة انتقال البضائع ويخفض تكاليف التجارة</w:t>
      </w:r>
      <w:r w:rsidRPr="00736D54">
        <w:rPr>
          <w:rFonts w:ascii="Sakkal Majalla" w:hAnsi="Sakkal Majalla" w:cs="Sakkal Majalla"/>
          <w:sz w:val="28"/>
        </w:rPr>
        <w:t>.</w:t>
      </w:r>
    </w:p>
    <w:p w14:paraId="25B1673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الثالثة (2027–2030): مرحلة الريادة العالمية</w:t>
      </w:r>
    </w:p>
    <w:p w14:paraId="21D2AC5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هذه المرحلة قمة النضج المؤسسي، حيث تتحول الهيئة من جهة تطبق أفضل الممارسات إلى جهة تصنع الممارسات العالمية، وتصبح مرجعاً دولياً في الجمارك الذكية والتحول الرقمي</w:t>
      </w:r>
      <w:r w:rsidRPr="00736D54">
        <w:rPr>
          <w:rFonts w:ascii="Sakkal Majalla" w:hAnsi="Sakkal Majalla" w:cs="Sakkal Majalla"/>
          <w:sz w:val="28"/>
        </w:rPr>
        <w:t>.</w:t>
      </w:r>
    </w:p>
    <w:p w14:paraId="2A2B226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وتستهدف هذه المرحلة إدراج الهيئة ضمن أفضل الإدارات الجمركية عالمياً، وتحقيق مراكز متقدمة في المؤشرات الدولية، وتأسيس أكاديمية دولية للجمارك الذكية، وتصدير الخبرة السعودية إلى الدول الأخرى، مع بناء منظومة متكاملة للتجارة الخضراء والامتثال البيئي والحوكمة الرقمية</w:t>
      </w:r>
      <w:r w:rsidRPr="00736D54">
        <w:rPr>
          <w:rFonts w:ascii="Sakkal Majalla" w:hAnsi="Sakkal Majalla" w:cs="Sakkal Majalla"/>
          <w:sz w:val="28"/>
        </w:rPr>
        <w:t>.</w:t>
      </w:r>
    </w:p>
    <w:p w14:paraId="014EEEE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رأي الباحث</w:t>
      </w:r>
    </w:p>
    <w:p w14:paraId="4C2F586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يرى الباحث أن نجاح هذه الخطة لا يعتمد على حجم الاستثمارات المالية أو تطور التقنيات المستخدمة فحسب، بل يعتمد بصورة أكبر على وجود قيادة استراتيجية تمتلك رؤية واضحة، وثقافة مؤسسية تؤمن بالتغيير، ونظام حوكمة قادر على المتابعة والمساءلة، وموارد بشرية مؤهلة للتعامل مع التقنيات الحديثة. كما أن التحول الرقمي الحقيقي لا يتحقق بمجرد رقمنة الإجراءات، وإنما يتحقق عندما تصبح البيانات هي المحرك الرئيس للقرارات، ويصبح الابتكار جزءاً من الثقافة التنظيمية اليومية، وتتحول الهيئة إلى مؤسسة تتعلم باستمرار وتطوّر ذاتها بصورة استباقية. ومن ثم، فإن المراحل الثلاث المقترحة تمثل مساراً متكاملاً يبدأ ببناء القدرات، ثم توظيفها بكفاءة، ثم الوصول إلى الريادة العالمية، بما يعزز مكانة المملكة العربية السعودية كمركز عالمي للتجارة والخدمات اللوجستية، ويحقق مستهدفات رؤية 2030 في بناء اقتصاد رقمي تنافسي ومستدام</w:t>
      </w:r>
      <w:r w:rsidRPr="00736D54">
        <w:rPr>
          <w:rFonts w:ascii="Sakkal Majalla" w:hAnsi="Sakkal Majalla" w:cs="Sakkal Majalla"/>
          <w:sz w:val="28"/>
        </w:rPr>
        <w:t>.</w:t>
      </w:r>
    </w:p>
    <w:p w14:paraId="44BEE6F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ممتاز، وهذا ما كنت أنوي فعله. في الحقيقة </w:t>
      </w:r>
      <w:r w:rsidRPr="000E4B65">
        <w:rPr>
          <w:rFonts w:ascii="Sakkal Majalla" w:hAnsi="Sakkal Majalla" w:cs="Sakkal Majalla"/>
          <w:b/>
          <w:bCs/>
          <w:sz w:val="28"/>
          <w:rtl/>
        </w:rPr>
        <w:t>لا أريد أن تكون الرسالة عبارة عن جداول عادية</w:t>
      </w:r>
      <w:r w:rsidRPr="000E4B65">
        <w:rPr>
          <w:rFonts w:ascii="Sakkal Majalla" w:hAnsi="Sakkal Majalla" w:cs="Sakkal Majalla"/>
          <w:sz w:val="28"/>
          <w:rtl/>
        </w:rPr>
        <w:t xml:space="preserve">، بل أريد أن تبدو كأنها تقرير استراتيجي صادر من إحدى شركات الاستشارات العالمية مثل </w:t>
      </w:r>
      <w:r w:rsidRPr="000E4B65">
        <w:rPr>
          <w:rFonts w:ascii="Sakkal Majalla" w:hAnsi="Sakkal Majalla" w:cs="Sakkal Majalla"/>
          <w:b/>
          <w:bCs/>
          <w:sz w:val="28"/>
        </w:rPr>
        <w:t>McKinsey</w:t>
      </w:r>
      <w:r w:rsidRPr="000E4B65">
        <w:rPr>
          <w:rFonts w:ascii="Sakkal Majalla" w:hAnsi="Sakkal Majalla" w:cs="Sakkal Majalla"/>
          <w:sz w:val="28"/>
        </w:rPr>
        <w:t xml:space="preserve"> </w:t>
      </w:r>
      <w:r w:rsidRPr="000E4B65">
        <w:rPr>
          <w:rFonts w:ascii="Sakkal Majalla" w:hAnsi="Sakkal Majalla" w:cs="Sakkal Majalla"/>
          <w:sz w:val="28"/>
          <w:rtl/>
        </w:rPr>
        <w:t xml:space="preserve">أو </w:t>
      </w:r>
      <w:r w:rsidRPr="000E4B65">
        <w:rPr>
          <w:rFonts w:ascii="Sakkal Majalla" w:hAnsi="Sakkal Majalla" w:cs="Sakkal Majalla"/>
          <w:b/>
          <w:bCs/>
          <w:sz w:val="28"/>
        </w:rPr>
        <w:t>PwC</w:t>
      </w:r>
      <w:r w:rsidRPr="000E4B65">
        <w:rPr>
          <w:rFonts w:ascii="Sakkal Majalla" w:hAnsi="Sakkal Majalla" w:cs="Sakkal Majalla"/>
          <w:sz w:val="28"/>
        </w:rPr>
        <w:t xml:space="preserve"> </w:t>
      </w:r>
      <w:r w:rsidRPr="000E4B65">
        <w:rPr>
          <w:rFonts w:ascii="Sakkal Majalla" w:hAnsi="Sakkal Majalla" w:cs="Sakkal Majalla"/>
          <w:sz w:val="28"/>
          <w:rtl/>
        </w:rPr>
        <w:t xml:space="preserve">أو </w:t>
      </w:r>
      <w:r w:rsidRPr="000E4B65">
        <w:rPr>
          <w:rFonts w:ascii="Sakkal Majalla" w:hAnsi="Sakkal Majalla" w:cs="Sakkal Majalla"/>
          <w:b/>
          <w:bCs/>
          <w:sz w:val="28"/>
        </w:rPr>
        <w:t>Deloitte</w:t>
      </w:r>
      <w:r w:rsidRPr="000E4B65">
        <w:rPr>
          <w:rFonts w:ascii="Sakkal Majalla" w:hAnsi="Sakkal Majalla" w:cs="Sakkal Majalla"/>
          <w:sz w:val="28"/>
          <w:rtl/>
        </w:rPr>
        <w:t>، ولكن بصياغة أكاديمية تناسب رسالة دكتوراه</w:t>
      </w:r>
      <w:r w:rsidRPr="000E4B65">
        <w:rPr>
          <w:rFonts w:ascii="Sakkal Majalla" w:hAnsi="Sakkal Majalla" w:cs="Sakkal Majalla"/>
          <w:sz w:val="28"/>
        </w:rPr>
        <w:t>.</w:t>
      </w:r>
    </w:p>
    <w:p w14:paraId="6AB04D4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سأبدأ الآن بالجزء الخاص بالمرحلة الأولى، وسأضيف جداول احترافية يمكن نسخها مباشرة إلى</w:t>
      </w:r>
      <w:r w:rsidRPr="000E4B65">
        <w:rPr>
          <w:rFonts w:ascii="Sakkal Majalla" w:hAnsi="Sakkal Majalla" w:cs="Sakkal Majalla"/>
          <w:sz w:val="28"/>
        </w:rPr>
        <w:t xml:space="preserve"> Word.</w:t>
      </w:r>
    </w:p>
    <w:p w14:paraId="2C5EAB3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Pr>
        <w:t xml:space="preserve">7-1-1 </w:t>
      </w:r>
      <w:r w:rsidRPr="000E4B65">
        <w:rPr>
          <w:rFonts w:ascii="Sakkal Majalla" w:hAnsi="Sakkal Majalla" w:cs="Sakkal Majalla"/>
          <w:b/>
          <w:bCs/>
          <w:sz w:val="28"/>
          <w:rtl/>
        </w:rPr>
        <w:t>المرحلة الأولى</w:t>
      </w:r>
      <w:r w:rsidRPr="000E4B65">
        <w:rPr>
          <w:rFonts w:ascii="Sakkal Majalla" w:hAnsi="Sakkal Majalla" w:cs="Sakkal Majalla"/>
          <w:b/>
          <w:bCs/>
          <w:sz w:val="28"/>
        </w:rPr>
        <w:t xml:space="preserve"> (2025–2026)</w:t>
      </w:r>
    </w:p>
    <w:p w14:paraId="46DA082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مرحلة التأسيس المتقدم</w:t>
      </w:r>
      <w:r w:rsidRPr="000E4B65">
        <w:rPr>
          <w:rFonts w:ascii="Sakkal Majalla" w:hAnsi="Sakkal Majalla" w:cs="Sakkal Majalla"/>
          <w:b/>
          <w:bCs/>
          <w:sz w:val="28"/>
        </w:rPr>
        <w:t xml:space="preserve"> (Advanced Digital Foundation)</w:t>
      </w:r>
    </w:p>
    <w:p w14:paraId="3578D24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أولاً: فلسفة المرحلة</w:t>
      </w:r>
    </w:p>
    <w:p w14:paraId="7728F55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تمثل المرحلة الأولى حجر الأساس الذي تُبنى عليه جميع مراحل التحول اللاحقة، إذ إن نجاح أي مشروع للتحول الرقمي يعتمد بدرجة كبيرة على جاهزية البنية التحتية الرقمية، وجودة البيانات، ومستوى الأمن السيبراني، وكفاءة الموارد البشرية، ومدى تكامل الأنظمة الحكومية. لذلك صُممت هذه المرحلة لتكون مرحلة تأسيس مؤسسي شامل، لا يقتصر </w:t>
      </w:r>
      <w:r w:rsidRPr="000E4B65">
        <w:rPr>
          <w:rFonts w:ascii="Sakkal Majalla" w:hAnsi="Sakkal Majalla" w:cs="Sakkal Majalla"/>
          <w:sz w:val="28"/>
          <w:rtl/>
        </w:rPr>
        <w:lastRenderedPageBreak/>
        <w:t>على تحديث الأنظمة التقنية، وإنما يمتد ليشمل إعادة هيكلة العمليات التشغيلية، وتطوير بيئة العمل الرقمية، وبناء ثقافة مؤسسية قائمة على الابتكار والحوكمة وإدارة البيانات</w:t>
      </w:r>
      <w:r w:rsidRPr="000E4B65">
        <w:rPr>
          <w:rFonts w:ascii="Sakkal Majalla" w:hAnsi="Sakkal Majalla" w:cs="Sakkal Majalla"/>
          <w:sz w:val="28"/>
        </w:rPr>
        <w:t>.</w:t>
      </w:r>
    </w:p>
    <w:p w14:paraId="7959FAB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ويرى الباحث أن كثيراً من مشاريع التحول الرقمي في المؤسسات الحكومية تتعثر بسبب البدء في تطبيق تقنيات الذكاء الاصطناعي قبل اكتمال البنية الأساسية للبيانات والأنظمة، وهو ما يؤدي إلى انخفاض كفاءة النماذج الذكية، وارتفاع معدلات الأخطاء، وضعف الثقة في نتائجها. ومن ثم فإن هذه المرحلة تمثل استثماراً استراتيجياً طويل الأجل يهدف إلى تأسيس بيئة رقمية ناضجة قادرة على استيعاب التقنيات المستقبلية بكفاءة عالية</w:t>
      </w:r>
      <w:r w:rsidRPr="000E4B65">
        <w:rPr>
          <w:rFonts w:ascii="Sakkal Majalla" w:hAnsi="Sakkal Majalla" w:cs="Sakkal Majalla"/>
          <w:sz w:val="28"/>
        </w:rPr>
        <w:t>.</w:t>
      </w:r>
    </w:p>
    <w:p w14:paraId="41E5324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(7-1)</w:t>
      </w:r>
    </w:p>
    <w:p w14:paraId="10C59CAA" w14:textId="6B0F1A30"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التنفيذ الاستراتيجية للمرحلة الأولى</w:t>
      </w:r>
      <w:r w:rsidRPr="000E4B65">
        <w:rPr>
          <w:rFonts w:ascii="Sakkal Majalla" w:hAnsi="Sakkal Majalla" w:cs="Sakkal Majalla"/>
          <w:b/>
          <w:bCs/>
          <w:sz w:val="28"/>
        </w:rPr>
        <w:t xml:space="preserve"> (202</w:t>
      </w:r>
      <w:r w:rsidR="006043F5">
        <w:rPr>
          <w:rFonts w:ascii="Sakkal Majalla" w:hAnsi="Sakkal Majalla" w:cs="Sakkal Majalla"/>
          <w:b/>
          <w:bCs/>
          <w:sz w:val="28"/>
        </w:rPr>
        <w:t>7</w:t>
      </w:r>
      <w:r w:rsidRPr="000E4B65">
        <w:rPr>
          <w:rFonts w:ascii="Sakkal Majalla" w:hAnsi="Sakkal Majalla" w:cs="Sakkal Majalla"/>
          <w:b/>
          <w:bCs/>
          <w:sz w:val="28"/>
        </w:rPr>
        <w:t>–202</w:t>
      </w:r>
      <w:r w:rsidR="006043F5">
        <w:rPr>
          <w:rFonts w:ascii="Sakkal Majalla" w:hAnsi="Sakkal Majalla" w:cs="Sakkal Majalla"/>
          <w:b/>
          <w:bCs/>
          <w:sz w:val="28"/>
        </w:rPr>
        <w:t>8</w:t>
      </w:r>
      <w:r w:rsidRPr="000E4B65">
        <w:rPr>
          <w:rFonts w:ascii="Sakkal Majalla" w:hAnsi="Sakkal Majalla" w:cs="Sakkal Majalla"/>
          <w:b/>
          <w:bCs/>
          <w:sz w:val="28"/>
        </w:rPr>
        <w:t>)</w:t>
      </w:r>
    </w:p>
    <w:tbl>
      <w:tblPr>
        <w:tblStyle w:val="PlainTable3"/>
        <w:tblW w:w="0" w:type="auto"/>
        <w:tblLook w:val="04A0" w:firstRow="1" w:lastRow="0" w:firstColumn="1" w:lastColumn="0" w:noHBand="0" w:noVBand="1"/>
      </w:tblPr>
      <w:tblGrid>
        <w:gridCol w:w="1492"/>
        <w:gridCol w:w="1521"/>
        <w:gridCol w:w="2062"/>
        <w:gridCol w:w="1515"/>
        <w:gridCol w:w="1322"/>
        <w:gridCol w:w="1448"/>
      </w:tblGrid>
      <w:tr w:rsidR="000E4B65" w:rsidRPr="000E4B65" w14:paraId="17CE0E8D" w14:textId="77777777" w:rsidTr="000E4B6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17F051"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المحور الاستراتيجي</w:t>
            </w:r>
          </w:p>
        </w:tc>
        <w:tc>
          <w:tcPr>
            <w:tcW w:w="0" w:type="auto"/>
            <w:hideMark/>
          </w:tcPr>
          <w:p w14:paraId="196AFCA4"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الهدف التنفيذي</w:t>
            </w:r>
          </w:p>
        </w:tc>
        <w:tc>
          <w:tcPr>
            <w:tcW w:w="0" w:type="auto"/>
            <w:hideMark/>
          </w:tcPr>
          <w:p w14:paraId="386ACF4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المشروعات الرئيسية</w:t>
            </w:r>
          </w:p>
        </w:tc>
        <w:tc>
          <w:tcPr>
            <w:tcW w:w="0" w:type="auto"/>
            <w:hideMark/>
          </w:tcPr>
          <w:p w14:paraId="749FD839"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الجهة المسؤولة</w:t>
            </w:r>
          </w:p>
        </w:tc>
        <w:tc>
          <w:tcPr>
            <w:tcW w:w="0" w:type="auto"/>
            <w:hideMark/>
          </w:tcPr>
          <w:p w14:paraId="3336EA55"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الفترة</w:t>
            </w:r>
          </w:p>
        </w:tc>
        <w:tc>
          <w:tcPr>
            <w:tcW w:w="0" w:type="auto"/>
            <w:hideMark/>
          </w:tcPr>
          <w:p w14:paraId="5CC8A0C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مؤشر النجاح</w:t>
            </w:r>
          </w:p>
        </w:tc>
      </w:tr>
      <w:tr w:rsidR="000E4B65" w:rsidRPr="000E4B65" w14:paraId="3037024F"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0F988"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تطوير البنية الرقمية</w:t>
            </w:r>
          </w:p>
        </w:tc>
        <w:tc>
          <w:tcPr>
            <w:tcW w:w="0" w:type="auto"/>
            <w:hideMark/>
          </w:tcPr>
          <w:p w14:paraId="4141CD1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تحديث البنية التحتية بالكامل</w:t>
            </w:r>
          </w:p>
        </w:tc>
        <w:tc>
          <w:tcPr>
            <w:tcW w:w="0" w:type="auto"/>
            <w:hideMark/>
          </w:tcPr>
          <w:p w14:paraId="1465E0C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تحديث الخوادم</w:t>
            </w:r>
            <w:r w:rsidRPr="000E4B65">
              <w:rPr>
                <w:rFonts w:ascii="Sakkal Majalla" w:hAnsi="Sakkal Majalla" w:cs="Sakkal Majalla"/>
                <w:sz w:val="24"/>
                <w:szCs w:val="24"/>
              </w:rPr>
              <w:t xml:space="preserve"> – Cloud Hybrid – Data Lake</w:t>
            </w:r>
          </w:p>
        </w:tc>
        <w:tc>
          <w:tcPr>
            <w:tcW w:w="0" w:type="auto"/>
            <w:hideMark/>
          </w:tcPr>
          <w:p w14:paraId="236CB13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التحول الرقمي</w:t>
            </w:r>
          </w:p>
        </w:tc>
        <w:tc>
          <w:tcPr>
            <w:tcW w:w="0" w:type="auto"/>
            <w:hideMark/>
          </w:tcPr>
          <w:p w14:paraId="1BD882E6" w14:textId="0A1F6FBA"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الربع الأول–الرابع 202</w:t>
            </w:r>
            <w:r w:rsidR="006043F5">
              <w:rPr>
                <w:rFonts w:ascii="Sakkal Majalla" w:hAnsi="Sakkal Majalla" w:cs="Sakkal Majalla" w:hint="cs"/>
                <w:sz w:val="24"/>
                <w:szCs w:val="24"/>
                <w:rtl/>
              </w:rPr>
              <w:t>7</w:t>
            </w:r>
          </w:p>
        </w:tc>
        <w:tc>
          <w:tcPr>
            <w:tcW w:w="0" w:type="auto"/>
            <w:hideMark/>
          </w:tcPr>
          <w:p w14:paraId="5C22703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جاهزية رقمية 95</w:t>
            </w:r>
            <w:r w:rsidRPr="000E4B65">
              <w:rPr>
                <w:rFonts w:ascii="Sakkal Majalla" w:hAnsi="Sakkal Majalla" w:cs="Sakkal Majalla"/>
                <w:sz w:val="24"/>
                <w:szCs w:val="24"/>
              </w:rPr>
              <w:t>%</w:t>
            </w:r>
          </w:p>
        </w:tc>
      </w:tr>
      <w:tr w:rsidR="000E4B65" w:rsidRPr="000E4B65" w14:paraId="190B383A"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496069DD"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تطوير منصة فسح</w:t>
            </w:r>
          </w:p>
        </w:tc>
        <w:tc>
          <w:tcPr>
            <w:tcW w:w="0" w:type="auto"/>
            <w:hideMark/>
          </w:tcPr>
          <w:p w14:paraId="12CA22F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إطلاق</w:t>
            </w:r>
            <w:r w:rsidRPr="000E4B65">
              <w:rPr>
                <w:rFonts w:ascii="Sakkal Majalla" w:hAnsi="Sakkal Majalla" w:cs="Sakkal Majalla"/>
                <w:sz w:val="24"/>
                <w:szCs w:val="24"/>
              </w:rPr>
              <w:t xml:space="preserve"> Fasah Gen-3</w:t>
            </w:r>
          </w:p>
        </w:tc>
        <w:tc>
          <w:tcPr>
            <w:tcW w:w="0" w:type="auto"/>
            <w:hideMark/>
          </w:tcPr>
          <w:p w14:paraId="6FAC5C3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AI – API – Dashboard – Mobile</w:t>
            </w:r>
          </w:p>
        </w:tc>
        <w:tc>
          <w:tcPr>
            <w:tcW w:w="0" w:type="auto"/>
            <w:hideMark/>
          </w:tcPr>
          <w:p w14:paraId="425A4E7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الخدمات الإلكترونية</w:t>
            </w:r>
          </w:p>
        </w:tc>
        <w:tc>
          <w:tcPr>
            <w:tcW w:w="0" w:type="auto"/>
            <w:hideMark/>
          </w:tcPr>
          <w:p w14:paraId="1D813D1E" w14:textId="78DFF94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0212747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انخفاض زمن المعاملة 30</w:t>
            </w:r>
            <w:r w:rsidRPr="000E4B65">
              <w:rPr>
                <w:rFonts w:ascii="Sakkal Majalla" w:hAnsi="Sakkal Majalla" w:cs="Sakkal Majalla"/>
                <w:sz w:val="24"/>
                <w:szCs w:val="24"/>
              </w:rPr>
              <w:t>%</w:t>
            </w:r>
          </w:p>
        </w:tc>
      </w:tr>
      <w:tr w:rsidR="000E4B65" w:rsidRPr="000E4B65" w14:paraId="5353168D"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8BC9F"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البيانات الوطنية</w:t>
            </w:r>
          </w:p>
        </w:tc>
        <w:tc>
          <w:tcPr>
            <w:tcW w:w="0" w:type="auto"/>
            <w:hideMark/>
          </w:tcPr>
          <w:p w14:paraId="58E90F6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إنشاء منصة البيانات الموحدة</w:t>
            </w:r>
          </w:p>
        </w:tc>
        <w:tc>
          <w:tcPr>
            <w:tcW w:w="0" w:type="auto"/>
            <w:hideMark/>
          </w:tcPr>
          <w:p w14:paraId="0000D4FD"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Master Data – Data Governance</w:t>
            </w:r>
          </w:p>
        </w:tc>
        <w:tc>
          <w:tcPr>
            <w:tcW w:w="0" w:type="auto"/>
            <w:hideMark/>
          </w:tcPr>
          <w:p w14:paraId="3AF796F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إدارة البيانات</w:t>
            </w:r>
          </w:p>
        </w:tc>
        <w:tc>
          <w:tcPr>
            <w:tcW w:w="0" w:type="auto"/>
            <w:hideMark/>
          </w:tcPr>
          <w:p w14:paraId="4767969D" w14:textId="33748911"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r w:rsidRPr="000E4B65">
              <w:rPr>
                <w:rFonts w:ascii="Sakkal Majalla" w:hAnsi="Sakkal Majalla" w:cs="Sakkal Majalla"/>
                <w:sz w:val="24"/>
                <w:szCs w:val="24"/>
              </w:rPr>
              <w:t>–202</w:t>
            </w:r>
            <w:r w:rsidR="006043F5">
              <w:rPr>
                <w:rFonts w:ascii="Sakkal Majalla" w:hAnsi="Sakkal Majalla" w:cs="Sakkal Majalla"/>
                <w:sz w:val="24"/>
                <w:szCs w:val="24"/>
              </w:rPr>
              <w:t>8</w:t>
            </w:r>
          </w:p>
        </w:tc>
        <w:tc>
          <w:tcPr>
            <w:tcW w:w="0" w:type="auto"/>
            <w:hideMark/>
          </w:tcPr>
          <w:p w14:paraId="6C09E99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جودة البيانات 98</w:t>
            </w:r>
            <w:r w:rsidRPr="000E4B65">
              <w:rPr>
                <w:rFonts w:ascii="Sakkal Majalla" w:hAnsi="Sakkal Majalla" w:cs="Sakkal Majalla"/>
                <w:sz w:val="24"/>
                <w:szCs w:val="24"/>
              </w:rPr>
              <w:t>%</w:t>
            </w:r>
          </w:p>
        </w:tc>
      </w:tr>
      <w:tr w:rsidR="000E4B65" w:rsidRPr="000E4B65" w14:paraId="6728EC69"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35951131"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32C142D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تطبيق</w:t>
            </w:r>
            <w:r w:rsidRPr="000E4B65">
              <w:rPr>
                <w:rFonts w:ascii="Sakkal Majalla" w:hAnsi="Sakkal Majalla" w:cs="Sakkal Majalla"/>
                <w:sz w:val="24"/>
                <w:szCs w:val="24"/>
              </w:rPr>
              <w:t xml:space="preserve"> Zero Trust</w:t>
            </w:r>
          </w:p>
        </w:tc>
        <w:tc>
          <w:tcPr>
            <w:tcW w:w="0" w:type="auto"/>
            <w:hideMark/>
          </w:tcPr>
          <w:p w14:paraId="3B2E1B3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IAM – PAM – MFA – SOC</w:t>
            </w:r>
          </w:p>
        </w:tc>
        <w:tc>
          <w:tcPr>
            <w:tcW w:w="0" w:type="auto"/>
            <w:hideMark/>
          </w:tcPr>
          <w:p w14:paraId="72D77A3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4F77F994" w14:textId="71D15DCA"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48AE70C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صفر اختراقات حرجة</w:t>
            </w:r>
          </w:p>
        </w:tc>
      </w:tr>
      <w:tr w:rsidR="000E4B65" w:rsidRPr="000E4B65" w14:paraId="40D2C903"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276DA"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الموارد البشرية</w:t>
            </w:r>
          </w:p>
        </w:tc>
        <w:tc>
          <w:tcPr>
            <w:tcW w:w="0" w:type="auto"/>
            <w:hideMark/>
          </w:tcPr>
          <w:p w14:paraId="0196429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رفع الكفاءة الرقمية</w:t>
            </w:r>
          </w:p>
        </w:tc>
        <w:tc>
          <w:tcPr>
            <w:tcW w:w="0" w:type="auto"/>
            <w:hideMark/>
          </w:tcPr>
          <w:p w14:paraId="7C8579F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تدريب 2000 موظف</w:t>
            </w:r>
          </w:p>
        </w:tc>
        <w:tc>
          <w:tcPr>
            <w:tcW w:w="0" w:type="auto"/>
            <w:hideMark/>
          </w:tcPr>
          <w:p w14:paraId="27A3D94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أكاديمية</w:t>
            </w:r>
            <w:r w:rsidRPr="000E4B65">
              <w:rPr>
                <w:rFonts w:ascii="Sakkal Majalla" w:hAnsi="Sakkal Majalla" w:cs="Sakkal Majalla"/>
                <w:sz w:val="24"/>
                <w:szCs w:val="24"/>
              </w:rPr>
              <w:t xml:space="preserve"> ZATCA</w:t>
            </w:r>
          </w:p>
        </w:tc>
        <w:tc>
          <w:tcPr>
            <w:tcW w:w="0" w:type="auto"/>
            <w:hideMark/>
          </w:tcPr>
          <w:p w14:paraId="53D39684" w14:textId="5FAA6768"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r w:rsidRPr="000E4B65">
              <w:rPr>
                <w:rFonts w:ascii="Sakkal Majalla" w:hAnsi="Sakkal Majalla" w:cs="Sakkal Majalla"/>
                <w:sz w:val="24"/>
                <w:szCs w:val="24"/>
              </w:rPr>
              <w:t>–202</w:t>
            </w:r>
            <w:r w:rsidR="006043F5">
              <w:rPr>
                <w:rFonts w:ascii="Sakkal Majalla" w:hAnsi="Sakkal Majalla" w:cs="Sakkal Majalla"/>
                <w:sz w:val="24"/>
                <w:szCs w:val="24"/>
              </w:rPr>
              <w:t>8</w:t>
            </w:r>
          </w:p>
        </w:tc>
        <w:tc>
          <w:tcPr>
            <w:tcW w:w="0" w:type="auto"/>
            <w:hideMark/>
          </w:tcPr>
          <w:p w14:paraId="77422D5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 xml:space="preserve">90% </w:t>
            </w:r>
            <w:r w:rsidRPr="000E4B65">
              <w:rPr>
                <w:rFonts w:ascii="Sakkal Majalla" w:hAnsi="Sakkal Majalla" w:cs="Sakkal Majalla"/>
                <w:sz w:val="24"/>
                <w:szCs w:val="24"/>
                <w:rtl/>
              </w:rPr>
              <w:t>شهادات احترافية</w:t>
            </w:r>
          </w:p>
        </w:tc>
      </w:tr>
      <w:tr w:rsidR="000E4B65" w:rsidRPr="000E4B65" w14:paraId="1E0BF365"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7176408B"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lastRenderedPageBreak/>
              <w:t>التكامل الحكومي</w:t>
            </w:r>
          </w:p>
        </w:tc>
        <w:tc>
          <w:tcPr>
            <w:tcW w:w="0" w:type="auto"/>
            <w:hideMark/>
          </w:tcPr>
          <w:p w14:paraId="6097072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ربط 150 جهة</w:t>
            </w:r>
          </w:p>
        </w:tc>
        <w:tc>
          <w:tcPr>
            <w:tcW w:w="0" w:type="auto"/>
            <w:hideMark/>
          </w:tcPr>
          <w:p w14:paraId="1CF9A04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Government APIs</w:t>
            </w:r>
          </w:p>
        </w:tc>
        <w:tc>
          <w:tcPr>
            <w:tcW w:w="0" w:type="auto"/>
            <w:hideMark/>
          </w:tcPr>
          <w:p w14:paraId="2F85D5F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برنامج التكامل</w:t>
            </w:r>
          </w:p>
        </w:tc>
        <w:tc>
          <w:tcPr>
            <w:tcW w:w="0" w:type="auto"/>
            <w:hideMark/>
          </w:tcPr>
          <w:p w14:paraId="3C6D9A2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2026</w:t>
            </w:r>
          </w:p>
        </w:tc>
        <w:tc>
          <w:tcPr>
            <w:tcW w:w="0" w:type="auto"/>
            <w:hideMark/>
          </w:tcPr>
          <w:p w14:paraId="53C0947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تكامل كامل</w:t>
            </w:r>
          </w:p>
        </w:tc>
      </w:tr>
    </w:tbl>
    <w:p w14:paraId="4E4C5A5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ثانياً: المبادرات التنفيذية للمرحلة الأولى</w:t>
      </w:r>
    </w:p>
    <w:p w14:paraId="6231B17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لا تعتمد الخطة على مشروع واحد، وإنما على مجموعة مترابطة من المبادرات الاستراتيجية التي يعمل كل منها على معالجة أحد عناصر التحول المؤسسي</w:t>
      </w:r>
      <w:r w:rsidRPr="000E4B65">
        <w:rPr>
          <w:rFonts w:ascii="Sakkal Majalla" w:hAnsi="Sakkal Majalla" w:cs="Sakkal Majalla"/>
          <w:sz w:val="28"/>
        </w:rPr>
        <w:t>.</w:t>
      </w:r>
    </w:p>
    <w:p w14:paraId="32F25C1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الأولى</w:t>
      </w:r>
    </w:p>
    <w:p w14:paraId="16C3DDD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مشروع تحديث منصة "فسح" إلى الجيل الثالث</w:t>
      </w:r>
      <w:r w:rsidRPr="000E4B65">
        <w:rPr>
          <w:rFonts w:ascii="Sakkal Majalla" w:hAnsi="Sakkal Majalla" w:cs="Sakkal Majalla"/>
          <w:b/>
          <w:bCs/>
          <w:sz w:val="28"/>
        </w:rPr>
        <w:t xml:space="preserve"> (Fasah Gen-3)</w:t>
      </w:r>
    </w:p>
    <w:p w14:paraId="732126E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يمثل تطوير منصة "فسح" أحد أهم مشروعات المرحلة الأولى، حيث تهدف الهيئة إلى الانتقال من منصة إلكترونية لإدارة المعاملات إلى منصة ذكية تعتمد على البيانات والتحليلات الفورية، وتوفر خدمات استباقية للمستفيدين</w:t>
      </w:r>
      <w:r w:rsidRPr="000E4B65">
        <w:rPr>
          <w:rFonts w:ascii="Sakkal Majalla" w:hAnsi="Sakkal Majalla" w:cs="Sakkal Majalla"/>
          <w:sz w:val="28"/>
        </w:rPr>
        <w:t>.</w:t>
      </w:r>
    </w:p>
    <w:p w14:paraId="59DEBB3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ويشمل المشروع تطوير واجهات الاستخدام، وإعادة تصميم تجربة المستخدم، وربط المنصة بجميع الجهات الحكومية ذات العلاقة، وإضافة مساعد ذكي يعتمد على الذكاء الاصطناعي للإجابة عن الاستفسارات، وتحليل الأخطاء قبل إرسال الطلبات، والتنبؤ بالمستندات المطلوبة، بما يقلل من نسبة رفض المعاملات، ويرفع مستوى رضا المستفيدين</w:t>
      </w:r>
      <w:r w:rsidRPr="000E4B65">
        <w:rPr>
          <w:rFonts w:ascii="Sakkal Majalla" w:hAnsi="Sakkal Majalla" w:cs="Sakkal Majalla"/>
          <w:sz w:val="28"/>
        </w:rPr>
        <w:t>.</w:t>
      </w:r>
    </w:p>
    <w:p w14:paraId="43E300A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(7-2)</w:t>
      </w:r>
    </w:p>
    <w:p w14:paraId="769BD03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خطة تنفيذ مشروع</w:t>
      </w:r>
      <w:r w:rsidRPr="000E4B65">
        <w:rPr>
          <w:rFonts w:ascii="Sakkal Majalla" w:hAnsi="Sakkal Majalla" w:cs="Sakkal Majalla"/>
          <w:b/>
          <w:bCs/>
          <w:sz w:val="28"/>
        </w:rPr>
        <w:t xml:space="preserve"> Fasah Gen-3</w:t>
      </w:r>
    </w:p>
    <w:tbl>
      <w:tblPr>
        <w:tblStyle w:val="PlainTable3"/>
        <w:tblW w:w="0" w:type="auto"/>
        <w:jc w:val="center"/>
        <w:tblLook w:val="04A0" w:firstRow="1" w:lastRow="0" w:firstColumn="1" w:lastColumn="0" w:noHBand="0" w:noVBand="1"/>
      </w:tblPr>
      <w:tblGrid>
        <w:gridCol w:w="1930"/>
        <w:gridCol w:w="1809"/>
        <w:gridCol w:w="2456"/>
      </w:tblGrid>
      <w:tr w:rsidR="000E4B65" w:rsidRPr="000E4B65" w14:paraId="7ECAAC0C"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28FC2D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المشروع</w:t>
            </w:r>
          </w:p>
        </w:tc>
        <w:tc>
          <w:tcPr>
            <w:tcW w:w="0" w:type="auto"/>
            <w:hideMark/>
          </w:tcPr>
          <w:p w14:paraId="7033A64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087EAD4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المستهدف</w:t>
            </w:r>
          </w:p>
        </w:tc>
      </w:tr>
      <w:tr w:rsidR="000E4B65" w:rsidRPr="000E4B65" w14:paraId="426C1B6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7431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واجهة المستخدم</w:t>
            </w:r>
          </w:p>
        </w:tc>
        <w:tc>
          <w:tcPr>
            <w:tcW w:w="0" w:type="auto"/>
            <w:hideMark/>
          </w:tcPr>
          <w:p w14:paraId="2315B79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صفحات تقليدية</w:t>
            </w:r>
          </w:p>
        </w:tc>
        <w:tc>
          <w:tcPr>
            <w:tcW w:w="0" w:type="auto"/>
            <w:hideMark/>
          </w:tcPr>
          <w:p w14:paraId="133063A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واجهة ذكية</w:t>
            </w:r>
            <w:r w:rsidRPr="000E4B65">
              <w:rPr>
                <w:rFonts w:ascii="Sakkal Majalla" w:hAnsi="Sakkal Majalla" w:cs="Sakkal Majalla"/>
                <w:sz w:val="28"/>
              </w:rPr>
              <w:t xml:space="preserve"> Adaptive UI</w:t>
            </w:r>
          </w:p>
        </w:tc>
      </w:tr>
      <w:tr w:rsidR="000E4B65" w:rsidRPr="000E4B65" w14:paraId="148EC225"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63B2B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الخدمات</w:t>
            </w:r>
          </w:p>
        </w:tc>
        <w:tc>
          <w:tcPr>
            <w:tcW w:w="0" w:type="auto"/>
            <w:hideMark/>
          </w:tcPr>
          <w:p w14:paraId="33CC7CE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تفاعلية</w:t>
            </w:r>
          </w:p>
        </w:tc>
        <w:tc>
          <w:tcPr>
            <w:tcW w:w="0" w:type="auto"/>
            <w:hideMark/>
          </w:tcPr>
          <w:p w14:paraId="46DFD8D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استباقية</w:t>
            </w:r>
          </w:p>
        </w:tc>
      </w:tr>
      <w:tr w:rsidR="000E4B65" w:rsidRPr="000E4B65" w14:paraId="14AA422B"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BAB99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الذكاء الاصطناعي</w:t>
            </w:r>
          </w:p>
        </w:tc>
        <w:tc>
          <w:tcPr>
            <w:tcW w:w="0" w:type="auto"/>
            <w:hideMark/>
          </w:tcPr>
          <w:p w14:paraId="6D6EBFE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w:t>
            </w:r>
          </w:p>
        </w:tc>
        <w:tc>
          <w:tcPr>
            <w:tcW w:w="0" w:type="auto"/>
            <w:hideMark/>
          </w:tcPr>
          <w:p w14:paraId="4CC3F56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مساعد رقمي متكامل</w:t>
            </w:r>
          </w:p>
        </w:tc>
      </w:tr>
      <w:tr w:rsidR="000E4B65" w:rsidRPr="000E4B65" w14:paraId="50A0A0B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9259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الربط الحكومي</w:t>
            </w:r>
          </w:p>
        </w:tc>
        <w:tc>
          <w:tcPr>
            <w:tcW w:w="0" w:type="auto"/>
            <w:hideMark/>
          </w:tcPr>
          <w:p w14:paraId="73E4E88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جزئي</w:t>
            </w:r>
          </w:p>
        </w:tc>
        <w:tc>
          <w:tcPr>
            <w:tcW w:w="0" w:type="auto"/>
            <w:hideMark/>
          </w:tcPr>
          <w:p w14:paraId="2FB868F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تكامل كامل</w:t>
            </w:r>
          </w:p>
        </w:tc>
      </w:tr>
      <w:tr w:rsidR="000E4B65" w:rsidRPr="000E4B65" w14:paraId="238C35C5"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42F23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تحليل البيانات</w:t>
            </w:r>
          </w:p>
        </w:tc>
        <w:tc>
          <w:tcPr>
            <w:tcW w:w="0" w:type="auto"/>
            <w:hideMark/>
          </w:tcPr>
          <w:p w14:paraId="4C52D80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تقارير دورية</w:t>
            </w:r>
          </w:p>
        </w:tc>
        <w:tc>
          <w:tcPr>
            <w:tcW w:w="0" w:type="auto"/>
            <w:hideMark/>
          </w:tcPr>
          <w:p w14:paraId="2135AF2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 xml:space="preserve">Dashboard </w:t>
            </w:r>
            <w:r w:rsidRPr="000E4B65">
              <w:rPr>
                <w:rFonts w:ascii="Sakkal Majalla" w:hAnsi="Sakkal Majalla" w:cs="Sakkal Majalla"/>
                <w:sz w:val="28"/>
                <w:rtl/>
              </w:rPr>
              <w:t>لحظية</w:t>
            </w:r>
          </w:p>
        </w:tc>
      </w:tr>
      <w:tr w:rsidR="000E4B65" w:rsidRPr="000E4B65" w14:paraId="1447FF92"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7838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التطبيقات</w:t>
            </w:r>
          </w:p>
        </w:tc>
        <w:tc>
          <w:tcPr>
            <w:tcW w:w="0" w:type="auto"/>
            <w:hideMark/>
          </w:tcPr>
          <w:p w14:paraId="367ED93F"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ويب فقط</w:t>
            </w:r>
          </w:p>
        </w:tc>
        <w:tc>
          <w:tcPr>
            <w:tcW w:w="0" w:type="auto"/>
            <w:hideMark/>
          </w:tcPr>
          <w:p w14:paraId="3B6106A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ويب + تطبيقات ذكية</w:t>
            </w:r>
          </w:p>
        </w:tc>
      </w:tr>
    </w:tbl>
    <w:p w14:paraId="6D4D364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الثانية</w:t>
      </w:r>
    </w:p>
    <w:p w14:paraId="462936F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lastRenderedPageBreak/>
        <w:t>البرنامج الوطني لحوكمة البيانات</w:t>
      </w:r>
    </w:p>
    <w:p w14:paraId="362D5E8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يرى الباحث أن البيانات أصبحت تمثل رأس المال الحقيقي للمؤسسات الحكومية، ولذلك فإن المرحلة الأولى تركز على إنشاء منظومة متكاملة لحوكمة البيانات تضمن توحيد مصادر البيانات، ومنع التكرار، وتحسين الجودة، وتحديد المسؤوليات المتعلقة بإدارتها</w:t>
      </w:r>
      <w:r w:rsidRPr="000E4B65">
        <w:rPr>
          <w:rFonts w:ascii="Sakkal Majalla" w:hAnsi="Sakkal Majalla" w:cs="Sakkal Majalla"/>
          <w:sz w:val="28"/>
        </w:rPr>
        <w:t>.</w:t>
      </w:r>
    </w:p>
    <w:p w14:paraId="0590CDA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وسيتضمن المشروع إنشاء مستودع بيانات مركزي</w:t>
      </w:r>
      <w:r w:rsidRPr="000E4B65">
        <w:rPr>
          <w:rFonts w:ascii="Sakkal Majalla" w:hAnsi="Sakkal Majalla" w:cs="Sakkal Majalla"/>
          <w:sz w:val="28"/>
        </w:rPr>
        <w:t xml:space="preserve"> (National Customs Data Lake)</w:t>
      </w:r>
      <w:r w:rsidRPr="000E4B65">
        <w:rPr>
          <w:rFonts w:ascii="Sakkal Majalla" w:hAnsi="Sakkal Majalla" w:cs="Sakkal Majalla"/>
          <w:sz w:val="28"/>
          <w:rtl/>
        </w:rPr>
        <w:t>، وربط جميع قواعد البيانات الجمركية والضريبية واللوجستية في منصة موحدة، مع تطبيق معايير الجودة والخصوصية والأمن السيبراني</w:t>
      </w:r>
      <w:r w:rsidRPr="000E4B65">
        <w:rPr>
          <w:rFonts w:ascii="Sakkal Majalla" w:hAnsi="Sakkal Majalla" w:cs="Sakkal Majalla"/>
          <w:sz w:val="28"/>
        </w:rPr>
        <w:t>.</w:t>
      </w:r>
    </w:p>
    <w:p w14:paraId="64FDF22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(7-3)</w:t>
      </w:r>
    </w:p>
    <w:p w14:paraId="7D3EAF3B"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حوكمة البيانات</w:t>
      </w:r>
    </w:p>
    <w:tbl>
      <w:tblPr>
        <w:tblStyle w:val="PlainTable3"/>
        <w:tblW w:w="0" w:type="auto"/>
        <w:jc w:val="center"/>
        <w:tblLook w:val="04A0" w:firstRow="1" w:lastRow="0" w:firstColumn="1" w:lastColumn="0" w:noHBand="0" w:noVBand="1"/>
      </w:tblPr>
      <w:tblGrid>
        <w:gridCol w:w="1914"/>
        <w:gridCol w:w="1590"/>
        <w:gridCol w:w="2209"/>
      </w:tblGrid>
      <w:tr w:rsidR="000E4B65" w:rsidRPr="000E4B65" w14:paraId="3571D816"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8D5631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العنصر</w:t>
            </w:r>
          </w:p>
        </w:tc>
        <w:tc>
          <w:tcPr>
            <w:tcW w:w="0" w:type="auto"/>
            <w:hideMark/>
          </w:tcPr>
          <w:p w14:paraId="5D466E19"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71FA96A3" w14:textId="675534BE"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0E4B65">
              <w:rPr>
                <w:rFonts w:ascii="Sakkal Majalla" w:hAnsi="Sakkal Majalla" w:cs="Sakkal Majalla"/>
                <w:sz w:val="28"/>
                <w:rtl/>
              </w:rPr>
              <w:t>المستهدف 202</w:t>
            </w:r>
            <w:r w:rsidR="006043F5">
              <w:rPr>
                <w:rFonts w:ascii="Sakkal Majalla" w:hAnsi="Sakkal Majalla" w:cs="Sakkal Majalla" w:hint="cs"/>
                <w:sz w:val="28"/>
                <w:rtl/>
                <w:lang w:bidi="ar-EG"/>
              </w:rPr>
              <w:t>7</w:t>
            </w:r>
          </w:p>
        </w:tc>
      </w:tr>
      <w:tr w:rsidR="000E4B65" w:rsidRPr="000E4B65" w14:paraId="1820D122"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7B9AF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جودة البيانات</w:t>
            </w:r>
          </w:p>
        </w:tc>
        <w:tc>
          <w:tcPr>
            <w:tcW w:w="0" w:type="auto"/>
            <w:hideMark/>
          </w:tcPr>
          <w:p w14:paraId="7FF58AF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82%</w:t>
            </w:r>
          </w:p>
        </w:tc>
        <w:tc>
          <w:tcPr>
            <w:tcW w:w="0" w:type="auto"/>
            <w:hideMark/>
          </w:tcPr>
          <w:p w14:paraId="09E1024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98%</w:t>
            </w:r>
          </w:p>
        </w:tc>
      </w:tr>
      <w:tr w:rsidR="000E4B65" w:rsidRPr="000E4B65" w14:paraId="3A96072C"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3C47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 المكررة</w:t>
            </w:r>
          </w:p>
        </w:tc>
        <w:tc>
          <w:tcPr>
            <w:tcW w:w="0" w:type="auto"/>
            <w:hideMark/>
          </w:tcPr>
          <w:p w14:paraId="3193FAA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مرتفعة</w:t>
            </w:r>
          </w:p>
        </w:tc>
        <w:tc>
          <w:tcPr>
            <w:tcW w:w="0" w:type="auto"/>
            <w:hideMark/>
          </w:tcPr>
          <w:p w14:paraId="15034C6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أقل من 2</w:t>
            </w:r>
            <w:r w:rsidRPr="000E4B65">
              <w:rPr>
                <w:rFonts w:ascii="Sakkal Majalla" w:hAnsi="Sakkal Majalla" w:cs="Sakkal Majalla"/>
                <w:sz w:val="28"/>
              </w:rPr>
              <w:t>%</w:t>
            </w:r>
          </w:p>
        </w:tc>
      </w:tr>
      <w:tr w:rsidR="000E4B65" w:rsidRPr="000E4B65" w14:paraId="66C575E0"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9DE5F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قواعد البيانات</w:t>
            </w:r>
          </w:p>
        </w:tc>
        <w:tc>
          <w:tcPr>
            <w:tcW w:w="0" w:type="auto"/>
            <w:hideMark/>
          </w:tcPr>
          <w:p w14:paraId="4C8C43C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منفصلة</w:t>
            </w:r>
          </w:p>
        </w:tc>
        <w:tc>
          <w:tcPr>
            <w:tcW w:w="0" w:type="auto"/>
            <w:hideMark/>
          </w:tcPr>
          <w:p w14:paraId="3C10ACE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منصة موحدة</w:t>
            </w:r>
          </w:p>
        </w:tc>
      </w:tr>
      <w:tr w:rsidR="000E4B65" w:rsidRPr="000E4B65" w14:paraId="36BE022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48046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 المفتوحة</w:t>
            </w:r>
          </w:p>
        </w:tc>
        <w:tc>
          <w:tcPr>
            <w:tcW w:w="0" w:type="auto"/>
            <w:hideMark/>
          </w:tcPr>
          <w:p w14:paraId="25DE41E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محدودة</w:t>
            </w:r>
          </w:p>
        </w:tc>
        <w:tc>
          <w:tcPr>
            <w:tcW w:w="0" w:type="auto"/>
            <w:hideMark/>
          </w:tcPr>
          <w:p w14:paraId="5A9239B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متاحة للجهات المخولة</w:t>
            </w:r>
          </w:p>
        </w:tc>
      </w:tr>
      <w:tr w:rsidR="000E4B65" w:rsidRPr="000E4B65" w14:paraId="7102B51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6604C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التحليلات</w:t>
            </w:r>
          </w:p>
        </w:tc>
        <w:tc>
          <w:tcPr>
            <w:tcW w:w="0" w:type="auto"/>
            <w:hideMark/>
          </w:tcPr>
          <w:p w14:paraId="0ED272B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تقليدية</w:t>
            </w:r>
          </w:p>
        </w:tc>
        <w:tc>
          <w:tcPr>
            <w:tcW w:w="0" w:type="auto"/>
            <w:hideMark/>
          </w:tcPr>
          <w:p w14:paraId="3A873B8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Real-Time Analytics</w:t>
            </w:r>
          </w:p>
        </w:tc>
      </w:tr>
      <w:tr w:rsidR="000E4B65" w:rsidRPr="000E4B65" w14:paraId="51FDC98F"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9AB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اتخاذ القرار</w:t>
            </w:r>
          </w:p>
        </w:tc>
        <w:tc>
          <w:tcPr>
            <w:tcW w:w="0" w:type="auto"/>
            <w:hideMark/>
          </w:tcPr>
          <w:p w14:paraId="126D513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دوري</w:t>
            </w:r>
          </w:p>
        </w:tc>
        <w:tc>
          <w:tcPr>
            <w:tcW w:w="0" w:type="auto"/>
            <w:hideMark/>
          </w:tcPr>
          <w:p w14:paraId="06D26F2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لحظي</w:t>
            </w:r>
          </w:p>
        </w:tc>
      </w:tr>
    </w:tbl>
    <w:p w14:paraId="42468DC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الثالثة</w:t>
      </w:r>
    </w:p>
    <w:p w14:paraId="27B8EEF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البرنامج الوطني للأمن السيبراني الجمركي</w:t>
      </w:r>
    </w:p>
    <w:p w14:paraId="7CB563D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تُعد حماية البيانات الجمركية أحد أهم عناصر الأمن الوطني، ولذلك تقترح الخطة إنشاء برنامج متكامل للأمن السيبراني يعتمد على مفهوم الدفاع متعدد الطبقات</w:t>
      </w:r>
      <w:r w:rsidRPr="000E4B65">
        <w:rPr>
          <w:rFonts w:ascii="Sakkal Majalla" w:hAnsi="Sakkal Majalla" w:cs="Sakkal Majalla"/>
          <w:sz w:val="28"/>
        </w:rPr>
        <w:t xml:space="preserve"> (Defense in Depth)</w:t>
      </w:r>
      <w:r w:rsidRPr="000E4B65">
        <w:rPr>
          <w:rFonts w:ascii="Sakkal Majalla" w:hAnsi="Sakkal Majalla" w:cs="Sakkal Majalla"/>
          <w:sz w:val="28"/>
          <w:rtl/>
        </w:rPr>
        <w:t>، بحيث يتم توزيع وسائل الحماية على جميع مستويات البنية الرقمية، ابتداءً من أجهزة المستخدمين، مروراً بالشبكات، ووصولاً إلى قواعد البيانات ومراكز البيانات</w:t>
      </w:r>
      <w:r w:rsidRPr="000E4B65">
        <w:rPr>
          <w:rFonts w:ascii="Sakkal Majalla" w:hAnsi="Sakkal Majalla" w:cs="Sakkal Majalla"/>
          <w:sz w:val="28"/>
        </w:rPr>
        <w:t>.</w:t>
      </w:r>
    </w:p>
    <w:p w14:paraId="55C4C3B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ويتضمن البرنامج إنشاء مركز عمليات أمنية</w:t>
      </w:r>
      <w:r w:rsidRPr="000E4B65">
        <w:rPr>
          <w:rFonts w:ascii="Sakkal Majalla" w:hAnsi="Sakkal Majalla" w:cs="Sakkal Majalla"/>
          <w:sz w:val="28"/>
        </w:rPr>
        <w:t xml:space="preserve"> (SOC) </w:t>
      </w:r>
      <w:r w:rsidRPr="000E4B65">
        <w:rPr>
          <w:rFonts w:ascii="Sakkal Majalla" w:hAnsi="Sakkal Majalla" w:cs="Sakkal Majalla"/>
          <w:sz w:val="28"/>
          <w:rtl/>
        </w:rPr>
        <w:t>يعمل على مدار الساعة، وتطبيق بنية الثقة الصفرية</w:t>
      </w:r>
      <w:r w:rsidRPr="000E4B65">
        <w:rPr>
          <w:rFonts w:ascii="Sakkal Majalla" w:hAnsi="Sakkal Majalla" w:cs="Sakkal Majalla"/>
          <w:sz w:val="28"/>
        </w:rPr>
        <w:t xml:space="preserve"> (Zero Trust)</w:t>
      </w:r>
      <w:r w:rsidRPr="000E4B65">
        <w:rPr>
          <w:rFonts w:ascii="Sakkal Majalla" w:hAnsi="Sakkal Majalla" w:cs="Sakkal Majalla"/>
          <w:sz w:val="28"/>
          <w:rtl/>
        </w:rPr>
        <w:t>، واستخدام تقنيات الكشف المبكر عن الهجمات المدعومة بالذكاء الاصطناعي، وإجراء اختبارات اختراق دورية، وتحديث سياسات الأمن السيبراني بما يتوافق مع المعايير الدولية</w:t>
      </w:r>
      <w:r w:rsidRPr="000E4B65">
        <w:rPr>
          <w:rFonts w:ascii="Sakkal Majalla" w:hAnsi="Sakkal Majalla" w:cs="Sakkal Majalla"/>
          <w:sz w:val="28"/>
        </w:rPr>
        <w:t>.</w:t>
      </w:r>
    </w:p>
    <w:p w14:paraId="319D6E4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(7-4)</w:t>
      </w:r>
    </w:p>
    <w:p w14:paraId="7F9D81F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بناء الدرع السيبراني</w:t>
      </w:r>
    </w:p>
    <w:tbl>
      <w:tblPr>
        <w:tblStyle w:val="PlainTable3"/>
        <w:tblW w:w="0" w:type="auto"/>
        <w:jc w:val="center"/>
        <w:tblLook w:val="04A0" w:firstRow="1" w:lastRow="0" w:firstColumn="1" w:lastColumn="0" w:noHBand="0" w:noVBand="1"/>
      </w:tblPr>
      <w:tblGrid>
        <w:gridCol w:w="1621"/>
        <w:gridCol w:w="1502"/>
        <w:gridCol w:w="2076"/>
      </w:tblGrid>
      <w:tr w:rsidR="000E4B65" w:rsidRPr="000E4B65" w14:paraId="7E3D1312"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8900CE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طبقة الحماية</w:t>
            </w:r>
          </w:p>
        </w:tc>
        <w:tc>
          <w:tcPr>
            <w:tcW w:w="0" w:type="auto"/>
            <w:hideMark/>
          </w:tcPr>
          <w:p w14:paraId="294C56B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المشروع</w:t>
            </w:r>
          </w:p>
        </w:tc>
        <w:tc>
          <w:tcPr>
            <w:tcW w:w="0" w:type="auto"/>
            <w:hideMark/>
          </w:tcPr>
          <w:p w14:paraId="70A8291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التكنولوجيا</w:t>
            </w:r>
          </w:p>
        </w:tc>
      </w:tr>
      <w:tr w:rsidR="000E4B65" w:rsidRPr="000E4B65" w14:paraId="47551E4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1190E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المستخدم</w:t>
            </w:r>
          </w:p>
        </w:tc>
        <w:tc>
          <w:tcPr>
            <w:tcW w:w="0" w:type="auto"/>
            <w:hideMark/>
          </w:tcPr>
          <w:p w14:paraId="24F0AF0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MFA</w:t>
            </w:r>
          </w:p>
        </w:tc>
        <w:tc>
          <w:tcPr>
            <w:tcW w:w="0" w:type="auto"/>
            <w:hideMark/>
          </w:tcPr>
          <w:p w14:paraId="407799D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الهوية الرقمية</w:t>
            </w:r>
          </w:p>
        </w:tc>
      </w:tr>
      <w:tr w:rsidR="000E4B65" w:rsidRPr="000E4B65" w14:paraId="20AE7739"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774F7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الشبكات</w:t>
            </w:r>
          </w:p>
        </w:tc>
        <w:tc>
          <w:tcPr>
            <w:tcW w:w="0" w:type="auto"/>
            <w:hideMark/>
          </w:tcPr>
          <w:p w14:paraId="2730D25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NGFW</w:t>
            </w:r>
          </w:p>
        </w:tc>
        <w:tc>
          <w:tcPr>
            <w:tcW w:w="0" w:type="auto"/>
            <w:hideMark/>
          </w:tcPr>
          <w:p w14:paraId="17011C7C"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Firewalls</w:t>
            </w:r>
          </w:p>
        </w:tc>
      </w:tr>
      <w:tr w:rsidR="000E4B65" w:rsidRPr="000E4B65" w14:paraId="5201A361"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2085B2"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التطبيقات</w:t>
            </w:r>
          </w:p>
        </w:tc>
        <w:tc>
          <w:tcPr>
            <w:tcW w:w="0" w:type="auto"/>
            <w:hideMark/>
          </w:tcPr>
          <w:p w14:paraId="5AB5DC2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DevSecOps</w:t>
            </w:r>
          </w:p>
        </w:tc>
        <w:tc>
          <w:tcPr>
            <w:tcW w:w="0" w:type="auto"/>
            <w:hideMark/>
          </w:tcPr>
          <w:p w14:paraId="0DCB798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Secure Coding</w:t>
            </w:r>
          </w:p>
        </w:tc>
      </w:tr>
      <w:tr w:rsidR="000E4B65" w:rsidRPr="000E4B65" w14:paraId="57B96D6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E5A5B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w:t>
            </w:r>
          </w:p>
        </w:tc>
        <w:tc>
          <w:tcPr>
            <w:tcW w:w="0" w:type="auto"/>
            <w:hideMark/>
          </w:tcPr>
          <w:p w14:paraId="3C124EE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AES-256</w:t>
            </w:r>
          </w:p>
        </w:tc>
        <w:tc>
          <w:tcPr>
            <w:tcW w:w="0" w:type="auto"/>
            <w:hideMark/>
          </w:tcPr>
          <w:p w14:paraId="256967A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Encryption</w:t>
            </w:r>
          </w:p>
        </w:tc>
      </w:tr>
      <w:tr w:rsidR="000E4B65" w:rsidRPr="000E4B65" w14:paraId="56D28FF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A78B3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المراقبة</w:t>
            </w:r>
          </w:p>
        </w:tc>
        <w:tc>
          <w:tcPr>
            <w:tcW w:w="0" w:type="auto"/>
            <w:hideMark/>
          </w:tcPr>
          <w:p w14:paraId="5994CC0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SIEM</w:t>
            </w:r>
          </w:p>
        </w:tc>
        <w:tc>
          <w:tcPr>
            <w:tcW w:w="0" w:type="auto"/>
            <w:hideMark/>
          </w:tcPr>
          <w:p w14:paraId="3C63AC3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Monitoring</w:t>
            </w:r>
          </w:p>
        </w:tc>
      </w:tr>
      <w:tr w:rsidR="000E4B65" w:rsidRPr="000E4B65" w14:paraId="7CED9352"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EB178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الاستجابة</w:t>
            </w:r>
          </w:p>
        </w:tc>
        <w:tc>
          <w:tcPr>
            <w:tcW w:w="0" w:type="auto"/>
            <w:hideMark/>
          </w:tcPr>
          <w:p w14:paraId="63F38E5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SOC 24/7</w:t>
            </w:r>
          </w:p>
        </w:tc>
        <w:tc>
          <w:tcPr>
            <w:tcW w:w="0" w:type="auto"/>
            <w:hideMark/>
          </w:tcPr>
          <w:p w14:paraId="11A8345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Incident Response</w:t>
            </w:r>
          </w:p>
        </w:tc>
      </w:tr>
    </w:tbl>
    <w:p w14:paraId="5D75CFF3"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الرابعة</w:t>
      </w:r>
    </w:p>
    <w:p w14:paraId="0BB7886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برنامج بناء القدرات البشرية</w:t>
      </w:r>
    </w:p>
    <w:p w14:paraId="1AF98DB3"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تشير نتائج الدراسة إلى أن التحول الرقمي لا يعتمد على التكنولوجيا وحدها، بل يتطلب تنمية مستمرة للمهارات الرقمية للعاملين، مع وجود فجوات في المهارات الرقمية لدى بعض الفئات، مما يستلزم الاستثمار في التدريب والتأهيل</w:t>
      </w:r>
      <w:r w:rsidRPr="000E4B65">
        <w:rPr>
          <w:rFonts w:ascii="Sakkal Majalla" w:hAnsi="Sakkal Majalla" w:cs="Sakkal Majalla"/>
          <w:sz w:val="28"/>
        </w:rPr>
        <w:t>.</w:t>
      </w:r>
    </w:p>
    <w:p w14:paraId="72BDC62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ولهذا يقترح الباحث إطلاق "أكاديمية</w:t>
      </w:r>
      <w:r w:rsidRPr="000E4B65">
        <w:rPr>
          <w:rFonts w:ascii="Sakkal Majalla" w:hAnsi="Sakkal Majalla" w:cs="Sakkal Majalla"/>
          <w:sz w:val="28"/>
        </w:rPr>
        <w:t xml:space="preserve"> ZATCA </w:t>
      </w:r>
      <w:r w:rsidRPr="000E4B65">
        <w:rPr>
          <w:rFonts w:ascii="Sakkal Majalla" w:hAnsi="Sakkal Majalla" w:cs="Sakkal Majalla"/>
          <w:sz w:val="28"/>
          <w:rtl/>
        </w:rPr>
        <w:t>الرقمية" لتأهيل الموظفين في مجالات الذكاء الاصطناعي، وتحليل البيانات، والأمن السيبراني، وإدارة المشاريع الرقمية، بالتعاون مع جامعات وشركات تقنية عالمية</w:t>
      </w:r>
      <w:r w:rsidRPr="000E4B65">
        <w:rPr>
          <w:rFonts w:ascii="Sakkal Majalla" w:hAnsi="Sakkal Majalla" w:cs="Sakkal Majalla"/>
          <w:sz w:val="28"/>
        </w:rPr>
        <w:t>.</w:t>
      </w:r>
    </w:p>
    <w:p w14:paraId="3FEBF68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(7-5)</w:t>
      </w:r>
    </w:p>
    <w:p w14:paraId="5A5C831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الخطة التدريبية للموارد البشرية</w:t>
      </w:r>
    </w:p>
    <w:tbl>
      <w:tblPr>
        <w:tblStyle w:val="PlainTable3"/>
        <w:tblW w:w="0" w:type="auto"/>
        <w:jc w:val="center"/>
        <w:tblLook w:val="04A0" w:firstRow="1" w:lastRow="0" w:firstColumn="1" w:lastColumn="0" w:noHBand="0" w:noVBand="1"/>
      </w:tblPr>
      <w:tblGrid>
        <w:gridCol w:w="1930"/>
        <w:gridCol w:w="1957"/>
        <w:gridCol w:w="1583"/>
        <w:gridCol w:w="2059"/>
      </w:tblGrid>
      <w:tr w:rsidR="000E4B65" w:rsidRPr="000E4B65" w14:paraId="1F94F3A0"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A1EB79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البرنامج</w:t>
            </w:r>
          </w:p>
        </w:tc>
        <w:tc>
          <w:tcPr>
            <w:tcW w:w="0" w:type="auto"/>
            <w:hideMark/>
          </w:tcPr>
          <w:p w14:paraId="7776F832"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المستهدف</w:t>
            </w:r>
          </w:p>
        </w:tc>
        <w:tc>
          <w:tcPr>
            <w:tcW w:w="0" w:type="auto"/>
            <w:hideMark/>
          </w:tcPr>
          <w:p w14:paraId="2A1C812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عدد المتدربين</w:t>
            </w:r>
          </w:p>
        </w:tc>
        <w:tc>
          <w:tcPr>
            <w:tcW w:w="0" w:type="auto"/>
            <w:hideMark/>
          </w:tcPr>
          <w:p w14:paraId="2293EA6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المؤشر</w:t>
            </w:r>
          </w:p>
        </w:tc>
      </w:tr>
      <w:tr w:rsidR="000E4B65" w:rsidRPr="000E4B65" w14:paraId="635E3BB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2F20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الأمن السيبراني</w:t>
            </w:r>
          </w:p>
        </w:tc>
        <w:tc>
          <w:tcPr>
            <w:tcW w:w="0" w:type="auto"/>
            <w:hideMark/>
          </w:tcPr>
          <w:p w14:paraId="791CCE0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جميع المختصين</w:t>
            </w:r>
          </w:p>
        </w:tc>
        <w:tc>
          <w:tcPr>
            <w:tcW w:w="0" w:type="auto"/>
            <w:hideMark/>
          </w:tcPr>
          <w:p w14:paraId="61183B8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600</w:t>
            </w:r>
          </w:p>
        </w:tc>
        <w:tc>
          <w:tcPr>
            <w:tcW w:w="0" w:type="auto"/>
            <w:hideMark/>
          </w:tcPr>
          <w:p w14:paraId="79AFABC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ISO 27001</w:t>
            </w:r>
          </w:p>
        </w:tc>
      </w:tr>
      <w:tr w:rsidR="000E4B65" w:rsidRPr="000E4B65" w14:paraId="0D1E7A9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2706C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الذكاء الاصطناعي</w:t>
            </w:r>
          </w:p>
        </w:tc>
        <w:tc>
          <w:tcPr>
            <w:tcW w:w="0" w:type="auto"/>
            <w:hideMark/>
          </w:tcPr>
          <w:p w14:paraId="413C95F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محللو المخاطر</w:t>
            </w:r>
          </w:p>
        </w:tc>
        <w:tc>
          <w:tcPr>
            <w:tcW w:w="0" w:type="auto"/>
            <w:hideMark/>
          </w:tcPr>
          <w:p w14:paraId="4C5277C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400</w:t>
            </w:r>
          </w:p>
        </w:tc>
        <w:tc>
          <w:tcPr>
            <w:tcW w:w="0" w:type="auto"/>
            <w:hideMark/>
          </w:tcPr>
          <w:p w14:paraId="12CAE77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Practitioner</w:t>
            </w:r>
          </w:p>
        </w:tc>
      </w:tr>
      <w:tr w:rsidR="000E4B65" w:rsidRPr="000E4B65" w14:paraId="7E4C0B09"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522C8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تحليل البيانات</w:t>
            </w:r>
          </w:p>
        </w:tc>
        <w:tc>
          <w:tcPr>
            <w:tcW w:w="0" w:type="auto"/>
            <w:hideMark/>
          </w:tcPr>
          <w:p w14:paraId="1C8314EE"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الإدارات التشغيلية</w:t>
            </w:r>
          </w:p>
        </w:tc>
        <w:tc>
          <w:tcPr>
            <w:tcW w:w="0" w:type="auto"/>
            <w:hideMark/>
          </w:tcPr>
          <w:p w14:paraId="6BC6B8C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500</w:t>
            </w:r>
          </w:p>
        </w:tc>
        <w:tc>
          <w:tcPr>
            <w:tcW w:w="0" w:type="auto"/>
            <w:hideMark/>
          </w:tcPr>
          <w:p w14:paraId="41ABFE6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Data Analytics</w:t>
            </w:r>
          </w:p>
        </w:tc>
      </w:tr>
      <w:tr w:rsidR="000E4B65" w:rsidRPr="000E4B65" w14:paraId="21E06EF4"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50530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القيادة الرقمية</w:t>
            </w:r>
          </w:p>
        </w:tc>
        <w:tc>
          <w:tcPr>
            <w:tcW w:w="0" w:type="auto"/>
            <w:hideMark/>
          </w:tcPr>
          <w:p w14:paraId="128D153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القيادات العليا</w:t>
            </w:r>
          </w:p>
        </w:tc>
        <w:tc>
          <w:tcPr>
            <w:tcW w:w="0" w:type="auto"/>
            <w:hideMark/>
          </w:tcPr>
          <w:p w14:paraId="4973E69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150</w:t>
            </w:r>
          </w:p>
        </w:tc>
        <w:tc>
          <w:tcPr>
            <w:tcW w:w="0" w:type="auto"/>
            <w:hideMark/>
          </w:tcPr>
          <w:p w14:paraId="7E6272F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Digital Leadership</w:t>
            </w:r>
          </w:p>
        </w:tc>
      </w:tr>
      <w:tr w:rsidR="000E4B65" w:rsidRPr="000E4B65" w14:paraId="47E0DCA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0D539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الحوكمة</w:t>
            </w:r>
          </w:p>
        </w:tc>
        <w:tc>
          <w:tcPr>
            <w:tcW w:w="0" w:type="auto"/>
            <w:hideMark/>
          </w:tcPr>
          <w:p w14:paraId="2C4CB69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المديرون</w:t>
            </w:r>
          </w:p>
        </w:tc>
        <w:tc>
          <w:tcPr>
            <w:tcW w:w="0" w:type="auto"/>
            <w:hideMark/>
          </w:tcPr>
          <w:p w14:paraId="1605F74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200</w:t>
            </w:r>
          </w:p>
        </w:tc>
        <w:tc>
          <w:tcPr>
            <w:tcW w:w="0" w:type="auto"/>
            <w:hideMark/>
          </w:tcPr>
          <w:p w14:paraId="7DEB532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COBIT</w:t>
            </w:r>
          </w:p>
        </w:tc>
      </w:tr>
      <w:tr w:rsidR="000E4B65" w:rsidRPr="000E4B65" w14:paraId="4B6BEE55"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7DA70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الخدمات الذكية</w:t>
            </w:r>
          </w:p>
        </w:tc>
        <w:tc>
          <w:tcPr>
            <w:tcW w:w="0" w:type="auto"/>
            <w:hideMark/>
          </w:tcPr>
          <w:p w14:paraId="277E299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موظفو المنافذ</w:t>
            </w:r>
          </w:p>
        </w:tc>
        <w:tc>
          <w:tcPr>
            <w:tcW w:w="0" w:type="auto"/>
            <w:hideMark/>
          </w:tcPr>
          <w:p w14:paraId="2E0D479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1500</w:t>
            </w:r>
          </w:p>
        </w:tc>
        <w:tc>
          <w:tcPr>
            <w:tcW w:w="0" w:type="auto"/>
            <w:hideMark/>
          </w:tcPr>
          <w:p w14:paraId="4E8124C1"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Smart Customs</w:t>
            </w:r>
          </w:p>
        </w:tc>
      </w:tr>
    </w:tbl>
    <w:p w14:paraId="06A31424" w14:textId="6F531FFD" w:rsidR="000E4B65" w:rsidRPr="000E4B65" w:rsidRDefault="000E4B65" w:rsidP="000E4B65">
      <w:pPr>
        <w:pStyle w:val="BlockText"/>
        <w:spacing w:line="360" w:lineRule="auto"/>
        <w:jc w:val="lowKashida"/>
        <w:rPr>
          <w:rFonts w:ascii="Sakkal Majalla" w:hAnsi="Sakkal Majalla" w:cs="Sakkal Majalla"/>
          <w:sz w:val="28"/>
        </w:rPr>
      </w:pPr>
    </w:p>
    <w:p w14:paraId="394853B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رأي الباحث</w:t>
      </w:r>
    </w:p>
    <w:p w14:paraId="26C0548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يرى الباحث أن نجاح المرحلة الأولى لا يقاس فقط بعدد الأنظمة التي سيتم تحديثها أو حجم الإنفاق المالي المخصص لها، بل يقاس بمدى قدرة الهيئة على بناء قاعدة مؤسسية صلبة للتحول المستدام. فالاستثمار في جودة البيانات، والأمن السيبراني، وتأهيل الموارد البشرية، وتطوير البنية الرقمية يمثل الأساس الذي ستُبنى عليه جميع تطبيقات الذكاء الاصطناعي والتحليلات التنبؤية في المراحل اللاحقة. كما أن تحقيق هذه المستهدفات سيؤدي إلى تقليل زمن الإفراج الجمركي، ورفع مستوى الامتثال، وتعزيز ثقة القطاع الخاص في الخدمات الرقمية، بما يدعم تحقيق مستهدفات رؤية المملكة 2030 ويهيئ الهيئة للانتقال بثقة إلى مرحلة </w:t>
      </w:r>
      <w:r w:rsidRPr="000E4B65">
        <w:rPr>
          <w:rFonts w:ascii="Sakkal Majalla" w:hAnsi="Sakkal Majalla" w:cs="Sakkal Majalla"/>
          <w:b/>
          <w:bCs/>
          <w:sz w:val="28"/>
          <w:rtl/>
        </w:rPr>
        <w:t>التحول الذكي</w:t>
      </w:r>
      <w:r w:rsidRPr="000E4B65">
        <w:rPr>
          <w:rFonts w:ascii="Sakkal Majalla" w:hAnsi="Sakkal Majalla" w:cs="Sakkal Majalla"/>
          <w:sz w:val="28"/>
          <w:rtl/>
        </w:rPr>
        <w:t xml:space="preserve"> في الأعوام 2026–2027</w:t>
      </w:r>
      <w:r w:rsidRPr="000E4B65">
        <w:rPr>
          <w:rFonts w:ascii="Sakkal Majalla" w:hAnsi="Sakkal Majalla" w:cs="Sakkal Majalla"/>
          <w:sz w:val="28"/>
        </w:rPr>
        <w:t>.</w:t>
      </w:r>
    </w:p>
    <w:p w14:paraId="2730FDA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ممتاز، الآن ننتقل إلى الجزء الذي سيجعل الرسالة تبدو بالفعل كوثيقة استراتيجية صادرة عن جهة استشارية عالمية، وليس مجرد فصل أكاديمي</w:t>
      </w:r>
      <w:r w:rsidRPr="000E4B65">
        <w:rPr>
          <w:rFonts w:ascii="Sakkal Majalla" w:hAnsi="Sakkal Majalla" w:cs="Sakkal Majalla"/>
          <w:sz w:val="28"/>
        </w:rPr>
        <w:t>.</w:t>
      </w:r>
    </w:p>
    <w:p w14:paraId="7558231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Pr>
        <w:t xml:space="preserve">7-1-2 </w:t>
      </w:r>
      <w:r w:rsidRPr="000E4B65">
        <w:rPr>
          <w:rFonts w:ascii="Sakkal Majalla" w:hAnsi="Sakkal Majalla" w:cs="Sakkal Majalla"/>
          <w:b/>
          <w:bCs/>
          <w:sz w:val="28"/>
          <w:rtl/>
        </w:rPr>
        <w:t>المرحلة الثانية</w:t>
      </w:r>
      <w:r w:rsidRPr="000E4B65">
        <w:rPr>
          <w:rFonts w:ascii="Sakkal Majalla" w:hAnsi="Sakkal Majalla" w:cs="Sakkal Majalla"/>
          <w:b/>
          <w:bCs/>
          <w:sz w:val="28"/>
        </w:rPr>
        <w:t xml:space="preserve"> (2026–2027)</w:t>
      </w:r>
    </w:p>
    <w:p w14:paraId="51474F9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مرحلة التحول الذكي</w:t>
      </w:r>
      <w:r w:rsidRPr="000E4B65">
        <w:rPr>
          <w:rFonts w:ascii="Sakkal Majalla" w:hAnsi="Sakkal Majalla" w:cs="Sakkal Majalla"/>
          <w:b/>
          <w:bCs/>
          <w:sz w:val="28"/>
        </w:rPr>
        <w:t xml:space="preserve"> (AI-Driven Customs Transformation)</w:t>
      </w:r>
    </w:p>
    <w:p w14:paraId="37C6630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أولاً: الرؤية الاستراتيجية للمرحلة الثانية</w:t>
      </w:r>
    </w:p>
    <w:p w14:paraId="50D0C17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بعد اكتمال مرحلة التأسيس المتقدم، تصبح هيئة الزكاة والضريبة والجمارك في وضع يسمح لها بالانتقال إلى مستوى أكثر تقدماً من النضج الرقمي، يتمثل في التحول من مؤسسة تستخدم الأنظمة الرقمية إلى مؤسسة تعتمد في قراراتها التشغيلية والاستراتيجية على الذكاء الاصطناعي والتحليلات التنبؤية بصورة شاملة. وتمثل هذه المرحلة نقطة التحول الرئيسة في مسيرة الهيئة، حيث تنتقل العمليات الجمركية من مرحلة الأتمتة التقليدية إلى مرحلة الإدارة الذاتية الذكية</w:t>
      </w:r>
      <w:r w:rsidRPr="000E4B65">
        <w:rPr>
          <w:rFonts w:ascii="Sakkal Majalla" w:hAnsi="Sakkal Majalla" w:cs="Sakkal Majalla"/>
          <w:sz w:val="28"/>
        </w:rPr>
        <w:t xml:space="preserve"> </w:t>
      </w:r>
      <w:r w:rsidRPr="000E4B65">
        <w:rPr>
          <w:rFonts w:ascii="Sakkal Majalla" w:hAnsi="Sakkal Majalla" w:cs="Sakkal Majalla"/>
          <w:sz w:val="28"/>
        </w:rPr>
        <w:lastRenderedPageBreak/>
        <w:t>(Autonomous Customs Operations)</w:t>
      </w:r>
      <w:r w:rsidRPr="000E4B65">
        <w:rPr>
          <w:rFonts w:ascii="Sakkal Majalla" w:hAnsi="Sakkal Majalla" w:cs="Sakkal Majalla"/>
          <w:sz w:val="28"/>
          <w:rtl/>
        </w:rPr>
        <w:t>، التي تعتمد على تحليل البيانات الضخمة، والتعلم الآلي، والتنبؤ بالمخاطر، واتخاذ القرار بصورة شبه آلية</w:t>
      </w:r>
      <w:r w:rsidRPr="000E4B65">
        <w:rPr>
          <w:rFonts w:ascii="Sakkal Majalla" w:hAnsi="Sakkal Majalla" w:cs="Sakkal Majalla"/>
          <w:sz w:val="28"/>
        </w:rPr>
        <w:t>.</w:t>
      </w:r>
    </w:p>
    <w:p w14:paraId="739B544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ويؤكد الباحث أن التطور الحقيقي في أداء الإدارات الجمركية العالمية لم يعد يقاس بعدد الخدمات الرقمية أو سرعة إنجاز المعاملات فحسب، وإنما يقاس بقدرتها على اتخاذ قرارات استباقية قائمة على المعرفة، بحيث تتمكن من اكتشاف المخاطر قبل وقوعها، وتوجيه الموارد البشرية نحو القضايا ذات الأولوية، وتقليل الاعتماد على التدخل البشري في العمليات الروتينية. ومن هذا المنطلق، تستهدف المرحلة الثانية تحويل الهيئة إلى مؤسسة قائمة على الذكاء الاصطناعي</w:t>
      </w:r>
      <w:r w:rsidRPr="000E4B65">
        <w:rPr>
          <w:rFonts w:ascii="Sakkal Majalla" w:hAnsi="Sakkal Majalla" w:cs="Sakkal Majalla"/>
          <w:sz w:val="28"/>
        </w:rPr>
        <w:t xml:space="preserve"> (AI-Driven Organization)</w:t>
      </w:r>
      <w:r w:rsidRPr="000E4B65">
        <w:rPr>
          <w:rFonts w:ascii="Sakkal Majalla" w:hAnsi="Sakkal Majalla" w:cs="Sakkal Majalla"/>
          <w:sz w:val="28"/>
          <w:rtl/>
        </w:rPr>
        <w:t>، تصبح فيها البيانات هي المحرك الرئيس لجميع القرارات والإجراءات</w:t>
      </w:r>
      <w:r w:rsidRPr="000E4B65">
        <w:rPr>
          <w:rFonts w:ascii="Sakkal Majalla" w:hAnsi="Sakkal Majalla" w:cs="Sakkal Majalla"/>
          <w:sz w:val="28"/>
        </w:rPr>
        <w:t>.</w:t>
      </w:r>
    </w:p>
    <w:p w14:paraId="1E820E3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(7-6)</w:t>
      </w:r>
    </w:p>
    <w:p w14:paraId="7E68D89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التحول الذكي لهيئة</w:t>
      </w:r>
      <w:r w:rsidRPr="000E4B65">
        <w:rPr>
          <w:rFonts w:ascii="Sakkal Majalla" w:hAnsi="Sakkal Majalla" w:cs="Sakkal Majalla"/>
          <w:b/>
          <w:bCs/>
          <w:sz w:val="28"/>
        </w:rPr>
        <w:t xml:space="preserve"> ZATCA (2026–2027)</w:t>
      </w:r>
    </w:p>
    <w:tbl>
      <w:tblPr>
        <w:tblStyle w:val="PlainTable3"/>
        <w:tblW w:w="0" w:type="auto"/>
        <w:jc w:val="center"/>
        <w:tblLook w:val="04A0" w:firstRow="1" w:lastRow="0" w:firstColumn="1" w:lastColumn="0" w:noHBand="0" w:noVBand="1"/>
      </w:tblPr>
      <w:tblGrid>
        <w:gridCol w:w="1883"/>
        <w:gridCol w:w="1507"/>
        <w:gridCol w:w="1784"/>
        <w:gridCol w:w="1334"/>
        <w:gridCol w:w="1413"/>
        <w:gridCol w:w="1439"/>
      </w:tblGrid>
      <w:tr w:rsidR="000E4B65" w:rsidRPr="000E4B65" w14:paraId="6A9277C1"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7499C3B"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المبادرة الاستراتيجية</w:t>
            </w:r>
          </w:p>
        </w:tc>
        <w:tc>
          <w:tcPr>
            <w:tcW w:w="0" w:type="auto"/>
            <w:hideMark/>
          </w:tcPr>
          <w:p w14:paraId="7DFB3DA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الهدف التنفيذي</w:t>
            </w:r>
          </w:p>
        </w:tc>
        <w:tc>
          <w:tcPr>
            <w:tcW w:w="0" w:type="auto"/>
            <w:hideMark/>
          </w:tcPr>
          <w:p w14:paraId="2A790EAE"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التقنيات المستخدمة</w:t>
            </w:r>
          </w:p>
        </w:tc>
        <w:tc>
          <w:tcPr>
            <w:tcW w:w="0" w:type="auto"/>
            <w:hideMark/>
          </w:tcPr>
          <w:p w14:paraId="0134E8FB"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الجهة المسؤولة</w:t>
            </w:r>
          </w:p>
        </w:tc>
        <w:tc>
          <w:tcPr>
            <w:tcW w:w="0" w:type="auto"/>
            <w:hideMark/>
          </w:tcPr>
          <w:p w14:paraId="65DA886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الإطار الزمني</w:t>
            </w:r>
          </w:p>
        </w:tc>
        <w:tc>
          <w:tcPr>
            <w:tcW w:w="0" w:type="auto"/>
            <w:hideMark/>
          </w:tcPr>
          <w:p w14:paraId="0BAF9923"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مؤشر الأداء</w:t>
            </w:r>
            <w:r w:rsidRPr="000E4B65">
              <w:rPr>
                <w:rFonts w:ascii="Sakkal Majalla" w:hAnsi="Sakkal Majalla" w:cs="Sakkal Majalla"/>
                <w:sz w:val="24"/>
                <w:szCs w:val="24"/>
              </w:rPr>
              <w:t xml:space="preserve"> (KPI)</w:t>
            </w:r>
          </w:p>
        </w:tc>
      </w:tr>
      <w:tr w:rsidR="000E4B65" w:rsidRPr="000E4B65" w14:paraId="48D6A72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090F1E"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منصة الذكاء الاصطناعي الجمركي</w:t>
            </w:r>
            <w:r w:rsidRPr="000E4B65">
              <w:rPr>
                <w:rFonts w:ascii="Sakkal Majalla" w:hAnsi="Sakkal Majalla" w:cs="Sakkal Majalla"/>
                <w:sz w:val="24"/>
                <w:szCs w:val="24"/>
              </w:rPr>
              <w:t xml:space="preserve"> (DAISY-SA)</w:t>
            </w:r>
          </w:p>
        </w:tc>
        <w:tc>
          <w:tcPr>
            <w:tcW w:w="0" w:type="auto"/>
            <w:hideMark/>
          </w:tcPr>
          <w:p w14:paraId="4695A9D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بناء نموذج سعودي لإدارة المخاطر</w:t>
            </w:r>
          </w:p>
        </w:tc>
        <w:tc>
          <w:tcPr>
            <w:tcW w:w="0" w:type="auto"/>
            <w:hideMark/>
          </w:tcPr>
          <w:p w14:paraId="76A29DC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Machine Learning – Deep Learning – NLP</w:t>
            </w:r>
          </w:p>
        </w:tc>
        <w:tc>
          <w:tcPr>
            <w:tcW w:w="0" w:type="auto"/>
            <w:hideMark/>
          </w:tcPr>
          <w:p w14:paraId="578C16B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مركز الابتكار الرقمي</w:t>
            </w:r>
          </w:p>
        </w:tc>
        <w:tc>
          <w:tcPr>
            <w:tcW w:w="0" w:type="auto"/>
            <w:hideMark/>
          </w:tcPr>
          <w:p w14:paraId="344F42B8" w14:textId="19AAAF64"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الربع الأول 202</w:t>
            </w:r>
            <w:r w:rsidR="006043F5">
              <w:rPr>
                <w:rFonts w:ascii="Sakkal Majalla" w:hAnsi="Sakkal Majalla" w:cs="Sakkal Majalla" w:hint="cs"/>
                <w:sz w:val="24"/>
                <w:szCs w:val="24"/>
                <w:rtl/>
                <w:lang w:bidi="ar-EG"/>
              </w:rPr>
              <w:t>7</w:t>
            </w:r>
            <w:r w:rsidRPr="000E4B65">
              <w:rPr>
                <w:rFonts w:ascii="Sakkal Majalla" w:hAnsi="Sakkal Majalla" w:cs="Sakkal Majalla"/>
                <w:sz w:val="24"/>
                <w:szCs w:val="24"/>
                <w:rtl/>
              </w:rPr>
              <w:t xml:space="preserve"> – الربع الثاني 202</w:t>
            </w:r>
            <w:r w:rsidR="006043F5">
              <w:rPr>
                <w:rFonts w:ascii="Sakkal Majalla" w:hAnsi="Sakkal Majalla" w:cs="Sakkal Majalla" w:hint="cs"/>
                <w:sz w:val="24"/>
                <w:szCs w:val="24"/>
                <w:rtl/>
              </w:rPr>
              <w:t>7</w:t>
            </w:r>
          </w:p>
        </w:tc>
        <w:tc>
          <w:tcPr>
            <w:tcW w:w="0" w:type="auto"/>
            <w:hideMark/>
          </w:tcPr>
          <w:p w14:paraId="5FBF4C1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دقة التنبؤ بالمخاطر ≥ 93</w:t>
            </w:r>
            <w:r w:rsidRPr="000E4B65">
              <w:rPr>
                <w:rFonts w:ascii="Sakkal Majalla" w:hAnsi="Sakkal Majalla" w:cs="Sakkal Majalla"/>
                <w:sz w:val="24"/>
                <w:szCs w:val="24"/>
              </w:rPr>
              <w:t>%</w:t>
            </w:r>
          </w:p>
        </w:tc>
      </w:tr>
      <w:tr w:rsidR="000E4B65" w:rsidRPr="000E4B65" w14:paraId="64ED1BC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D78817"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التخليص الجمركي الذاتي</w:t>
            </w:r>
          </w:p>
        </w:tc>
        <w:tc>
          <w:tcPr>
            <w:tcW w:w="0" w:type="auto"/>
            <w:hideMark/>
          </w:tcPr>
          <w:p w14:paraId="008CBD0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أتمتة 85% من عمليات الإفراج</w:t>
            </w:r>
          </w:p>
        </w:tc>
        <w:tc>
          <w:tcPr>
            <w:tcW w:w="0" w:type="auto"/>
            <w:hideMark/>
          </w:tcPr>
          <w:p w14:paraId="323CE4A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AI + OCR + RPA</w:t>
            </w:r>
          </w:p>
        </w:tc>
        <w:tc>
          <w:tcPr>
            <w:tcW w:w="0" w:type="auto"/>
            <w:hideMark/>
          </w:tcPr>
          <w:p w14:paraId="651CA11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العمليات الجمركية</w:t>
            </w:r>
          </w:p>
        </w:tc>
        <w:tc>
          <w:tcPr>
            <w:tcW w:w="0" w:type="auto"/>
            <w:hideMark/>
          </w:tcPr>
          <w:p w14:paraId="165D3DE6" w14:textId="4B6221BC"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121C5B7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الإفراج الآلي لـ 85% من الشحنات</w:t>
            </w:r>
          </w:p>
        </w:tc>
      </w:tr>
      <w:tr w:rsidR="000E4B65" w:rsidRPr="000E4B65" w14:paraId="5A1812C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4F6254"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التحليلات التنبؤية</w:t>
            </w:r>
          </w:p>
        </w:tc>
        <w:tc>
          <w:tcPr>
            <w:tcW w:w="0" w:type="auto"/>
            <w:hideMark/>
          </w:tcPr>
          <w:p w14:paraId="3B7C23D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التنبؤ بالمخاطر قبل وصول الشحنات</w:t>
            </w:r>
          </w:p>
        </w:tc>
        <w:tc>
          <w:tcPr>
            <w:tcW w:w="0" w:type="auto"/>
            <w:hideMark/>
          </w:tcPr>
          <w:p w14:paraId="24776AD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Predictive Analytics</w:t>
            </w:r>
          </w:p>
        </w:tc>
        <w:tc>
          <w:tcPr>
            <w:tcW w:w="0" w:type="auto"/>
            <w:hideMark/>
          </w:tcPr>
          <w:p w14:paraId="144A600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إدارة المخاطر</w:t>
            </w:r>
          </w:p>
        </w:tc>
        <w:tc>
          <w:tcPr>
            <w:tcW w:w="0" w:type="auto"/>
            <w:hideMark/>
          </w:tcPr>
          <w:p w14:paraId="04527636" w14:textId="521DBDB0"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8</w:t>
            </w:r>
            <w:r w:rsidRPr="000E4B65">
              <w:rPr>
                <w:rFonts w:ascii="Sakkal Majalla" w:hAnsi="Sakkal Majalla" w:cs="Sakkal Majalla"/>
                <w:sz w:val="24"/>
                <w:szCs w:val="24"/>
              </w:rPr>
              <w:t>–2027</w:t>
            </w:r>
          </w:p>
        </w:tc>
        <w:tc>
          <w:tcPr>
            <w:tcW w:w="0" w:type="auto"/>
            <w:hideMark/>
          </w:tcPr>
          <w:p w14:paraId="6A8DB9A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تقليل المخاطر بنسبة 40</w:t>
            </w:r>
            <w:r w:rsidRPr="000E4B65">
              <w:rPr>
                <w:rFonts w:ascii="Sakkal Majalla" w:hAnsi="Sakkal Majalla" w:cs="Sakkal Majalla"/>
                <w:sz w:val="24"/>
                <w:szCs w:val="24"/>
              </w:rPr>
              <w:t>%</w:t>
            </w:r>
          </w:p>
        </w:tc>
      </w:tr>
      <w:tr w:rsidR="000E4B65" w:rsidRPr="000E4B65" w14:paraId="3158BDD7"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96728D"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التشفير المقاوم للحوسبة الكمية</w:t>
            </w:r>
          </w:p>
        </w:tc>
        <w:tc>
          <w:tcPr>
            <w:tcW w:w="0" w:type="auto"/>
            <w:hideMark/>
          </w:tcPr>
          <w:p w14:paraId="6EB585E1"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حماية البنية الرقمية مستقبلاً</w:t>
            </w:r>
          </w:p>
        </w:tc>
        <w:tc>
          <w:tcPr>
            <w:tcW w:w="0" w:type="auto"/>
            <w:hideMark/>
          </w:tcPr>
          <w:p w14:paraId="44DDEFD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Quantum-Safe Encryption</w:t>
            </w:r>
          </w:p>
        </w:tc>
        <w:tc>
          <w:tcPr>
            <w:tcW w:w="0" w:type="auto"/>
            <w:hideMark/>
          </w:tcPr>
          <w:p w14:paraId="1146E28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676DEDB9" w14:textId="3B5E227E"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7F45BC6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جاهزية أمنية 100</w:t>
            </w:r>
            <w:r w:rsidRPr="000E4B65">
              <w:rPr>
                <w:rFonts w:ascii="Sakkal Majalla" w:hAnsi="Sakkal Majalla" w:cs="Sakkal Majalla"/>
                <w:sz w:val="24"/>
                <w:szCs w:val="24"/>
              </w:rPr>
              <w:t>%</w:t>
            </w:r>
          </w:p>
        </w:tc>
      </w:tr>
      <w:tr w:rsidR="000E4B65" w:rsidRPr="000E4B65" w14:paraId="489A182D"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77AA76"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lastRenderedPageBreak/>
              <w:t>منصة القرار الذكي</w:t>
            </w:r>
          </w:p>
        </w:tc>
        <w:tc>
          <w:tcPr>
            <w:tcW w:w="0" w:type="auto"/>
            <w:hideMark/>
          </w:tcPr>
          <w:p w14:paraId="6DD3440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دعم القيادات بلوحات لحظية</w:t>
            </w:r>
          </w:p>
        </w:tc>
        <w:tc>
          <w:tcPr>
            <w:tcW w:w="0" w:type="auto"/>
            <w:hideMark/>
          </w:tcPr>
          <w:p w14:paraId="5CE5FEE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Executive AI Dashboard</w:t>
            </w:r>
          </w:p>
        </w:tc>
        <w:tc>
          <w:tcPr>
            <w:tcW w:w="0" w:type="auto"/>
            <w:hideMark/>
          </w:tcPr>
          <w:p w14:paraId="7E7205C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مكتب المحافظ</w:t>
            </w:r>
          </w:p>
        </w:tc>
        <w:tc>
          <w:tcPr>
            <w:tcW w:w="0" w:type="auto"/>
            <w:hideMark/>
          </w:tcPr>
          <w:p w14:paraId="775516F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2027</w:t>
            </w:r>
          </w:p>
        </w:tc>
        <w:tc>
          <w:tcPr>
            <w:tcW w:w="0" w:type="auto"/>
            <w:hideMark/>
          </w:tcPr>
          <w:p w14:paraId="165EA98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تقليل زمن اتخاذ القرار 60</w:t>
            </w:r>
            <w:r w:rsidRPr="000E4B65">
              <w:rPr>
                <w:rFonts w:ascii="Sakkal Majalla" w:hAnsi="Sakkal Majalla" w:cs="Sakkal Majalla"/>
                <w:sz w:val="24"/>
                <w:szCs w:val="24"/>
              </w:rPr>
              <w:t>%</w:t>
            </w:r>
          </w:p>
        </w:tc>
      </w:tr>
    </w:tbl>
    <w:p w14:paraId="060CB7E6"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ثانياً: مشروع منصة الذكاء الاصطناعي الجمركي</w:t>
      </w:r>
      <w:r w:rsidRPr="000E4B65">
        <w:rPr>
          <w:rFonts w:ascii="Sakkal Majalla" w:hAnsi="Sakkal Majalla" w:cs="Sakkal Majalla"/>
          <w:b/>
          <w:bCs/>
          <w:sz w:val="28"/>
        </w:rPr>
        <w:t xml:space="preserve"> (DAISY-SA)</w:t>
      </w:r>
    </w:p>
    <w:p w14:paraId="30F7A49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يقترح الباحث إنشاء منصة وطنية متقدمة تحمل اسم </w:t>
      </w:r>
      <w:r w:rsidRPr="000E4B65">
        <w:rPr>
          <w:rFonts w:ascii="Sakkal Majalla" w:hAnsi="Sakkal Majalla" w:cs="Sakkal Majalla"/>
          <w:b/>
          <w:bCs/>
          <w:sz w:val="28"/>
        </w:rPr>
        <w:t>DAISY-SA</w:t>
      </w:r>
      <w:r w:rsidRPr="000E4B65">
        <w:rPr>
          <w:rFonts w:ascii="Sakkal Majalla" w:hAnsi="Sakkal Majalla" w:cs="Sakkal Majalla"/>
          <w:sz w:val="28"/>
          <w:rtl/>
        </w:rPr>
        <w:t>، تمثل النسخة السعودية المطورة من الأنظمة العالمية لإدارة المخاطر، مع مراعاة الخصائص التنظيمية والاقتصادية والتشريعية للمملكة. وتهدف هذه المنصة إلى بناء نموذج ذكاء اصطناعي قادر على تحليل ملايين السجلات الجمركية والضريبية بصورة آنية، والتعرف على الأنماط غير الطبيعية، واكتشاف حالات التهرب الضريبي والجمركي، وتحديد الشحنات ذات الخطورة المرتفعة قبل وصولها إلى المنافذ</w:t>
      </w:r>
      <w:r w:rsidRPr="000E4B65">
        <w:rPr>
          <w:rFonts w:ascii="Sakkal Majalla" w:hAnsi="Sakkal Majalla" w:cs="Sakkal Majalla"/>
          <w:sz w:val="28"/>
        </w:rPr>
        <w:t>.</w:t>
      </w:r>
    </w:p>
    <w:p w14:paraId="2772B50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وستعتمد المنصة على الدمج بين تقنيات التعلم الآلي</w:t>
      </w:r>
      <w:r w:rsidRPr="000E4B65">
        <w:rPr>
          <w:rFonts w:ascii="Sakkal Majalla" w:hAnsi="Sakkal Majalla" w:cs="Sakkal Majalla"/>
          <w:sz w:val="28"/>
        </w:rPr>
        <w:t xml:space="preserve"> (Machine Learning)</w:t>
      </w:r>
      <w:r w:rsidRPr="000E4B65">
        <w:rPr>
          <w:rFonts w:ascii="Sakkal Majalla" w:hAnsi="Sakkal Majalla" w:cs="Sakkal Majalla"/>
          <w:sz w:val="28"/>
          <w:rtl/>
        </w:rPr>
        <w:t>، والتعلم العميق</w:t>
      </w:r>
      <w:r w:rsidRPr="000E4B65">
        <w:rPr>
          <w:rFonts w:ascii="Sakkal Majalla" w:hAnsi="Sakkal Majalla" w:cs="Sakkal Majalla"/>
          <w:sz w:val="28"/>
        </w:rPr>
        <w:t xml:space="preserve"> (Deep Learning)</w:t>
      </w:r>
      <w:r w:rsidRPr="000E4B65">
        <w:rPr>
          <w:rFonts w:ascii="Sakkal Majalla" w:hAnsi="Sakkal Majalla" w:cs="Sakkal Majalla"/>
          <w:sz w:val="28"/>
          <w:rtl/>
        </w:rPr>
        <w:t>، ومعالجة اللغة الطبيعية</w:t>
      </w:r>
      <w:r w:rsidRPr="000E4B65">
        <w:rPr>
          <w:rFonts w:ascii="Sakkal Majalla" w:hAnsi="Sakkal Majalla" w:cs="Sakkal Majalla"/>
          <w:sz w:val="28"/>
        </w:rPr>
        <w:t xml:space="preserve"> (Natural Language Processing)</w:t>
      </w:r>
      <w:r w:rsidRPr="000E4B65">
        <w:rPr>
          <w:rFonts w:ascii="Sakkal Majalla" w:hAnsi="Sakkal Majalla" w:cs="Sakkal Majalla"/>
          <w:sz w:val="28"/>
          <w:rtl/>
        </w:rPr>
        <w:t>، بما يسمح بتحليل الوثائق الجمركية، والفواتير الإلكترونية، وبيانات سلاسل الإمداد، وربطها بالمعلومات الواردة من الجهات الحكومية والقطاع الخاص. كما ستتضمن المنصة محركاً للتعلم المستمر</w:t>
      </w:r>
      <w:r w:rsidRPr="000E4B65">
        <w:rPr>
          <w:rFonts w:ascii="Sakkal Majalla" w:hAnsi="Sakkal Majalla" w:cs="Sakkal Majalla"/>
          <w:sz w:val="28"/>
        </w:rPr>
        <w:t xml:space="preserve"> (Continuous Learning Engine)</w:t>
      </w:r>
      <w:r w:rsidRPr="000E4B65">
        <w:rPr>
          <w:rFonts w:ascii="Sakkal Majalla" w:hAnsi="Sakkal Majalla" w:cs="Sakkal Majalla"/>
          <w:sz w:val="28"/>
          <w:rtl/>
        </w:rPr>
        <w:t>، يتيح تحسين دقة النماذج بصورة تلقائية مع تراكم البيانات، مما يرفع كفاءة إدارة المخاطر بمرور الوقت</w:t>
      </w:r>
      <w:r w:rsidRPr="000E4B65">
        <w:rPr>
          <w:rFonts w:ascii="Sakkal Majalla" w:hAnsi="Sakkal Majalla" w:cs="Sakkal Majalla"/>
          <w:sz w:val="28"/>
        </w:rPr>
        <w:t>.</w:t>
      </w:r>
    </w:p>
    <w:p w14:paraId="3EA7C5E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(7-7)</w:t>
      </w:r>
    </w:p>
    <w:p w14:paraId="4560174B"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مكونات منصة</w:t>
      </w:r>
      <w:r w:rsidRPr="000E4B65">
        <w:rPr>
          <w:rFonts w:ascii="Sakkal Majalla" w:hAnsi="Sakkal Majalla" w:cs="Sakkal Majalla"/>
          <w:b/>
          <w:bCs/>
          <w:sz w:val="28"/>
        </w:rPr>
        <w:t xml:space="preserve"> DAISY-SA</w:t>
      </w:r>
    </w:p>
    <w:tbl>
      <w:tblPr>
        <w:tblStyle w:val="PlainTable3"/>
        <w:tblW w:w="0" w:type="auto"/>
        <w:jc w:val="center"/>
        <w:tblLook w:val="04A0" w:firstRow="1" w:lastRow="0" w:firstColumn="1" w:lastColumn="0" w:noHBand="0" w:noVBand="1"/>
      </w:tblPr>
      <w:tblGrid>
        <w:gridCol w:w="2922"/>
        <w:gridCol w:w="1685"/>
        <w:gridCol w:w="2467"/>
      </w:tblGrid>
      <w:tr w:rsidR="000E4B65" w:rsidRPr="000E4B65" w14:paraId="1664B8AB"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26A731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المكون</w:t>
            </w:r>
          </w:p>
        </w:tc>
        <w:tc>
          <w:tcPr>
            <w:tcW w:w="0" w:type="auto"/>
            <w:hideMark/>
          </w:tcPr>
          <w:p w14:paraId="18CCE5F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الوظيفة</w:t>
            </w:r>
          </w:p>
        </w:tc>
        <w:tc>
          <w:tcPr>
            <w:tcW w:w="0" w:type="auto"/>
            <w:hideMark/>
          </w:tcPr>
          <w:p w14:paraId="079FBEBB"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القيمة المضافة</w:t>
            </w:r>
          </w:p>
        </w:tc>
      </w:tr>
      <w:tr w:rsidR="000E4B65" w:rsidRPr="000E4B65" w14:paraId="16AC1B37"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0D3C7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AI Risk Engine</w:t>
            </w:r>
          </w:p>
        </w:tc>
        <w:tc>
          <w:tcPr>
            <w:tcW w:w="0" w:type="auto"/>
            <w:hideMark/>
          </w:tcPr>
          <w:p w14:paraId="63D5212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تحليل المخاطر</w:t>
            </w:r>
          </w:p>
        </w:tc>
        <w:tc>
          <w:tcPr>
            <w:tcW w:w="0" w:type="auto"/>
            <w:hideMark/>
          </w:tcPr>
          <w:p w14:paraId="0265CE6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رفع دقة الكشف إلى 93</w:t>
            </w:r>
            <w:r w:rsidRPr="000E4B65">
              <w:rPr>
                <w:rFonts w:ascii="Sakkal Majalla" w:hAnsi="Sakkal Majalla" w:cs="Sakkal Majalla"/>
                <w:sz w:val="28"/>
              </w:rPr>
              <w:t>%</w:t>
            </w:r>
          </w:p>
        </w:tc>
      </w:tr>
      <w:tr w:rsidR="000E4B65" w:rsidRPr="000E4B65" w14:paraId="7530F01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9CBFA2"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Fraud Detection</w:t>
            </w:r>
          </w:p>
        </w:tc>
        <w:tc>
          <w:tcPr>
            <w:tcW w:w="0" w:type="auto"/>
            <w:hideMark/>
          </w:tcPr>
          <w:p w14:paraId="0F70929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كشف التهرب</w:t>
            </w:r>
          </w:p>
        </w:tc>
        <w:tc>
          <w:tcPr>
            <w:tcW w:w="0" w:type="auto"/>
            <w:hideMark/>
          </w:tcPr>
          <w:p w14:paraId="6CB4F53C"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تقليل الخسائر المالية</w:t>
            </w:r>
          </w:p>
        </w:tc>
      </w:tr>
      <w:tr w:rsidR="000E4B65" w:rsidRPr="000E4B65" w14:paraId="2B2F5D0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776E6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NLP Engine</w:t>
            </w:r>
          </w:p>
        </w:tc>
        <w:tc>
          <w:tcPr>
            <w:tcW w:w="0" w:type="auto"/>
            <w:hideMark/>
          </w:tcPr>
          <w:p w14:paraId="0DD373B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تحليل الوثائق</w:t>
            </w:r>
          </w:p>
        </w:tc>
        <w:tc>
          <w:tcPr>
            <w:tcW w:w="0" w:type="auto"/>
            <w:hideMark/>
          </w:tcPr>
          <w:p w14:paraId="040ABE3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تقليل الأخطاء البشرية</w:t>
            </w:r>
          </w:p>
        </w:tc>
      </w:tr>
      <w:tr w:rsidR="000E4B65" w:rsidRPr="000E4B65" w14:paraId="734784B7"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0BF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Predictive Analytics</w:t>
            </w:r>
          </w:p>
        </w:tc>
        <w:tc>
          <w:tcPr>
            <w:tcW w:w="0" w:type="auto"/>
            <w:hideMark/>
          </w:tcPr>
          <w:p w14:paraId="4497B81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التنبؤ بالمخاطر</w:t>
            </w:r>
          </w:p>
        </w:tc>
        <w:tc>
          <w:tcPr>
            <w:tcW w:w="0" w:type="auto"/>
            <w:hideMark/>
          </w:tcPr>
          <w:p w14:paraId="0B7DC6F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استباق التهديدات</w:t>
            </w:r>
          </w:p>
        </w:tc>
      </w:tr>
      <w:tr w:rsidR="000E4B65" w:rsidRPr="000E4B65" w14:paraId="0D0D7993"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B522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Explainable AI</w:t>
            </w:r>
          </w:p>
        </w:tc>
        <w:tc>
          <w:tcPr>
            <w:tcW w:w="0" w:type="auto"/>
            <w:hideMark/>
          </w:tcPr>
          <w:p w14:paraId="424B446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تفسير القرارات</w:t>
            </w:r>
          </w:p>
        </w:tc>
        <w:tc>
          <w:tcPr>
            <w:tcW w:w="0" w:type="auto"/>
            <w:hideMark/>
          </w:tcPr>
          <w:p w14:paraId="5C8C4A5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تعزيز الشفافية والثقة</w:t>
            </w:r>
          </w:p>
        </w:tc>
      </w:tr>
      <w:tr w:rsidR="000E4B65" w:rsidRPr="000E4B65" w14:paraId="40D8D1D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FDC12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Continuous Learning</w:t>
            </w:r>
          </w:p>
        </w:tc>
        <w:tc>
          <w:tcPr>
            <w:tcW w:w="0" w:type="auto"/>
            <w:hideMark/>
          </w:tcPr>
          <w:p w14:paraId="19E91E8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التعلم المستمر</w:t>
            </w:r>
          </w:p>
        </w:tc>
        <w:tc>
          <w:tcPr>
            <w:tcW w:w="0" w:type="auto"/>
            <w:hideMark/>
          </w:tcPr>
          <w:p w14:paraId="1F454E4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تحسين الأداء تلقائياً</w:t>
            </w:r>
          </w:p>
        </w:tc>
      </w:tr>
    </w:tbl>
    <w:p w14:paraId="0D9563B2"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lastRenderedPageBreak/>
        <w:t>ثالثاً: مشروع التخليص الجمركي الذاتي</w:t>
      </w:r>
      <w:r w:rsidRPr="000E4B65">
        <w:rPr>
          <w:rFonts w:ascii="Sakkal Majalla" w:hAnsi="Sakkal Majalla" w:cs="Sakkal Majalla"/>
          <w:b/>
          <w:bCs/>
          <w:sz w:val="28"/>
        </w:rPr>
        <w:t xml:space="preserve"> (Autonomous Customs Clearance)</w:t>
      </w:r>
    </w:p>
    <w:p w14:paraId="371E68E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يمثل هذا المشروع أحد أكثر المبادرات طموحاً في الخطة المقترحة، حيث يهدف إلى تحويل معظم إجراءات الإفراج الجمركي إلى عمليات تتم بصورة آلية بالكامل دون تدخل بشري، مع الإبقاء على التدخل البشري في الحالات الاستثنائية فقط. ويستند هذا المشروع إلى دمج تقنيات التعرف الضوئي على الحروف</w:t>
      </w:r>
      <w:r w:rsidRPr="000E4B65">
        <w:rPr>
          <w:rFonts w:ascii="Sakkal Majalla" w:hAnsi="Sakkal Majalla" w:cs="Sakkal Majalla"/>
          <w:sz w:val="28"/>
        </w:rPr>
        <w:t xml:space="preserve"> (OCR)</w:t>
      </w:r>
      <w:r w:rsidRPr="000E4B65">
        <w:rPr>
          <w:rFonts w:ascii="Sakkal Majalla" w:hAnsi="Sakkal Majalla" w:cs="Sakkal Majalla"/>
          <w:sz w:val="28"/>
          <w:rtl/>
        </w:rPr>
        <w:t>، والأتمتة الروبوتية للعمليات</w:t>
      </w:r>
      <w:r w:rsidRPr="000E4B65">
        <w:rPr>
          <w:rFonts w:ascii="Sakkal Majalla" w:hAnsi="Sakkal Majalla" w:cs="Sakkal Majalla"/>
          <w:sz w:val="28"/>
        </w:rPr>
        <w:t xml:space="preserve"> (RPA)</w:t>
      </w:r>
      <w:r w:rsidRPr="000E4B65">
        <w:rPr>
          <w:rFonts w:ascii="Sakkal Majalla" w:hAnsi="Sakkal Majalla" w:cs="Sakkal Majalla"/>
          <w:sz w:val="28"/>
          <w:rtl/>
        </w:rPr>
        <w:t>، والذكاء الاصطناعي، بحيث يتم استقبال البيانات، والتحقق من الوثائق، وتحليل المخاطر، وإصدار قرار الإفراج أو الفحص بصورة فورية</w:t>
      </w:r>
      <w:r w:rsidRPr="000E4B65">
        <w:rPr>
          <w:rFonts w:ascii="Sakkal Majalla" w:hAnsi="Sakkal Majalla" w:cs="Sakkal Majalla"/>
          <w:sz w:val="28"/>
        </w:rPr>
        <w:t>.</w:t>
      </w:r>
    </w:p>
    <w:p w14:paraId="24AB131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ومن المتوقع أن يسهم هذا المشروع في خفض زمن الإفراج الجمركي إلى أقل من 20 دقيقة في معظم الشحنات منخفضة المخاطر، وتقليل تكاليف التشغيل، وتحسين تجربة المتعاملين، وزيادة القدرة الاستيعابية للمنافذ الجمركية دون الحاجة إلى زيادة مماثلة في أعداد الموظفين</w:t>
      </w:r>
      <w:r w:rsidRPr="000E4B65">
        <w:rPr>
          <w:rFonts w:ascii="Sakkal Majalla" w:hAnsi="Sakkal Majalla" w:cs="Sakkal Majalla"/>
          <w:sz w:val="28"/>
        </w:rPr>
        <w:t>.</w:t>
      </w:r>
    </w:p>
    <w:p w14:paraId="2E2B4F5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(7-8)</w:t>
      </w:r>
    </w:p>
    <w:p w14:paraId="4E90518A"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دورة الإفراج الجمركي الذكي</w:t>
      </w:r>
    </w:p>
    <w:tbl>
      <w:tblPr>
        <w:tblStyle w:val="PlainTable3"/>
        <w:tblW w:w="0" w:type="auto"/>
        <w:jc w:val="center"/>
        <w:tblLook w:val="04A0" w:firstRow="1" w:lastRow="0" w:firstColumn="1" w:lastColumn="0" w:noHBand="0" w:noVBand="1"/>
      </w:tblPr>
      <w:tblGrid>
        <w:gridCol w:w="2013"/>
        <w:gridCol w:w="1682"/>
        <w:gridCol w:w="2709"/>
      </w:tblGrid>
      <w:tr w:rsidR="000E4B65" w:rsidRPr="000E4B65" w14:paraId="672AB026"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195022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المرحلة</w:t>
            </w:r>
          </w:p>
        </w:tc>
        <w:tc>
          <w:tcPr>
            <w:tcW w:w="0" w:type="auto"/>
            <w:hideMark/>
          </w:tcPr>
          <w:p w14:paraId="1C80AF5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قبل التحول</w:t>
            </w:r>
          </w:p>
        </w:tc>
        <w:tc>
          <w:tcPr>
            <w:tcW w:w="0" w:type="auto"/>
            <w:hideMark/>
          </w:tcPr>
          <w:p w14:paraId="0FD48623"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بعد التحول</w:t>
            </w:r>
          </w:p>
        </w:tc>
      </w:tr>
      <w:tr w:rsidR="000E4B65" w:rsidRPr="000E4B65" w14:paraId="3B0DBF0A"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B48DE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استقبال البيانات</w:t>
            </w:r>
          </w:p>
        </w:tc>
        <w:tc>
          <w:tcPr>
            <w:tcW w:w="0" w:type="auto"/>
            <w:hideMark/>
          </w:tcPr>
          <w:p w14:paraId="08B59B1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إدخال يدوي</w:t>
            </w:r>
          </w:p>
        </w:tc>
        <w:tc>
          <w:tcPr>
            <w:tcW w:w="0" w:type="auto"/>
            <w:hideMark/>
          </w:tcPr>
          <w:p w14:paraId="3A0A5FE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استقبال إلكتروني فوري</w:t>
            </w:r>
          </w:p>
        </w:tc>
      </w:tr>
      <w:tr w:rsidR="000E4B65" w:rsidRPr="000E4B65" w14:paraId="3D2393FE"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66BD3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مراجعة المستندات</w:t>
            </w:r>
          </w:p>
        </w:tc>
        <w:tc>
          <w:tcPr>
            <w:tcW w:w="0" w:type="auto"/>
            <w:hideMark/>
          </w:tcPr>
          <w:p w14:paraId="1575FE5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موظف مختص</w:t>
            </w:r>
          </w:p>
        </w:tc>
        <w:tc>
          <w:tcPr>
            <w:tcW w:w="0" w:type="auto"/>
            <w:hideMark/>
          </w:tcPr>
          <w:p w14:paraId="6AAAFFC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OCR + AI</w:t>
            </w:r>
          </w:p>
        </w:tc>
      </w:tr>
      <w:tr w:rsidR="000E4B65" w:rsidRPr="000E4B65" w14:paraId="2FA3BBA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F1462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تقييم المخاطر</w:t>
            </w:r>
          </w:p>
        </w:tc>
        <w:tc>
          <w:tcPr>
            <w:tcW w:w="0" w:type="auto"/>
            <w:hideMark/>
          </w:tcPr>
          <w:p w14:paraId="7B1DEA1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مراجعة بشرية</w:t>
            </w:r>
          </w:p>
        </w:tc>
        <w:tc>
          <w:tcPr>
            <w:tcW w:w="0" w:type="auto"/>
            <w:hideMark/>
          </w:tcPr>
          <w:p w14:paraId="45AA419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Risk Engine</w:t>
            </w:r>
          </w:p>
        </w:tc>
      </w:tr>
      <w:tr w:rsidR="000E4B65" w:rsidRPr="000E4B65" w14:paraId="48F40061"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623E5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اتخاذ القرار</w:t>
            </w:r>
          </w:p>
        </w:tc>
        <w:tc>
          <w:tcPr>
            <w:tcW w:w="0" w:type="auto"/>
            <w:hideMark/>
          </w:tcPr>
          <w:p w14:paraId="4EFF9A6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ساعات</w:t>
            </w:r>
          </w:p>
        </w:tc>
        <w:tc>
          <w:tcPr>
            <w:tcW w:w="0" w:type="auto"/>
            <w:hideMark/>
          </w:tcPr>
          <w:p w14:paraId="3ED33DB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ثوانٍ</w:t>
            </w:r>
          </w:p>
        </w:tc>
      </w:tr>
      <w:tr w:rsidR="000E4B65" w:rsidRPr="000E4B65" w14:paraId="0478E90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F741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الإفراج</w:t>
            </w:r>
          </w:p>
        </w:tc>
        <w:tc>
          <w:tcPr>
            <w:tcW w:w="0" w:type="auto"/>
            <w:hideMark/>
          </w:tcPr>
          <w:p w14:paraId="72D54A9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ورقي</w:t>
            </w:r>
          </w:p>
        </w:tc>
        <w:tc>
          <w:tcPr>
            <w:tcW w:w="0" w:type="auto"/>
            <w:hideMark/>
          </w:tcPr>
          <w:p w14:paraId="7B9B00C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رقمي بالكامل</w:t>
            </w:r>
          </w:p>
        </w:tc>
      </w:tr>
      <w:tr w:rsidR="000E4B65" w:rsidRPr="000E4B65" w14:paraId="18691FCC"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9036D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الإشعارات</w:t>
            </w:r>
          </w:p>
        </w:tc>
        <w:tc>
          <w:tcPr>
            <w:tcW w:w="0" w:type="auto"/>
            <w:hideMark/>
          </w:tcPr>
          <w:p w14:paraId="1095922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بريد إلكتروني</w:t>
            </w:r>
          </w:p>
        </w:tc>
        <w:tc>
          <w:tcPr>
            <w:tcW w:w="0" w:type="auto"/>
            <w:hideMark/>
          </w:tcPr>
          <w:p w14:paraId="5514C226"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تطبيقات ذكية ورسائل فورية</w:t>
            </w:r>
          </w:p>
        </w:tc>
      </w:tr>
    </w:tbl>
    <w:p w14:paraId="4E8E284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رابعاً: برنامج التحليلات التنبؤية للمخاطر</w:t>
      </w:r>
    </w:p>
    <w:p w14:paraId="3EAB969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تسعى الهيئة في هذه المرحلة إلى الانتقال من مفهوم إدارة المخاطر التقليدية، الذي يعتمد على تحليل البيانات التاريخية، إلى مفهوم الإدارة الاستباقية للمخاطر</w:t>
      </w:r>
      <w:r w:rsidRPr="000E4B65">
        <w:rPr>
          <w:rFonts w:ascii="Sakkal Majalla" w:hAnsi="Sakkal Majalla" w:cs="Sakkal Majalla"/>
          <w:sz w:val="28"/>
        </w:rPr>
        <w:t xml:space="preserve"> (Predictive Risk Intelligence)</w:t>
      </w:r>
      <w:r w:rsidRPr="000E4B65">
        <w:rPr>
          <w:rFonts w:ascii="Sakkal Majalla" w:hAnsi="Sakkal Majalla" w:cs="Sakkal Majalla"/>
          <w:sz w:val="28"/>
          <w:rtl/>
        </w:rPr>
        <w:t>، والذي يستخدم تقنيات الذكاء الاصطناعي للتنبؤ بالمخاطر المحتملة قبل حدوثها</w:t>
      </w:r>
      <w:r w:rsidRPr="000E4B65">
        <w:rPr>
          <w:rFonts w:ascii="Sakkal Majalla" w:hAnsi="Sakkal Majalla" w:cs="Sakkal Majalla"/>
          <w:sz w:val="28"/>
        </w:rPr>
        <w:t>.</w:t>
      </w:r>
    </w:p>
    <w:p w14:paraId="57BCE92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وسيتم دمج بيانات الشحن، والفوترة الإلكترونية، وسجلات الامتثال، والمعلومات اللوجستية، والبيانات الاقتصادية، في نموذج تحليلي موحد، يسمح بتحديد احتمالية المخاطر لكل شحنة أو مكلف، وتوجيه الموارد الرقابية نحو الحالات ذات الأولوية</w:t>
      </w:r>
      <w:r w:rsidRPr="000E4B65">
        <w:rPr>
          <w:rFonts w:ascii="Sakkal Majalla" w:hAnsi="Sakkal Majalla" w:cs="Sakkal Majalla"/>
          <w:sz w:val="28"/>
        </w:rPr>
        <w:t>.</w:t>
      </w:r>
    </w:p>
    <w:p w14:paraId="18AD9B4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(7-9)</w:t>
      </w:r>
    </w:p>
    <w:p w14:paraId="572A4D1A"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مصفوفة تقييم المخاطر الذكية</w:t>
      </w:r>
    </w:p>
    <w:tbl>
      <w:tblPr>
        <w:tblStyle w:val="PlainTable3"/>
        <w:tblW w:w="0" w:type="auto"/>
        <w:jc w:val="center"/>
        <w:tblLook w:val="04A0" w:firstRow="1" w:lastRow="0" w:firstColumn="1" w:lastColumn="0" w:noHBand="0" w:noVBand="1"/>
      </w:tblPr>
      <w:tblGrid>
        <w:gridCol w:w="1848"/>
        <w:gridCol w:w="1677"/>
        <w:gridCol w:w="2117"/>
      </w:tblGrid>
      <w:tr w:rsidR="000E4B65" w:rsidRPr="000E4B65" w14:paraId="0682AEEE"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DCD0A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مستوى الخطورة</w:t>
            </w:r>
          </w:p>
        </w:tc>
        <w:tc>
          <w:tcPr>
            <w:tcW w:w="0" w:type="auto"/>
            <w:hideMark/>
          </w:tcPr>
          <w:p w14:paraId="0E3CD02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نسبة الاحتمال</w:t>
            </w:r>
          </w:p>
        </w:tc>
        <w:tc>
          <w:tcPr>
            <w:tcW w:w="0" w:type="auto"/>
            <w:hideMark/>
          </w:tcPr>
          <w:p w14:paraId="4E0A91A8"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الإجراءات المقترحة</w:t>
            </w:r>
          </w:p>
        </w:tc>
      </w:tr>
      <w:tr w:rsidR="000E4B65" w:rsidRPr="000E4B65" w14:paraId="25505A6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7D8C3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منخفضة</w:t>
            </w:r>
          </w:p>
        </w:tc>
        <w:tc>
          <w:tcPr>
            <w:tcW w:w="0" w:type="auto"/>
            <w:hideMark/>
          </w:tcPr>
          <w:p w14:paraId="11791D2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أقل من 20</w:t>
            </w:r>
            <w:r w:rsidRPr="000E4B65">
              <w:rPr>
                <w:rFonts w:ascii="Sakkal Majalla" w:hAnsi="Sakkal Majalla" w:cs="Sakkal Majalla"/>
                <w:sz w:val="28"/>
              </w:rPr>
              <w:t>%</w:t>
            </w:r>
          </w:p>
        </w:tc>
        <w:tc>
          <w:tcPr>
            <w:tcW w:w="0" w:type="auto"/>
            <w:hideMark/>
          </w:tcPr>
          <w:p w14:paraId="6E61499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الإفراج الفوري</w:t>
            </w:r>
          </w:p>
        </w:tc>
      </w:tr>
      <w:tr w:rsidR="000E4B65" w:rsidRPr="000E4B65" w14:paraId="12E21D4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A8FEB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متوسطة</w:t>
            </w:r>
          </w:p>
        </w:tc>
        <w:tc>
          <w:tcPr>
            <w:tcW w:w="0" w:type="auto"/>
            <w:hideMark/>
          </w:tcPr>
          <w:p w14:paraId="6C401EB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20–50%</w:t>
            </w:r>
          </w:p>
        </w:tc>
        <w:tc>
          <w:tcPr>
            <w:tcW w:w="0" w:type="auto"/>
            <w:hideMark/>
          </w:tcPr>
          <w:p w14:paraId="72E694A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مراجعة إلكترونية</w:t>
            </w:r>
          </w:p>
        </w:tc>
      </w:tr>
      <w:tr w:rsidR="000E4B65" w:rsidRPr="000E4B65" w14:paraId="151461DB"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8A908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مرتفعة</w:t>
            </w:r>
          </w:p>
        </w:tc>
        <w:tc>
          <w:tcPr>
            <w:tcW w:w="0" w:type="auto"/>
            <w:hideMark/>
          </w:tcPr>
          <w:p w14:paraId="69D6589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50–80%</w:t>
            </w:r>
          </w:p>
        </w:tc>
        <w:tc>
          <w:tcPr>
            <w:tcW w:w="0" w:type="auto"/>
            <w:hideMark/>
          </w:tcPr>
          <w:p w14:paraId="5F1072E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فحص مستندي</w:t>
            </w:r>
          </w:p>
        </w:tc>
      </w:tr>
      <w:tr w:rsidR="000E4B65" w:rsidRPr="000E4B65" w14:paraId="53F99934"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FADDE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حرجة</w:t>
            </w:r>
          </w:p>
        </w:tc>
        <w:tc>
          <w:tcPr>
            <w:tcW w:w="0" w:type="auto"/>
            <w:hideMark/>
          </w:tcPr>
          <w:p w14:paraId="381FF4D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أكثر من 80</w:t>
            </w:r>
            <w:r w:rsidRPr="000E4B65">
              <w:rPr>
                <w:rFonts w:ascii="Sakkal Majalla" w:hAnsi="Sakkal Majalla" w:cs="Sakkal Majalla"/>
                <w:sz w:val="28"/>
              </w:rPr>
              <w:t>%</w:t>
            </w:r>
          </w:p>
        </w:tc>
        <w:tc>
          <w:tcPr>
            <w:tcW w:w="0" w:type="auto"/>
            <w:hideMark/>
          </w:tcPr>
          <w:p w14:paraId="3D006A4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فحص مادي وتحقيق</w:t>
            </w:r>
          </w:p>
        </w:tc>
      </w:tr>
    </w:tbl>
    <w:p w14:paraId="60B76C8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خامساً: التكامل الجمركي الخليجي الذكي</w:t>
      </w:r>
    </w:p>
    <w:p w14:paraId="77CB849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في إطار دعم التكامل الاقتصادي الخليجي، تقترح الخطة إنشاء نافذة جمركية خليجية موحدة تعتمد على تبادل البيانات في الزمن الحقيقي بين الإدارات الجمركية بدول مجلس التعاون، مع توحيد معايير التصنيف الجمركي، وربط أنظمة إدارة المخاطر، وتطوير منصة مشتركة لتتبع الشحنات العابرة للحدود</w:t>
      </w:r>
      <w:r w:rsidRPr="000E4B65">
        <w:rPr>
          <w:rFonts w:ascii="Sakkal Majalla" w:hAnsi="Sakkal Majalla" w:cs="Sakkal Majalla"/>
          <w:sz w:val="28"/>
        </w:rPr>
        <w:t>.</w:t>
      </w:r>
    </w:p>
    <w:p w14:paraId="55AA268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ومن شأن هذا التكامل أن يسهم في تقليل زمن التخليص الجمركي، وزيادة موثوقية البيانات، وتعزيز مكافحة التهريب، وتحسين انسيابية التجارة البينية، بما يحقق مستهدفات السوق الخليجية المشتركة</w:t>
      </w:r>
      <w:r w:rsidRPr="000E4B65">
        <w:rPr>
          <w:rFonts w:ascii="Sakkal Majalla" w:hAnsi="Sakkal Majalla" w:cs="Sakkal Majalla"/>
          <w:sz w:val="28"/>
        </w:rPr>
        <w:t>.</w:t>
      </w:r>
    </w:p>
    <w:p w14:paraId="2A4C8BED"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(7-10)</w:t>
      </w:r>
    </w:p>
    <w:p w14:paraId="55A0C1F6"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التكامل الجمركي الخليجي</w:t>
      </w:r>
    </w:p>
    <w:tbl>
      <w:tblPr>
        <w:tblStyle w:val="PlainTable3"/>
        <w:tblW w:w="0" w:type="auto"/>
        <w:jc w:val="center"/>
        <w:tblLook w:val="04A0" w:firstRow="1" w:lastRow="0" w:firstColumn="1" w:lastColumn="0" w:noHBand="0" w:noVBand="1"/>
      </w:tblPr>
      <w:tblGrid>
        <w:gridCol w:w="2960"/>
        <w:gridCol w:w="1751"/>
        <w:gridCol w:w="2217"/>
      </w:tblGrid>
      <w:tr w:rsidR="000E4B65" w:rsidRPr="000E4B65" w14:paraId="055E61CD"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33DE36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المجال</w:t>
            </w:r>
          </w:p>
        </w:tc>
        <w:tc>
          <w:tcPr>
            <w:tcW w:w="0" w:type="auto"/>
            <w:hideMark/>
          </w:tcPr>
          <w:p w14:paraId="484A4CA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656C434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المستهدف 2027</w:t>
            </w:r>
          </w:p>
        </w:tc>
      </w:tr>
      <w:tr w:rsidR="000E4B65" w:rsidRPr="000E4B65" w14:paraId="1F6D1025"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DAA8E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تبادل البيانات</w:t>
            </w:r>
          </w:p>
        </w:tc>
        <w:tc>
          <w:tcPr>
            <w:tcW w:w="0" w:type="auto"/>
            <w:hideMark/>
          </w:tcPr>
          <w:p w14:paraId="2F8D641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w:t>
            </w:r>
          </w:p>
        </w:tc>
        <w:tc>
          <w:tcPr>
            <w:tcW w:w="0" w:type="auto"/>
            <w:hideMark/>
          </w:tcPr>
          <w:p w14:paraId="5E4530C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لحظي</w:t>
            </w:r>
            <w:r w:rsidRPr="000E4B65">
              <w:rPr>
                <w:rFonts w:ascii="Sakkal Majalla" w:hAnsi="Sakkal Majalla" w:cs="Sakkal Majalla"/>
                <w:sz w:val="28"/>
              </w:rPr>
              <w:t xml:space="preserve"> (Real-Time)</w:t>
            </w:r>
          </w:p>
        </w:tc>
      </w:tr>
      <w:tr w:rsidR="000E4B65" w:rsidRPr="000E4B65" w14:paraId="4F73596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112A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تصنيف السلع</w:t>
            </w:r>
          </w:p>
        </w:tc>
        <w:tc>
          <w:tcPr>
            <w:tcW w:w="0" w:type="auto"/>
            <w:hideMark/>
          </w:tcPr>
          <w:p w14:paraId="4BA08F1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اختلافات جزئية</w:t>
            </w:r>
          </w:p>
        </w:tc>
        <w:tc>
          <w:tcPr>
            <w:tcW w:w="0" w:type="auto"/>
            <w:hideMark/>
          </w:tcPr>
          <w:p w14:paraId="699D37D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توحيد كامل</w:t>
            </w:r>
          </w:p>
        </w:tc>
      </w:tr>
      <w:tr w:rsidR="000E4B65" w:rsidRPr="000E4B65" w14:paraId="6D288627"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3A277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تتبع الشحنات</w:t>
            </w:r>
          </w:p>
        </w:tc>
        <w:tc>
          <w:tcPr>
            <w:tcW w:w="0" w:type="auto"/>
            <w:hideMark/>
          </w:tcPr>
          <w:p w14:paraId="2D084ED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منفصل</w:t>
            </w:r>
          </w:p>
        </w:tc>
        <w:tc>
          <w:tcPr>
            <w:tcW w:w="0" w:type="auto"/>
            <w:hideMark/>
          </w:tcPr>
          <w:p w14:paraId="32C5E68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منصة خليجية موحدة</w:t>
            </w:r>
          </w:p>
        </w:tc>
      </w:tr>
      <w:tr w:rsidR="000E4B65" w:rsidRPr="000E4B65" w14:paraId="762B28CD"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AF753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إدارة المخاطر</w:t>
            </w:r>
          </w:p>
        </w:tc>
        <w:tc>
          <w:tcPr>
            <w:tcW w:w="0" w:type="auto"/>
            <w:hideMark/>
          </w:tcPr>
          <w:p w14:paraId="543079F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وطنية</w:t>
            </w:r>
          </w:p>
        </w:tc>
        <w:tc>
          <w:tcPr>
            <w:tcW w:w="0" w:type="auto"/>
            <w:hideMark/>
          </w:tcPr>
          <w:p w14:paraId="62C3373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إقليمية مشتركة</w:t>
            </w:r>
          </w:p>
        </w:tc>
      </w:tr>
      <w:tr w:rsidR="000E4B65" w:rsidRPr="000E4B65" w14:paraId="08743511"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C9342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تبادل المعلومات الاستخباراتية</w:t>
            </w:r>
          </w:p>
        </w:tc>
        <w:tc>
          <w:tcPr>
            <w:tcW w:w="0" w:type="auto"/>
            <w:hideMark/>
          </w:tcPr>
          <w:p w14:paraId="71E2F41D"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عند الطلب</w:t>
            </w:r>
          </w:p>
        </w:tc>
        <w:tc>
          <w:tcPr>
            <w:tcW w:w="0" w:type="auto"/>
            <w:hideMark/>
          </w:tcPr>
          <w:p w14:paraId="2ABBFA0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آني ومستمر</w:t>
            </w:r>
          </w:p>
        </w:tc>
      </w:tr>
    </w:tbl>
    <w:p w14:paraId="2C9EF5E2"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رأي الباحث</w:t>
      </w:r>
    </w:p>
    <w:p w14:paraId="694BB6F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يرى الباحث أن المرحلة الثانية تمثل نقطة التحول الجوهرية في مسار الهيئة، إذ تنتقل خلالها من مؤسسة رقمية إلى مؤسسة ذكية قادرة على التعلم المستمر واتخاذ القرار بصورة استباقية. ولن ينعكس أثر هذه المرحلة على تحسين الكفاءة التشغيلية فحسب، بل سيمتد ليشمل تعزيز الثقة في البيئة الاستثمارية السعودية، وزيادة تنافسية الموانئ والمنافذ، ورفع كفاءة إدارة المخاطر، وتعظيم الإيرادات الحكومية، ودعم مكانة المملكة كمركز لوجستي عالمي. كما أن نجاح هذه المرحلة سيؤسس للانتقال إلى المرحلة الثالثة، التي تستهدف تحقيق الريادة العالمية وتحويل هيئة الزكاة والضريبة والجمارك إلى نموذج مرجعي في الجمارك الذكية على المستوى الدولي</w:t>
      </w:r>
      <w:r w:rsidRPr="000E4B65">
        <w:rPr>
          <w:rFonts w:ascii="Sakkal Majalla" w:hAnsi="Sakkal Majalla" w:cs="Sakkal Majalla"/>
          <w:sz w:val="28"/>
        </w:rPr>
        <w:t>.</w:t>
      </w:r>
    </w:p>
    <w:p w14:paraId="1063A6BA"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ممتاز، الآن نصل إلى الجزء الأكثر أهمية في الفصل، وهو الذي سيمنح الرسالة طابعًا استراتيجيًا عالميًا، حيث تنتقل الهيئة من </w:t>
      </w:r>
      <w:r w:rsidRPr="00900DDA">
        <w:rPr>
          <w:rFonts w:ascii="Sakkal Majalla" w:hAnsi="Sakkal Majalla" w:cs="Sakkal Majalla"/>
          <w:b/>
          <w:bCs/>
          <w:sz w:val="28"/>
          <w:rtl/>
        </w:rPr>
        <w:t>التحول الذكي</w:t>
      </w:r>
      <w:r w:rsidRPr="00900DDA">
        <w:rPr>
          <w:rFonts w:ascii="Sakkal Majalla" w:hAnsi="Sakkal Majalla" w:cs="Sakkal Majalla"/>
          <w:sz w:val="28"/>
          <w:rtl/>
        </w:rPr>
        <w:t xml:space="preserve"> إلى </w:t>
      </w:r>
      <w:r w:rsidRPr="00900DDA">
        <w:rPr>
          <w:rFonts w:ascii="Sakkal Majalla" w:hAnsi="Sakkal Majalla" w:cs="Sakkal Majalla"/>
          <w:b/>
          <w:bCs/>
          <w:sz w:val="28"/>
          <w:rtl/>
        </w:rPr>
        <w:t>الريادة العالمية</w:t>
      </w:r>
      <w:r w:rsidRPr="00900DDA">
        <w:rPr>
          <w:rFonts w:ascii="Sakkal Majalla" w:hAnsi="Sakkal Majalla" w:cs="Sakkal Majalla"/>
          <w:sz w:val="28"/>
        </w:rPr>
        <w:t>.</w:t>
      </w:r>
    </w:p>
    <w:p w14:paraId="468C308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Pr>
        <w:t xml:space="preserve">7-1-3 </w:t>
      </w:r>
      <w:r w:rsidRPr="00900DDA">
        <w:rPr>
          <w:rFonts w:ascii="Sakkal Majalla" w:hAnsi="Sakkal Majalla" w:cs="Sakkal Majalla"/>
          <w:b/>
          <w:bCs/>
          <w:sz w:val="28"/>
          <w:rtl/>
        </w:rPr>
        <w:t>المرحلة الثالثة</w:t>
      </w:r>
      <w:r w:rsidRPr="00900DDA">
        <w:rPr>
          <w:rFonts w:ascii="Sakkal Majalla" w:hAnsi="Sakkal Majalla" w:cs="Sakkal Majalla"/>
          <w:b/>
          <w:bCs/>
          <w:sz w:val="28"/>
        </w:rPr>
        <w:t xml:space="preserve"> (2027–2030)</w:t>
      </w:r>
    </w:p>
    <w:p w14:paraId="0B2D7173"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مرحلة الريادة العالمية والابتكار المستدام</w:t>
      </w:r>
      <w:r w:rsidRPr="00900DDA">
        <w:rPr>
          <w:rFonts w:ascii="Sakkal Majalla" w:hAnsi="Sakkal Majalla" w:cs="Sakkal Majalla"/>
          <w:b/>
          <w:bCs/>
          <w:sz w:val="28"/>
        </w:rPr>
        <w:t xml:space="preserve"> (Global Customs Leadership)</w:t>
      </w:r>
    </w:p>
    <w:p w14:paraId="6965FF2C"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أولاً: الرؤية الاستراتيجية للمرحلة الثالثة</w:t>
      </w:r>
    </w:p>
    <w:p w14:paraId="08FB363F"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تمثل المرحلة الثالثة ذروة النضج المؤسسي لهيئة الزكاة والضريبة والجمارك، حيث لا يقتصر الهدف على تحسين الأداء المحلي أو تعزيز الكفاءة التشغيلية، وإنما يمتد إلى ترسيخ مكانة الهيئة كأحد النماذج المرجعية عالمياً في مجال الجمارك الذكية، والتحول الرقمي، والأمن الجمركي، وتيسير التجارة الدولية. ويقوم هذا التوجه على فلسفة مؤداها أن المؤسسات الحكومية الرائدة لا تكتفي بتبني أفضل الممارسات العالمية، بل تسهم في تطويرها وإنتاجها وتصديرها إلى الآخرين</w:t>
      </w:r>
      <w:r w:rsidRPr="00900DDA">
        <w:rPr>
          <w:rFonts w:ascii="Sakkal Majalla" w:hAnsi="Sakkal Majalla" w:cs="Sakkal Majalla"/>
          <w:sz w:val="28"/>
        </w:rPr>
        <w:t>.</w:t>
      </w:r>
    </w:p>
    <w:p w14:paraId="285CBAA6"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ويرى الباحث أن الوصول إلى هذه المرحلة يتطلب الانتقال من مفهوم </w:t>
      </w:r>
      <w:r w:rsidRPr="00900DDA">
        <w:rPr>
          <w:rFonts w:ascii="Sakkal Majalla" w:hAnsi="Sakkal Majalla" w:cs="Sakkal Majalla"/>
          <w:b/>
          <w:bCs/>
          <w:sz w:val="28"/>
        </w:rPr>
        <w:t>"</w:t>
      </w:r>
      <w:r w:rsidRPr="00900DDA">
        <w:rPr>
          <w:rFonts w:ascii="Sakkal Majalla" w:hAnsi="Sakkal Majalla" w:cs="Sakkal Majalla"/>
          <w:b/>
          <w:bCs/>
          <w:sz w:val="28"/>
          <w:rtl/>
        </w:rPr>
        <w:t>الاستخدام الذكي للتكنولوجيا</w:t>
      </w:r>
      <w:r w:rsidRPr="00900DDA">
        <w:rPr>
          <w:rFonts w:ascii="Sakkal Majalla" w:hAnsi="Sakkal Majalla" w:cs="Sakkal Majalla"/>
          <w:b/>
          <w:bCs/>
          <w:sz w:val="28"/>
        </w:rPr>
        <w:t>"</w:t>
      </w:r>
      <w:r w:rsidRPr="00900DDA">
        <w:rPr>
          <w:rFonts w:ascii="Sakkal Majalla" w:hAnsi="Sakkal Majalla" w:cs="Sakkal Majalla"/>
          <w:sz w:val="28"/>
        </w:rPr>
        <w:t xml:space="preserve"> </w:t>
      </w:r>
      <w:r w:rsidRPr="00900DDA">
        <w:rPr>
          <w:rFonts w:ascii="Sakkal Majalla" w:hAnsi="Sakkal Majalla" w:cs="Sakkal Majalla"/>
          <w:sz w:val="28"/>
          <w:rtl/>
        </w:rPr>
        <w:t xml:space="preserve">إلى مفهوم </w:t>
      </w:r>
      <w:r w:rsidRPr="00900DDA">
        <w:rPr>
          <w:rFonts w:ascii="Sakkal Majalla" w:hAnsi="Sakkal Majalla" w:cs="Sakkal Majalla"/>
          <w:b/>
          <w:bCs/>
          <w:sz w:val="28"/>
        </w:rPr>
        <w:t>"</w:t>
      </w:r>
      <w:r w:rsidRPr="00900DDA">
        <w:rPr>
          <w:rFonts w:ascii="Sakkal Majalla" w:hAnsi="Sakkal Majalla" w:cs="Sakkal Majalla"/>
          <w:b/>
          <w:bCs/>
          <w:sz w:val="28"/>
          <w:rtl/>
        </w:rPr>
        <w:t>الابتكار المؤسسي المستدام</w:t>
      </w:r>
      <w:r w:rsidRPr="00900DDA">
        <w:rPr>
          <w:rFonts w:ascii="Sakkal Majalla" w:hAnsi="Sakkal Majalla" w:cs="Sakkal Majalla"/>
          <w:b/>
          <w:bCs/>
          <w:sz w:val="28"/>
        </w:rPr>
        <w:t>"</w:t>
      </w:r>
      <w:r w:rsidRPr="00900DDA">
        <w:rPr>
          <w:rFonts w:ascii="Sakkal Majalla" w:hAnsi="Sakkal Majalla" w:cs="Sakkal Majalla"/>
          <w:sz w:val="28"/>
          <w:rtl/>
        </w:rPr>
        <w:t xml:space="preserve">، بحيث تصبح الهيئة بيئة منتجة للمعرفة والحلول الرقمية، وقادرة على تطوير تقنيات وخوارزميات وطنية، وإقامة شراكات دولية، والمشاركة في صياغة المعايير العالمية الخاصة بالجمارك الرقمية. كما يتطلب ذلك بناء منظومة متكاملة للبحث والتطوير، واستقطاب الكفاءات العالمية، والاستثمار في التقنيات الناشئة، مثل الذكاء </w:t>
      </w:r>
      <w:r w:rsidRPr="00900DDA">
        <w:rPr>
          <w:rFonts w:ascii="Sakkal Majalla" w:hAnsi="Sakkal Majalla" w:cs="Sakkal Majalla"/>
          <w:sz w:val="28"/>
          <w:rtl/>
        </w:rPr>
        <w:lastRenderedPageBreak/>
        <w:t>الاصطناعي التوليدي، والحوسبة الكمية، والهوية الرقمية اللامركزية، بما يضمن الحفاظ على الريادة في ظل التغيرات المتسارعة</w:t>
      </w:r>
      <w:r w:rsidRPr="00900DDA">
        <w:rPr>
          <w:rFonts w:ascii="Sakkal Majalla" w:hAnsi="Sakkal Majalla" w:cs="Sakkal Majalla"/>
          <w:sz w:val="28"/>
        </w:rPr>
        <w:t>.</w:t>
      </w:r>
    </w:p>
    <w:p w14:paraId="7836362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(7-11)</w:t>
      </w:r>
    </w:p>
    <w:p w14:paraId="52C86A8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خارطة الريادة العالمية لهيئة</w:t>
      </w:r>
      <w:r w:rsidRPr="00900DDA">
        <w:rPr>
          <w:rFonts w:ascii="Sakkal Majalla" w:hAnsi="Sakkal Majalla" w:cs="Sakkal Majalla"/>
          <w:b/>
          <w:bCs/>
          <w:sz w:val="28"/>
        </w:rPr>
        <w:t xml:space="preserve"> ZATCA (2027–2030)</w:t>
      </w:r>
    </w:p>
    <w:tbl>
      <w:tblPr>
        <w:tblStyle w:val="PlainTable3"/>
        <w:tblW w:w="0" w:type="auto"/>
        <w:jc w:val="center"/>
        <w:tblLook w:val="04A0" w:firstRow="1" w:lastRow="0" w:firstColumn="1" w:lastColumn="0" w:noHBand="0" w:noVBand="1"/>
      </w:tblPr>
      <w:tblGrid>
        <w:gridCol w:w="1703"/>
        <w:gridCol w:w="1747"/>
        <w:gridCol w:w="1755"/>
        <w:gridCol w:w="1408"/>
        <w:gridCol w:w="1152"/>
        <w:gridCol w:w="1595"/>
      </w:tblGrid>
      <w:tr w:rsidR="00900DDA" w:rsidRPr="00900DDA" w14:paraId="0063F49A"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DABC0B1"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المبادرة الاستراتيجية</w:t>
            </w:r>
          </w:p>
        </w:tc>
        <w:tc>
          <w:tcPr>
            <w:tcW w:w="0" w:type="auto"/>
            <w:hideMark/>
          </w:tcPr>
          <w:p w14:paraId="710C259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الهدف</w:t>
            </w:r>
          </w:p>
        </w:tc>
        <w:tc>
          <w:tcPr>
            <w:tcW w:w="0" w:type="auto"/>
            <w:hideMark/>
          </w:tcPr>
          <w:p w14:paraId="7A0BAD4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المشروع التنفيذي</w:t>
            </w:r>
          </w:p>
        </w:tc>
        <w:tc>
          <w:tcPr>
            <w:tcW w:w="0" w:type="auto"/>
            <w:hideMark/>
          </w:tcPr>
          <w:p w14:paraId="2D048F3C"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الجهة المسؤولة</w:t>
            </w:r>
          </w:p>
        </w:tc>
        <w:tc>
          <w:tcPr>
            <w:tcW w:w="0" w:type="auto"/>
            <w:hideMark/>
          </w:tcPr>
          <w:p w14:paraId="22F7BB0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المدة</w:t>
            </w:r>
          </w:p>
        </w:tc>
        <w:tc>
          <w:tcPr>
            <w:tcW w:w="0" w:type="auto"/>
            <w:hideMark/>
          </w:tcPr>
          <w:p w14:paraId="14CFBBCA"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KPI </w:t>
            </w:r>
            <w:r w:rsidRPr="00900DDA">
              <w:rPr>
                <w:rFonts w:ascii="Sakkal Majalla" w:hAnsi="Sakkal Majalla" w:cs="Sakkal Majalla"/>
                <w:sz w:val="24"/>
                <w:szCs w:val="24"/>
                <w:rtl/>
              </w:rPr>
              <w:t>النهائي</w:t>
            </w:r>
          </w:p>
        </w:tc>
      </w:tr>
      <w:tr w:rsidR="00900DDA" w:rsidRPr="00900DDA" w14:paraId="130B7FA9"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AB5E9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t>ZATCA-X</w:t>
            </w:r>
          </w:p>
        </w:tc>
        <w:tc>
          <w:tcPr>
            <w:tcW w:w="0" w:type="auto"/>
            <w:hideMark/>
          </w:tcPr>
          <w:p w14:paraId="6A59560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إنشاء منصة جمركية عالمية</w:t>
            </w:r>
          </w:p>
        </w:tc>
        <w:tc>
          <w:tcPr>
            <w:tcW w:w="0" w:type="auto"/>
            <w:hideMark/>
          </w:tcPr>
          <w:p w14:paraId="0045F3B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منصة خدمات رقمية مفتوحة</w:t>
            </w:r>
          </w:p>
        </w:tc>
        <w:tc>
          <w:tcPr>
            <w:tcW w:w="0" w:type="auto"/>
            <w:hideMark/>
          </w:tcPr>
          <w:p w14:paraId="16A4514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وكالة التحول الرقمي</w:t>
            </w:r>
          </w:p>
        </w:tc>
        <w:tc>
          <w:tcPr>
            <w:tcW w:w="0" w:type="auto"/>
            <w:hideMark/>
          </w:tcPr>
          <w:p w14:paraId="38CE22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2027–2029</w:t>
            </w:r>
          </w:p>
        </w:tc>
        <w:tc>
          <w:tcPr>
            <w:tcW w:w="0" w:type="auto"/>
            <w:hideMark/>
          </w:tcPr>
          <w:p w14:paraId="5705C2B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50 </w:t>
            </w:r>
            <w:r w:rsidRPr="00900DDA">
              <w:rPr>
                <w:rFonts w:ascii="Sakkal Majalla" w:hAnsi="Sakkal Majalla" w:cs="Sakkal Majalla"/>
                <w:sz w:val="24"/>
                <w:szCs w:val="24"/>
                <w:rtl/>
              </w:rPr>
              <w:t>دولة مستخدمة للمنصة</w:t>
            </w:r>
          </w:p>
        </w:tc>
      </w:tr>
      <w:tr w:rsidR="00900DDA" w:rsidRPr="00900DDA" w14:paraId="4B6B315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2D2B1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أكاديمية</w:t>
            </w:r>
            <w:r w:rsidRPr="00900DDA">
              <w:rPr>
                <w:rFonts w:ascii="Sakkal Majalla" w:hAnsi="Sakkal Majalla" w:cs="Sakkal Majalla"/>
                <w:sz w:val="24"/>
                <w:szCs w:val="24"/>
              </w:rPr>
              <w:t xml:space="preserve"> ZATCA </w:t>
            </w:r>
            <w:r w:rsidRPr="00900DDA">
              <w:rPr>
                <w:rFonts w:ascii="Sakkal Majalla" w:hAnsi="Sakkal Majalla" w:cs="Sakkal Majalla"/>
                <w:sz w:val="24"/>
                <w:szCs w:val="24"/>
                <w:rtl/>
              </w:rPr>
              <w:t>الدولية</w:t>
            </w:r>
          </w:p>
        </w:tc>
        <w:tc>
          <w:tcPr>
            <w:tcW w:w="0" w:type="auto"/>
            <w:hideMark/>
          </w:tcPr>
          <w:p w14:paraId="4EDA1F9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تصدير الخبرات السعودية</w:t>
            </w:r>
          </w:p>
        </w:tc>
        <w:tc>
          <w:tcPr>
            <w:tcW w:w="0" w:type="auto"/>
            <w:hideMark/>
          </w:tcPr>
          <w:p w14:paraId="20FBAE3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برامج تدريب وشهادات احترافية</w:t>
            </w:r>
          </w:p>
        </w:tc>
        <w:tc>
          <w:tcPr>
            <w:tcW w:w="0" w:type="auto"/>
            <w:hideMark/>
          </w:tcPr>
          <w:p w14:paraId="7257483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أكاديمية</w:t>
            </w:r>
            <w:r w:rsidRPr="00900DDA">
              <w:rPr>
                <w:rFonts w:ascii="Sakkal Majalla" w:hAnsi="Sakkal Majalla" w:cs="Sakkal Majalla"/>
                <w:sz w:val="24"/>
                <w:szCs w:val="24"/>
              </w:rPr>
              <w:t xml:space="preserve"> ZATCA</w:t>
            </w:r>
          </w:p>
        </w:tc>
        <w:tc>
          <w:tcPr>
            <w:tcW w:w="0" w:type="auto"/>
            <w:hideMark/>
          </w:tcPr>
          <w:p w14:paraId="1979ACA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2028–2030</w:t>
            </w:r>
          </w:p>
        </w:tc>
        <w:tc>
          <w:tcPr>
            <w:tcW w:w="0" w:type="auto"/>
            <w:hideMark/>
          </w:tcPr>
          <w:p w14:paraId="6BE1AB0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تدريب 10,000 متخصص</w:t>
            </w:r>
          </w:p>
        </w:tc>
      </w:tr>
      <w:tr w:rsidR="00900DDA" w:rsidRPr="00900DDA" w14:paraId="067BDE9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51A68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برنامج التجارة الخضراء</w:t>
            </w:r>
          </w:p>
        </w:tc>
        <w:tc>
          <w:tcPr>
            <w:tcW w:w="0" w:type="auto"/>
            <w:hideMark/>
          </w:tcPr>
          <w:p w14:paraId="596DAE6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خفض البصمة الكربونية</w:t>
            </w:r>
          </w:p>
        </w:tc>
        <w:tc>
          <w:tcPr>
            <w:tcW w:w="0" w:type="auto"/>
            <w:hideMark/>
          </w:tcPr>
          <w:p w14:paraId="5FC7A15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Green Customs Platform</w:t>
            </w:r>
          </w:p>
        </w:tc>
        <w:tc>
          <w:tcPr>
            <w:tcW w:w="0" w:type="auto"/>
            <w:hideMark/>
          </w:tcPr>
          <w:p w14:paraId="088497B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قطاع الاستدامة</w:t>
            </w:r>
          </w:p>
        </w:tc>
        <w:tc>
          <w:tcPr>
            <w:tcW w:w="0" w:type="auto"/>
            <w:hideMark/>
          </w:tcPr>
          <w:p w14:paraId="61BD018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2028–2030</w:t>
            </w:r>
          </w:p>
        </w:tc>
        <w:tc>
          <w:tcPr>
            <w:tcW w:w="0" w:type="auto"/>
            <w:hideMark/>
          </w:tcPr>
          <w:p w14:paraId="2AF14F4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خفض الانبعاثات 40</w:t>
            </w:r>
            <w:r w:rsidRPr="00900DDA">
              <w:rPr>
                <w:rFonts w:ascii="Sakkal Majalla" w:hAnsi="Sakkal Majalla" w:cs="Sakkal Majalla"/>
                <w:sz w:val="24"/>
                <w:szCs w:val="24"/>
              </w:rPr>
              <w:t>%</w:t>
            </w:r>
          </w:p>
        </w:tc>
      </w:tr>
      <w:tr w:rsidR="00900DDA" w:rsidRPr="00900DDA" w14:paraId="7D3BA023"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181C3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مختبر الابتكار الجمركي</w:t>
            </w:r>
          </w:p>
        </w:tc>
        <w:tc>
          <w:tcPr>
            <w:tcW w:w="0" w:type="auto"/>
            <w:hideMark/>
          </w:tcPr>
          <w:p w14:paraId="0CFFCC3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تطوير حلول رقمية جديدة</w:t>
            </w:r>
          </w:p>
        </w:tc>
        <w:tc>
          <w:tcPr>
            <w:tcW w:w="0" w:type="auto"/>
            <w:hideMark/>
          </w:tcPr>
          <w:p w14:paraId="4C49359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Customs Innovation Lab</w:t>
            </w:r>
          </w:p>
        </w:tc>
        <w:tc>
          <w:tcPr>
            <w:tcW w:w="0" w:type="auto"/>
            <w:hideMark/>
          </w:tcPr>
          <w:p w14:paraId="2F99A7C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مركز الابتكار</w:t>
            </w:r>
          </w:p>
        </w:tc>
        <w:tc>
          <w:tcPr>
            <w:tcW w:w="0" w:type="auto"/>
            <w:hideMark/>
          </w:tcPr>
          <w:p w14:paraId="34C5CFB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مستمر</w:t>
            </w:r>
          </w:p>
        </w:tc>
        <w:tc>
          <w:tcPr>
            <w:tcW w:w="0" w:type="auto"/>
            <w:hideMark/>
          </w:tcPr>
          <w:p w14:paraId="23BF4E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20 </w:t>
            </w:r>
            <w:r w:rsidRPr="00900DDA">
              <w:rPr>
                <w:rFonts w:ascii="Sakkal Majalla" w:hAnsi="Sakkal Majalla" w:cs="Sakkal Majalla"/>
                <w:sz w:val="24"/>
                <w:szCs w:val="24"/>
                <w:rtl/>
              </w:rPr>
              <w:t>ابتكاراً سنوياً</w:t>
            </w:r>
          </w:p>
        </w:tc>
      </w:tr>
      <w:tr w:rsidR="00900DDA" w:rsidRPr="00900DDA" w14:paraId="133ABB5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7B60D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الريادة الدولية</w:t>
            </w:r>
          </w:p>
        </w:tc>
        <w:tc>
          <w:tcPr>
            <w:tcW w:w="0" w:type="auto"/>
            <w:hideMark/>
          </w:tcPr>
          <w:p w14:paraId="5F3FEBC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الوصول لأفضل 10 إدارات جمركية</w:t>
            </w:r>
          </w:p>
        </w:tc>
        <w:tc>
          <w:tcPr>
            <w:tcW w:w="0" w:type="auto"/>
            <w:hideMark/>
          </w:tcPr>
          <w:p w14:paraId="3244337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برنامج التميز العالمي</w:t>
            </w:r>
          </w:p>
        </w:tc>
        <w:tc>
          <w:tcPr>
            <w:tcW w:w="0" w:type="auto"/>
            <w:hideMark/>
          </w:tcPr>
          <w:p w14:paraId="7D781D3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مجلس الإدارة</w:t>
            </w:r>
          </w:p>
        </w:tc>
        <w:tc>
          <w:tcPr>
            <w:tcW w:w="0" w:type="auto"/>
            <w:hideMark/>
          </w:tcPr>
          <w:p w14:paraId="0405F33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2030</w:t>
            </w:r>
          </w:p>
        </w:tc>
        <w:tc>
          <w:tcPr>
            <w:tcW w:w="0" w:type="auto"/>
            <w:hideMark/>
          </w:tcPr>
          <w:p w14:paraId="73515B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Top 10 </w:t>
            </w:r>
            <w:r w:rsidRPr="00900DDA">
              <w:rPr>
                <w:rFonts w:ascii="Sakkal Majalla" w:hAnsi="Sakkal Majalla" w:cs="Sakkal Majalla"/>
                <w:sz w:val="24"/>
                <w:szCs w:val="24"/>
                <w:rtl/>
              </w:rPr>
              <w:t>عالمياً</w:t>
            </w:r>
          </w:p>
        </w:tc>
      </w:tr>
    </w:tbl>
    <w:p w14:paraId="5E5091F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ثانياً: مشروع منصة</w:t>
      </w:r>
      <w:r w:rsidRPr="00900DDA">
        <w:rPr>
          <w:rFonts w:ascii="Sakkal Majalla" w:hAnsi="Sakkal Majalla" w:cs="Sakkal Majalla"/>
          <w:b/>
          <w:bCs/>
          <w:sz w:val="28"/>
        </w:rPr>
        <w:t xml:space="preserve"> ZATCA-X</w:t>
      </w:r>
    </w:p>
    <w:p w14:paraId="53FD37A7"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يقترح الباحث إنشاء منصة رقمية متقدمة تحت مسمى </w:t>
      </w:r>
      <w:r w:rsidRPr="00900DDA">
        <w:rPr>
          <w:rFonts w:ascii="Sakkal Majalla" w:hAnsi="Sakkal Majalla" w:cs="Sakkal Majalla"/>
          <w:b/>
          <w:bCs/>
          <w:sz w:val="28"/>
        </w:rPr>
        <w:t>ZATCA-X</w:t>
      </w:r>
      <w:r w:rsidRPr="00900DDA">
        <w:rPr>
          <w:rFonts w:ascii="Sakkal Majalla" w:hAnsi="Sakkal Majalla" w:cs="Sakkal Majalla"/>
          <w:sz w:val="28"/>
          <w:rtl/>
        </w:rPr>
        <w:t>، تمثل الجيل الرابع من المنصات الجمركية، بحيث لا تقتصر على تقديم الخدمات الحكومية التقليدية، وإنما تتحول إلى منظومة رقمية مفتوحة</w:t>
      </w:r>
      <w:r w:rsidRPr="00900DDA">
        <w:rPr>
          <w:rFonts w:ascii="Sakkal Majalla" w:hAnsi="Sakkal Majalla" w:cs="Sakkal Majalla"/>
          <w:sz w:val="28"/>
        </w:rPr>
        <w:t xml:space="preserve"> (Open Customs Ecosystem)</w:t>
      </w:r>
      <w:r w:rsidRPr="00900DDA">
        <w:rPr>
          <w:rFonts w:ascii="Sakkal Majalla" w:hAnsi="Sakkal Majalla" w:cs="Sakkal Majalla"/>
          <w:sz w:val="28"/>
          <w:rtl/>
        </w:rPr>
        <w:t>، تتيح التكامل مع الجهات الحكومية، والقطاع الخاص، والمنظمات الدولية، ومقدمي الخدمات اللوجستية، وشركات التجارة الإلكترونية، والبنوك، وشركات التأمين، عبر واجهات برمجية موحدة وآمنة</w:t>
      </w:r>
      <w:r w:rsidRPr="00900DDA">
        <w:rPr>
          <w:rFonts w:ascii="Sakkal Majalla" w:hAnsi="Sakkal Majalla" w:cs="Sakkal Majalla"/>
          <w:sz w:val="28"/>
        </w:rPr>
        <w:t>.</w:t>
      </w:r>
    </w:p>
    <w:p w14:paraId="344CE9F8"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وستوفر المنصة خدمات متقدمة تشمل التحليلات الذكية، ولوحات المعلومات الفورية، وإدارة الامتثال، وتتبع الشحنات، والتكامل مع أنظمة سلاسل الإمداد العالمية، إضافة إلى سوق رقمي للتطبيقات الجمركية</w:t>
      </w:r>
      <w:r w:rsidRPr="00900DDA">
        <w:rPr>
          <w:rFonts w:ascii="Sakkal Majalla" w:hAnsi="Sakkal Majalla" w:cs="Sakkal Majalla"/>
          <w:sz w:val="28"/>
        </w:rPr>
        <w:t xml:space="preserve"> (Customs Digital </w:t>
      </w:r>
      <w:r w:rsidRPr="00900DDA">
        <w:rPr>
          <w:rFonts w:ascii="Sakkal Majalla" w:hAnsi="Sakkal Majalla" w:cs="Sakkal Majalla"/>
          <w:sz w:val="28"/>
        </w:rPr>
        <w:lastRenderedPageBreak/>
        <w:t>Marketplace)</w:t>
      </w:r>
      <w:r w:rsidRPr="00900DDA">
        <w:rPr>
          <w:rFonts w:ascii="Sakkal Majalla" w:hAnsi="Sakkal Majalla" w:cs="Sakkal Majalla"/>
          <w:sz w:val="28"/>
          <w:rtl/>
        </w:rPr>
        <w:t>، يسمح للشركات التقنية بتطوير حلول مبتكرة تعتمد على بيانات الهيئة، وفق ضوابط الحوكمة والأمن السيبراني</w:t>
      </w:r>
      <w:r w:rsidRPr="00900DDA">
        <w:rPr>
          <w:rFonts w:ascii="Sakkal Majalla" w:hAnsi="Sakkal Majalla" w:cs="Sakkal Majalla"/>
          <w:sz w:val="28"/>
        </w:rPr>
        <w:t>.</w:t>
      </w:r>
    </w:p>
    <w:p w14:paraId="174FB4D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(7-12)</w:t>
      </w:r>
    </w:p>
    <w:p w14:paraId="67D98C45"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مكونات منصة</w:t>
      </w:r>
      <w:r w:rsidRPr="00900DDA">
        <w:rPr>
          <w:rFonts w:ascii="Sakkal Majalla" w:hAnsi="Sakkal Majalla" w:cs="Sakkal Majalla"/>
          <w:b/>
          <w:bCs/>
          <w:sz w:val="28"/>
        </w:rPr>
        <w:t xml:space="preserve"> ZATCA-X</w:t>
      </w:r>
    </w:p>
    <w:tbl>
      <w:tblPr>
        <w:tblStyle w:val="PlainTable3"/>
        <w:tblW w:w="0" w:type="auto"/>
        <w:jc w:val="center"/>
        <w:tblLook w:val="04A0" w:firstRow="1" w:lastRow="0" w:firstColumn="1" w:lastColumn="0" w:noHBand="0" w:noVBand="1"/>
      </w:tblPr>
      <w:tblGrid>
        <w:gridCol w:w="2754"/>
        <w:gridCol w:w="2279"/>
        <w:gridCol w:w="1913"/>
      </w:tblGrid>
      <w:tr w:rsidR="00900DDA" w:rsidRPr="00900DDA" w14:paraId="05CCAB3C"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FE7300D"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المكون</w:t>
            </w:r>
          </w:p>
        </w:tc>
        <w:tc>
          <w:tcPr>
            <w:tcW w:w="0" w:type="auto"/>
            <w:hideMark/>
          </w:tcPr>
          <w:p w14:paraId="032B154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الوظيفة</w:t>
            </w:r>
          </w:p>
        </w:tc>
        <w:tc>
          <w:tcPr>
            <w:tcW w:w="0" w:type="auto"/>
            <w:hideMark/>
          </w:tcPr>
          <w:p w14:paraId="26DCF5C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القيمة المضافة</w:t>
            </w:r>
          </w:p>
        </w:tc>
      </w:tr>
      <w:tr w:rsidR="00900DDA" w:rsidRPr="00900DDA" w14:paraId="591BCF9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D1D72B"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Digital Marketplace</w:t>
            </w:r>
          </w:p>
        </w:tc>
        <w:tc>
          <w:tcPr>
            <w:tcW w:w="0" w:type="auto"/>
            <w:hideMark/>
          </w:tcPr>
          <w:p w14:paraId="6838533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سوق للحلول الجمركية</w:t>
            </w:r>
          </w:p>
        </w:tc>
        <w:tc>
          <w:tcPr>
            <w:tcW w:w="0" w:type="auto"/>
            <w:hideMark/>
          </w:tcPr>
          <w:p w14:paraId="53DCCF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تحفيز الابتكار</w:t>
            </w:r>
          </w:p>
        </w:tc>
      </w:tr>
      <w:tr w:rsidR="00900DDA" w:rsidRPr="00900DDA" w14:paraId="600E021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F8E7CC"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API Gateway</w:t>
            </w:r>
          </w:p>
        </w:tc>
        <w:tc>
          <w:tcPr>
            <w:tcW w:w="0" w:type="auto"/>
            <w:hideMark/>
          </w:tcPr>
          <w:p w14:paraId="59E1393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تكامل الأنظمة</w:t>
            </w:r>
          </w:p>
        </w:tc>
        <w:tc>
          <w:tcPr>
            <w:tcW w:w="0" w:type="auto"/>
            <w:hideMark/>
          </w:tcPr>
          <w:p w14:paraId="305C4D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ربط عالمي</w:t>
            </w:r>
          </w:p>
        </w:tc>
      </w:tr>
      <w:tr w:rsidR="00900DDA" w:rsidRPr="00900DDA" w14:paraId="7A8AF8A7"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7265DA"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AI Services Hub</w:t>
            </w:r>
          </w:p>
        </w:tc>
        <w:tc>
          <w:tcPr>
            <w:tcW w:w="0" w:type="auto"/>
            <w:hideMark/>
          </w:tcPr>
          <w:p w14:paraId="03BA129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خدمات ذكاء اصطناعي</w:t>
            </w:r>
          </w:p>
        </w:tc>
        <w:tc>
          <w:tcPr>
            <w:tcW w:w="0" w:type="auto"/>
            <w:hideMark/>
          </w:tcPr>
          <w:p w14:paraId="1468261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قرارات ذكية</w:t>
            </w:r>
          </w:p>
        </w:tc>
      </w:tr>
      <w:tr w:rsidR="00900DDA" w:rsidRPr="00900DDA" w14:paraId="1886001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7221D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Smart Analytics</w:t>
            </w:r>
          </w:p>
        </w:tc>
        <w:tc>
          <w:tcPr>
            <w:tcW w:w="0" w:type="auto"/>
            <w:hideMark/>
          </w:tcPr>
          <w:p w14:paraId="758A1D9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تحليلات لحظية</w:t>
            </w:r>
          </w:p>
        </w:tc>
        <w:tc>
          <w:tcPr>
            <w:tcW w:w="0" w:type="auto"/>
            <w:hideMark/>
          </w:tcPr>
          <w:p w14:paraId="4E9DD87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دعم القرار</w:t>
            </w:r>
          </w:p>
        </w:tc>
      </w:tr>
      <w:tr w:rsidR="00900DDA" w:rsidRPr="00900DDA" w14:paraId="441CFA8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BEF27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Blockchain Hub</w:t>
            </w:r>
          </w:p>
        </w:tc>
        <w:tc>
          <w:tcPr>
            <w:tcW w:w="0" w:type="auto"/>
            <w:hideMark/>
          </w:tcPr>
          <w:p w14:paraId="23686CD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توثيق المعاملات</w:t>
            </w:r>
          </w:p>
        </w:tc>
        <w:tc>
          <w:tcPr>
            <w:tcW w:w="0" w:type="auto"/>
            <w:hideMark/>
          </w:tcPr>
          <w:p w14:paraId="7825258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شفافية كاملة</w:t>
            </w:r>
          </w:p>
        </w:tc>
      </w:tr>
      <w:tr w:rsidR="00900DDA" w:rsidRPr="00900DDA" w14:paraId="553C1013"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C3716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Investor Portal</w:t>
            </w:r>
          </w:p>
        </w:tc>
        <w:tc>
          <w:tcPr>
            <w:tcW w:w="0" w:type="auto"/>
            <w:hideMark/>
          </w:tcPr>
          <w:p w14:paraId="32E2088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خدمات المستثمرين</w:t>
            </w:r>
          </w:p>
        </w:tc>
        <w:tc>
          <w:tcPr>
            <w:tcW w:w="0" w:type="auto"/>
            <w:hideMark/>
          </w:tcPr>
          <w:p w14:paraId="246F19C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جذب الاستثمارات</w:t>
            </w:r>
          </w:p>
        </w:tc>
      </w:tr>
    </w:tbl>
    <w:p w14:paraId="7B88DEEE"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ثالثاً: إنشاء الأكاديمية الدولية للجمارك الذكية</w:t>
      </w:r>
    </w:p>
    <w:p w14:paraId="4CDD4247"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يقترح الباحث إنشاء أكاديمية دولية متخصصة في التدريب والبحث العلمي في مجالات الجمارك الذكية، والتحول الرقمي، وإدارة المخاطر، والأمن السيبراني، والذكاء الاصطناعي، بحيث تصبح مركزاً إقليمياً لتأهيل الكوادر الحكومية في الشرق الأوسط وشمال أفريقيا، وتسهم في نقل الخبرات السعودية إلى الدول الأخرى</w:t>
      </w:r>
      <w:r w:rsidRPr="00900DDA">
        <w:rPr>
          <w:rFonts w:ascii="Sakkal Majalla" w:hAnsi="Sakkal Majalla" w:cs="Sakkal Majalla"/>
          <w:sz w:val="28"/>
        </w:rPr>
        <w:t>.</w:t>
      </w:r>
    </w:p>
    <w:p w14:paraId="5F44745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وتقدم الأكاديمية برامج تدريبية وشهادات احترافية معتمدة، وبرامج دبلومات مهنية، ومبادرات بحثية مشتركة مع الجامعات ومراكز الفكر العالمية، بما يدعم بناء مجتمع معرفي متخصص في الإدارة الجمركية الرقمية</w:t>
      </w:r>
      <w:r w:rsidRPr="00900DDA">
        <w:rPr>
          <w:rFonts w:ascii="Sakkal Majalla" w:hAnsi="Sakkal Majalla" w:cs="Sakkal Majalla"/>
          <w:sz w:val="28"/>
        </w:rPr>
        <w:t>.</w:t>
      </w:r>
    </w:p>
    <w:p w14:paraId="26ACE1E2"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(7-13)</w:t>
      </w:r>
    </w:p>
    <w:p w14:paraId="516258D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البرامج المقترحة للأكاديمية</w:t>
      </w:r>
    </w:p>
    <w:tbl>
      <w:tblPr>
        <w:tblStyle w:val="PlainTable3"/>
        <w:tblW w:w="0" w:type="auto"/>
        <w:jc w:val="center"/>
        <w:tblLook w:val="04A0" w:firstRow="1" w:lastRow="0" w:firstColumn="1" w:lastColumn="0" w:noHBand="0" w:noVBand="1"/>
      </w:tblPr>
      <w:tblGrid>
        <w:gridCol w:w="2332"/>
        <w:gridCol w:w="1586"/>
        <w:gridCol w:w="993"/>
        <w:gridCol w:w="1923"/>
      </w:tblGrid>
      <w:tr w:rsidR="00900DDA" w:rsidRPr="00900DDA" w14:paraId="22653234"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4F723B8"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البرنامج</w:t>
            </w:r>
          </w:p>
        </w:tc>
        <w:tc>
          <w:tcPr>
            <w:tcW w:w="0" w:type="auto"/>
            <w:hideMark/>
          </w:tcPr>
          <w:p w14:paraId="58222E1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الفئة المستهدفة</w:t>
            </w:r>
          </w:p>
        </w:tc>
        <w:tc>
          <w:tcPr>
            <w:tcW w:w="0" w:type="auto"/>
            <w:hideMark/>
          </w:tcPr>
          <w:p w14:paraId="324F504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المدة</w:t>
            </w:r>
          </w:p>
        </w:tc>
        <w:tc>
          <w:tcPr>
            <w:tcW w:w="0" w:type="auto"/>
            <w:hideMark/>
          </w:tcPr>
          <w:p w14:paraId="27C7431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المخرجات</w:t>
            </w:r>
          </w:p>
        </w:tc>
      </w:tr>
      <w:tr w:rsidR="00900DDA" w:rsidRPr="00900DDA" w14:paraId="7CE6A36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43C9D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الذكاء الاصطناعي الجمركي</w:t>
            </w:r>
          </w:p>
        </w:tc>
        <w:tc>
          <w:tcPr>
            <w:tcW w:w="0" w:type="auto"/>
            <w:hideMark/>
          </w:tcPr>
          <w:p w14:paraId="06A3D60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محللو المخاطر</w:t>
            </w:r>
          </w:p>
        </w:tc>
        <w:tc>
          <w:tcPr>
            <w:tcW w:w="0" w:type="auto"/>
            <w:hideMark/>
          </w:tcPr>
          <w:p w14:paraId="565609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6 </w:t>
            </w:r>
            <w:r w:rsidRPr="00900DDA">
              <w:rPr>
                <w:rFonts w:ascii="Sakkal Majalla" w:hAnsi="Sakkal Majalla" w:cs="Sakkal Majalla"/>
                <w:sz w:val="24"/>
                <w:szCs w:val="24"/>
                <w:rtl/>
              </w:rPr>
              <w:t>أشهر</w:t>
            </w:r>
          </w:p>
        </w:tc>
        <w:tc>
          <w:tcPr>
            <w:tcW w:w="0" w:type="auto"/>
            <w:hideMark/>
          </w:tcPr>
          <w:p w14:paraId="3DC3001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شهادة احترافية</w:t>
            </w:r>
          </w:p>
        </w:tc>
      </w:tr>
      <w:tr w:rsidR="00900DDA" w:rsidRPr="00900DDA" w14:paraId="2EBFB34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6AF35"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الأمن السيبراني الجمركي</w:t>
            </w:r>
          </w:p>
        </w:tc>
        <w:tc>
          <w:tcPr>
            <w:tcW w:w="0" w:type="auto"/>
            <w:hideMark/>
          </w:tcPr>
          <w:p w14:paraId="7C4C5E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مختصو الأمن</w:t>
            </w:r>
          </w:p>
        </w:tc>
        <w:tc>
          <w:tcPr>
            <w:tcW w:w="0" w:type="auto"/>
            <w:hideMark/>
          </w:tcPr>
          <w:p w14:paraId="18D3CF9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4 </w:t>
            </w:r>
            <w:r w:rsidRPr="00900DDA">
              <w:rPr>
                <w:rFonts w:ascii="Sakkal Majalla" w:hAnsi="Sakkal Majalla" w:cs="Sakkal Majalla"/>
                <w:sz w:val="24"/>
                <w:szCs w:val="24"/>
                <w:rtl/>
              </w:rPr>
              <w:t>أشهر</w:t>
            </w:r>
          </w:p>
        </w:tc>
        <w:tc>
          <w:tcPr>
            <w:tcW w:w="0" w:type="auto"/>
            <w:hideMark/>
          </w:tcPr>
          <w:p w14:paraId="10D0A11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اعتماد مهني</w:t>
            </w:r>
          </w:p>
        </w:tc>
      </w:tr>
      <w:tr w:rsidR="00900DDA" w:rsidRPr="00900DDA" w14:paraId="39FB944E"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4DD48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lastRenderedPageBreak/>
              <w:t>القيادة الرقمية</w:t>
            </w:r>
          </w:p>
        </w:tc>
        <w:tc>
          <w:tcPr>
            <w:tcW w:w="0" w:type="auto"/>
            <w:hideMark/>
          </w:tcPr>
          <w:p w14:paraId="43DE42A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القيادات العليا</w:t>
            </w:r>
          </w:p>
        </w:tc>
        <w:tc>
          <w:tcPr>
            <w:tcW w:w="0" w:type="auto"/>
            <w:hideMark/>
          </w:tcPr>
          <w:p w14:paraId="40B0398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3 </w:t>
            </w:r>
            <w:r w:rsidRPr="00900DDA">
              <w:rPr>
                <w:rFonts w:ascii="Sakkal Majalla" w:hAnsi="Sakkal Majalla" w:cs="Sakkal Majalla"/>
                <w:sz w:val="24"/>
                <w:szCs w:val="24"/>
                <w:rtl/>
              </w:rPr>
              <w:t>أشهر</w:t>
            </w:r>
          </w:p>
        </w:tc>
        <w:tc>
          <w:tcPr>
            <w:tcW w:w="0" w:type="auto"/>
            <w:hideMark/>
          </w:tcPr>
          <w:p w14:paraId="439B5AE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قادة تحول</w:t>
            </w:r>
          </w:p>
        </w:tc>
      </w:tr>
      <w:tr w:rsidR="00900DDA" w:rsidRPr="00900DDA" w14:paraId="496FBA9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755140"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البيانات الضخمة</w:t>
            </w:r>
          </w:p>
        </w:tc>
        <w:tc>
          <w:tcPr>
            <w:tcW w:w="0" w:type="auto"/>
            <w:hideMark/>
          </w:tcPr>
          <w:p w14:paraId="46BAC0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محللو البيانات</w:t>
            </w:r>
          </w:p>
        </w:tc>
        <w:tc>
          <w:tcPr>
            <w:tcW w:w="0" w:type="auto"/>
            <w:hideMark/>
          </w:tcPr>
          <w:p w14:paraId="05801CB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5 </w:t>
            </w:r>
            <w:r w:rsidRPr="00900DDA">
              <w:rPr>
                <w:rFonts w:ascii="Sakkal Majalla" w:hAnsi="Sakkal Majalla" w:cs="Sakkal Majalla"/>
                <w:sz w:val="24"/>
                <w:szCs w:val="24"/>
                <w:rtl/>
              </w:rPr>
              <w:t>أشهر</w:t>
            </w:r>
          </w:p>
        </w:tc>
        <w:tc>
          <w:tcPr>
            <w:tcW w:w="0" w:type="auto"/>
            <w:hideMark/>
          </w:tcPr>
          <w:p w14:paraId="1EDAC2C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Data Scientist</w:t>
            </w:r>
          </w:p>
        </w:tc>
      </w:tr>
      <w:tr w:rsidR="00900DDA" w:rsidRPr="00900DDA" w14:paraId="45B303A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5517D4"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الحوكمة الرقمية</w:t>
            </w:r>
          </w:p>
        </w:tc>
        <w:tc>
          <w:tcPr>
            <w:tcW w:w="0" w:type="auto"/>
            <w:hideMark/>
          </w:tcPr>
          <w:p w14:paraId="018000F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المديرون</w:t>
            </w:r>
          </w:p>
        </w:tc>
        <w:tc>
          <w:tcPr>
            <w:tcW w:w="0" w:type="auto"/>
            <w:hideMark/>
          </w:tcPr>
          <w:p w14:paraId="26B22BF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شهران</w:t>
            </w:r>
          </w:p>
        </w:tc>
        <w:tc>
          <w:tcPr>
            <w:tcW w:w="0" w:type="auto"/>
            <w:hideMark/>
          </w:tcPr>
          <w:p w14:paraId="1C4CB47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Digital Governance</w:t>
            </w:r>
          </w:p>
        </w:tc>
      </w:tr>
    </w:tbl>
    <w:p w14:paraId="27586B0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رابعاً: برنامج التجارة الخضراء</w:t>
      </w:r>
    </w:p>
    <w:p w14:paraId="060F54A6"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في ضوء التوجهات الدولية نحو الاقتصاد الأخضر، تقترح الخطة إطلاق برنامج متكامل للتجارة الخضراء، يهدف إلى دمج معايير الاستدامة البيئية في العمليات الجمركية، وتشجيع استيراد وتصدير المنتجات منخفضة الانبعاثات، وتطوير آليات رقمية لقياس البصمة الكربونية للشحنات، ومنح حوافز جمركية للشركات الملتزمة بالمعايير البيئية</w:t>
      </w:r>
      <w:r w:rsidRPr="00900DDA">
        <w:rPr>
          <w:rFonts w:ascii="Sakkal Majalla" w:hAnsi="Sakkal Majalla" w:cs="Sakkal Majalla"/>
          <w:sz w:val="28"/>
        </w:rPr>
        <w:t>.</w:t>
      </w:r>
    </w:p>
    <w:p w14:paraId="152F1B01"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كما يتضمن البرنامج رقمنة المستندات بالكامل، واستخدام الطاقة المتجددة في المنافذ الجمركية، وتطوير مؤشرات أداء بيئية ضمن لوحة القيادة الاستراتيجية، بما ينسجم مع مبادرة السعودية الخضراء وأهداف التنمية المستدامة</w:t>
      </w:r>
      <w:r w:rsidRPr="00900DDA">
        <w:rPr>
          <w:rFonts w:ascii="Sakkal Majalla" w:hAnsi="Sakkal Majalla" w:cs="Sakkal Majalla"/>
          <w:sz w:val="28"/>
        </w:rPr>
        <w:t>.</w:t>
      </w:r>
    </w:p>
    <w:p w14:paraId="6868AA34"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(7-14)</w:t>
      </w:r>
    </w:p>
    <w:p w14:paraId="12566B3A"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مؤشرات التجارة الخضراء</w:t>
      </w:r>
    </w:p>
    <w:tbl>
      <w:tblPr>
        <w:tblStyle w:val="PlainTable3"/>
        <w:tblW w:w="0" w:type="auto"/>
        <w:jc w:val="center"/>
        <w:tblLook w:val="04A0" w:firstRow="1" w:lastRow="0" w:firstColumn="1" w:lastColumn="0" w:noHBand="0" w:noVBand="1"/>
      </w:tblPr>
      <w:tblGrid>
        <w:gridCol w:w="2574"/>
        <w:gridCol w:w="958"/>
        <w:gridCol w:w="958"/>
        <w:gridCol w:w="958"/>
        <w:gridCol w:w="1012"/>
      </w:tblGrid>
      <w:tr w:rsidR="00900DDA" w:rsidRPr="00900DDA" w14:paraId="65BF09C6"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85C5DD9"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المؤشر</w:t>
            </w:r>
          </w:p>
        </w:tc>
        <w:tc>
          <w:tcPr>
            <w:tcW w:w="0" w:type="auto"/>
            <w:hideMark/>
          </w:tcPr>
          <w:p w14:paraId="2A891624"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2027</w:t>
            </w:r>
          </w:p>
        </w:tc>
        <w:tc>
          <w:tcPr>
            <w:tcW w:w="0" w:type="auto"/>
            <w:hideMark/>
          </w:tcPr>
          <w:p w14:paraId="6823216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2028</w:t>
            </w:r>
          </w:p>
        </w:tc>
        <w:tc>
          <w:tcPr>
            <w:tcW w:w="0" w:type="auto"/>
            <w:hideMark/>
          </w:tcPr>
          <w:p w14:paraId="26C5E48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2029</w:t>
            </w:r>
          </w:p>
        </w:tc>
        <w:tc>
          <w:tcPr>
            <w:tcW w:w="0" w:type="auto"/>
            <w:hideMark/>
          </w:tcPr>
          <w:p w14:paraId="10DC1284"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2030</w:t>
            </w:r>
          </w:p>
        </w:tc>
      </w:tr>
      <w:tr w:rsidR="00900DDA" w:rsidRPr="00900DDA" w14:paraId="1E5312E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E6D721"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المعاملات الورقية</w:t>
            </w:r>
          </w:p>
        </w:tc>
        <w:tc>
          <w:tcPr>
            <w:tcW w:w="0" w:type="auto"/>
            <w:hideMark/>
          </w:tcPr>
          <w:p w14:paraId="6ED803E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w:t>
            </w:r>
          </w:p>
        </w:tc>
        <w:tc>
          <w:tcPr>
            <w:tcW w:w="0" w:type="auto"/>
            <w:hideMark/>
          </w:tcPr>
          <w:p w14:paraId="701A729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5%</w:t>
            </w:r>
          </w:p>
        </w:tc>
        <w:tc>
          <w:tcPr>
            <w:tcW w:w="0" w:type="auto"/>
            <w:hideMark/>
          </w:tcPr>
          <w:p w14:paraId="41AAAAD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w:t>
            </w:r>
          </w:p>
        </w:tc>
        <w:tc>
          <w:tcPr>
            <w:tcW w:w="0" w:type="auto"/>
            <w:hideMark/>
          </w:tcPr>
          <w:p w14:paraId="4B6936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0%</w:t>
            </w:r>
          </w:p>
        </w:tc>
      </w:tr>
      <w:tr w:rsidR="00900DDA" w:rsidRPr="00900DDA" w14:paraId="4E4D391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9506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استخدام الطاقة النظيفة</w:t>
            </w:r>
          </w:p>
        </w:tc>
        <w:tc>
          <w:tcPr>
            <w:tcW w:w="0" w:type="auto"/>
            <w:hideMark/>
          </w:tcPr>
          <w:p w14:paraId="245F795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40%</w:t>
            </w:r>
          </w:p>
        </w:tc>
        <w:tc>
          <w:tcPr>
            <w:tcW w:w="0" w:type="auto"/>
            <w:hideMark/>
          </w:tcPr>
          <w:p w14:paraId="7DBF796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35A0C9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80%</w:t>
            </w:r>
          </w:p>
        </w:tc>
        <w:tc>
          <w:tcPr>
            <w:tcW w:w="0" w:type="auto"/>
            <w:hideMark/>
          </w:tcPr>
          <w:p w14:paraId="745725A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100%</w:t>
            </w:r>
          </w:p>
        </w:tc>
      </w:tr>
      <w:tr w:rsidR="00900DDA" w:rsidRPr="00900DDA" w14:paraId="5EAC8B0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94CA4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قياس البصمة الكربونية</w:t>
            </w:r>
          </w:p>
        </w:tc>
        <w:tc>
          <w:tcPr>
            <w:tcW w:w="0" w:type="auto"/>
            <w:hideMark/>
          </w:tcPr>
          <w:p w14:paraId="7E21D1B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30%</w:t>
            </w:r>
          </w:p>
        </w:tc>
        <w:tc>
          <w:tcPr>
            <w:tcW w:w="0" w:type="auto"/>
            <w:hideMark/>
          </w:tcPr>
          <w:p w14:paraId="727799A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714F31E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85%</w:t>
            </w:r>
          </w:p>
        </w:tc>
        <w:tc>
          <w:tcPr>
            <w:tcW w:w="0" w:type="auto"/>
            <w:hideMark/>
          </w:tcPr>
          <w:p w14:paraId="063948D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100%</w:t>
            </w:r>
          </w:p>
        </w:tc>
      </w:tr>
      <w:tr w:rsidR="00900DDA" w:rsidRPr="00900DDA" w14:paraId="0227780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5DFEA8"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الشحنات الخضراء</w:t>
            </w:r>
          </w:p>
        </w:tc>
        <w:tc>
          <w:tcPr>
            <w:tcW w:w="0" w:type="auto"/>
            <w:hideMark/>
          </w:tcPr>
          <w:p w14:paraId="5CFF439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w:t>
            </w:r>
          </w:p>
        </w:tc>
        <w:tc>
          <w:tcPr>
            <w:tcW w:w="0" w:type="auto"/>
            <w:hideMark/>
          </w:tcPr>
          <w:p w14:paraId="47D068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40%</w:t>
            </w:r>
          </w:p>
        </w:tc>
        <w:tc>
          <w:tcPr>
            <w:tcW w:w="0" w:type="auto"/>
            <w:hideMark/>
          </w:tcPr>
          <w:p w14:paraId="214E408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520E1AD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80%</w:t>
            </w:r>
          </w:p>
        </w:tc>
      </w:tr>
    </w:tbl>
    <w:p w14:paraId="3504A6E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خامساً: نموذج بطاقة الأداء المتوازن</w:t>
      </w:r>
      <w:r w:rsidRPr="00900DDA">
        <w:rPr>
          <w:rFonts w:ascii="Sakkal Majalla" w:hAnsi="Sakkal Majalla" w:cs="Sakkal Majalla"/>
          <w:b/>
          <w:bCs/>
          <w:sz w:val="28"/>
        </w:rPr>
        <w:t xml:space="preserve"> (Balanced Scorecard)</w:t>
      </w:r>
    </w:p>
    <w:p w14:paraId="0E82A13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ولضمان التنفيذ الفعال للخطة الاستراتيجية، يقترح الباحث تبني بطاقة أداء متوازن</w:t>
      </w:r>
      <w:r w:rsidRPr="00900DDA">
        <w:rPr>
          <w:rFonts w:ascii="Sakkal Majalla" w:hAnsi="Sakkal Majalla" w:cs="Sakkal Majalla"/>
          <w:sz w:val="28"/>
        </w:rPr>
        <w:t xml:space="preserve"> (Balanced Scorecard) </w:t>
      </w:r>
      <w:r w:rsidRPr="00900DDA">
        <w:rPr>
          <w:rFonts w:ascii="Sakkal Majalla" w:hAnsi="Sakkal Majalla" w:cs="Sakkal Majalla"/>
          <w:sz w:val="28"/>
          <w:rtl/>
        </w:rPr>
        <w:t>ترتبط مباشرة بالأهداف والمبادرات ومؤشرات الأداء</w:t>
      </w:r>
      <w:r w:rsidRPr="00900DDA">
        <w:rPr>
          <w:rFonts w:ascii="Sakkal Majalla" w:hAnsi="Sakkal Majalla" w:cs="Sakkal Majalla"/>
          <w:sz w:val="28"/>
        </w:rPr>
        <w:t>.</w:t>
      </w:r>
    </w:p>
    <w:p w14:paraId="44706E09"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(7-15)</w:t>
      </w:r>
    </w:p>
    <w:p w14:paraId="283A370C"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بطاقة الأداء المتوازن المقترحة</w:t>
      </w:r>
    </w:p>
    <w:tbl>
      <w:tblPr>
        <w:tblStyle w:val="PlainTable3"/>
        <w:tblW w:w="0" w:type="auto"/>
        <w:jc w:val="center"/>
        <w:tblLook w:val="04A0" w:firstRow="1" w:lastRow="0" w:firstColumn="1" w:lastColumn="0" w:noHBand="0" w:noVBand="1"/>
      </w:tblPr>
      <w:tblGrid>
        <w:gridCol w:w="1792"/>
        <w:gridCol w:w="1818"/>
        <w:gridCol w:w="2048"/>
        <w:gridCol w:w="1670"/>
      </w:tblGrid>
      <w:tr w:rsidR="00900DDA" w:rsidRPr="00900DDA" w14:paraId="78B93085"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C5E90C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البعد الاستراتيجي</w:t>
            </w:r>
          </w:p>
        </w:tc>
        <w:tc>
          <w:tcPr>
            <w:tcW w:w="0" w:type="auto"/>
            <w:hideMark/>
          </w:tcPr>
          <w:p w14:paraId="32E56F8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الهدف</w:t>
            </w:r>
          </w:p>
        </w:tc>
        <w:tc>
          <w:tcPr>
            <w:tcW w:w="0" w:type="auto"/>
            <w:hideMark/>
          </w:tcPr>
          <w:p w14:paraId="26F42EDD"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المؤشر</w:t>
            </w:r>
          </w:p>
        </w:tc>
        <w:tc>
          <w:tcPr>
            <w:tcW w:w="0" w:type="auto"/>
            <w:hideMark/>
          </w:tcPr>
          <w:p w14:paraId="00B69D3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المستهدف 2030</w:t>
            </w:r>
          </w:p>
        </w:tc>
      </w:tr>
      <w:tr w:rsidR="00900DDA" w:rsidRPr="00900DDA" w14:paraId="66ED5FC8"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8768B5"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lastRenderedPageBreak/>
              <w:t>البعد المالي</w:t>
            </w:r>
          </w:p>
        </w:tc>
        <w:tc>
          <w:tcPr>
            <w:tcW w:w="0" w:type="auto"/>
            <w:hideMark/>
          </w:tcPr>
          <w:p w14:paraId="2CC8E00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تعظيم الإيرادات</w:t>
            </w:r>
          </w:p>
        </w:tc>
        <w:tc>
          <w:tcPr>
            <w:tcW w:w="0" w:type="auto"/>
            <w:hideMark/>
          </w:tcPr>
          <w:p w14:paraId="3146C17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الإيرادات الجمركية</w:t>
            </w:r>
          </w:p>
        </w:tc>
        <w:tc>
          <w:tcPr>
            <w:tcW w:w="0" w:type="auto"/>
            <w:hideMark/>
          </w:tcPr>
          <w:p w14:paraId="027894B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650 </w:t>
            </w:r>
            <w:r w:rsidRPr="00900DDA">
              <w:rPr>
                <w:rFonts w:ascii="Sakkal Majalla" w:hAnsi="Sakkal Majalla" w:cs="Sakkal Majalla"/>
                <w:sz w:val="24"/>
                <w:szCs w:val="24"/>
                <w:rtl/>
              </w:rPr>
              <w:t>مليار ريال</w:t>
            </w:r>
          </w:p>
        </w:tc>
      </w:tr>
      <w:tr w:rsidR="00900DDA" w:rsidRPr="00900DDA" w14:paraId="1465121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8063C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العملاء</w:t>
            </w:r>
          </w:p>
        </w:tc>
        <w:tc>
          <w:tcPr>
            <w:tcW w:w="0" w:type="auto"/>
            <w:hideMark/>
          </w:tcPr>
          <w:p w14:paraId="4781D9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رفع رضا المتعاملين</w:t>
            </w:r>
          </w:p>
        </w:tc>
        <w:tc>
          <w:tcPr>
            <w:tcW w:w="0" w:type="auto"/>
            <w:hideMark/>
          </w:tcPr>
          <w:p w14:paraId="5B72EA0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NPS</w:t>
            </w:r>
          </w:p>
        </w:tc>
        <w:tc>
          <w:tcPr>
            <w:tcW w:w="0" w:type="auto"/>
            <w:hideMark/>
          </w:tcPr>
          <w:p w14:paraId="6287F23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97%</w:t>
            </w:r>
          </w:p>
        </w:tc>
      </w:tr>
      <w:tr w:rsidR="00900DDA" w:rsidRPr="00900DDA" w14:paraId="79A59E6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7490F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العمليات الداخلية</w:t>
            </w:r>
          </w:p>
        </w:tc>
        <w:tc>
          <w:tcPr>
            <w:tcW w:w="0" w:type="auto"/>
            <w:hideMark/>
          </w:tcPr>
          <w:p w14:paraId="06EB2B6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تقليل زمن الإفراج</w:t>
            </w:r>
          </w:p>
        </w:tc>
        <w:tc>
          <w:tcPr>
            <w:tcW w:w="0" w:type="auto"/>
            <w:hideMark/>
          </w:tcPr>
          <w:p w14:paraId="06EDD58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Time Release</w:t>
            </w:r>
          </w:p>
        </w:tc>
        <w:tc>
          <w:tcPr>
            <w:tcW w:w="0" w:type="auto"/>
            <w:hideMark/>
          </w:tcPr>
          <w:p w14:paraId="6D26841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أقل من 10 دقائق</w:t>
            </w:r>
          </w:p>
        </w:tc>
      </w:tr>
      <w:tr w:rsidR="00900DDA" w:rsidRPr="00900DDA" w14:paraId="5449E83B"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B870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التعلم والنمو</w:t>
            </w:r>
          </w:p>
        </w:tc>
        <w:tc>
          <w:tcPr>
            <w:tcW w:w="0" w:type="auto"/>
            <w:hideMark/>
          </w:tcPr>
          <w:p w14:paraId="7238D44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بناء القدرات</w:t>
            </w:r>
          </w:p>
        </w:tc>
        <w:tc>
          <w:tcPr>
            <w:tcW w:w="0" w:type="auto"/>
            <w:hideMark/>
          </w:tcPr>
          <w:p w14:paraId="093406A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نسبة الكفاءات الرقمية</w:t>
            </w:r>
          </w:p>
        </w:tc>
        <w:tc>
          <w:tcPr>
            <w:tcW w:w="0" w:type="auto"/>
            <w:hideMark/>
          </w:tcPr>
          <w:p w14:paraId="2BF0E9E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100%</w:t>
            </w:r>
          </w:p>
        </w:tc>
      </w:tr>
      <w:tr w:rsidR="00900DDA" w:rsidRPr="00900DDA" w14:paraId="60EDEE3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5F0AC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الابتكار</w:t>
            </w:r>
          </w:p>
        </w:tc>
        <w:tc>
          <w:tcPr>
            <w:tcW w:w="0" w:type="auto"/>
            <w:hideMark/>
          </w:tcPr>
          <w:p w14:paraId="032E65D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تطوير حلول جديدة</w:t>
            </w:r>
          </w:p>
        </w:tc>
        <w:tc>
          <w:tcPr>
            <w:tcW w:w="0" w:type="auto"/>
            <w:hideMark/>
          </w:tcPr>
          <w:p w14:paraId="2605BD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الابتكارات السنوية</w:t>
            </w:r>
          </w:p>
        </w:tc>
        <w:tc>
          <w:tcPr>
            <w:tcW w:w="0" w:type="auto"/>
            <w:hideMark/>
          </w:tcPr>
          <w:p w14:paraId="453A196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20 </w:t>
            </w:r>
            <w:r w:rsidRPr="00900DDA">
              <w:rPr>
                <w:rFonts w:ascii="Sakkal Majalla" w:hAnsi="Sakkal Majalla" w:cs="Sakkal Majalla"/>
                <w:sz w:val="24"/>
                <w:szCs w:val="24"/>
                <w:rtl/>
              </w:rPr>
              <w:t>مشروعاً</w:t>
            </w:r>
          </w:p>
        </w:tc>
      </w:tr>
      <w:tr w:rsidR="00900DDA" w:rsidRPr="00900DDA" w14:paraId="048CBF6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D7C337"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الاستدامة</w:t>
            </w:r>
          </w:p>
        </w:tc>
        <w:tc>
          <w:tcPr>
            <w:tcW w:w="0" w:type="auto"/>
            <w:hideMark/>
          </w:tcPr>
          <w:p w14:paraId="4A68E0A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التجارة الخضراء</w:t>
            </w:r>
          </w:p>
        </w:tc>
        <w:tc>
          <w:tcPr>
            <w:tcW w:w="0" w:type="auto"/>
            <w:hideMark/>
          </w:tcPr>
          <w:p w14:paraId="347F786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الانبعاثات</w:t>
            </w:r>
          </w:p>
        </w:tc>
        <w:tc>
          <w:tcPr>
            <w:tcW w:w="0" w:type="auto"/>
            <w:hideMark/>
          </w:tcPr>
          <w:p w14:paraId="193AEC6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-40%</w:t>
            </w:r>
          </w:p>
        </w:tc>
      </w:tr>
    </w:tbl>
    <w:p w14:paraId="011FE01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سادساً: سجل المخاطر التنفيذي</w:t>
      </w:r>
      <w:r w:rsidRPr="00900DDA">
        <w:rPr>
          <w:rFonts w:ascii="Sakkal Majalla" w:hAnsi="Sakkal Majalla" w:cs="Sakkal Majalla"/>
          <w:b/>
          <w:bCs/>
          <w:sz w:val="28"/>
        </w:rPr>
        <w:t xml:space="preserve"> (Executive Risk Register)</w:t>
      </w:r>
    </w:p>
    <w:p w14:paraId="3EE51D9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(7-16)</w:t>
      </w:r>
    </w:p>
    <w:tbl>
      <w:tblPr>
        <w:tblStyle w:val="PlainTable3"/>
        <w:tblW w:w="0" w:type="auto"/>
        <w:tblLook w:val="04A0" w:firstRow="1" w:lastRow="0" w:firstColumn="1" w:lastColumn="0" w:noHBand="0" w:noVBand="1"/>
      </w:tblPr>
      <w:tblGrid>
        <w:gridCol w:w="1998"/>
        <w:gridCol w:w="1385"/>
        <w:gridCol w:w="1479"/>
        <w:gridCol w:w="1159"/>
        <w:gridCol w:w="1896"/>
        <w:gridCol w:w="1443"/>
      </w:tblGrid>
      <w:tr w:rsidR="00900DDA" w:rsidRPr="00900DDA" w14:paraId="76C663FF" w14:textId="77777777" w:rsidTr="00900D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6ABE82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الخطر</w:t>
            </w:r>
          </w:p>
        </w:tc>
        <w:tc>
          <w:tcPr>
            <w:tcW w:w="0" w:type="auto"/>
            <w:hideMark/>
          </w:tcPr>
          <w:p w14:paraId="3BF68A2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درجة الخطورة</w:t>
            </w:r>
          </w:p>
        </w:tc>
        <w:tc>
          <w:tcPr>
            <w:tcW w:w="0" w:type="auto"/>
            <w:hideMark/>
          </w:tcPr>
          <w:p w14:paraId="7C1F77A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احتمال الحدوث</w:t>
            </w:r>
          </w:p>
        </w:tc>
        <w:tc>
          <w:tcPr>
            <w:tcW w:w="0" w:type="auto"/>
            <w:hideMark/>
          </w:tcPr>
          <w:p w14:paraId="5E3E07F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التأثير</w:t>
            </w:r>
          </w:p>
        </w:tc>
        <w:tc>
          <w:tcPr>
            <w:tcW w:w="0" w:type="auto"/>
            <w:hideMark/>
          </w:tcPr>
          <w:p w14:paraId="0CC3DDC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خطة الاستجابة</w:t>
            </w:r>
          </w:p>
        </w:tc>
        <w:tc>
          <w:tcPr>
            <w:tcW w:w="0" w:type="auto"/>
            <w:hideMark/>
          </w:tcPr>
          <w:p w14:paraId="5120EA3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الجهة المسؤولة</w:t>
            </w:r>
          </w:p>
        </w:tc>
      </w:tr>
      <w:tr w:rsidR="00900DDA" w:rsidRPr="00900DDA" w14:paraId="0BC6D382"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71EE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هجمات سيبرانية متقدمة</w:t>
            </w:r>
          </w:p>
        </w:tc>
        <w:tc>
          <w:tcPr>
            <w:tcW w:w="0" w:type="auto"/>
            <w:hideMark/>
          </w:tcPr>
          <w:p w14:paraId="2A6A5C8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 جداً</w:t>
            </w:r>
          </w:p>
        </w:tc>
        <w:tc>
          <w:tcPr>
            <w:tcW w:w="0" w:type="auto"/>
            <w:hideMark/>
          </w:tcPr>
          <w:p w14:paraId="4D6BF57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1B3C07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 جداً</w:t>
            </w:r>
          </w:p>
        </w:tc>
        <w:tc>
          <w:tcPr>
            <w:tcW w:w="0" w:type="auto"/>
            <w:hideMark/>
          </w:tcPr>
          <w:p w14:paraId="27EAD1C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Zero Trust + SOC</w:t>
            </w:r>
          </w:p>
        </w:tc>
        <w:tc>
          <w:tcPr>
            <w:tcW w:w="0" w:type="auto"/>
            <w:hideMark/>
          </w:tcPr>
          <w:p w14:paraId="767F46A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r>
      <w:tr w:rsidR="00900DDA" w:rsidRPr="00900DDA" w14:paraId="7E4836E2"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65ACDD7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مقاومة التغيير</w:t>
            </w:r>
          </w:p>
        </w:tc>
        <w:tc>
          <w:tcPr>
            <w:tcW w:w="0" w:type="auto"/>
            <w:hideMark/>
          </w:tcPr>
          <w:p w14:paraId="33BA1E9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06353FD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3DE9D3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E41B10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إدارة التغيير والتدريب</w:t>
            </w:r>
          </w:p>
        </w:tc>
        <w:tc>
          <w:tcPr>
            <w:tcW w:w="0" w:type="auto"/>
            <w:hideMark/>
          </w:tcPr>
          <w:p w14:paraId="49312AE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الموارد البشرية</w:t>
            </w:r>
          </w:p>
        </w:tc>
      </w:tr>
      <w:tr w:rsidR="00900DDA" w:rsidRPr="00900DDA" w14:paraId="736755E6"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E812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تعطل الأنظمة</w:t>
            </w:r>
          </w:p>
        </w:tc>
        <w:tc>
          <w:tcPr>
            <w:tcW w:w="0" w:type="auto"/>
            <w:hideMark/>
          </w:tcPr>
          <w:p w14:paraId="315E659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0D6C9F0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منخفض</w:t>
            </w:r>
          </w:p>
        </w:tc>
        <w:tc>
          <w:tcPr>
            <w:tcW w:w="0" w:type="auto"/>
            <w:hideMark/>
          </w:tcPr>
          <w:p w14:paraId="1B1CF64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4121DB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مراكز بيانات احتياطية</w:t>
            </w:r>
          </w:p>
        </w:tc>
        <w:tc>
          <w:tcPr>
            <w:tcW w:w="0" w:type="auto"/>
            <w:hideMark/>
          </w:tcPr>
          <w:p w14:paraId="4AE94E2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تقنية المعلومات</w:t>
            </w:r>
          </w:p>
        </w:tc>
      </w:tr>
      <w:tr w:rsidR="00900DDA" w:rsidRPr="00900DDA" w14:paraId="01118228"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5E5759C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نقص الكفاءات</w:t>
            </w:r>
          </w:p>
        </w:tc>
        <w:tc>
          <w:tcPr>
            <w:tcW w:w="0" w:type="auto"/>
            <w:hideMark/>
          </w:tcPr>
          <w:p w14:paraId="581D1A6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6F8B218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792541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53B1EA8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برامج استقطاب وتأهيل</w:t>
            </w:r>
          </w:p>
        </w:tc>
        <w:tc>
          <w:tcPr>
            <w:tcW w:w="0" w:type="auto"/>
            <w:hideMark/>
          </w:tcPr>
          <w:p w14:paraId="6B7EF88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الأكاديمية</w:t>
            </w:r>
          </w:p>
        </w:tc>
      </w:tr>
      <w:tr w:rsidR="00900DDA" w:rsidRPr="00900DDA" w14:paraId="33A011ED"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BAD8A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تأخر التشريعات</w:t>
            </w:r>
          </w:p>
        </w:tc>
        <w:tc>
          <w:tcPr>
            <w:tcW w:w="0" w:type="auto"/>
            <w:hideMark/>
          </w:tcPr>
          <w:p w14:paraId="76173BC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745CA82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منخفض</w:t>
            </w:r>
          </w:p>
        </w:tc>
        <w:tc>
          <w:tcPr>
            <w:tcW w:w="0" w:type="auto"/>
            <w:hideMark/>
          </w:tcPr>
          <w:p w14:paraId="21ABCF9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57478B3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تحديث الأنظمة القانونية</w:t>
            </w:r>
          </w:p>
        </w:tc>
        <w:tc>
          <w:tcPr>
            <w:tcW w:w="0" w:type="auto"/>
            <w:hideMark/>
          </w:tcPr>
          <w:p w14:paraId="6EB512D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الإدارة القانونية</w:t>
            </w:r>
          </w:p>
        </w:tc>
      </w:tr>
    </w:tbl>
    <w:p w14:paraId="0EFB9D2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سابعاً: مصفوفة توزيع المسؤوليات</w:t>
      </w:r>
      <w:r w:rsidRPr="00900DDA">
        <w:rPr>
          <w:rFonts w:ascii="Sakkal Majalla" w:hAnsi="Sakkal Majalla" w:cs="Sakkal Majalla"/>
          <w:b/>
          <w:bCs/>
          <w:sz w:val="28"/>
        </w:rPr>
        <w:t xml:space="preserve"> (RACI Matrix)</w:t>
      </w:r>
    </w:p>
    <w:p w14:paraId="65C8ABB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(7-17)</w:t>
      </w:r>
    </w:p>
    <w:tbl>
      <w:tblPr>
        <w:tblStyle w:val="PlainTable3"/>
        <w:tblW w:w="0" w:type="auto"/>
        <w:tblLook w:val="04A0" w:firstRow="1" w:lastRow="0" w:firstColumn="1" w:lastColumn="0" w:noHBand="0" w:noVBand="1"/>
      </w:tblPr>
      <w:tblGrid>
        <w:gridCol w:w="1601"/>
        <w:gridCol w:w="1393"/>
        <w:gridCol w:w="1087"/>
        <w:gridCol w:w="1358"/>
        <w:gridCol w:w="1547"/>
        <w:gridCol w:w="916"/>
        <w:gridCol w:w="1458"/>
      </w:tblGrid>
      <w:tr w:rsidR="00900DDA" w:rsidRPr="00900DDA" w14:paraId="26BFD1CC" w14:textId="77777777" w:rsidTr="00900D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E70A7C8"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المبادرة</w:t>
            </w:r>
          </w:p>
        </w:tc>
        <w:tc>
          <w:tcPr>
            <w:tcW w:w="0" w:type="auto"/>
            <w:hideMark/>
          </w:tcPr>
          <w:p w14:paraId="22E179C0"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مجلس الإدارة</w:t>
            </w:r>
          </w:p>
        </w:tc>
        <w:tc>
          <w:tcPr>
            <w:tcW w:w="0" w:type="auto"/>
            <w:hideMark/>
          </w:tcPr>
          <w:p w14:paraId="3F0889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المحافظ</w:t>
            </w:r>
          </w:p>
        </w:tc>
        <w:tc>
          <w:tcPr>
            <w:tcW w:w="0" w:type="auto"/>
            <w:hideMark/>
          </w:tcPr>
          <w:p w14:paraId="45872A0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وكالة التحول</w:t>
            </w:r>
          </w:p>
        </w:tc>
        <w:tc>
          <w:tcPr>
            <w:tcW w:w="0" w:type="auto"/>
            <w:hideMark/>
          </w:tcPr>
          <w:p w14:paraId="6D653CF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c>
          <w:tcPr>
            <w:tcW w:w="0" w:type="auto"/>
            <w:hideMark/>
          </w:tcPr>
          <w:p w14:paraId="5FDFCBE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المالية</w:t>
            </w:r>
          </w:p>
        </w:tc>
        <w:tc>
          <w:tcPr>
            <w:tcW w:w="0" w:type="auto"/>
            <w:hideMark/>
          </w:tcPr>
          <w:p w14:paraId="279F565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الموارد البشرية</w:t>
            </w:r>
          </w:p>
        </w:tc>
      </w:tr>
      <w:tr w:rsidR="00900DDA" w:rsidRPr="00900DDA" w14:paraId="2DFBCA07"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E04D90"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t>Fasah Gen-3</w:t>
            </w:r>
          </w:p>
        </w:tc>
        <w:tc>
          <w:tcPr>
            <w:tcW w:w="0" w:type="auto"/>
            <w:hideMark/>
          </w:tcPr>
          <w:p w14:paraId="630C479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6923EB4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2206318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62A6D1F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34D3083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1EEE108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r w:rsidR="00900DDA" w:rsidRPr="00900DDA" w14:paraId="582D4008"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2F824BFB"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lastRenderedPageBreak/>
              <w:t>DAISY-SA</w:t>
            </w:r>
          </w:p>
        </w:tc>
        <w:tc>
          <w:tcPr>
            <w:tcW w:w="0" w:type="auto"/>
            <w:hideMark/>
          </w:tcPr>
          <w:p w14:paraId="34A9A31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6AE1969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6B5A3F3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0039366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2DE97B5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712CA11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r>
      <w:tr w:rsidR="00900DDA" w:rsidRPr="00900DDA" w14:paraId="66F0D526"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E47C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c>
          <w:tcPr>
            <w:tcW w:w="0" w:type="auto"/>
            <w:hideMark/>
          </w:tcPr>
          <w:p w14:paraId="6815559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1581850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24DA45F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64BA49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599A060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04E52CB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r w:rsidR="00900DDA" w:rsidRPr="00900DDA" w14:paraId="0F84CA90"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402DF1E4"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الأكاديمية</w:t>
            </w:r>
          </w:p>
        </w:tc>
        <w:tc>
          <w:tcPr>
            <w:tcW w:w="0" w:type="auto"/>
            <w:hideMark/>
          </w:tcPr>
          <w:p w14:paraId="3DA57E9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10F51FC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26D0B10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2F23C83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0AC5813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55FABF2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r>
      <w:tr w:rsidR="00900DDA" w:rsidRPr="00900DDA" w14:paraId="3CFE3C49"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BA60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التجارة الخضراء</w:t>
            </w:r>
          </w:p>
        </w:tc>
        <w:tc>
          <w:tcPr>
            <w:tcW w:w="0" w:type="auto"/>
            <w:hideMark/>
          </w:tcPr>
          <w:p w14:paraId="7AFDC28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741C4FF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7D33B27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4353021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6284B58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1834CF3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bl>
    <w:p w14:paraId="005B850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b/>
          <w:bCs/>
          <w:sz w:val="28"/>
          <w:rtl/>
        </w:rPr>
        <w:t>مفتاح الجدول</w:t>
      </w:r>
      <w:r w:rsidRPr="00900DDA">
        <w:rPr>
          <w:rFonts w:ascii="Sakkal Majalla" w:hAnsi="Sakkal Majalla" w:cs="Sakkal Majalla"/>
          <w:b/>
          <w:bCs/>
          <w:sz w:val="28"/>
        </w:rPr>
        <w:t>:</w:t>
      </w:r>
    </w:p>
    <w:p w14:paraId="520C16F8"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R (Responsible):</w:t>
      </w:r>
      <w:r w:rsidRPr="00900DDA">
        <w:rPr>
          <w:rFonts w:ascii="Sakkal Majalla" w:hAnsi="Sakkal Majalla" w:cs="Sakkal Majalla"/>
          <w:sz w:val="28"/>
        </w:rPr>
        <w:t xml:space="preserve"> </w:t>
      </w:r>
      <w:r w:rsidRPr="00900DDA">
        <w:rPr>
          <w:rFonts w:ascii="Sakkal Majalla" w:hAnsi="Sakkal Majalla" w:cs="Sakkal Majalla"/>
          <w:sz w:val="28"/>
          <w:rtl/>
        </w:rPr>
        <w:t>مسؤول عن التنفيذ</w:t>
      </w:r>
      <w:r w:rsidRPr="00900DDA">
        <w:rPr>
          <w:rFonts w:ascii="Sakkal Majalla" w:hAnsi="Sakkal Majalla" w:cs="Sakkal Majalla"/>
          <w:sz w:val="28"/>
        </w:rPr>
        <w:t>.</w:t>
      </w:r>
    </w:p>
    <w:p w14:paraId="34D9FA5E"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A (Accountable):</w:t>
      </w:r>
      <w:r w:rsidRPr="00900DDA">
        <w:rPr>
          <w:rFonts w:ascii="Sakkal Majalla" w:hAnsi="Sakkal Majalla" w:cs="Sakkal Majalla"/>
          <w:sz w:val="28"/>
        </w:rPr>
        <w:t xml:space="preserve"> </w:t>
      </w:r>
      <w:r w:rsidRPr="00900DDA">
        <w:rPr>
          <w:rFonts w:ascii="Sakkal Majalla" w:hAnsi="Sakkal Majalla" w:cs="Sakkal Majalla"/>
          <w:sz w:val="28"/>
          <w:rtl/>
        </w:rPr>
        <w:t>مسؤول عن الاعتماد والمساءلة</w:t>
      </w:r>
      <w:r w:rsidRPr="00900DDA">
        <w:rPr>
          <w:rFonts w:ascii="Sakkal Majalla" w:hAnsi="Sakkal Majalla" w:cs="Sakkal Majalla"/>
          <w:sz w:val="28"/>
        </w:rPr>
        <w:t>.</w:t>
      </w:r>
    </w:p>
    <w:p w14:paraId="2966BAF2"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C (Consulted):</w:t>
      </w:r>
      <w:r w:rsidRPr="00900DDA">
        <w:rPr>
          <w:rFonts w:ascii="Sakkal Majalla" w:hAnsi="Sakkal Majalla" w:cs="Sakkal Majalla"/>
          <w:sz w:val="28"/>
        </w:rPr>
        <w:t xml:space="preserve"> </w:t>
      </w:r>
      <w:r w:rsidRPr="00900DDA">
        <w:rPr>
          <w:rFonts w:ascii="Sakkal Majalla" w:hAnsi="Sakkal Majalla" w:cs="Sakkal Majalla"/>
          <w:sz w:val="28"/>
          <w:rtl/>
        </w:rPr>
        <w:t>يُستشار أثناء التنفيذ</w:t>
      </w:r>
      <w:r w:rsidRPr="00900DDA">
        <w:rPr>
          <w:rFonts w:ascii="Sakkal Majalla" w:hAnsi="Sakkal Majalla" w:cs="Sakkal Majalla"/>
          <w:sz w:val="28"/>
        </w:rPr>
        <w:t>.</w:t>
      </w:r>
    </w:p>
    <w:p w14:paraId="651EA4BD"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I (Informed):</w:t>
      </w:r>
      <w:r w:rsidRPr="00900DDA">
        <w:rPr>
          <w:rFonts w:ascii="Sakkal Majalla" w:hAnsi="Sakkal Majalla" w:cs="Sakkal Majalla"/>
          <w:sz w:val="28"/>
        </w:rPr>
        <w:t xml:space="preserve"> </w:t>
      </w:r>
      <w:r w:rsidRPr="00900DDA">
        <w:rPr>
          <w:rFonts w:ascii="Sakkal Majalla" w:hAnsi="Sakkal Majalla" w:cs="Sakkal Majalla"/>
          <w:sz w:val="28"/>
          <w:rtl/>
        </w:rPr>
        <w:t>يتم إبلاغه بالتقدم</w:t>
      </w:r>
      <w:r w:rsidRPr="00900DDA">
        <w:rPr>
          <w:rFonts w:ascii="Sakkal Majalla" w:hAnsi="Sakkal Majalla" w:cs="Sakkal Majalla"/>
          <w:sz w:val="28"/>
        </w:rPr>
        <w:t>.</w:t>
      </w:r>
    </w:p>
    <w:p w14:paraId="763E3A7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رأي الباحث</w:t>
      </w:r>
    </w:p>
    <w:p w14:paraId="4C566490" w14:textId="77777777" w:rsid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يرى الباحث أن المرحلة الثالثة تمثل مرحلة التحول من </w:t>
      </w:r>
      <w:r w:rsidRPr="00900DDA">
        <w:rPr>
          <w:rFonts w:ascii="Sakkal Majalla" w:hAnsi="Sakkal Majalla" w:cs="Sakkal Majalla"/>
          <w:b/>
          <w:bCs/>
          <w:sz w:val="28"/>
          <w:rtl/>
        </w:rPr>
        <w:t>التميز التشغيلي</w:t>
      </w:r>
      <w:r w:rsidRPr="00900DDA">
        <w:rPr>
          <w:rFonts w:ascii="Sakkal Majalla" w:hAnsi="Sakkal Majalla" w:cs="Sakkal Majalla"/>
          <w:sz w:val="28"/>
          <w:rtl/>
        </w:rPr>
        <w:t xml:space="preserve"> إلى </w:t>
      </w:r>
      <w:r w:rsidRPr="00900DDA">
        <w:rPr>
          <w:rFonts w:ascii="Sakkal Majalla" w:hAnsi="Sakkal Majalla" w:cs="Sakkal Majalla"/>
          <w:b/>
          <w:bCs/>
          <w:sz w:val="28"/>
          <w:rtl/>
        </w:rPr>
        <w:t>القيادة المؤسسية العالمية</w:t>
      </w:r>
      <w:r w:rsidRPr="00900DDA">
        <w:rPr>
          <w:rFonts w:ascii="Sakkal Majalla" w:hAnsi="Sakkal Majalla" w:cs="Sakkal Majalla"/>
          <w:sz w:val="28"/>
          <w:rtl/>
        </w:rPr>
        <w:t>، إذ لم يعد الهدف تحسين مؤشرات الأداء المحلية فحسب، بل بناء نموذج سعودي قادر على التأثير في مستقبل الإدارة الجمركية الدولية. ويستلزم ذلك الاستثمار المستمر في الابتكار، وتوطين التقنيات، وبناء القدرات البشرية، وتعزيز الشراكات مع المؤسسات الدولية، بحيث تصبح هيئة الزكاة والضريبة والجمارك مركزاً إقليمياً وعالمياً للخبرة الجمركية الرقمية. كما أن نجاح هذه المرحلة سيؤدي إلى ترسيخ مكانة المملكة العربية السعودية بوصفها محوراً رئيساً للتجارة العالمية والخدمات اللوجستية، وسيدعم مستهدفات رؤية المملكة 2030 في تنويع الاقتصاد، ورفع تنافسيته، وتعزيز حضوره في المؤشرات الدولية</w:t>
      </w:r>
      <w:r w:rsidRPr="00900DDA">
        <w:rPr>
          <w:rFonts w:ascii="Sakkal Majalla" w:hAnsi="Sakkal Majalla" w:cs="Sakkal Majalla"/>
          <w:sz w:val="28"/>
        </w:rPr>
        <w:t>.</w:t>
      </w:r>
    </w:p>
    <w:p w14:paraId="4BB62730"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lang w:bidi="ar-EG"/>
        </w:rPr>
        <w:t xml:space="preserve">7-1-4 </w:t>
      </w:r>
      <w:r w:rsidRPr="00900DDA">
        <w:rPr>
          <w:rFonts w:ascii="Sakkal Majalla" w:hAnsi="Sakkal Majalla" w:cs="Sakkal Majalla"/>
          <w:b/>
          <w:bCs/>
          <w:sz w:val="28"/>
          <w:rtl/>
        </w:rPr>
        <w:t>الإطار التنفيذي والحوكمة المؤسسية لتنفيذ الخطة الاستراتيجية</w:t>
      </w:r>
    </w:p>
    <w:p w14:paraId="260A287E"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أولاً: فلسفة الحوكمة الاستراتيجية</w:t>
      </w:r>
    </w:p>
    <w:p w14:paraId="6EC02B42"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على الرغم من أن العديد من الخطط الاستراتيجية الحكومية تتميز بجودة تصميمها، إلا أن عدداً كبيراً منها لا يحقق النتائج المستهدفة بسبب ضعف منظومة التنفيذ والمتابعة، وليس بسبب قصور في صياغة الأهداف أو المبادرات. وتشير الأدبيات الحديثة في الإدارة الاستراتيجية إلى أن الفجوة بين التخطيط والتنفيذ</w:t>
      </w:r>
      <w:r w:rsidRPr="00900DDA">
        <w:rPr>
          <w:rFonts w:ascii="Sakkal Majalla" w:hAnsi="Sakkal Majalla" w:cs="Sakkal Majalla"/>
          <w:sz w:val="28"/>
          <w:lang w:bidi="ar-EG"/>
        </w:rPr>
        <w:t xml:space="preserve"> (Strategy Execution Gap) </w:t>
      </w:r>
      <w:r w:rsidRPr="00900DDA">
        <w:rPr>
          <w:rFonts w:ascii="Sakkal Majalla" w:hAnsi="Sakkal Majalla" w:cs="Sakkal Majalla"/>
          <w:sz w:val="28"/>
          <w:rtl/>
        </w:rPr>
        <w:t xml:space="preserve">تمثل أحد </w:t>
      </w:r>
      <w:r w:rsidRPr="00900DDA">
        <w:rPr>
          <w:rFonts w:ascii="Sakkal Majalla" w:hAnsi="Sakkal Majalla" w:cs="Sakkal Majalla"/>
          <w:sz w:val="28"/>
          <w:rtl/>
        </w:rPr>
        <w:lastRenderedPageBreak/>
        <w:t>أبرز التحديات التي تواجه المؤسسات العامة، حيث تُظهر الدراسات أن نسبة كبيرة من الاستراتيجيات لا تحقق أهدافها نتيجة غياب آليات المتابعة المستمرة، وعدم وضوح المسؤوليات، وضعف التنسيق بين الوحدات التنظيمية</w:t>
      </w:r>
      <w:r w:rsidRPr="00900DDA">
        <w:rPr>
          <w:rFonts w:ascii="Sakkal Majalla" w:hAnsi="Sakkal Majalla" w:cs="Sakkal Majalla"/>
          <w:sz w:val="28"/>
          <w:lang w:bidi="ar-EG"/>
        </w:rPr>
        <w:t>.</w:t>
      </w:r>
    </w:p>
    <w:p w14:paraId="5D4879BD"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وانطلاقاً من ذلك، يقترح الباحث إنشاء منظومة حوكمة استراتيجية متكاملة داخل هيئة الزكاة والضريبة والجمارك، تتولى الإشراف على تنفيذ الخطة المقترحة للفترة (2025–2030)، مع ضمان تكامل الأدوار بين القيادات التنفيذية، والقطاعات الفنية، والجهات الحكومية الشريكة، والقطاع الخاص، بما يحقق أعلى درجات الكفاءة والشفافية والمساءلة</w:t>
      </w:r>
      <w:r w:rsidRPr="00900DDA">
        <w:rPr>
          <w:rFonts w:ascii="Sakkal Majalla" w:hAnsi="Sakkal Majalla" w:cs="Sakkal Majalla"/>
          <w:sz w:val="28"/>
          <w:lang w:bidi="ar-EG"/>
        </w:rPr>
        <w:t>.</w:t>
      </w:r>
    </w:p>
    <w:p w14:paraId="40731DC1"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ولا تقتصر وظيفة هذه المنظومة على متابعة نسب الإنجاز، وإنما تمتد لتشمل إدارة المخاطر، وتقييم الأداء، وإعادة ترتيب الأولويات، وإدارة التغيير المؤسسي، وتحليل الانحرافات، ورفع التقارير الدورية إلى القيادة العليا، بما يضمن استدامة تنفيذ المبادرات وتحقيق المستهدفات الوطنية</w:t>
      </w:r>
      <w:r w:rsidRPr="00900DDA">
        <w:rPr>
          <w:rFonts w:ascii="Sakkal Majalla" w:hAnsi="Sakkal Majalla" w:cs="Sakkal Majalla"/>
          <w:sz w:val="28"/>
          <w:lang w:bidi="ar-EG"/>
        </w:rPr>
        <w:t>.</w:t>
      </w:r>
    </w:p>
    <w:p w14:paraId="6C1087E3"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(7-18)</w:t>
      </w:r>
    </w:p>
    <w:p w14:paraId="5139F4B1"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الهيكل التنفيذي المقترح لإدارة تنفيذ الخطة</w:t>
      </w:r>
    </w:p>
    <w:tbl>
      <w:tblPr>
        <w:tblStyle w:val="PlainTable3"/>
        <w:tblW w:w="0" w:type="auto"/>
        <w:jc w:val="center"/>
        <w:tblLook w:val="04A0" w:firstRow="1" w:lastRow="0" w:firstColumn="1" w:lastColumn="0" w:noHBand="0" w:noVBand="1"/>
      </w:tblPr>
      <w:tblGrid>
        <w:gridCol w:w="2461"/>
        <w:gridCol w:w="2533"/>
        <w:gridCol w:w="1926"/>
      </w:tblGrid>
      <w:tr w:rsidR="00900DDA" w:rsidRPr="00900DDA" w14:paraId="510659BE"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76D136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المستوى الإداري</w:t>
            </w:r>
          </w:p>
        </w:tc>
        <w:tc>
          <w:tcPr>
            <w:tcW w:w="0" w:type="auto"/>
            <w:hideMark/>
          </w:tcPr>
          <w:p w14:paraId="6E8F105D"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المسؤوليات الرئيسية</w:t>
            </w:r>
          </w:p>
        </w:tc>
        <w:tc>
          <w:tcPr>
            <w:tcW w:w="0" w:type="auto"/>
            <w:hideMark/>
          </w:tcPr>
          <w:p w14:paraId="0173C2D7"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 المتابعة</w:t>
            </w:r>
          </w:p>
        </w:tc>
      </w:tr>
      <w:tr w:rsidR="00900DDA" w:rsidRPr="00900DDA" w14:paraId="1F5C8D5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ADAB3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مجلس الإدارة</w:t>
            </w:r>
          </w:p>
        </w:tc>
        <w:tc>
          <w:tcPr>
            <w:tcW w:w="0" w:type="auto"/>
            <w:hideMark/>
          </w:tcPr>
          <w:p w14:paraId="508F009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اعتماد الاستراتيجية والميزانيات</w:t>
            </w:r>
          </w:p>
        </w:tc>
        <w:tc>
          <w:tcPr>
            <w:tcW w:w="0" w:type="auto"/>
            <w:hideMark/>
          </w:tcPr>
          <w:p w14:paraId="1916EBB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نصف سنوية</w:t>
            </w:r>
          </w:p>
        </w:tc>
      </w:tr>
      <w:tr w:rsidR="00900DDA" w:rsidRPr="00900DDA" w14:paraId="2AA462B5"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A60FC1"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المحافظ</w:t>
            </w:r>
          </w:p>
        </w:tc>
        <w:tc>
          <w:tcPr>
            <w:tcW w:w="0" w:type="auto"/>
            <w:hideMark/>
          </w:tcPr>
          <w:p w14:paraId="49B722D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قيادة التنفيذ</w:t>
            </w:r>
          </w:p>
        </w:tc>
        <w:tc>
          <w:tcPr>
            <w:tcW w:w="0" w:type="auto"/>
            <w:hideMark/>
          </w:tcPr>
          <w:p w14:paraId="11C0C07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شهرية</w:t>
            </w:r>
          </w:p>
        </w:tc>
      </w:tr>
      <w:tr w:rsidR="00900DDA" w:rsidRPr="00900DDA" w14:paraId="6ED86A8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6B8C8C"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اللجنة العليا للتحول الرقمي</w:t>
            </w:r>
          </w:p>
        </w:tc>
        <w:tc>
          <w:tcPr>
            <w:tcW w:w="0" w:type="auto"/>
            <w:hideMark/>
          </w:tcPr>
          <w:p w14:paraId="5BFBCC0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متابعة المبادرات الاستراتيجية</w:t>
            </w:r>
          </w:p>
        </w:tc>
        <w:tc>
          <w:tcPr>
            <w:tcW w:w="0" w:type="auto"/>
            <w:hideMark/>
          </w:tcPr>
          <w:p w14:paraId="65CFC57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ربع سنوية</w:t>
            </w:r>
          </w:p>
        </w:tc>
      </w:tr>
      <w:tr w:rsidR="00900DDA" w:rsidRPr="00900DDA" w14:paraId="02D6FBDE"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7AE11A"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مكتب إدارة المشاريع</w:t>
            </w:r>
            <w:r w:rsidRPr="00900DDA">
              <w:rPr>
                <w:rFonts w:ascii="Sakkal Majalla" w:hAnsi="Sakkal Majalla" w:cs="Sakkal Majalla"/>
                <w:sz w:val="24"/>
                <w:szCs w:val="24"/>
                <w:lang w:bidi="ar-EG"/>
              </w:rPr>
              <w:t xml:space="preserve"> (PMO)</w:t>
            </w:r>
          </w:p>
        </w:tc>
        <w:tc>
          <w:tcPr>
            <w:tcW w:w="0" w:type="auto"/>
            <w:hideMark/>
          </w:tcPr>
          <w:p w14:paraId="281AA79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تنسيق المبادرات وإدارة المخاطر</w:t>
            </w:r>
          </w:p>
        </w:tc>
        <w:tc>
          <w:tcPr>
            <w:tcW w:w="0" w:type="auto"/>
            <w:hideMark/>
          </w:tcPr>
          <w:p w14:paraId="219C438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متابعة أسبوعية</w:t>
            </w:r>
          </w:p>
        </w:tc>
      </w:tr>
      <w:tr w:rsidR="00900DDA" w:rsidRPr="00900DDA" w14:paraId="0A03B3E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89301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وكالة التحول الرقمي</w:t>
            </w:r>
          </w:p>
        </w:tc>
        <w:tc>
          <w:tcPr>
            <w:tcW w:w="0" w:type="auto"/>
            <w:hideMark/>
          </w:tcPr>
          <w:p w14:paraId="0607B8C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التنفيذ التقني</w:t>
            </w:r>
          </w:p>
        </w:tc>
        <w:tc>
          <w:tcPr>
            <w:tcW w:w="0" w:type="auto"/>
            <w:hideMark/>
          </w:tcPr>
          <w:p w14:paraId="71489ED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أسبوعية</w:t>
            </w:r>
          </w:p>
        </w:tc>
      </w:tr>
      <w:tr w:rsidR="00900DDA" w:rsidRPr="00900DDA" w14:paraId="0D9B4FD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18434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وكالة العمليات الجمركية</w:t>
            </w:r>
          </w:p>
        </w:tc>
        <w:tc>
          <w:tcPr>
            <w:tcW w:w="0" w:type="auto"/>
            <w:hideMark/>
          </w:tcPr>
          <w:p w14:paraId="7CDB0A9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التنفيذ التشغيلي</w:t>
            </w:r>
          </w:p>
        </w:tc>
        <w:tc>
          <w:tcPr>
            <w:tcW w:w="0" w:type="auto"/>
            <w:hideMark/>
          </w:tcPr>
          <w:p w14:paraId="7A32E58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شهرية</w:t>
            </w:r>
          </w:p>
        </w:tc>
      </w:tr>
      <w:tr w:rsidR="00900DDA" w:rsidRPr="00900DDA" w14:paraId="7648D2A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51E98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5379C4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حماية الأنظمة</w:t>
            </w:r>
          </w:p>
        </w:tc>
        <w:tc>
          <w:tcPr>
            <w:tcW w:w="0" w:type="auto"/>
            <w:hideMark/>
          </w:tcPr>
          <w:p w14:paraId="016AB90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مراقبة مستمرة</w:t>
            </w:r>
          </w:p>
        </w:tc>
      </w:tr>
      <w:tr w:rsidR="00900DDA" w:rsidRPr="00900DDA" w14:paraId="09D9517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C52DD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البيانات</w:t>
            </w:r>
          </w:p>
        </w:tc>
        <w:tc>
          <w:tcPr>
            <w:tcW w:w="0" w:type="auto"/>
            <w:hideMark/>
          </w:tcPr>
          <w:p w14:paraId="417CCE9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جودة البيانات والتحليلات</w:t>
            </w:r>
          </w:p>
        </w:tc>
        <w:tc>
          <w:tcPr>
            <w:tcW w:w="0" w:type="auto"/>
            <w:hideMark/>
          </w:tcPr>
          <w:p w14:paraId="6C0EAB9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لحظية</w:t>
            </w:r>
          </w:p>
        </w:tc>
      </w:tr>
    </w:tbl>
    <w:p w14:paraId="1CD0C4E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ثانياً: إنشاء مكتب إدارة المشاريع الاستراتيجية</w:t>
      </w:r>
      <w:r w:rsidRPr="00900DDA">
        <w:rPr>
          <w:rFonts w:ascii="Sakkal Majalla" w:hAnsi="Sakkal Majalla" w:cs="Sakkal Majalla"/>
          <w:b/>
          <w:bCs/>
          <w:sz w:val="28"/>
          <w:lang w:bidi="ar-EG"/>
        </w:rPr>
        <w:t xml:space="preserve"> (Strategic PMO)</w:t>
      </w:r>
    </w:p>
    <w:p w14:paraId="101EB2A7"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يقترح الباحث إنشاء مكتب مركزي لإدارة المشاريع الاستراتيجية</w:t>
      </w:r>
      <w:r w:rsidRPr="00900DDA">
        <w:rPr>
          <w:rFonts w:ascii="Sakkal Majalla" w:hAnsi="Sakkal Majalla" w:cs="Sakkal Majalla"/>
          <w:sz w:val="28"/>
          <w:lang w:bidi="ar-EG"/>
        </w:rPr>
        <w:t xml:space="preserve"> (Strategic Program Management Office) </w:t>
      </w:r>
      <w:r w:rsidRPr="00900DDA">
        <w:rPr>
          <w:rFonts w:ascii="Sakkal Majalla" w:hAnsi="Sakkal Majalla" w:cs="Sakkal Majalla"/>
          <w:sz w:val="28"/>
          <w:rtl/>
        </w:rPr>
        <w:t xml:space="preserve">يتبع مباشرة لمحافظ الهيئة، ويتولى الإشراف الكامل على تنفيذ جميع المبادرات الواردة في الخطة الاستراتيجية. ويعمل هذا </w:t>
      </w:r>
      <w:r w:rsidRPr="00900DDA">
        <w:rPr>
          <w:rFonts w:ascii="Sakkal Majalla" w:hAnsi="Sakkal Majalla" w:cs="Sakkal Majalla"/>
          <w:sz w:val="28"/>
          <w:rtl/>
        </w:rPr>
        <w:lastRenderedPageBreak/>
        <w:t>المكتب باعتباره مركز القيادة التنفيذي الذي يضمن التنسيق بين القطاعات المختلفة، ويراقب الالتزام بالجداول الزمنية والميزانيات ومؤشرات الأداء</w:t>
      </w:r>
      <w:r w:rsidRPr="00900DDA">
        <w:rPr>
          <w:rFonts w:ascii="Sakkal Majalla" w:hAnsi="Sakkal Majalla" w:cs="Sakkal Majalla"/>
          <w:sz w:val="28"/>
          <w:lang w:bidi="ar-EG"/>
        </w:rPr>
        <w:t>.</w:t>
      </w:r>
    </w:p>
    <w:p w14:paraId="04B87741"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وتشمل مهام المكتب إعداد خطط التنفيذ التفصيلية، وتوزيع الموارد، ومتابعة نسب الإنجاز، وتحليل المخاطر، وإعداد تقارير الأداء، واقتراح الإجراءات التصحيحية، بما يضمن تحقيق الأهداف الاستراتيجية وفق الجدول الزمني المحدد</w:t>
      </w:r>
      <w:r w:rsidRPr="00900DDA">
        <w:rPr>
          <w:rFonts w:ascii="Sakkal Majalla" w:hAnsi="Sakkal Majalla" w:cs="Sakkal Majalla"/>
          <w:sz w:val="28"/>
          <w:lang w:bidi="ar-EG"/>
        </w:rPr>
        <w:t>.</w:t>
      </w:r>
    </w:p>
    <w:p w14:paraId="7548F90A"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(7-19)</w:t>
      </w:r>
    </w:p>
    <w:p w14:paraId="0B86FC0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اختصاصات مكتب إدارة المشاريع</w:t>
      </w:r>
    </w:p>
    <w:tbl>
      <w:tblPr>
        <w:tblStyle w:val="PlainTable3"/>
        <w:tblW w:w="0" w:type="auto"/>
        <w:jc w:val="center"/>
        <w:tblLook w:val="04A0" w:firstRow="1" w:lastRow="0" w:firstColumn="1" w:lastColumn="0" w:noHBand="0" w:noVBand="1"/>
      </w:tblPr>
      <w:tblGrid>
        <w:gridCol w:w="1605"/>
        <w:gridCol w:w="2318"/>
        <w:gridCol w:w="1418"/>
      </w:tblGrid>
      <w:tr w:rsidR="00900DDA" w:rsidRPr="00900DDA" w14:paraId="6B615F08"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47F7B1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الاختصاص</w:t>
            </w:r>
          </w:p>
        </w:tc>
        <w:tc>
          <w:tcPr>
            <w:tcW w:w="0" w:type="auto"/>
            <w:hideMark/>
          </w:tcPr>
          <w:p w14:paraId="39A15C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الوصف</w:t>
            </w:r>
          </w:p>
        </w:tc>
        <w:tc>
          <w:tcPr>
            <w:tcW w:w="0" w:type="auto"/>
            <w:hideMark/>
          </w:tcPr>
          <w:p w14:paraId="7E5DB12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دورية التنفيذ</w:t>
            </w:r>
          </w:p>
        </w:tc>
      </w:tr>
      <w:tr w:rsidR="00900DDA" w:rsidRPr="00900DDA" w14:paraId="7111926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7B58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متابعة المبادرات</w:t>
            </w:r>
          </w:p>
        </w:tc>
        <w:tc>
          <w:tcPr>
            <w:tcW w:w="0" w:type="auto"/>
            <w:hideMark/>
          </w:tcPr>
          <w:p w14:paraId="1E4B22F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قياس نسب الإنجاز</w:t>
            </w:r>
          </w:p>
        </w:tc>
        <w:tc>
          <w:tcPr>
            <w:tcW w:w="0" w:type="auto"/>
            <w:hideMark/>
          </w:tcPr>
          <w:p w14:paraId="4388C59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أسبوعياً</w:t>
            </w:r>
          </w:p>
        </w:tc>
      </w:tr>
      <w:tr w:rsidR="00900DDA" w:rsidRPr="00900DDA" w14:paraId="57DC1A7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2AD4C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المخاطر</w:t>
            </w:r>
          </w:p>
        </w:tc>
        <w:tc>
          <w:tcPr>
            <w:tcW w:w="0" w:type="auto"/>
            <w:hideMark/>
          </w:tcPr>
          <w:p w14:paraId="6832DD0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تحديث سجل المخاطر</w:t>
            </w:r>
          </w:p>
        </w:tc>
        <w:tc>
          <w:tcPr>
            <w:tcW w:w="0" w:type="auto"/>
            <w:hideMark/>
          </w:tcPr>
          <w:p w14:paraId="0256D2A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شهرياً</w:t>
            </w:r>
          </w:p>
        </w:tc>
      </w:tr>
      <w:tr w:rsidR="00900DDA" w:rsidRPr="00900DDA" w14:paraId="656A445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F06A9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متابعة الميزانية</w:t>
            </w:r>
          </w:p>
        </w:tc>
        <w:tc>
          <w:tcPr>
            <w:tcW w:w="0" w:type="auto"/>
            <w:hideMark/>
          </w:tcPr>
          <w:p w14:paraId="6F35795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مراقبة الإنفاق</w:t>
            </w:r>
          </w:p>
        </w:tc>
        <w:tc>
          <w:tcPr>
            <w:tcW w:w="0" w:type="auto"/>
            <w:hideMark/>
          </w:tcPr>
          <w:p w14:paraId="717D0D0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شهرياً</w:t>
            </w:r>
          </w:p>
        </w:tc>
      </w:tr>
      <w:tr w:rsidR="00900DDA" w:rsidRPr="00900DDA" w14:paraId="3EB8AE70"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CDE79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التغيير</w:t>
            </w:r>
          </w:p>
        </w:tc>
        <w:tc>
          <w:tcPr>
            <w:tcW w:w="0" w:type="auto"/>
            <w:hideMark/>
          </w:tcPr>
          <w:p w14:paraId="4E39BDE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معالجة مقاومة التغيير</w:t>
            </w:r>
          </w:p>
        </w:tc>
        <w:tc>
          <w:tcPr>
            <w:tcW w:w="0" w:type="auto"/>
            <w:hideMark/>
          </w:tcPr>
          <w:p w14:paraId="183830E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مستمرة</w:t>
            </w:r>
          </w:p>
        </w:tc>
      </w:tr>
      <w:tr w:rsidR="00900DDA" w:rsidRPr="00900DDA" w14:paraId="7524FCC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8D21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قياس الأداء</w:t>
            </w:r>
          </w:p>
        </w:tc>
        <w:tc>
          <w:tcPr>
            <w:tcW w:w="0" w:type="auto"/>
            <w:hideMark/>
          </w:tcPr>
          <w:p w14:paraId="43704FD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تحديث</w:t>
            </w:r>
            <w:r w:rsidRPr="00900DDA">
              <w:rPr>
                <w:rFonts w:ascii="Sakkal Majalla" w:hAnsi="Sakkal Majalla" w:cs="Sakkal Majalla"/>
                <w:sz w:val="24"/>
                <w:szCs w:val="24"/>
                <w:lang w:bidi="ar-EG"/>
              </w:rPr>
              <w:t xml:space="preserve"> KPIs</w:t>
            </w:r>
          </w:p>
        </w:tc>
        <w:tc>
          <w:tcPr>
            <w:tcW w:w="0" w:type="auto"/>
            <w:hideMark/>
          </w:tcPr>
          <w:p w14:paraId="46B3A74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لحظياً</w:t>
            </w:r>
          </w:p>
        </w:tc>
      </w:tr>
      <w:tr w:rsidR="00900DDA" w:rsidRPr="00900DDA" w14:paraId="14FDEBF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030C2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رفع التقارير</w:t>
            </w:r>
          </w:p>
        </w:tc>
        <w:tc>
          <w:tcPr>
            <w:tcW w:w="0" w:type="auto"/>
            <w:hideMark/>
          </w:tcPr>
          <w:p w14:paraId="3AF7141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تنفيذية للإدارة العليا</w:t>
            </w:r>
          </w:p>
        </w:tc>
        <w:tc>
          <w:tcPr>
            <w:tcW w:w="0" w:type="auto"/>
            <w:hideMark/>
          </w:tcPr>
          <w:p w14:paraId="33CB300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ربع سنوية</w:t>
            </w:r>
          </w:p>
        </w:tc>
      </w:tr>
    </w:tbl>
    <w:p w14:paraId="45D75D14"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ثالثاً: خارطة الطريق التنفيذية</w:t>
      </w:r>
      <w:r w:rsidRPr="00900DDA">
        <w:rPr>
          <w:rFonts w:ascii="Sakkal Majalla" w:hAnsi="Sakkal Majalla" w:cs="Sakkal Majalla"/>
          <w:b/>
          <w:bCs/>
          <w:sz w:val="28"/>
          <w:lang w:bidi="ar-EG"/>
        </w:rPr>
        <w:t xml:space="preserve"> (Strategic Roadmap)</w:t>
      </w:r>
    </w:p>
    <w:p w14:paraId="721A9BA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(7-20)</w:t>
      </w:r>
    </w:p>
    <w:p w14:paraId="01D2829B"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خارطة الطريق الزمنية</w:t>
      </w:r>
    </w:p>
    <w:tbl>
      <w:tblPr>
        <w:tblStyle w:val="PlainTable3"/>
        <w:tblW w:w="0" w:type="auto"/>
        <w:jc w:val="center"/>
        <w:tblLook w:val="04A0" w:firstRow="1" w:lastRow="0" w:firstColumn="1" w:lastColumn="0" w:noHBand="0" w:noVBand="1"/>
      </w:tblPr>
      <w:tblGrid>
        <w:gridCol w:w="2498"/>
        <w:gridCol w:w="894"/>
        <w:gridCol w:w="894"/>
        <w:gridCol w:w="894"/>
        <w:gridCol w:w="894"/>
        <w:gridCol w:w="894"/>
        <w:gridCol w:w="894"/>
      </w:tblGrid>
      <w:tr w:rsidR="00900DDA" w:rsidRPr="00900DDA" w14:paraId="797E96C0"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3E9307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المبادرة</w:t>
            </w:r>
          </w:p>
        </w:tc>
        <w:tc>
          <w:tcPr>
            <w:tcW w:w="0" w:type="auto"/>
            <w:hideMark/>
          </w:tcPr>
          <w:p w14:paraId="23F58CB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2025</w:t>
            </w:r>
          </w:p>
        </w:tc>
        <w:tc>
          <w:tcPr>
            <w:tcW w:w="0" w:type="auto"/>
            <w:hideMark/>
          </w:tcPr>
          <w:p w14:paraId="1E23410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2026</w:t>
            </w:r>
          </w:p>
        </w:tc>
        <w:tc>
          <w:tcPr>
            <w:tcW w:w="0" w:type="auto"/>
            <w:hideMark/>
          </w:tcPr>
          <w:p w14:paraId="49817E5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2027</w:t>
            </w:r>
          </w:p>
        </w:tc>
        <w:tc>
          <w:tcPr>
            <w:tcW w:w="0" w:type="auto"/>
            <w:hideMark/>
          </w:tcPr>
          <w:p w14:paraId="07D9CAC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2028</w:t>
            </w:r>
          </w:p>
        </w:tc>
        <w:tc>
          <w:tcPr>
            <w:tcW w:w="0" w:type="auto"/>
            <w:hideMark/>
          </w:tcPr>
          <w:p w14:paraId="494528B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2029</w:t>
            </w:r>
          </w:p>
        </w:tc>
        <w:tc>
          <w:tcPr>
            <w:tcW w:w="0" w:type="auto"/>
            <w:hideMark/>
          </w:tcPr>
          <w:p w14:paraId="7D38721C"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2030</w:t>
            </w:r>
          </w:p>
        </w:tc>
      </w:tr>
      <w:tr w:rsidR="00900DDA" w:rsidRPr="00900DDA" w14:paraId="69A80CC9"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6A4A4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تحديث البنية الرقمية</w:t>
            </w:r>
          </w:p>
        </w:tc>
        <w:tc>
          <w:tcPr>
            <w:tcW w:w="0" w:type="auto"/>
            <w:hideMark/>
          </w:tcPr>
          <w:p w14:paraId="70AF2E8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0B98AA2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AC3EA6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905AFD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A37AD5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5019B1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5C4EA74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FF5AC6"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Fasah Gen-3</w:t>
            </w:r>
          </w:p>
        </w:tc>
        <w:tc>
          <w:tcPr>
            <w:tcW w:w="0" w:type="auto"/>
            <w:hideMark/>
          </w:tcPr>
          <w:p w14:paraId="554A636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1D3470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15963C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1D55FA5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06720A7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009354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651FF47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746CF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1D852A9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8BF4A5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D944FA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3DC1E97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326E5B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6480C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r w:rsidR="00900DDA" w:rsidRPr="00900DDA" w14:paraId="6052BF1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F1FA22"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DAISY-SA</w:t>
            </w:r>
          </w:p>
        </w:tc>
        <w:tc>
          <w:tcPr>
            <w:tcW w:w="0" w:type="auto"/>
            <w:hideMark/>
          </w:tcPr>
          <w:p w14:paraId="7F15A4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C5D13C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9CD0A6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6A15833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6578E6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7FDD7F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1E61C95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7A0DE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Blockchain Customs</w:t>
            </w:r>
          </w:p>
        </w:tc>
        <w:tc>
          <w:tcPr>
            <w:tcW w:w="0" w:type="auto"/>
            <w:hideMark/>
          </w:tcPr>
          <w:p w14:paraId="22743F5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0AFDAE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56EB7D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390D6E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3692380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227C87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01CCF1A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74C35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الخليج الرقمي</w:t>
            </w:r>
          </w:p>
        </w:tc>
        <w:tc>
          <w:tcPr>
            <w:tcW w:w="0" w:type="auto"/>
            <w:hideMark/>
          </w:tcPr>
          <w:p w14:paraId="2276290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2A1014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5E03C9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681D64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E05748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3254FF2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3D0CDF0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F6AE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ZATCA-X</w:t>
            </w:r>
          </w:p>
        </w:tc>
        <w:tc>
          <w:tcPr>
            <w:tcW w:w="0" w:type="auto"/>
            <w:hideMark/>
          </w:tcPr>
          <w:p w14:paraId="1D944A6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CF81E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35C1705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8FF8E5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F04D6E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7B45AD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218EDF4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D557A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lastRenderedPageBreak/>
              <w:t>الأكاديمية الدولية</w:t>
            </w:r>
          </w:p>
        </w:tc>
        <w:tc>
          <w:tcPr>
            <w:tcW w:w="0" w:type="auto"/>
            <w:hideMark/>
          </w:tcPr>
          <w:p w14:paraId="609167E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54C03E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103D84F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323A4D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978B30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678562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r w:rsidR="00900DDA" w:rsidRPr="00900DDA" w14:paraId="0DAA54F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17917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التجارة الخضراء</w:t>
            </w:r>
          </w:p>
        </w:tc>
        <w:tc>
          <w:tcPr>
            <w:tcW w:w="0" w:type="auto"/>
            <w:hideMark/>
          </w:tcPr>
          <w:p w14:paraId="0034355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DEED31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E24530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292473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0C3568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0DA9C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bl>
    <w:p w14:paraId="5A8972D9"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مفتاح الجدول</w:t>
      </w:r>
      <w:r w:rsidRPr="00900DDA">
        <w:rPr>
          <w:rFonts w:ascii="Sakkal Majalla" w:hAnsi="Sakkal Majalla" w:cs="Sakkal Majalla"/>
          <w:b/>
          <w:bCs/>
          <w:sz w:val="28"/>
          <w:lang w:bidi="ar-EG"/>
        </w:rPr>
        <w:t>:</w:t>
      </w:r>
      <w:r w:rsidRPr="00900DDA">
        <w:rPr>
          <w:rFonts w:ascii="Sakkal Majalla" w:hAnsi="Sakkal Majalla" w:cs="Sakkal Majalla"/>
          <w:sz w:val="28"/>
          <w:lang w:bidi="ar-EG"/>
        </w:rPr>
        <w:t xml:space="preserve"> </w:t>
      </w:r>
      <w:r w:rsidRPr="00900DDA">
        <w:rPr>
          <w:rFonts w:cs="Times New Roman"/>
          <w:sz w:val="28"/>
          <w:lang w:bidi="ar-EG"/>
        </w:rPr>
        <w:t>●</w:t>
      </w:r>
      <w:r w:rsidRPr="00900DDA">
        <w:rPr>
          <w:rFonts w:ascii="Sakkal Majalla" w:hAnsi="Sakkal Majalla" w:cs="Sakkal Majalla"/>
          <w:sz w:val="28"/>
          <w:lang w:bidi="ar-EG"/>
        </w:rPr>
        <w:t xml:space="preserve"> = </w:t>
      </w:r>
      <w:r w:rsidRPr="00900DDA">
        <w:rPr>
          <w:rFonts w:ascii="Sakkal Majalla" w:hAnsi="Sakkal Majalla" w:cs="Sakkal Majalla"/>
          <w:sz w:val="28"/>
          <w:rtl/>
        </w:rPr>
        <w:t>فترة التنفيذ الفعلي</w:t>
      </w:r>
      <w:r w:rsidRPr="00900DDA">
        <w:rPr>
          <w:rFonts w:ascii="Sakkal Majalla" w:hAnsi="Sakkal Majalla" w:cs="Sakkal Majalla"/>
          <w:sz w:val="28"/>
          <w:lang w:bidi="ar-EG"/>
        </w:rPr>
        <w:t>.</w:t>
      </w:r>
    </w:p>
    <w:p w14:paraId="54201ADA"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رابعاً: مصفوفة أولويات التنفيذ</w:t>
      </w:r>
    </w:p>
    <w:p w14:paraId="6EB30D6F"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(7-21)</w:t>
      </w:r>
    </w:p>
    <w:tbl>
      <w:tblPr>
        <w:tblStyle w:val="PlainTable3"/>
        <w:tblW w:w="0" w:type="auto"/>
        <w:jc w:val="center"/>
        <w:tblLook w:val="04A0" w:firstRow="1" w:lastRow="0" w:firstColumn="1" w:lastColumn="0" w:noHBand="0" w:noVBand="1"/>
      </w:tblPr>
      <w:tblGrid>
        <w:gridCol w:w="1740"/>
        <w:gridCol w:w="1970"/>
        <w:gridCol w:w="1513"/>
        <w:gridCol w:w="1029"/>
      </w:tblGrid>
      <w:tr w:rsidR="00900DDA" w:rsidRPr="00900DDA" w14:paraId="0A4FB992"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175F4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المبادرة</w:t>
            </w:r>
          </w:p>
        </w:tc>
        <w:tc>
          <w:tcPr>
            <w:tcW w:w="0" w:type="auto"/>
            <w:hideMark/>
          </w:tcPr>
          <w:p w14:paraId="29AED55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الأهمية الاستراتيجية</w:t>
            </w:r>
          </w:p>
        </w:tc>
        <w:tc>
          <w:tcPr>
            <w:tcW w:w="0" w:type="auto"/>
            <w:hideMark/>
          </w:tcPr>
          <w:p w14:paraId="333AA3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سهولة التنفيذ</w:t>
            </w:r>
          </w:p>
        </w:tc>
        <w:tc>
          <w:tcPr>
            <w:tcW w:w="0" w:type="auto"/>
            <w:hideMark/>
          </w:tcPr>
          <w:p w14:paraId="6B96914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الأولوية</w:t>
            </w:r>
          </w:p>
        </w:tc>
      </w:tr>
      <w:tr w:rsidR="00900DDA" w:rsidRPr="00900DDA" w14:paraId="2F77B1E7"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8EBDD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121532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 جداً</w:t>
            </w:r>
          </w:p>
        </w:tc>
        <w:tc>
          <w:tcPr>
            <w:tcW w:w="0" w:type="auto"/>
            <w:hideMark/>
          </w:tcPr>
          <w:p w14:paraId="524AB29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16B16B8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الأولى</w:t>
            </w:r>
          </w:p>
        </w:tc>
      </w:tr>
      <w:tr w:rsidR="00900DDA" w:rsidRPr="00900DDA" w14:paraId="0438800B"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F0AEC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Fasah Gen-3</w:t>
            </w:r>
          </w:p>
        </w:tc>
        <w:tc>
          <w:tcPr>
            <w:tcW w:w="0" w:type="auto"/>
            <w:hideMark/>
          </w:tcPr>
          <w:p w14:paraId="356EDE0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 جداً</w:t>
            </w:r>
          </w:p>
        </w:tc>
        <w:tc>
          <w:tcPr>
            <w:tcW w:w="0" w:type="auto"/>
            <w:hideMark/>
          </w:tcPr>
          <w:p w14:paraId="7949113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0326D7F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الأولى</w:t>
            </w:r>
          </w:p>
        </w:tc>
      </w:tr>
      <w:tr w:rsidR="00900DDA" w:rsidRPr="00900DDA" w14:paraId="5B47D338"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4E0E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DAISY-SA</w:t>
            </w:r>
          </w:p>
        </w:tc>
        <w:tc>
          <w:tcPr>
            <w:tcW w:w="0" w:type="auto"/>
            <w:hideMark/>
          </w:tcPr>
          <w:p w14:paraId="188472D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C35B15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22E2363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الثانية</w:t>
            </w:r>
          </w:p>
        </w:tc>
      </w:tr>
      <w:tr w:rsidR="00900DDA" w:rsidRPr="00900DDA" w14:paraId="482AD2D5"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7EFE5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Blockchain</w:t>
            </w:r>
          </w:p>
        </w:tc>
        <w:tc>
          <w:tcPr>
            <w:tcW w:w="0" w:type="auto"/>
            <w:hideMark/>
          </w:tcPr>
          <w:p w14:paraId="3BF0E2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3262D3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منخفضة</w:t>
            </w:r>
          </w:p>
        </w:tc>
        <w:tc>
          <w:tcPr>
            <w:tcW w:w="0" w:type="auto"/>
            <w:hideMark/>
          </w:tcPr>
          <w:p w14:paraId="0AA0716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الثالثة</w:t>
            </w:r>
          </w:p>
        </w:tc>
      </w:tr>
      <w:tr w:rsidR="00900DDA" w:rsidRPr="00900DDA" w14:paraId="5708DE35"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E7167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التجارة الخضراء</w:t>
            </w:r>
          </w:p>
        </w:tc>
        <w:tc>
          <w:tcPr>
            <w:tcW w:w="0" w:type="auto"/>
            <w:hideMark/>
          </w:tcPr>
          <w:p w14:paraId="15567C7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31F1F73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AA6AB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الرابعة</w:t>
            </w:r>
          </w:p>
        </w:tc>
      </w:tr>
      <w:tr w:rsidR="00900DDA" w:rsidRPr="00900DDA" w14:paraId="68AA7D2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4185C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الأكاديمية الدولية</w:t>
            </w:r>
          </w:p>
        </w:tc>
        <w:tc>
          <w:tcPr>
            <w:tcW w:w="0" w:type="auto"/>
            <w:hideMark/>
          </w:tcPr>
          <w:p w14:paraId="0EB5D3B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70873A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0EDDA90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الرابعة</w:t>
            </w:r>
          </w:p>
        </w:tc>
      </w:tr>
    </w:tbl>
    <w:p w14:paraId="6BF1BE3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خامساً: خطة إدارة التغيير المؤسسي</w:t>
      </w:r>
    </w:p>
    <w:p w14:paraId="341B4B3A"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يرى الباحث أن مقاومة التغيير تُعد من أكبر التحديات التي تواجه برامج التحول الرقمي، خاصة في المؤسسات الكبيرة التي تعتمد على إجراءات تشغيلية مستقرة منذ سنوات طويلة. ومن ثم، فإن نجاح الخطة يتطلب برنامجاً متكاملاً لإدارة التغيير، يركز على تعزيز ثقافة الابتكار، ورفع الوعي، وإشراك الموظفين في مراحل التطوير، وتحفيزهم على تبني التقنيات الحديثة</w:t>
      </w:r>
      <w:r w:rsidRPr="00900DDA">
        <w:rPr>
          <w:rFonts w:ascii="Sakkal Majalla" w:hAnsi="Sakkal Majalla" w:cs="Sakkal Majalla"/>
          <w:sz w:val="28"/>
          <w:lang w:bidi="ar-EG"/>
        </w:rPr>
        <w:t>.</w:t>
      </w:r>
    </w:p>
    <w:p w14:paraId="1621C4AB"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(7-22)</w:t>
      </w:r>
    </w:p>
    <w:p w14:paraId="28828A5F"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برنامج إدارة التغيير</w:t>
      </w:r>
    </w:p>
    <w:tbl>
      <w:tblPr>
        <w:tblStyle w:val="PlainTable3"/>
        <w:tblW w:w="0" w:type="auto"/>
        <w:jc w:val="center"/>
        <w:tblLook w:val="04A0" w:firstRow="1" w:lastRow="0" w:firstColumn="1" w:lastColumn="0" w:noHBand="0" w:noVBand="1"/>
      </w:tblPr>
      <w:tblGrid>
        <w:gridCol w:w="1086"/>
        <w:gridCol w:w="2011"/>
        <w:gridCol w:w="1799"/>
      </w:tblGrid>
      <w:tr w:rsidR="00900DDA" w:rsidRPr="00900DDA" w14:paraId="4452B243"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3032578"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المرحلة</w:t>
            </w:r>
          </w:p>
        </w:tc>
        <w:tc>
          <w:tcPr>
            <w:tcW w:w="0" w:type="auto"/>
            <w:hideMark/>
          </w:tcPr>
          <w:p w14:paraId="1AC146F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الأنشطة</w:t>
            </w:r>
          </w:p>
        </w:tc>
        <w:tc>
          <w:tcPr>
            <w:tcW w:w="0" w:type="auto"/>
            <w:hideMark/>
          </w:tcPr>
          <w:p w14:paraId="03CC0118"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المؤشر</w:t>
            </w:r>
          </w:p>
        </w:tc>
      </w:tr>
      <w:tr w:rsidR="00900DDA" w:rsidRPr="00900DDA" w14:paraId="3B295A2B"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8D853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التوعية</w:t>
            </w:r>
          </w:p>
        </w:tc>
        <w:tc>
          <w:tcPr>
            <w:tcW w:w="0" w:type="auto"/>
            <w:hideMark/>
          </w:tcPr>
          <w:p w14:paraId="573B5BE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حملات إعلامية داخلية</w:t>
            </w:r>
          </w:p>
        </w:tc>
        <w:tc>
          <w:tcPr>
            <w:tcW w:w="0" w:type="auto"/>
            <w:hideMark/>
          </w:tcPr>
          <w:p w14:paraId="1B41821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100% </w:t>
            </w:r>
            <w:r w:rsidRPr="00900DDA">
              <w:rPr>
                <w:rFonts w:ascii="Sakkal Majalla" w:hAnsi="Sakkal Majalla" w:cs="Sakkal Majalla"/>
                <w:sz w:val="24"/>
                <w:szCs w:val="24"/>
                <w:rtl/>
              </w:rPr>
              <w:t>من الموظفين</w:t>
            </w:r>
          </w:p>
        </w:tc>
      </w:tr>
      <w:tr w:rsidR="00900DDA" w:rsidRPr="00900DDA" w14:paraId="0913FA7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74EFF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التدريب</w:t>
            </w:r>
          </w:p>
        </w:tc>
        <w:tc>
          <w:tcPr>
            <w:tcW w:w="0" w:type="auto"/>
            <w:hideMark/>
          </w:tcPr>
          <w:p w14:paraId="6D2700D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برامج تأهيل رقمية</w:t>
            </w:r>
          </w:p>
        </w:tc>
        <w:tc>
          <w:tcPr>
            <w:tcW w:w="0" w:type="auto"/>
            <w:hideMark/>
          </w:tcPr>
          <w:p w14:paraId="0C57383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90% </w:t>
            </w:r>
            <w:r w:rsidRPr="00900DDA">
              <w:rPr>
                <w:rFonts w:ascii="Sakkal Majalla" w:hAnsi="Sakkal Majalla" w:cs="Sakkal Majalla"/>
                <w:sz w:val="24"/>
                <w:szCs w:val="24"/>
                <w:rtl/>
              </w:rPr>
              <w:t>اجتياز</w:t>
            </w:r>
          </w:p>
        </w:tc>
      </w:tr>
      <w:tr w:rsidR="00900DDA" w:rsidRPr="00900DDA" w14:paraId="4A5BA34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7D277C"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المشاركة</w:t>
            </w:r>
          </w:p>
        </w:tc>
        <w:tc>
          <w:tcPr>
            <w:tcW w:w="0" w:type="auto"/>
            <w:hideMark/>
          </w:tcPr>
          <w:p w14:paraId="0260A1F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فرق تحسين العمل</w:t>
            </w:r>
          </w:p>
        </w:tc>
        <w:tc>
          <w:tcPr>
            <w:tcW w:w="0" w:type="auto"/>
            <w:hideMark/>
          </w:tcPr>
          <w:p w14:paraId="5032DD2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300 </w:t>
            </w:r>
            <w:r w:rsidRPr="00900DDA">
              <w:rPr>
                <w:rFonts w:ascii="Sakkal Majalla" w:hAnsi="Sakkal Majalla" w:cs="Sakkal Majalla"/>
                <w:sz w:val="24"/>
                <w:szCs w:val="24"/>
                <w:rtl/>
              </w:rPr>
              <w:t>مبادرة</w:t>
            </w:r>
          </w:p>
        </w:tc>
      </w:tr>
      <w:tr w:rsidR="00900DDA" w:rsidRPr="00900DDA" w14:paraId="1C7EBE5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9481F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التحفيز</w:t>
            </w:r>
          </w:p>
        </w:tc>
        <w:tc>
          <w:tcPr>
            <w:tcW w:w="0" w:type="auto"/>
            <w:hideMark/>
          </w:tcPr>
          <w:p w14:paraId="34499A2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جوائز التحول الرقمي</w:t>
            </w:r>
          </w:p>
        </w:tc>
        <w:tc>
          <w:tcPr>
            <w:tcW w:w="0" w:type="auto"/>
            <w:hideMark/>
          </w:tcPr>
          <w:p w14:paraId="06AC567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100 </w:t>
            </w:r>
            <w:r w:rsidRPr="00900DDA">
              <w:rPr>
                <w:rFonts w:ascii="Sakkal Majalla" w:hAnsi="Sakkal Majalla" w:cs="Sakkal Majalla"/>
                <w:sz w:val="24"/>
                <w:szCs w:val="24"/>
                <w:rtl/>
              </w:rPr>
              <w:t>موظف سنوياً</w:t>
            </w:r>
          </w:p>
        </w:tc>
      </w:tr>
      <w:tr w:rsidR="00900DDA" w:rsidRPr="00900DDA" w14:paraId="3992CE0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591401"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lastRenderedPageBreak/>
              <w:t>التقييم</w:t>
            </w:r>
          </w:p>
        </w:tc>
        <w:tc>
          <w:tcPr>
            <w:tcW w:w="0" w:type="auto"/>
            <w:hideMark/>
          </w:tcPr>
          <w:p w14:paraId="056142A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قياس الرضا</w:t>
            </w:r>
          </w:p>
        </w:tc>
        <w:tc>
          <w:tcPr>
            <w:tcW w:w="0" w:type="auto"/>
            <w:hideMark/>
          </w:tcPr>
          <w:p w14:paraId="7F45F34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أكثر من 90</w:t>
            </w:r>
            <w:r w:rsidRPr="00900DDA">
              <w:rPr>
                <w:rFonts w:ascii="Sakkal Majalla" w:hAnsi="Sakkal Majalla" w:cs="Sakkal Majalla"/>
                <w:sz w:val="24"/>
                <w:szCs w:val="24"/>
                <w:lang w:bidi="ar-EG"/>
              </w:rPr>
              <w:t>%</w:t>
            </w:r>
          </w:p>
        </w:tc>
      </w:tr>
    </w:tbl>
    <w:p w14:paraId="1C7C3E6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سادساً: نموذج الاتصال المؤسسي</w:t>
      </w:r>
    </w:p>
    <w:p w14:paraId="6572CC1C"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(7-23)</w:t>
      </w:r>
    </w:p>
    <w:tbl>
      <w:tblPr>
        <w:tblStyle w:val="PlainTable3"/>
        <w:tblW w:w="0" w:type="auto"/>
        <w:jc w:val="center"/>
        <w:tblLook w:val="04A0" w:firstRow="1" w:lastRow="0" w:firstColumn="1" w:lastColumn="0" w:noHBand="0" w:noVBand="1"/>
      </w:tblPr>
      <w:tblGrid>
        <w:gridCol w:w="1741"/>
        <w:gridCol w:w="1790"/>
        <w:gridCol w:w="1523"/>
      </w:tblGrid>
      <w:tr w:rsidR="00900DDA" w:rsidRPr="00900DDA" w14:paraId="474FC9BD"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00D2E16"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أصحاب المصلحة</w:t>
            </w:r>
          </w:p>
        </w:tc>
        <w:tc>
          <w:tcPr>
            <w:tcW w:w="0" w:type="auto"/>
            <w:hideMark/>
          </w:tcPr>
          <w:p w14:paraId="14ADA24A"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وسيلة الاتصال</w:t>
            </w:r>
          </w:p>
        </w:tc>
        <w:tc>
          <w:tcPr>
            <w:tcW w:w="0" w:type="auto"/>
            <w:hideMark/>
          </w:tcPr>
          <w:p w14:paraId="6437AF5F"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دورية التواصل</w:t>
            </w:r>
          </w:p>
        </w:tc>
      </w:tr>
      <w:tr w:rsidR="00900DDA" w:rsidRPr="00900DDA" w14:paraId="7E01587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FB3372"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مجلس الإدارة</w:t>
            </w:r>
          </w:p>
        </w:tc>
        <w:tc>
          <w:tcPr>
            <w:tcW w:w="0" w:type="auto"/>
            <w:hideMark/>
          </w:tcPr>
          <w:p w14:paraId="71F189C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استراتيجية</w:t>
            </w:r>
          </w:p>
        </w:tc>
        <w:tc>
          <w:tcPr>
            <w:tcW w:w="0" w:type="auto"/>
            <w:hideMark/>
          </w:tcPr>
          <w:p w14:paraId="5A40AB8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ربع سنوية</w:t>
            </w:r>
          </w:p>
        </w:tc>
      </w:tr>
      <w:tr w:rsidR="00900DDA" w:rsidRPr="00900DDA" w14:paraId="1796F836"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AAF7AA"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المحافظ</w:t>
            </w:r>
          </w:p>
        </w:tc>
        <w:tc>
          <w:tcPr>
            <w:tcW w:w="0" w:type="auto"/>
            <w:hideMark/>
          </w:tcPr>
          <w:p w14:paraId="7DEBFE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لوحة قيادة مباشرة</w:t>
            </w:r>
          </w:p>
        </w:tc>
        <w:tc>
          <w:tcPr>
            <w:tcW w:w="0" w:type="auto"/>
            <w:hideMark/>
          </w:tcPr>
          <w:p w14:paraId="618071B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يومية</w:t>
            </w:r>
          </w:p>
        </w:tc>
      </w:tr>
      <w:tr w:rsidR="00900DDA" w:rsidRPr="00900DDA" w14:paraId="0CA651F3"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CDFB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القيادات</w:t>
            </w:r>
          </w:p>
        </w:tc>
        <w:tc>
          <w:tcPr>
            <w:tcW w:w="0" w:type="auto"/>
            <w:hideMark/>
          </w:tcPr>
          <w:p w14:paraId="09DF873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اجتماعات تنفيذية</w:t>
            </w:r>
          </w:p>
        </w:tc>
        <w:tc>
          <w:tcPr>
            <w:tcW w:w="0" w:type="auto"/>
            <w:hideMark/>
          </w:tcPr>
          <w:p w14:paraId="5F52F5A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أسبوعية</w:t>
            </w:r>
          </w:p>
        </w:tc>
      </w:tr>
      <w:tr w:rsidR="00900DDA" w:rsidRPr="00900DDA" w14:paraId="1EC1D0D6"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A281A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الموظفون</w:t>
            </w:r>
          </w:p>
        </w:tc>
        <w:tc>
          <w:tcPr>
            <w:tcW w:w="0" w:type="auto"/>
            <w:hideMark/>
          </w:tcPr>
          <w:p w14:paraId="6C560F6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بوابة داخلية</w:t>
            </w:r>
          </w:p>
        </w:tc>
        <w:tc>
          <w:tcPr>
            <w:tcW w:w="0" w:type="auto"/>
            <w:hideMark/>
          </w:tcPr>
          <w:p w14:paraId="3C9AEEA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أسبوعية</w:t>
            </w:r>
          </w:p>
        </w:tc>
      </w:tr>
      <w:tr w:rsidR="00900DDA" w:rsidRPr="00900DDA" w14:paraId="7E2E628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75719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القطاع الخاص</w:t>
            </w:r>
          </w:p>
        </w:tc>
        <w:tc>
          <w:tcPr>
            <w:tcW w:w="0" w:type="auto"/>
            <w:hideMark/>
          </w:tcPr>
          <w:p w14:paraId="1094860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نشرات إلكترونية</w:t>
            </w:r>
          </w:p>
        </w:tc>
        <w:tc>
          <w:tcPr>
            <w:tcW w:w="0" w:type="auto"/>
            <w:hideMark/>
          </w:tcPr>
          <w:p w14:paraId="2CE5926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شهرية</w:t>
            </w:r>
          </w:p>
        </w:tc>
      </w:tr>
      <w:tr w:rsidR="00900DDA" w:rsidRPr="00900DDA" w14:paraId="259E48A4"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87424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الجهات الحكومية</w:t>
            </w:r>
          </w:p>
        </w:tc>
        <w:tc>
          <w:tcPr>
            <w:tcW w:w="0" w:type="auto"/>
            <w:hideMark/>
          </w:tcPr>
          <w:p w14:paraId="640607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اجتماعات تنسيقية</w:t>
            </w:r>
          </w:p>
        </w:tc>
        <w:tc>
          <w:tcPr>
            <w:tcW w:w="0" w:type="auto"/>
            <w:hideMark/>
          </w:tcPr>
          <w:p w14:paraId="565C14F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شهرية</w:t>
            </w:r>
          </w:p>
        </w:tc>
      </w:tr>
      <w:tr w:rsidR="00900DDA" w:rsidRPr="00900DDA" w14:paraId="2F8F700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5726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المنظمات الدولية</w:t>
            </w:r>
          </w:p>
        </w:tc>
        <w:tc>
          <w:tcPr>
            <w:tcW w:w="0" w:type="auto"/>
            <w:hideMark/>
          </w:tcPr>
          <w:p w14:paraId="1D1397F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تعاون</w:t>
            </w:r>
          </w:p>
        </w:tc>
        <w:tc>
          <w:tcPr>
            <w:tcW w:w="0" w:type="auto"/>
            <w:hideMark/>
          </w:tcPr>
          <w:p w14:paraId="13B8B1F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نصف سنوية</w:t>
            </w:r>
          </w:p>
        </w:tc>
      </w:tr>
    </w:tbl>
    <w:p w14:paraId="217FCFC2"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سابعاً: دورة التحسين المستمر</w:t>
      </w:r>
      <w:r w:rsidRPr="00900DDA">
        <w:rPr>
          <w:rFonts w:ascii="Sakkal Majalla" w:hAnsi="Sakkal Majalla" w:cs="Sakkal Majalla"/>
          <w:b/>
          <w:bCs/>
          <w:sz w:val="28"/>
          <w:lang w:bidi="ar-EG"/>
        </w:rPr>
        <w:t xml:space="preserve"> (Continuous Improvement Cycle)</w:t>
      </w:r>
    </w:p>
    <w:p w14:paraId="3F520790"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يعتمد الباحث على دورة تحسين مؤسسي متكاملة تضمن مراجعة الخطة بصورة دورية وعدم تحولها إلى وثيقة جامدة، وتتكون من خمس مراحل مترابطة</w:t>
      </w:r>
      <w:r w:rsidRPr="00900DDA">
        <w:rPr>
          <w:rFonts w:ascii="Sakkal Majalla" w:hAnsi="Sakkal Majalla" w:cs="Sakkal Majalla"/>
          <w:sz w:val="28"/>
          <w:lang w:bidi="ar-EG"/>
        </w:rPr>
        <w:t>:</w:t>
      </w:r>
    </w:p>
    <w:p w14:paraId="48F90118"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التخطيط</w:t>
      </w:r>
      <w:r w:rsidRPr="00900DDA">
        <w:rPr>
          <w:rFonts w:ascii="Sakkal Majalla" w:hAnsi="Sakkal Majalla" w:cs="Sakkal Majalla"/>
          <w:b/>
          <w:bCs/>
          <w:sz w:val="28"/>
          <w:lang w:bidi="ar-EG"/>
        </w:rPr>
        <w:t xml:space="preserve"> (Plan):</w:t>
      </w:r>
      <w:r w:rsidRPr="00900DDA">
        <w:rPr>
          <w:rFonts w:ascii="Sakkal Majalla" w:hAnsi="Sakkal Majalla" w:cs="Sakkal Majalla"/>
          <w:sz w:val="28"/>
          <w:lang w:bidi="ar-EG"/>
        </w:rPr>
        <w:t xml:space="preserve"> </w:t>
      </w:r>
      <w:r w:rsidRPr="00900DDA">
        <w:rPr>
          <w:rFonts w:ascii="Sakkal Majalla" w:hAnsi="Sakkal Majalla" w:cs="Sakkal Majalla"/>
          <w:sz w:val="28"/>
          <w:rtl/>
        </w:rPr>
        <w:t>تحديد المبادرات والأهداف ومؤشرات الأداء</w:t>
      </w:r>
      <w:r w:rsidRPr="00900DDA">
        <w:rPr>
          <w:rFonts w:ascii="Sakkal Majalla" w:hAnsi="Sakkal Majalla" w:cs="Sakkal Majalla"/>
          <w:sz w:val="28"/>
          <w:lang w:bidi="ar-EG"/>
        </w:rPr>
        <w:t>.</w:t>
      </w:r>
    </w:p>
    <w:p w14:paraId="13ABD122"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التنفيذ</w:t>
      </w:r>
      <w:r w:rsidRPr="00900DDA">
        <w:rPr>
          <w:rFonts w:ascii="Sakkal Majalla" w:hAnsi="Sakkal Majalla" w:cs="Sakkal Majalla"/>
          <w:b/>
          <w:bCs/>
          <w:sz w:val="28"/>
          <w:lang w:bidi="ar-EG"/>
        </w:rPr>
        <w:t xml:space="preserve"> (Execute):</w:t>
      </w:r>
      <w:r w:rsidRPr="00900DDA">
        <w:rPr>
          <w:rFonts w:ascii="Sakkal Majalla" w:hAnsi="Sakkal Majalla" w:cs="Sakkal Majalla"/>
          <w:sz w:val="28"/>
          <w:lang w:bidi="ar-EG"/>
        </w:rPr>
        <w:t xml:space="preserve"> </w:t>
      </w:r>
      <w:r w:rsidRPr="00900DDA">
        <w:rPr>
          <w:rFonts w:ascii="Sakkal Majalla" w:hAnsi="Sakkal Majalla" w:cs="Sakkal Majalla"/>
          <w:sz w:val="28"/>
          <w:rtl/>
        </w:rPr>
        <w:t>تطبيق المبادرات وفق الجدول الزمني</w:t>
      </w:r>
      <w:r w:rsidRPr="00900DDA">
        <w:rPr>
          <w:rFonts w:ascii="Sakkal Majalla" w:hAnsi="Sakkal Majalla" w:cs="Sakkal Majalla"/>
          <w:sz w:val="28"/>
          <w:lang w:bidi="ar-EG"/>
        </w:rPr>
        <w:t>.</w:t>
      </w:r>
    </w:p>
    <w:p w14:paraId="4182CFE8"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المتابعة</w:t>
      </w:r>
      <w:r w:rsidRPr="00900DDA">
        <w:rPr>
          <w:rFonts w:ascii="Sakkal Majalla" w:hAnsi="Sakkal Majalla" w:cs="Sakkal Majalla"/>
          <w:b/>
          <w:bCs/>
          <w:sz w:val="28"/>
          <w:lang w:bidi="ar-EG"/>
        </w:rPr>
        <w:t xml:space="preserve"> (Monitor):</w:t>
      </w:r>
      <w:r w:rsidRPr="00900DDA">
        <w:rPr>
          <w:rFonts w:ascii="Sakkal Majalla" w:hAnsi="Sakkal Majalla" w:cs="Sakkal Majalla"/>
          <w:sz w:val="28"/>
          <w:lang w:bidi="ar-EG"/>
        </w:rPr>
        <w:t xml:space="preserve"> </w:t>
      </w:r>
      <w:r w:rsidRPr="00900DDA">
        <w:rPr>
          <w:rFonts w:ascii="Sakkal Majalla" w:hAnsi="Sakkal Majalla" w:cs="Sakkal Majalla"/>
          <w:sz w:val="28"/>
          <w:rtl/>
        </w:rPr>
        <w:t>قياس الأداء باستخدام لوحات القيادة الرقمية</w:t>
      </w:r>
      <w:r w:rsidRPr="00900DDA">
        <w:rPr>
          <w:rFonts w:ascii="Sakkal Majalla" w:hAnsi="Sakkal Majalla" w:cs="Sakkal Majalla"/>
          <w:sz w:val="28"/>
          <w:lang w:bidi="ar-EG"/>
        </w:rPr>
        <w:t>.</w:t>
      </w:r>
    </w:p>
    <w:p w14:paraId="526EC6DB"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التقييم</w:t>
      </w:r>
      <w:r w:rsidRPr="00900DDA">
        <w:rPr>
          <w:rFonts w:ascii="Sakkal Majalla" w:hAnsi="Sakkal Majalla" w:cs="Sakkal Majalla"/>
          <w:b/>
          <w:bCs/>
          <w:sz w:val="28"/>
          <w:lang w:bidi="ar-EG"/>
        </w:rPr>
        <w:t xml:space="preserve"> (Evaluate):</w:t>
      </w:r>
      <w:r w:rsidRPr="00900DDA">
        <w:rPr>
          <w:rFonts w:ascii="Sakkal Majalla" w:hAnsi="Sakkal Majalla" w:cs="Sakkal Majalla"/>
          <w:sz w:val="28"/>
          <w:lang w:bidi="ar-EG"/>
        </w:rPr>
        <w:t xml:space="preserve"> </w:t>
      </w:r>
      <w:r w:rsidRPr="00900DDA">
        <w:rPr>
          <w:rFonts w:ascii="Sakkal Majalla" w:hAnsi="Sakkal Majalla" w:cs="Sakkal Majalla"/>
          <w:sz w:val="28"/>
          <w:rtl/>
        </w:rPr>
        <w:t>تحليل الانحرافات وتحديد أسبابها</w:t>
      </w:r>
      <w:r w:rsidRPr="00900DDA">
        <w:rPr>
          <w:rFonts w:ascii="Sakkal Majalla" w:hAnsi="Sakkal Majalla" w:cs="Sakkal Majalla"/>
          <w:sz w:val="28"/>
          <w:lang w:bidi="ar-EG"/>
        </w:rPr>
        <w:t>.</w:t>
      </w:r>
    </w:p>
    <w:p w14:paraId="7ECF95A6"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التحسين</w:t>
      </w:r>
      <w:r w:rsidRPr="00900DDA">
        <w:rPr>
          <w:rFonts w:ascii="Sakkal Majalla" w:hAnsi="Sakkal Majalla" w:cs="Sakkal Majalla"/>
          <w:b/>
          <w:bCs/>
          <w:sz w:val="28"/>
          <w:lang w:bidi="ar-EG"/>
        </w:rPr>
        <w:t xml:space="preserve"> (Improve):</w:t>
      </w:r>
      <w:r w:rsidRPr="00900DDA">
        <w:rPr>
          <w:rFonts w:ascii="Sakkal Majalla" w:hAnsi="Sakkal Majalla" w:cs="Sakkal Majalla"/>
          <w:sz w:val="28"/>
          <w:lang w:bidi="ar-EG"/>
        </w:rPr>
        <w:t xml:space="preserve"> </w:t>
      </w:r>
      <w:r w:rsidRPr="00900DDA">
        <w:rPr>
          <w:rFonts w:ascii="Sakkal Majalla" w:hAnsi="Sakkal Majalla" w:cs="Sakkal Majalla"/>
          <w:sz w:val="28"/>
          <w:rtl/>
        </w:rPr>
        <w:t>تحديث المبادرات وإعادة تخصيص الموارد</w:t>
      </w:r>
      <w:r w:rsidRPr="00900DDA">
        <w:rPr>
          <w:rFonts w:ascii="Sakkal Majalla" w:hAnsi="Sakkal Majalla" w:cs="Sakkal Majalla"/>
          <w:sz w:val="28"/>
          <w:lang w:bidi="ar-EG"/>
        </w:rPr>
        <w:t>.</w:t>
      </w:r>
    </w:p>
    <w:p w14:paraId="126D9D6E"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ثامناً: رأي الباحث</w:t>
      </w:r>
    </w:p>
    <w:p w14:paraId="123D4088"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 xml:space="preserve">يرى الباحث أن نجاح أي خطة استراتيجية لا يتحقق من خلال جودة المبادرات أو حجم الاستثمارات فحسب، بل يعتمد بصورة رئيسة على قوة منظومة الحوكمة التي تضمن التنفيذ الفعلي، والمتابعة المستمرة، والمساءلة المؤسسية. فالتجارب الدولية تؤكد أن المؤسسات التي تمتلك مكاتب قوية لإدارة المشاريع، ولوحات قيادة رقمية، وآليات واضحة لاتخاذ القرار، </w:t>
      </w:r>
      <w:r w:rsidRPr="00900DDA">
        <w:rPr>
          <w:rFonts w:ascii="Sakkal Majalla" w:hAnsi="Sakkal Majalla" w:cs="Sakkal Majalla"/>
          <w:sz w:val="28"/>
          <w:rtl/>
        </w:rPr>
        <w:lastRenderedPageBreak/>
        <w:t>تحقق نسب نجاح أعلى في تنفيذ استراتيجياتها مقارنة بالمؤسسات التي تكتفي بإعداد الخطط دون بناء منظومة تنفيذية متكاملة</w:t>
      </w:r>
      <w:r w:rsidRPr="00900DDA">
        <w:rPr>
          <w:rFonts w:ascii="Sakkal Majalla" w:hAnsi="Sakkal Majalla" w:cs="Sakkal Majalla"/>
          <w:sz w:val="28"/>
          <w:lang w:bidi="ar-EG"/>
        </w:rPr>
        <w:t>.</w:t>
      </w:r>
    </w:p>
    <w:p w14:paraId="52E16464"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ويؤكد الباحث أن الإطار المقترح يوفر للهيئة نموذجاً عملياً لإدارة التحول الرقمي حتى عام 2030، ويحول الاستراتيجية من وثيقة تخطيطية إلى برنامج تنفيذي ديناميكي قابل للقياس والتطوير المستمر، بما ينسجم مع أفضل الممارسات الدولية ويعزز مكانة المملكة العربية السعودية في مجال الإدارة الجمركية الذكية</w:t>
      </w:r>
      <w:r w:rsidRPr="00900DDA">
        <w:rPr>
          <w:rFonts w:ascii="Sakkal Majalla" w:hAnsi="Sakkal Majalla" w:cs="Sakkal Majalla"/>
          <w:sz w:val="28"/>
          <w:lang w:bidi="ar-EG"/>
        </w:rPr>
        <w:t>.</w:t>
      </w:r>
    </w:p>
    <w:p w14:paraId="3600542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 xml:space="preserve">ممتاز، وسنكمل الآن بالجزء الذي سيجعل هذا الفصل مختلفًا عن معظم الرسائل العربية، وهو </w:t>
      </w:r>
      <w:r w:rsidRPr="00B56143">
        <w:rPr>
          <w:rFonts w:ascii="Sakkal Majalla" w:hAnsi="Sakkal Majalla" w:cs="Sakkal Majalla"/>
          <w:b/>
          <w:bCs/>
          <w:sz w:val="28"/>
          <w:rtl/>
        </w:rPr>
        <w:t>التحليل المالي والاستثماري للخطة الاستراتيجية</w:t>
      </w:r>
      <w:r w:rsidRPr="00B56143">
        <w:rPr>
          <w:rFonts w:ascii="Sakkal Majalla" w:hAnsi="Sakkal Majalla" w:cs="Sakkal Majalla"/>
          <w:sz w:val="28"/>
          <w:lang w:bidi="ar-EG"/>
        </w:rPr>
        <w:t xml:space="preserve">. </w:t>
      </w:r>
      <w:r w:rsidRPr="00B56143">
        <w:rPr>
          <w:rFonts w:ascii="Sakkal Majalla" w:hAnsi="Sakkal Majalla" w:cs="Sakkal Majalla"/>
          <w:sz w:val="28"/>
          <w:rtl/>
        </w:rPr>
        <w:t>هذا الجزء نادر جدًا في الدراسات الأكاديمية، لكنه مهم لأنه يربط بين التحول الرقمي والقيمة الاقتصادية المتوقعة</w:t>
      </w:r>
      <w:r w:rsidRPr="00B56143">
        <w:rPr>
          <w:rFonts w:ascii="Sakkal Majalla" w:hAnsi="Sakkal Majalla" w:cs="Sakkal Majalla"/>
          <w:sz w:val="28"/>
          <w:lang w:bidi="ar-EG"/>
        </w:rPr>
        <w:t>.</w:t>
      </w:r>
    </w:p>
    <w:p w14:paraId="0B0A940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lang w:bidi="ar-EG"/>
        </w:rPr>
        <w:t xml:space="preserve">7-1-5 </w:t>
      </w:r>
      <w:r w:rsidRPr="00B56143">
        <w:rPr>
          <w:rFonts w:ascii="Sakkal Majalla" w:hAnsi="Sakkal Majalla" w:cs="Sakkal Majalla"/>
          <w:b/>
          <w:bCs/>
          <w:sz w:val="28"/>
          <w:rtl/>
        </w:rPr>
        <w:t>التحليل المالي والاستثماري للخطة الاستراتيجية</w:t>
      </w:r>
      <w:r w:rsidRPr="00B56143">
        <w:rPr>
          <w:rFonts w:ascii="Sakkal Majalla" w:hAnsi="Sakkal Majalla" w:cs="Sakkal Majalla"/>
          <w:b/>
          <w:bCs/>
          <w:sz w:val="28"/>
          <w:lang w:bidi="ar-EG"/>
        </w:rPr>
        <w:t xml:space="preserve"> (2025–2030)</w:t>
      </w:r>
    </w:p>
    <w:p w14:paraId="2FDE7C5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أولاً: فلسفة الاستثمار في التحول الرقمي</w:t>
      </w:r>
    </w:p>
    <w:p w14:paraId="055498E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لم يعد الإنفاق على التحول الرقمي يُنظر إليه باعتباره بندًا من بنود المصروفات التشغيلية، وإنما أصبح استثمارًا استراتيجيًا طويل الأجل يهدف إلى تعظيم القيمة الاقتصادية للمؤسسة، ورفع كفاءة استخدام الموارد، وتحسين جودة الخدمات، وتعزيز الإيرادات الحكومية. ويؤكد الباحث أن نجاح برامج التحول الرقمي يقاس بالعائد الاقتصادي والاجتماعي والأمني الذي تحققه، وليس بحجم الإنفاق أو عدد الأنظمة التي يتم تطويرها</w:t>
      </w:r>
      <w:r w:rsidRPr="00B56143">
        <w:rPr>
          <w:rFonts w:ascii="Sakkal Majalla" w:hAnsi="Sakkal Majalla" w:cs="Sakkal Majalla"/>
          <w:sz w:val="28"/>
          <w:lang w:bidi="ar-EG"/>
        </w:rPr>
        <w:t>.</w:t>
      </w:r>
    </w:p>
    <w:p w14:paraId="197AAF76"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وفي حالة هيئة الزكاة والضريبة والجمارك، فإن الاستثمار في البنية الرقمية، والذكاء الاصطناعي، والأمن السيبراني، والبيانات، يمثل استثمارًا في حماية الاقتصاد الوطني، وتحسين تنافسية المملكة، ورفع كفاءة تحصيل الإيرادات، وتقليل تكلفة الامتثال على القطاع الخاص، وهو ما ينعكس بصورة مباشرة على النمو الاقتصادي وتحقيق مستهدفات رؤية المملكة 2030</w:t>
      </w:r>
      <w:r w:rsidRPr="00B56143">
        <w:rPr>
          <w:rFonts w:ascii="Sakkal Majalla" w:hAnsi="Sakkal Majalla" w:cs="Sakkal Majalla"/>
          <w:sz w:val="28"/>
          <w:lang w:bidi="ar-EG"/>
        </w:rPr>
        <w:t>.</w:t>
      </w:r>
    </w:p>
    <w:p w14:paraId="1D8F1EA2"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(7-24)</w:t>
      </w:r>
    </w:p>
    <w:p w14:paraId="1696F99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التوزيع المقترح للاستثمارات الرأسمالية</w:t>
      </w:r>
      <w:r w:rsidRPr="00B56143">
        <w:rPr>
          <w:rFonts w:ascii="Sakkal Majalla" w:hAnsi="Sakkal Majalla" w:cs="Sakkal Majalla"/>
          <w:b/>
          <w:bCs/>
          <w:sz w:val="28"/>
          <w:lang w:bidi="ar-EG"/>
        </w:rPr>
        <w:t xml:space="preserve"> (2025–2030)</w:t>
      </w:r>
    </w:p>
    <w:tbl>
      <w:tblPr>
        <w:tblStyle w:val="PlainTable3"/>
        <w:tblW w:w="0" w:type="auto"/>
        <w:jc w:val="center"/>
        <w:tblLook w:val="04A0" w:firstRow="1" w:lastRow="0" w:firstColumn="1" w:lastColumn="0" w:noHBand="0" w:noVBand="1"/>
      </w:tblPr>
      <w:tblGrid>
        <w:gridCol w:w="1852"/>
        <w:gridCol w:w="1473"/>
        <w:gridCol w:w="1503"/>
        <w:gridCol w:w="1504"/>
        <w:gridCol w:w="1390"/>
        <w:gridCol w:w="1638"/>
      </w:tblGrid>
      <w:tr w:rsidR="00B56143" w:rsidRPr="00B56143" w14:paraId="312D2362"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8F17C9B"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lastRenderedPageBreak/>
              <w:t>مجال الاستثمار</w:t>
            </w:r>
          </w:p>
        </w:tc>
        <w:tc>
          <w:tcPr>
            <w:tcW w:w="0" w:type="auto"/>
            <w:hideMark/>
          </w:tcPr>
          <w:p w14:paraId="234617FC"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الأولى (مليون ريال)</w:t>
            </w:r>
          </w:p>
        </w:tc>
        <w:tc>
          <w:tcPr>
            <w:tcW w:w="0" w:type="auto"/>
            <w:hideMark/>
          </w:tcPr>
          <w:p w14:paraId="5312D192"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الثانية (مليون ريال)</w:t>
            </w:r>
          </w:p>
        </w:tc>
        <w:tc>
          <w:tcPr>
            <w:tcW w:w="0" w:type="auto"/>
            <w:hideMark/>
          </w:tcPr>
          <w:p w14:paraId="13FEC2A1"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الثالثة (مليون ريال)</w:t>
            </w:r>
          </w:p>
        </w:tc>
        <w:tc>
          <w:tcPr>
            <w:tcW w:w="0" w:type="auto"/>
            <w:hideMark/>
          </w:tcPr>
          <w:p w14:paraId="2F7D663E"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الإجمالي (مليون ريال)</w:t>
            </w:r>
          </w:p>
        </w:tc>
        <w:tc>
          <w:tcPr>
            <w:tcW w:w="0" w:type="auto"/>
            <w:hideMark/>
          </w:tcPr>
          <w:p w14:paraId="78C8247F"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النسبة من إجمالي الاستثمار</w:t>
            </w:r>
          </w:p>
        </w:tc>
      </w:tr>
      <w:tr w:rsidR="00B56143" w:rsidRPr="00B56143" w14:paraId="73B89877"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33B32"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البنية التحتية الرقمية</w:t>
            </w:r>
          </w:p>
        </w:tc>
        <w:tc>
          <w:tcPr>
            <w:tcW w:w="0" w:type="auto"/>
            <w:hideMark/>
          </w:tcPr>
          <w:p w14:paraId="15F2C9C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280</w:t>
            </w:r>
          </w:p>
        </w:tc>
        <w:tc>
          <w:tcPr>
            <w:tcW w:w="0" w:type="auto"/>
            <w:hideMark/>
          </w:tcPr>
          <w:p w14:paraId="1E339E4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80</w:t>
            </w:r>
          </w:p>
        </w:tc>
        <w:tc>
          <w:tcPr>
            <w:tcW w:w="0" w:type="auto"/>
            <w:hideMark/>
          </w:tcPr>
          <w:p w14:paraId="3D4AD79D"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w:t>
            </w:r>
          </w:p>
        </w:tc>
        <w:tc>
          <w:tcPr>
            <w:tcW w:w="0" w:type="auto"/>
            <w:hideMark/>
          </w:tcPr>
          <w:p w14:paraId="7B3E7E1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400</w:t>
            </w:r>
          </w:p>
        </w:tc>
        <w:tc>
          <w:tcPr>
            <w:tcW w:w="0" w:type="auto"/>
            <w:hideMark/>
          </w:tcPr>
          <w:p w14:paraId="27794E2B"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20.8%</w:t>
            </w:r>
          </w:p>
        </w:tc>
      </w:tr>
      <w:tr w:rsidR="00B56143" w:rsidRPr="00B56143" w14:paraId="545C4D20"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BE0D10"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الأمن السيبراني</w:t>
            </w:r>
          </w:p>
        </w:tc>
        <w:tc>
          <w:tcPr>
            <w:tcW w:w="0" w:type="auto"/>
            <w:hideMark/>
          </w:tcPr>
          <w:p w14:paraId="1507CDCC"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200</w:t>
            </w:r>
          </w:p>
        </w:tc>
        <w:tc>
          <w:tcPr>
            <w:tcW w:w="0" w:type="auto"/>
            <w:hideMark/>
          </w:tcPr>
          <w:p w14:paraId="676EBA50"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120</w:t>
            </w:r>
          </w:p>
        </w:tc>
        <w:tc>
          <w:tcPr>
            <w:tcW w:w="0" w:type="auto"/>
            <w:hideMark/>
          </w:tcPr>
          <w:p w14:paraId="1DEE798A"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60B95AE1"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420</w:t>
            </w:r>
          </w:p>
        </w:tc>
        <w:tc>
          <w:tcPr>
            <w:tcW w:w="0" w:type="auto"/>
            <w:hideMark/>
          </w:tcPr>
          <w:p w14:paraId="41E048F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21.8%</w:t>
            </w:r>
          </w:p>
        </w:tc>
      </w:tr>
      <w:tr w:rsidR="00B56143" w:rsidRPr="00B56143" w14:paraId="59B1A5E4"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7A83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الذكاء الاصطناعي وتحليل البيانات</w:t>
            </w:r>
          </w:p>
        </w:tc>
        <w:tc>
          <w:tcPr>
            <w:tcW w:w="0" w:type="auto"/>
            <w:hideMark/>
          </w:tcPr>
          <w:p w14:paraId="64CCBC1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80</w:t>
            </w:r>
          </w:p>
        </w:tc>
        <w:tc>
          <w:tcPr>
            <w:tcW w:w="0" w:type="auto"/>
            <w:hideMark/>
          </w:tcPr>
          <w:p w14:paraId="1D589919"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260</w:t>
            </w:r>
          </w:p>
        </w:tc>
        <w:tc>
          <w:tcPr>
            <w:tcW w:w="0" w:type="auto"/>
            <w:hideMark/>
          </w:tcPr>
          <w:p w14:paraId="6AF60648"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140</w:t>
            </w:r>
          </w:p>
        </w:tc>
        <w:tc>
          <w:tcPr>
            <w:tcW w:w="0" w:type="auto"/>
            <w:hideMark/>
          </w:tcPr>
          <w:p w14:paraId="7B5BECD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480</w:t>
            </w:r>
          </w:p>
        </w:tc>
        <w:tc>
          <w:tcPr>
            <w:tcW w:w="0" w:type="auto"/>
            <w:hideMark/>
          </w:tcPr>
          <w:p w14:paraId="1099071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24.9%</w:t>
            </w:r>
          </w:p>
        </w:tc>
      </w:tr>
      <w:tr w:rsidR="00B56143" w:rsidRPr="00B56143" w14:paraId="43A4CB1B"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35FFF0"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التكامل الحكومي والإقليمي</w:t>
            </w:r>
          </w:p>
        </w:tc>
        <w:tc>
          <w:tcPr>
            <w:tcW w:w="0" w:type="auto"/>
            <w:hideMark/>
          </w:tcPr>
          <w:p w14:paraId="25A8411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90</w:t>
            </w:r>
          </w:p>
        </w:tc>
        <w:tc>
          <w:tcPr>
            <w:tcW w:w="0" w:type="auto"/>
            <w:hideMark/>
          </w:tcPr>
          <w:p w14:paraId="42D55A28"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160</w:t>
            </w:r>
          </w:p>
        </w:tc>
        <w:tc>
          <w:tcPr>
            <w:tcW w:w="0" w:type="auto"/>
            <w:hideMark/>
          </w:tcPr>
          <w:p w14:paraId="0DF08BB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602CEDDB"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320</w:t>
            </w:r>
          </w:p>
        </w:tc>
        <w:tc>
          <w:tcPr>
            <w:tcW w:w="0" w:type="auto"/>
            <w:hideMark/>
          </w:tcPr>
          <w:p w14:paraId="36ADC67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16.6%</w:t>
            </w:r>
          </w:p>
        </w:tc>
      </w:tr>
      <w:tr w:rsidR="00B56143" w:rsidRPr="00B56143" w14:paraId="3AA87AEA"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0A3E6"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بناء القدرات البشرية</w:t>
            </w:r>
          </w:p>
        </w:tc>
        <w:tc>
          <w:tcPr>
            <w:tcW w:w="0" w:type="auto"/>
            <w:hideMark/>
          </w:tcPr>
          <w:p w14:paraId="2D6C8745"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378E3E4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60</w:t>
            </w:r>
          </w:p>
        </w:tc>
        <w:tc>
          <w:tcPr>
            <w:tcW w:w="0" w:type="auto"/>
            <w:hideMark/>
          </w:tcPr>
          <w:p w14:paraId="66F900D0"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90</w:t>
            </w:r>
          </w:p>
        </w:tc>
        <w:tc>
          <w:tcPr>
            <w:tcW w:w="0" w:type="auto"/>
            <w:hideMark/>
          </w:tcPr>
          <w:p w14:paraId="79A11A8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220</w:t>
            </w:r>
          </w:p>
        </w:tc>
        <w:tc>
          <w:tcPr>
            <w:tcW w:w="0" w:type="auto"/>
            <w:hideMark/>
          </w:tcPr>
          <w:p w14:paraId="3483AD9F"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11.4%</w:t>
            </w:r>
          </w:p>
        </w:tc>
      </w:tr>
      <w:tr w:rsidR="00B56143" w:rsidRPr="00B56143" w14:paraId="6B603567"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8027CA"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البحث والتطوير والابتكار</w:t>
            </w:r>
          </w:p>
        </w:tc>
        <w:tc>
          <w:tcPr>
            <w:tcW w:w="0" w:type="auto"/>
            <w:hideMark/>
          </w:tcPr>
          <w:p w14:paraId="0B8366D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w:t>
            </w:r>
          </w:p>
        </w:tc>
        <w:tc>
          <w:tcPr>
            <w:tcW w:w="0" w:type="auto"/>
            <w:hideMark/>
          </w:tcPr>
          <w:p w14:paraId="4B0D4D0D"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w:t>
            </w:r>
          </w:p>
        </w:tc>
        <w:tc>
          <w:tcPr>
            <w:tcW w:w="0" w:type="auto"/>
            <w:hideMark/>
          </w:tcPr>
          <w:p w14:paraId="5851CABB"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130</w:t>
            </w:r>
          </w:p>
        </w:tc>
        <w:tc>
          <w:tcPr>
            <w:tcW w:w="0" w:type="auto"/>
            <w:hideMark/>
          </w:tcPr>
          <w:p w14:paraId="54DB4E0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190</w:t>
            </w:r>
          </w:p>
        </w:tc>
        <w:tc>
          <w:tcPr>
            <w:tcW w:w="0" w:type="auto"/>
            <w:hideMark/>
          </w:tcPr>
          <w:p w14:paraId="7C4E856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9.9%</w:t>
            </w:r>
          </w:p>
        </w:tc>
      </w:tr>
      <w:tr w:rsidR="00B56143" w:rsidRPr="00B56143" w14:paraId="46870362"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ED95CB"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الإجمالي</w:t>
            </w:r>
          </w:p>
        </w:tc>
        <w:tc>
          <w:tcPr>
            <w:tcW w:w="0" w:type="auto"/>
            <w:hideMark/>
          </w:tcPr>
          <w:p w14:paraId="099883D0"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740</w:t>
            </w:r>
          </w:p>
        </w:tc>
        <w:tc>
          <w:tcPr>
            <w:tcW w:w="0" w:type="auto"/>
            <w:hideMark/>
          </w:tcPr>
          <w:p w14:paraId="3B0567BA"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720</w:t>
            </w:r>
          </w:p>
        </w:tc>
        <w:tc>
          <w:tcPr>
            <w:tcW w:w="0" w:type="auto"/>
            <w:hideMark/>
          </w:tcPr>
          <w:p w14:paraId="5969280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570</w:t>
            </w:r>
          </w:p>
        </w:tc>
        <w:tc>
          <w:tcPr>
            <w:tcW w:w="0" w:type="auto"/>
            <w:hideMark/>
          </w:tcPr>
          <w:p w14:paraId="32309B9C"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1,920</w:t>
            </w:r>
          </w:p>
        </w:tc>
        <w:tc>
          <w:tcPr>
            <w:tcW w:w="0" w:type="auto"/>
            <w:hideMark/>
          </w:tcPr>
          <w:p w14:paraId="0DCE8312"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100%</w:t>
            </w:r>
          </w:p>
        </w:tc>
      </w:tr>
    </w:tbl>
    <w:p w14:paraId="55FA51B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ثانياً: تحليل التكلفة والعائد</w:t>
      </w:r>
      <w:r w:rsidRPr="00B56143">
        <w:rPr>
          <w:rFonts w:ascii="Sakkal Majalla" w:hAnsi="Sakkal Majalla" w:cs="Sakkal Majalla"/>
          <w:b/>
          <w:bCs/>
          <w:sz w:val="28"/>
          <w:lang w:bidi="ar-EG"/>
        </w:rPr>
        <w:t xml:space="preserve"> (Cost–Benefit Analysis)</w:t>
      </w:r>
    </w:p>
    <w:p w14:paraId="7F1DEDE9"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يقترح الباحث استخدام منهجية تحليل التكلفة والعائد لتقييم جدوى الاستثمارات المقترحة، وذلك من خلال مقارنة إجمالي الاستثمارات الرأسمالية والتشغيلية بالعوائد الاقتصادية المباشرة وغير المباشرة المتوقع تحقيقها حتى عام 2030</w:t>
      </w:r>
      <w:r w:rsidRPr="00B56143">
        <w:rPr>
          <w:rFonts w:ascii="Sakkal Majalla" w:hAnsi="Sakkal Majalla" w:cs="Sakkal Majalla"/>
          <w:sz w:val="28"/>
          <w:lang w:bidi="ar-EG"/>
        </w:rPr>
        <w:t>.</w:t>
      </w:r>
    </w:p>
    <w:p w14:paraId="3A3CFD54"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وتشمل العوائد المباشرة زيادة الإيرادات الجمركية والضريبية، وتقليل تكاليف التشغيل، وخفض زمن الإفراج الجمركي، وتقليل معدلات التهرب، بينما تشمل العوائد غير المباشرة تحسين البيئة الاستثمارية، وتعزيز الثقة في الاقتصاد الوطني، ورفع تصنيف المملكة في المؤشرات الدولية</w:t>
      </w:r>
      <w:r w:rsidRPr="00B56143">
        <w:rPr>
          <w:rFonts w:ascii="Sakkal Majalla" w:hAnsi="Sakkal Majalla" w:cs="Sakkal Majalla"/>
          <w:sz w:val="28"/>
          <w:lang w:bidi="ar-EG"/>
        </w:rPr>
        <w:t>.</w:t>
      </w:r>
    </w:p>
    <w:p w14:paraId="3D8CCAC4"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(7-25)</w:t>
      </w:r>
    </w:p>
    <w:p w14:paraId="5D4B9532"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تحليل المنافع الاقتصادية المتوقعة</w:t>
      </w:r>
    </w:p>
    <w:tbl>
      <w:tblPr>
        <w:tblStyle w:val="PlainTable3"/>
        <w:tblW w:w="0" w:type="auto"/>
        <w:jc w:val="center"/>
        <w:tblLook w:val="04A0" w:firstRow="1" w:lastRow="0" w:firstColumn="1" w:lastColumn="0" w:noHBand="0" w:noVBand="1"/>
      </w:tblPr>
      <w:tblGrid>
        <w:gridCol w:w="2149"/>
        <w:gridCol w:w="4186"/>
        <w:gridCol w:w="2259"/>
      </w:tblGrid>
      <w:tr w:rsidR="00B56143" w:rsidRPr="00B56143" w14:paraId="204DB0E6"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7A790C2"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نوع المنفعة</w:t>
            </w:r>
          </w:p>
        </w:tc>
        <w:tc>
          <w:tcPr>
            <w:tcW w:w="0" w:type="auto"/>
            <w:hideMark/>
          </w:tcPr>
          <w:p w14:paraId="3269240A"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الأثر المتوقع</w:t>
            </w:r>
          </w:p>
        </w:tc>
        <w:tc>
          <w:tcPr>
            <w:tcW w:w="0" w:type="auto"/>
            <w:hideMark/>
          </w:tcPr>
          <w:p w14:paraId="06986B01"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القيمة التقديرية السنوية</w:t>
            </w:r>
          </w:p>
        </w:tc>
      </w:tr>
      <w:tr w:rsidR="00B56143" w:rsidRPr="00B56143" w14:paraId="34ED8A1D"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82F7C"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lastRenderedPageBreak/>
              <w:t>خفض تكاليف التشغيل</w:t>
            </w:r>
          </w:p>
        </w:tc>
        <w:tc>
          <w:tcPr>
            <w:tcW w:w="0" w:type="auto"/>
            <w:hideMark/>
          </w:tcPr>
          <w:p w14:paraId="0692904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أتمتة العمليات وتقليل الأعمال اليدوية</w:t>
            </w:r>
          </w:p>
        </w:tc>
        <w:tc>
          <w:tcPr>
            <w:tcW w:w="0" w:type="auto"/>
            <w:hideMark/>
          </w:tcPr>
          <w:p w14:paraId="3FB59A4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2.5 </w:t>
            </w:r>
            <w:r w:rsidRPr="00B56143">
              <w:rPr>
                <w:rFonts w:ascii="Sakkal Majalla" w:hAnsi="Sakkal Majalla" w:cs="Sakkal Majalla"/>
                <w:sz w:val="24"/>
                <w:szCs w:val="24"/>
                <w:rtl/>
              </w:rPr>
              <w:t>مليار ريال</w:t>
            </w:r>
          </w:p>
        </w:tc>
      </w:tr>
      <w:tr w:rsidR="00B56143" w:rsidRPr="00B56143" w14:paraId="08294513"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D843F8"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زيادة الإيرادات</w:t>
            </w:r>
          </w:p>
        </w:tc>
        <w:tc>
          <w:tcPr>
            <w:tcW w:w="0" w:type="auto"/>
            <w:hideMark/>
          </w:tcPr>
          <w:p w14:paraId="5EB434DE"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تحسين الامتثال واكتشاف التهرب</w:t>
            </w:r>
          </w:p>
        </w:tc>
        <w:tc>
          <w:tcPr>
            <w:tcW w:w="0" w:type="auto"/>
            <w:hideMark/>
          </w:tcPr>
          <w:p w14:paraId="425D1632"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8 </w:t>
            </w:r>
            <w:r w:rsidRPr="00B56143">
              <w:rPr>
                <w:rFonts w:ascii="Sakkal Majalla" w:hAnsi="Sakkal Majalla" w:cs="Sakkal Majalla"/>
                <w:sz w:val="24"/>
                <w:szCs w:val="24"/>
                <w:rtl/>
              </w:rPr>
              <w:t>مليارات ريال</w:t>
            </w:r>
          </w:p>
        </w:tc>
      </w:tr>
      <w:tr w:rsidR="00B56143" w:rsidRPr="00B56143" w14:paraId="6A4FCB1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4B934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تقليل زمن الإفراج</w:t>
            </w:r>
          </w:p>
        </w:tc>
        <w:tc>
          <w:tcPr>
            <w:tcW w:w="0" w:type="auto"/>
            <w:hideMark/>
          </w:tcPr>
          <w:p w14:paraId="185D555F"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رفع كفاءة سلاسل الإمداد</w:t>
            </w:r>
          </w:p>
        </w:tc>
        <w:tc>
          <w:tcPr>
            <w:tcW w:w="0" w:type="auto"/>
            <w:hideMark/>
          </w:tcPr>
          <w:p w14:paraId="4FA0E3CB"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3.2 </w:t>
            </w:r>
            <w:r w:rsidRPr="00B56143">
              <w:rPr>
                <w:rFonts w:ascii="Sakkal Majalla" w:hAnsi="Sakkal Majalla" w:cs="Sakkal Majalla"/>
                <w:sz w:val="24"/>
                <w:szCs w:val="24"/>
                <w:rtl/>
              </w:rPr>
              <w:t>مليار ريال</w:t>
            </w:r>
          </w:p>
        </w:tc>
      </w:tr>
      <w:tr w:rsidR="00B56143" w:rsidRPr="00B56143" w14:paraId="73F0D4BE"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303F1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خفض المخاطر الأمنية</w:t>
            </w:r>
          </w:p>
        </w:tc>
        <w:tc>
          <w:tcPr>
            <w:tcW w:w="0" w:type="auto"/>
            <w:hideMark/>
          </w:tcPr>
          <w:p w14:paraId="5FF09B6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تقليل الخسائر الناتجة عن التهريب والهجمات السيبرانية</w:t>
            </w:r>
          </w:p>
        </w:tc>
        <w:tc>
          <w:tcPr>
            <w:tcW w:w="0" w:type="auto"/>
            <w:hideMark/>
          </w:tcPr>
          <w:p w14:paraId="2C87E1DE"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1.4 </w:t>
            </w:r>
            <w:r w:rsidRPr="00B56143">
              <w:rPr>
                <w:rFonts w:ascii="Sakkal Majalla" w:hAnsi="Sakkal Majalla" w:cs="Sakkal Majalla"/>
                <w:sz w:val="24"/>
                <w:szCs w:val="24"/>
                <w:rtl/>
              </w:rPr>
              <w:t>مليار ريال</w:t>
            </w:r>
          </w:p>
        </w:tc>
      </w:tr>
      <w:tr w:rsidR="00B56143" w:rsidRPr="00B56143" w14:paraId="41DDF369"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1E67B8"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زيادة الاستثمار الأجنبي</w:t>
            </w:r>
          </w:p>
        </w:tc>
        <w:tc>
          <w:tcPr>
            <w:tcW w:w="0" w:type="auto"/>
            <w:hideMark/>
          </w:tcPr>
          <w:p w14:paraId="1E7DF0DC"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تحسين بيئة الأعمال</w:t>
            </w:r>
          </w:p>
        </w:tc>
        <w:tc>
          <w:tcPr>
            <w:tcW w:w="0" w:type="auto"/>
            <w:hideMark/>
          </w:tcPr>
          <w:p w14:paraId="608DFAD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أثر غير مباشر مرتفع</w:t>
            </w:r>
          </w:p>
        </w:tc>
      </w:tr>
      <w:tr w:rsidR="00B56143" w:rsidRPr="00B56143" w14:paraId="3AE8BF24"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CFD809"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رفع كفاءة الخدمات</w:t>
            </w:r>
          </w:p>
        </w:tc>
        <w:tc>
          <w:tcPr>
            <w:tcW w:w="0" w:type="auto"/>
            <w:hideMark/>
          </w:tcPr>
          <w:p w14:paraId="129FC9C2"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زيادة رضا المستفيدين وتقليل الشكاوى</w:t>
            </w:r>
          </w:p>
        </w:tc>
        <w:tc>
          <w:tcPr>
            <w:tcW w:w="0" w:type="auto"/>
            <w:hideMark/>
          </w:tcPr>
          <w:p w14:paraId="170BCDF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أثر نوعي</w:t>
            </w:r>
          </w:p>
        </w:tc>
      </w:tr>
    </w:tbl>
    <w:p w14:paraId="3AFF5A7A"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ثالثاً: العائد على الاستثمار</w:t>
      </w:r>
      <w:r w:rsidRPr="00B56143">
        <w:rPr>
          <w:rFonts w:ascii="Sakkal Majalla" w:hAnsi="Sakkal Majalla" w:cs="Sakkal Majalla"/>
          <w:b/>
          <w:bCs/>
          <w:sz w:val="28"/>
          <w:lang w:bidi="ar-EG"/>
        </w:rPr>
        <w:t xml:space="preserve"> (Return on Investment)</w:t>
      </w:r>
    </w:p>
    <w:p w14:paraId="713ED2A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يُعد العائد على الاستثمار من أهم المؤشرات المستخدمة لتقييم كفاءة المشروعات الاستراتيجية، ويقيس مقدار العائد المتحقق مقارنة بإجمالي الاستثمارات المنفذة</w:t>
      </w:r>
      <w:r w:rsidRPr="00B56143">
        <w:rPr>
          <w:rFonts w:ascii="Sakkal Majalla" w:hAnsi="Sakkal Majalla" w:cs="Sakkal Majalla"/>
          <w:sz w:val="28"/>
          <w:lang w:bidi="ar-EG"/>
        </w:rPr>
        <w:t>.</w:t>
      </w:r>
    </w:p>
    <w:p w14:paraId="12247D2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(7-26)</w:t>
      </w:r>
    </w:p>
    <w:p w14:paraId="1CE22067"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التقدير المتوقع للعائد على الاستثمار</w:t>
      </w:r>
    </w:p>
    <w:tbl>
      <w:tblPr>
        <w:tblStyle w:val="PlainTable3"/>
        <w:tblW w:w="0" w:type="auto"/>
        <w:jc w:val="center"/>
        <w:tblLook w:val="04A0" w:firstRow="1" w:lastRow="0" w:firstColumn="1" w:lastColumn="0" w:noHBand="0" w:noVBand="1"/>
      </w:tblPr>
      <w:tblGrid>
        <w:gridCol w:w="924"/>
        <w:gridCol w:w="3088"/>
        <w:gridCol w:w="2472"/>
        <w:gridCol w:w="1320"/>
      </w:tblGrid>
      <w:tr w:rsidR="00B56143" w:rsidRPr="00B56143" w14:paraId="60A33F1E"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A01E41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السنة</w:t>
            </w:r>
          </w:p>
        </w:tc>
        <w:tc>
          <w:tcPr>
            <w:tcW w:w="0" w:type="auto"/>
            <w:hideMark/>
          </w:tcPr>
          <w:p w14:paraId="2598039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إجمالي الاستثمار التراكمي (مليار ريال)</w:t>
            </w:r>
          </w:p>
        </w:tc>
        <w:tc>
          <w:tcPr>
            <w:tcW w:w="0" w:type="auto"/>
            <w:hideMark/>
          </w:tcPr>
          <w:p w14:paraId="53CDE13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العوائد السنوية (مليار ريال)</w:t>
            </w:r>
          </w:p>
        </w:tc>
        <w:tc>
          <w:tcPr>
            <w:tcW w:w="0" w:type="auto"/>
            <w:hideMark/>
          </w:tcPr>
          <w:p w14:paraId="1C46BBE7"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ROI </w:t>
            </w:r>
            <w:r w:rsidRPr="00B56143">
              <w:rPr>
                <w:rFonts w:ascii="Sakkal Majalla" w:hAnsi="Sakkal Majalla" w:cs="Sakkal Majalla"/>
                <w:sz w:val="24"/>
                <w:szCs w:val="24"/>
                <w:rtl/>
              </w:rPr>
              <w:t>المتوقع</w:t>
            </w:r>
          </w:p>
        </w:tc>
      </w:tr>
      <w:tr w:rsidR="00B56143" w:rsidRPr="00B56143" w14:paraId="52A72CF8"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B9568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2025</w:t>
            </w:r>
          </w:p>
        </w:tc>
        <w:tc>
          <w:tcPr>
            <w:tcW w:w="0" w:type="auto"/>
            <w:hideMark/>
          </w:tcPr>
          <w:p w14:paraId="6E3AA50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0.74</w:t>
            </w:r>
          </w:p>
        </w:tc>
        <w:tc>
          <w:tcPr>
            <w:tcW w:w="0" w:type="auto"/>
            <w:hideMark/>
          </w:tcPr>
          <w:p w14:paraId="5ADA1220"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0.90</w:t>
            </w:r>
          </w:p>
        </w:tc>
        <w:tc>
          <w:tcPr>
            <w:tcW w:w="0" w:type="auto"/>
            <w:hideMark/>
          </w:tcPr>
          <w:p w14:paraId="7AF636F4"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122%</w:t>
            </w:r>
          </w:p>
        </w:tc>
      </w:tr>
      <w:tr w:rsidR="00B56143" w:rsidRPr="00B56143" w14:paraId="2F2AECD5"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750985"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2026</w:t>
            </w:r>
          </w:p>
        </w:tc>
        <w:tc>
          <w:tcPr>
            <w:tcW w:w="0" w:type="auto"/>
            <w:hideMark/>
          </w:tcPr>
          <w:p w14:paraId="0EFB34F2"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1.46</w:t>
            </w:r>
          </w:p>
        </w:tc>
        <w:tc>
          <w:tcPr>
            <w:tcW w:w="0" w:type="auto"/>
            <w:hideMark/>
          </w:tcPr>
          <w:p w14:paraId="562AE4AE"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2.80</w:t>
            </w:r>
          </w:p>
        </w:tc>
        <w:tc>
          <w:tcPr>
            <w:tcW w:w="0" w:type="auto"/>
            <w:hideMark/>
          </w:tcPr>
          <w:p w14:paraId="4693CCF7"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192%</w:t>
            </w:r>
          </w:p>
        </w:tc>
      </w:tr>
      <w:tr w:rsidR="00B56143" w:rsidRPr="00B56143" w14:paraId="36C58AD1"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CC7DB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2027</w:t>
            </w:r>
          </w:p>
        </w:tc>
        <w:tc>
          <w:tcPr>
            <w:tcW w:w="0" w:type="auto"/>
            <w:hideMark/>
          </w:tcPr>
          <w:p w14:paraId="6BFEF917"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2FA6E8F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5.60</w:t>
            </w:r>
          </w:p>
        </w:tc>
        <w:tc>
          <w:tcPr>
            <w:tcW w:w="0" w:type="auto"/>
            <w:hideMark/>
          </w:tcPr>
          <w:p w14:paraId="3144C85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276%</w:t>
            </w:r>
          </w:p>
        </w:tc>
      </w:tr>
      <w:tr w:rsidR="00B56143" w:rsidRPr="00B56143" w14:paraId="7AE9A2FB"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B410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2028</w:t>
            </w:r>
          </w:p>
        </w:tc>
        <w:tc>
          <w:tcPr>
            <w:tcW w:w="0" w:type="auto"/>
            <w:hideMark/>
          </w:tcPr>
          <w:p w14:paraId="54AA7FDC"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2BF7FE5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7.30</w:t>
            </w:r>
          </w:p>
        </w:tc>
        <w:tc>
          <w:tcPr>
            <w:tcW w:w="0" w:type="auto"/>
            <w:hideMark/>
          </w:tcPr>
          <w:p w14:paraId="63E59DF5"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360%</w:t>
            </w:r>
          </w:p>
        </w:tc>
      </w:tr>
      <w:tr w:rsidR="00B56143" w:rsidRPr="00B56143" w14:paraId="0C6C4E74"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E755C"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2029</w:t>
            </w:r>
          </w:p>
        </w:tc>
        <w:tc>
          <w:tcPr>
            <w:tcW w:w="0" w:type="auto"/>
            <w:hideMark/>
          </w:tcPr>
          <w:p w14:paraId="5B89462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3C5435A2"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8.90</w:t>
            </w:r>
          </w:p>
        </w:tc>
        <w:tc>
          <w:tcPr>
            <w:tcW w:w="0" w:type="auto"/>
            <w:hideMark/>
          </w:tcPr>
          <w:p w14:paraId="059A52EF"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438%</w:t>
            </w:r>
          </w:p>
        </w:tc>
      </w:tr>
      <w:tr w:rsidR="00B56143" w:rsidRPr="00B56143" w14:paraId="3D43841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0A716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2030</w:t>
            </w:r>
          </w:p>
        </w:tc>
        <w:tc>
          <w:tcPr>
            <w:tcW w:w="0" w:type="auto"/>
            <w:hideMark/>
          </w:tcPr>
          <w:p w14:paraId="55ACB41C"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5D868B82"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10.70</w:t>
            </w:r>
          </w:p>
        </w:tc>
        <w:tc>
          <w:tcPr>
            <w:tcW w:w="0" w:type="auto"/>
            <w:hideMark/>
          </w:tcPr>
          <w:p w14:paraId="0DA2E54D"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527%</w:t>
            </w:r>
          </w:p>
        </w:tc>
      </w:tr>
    </w:tbl>
    <w:p w14:paraId="622FBE12"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ويُظهر التحليل أن الخطة المقترحة قادرة على تحقيق عوائد اقتصادية متنامية تتجاوز قيمة الاستثمارات خلال فترة زمنية قصيرة، نتيجة التحسن المستمر في الكفاءة التشغيلية، وزيادة الامتثال، وتقليل الهدر، وتعظيم الإيرادات الحكومية</w:t>
      </w:r>
      <w:r w:rsidRPr="00B56143">
        <w:rPr>
          <w:rFonts w:ascii="Sakkal Majalla" w:hAnsi="Sakkal Majalla" w:cs="Sakkal Majalla"/>
          <w:sz w:val="28"/>
          <w:lang w:bidi="ar-EG"/>
        </w:rPr>
        <w:t>.</w:t>
      </w:r>
    </w:p>
    <w:p w14:paraId="6E82EFBC" w14:textId="77777777" w:rsidR="00171C82" w:rsidRDefault="00171C82" w:rsidP="00B56143">
      <w:pPr>
        <w:pStyle w:val="BlockText"/>
        <w:spacing w:line="360" w:lineRule="auto"/>
        <w:jc w:val="lowKashida"/>
        <w:rPr>
          <w:rFonts w:ascii="Sakkal Majalla" w:hAnsi="Sakkal Majalla" w:cs="Sakkal Majalla"/>
          <w:b/>
          <w:bCs/>
          <w:sz w:val="28"/>
        </w:rPr>
      </w:pPr>
    </w:p>
    <w:p w14:paraId="516B5676" w14:textId="77777777" w:rsidR="00171C82" w:rsidRDefault="00171C82" w:rsidP="00B56143">
      <w:pPr>
        <w:pStyle w:val="BlockText"/>
        <w:spacing w:line="360" w:lineRule="auto"/>
        <w:jc w:val="lowKashida"/>
        <w:rPr>
          <w:rFonts w:ascii="Sakkal Majalla" w:hAnsi="Sakkal Majalla" w:cs="Sakkal Majalla"/>
          <w:b/>
          <w:bCs/>
          <w:sz w:val="28"/>
        </w:rPr>
      </w:pPr>
    </w:p>
    <w:p w14:paraId="518792B2" w14:textId="77777777" w:rsidR="00171C82" w:rsidRDefault="00171C82" w:rsidP="00B56143">
      <w:pPr>
        <w:pStyle w:val="BlockText"/>
        <w:spacing w:line="360" w:lineRule="auto"/>
        <w:jc w:val="lowKashida"/>
        <w:rPr>
          <w:rFonts w:ascii="Sakkal Majalla" w:hAnsi="Sakkal Majalla" w:cs="Sakkal Majalla"/>
          <w:b/>
          <w:bCs/>
          <w:sz w:val="28"/>
        </w:rPr>
      </w:pPr>
    </w:p>
    <w:p w14:paraId="5CB7C672" w14:textId="1DE0BB8B"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lastRenderedPageBreak/>
        <w:t>رابعاً: تحليل فترة استرداد الاستثمار</w:t>
      </w:r>
      <w:r w:rsidRPr="00B56143">
        <w:rPr>
          <w:rFonts w:ascii="Sakkal Majalla" w:hAnsi="Sakkal Majalla" w:cs="Sakkal Majalla"/>
          <w:b/>
          <w:bCs/>
          <w:sz w:val="28"/>
          <w:lang w:bidi="ar-EG"/>
        </w:rPr>
        <w:t xml:space="preserve"> (Payback Period)</w:t>
      </w:r>
    </w:p>
    <w:p w14:paraId="1144E13A"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(7-27)</w:t>
      </w:r>
    </w:p>
    <w:tbl>
      <w:tblPr>
        <w:tblStyle w:val="PlainTable3"/>
        <w:tblW w:w="0" w:type="auto"/>
        <w:jc w:val="center"/>
        <w:tblLook w:val="04A0" w:firstRow="1" w:lastRow="0" w:firstColumn="1" w:lastColumn="0" w:noHBand="0" w:noVBand="1"/>
      </w:tblPr>
      <w:tblGrid>
        <w:gridCol w:w="2191"/>
        <w:gridCol w:w="1544"/>
        <w:gridCol w:w="3236"/>
        <w:gridCol w:w="1446"/>
      </w:tblGrid>
      <w:tr w:rsidR="00B56143" w:rsidRPr="00B56143" w14:paraId="4CF26039"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A81316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المشروع</w:t>
            </w:r>
          </w:p>
        </w:tc>
        <w:tc>
          <w:tcPr>
            <w:tcW w:w="0" w:type="auto"/>
            <w:hideMark/>
          </w:tcPr>
          <w:p w14:paraId="69522E1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تكلفة المشروع</w:t>
            </w:r>
          </w:p>
        </w:tc>
        <w:tc>
          <w:tcPr>
            <w:tcW w:w="0" w:type="auto"/>
            <w:hideMark/>
          </w:tcPr>
          <w:p w14:paraId="10BFF09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الوفر السنوي</w:t>
            </w:r>
          </w:p>
        </w:tc>
        <w:tc>
          <w:tcPr>
            <w:tcW w:w="0" w:type="auto"/>
            <w:hideMark/>
          </w:tcPr>
          <w:p w14:paraId="2E7EAE5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فترة الاسترداد</w:t>
            </w:r>
          </w:p>
        </w:tc>
      </w:tr>
      <w:tr w:rsidR="00B56143" w:rsidRPr="00B56143" w14:paraId="43202AD3"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623BC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Fasah Gen-3</w:t>
            </w:r>
          </w:p>
        </w:tc>
        <w:tc>
          <w:tcPr>
            <w:tcW w:w="0" w:type="auto"/>
            <w:hideMark/>
          </w:tcPr>
          <w:p w14:paraId="189C2FA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320 </w:t>
            </w:r>
            <w:r w:rsidRPr="00B56143">
              <w:rPr>
                <w:rFonts w:ascii="Sakkal Majalla" w:hAnsi="Sakkal Majalla" w:cs="Sakkal Majalla"/>
                <w:sz w:val="24"/>
                <w:szCs w:val="24"/>
                <w:rtl/>
              </w:rPr>
              <w:t>مليون ريال</w:t>
            </w:r>
          </w:p>
        </w:tc>
        <w:tc>
          <w:tcPr>
            <w:tcW w:w="0" w:type="auto"/>
            <w:hideMark/>
          </w:tcPr>
          <w:p w14:paraId="3ADD5597"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210 </w:t>
            </w:r>
            <w:r w:rsidRPr="00B56143">
              <w:rPr>
                <w:rFonts w:ascii="Sakkal Majalla" w:hAnsi="Sakkal Majalla" w:cs="Sakkal Majalla"/>
                <w:sz w:val="24"/>
                <w:szCs w:val="24"/>
                <w:rtl/>
              </w:rPr>
              <w:t>مليون ريال</w:t>
            </w:r>
          </w:p>
        </w:tc>
        <w:tc>
          <w:tcPr>
            <w:tcW w:w="0" w:type="auto"/>
            <w:hideMark/>
          </w:tcPr>
          <w:p w14:paraId="58294A9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1.5 </w:t>
            </w:r>
            <w:r w:rsidRPr="00B56143">
              <w:rPr>
                <w:rFonts w:ascii="Sakkal Majalla" w:hAnsi="Sakkal Majalla" w:cs="Sakkal Majalla"/>
                <w:sz w:val="24"/>
                <w:szCs w:val="24"/>
                <w:rtl/>
              </w:rPr>
              <w:t>سنة</w:t>
            </w:r>
          </w:p>
        </w:tc>
      </w:tr>
      <w:tr w:rsidR="00B56143" w:rsidRPr="00B56143" w14:paraId="3F5C796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17A68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منصة الذكاء الاصطناعي</w:t>
            </w:r>
          </w:p>
        </w:tc>
        <w:tc>
          <w:tcPr>
            <w:tcW w:w="0" w:type="auto"/>
            <w:hideMark/>
          </w:tcPr>
          <w:p w14:paraId="5A5DA7D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380 </w:t>
            </w:r>
            <w:r w:rsidRPr="00B56143">
              <w:rPr>
                <w:rFonts w:ascii="Sakkal Majalla" w:hAnsi="Sakkal Majalla" w:cs="Sakkal Majalla"/>
                <w:sz w:val="24"/>
                <w:szCs w:val="24"/>
                <w:rtl/>
              </w:rPr>
              <w:t>مليون ريال</w:t>
            </w:r>
          </w:p>
        </w:tc>
        <w:tc>
          <w:tcPr>
            <w:tcW w:w="0" w:type="auto"/>
            <w:hideMark/>
          </w:tcPr>
          <w:p w14:paraId="55FCF8E3"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420 </w:t>
            </w:r>
            <w:r w:rsidRPr="00B56143">
              <w:rPr>
                <w:rFonts w:ascii="Sakkal Majalla" w:hAnsi="Sakkal Majalla" w:cs="Sakkal Majalla"/>
                <w:sz w:val="24"/>
                <w:szCs w:val="24"/>
                <w:rtl/>
              </w:rPr>
              <w:t>مليون ريال</w:t>
            </w:r>
          </w:p>
        </w:tc>
        <w:tc>
          <w:tcPr>
            <w:tcW w:w="0" w:type="auto"/>
            <w:hideMark/>
          </w:tcPr>
          <w:p w14:paraId="64E4FA20"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أقل من سنة</w:t>
            </w:r>
          </w:p>
        </w:tc>
      </w:tr>
      <w:tr w:rsidR="00B56143" w:rsidRPr="00B56143" w14:paraId="31F6C93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AA9E8A"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برنامج الأمن السيبراني</w:t>
            </w:r>
          </w:p>
        </w:tc>
        <w:tc>
          <w:tcPr>
            <w:tcW w:w="0" w:type="auto"/>
            <w:hideMark/>
          </w:tcPr>
          <w:p w14:paraId="0190F57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420 </w:t>
            </w:r>
            <w:r w:rsidRPr="00B56143">
              <w:rPr>
                <w:rFonts w:ascii="Sakkal Majalla" w:hAnsi="Sakkal Majalla" w:cs="Sakkal Majalla"/>
                <w:sz w:val="24"/>
                <w:szCs w:val="24"/>
                <w:rtl/>
              </w:rPr>
              <w:t>مليون ريال</w:t>
            </w:r>
          </w:p>
        </w:tc>
        <w:tc>
          <w:tcPr>
            <w:tcW w:w="0" w:type="auto"/>
            <w:hideMark/>
          </w:tcPr>
          <w:p w14:paraId="3125AE3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180 </w:t>
            </w:r>
            <w:r w:rsidRPr="00B56143">
              <w:rPr>
                <w:rFonts w:ascii="Sakkal Majalla" w:hAnsi="Sakkal Majalla" w:cs="Sakkal Majalla"/>
                <w:sz w:val="24"/>
                <w:szCs w:val="24"/>
                <w:rtl/>
              </w:rPr>
              <w:t>مليون ريال (وفورات وخفض خسائر)</w:t>
            </w:r>
          </w:p>
        </w:tc>
        <w:tc>
          <w:tcPr>
            <w:tcW w:w="0" w:type="auto"/>
            <w:hideMark/>
          </w:tcPr>
          <w:p w14:paraId="0D98977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2.3 </w:t>
            </w:r>
            <w:r w:rsidRPr="00B56143">
              <w:rPr>
                <w:rFonts w:ascii="Sakkal Majalla" w:hAnsi="Sakkal Majalla" w:cs="Sakkal Majalla"/>
                <w:sz w:val="24"/>
                <w:szCs w:val="24"/>
                <w:rtl/>
              </w:rPr>
              <w:t>سنة</w:t>
            </w:r>
          </w:p>
        </w:tc>
      </w:tr>
      <w:tr w:rsidR="00B56143" w:rsidRPr="00B56143" w14:paraId="4C033313"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93230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منصة البيانات الوطنية</w:t>
            </w:r>
          </w:p>
        </w:tc>
        <w:tc>
          <w:tcPr>
            <w:tcW w:w="0" w:type="auto"/>
            <w:hideMark/>
          </w:tcPr>
          <w:p w14:paraId="1EB3C163"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180 </w:t>
            </w:r>
            <w:r w:rsidRPr="00B56143">
              <w:rPr>
                <w:rFonts w:ascii="Sakkal Majalla" w:hAnsi="Sakkal Majalla" w:cs="Sakkal Majalla"/>
                <w:sz w:val="24"/>
                <w:szCs w:val="24"/>
                <w:rtl/>
              </w:rPr>
              <w:t>مليون ريال</w:t>
            </w:r>
          </w:p>
        </w:tc>
        <w:tc>
          <w:tcPr>
            <w:tcW w:w="0" w:type="auto"/>
            <w:hideMark/>
          </w:tcPr>
          <w:p w14:paraId="710EBC1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150 </w:t>
            </w:r>
            <w:r w:rsidRPr="00B56143">
              <w:rPr>
                <w:rFonts w:ascii="Sakkal Majalla" w:hAnsi="Sakkal Majalla" w:cs="Sakkal Majalla"/>
                <w:sz w:val="24"/>
                <w:szCs w:val="24"/>
                <w:rtl/>
              </w:rPr>
              <w:t>مليون ريال</w:t>
            </w:r>
          </w:p>
        </w:tc>
        <w:tc>
          <w:tcPr>
            <w:tcW w:w="0" w:type="auto"/>
            <w:hideMark/>
          </w:tcPr>
          <w:p w14:paraId="5D52C959"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1.2 </w:t>
            </w:r>
            <w:r w:rsidRPr="00B56143">
              <w:rPr>
                <w:rFonts w:ascii="Sakkal Majalla" w:hAnsi="Sakkal Majalla" w:cs="Sakkal Majalla"/>
                <w:sz w:val="24"/>
                <w:szCs w:val="24"/>
                <w:rtl/>
              </w:rPr>
              <w:t>سنة</w:t>
            </w:r>
          </w:p>
        </w:tc>
      </w:tr>
      <w:tr w:rsidR="00B56143" w:rsidRPr="00B56143" w14:paraId="7C192D5B"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CB2E4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الأكاديمية الرقمية</w:t>
            </w:r>
          </w:p>
        </w:tc>
        <w:tc>
          <w:tcPr>
            <w:tcW w:w="0" w:type="auto"/>
            <w:hideMark/>
          </w:tcPr>
          <w:p w14:paraId="5ABB337B"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120 </w:t>
            </w:r>
            <w:r w:rsidRPr="00B56143">
              <w:rPr>
                <w:rFonts w:ascii="Sakkal Majalla" w:hAnsi="Sakkal Majalla" w:cs="Sakkal Majalla"/>
                <w:sz w:val="24"/>
                <w:szCs w:val="24"/>
                <w:rtl/>
              </w:rPr>
              <w:t>مليون ريال</w:t>
            </w:r>
          </w:p>
        </w:tc>
        <w:tc>
          <w:tcPr>
            <w:tcW w:w="0" w:type="auto"/>
            <w:hideMark/>
          </w:tcPr>
          <w:p w14:paraId="5AB2DFC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منافع نوعية واستراتيجية</w:t>
            </w:r>
          </w:p>
        </w:tc>
        <w:tc>
          <w:tcPr>
            <w:tcW w:w="0" w:type="auto"/>
            <w:hideMark/>
          </w:tcPr>
          <w:p w14:paraId="1B3FDD4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 </w:t>
            </w:r>
            <w:r w:rsidRPr="00B56143">
              <w:rPr>
                <w:rFonts w:ascii="Sakkal Majalla" w:hAnsi="Sakkal Majalla" w:cs="Sakkal Majalla"/>
                <w:sz w:val="24"/>
                <w:szCs w:val="24"/>
                <w:rtl/>
              </w:rPr>
              <w:t>سنوات</w:t>
            </w:r>
          </w:p>
        </w:tc>
      </w:tr>
    </w:tbl>
    <w:p w14:paraId="7FE5343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خامساً: تحليل الحساسية</w:t>
      </w:r>
      <w:r w:rsidRPr="00B56143">
        <w:rPr>
          <w:rFonts w:ascii="Sakkal Majalla" w:hAnsi="Sakkal Majalla" w:cs="Sakkal Majalla"/>
          <w:b/>
          <w:bCs/>
          <w:sz w:val="28"/>
          <w:lang w:bidi="ar-EG"/>
        </w:rPr>
        <w:t xml:space="preserve"> (Sensitivity Analysis)</w:t>
      </w:r>
    </w:p>
    <w:p w14:paraId="171212B5"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نظرًا لتأثر المشروعات الرقمية بعدة متغيرات مثل سرعة التنفيذ، ومستوى التبني المؤسسي، والتغيرات التقنية، فقد أجرى الباحث تحليلًا لثلاثة سيناريوهات محتملة</w:t>
      </w:r>
      <w:r w:rsidRPr="00B56143">
        <w:rPr>
          <w:rFonts w:ascii="Sakkal Majalla" w:hAnsi="Sakkal Majalla" w:cs="Sakkal Majalla"/>
          <w:sz w:val="28"/>
          <w:lang w:bidi="ar-EG"/>
        </w:rPr>
        <w:t>:</w:t>
      </w:r>
    </w:p>
    <w:p w14:paraId="2B6457B0"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(7-28)</w:t>
      </w:r>
    </w:p>
    <w:p w14:paraId="4384BBA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السيناريوهات المستقبلية</w:t>
      </w:r>
    </w:p>
    <w:tbl>
      <w:tblPr>
        <w:tblStyle w:val="PlainTable3"/>
        <w:tblW w:w="0" w:type="auto"/>
        <w:jc w:val="center"/>
        <w:tblLook w:val="04A0" w:firstRow="1" w:lastRow="0" w:firstColumn="1" w:lastColumn="0" w:noHBand="0" w:noVBand="1"/>
      </w:tblPr>
      <w:tblGrid>
        <w:gridCol w:w="1170"/>
        <w:gridCol w:w="1440"/>
        <w:gridCol w:w="1943"/>
        <w:gridCol w:w="2450"/>
      </w:tblGrid>
      <w:tr w:rsidR="00B56143" w:rsidRPr="00B56143" w14:paraId="54078794"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620B34A"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السيناريو</w:t>
            </w:r>
          </w:p>
        </w:tc>
        <w:tc>
          <w:tcPr>
            <w:tcW w:w="0" w:type="auto"/>
            <w:hideMark/>
          </w:tcPr>
          <w:p w14:paraId="3F8AF6C0"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معدل الإنجاز</w:t>
            </w:r>
          </w:p>
        </w:tc>
        <w:tc>
          <w:tcPr>
            <w:tcW w:w="0" w:type="auto"/>
            <w:hideMark/>
          </w:tcPr>
          <w:p w14:paraId="5128E78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العائد المتوقع</w:t>
            </w:r>
          </w:p>
        </w:tc>
        <w:tc>
          <w:tcPr>
            <w:tcW w:w="0" w:type="auto"/>
            <w:hideMark/>
          </w:tcPr>
          <w:p w14:paraId="2948418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التقييم</w:t>
            </w:r>
          </w:p>
        </w:tc>
      </w:tr>
      <w:tr w:rsidR="00B56143" w:rsidRPr="00B56143" w14:paraId="6F0DFC66"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E90BF0"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متفائل</w:t>
            </w:r>
          </w:p>
        </w:tc>
        <w:tc>
          <w:tcPr>
            <w:tcW w:w="0" w:type="auto"/>
            <w:hideMark/>
          </w:tcPr>
          <w:p w14:paraId="6A7BC17D"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28BAC74E"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10.7 </w:t>
            </w:r>
            <w:r w:rsidRPr="00B56143">
              <w:rPr>
                <w:rFonts w:ascii="Sakkal Majalla" w:hAnsi="Sakkal Majalla" w:cs="Sakkal Majalla"/>
                <w:sz w:val="24"/>
                <w:szCs w:val="24"/>
                <w:rtl/>
              </w:rPr>
              <w:t>مليار ريال سنويًا</w:t>
            </w:r>
          </w:p>
        </w:tc>
        <w:tc>
          <w:tcPr>
            <w:tcW w:w="0" w:type="auto"/>
            <w:hideMark/>
          </w:tcPr>
          <w:p w14:paraId="207CCE9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ريادة عالمية</w:t>
            </w:r>
          </w:p>
        </w:tc>
      </w:tr>
      <w:tr w:rsidR="00B56143" w:rsidRPr="00B56143" w14:paraId="15C3AC41"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8BFD5"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واقعي</w:t>
            </w:r>
          </w:p>
        </w:tc>
        <w:tc>
          <w:tcPr>
            <w:tcW w:w="0" w:type="auto"/>
            <w:hideMark/>
          </w:tcPr>
          <w:p w14:paraId="2D03FBB6"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85%</w:t>
            </w:r>
          </w:p>
        </w:tc>
        <w:tc>
          <w:tcPr>
            <w:tcW w:w="0" w:type="auto"/>
            <w:hideMark/>
          </w:tcPr>
          <w:p w14:paraId="0CDC4AD7"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8.4 </w:t>
            </w:r>
            <w:r w:rsidRPr="00B56143">
              <w:rPr>
                <w:rFonts w:ascii="Sakkal Majalla" w:hAnsi="Sakkal Majalla" w:cs="Sakkal Majalla"/>
                <w:sz w:val="24"/>
                <w:szCs w:val="24"/>
                <w:rtl/>
              </w:rPr>
              <w:t>مليار ريال سنويًا</w:t>
            </w:r>
          </w:p>
        </w:tc>
        <w:tc>
          <w:tcPr>
            <w:tcW w:w="0" w:type="auto"/>
            <w:hideMark/>
          </w:tcPr>
          <w:p w14:paraId="7A2FC5C9"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تحقيق مستهدفات الخطة</w:t>
            </w:r>
          </w:p>
        </w:tc>
      </w:tr>
      <w:tr w:rsidR="00B56143" w:rsidRPr="00B56143" w14:paraId="08C3CA79"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3F36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متحفظ</w:t>
            </w:r>
          </w:p>
        </w:tc>
        <w:tc>
          <w:tcPr>
            <w:tcW w:w="0" w:type="auto"/>
            <w:hideMark/>
          </w:tcPr>
          <w:p w14:paraId="288CD22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3D676DC0"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6.1 </w:t>
            </w:r>
            <w:r w:rsidRPr="00B56143">
              <w:rPr>
                <w:rFonts w:ascii="Sakkal Majalla" w:hAnsi="Sakkal Majalla" w:cs="Sakkal Majalla"/>
                <w:sz w:val="24"/>
                <w:szCs w:val="24"/>
                <w:rtl/>
              </w:rPr>
              <w:t>مليار ريال سنويًا</w:t>
            </w:r>
          </w:p>
        </w:tc>
        <w:tc>
          <w:tcPr>
            <w:tcW w:w="0" w:type="auto"/>
            <w:hideMark/>
          </w:tcPr>
          <w:p w14:paraId="43EA261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يحتاج إلى إجراءات تصحيحية</w:t>
            </w:r>
          </w:p>
        </w:tc>
      </w:tr>
    </w:tbl>
    <w:p w14:paraId="2FC9EC7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سادساً: القيمة المضافة للاقتصاد الوطني</w:t>
      </w:r>
    </w:p>
    <w:p w14:paraId="708176D5"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لا تقتصر آثار الخطة على هيئة الزكاة والضريبة والجمارك، بل تمتد لتشمل الاقتصاد الوطني بأكمله، وذلك من خلال</w:t>
      </w:r>
      <w:r w:rsidRPr="00B56143">
        <w:rPr>
          <w:rFonts w:ascii="Sakkal Majalla" w:hAnsi="Sakkal Majalla" w:cs="Sakkal Majalla"/>
          <w:sz w:val="28"/>
          <w:lang w:bidi="ar-EG"/>
        </w:rPr>
        <w:t>:</w:t>
      </w:r>
    </w:p>
    <w:p w14:paraId="31B8AEE8"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رفع كفاءة سلاسل الإمداد</w:t>
      </w:r>
      <w:r w:rsidRPr="00B56143">
        <w:rPr>
          <w:rFonts w:ascii="Sakkal Majalla" w:hAnsi="Sakkal Majalla" w:cs="Sakkal Majalla"/>
          <w:sz w:val="28"/>
          <w:lang w:bidi="ar-EG"/>
        </w:rPr>
        <w:t>.</w:t>
      </w:r>
    </w:p>
    <w:p w14:paraId="151AD8EB"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تعزيز مكانة المملكة كمركز لوجستي عالمي</w:t>
      </w:r>
      <w:r w:rsidRPr="00B56143">
        <w:rPr>
          <w:rFonts w:ascii="Sakkal Majalla" w:hAnsi="Sakkal Majalla" w:cs="Sakkal Majalla"/>
          <w:sz w:val="28"/>
          <w:lang w:bidi="ar-EG"/>
        </w:rPr>
        <w:t>.</w:t>
      </w:r>
    </w:p>
    <w:p w14:paraId="420072A8"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زيادة جاذبية الاستثمار الأجنبي</w:t>
      </w:r>
      <w:r w:rsidRPr="00B56143">
        <w:rPr>
          <w:rFonts w:ascii="Sakkal Majalla" w:hAnsi="Sakkal Majalla" w:cs="Sakkal Majalla"/>
          <w:sz w:val="28"/>
          <w:lang w:bidi="ar-EG"/>
        </w:rPr>
        <w:t>.</w:t>
      </w:r>
    </w:p>
    <w:p w14:paraId="263B7538"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تحسين ترتيب المملكة في المؤشرات الدولية</w:t>
      </w:r>
      <w:r w:rsidRPr="00B56143">
        <w:rPr>
          <w:rFonts w:ascii="Sakkal Majalla" w:hAnsi="Sakkal Majalla" w:cs="Sakkal Majalla"/>
          <w:sz w:val="28"/>
          <w:lang w:bidi="ar-EG"/>
        </w:rPr>
        <w:t>.</w:t>
      </w:r>
    </w:p>
    <w:p w14:paraId="520CA52F"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lastRenderedPageBreak/>
        <w:t>دعم التجارة الإلكترونية العابرة للحدود</w:t>
      </w:r>
      <w:r w:rsidRPr="00B56143">
        <w:rPr>
          <w:rFonts w:ascii="Sakkal Majalla" w:hAnsi="Sakkal Majalla" w:cs="Sakkal Majalla"/>
          <w:sz w:val="28"/>
          <w:lang w:bidi="ar-EG"/>
        </w:rPr>
        <w:t>.</w:t>
      </w:r>
    </w:p>
    <w:p w14:paraId="4A29CC9F"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خفض تكاليف الامتثال على الشركات</w:t>
      </w:r>
      <w:r w:rsidRPr="00B56143">
        <w:rPr>
          <w:rFonts w:ascii="Sakkal Majalla" w:hAnsi="Sakkal Majalla" w:cs="Sakkal Majalla"/>
          <w:sz w:val="28"/>
          <w:lang w:bidi="ar-EG"/>
        </w:rPr>
        <w:t>.</w:t>
      </w:r>
    </w:p>
    <w:p w14:paraId="409BD3B7"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زيادة كفاءة تحصيل الإيرادات الحكومية</w:t>
      </w:r>
      <w:r w:rsidRPr="00B56143">
        <w:rPr>
          <w:rFonts w:ascii="Sakkal Majalla" w:hAnsi="Sakkal Majalla" w:cs="Sakkal Majalla"/>
          <w:sz w:val="28"/>
          <w:lang w:bidi="ar-EG"/>
        </w:rPr>
        <w:t>.</w:t>
      </w:r>
    </w:p>
    <w:p w14:paraId="3515F929"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تعزيز الأمن الوطني وحماية الاقتصاد من الجرائم المالية والجمركية</w:t>
      </w:r>
      <w:r w:rsidRPr="00B56143">
        <w:rPr>
          <w:rFonts w:ascii="Sakkal Majalla" w:hAnsi="Sakkal Majalla" w:cs="Sakkal Majalla"/>
          <w:sz w:val="28"/>
          <w:lang w:bidi="ar-EG"/>
        </w:rPr>
        <w:t>.</w:t>
      </w:r>
    </w:p>
    <w:p w14:paraId="6DE4C6FB"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(7-29)</w:t>
      </w:r>
    </w:p>
    <w:p w14:paraId="7CB26E3C"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الأثر الاقتصادي الكلي للخطة</w:t>
      </w:r>
    </w:p>
    <w:tbl>
      <w:tblPr>
        <w:tblStyle w:val="PlainTable3"/>
        <w:tblW w:w="0" w:type="auto"/>
        <w:jc w:val="center"/>
        <w:tblLook w:val="04A0" w:firstRow="1" w:lastRow="0" w:firstColumn="1" w:lastColumn="0" w:noHBand="0" w:noVBand="1"/>
      </w:tblPr>
      <w:tblGrid>
        <w:gridCol w:w="2578"/>
        <w:gridCol w:w="1562"/>
        <w:gridCol w:w="2007"/>
        <w:gridCol w:w="1937"/>
      </w:tblGrid>
      <w:tr w:rsidR="00B56143" w:rsidRPr="00B56143" w14:paraId="5A7DC7BB"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43BF91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المؤشر</w:t>
            </w:r>
          </w:p>
        </w:tc>
        <w:tc>
          <w:tcPr>
            <w:tcW w:w="0" w:type="auto"/>
            <w:hideMark/>
          </w:tcPr>
          <w:p w14:paraId="6BCFECF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الوضع الحالي</w:t>
            </w:r>
          </w:p>
        </w:tc>
        <w:tc>
          <w:tcPr>
            <w:tcW w:w="0" w:type="auto"/>
            <w:hideMark/>
          </w:tcPr>
          <w:p w14:paraId="22C22150"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المستهدف 2030</w:t>
            </w:r>
          </w:p>
        </w:tc>
        <w:tc>
          <w:tcPr>
            <w:tcW w:w="0" w:type="auto"/>
            <w:hideMark/>
          </w:tcPr>
          <w:p w14:paraId="0C84B76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الأثر المتوقع</w:t>
            </w:r>
          </w:p>
        </w:tc>
      </w:tr>
      <w:tr w:rsidR="00B56143" w:rsidRPr="00B56143" w14:paraId="49300EFB"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6449CB"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الإيرادات الجمركية والضريبية</w:t>
            </w:r>
          </w:p>
        </w:tc>
        <w:tc>
          <w:tcPr>
            <w:tcW w:w="0" w:type="auto"/>
            <w:hideMark/>
          </w:tcPr>
          <w:p w14:paraId="706FCA0F"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350 </w:t>
            </w:r>
            <w:r w:rsidRPr="00B56143">
              <w:rPr>
                <w:rFonts w:ascii="Sakkal Majalla" w:hAnsi="Sakkal Majalla" w:cs="Sakkal Majalla"/>
                <w:sz w:val="24"/>
                <w:szCs w:val="24"/>
                <w:rtl/>
              </w:rPr>
              <w:t>مليار ريال</w:t>
            </w:r>
          </w:p>
        </w:tc>
        <w:tc>
          <w:tcPr>
            <w:tcW w:w="0" w:type="auto"/>
            <w:hideMark/>
          </w:tcPr>
          <w:p w14:paraId="0BA78F1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650 </w:t>
            </w:r>
            <w:r w:rsidRPr="00B56143">
              <w:rPr>
                <w:rFonts w:ascii="Sakkal Majalla" w:hAnsi="Sakkal Majalla" w:cs="Sakkal Majalla"/>
                <w:sz w:val="24"/>
                <w:szCs w:val="24"/>
                <w:rtl/>
              </w:rPr>
              <w:t>مليار ريال</w:t>
            </w:r>
          </w:p>
        </w:tc>
        <w:tc>
          <w:tcPr>
            <w:tcW w:w="0" w:type="auto"/>
            <w:hideMark/>
          </w:tcPr>
          <w:p w14:paraId="3628757D"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+86%</w:t>
            </w:r>
          </w:p>
        </w:tc>
      </w:tr>
      <w:tr w:rsidR="00B56143" w:rsidRPr="00B56143" w14:paraId="5FF8347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B937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زمن الإفراج</w:t>
            </w:r>
          </w:p>
        </w:tc>
        <w:tc>
          <w:tcPr>
            <w:tcW w:w="0" w:type="auto"/>
            <w:hideMark/>
          </w:tcPr>
          <w:p w14:paraId="5E1525B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60–120 </w:t>
            </w:r>
            <w:r w:rsidRPr="00B56143">
              <w:rPr>
                <w:rFonts w:ascii="Sakkal Majalla" w:hAnsi="Sakkal Majalla" w:cs="Sakkal Majalla"/>
                <w:sz w:val="24"/>
                <w:szCs w:val="24"/>
                <w:rtl/>
              </w:rPr>
              <w:t>دقيقة</w:t>
            </w:r>
          </w:p>
        </w:tc>
        <w:tc>
          <w:tcPr>
            <w:tcW w:w="0" w:type="auto"/>
            <w:hideMark/>
          </w:tcPr>
          <w:p w14:paraId="6C55472E"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أقل من 10 دقائق</w:t>
            </w:r>
          </w:p>
        </w:tc>
        <w:tc>
          <w:tcPr>
            <w:tcW w:w="0" w:type="auto"/>
            <w:hideMark/>
          </w:tcPr>
          <w:p w14:paraId="1E989E2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تحسن جذري</w:t>
            </w:r>
          </w:p>
        </w:tc>
      </w:tr>
      <w:tr w:rsidR="00B56143" w:rsidRPr="00B56143" w14:paraId="32D2F74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022541"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نسبة الرقمنة</w:t>
            </w:r>
          </w:p>
        </w:tc>
        <w:tc>
          <w:tcPr>
            <w:tcW w:w="0" w:type="auto"/>
            <w:hideMark/>
          </w:tcPr>
          <w:p w14:paraId="7D5C0EE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87%</w:t>
            </w:r>
          </w:p>
        </w:tc>
        <w:tc>
          <w:tcPr>
            <w:tcW w:w="0" w:type="auto"/>
            <w:hideMark/>
          </w:tcPr>
          <w:p w14:paraId="4FB450B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5388668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رقمنة كاملة</w:t>
            </w:r>
          </w:p>
        </w:tc>
      </w:tr>
      <w:tr w:rsidR="00B56143" w:rsidRPr="00B56143" w14:paraId="179727FE"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663B22"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رضا القطاع الخاص</w:t>
            </w:r>
          </w:p>
        </w:tc>
        <w:tc>
          <w:tcPr>
            <w:tcW w:w="0" w:type="auto"/>
            <w:hideMark/>
          </w:tcPr>
          <w:p w14:paraId="06F7725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82%</w:t>
            </w:r>
          </w:p>
        </w:tc>
        <w:tc>
          <w:tcPr>
            <w:tcW w:w="0" w:type="auto"/>
            <w:hideMark/>
          </w:tcPr>
          <w:p w14:paraId="5DEAA8D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97%</w:t>
            </w:r>
          </w:p>
        </w:tc>
        <w:tc>
          <w:tcPr>
            <w:tcW w:w="0" w:type="auto"/>
            <w:hideMark/>
          </w:tcPr>
          <w:p w14:paraId="0E5CC250"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زيادة الثقة</w:t>
            </w:r>
          </w:p>
        </w:tc>
      </w:tr>
      <w:tr w:rsidR="00B56143" w:rsidRPr="00B56143" w14:paraId="0DC2CC06"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E60634"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ترتيب المملكة في</w:t>
            </w:r>
            <w:r w:rsidRPr="00B56143">
              <w:rPr>
                <w:rFonts w:ascii="Sakkal Majalla" w:hAnsi="Sakkal Majalla" w:cs="Sakkal Majalla"/>
                <w:sz w:val="24"/>
                <w:szCs w:val="24"/>
                <w:lang w:bidi="ar-EG"/>
              </w:rPr>
              <w:t xml:space="preserve"> LPI</w:t>
            </w:r>
          </w:p>
        </w:tc>
        <w:tc>
          <w:tcPr>
            <w:tcW w:w="0" w:type="auto"/>
            <w:hideMark/>
          </w:tcPr>
          <w:p w14:paraId="3F88C4F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3.6/5</w:t>
            </w:r>
          </w:p>
        </w:tc>
        <w:tc>
          <w:tcPr>
            <w:tcW w:w="0" w:type="auto"/>
            <w:hideMark/>
          </w:tcPr>
          <w:p w14:paraId="7CF83966"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4.7/5</w:t>
            </w:r>
          </w:p>
        </w:tc>
        <w:tc>
          <w:tcPr>
            <w:tcW w:w="0" w:type="auto"/>
            <w:hideMark/>
          </w:tcPr>
          <w:p w14:paraId="59BEF4D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ضمن أفضل الدول</w:t>
            </w:r>
          </w:p>
        </w:tc>
      </w:tr>
      <w:tr w:rsidR="00B56143" w:rsidRPr="00B56143" w14:paraId="02892C24"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19AA5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الوفورات التشغيلية</w:t>
            </w:r>
          </w:p>
        </w:tc>
        <w:tc>
          <w:tcPr>
            <w:tcW w:w="0" w:type="auto"/>
            <w:hideMark/>
          </w:tcPr>
          <w:p w14:paraId="44A8B33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2.1 </w:t>
            </w:r>
            <w:r w:rsidRPr="00B56143">
              <w:rPr>
                <w:rFonts w:ascii="Sakkal Majalla" w:hAnsi="Sakkal Majalla" w:cs="Sakkal Majalla"/>
                <w:sz w:val="24"/>
                <w:szCs w:val="24"/>
                <w:rtl/>
              </w:rPr>
              <w:t>مليار ريال</w:t>
            </w:r>
          </w:p>
        </w:tc>
        <w:tc>
          <w:tcPr>
            <w:tcW w:w="0" w:type="auto"/>
            <w:hideMark/>
          </w:tcPr>
          <w:p w14:paraId="16F0C04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أكثر من 7 مليارات ريال</w:t>
            </w:r>
          </w:p>
        </w:tc>
        <w:tc>
          <w:tcPr>
            <w:tcW w:w="0" w:type="auto"/>
            <w:hideMark/>
          </w:tcPr>
          <w:p w14:paraId="2D0DB944"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أكثر من ثلاثة أضعاف</w:t>
            </w:r>
          </w:p>
        </w:tc>
      </w:tr>
    </w:tbl>
    <w:p w14:paraId="35F8EE5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رأي الباحث</w:t>
      </w:r>
    </w:p>
    <w:p w14:paraId="29DC03CE"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يرى الباحث أن التحليل المالي يؤكد أن التحول الرقمي داخل هيئة الزكاة والضريبة والجمارك ليس مشروعًا تقنيًا فحسب، بل يمثل استثمارًا وطنيًا عالي العائد، تتجاوز منافعه حدود الهيئة لتشمل الاقتصاد السعودي ككل. كما أن توجيه الاستثمارات نحو الذكاء الاصطناعي، والأمن السيبراني، وحوكمة البيانات، وبناء القدرات البشرية، سيحقق آثارًا تراكمية مستدامة تتمثل في رفع كفاءة الإدارة العامة، وتعزيز القدرة التنافسية للمملكة، وتحقيق قيمة مضافة ملموسة للقطاعين العام والخاص</w:t>
      </w:r>
      <w:r w:rsidRPr="00B56143">
        <w:rPr>
          <w:rFonts w:ascii="Sakkal Majalla" w:hAnsi="Sakkal Majalla" w:cs="Sakkal Majalla"/>
          <w:sz w:val="28"/>
          <w:lang w:bidi="ar-EG"/>
        </w:rPr>
        <w:t>.</w:t>
      </w:r>
    </w:p>
    <w:p w14:paraId="788D1635"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lang w:bidi="ar-EG"/>
        </w:rPr>
        <w:t xml:space="preserve">7-1-6 </w:t>
      </w:r>
      <w:r w:rsidRPr="005D0866">
        <w:rPr>
          <w:rFonts w:ascii="Sakkal Majalla" w:hAnsi="Sakkal Majalla" w:cs="Sakkal Majalla"/>
          <w:b/>
          <w:bCs/>
          <w:sz w:val="28"/>
          <w:rtl/>
        </w:rPr>
        <w:t>السيناريوهات المستقبلية واستشراف مستقبل هيئة الزكاة والضريبة والجمارك حتى عام 2035</w:t>
      </w:r>
    </w:p>
    <w:p w14:paraId="5799E6E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أولاً: مدخل استراتيجي</w:t>
      </w:r>
    </w:p>
    <w:p w14:paraId="463C7BFE"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لم تعد الخطط الاستراتيجية الحديثة تقتصر على تحديد الأهداف قصيرة أو متوسطة المدى، وإنما أصبحت تعتمد بصورة متزايدة على منهجيات الاستشراف الاستراتيجي</w:t>
      </w:r>
      <w:r w:rsidRPr="005D0866">
        <w:rPr>
          <w:rFonts w:ascii="Sakkal Majalla" w:hAnsi="Sakkal Majalla" w:cs="Sakkal Majalla"/>
          <w:sz w:val="28"/>
          <w:lang w:bidi="ar-EG"/>
        </w:rPr>
        <w:t xml:space="preserve"> (Strategic Foresight)</w:t>
      </w:r>
      <w:r w:rsidRPr="005D0866">
        <w:rPr>
          <w:rFonts w:ascii="Sakkal Majalla" w:hAnsi="Sakkal Majalla" w:cs="Sakkal Majalla"/>
          <w:sz w:val="28"/>
          <w:rtl/>
        </w:rPr>
        <w:t xml:space="preserve">، التي تهدف إلى دراسة البدائل المستقبلية </w:t>
      </w:r>
      <w:r w:rsidRPr="005D0866">
        <w:rPr>
          <w:rFonts w:ascii="Sakkal Majalla" w:hAnsi="Sakkal Majalla" w:cs="Sakkal Majalla"/>
          <w:sz w:val="28"/>
          <w:rtl/>
        </w:rPr>
        <w:lastRenderedPageBreak/>
        <w:t>المحتملة، وتحليل تأثير المتغيرات العالمية على المؤسسات الحكومية، ووضع سيناريوهات متعددة تساعد متخذي القرار على الاستعداد للمستقبل بدلاً من مجرد الاستجابة له</w:t>
      </w:r>
      <w:r w:rsidRPr="005D0866">
        <w:rPr>
          <w:rFonts w:ascii="Sakkal Majalla" w:hAnsi="Sakkal Majalla" w:cs="Sakkal Majalla"/>
          <w:sz w:val="28"/>
          <w:lang w:bidi="ar-EG"/>
        </w:rPr>
        <w:t>.</w:t>
      </w:r>
    </w:p>
    <w:p w14:paraId="196DA913"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ويرى الباحث أن التحولات العالمية المتسارعة في مجالات الذكاء الاصطناعي، والحوسبة الكمية، والاقتصاد الرقمي، وسلاسل الإمداد، والتجارة الإلكترونية، والأمن السيبراني، ستفرض تحديات وفرصاً جديدة على الإدارات الجمركية خلال العقد القادم. ومن ثم، فإن نجاح هيئة الزكاة والضريبة والجمارك في المحافظة على ريادتها يتطلب امتلاك رؤية مستقبلية مرنة، قادرة على استيعاب هذه المتغيرات، وتكييف السياسات والإجراءات بما يضمن استدامة التميز المؤسسي حتى ما بعد عام 2030</w:t>
      </w:r>
      <w:r w:rsidRPr="005D0866">
        <w:rPr>
          <w:rFonts w:ascii="Sakkal Majalla" w:hAnsi="Sakkal Majalla" w:cs="Sakkal Majalla"/>
          <w:sz w:val="28"/>
          <w:lang w:bidi="ar-EG"/>
        </w:rPr>
        <w:t>.</w:t>
      </w:r>
    </w:p>
    <w:p w14:paraId="4525485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(7-30)</w:t>
      </w:r>
    </w:p>
    <w:p w14:paraId="42559C5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السيناريوهات الاستراتيجية المستقبلية حتى عام 2035</w:t>
      </w:r>
    </w:p>
    <w:tbl>
      <w:tblPr>
        <w:tblStyle w:val="PlainTable3"/>
        <w:tblW w:w="0" w:type="auto"/>
        <w:jc w:val="center"/>
        <w:tblLook w:val="04A0" w:firstRow="1" w:lastRow="0" w:firstColumn="1" w:lastColumn="0" w:noHBand="0" w:noVBand="1"/>
      </w:tblPr>
      <w:tblGrid>
        <w:gridCol w:w="1560"/>
        <w:gridCol w:w="3633"/>
        <w:gridCol w:w="2601"/>
        <w:gridCol w:w="1566"/>
      </w:tblGrid>
      <w:tr w:rsidR="005D0866" w:rsidRPr="005D0866" w14:paraId="6888BA99"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95C2BF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w:t>
            </w:r>
          </w:p>
        </w:tc>
        <w:tc>
          <w:tcPr>
            <w:tcW w:w="0" w:type="auto"/>
            <w:hideMark/>
          </w:tcPr>
          <w:p w14:paraId="100FABED"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الافتراضات الرئيسة</w:t>
            </w:r>
          </w:p>
        </w:tc>
        <w:tc>
          <w:tcPr>
            <w:tcW w:w="0" w:type="auto"/>
            <w:hideMark/>
          </w:tcPr>
          <w:p w14:paraId="44436CFA"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النتائج المتوقعة</w:t>
            </w:r>
          </w:p>
        </w:tc>
        <w:tc>
          <w:tcPr>
            <w:tcW w:w="0" w:type="auto"/>
            <w:hideMark/>
          </w:tcPr>
          <w:p w14:paraId="69B89067"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الاحتمالية</w:t>
            </w:r>
          </w:p>
        </w:tc>
      </w:tr>
      <w:tr w:rsidR="005D0866" w:rsidRPr="005D0866" w14:paraId="3AFC9C79"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6B7119"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المتفائل</w:t>
            </w:r>
          </w:p>
        </w:tc>
        <w:tc>
          <w:tcPr>
            <w:tcW w:w="0" w:type="auto"/>
            <w:hideMark/>
          </w:tcPr>
          <w:p w14:paraId="14DEAD0B"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تنفيذ كامل للخطة، استقرار اقتصادي، تبني واسع للذكاء الاصطناعي</w:t>
            </w:r>
          </w:p>
        </w:tc>
        <w:tc>
          <w:tcPr>
            <w:tcW w:w="0" w:type="auto"/>
            <w:hideMark/>
          </w:tcPr>
          <w:p w14:paraId="3DA1341F"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 xml:space="preserve">ZATCA </w:t>
            </w:r>
            <w:r w:rsidRPr="005D0866">
              <w:rPr>
                <w:rFonts w:ascii="Sakkal Majalla" w:hAnsi="Sakkal Majalla" w:cs="Sakkal Majalla"/>
                <w:sz w:val="24"/>
                <w:szCs w:val="24"/>
                <w:rtl/>
              </w:rPr>
              <w:t>ضمن أفضل 5 إدارات جمركية عالمياً</w:t>
            </w:r>
          </w:p>
        </w:tc>
        <w:tc>
          <w:tcPr>
            <w:tcW w:w="0" w:type="auto"/>
            <w:hideMark/>
          </w:tcPr>
          <w:p w14:paraId="6C595AC8"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3E365C02"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0BA481"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الواقعي</w:t>
            </w:r>
          </w:p>
        </w:tc>
        <w:tc>
          <w:tcPr>
            <w:tcW w:w="0" w:type="auto"/>
            <w:hideMark/>
          </w:tcPr>
          <w:p w14:paraId="41B29479"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تنفيذ 85% من المبادرات مع بعض التحديات التشغيلية</w:t>
            </w:r>
          </w:p>
        </w:tc>
        <w:tc>
          <w:tcPr>
            <w:tcW w:w="0" w:type="auto"/>
            <w:hideMark/>
          </w:tcPr>
          <w:p w14:paraId="7AF6B4D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ضمن أفضل 10 إدارات عالمياً</w:t>
            </w:r>
          </w:p>
        </w:tc>
        <w:tc>
          <w:tcPr>
            <w:tcW w:w="0" w:type="auto"/>
            <w:hideMark/>
          </w:tcPr>
          <w:p w14:paraId="658519A9"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r>
      <w:tr w:rsidR="005D0866" w:rsidRPr="005D0866" w14:paraId="586D555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49CFB"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المتحفظ</w:t>
            </w:r>
          </w:p>
        </w:tc>
        <w:tc>
          <w:tcPr>
            <w:tcW w:w="0" w:type="auto"/>
            <w:hideMark/>
          </w:tcPr>
          <w:p w14:paraId="02B72460"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تأخر بعض المبادرات ونقص الكفاءات</w:t>
            </w:r>
          </w:p>
        </w:tc>
        <w:tc>
          <w:tcPr>
            <w:tcW w:w="0" w:type="auto"/>
            <w:hideMark/>
          </w:tcPr>
          <w:p w14:paraId="46FB2C86"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المحافظة على الأداء الإقليمي</w:t>
            </w:r>
          </w:p>
        </w:tc>
        <w:tc>
          <w:tcPr>
            <w:tcW w:w="0" w:type="auto"/>
            <w:hideMark/>
          </w:tcPr>
          <w:p w14:paraId="2CE7EC9F"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074BA9B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70ED8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التحولي</w:t>
            </w:r>
          </w:p>
        </w:tc>
        <w:tc>
          <w:tcPr>
            <w:tcW w:w="0" w:type="auto"/>
            <w:hideMark/>
          </w:tcPr>
          <w:p w14:paraId="08557A50"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ظهور تقنيات ثورية تغير نموذج العمل الجمركي بالكامل</w:t>
            </w:r>
          </w:p>
        </w:tc>
        <w:tc>
          <w:tcPr>
            <w:tcW w:w="0" w:type="auto"/>
            <w:hideMark/>
          </w:tcPr>
          <w:p w14:paraId="524204EF"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إعادة تصميم منظومة الجمارك بالكامل</w:t>
            </w:r>
          </w:p>
        </w:tc>
        <w:tc>
          <w:tcPr>
            <w:tcW w:w="0" w:type="auto"/>
            <w:hideMark/>
          </w:tcPr>
          <w:p w14:paraId="49C435A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 إلى مرتفع</w:t>
            </w:r>
          </w:p>
        </w:tc>
      </w:tr>
    </w:tbl>
    <w:p w14:paraId="3198D32C"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ثانياً: السيناريو المتفائل</w:t>
      </w:r>
      <w:r w:rsidRPr="005D0866">
        <w:rPr>
          <w:rFonts w:ascii="Sakkal Majalla" w:hAnsi="Sakkal Majalla" w:cs="Sakkal Majalla"/>
          <w:b/>
          <w:bCs/>
          <w:sz w:val="28"/>
          <w:lang w:bidi="ar-EG"/>
        </w:rPr>
        <w:t xml:space="preserve"> (Optimistic Scenario)</w:t>
      </w:r>
    </w:p>
    <w:p w14:paraId="4EEA03D8"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نجاح الهيئة في تنفيذ جميع المبادرات الواردة في الخطة الاستراتيجية ضمن الإطار الزمني المحدد، مع استمرار الدعم الحكومي، وتوافر التمويل، وتطور البنية التشريعية، وزيادة التعاون الإقليمي والدولي</w:t>
      </w:r>
      <w:r w:rsidRPr="005D0866">
        <w:rPr>
          <w:rFonts w:ascii="Sakkal Majalla" w:hAnsi="Sakkal Majalla" w:cs="Sakkal Majalla"/>
          <w:sz w:val="28"/>
          <w:lang w:bidi="ar-EG"/>
        </w:rPr>
        <w:t>.</w:t>
      </w:r>
    </w:p>
    <w:p w14:paraId="02A24C8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lastRenderedPageBreak/>
        <w:t>وفي هذا السيناريو تصبح الهيئة نموذجاً عالمياً في الإدارة الجمركية الذكية، وتنجح في تحقيق زمن إفراج لا يتجاوز عشر دقائق، والوصول إلى مستويات شبه كاملة من الأتمتة، مع الاعتماد على الذكاء الاصطناعي في معظم القرارات التشغيلية، وارتفاع نسبة الامتثال الطوعي، وزيادة الإيرادات، وتحسن ترتيب المملكة في المؤشرات الدولية</w:t>
      </w:r>
      <w:r w:rsidRPr="005D0866">
        <w:rPr>
          <w:rFonts w:ascii="Sakkal Majalla" w:hAnsi="Sakkal Majalla" w:cs="Sakkal Majalla"/>
          <w:sz w:val="28"/>
          <w:lang w:bidi="ar-EG"/>
        </w:rPr>
        <w:t>.</w:t>
      </w:r>
    </w:p>
    <w:p w14:paraId="0295D6F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(7-31)</w:t>
      </w:r>
    </w:p>
    <w:p w14:paraId="4963FFA5"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نتائج السيناريو المتفائل</w:t>
      </w:r>
    </w:p>
    <w:tbl>
      <w:tblPr>
        <w:tblStyle w:val="PlainTable3"/>
        <w:tblW w:w="0" w:type="auto"/>
        <w:jc w:val="center"/>
        <w:tblLook w:val="04A0" w:firstRow="1" w:lastRow="0" w:firstColumn="1" w:lastColumn="0" w:noHBand="0" w:noVBand="1"/>
      </w:tblPr>
      <w:tblGrid>
        <w:gridCol w:w="2031"/>
        <w:gridCol w:w="2565"/>
      </w:tblGrid>
      <w:tr w:rsidR="005D0866" w:rsidRPr="005D0866" w14:paraId="241ED7CB"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C532ED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المجال</w:t>
            </w:r>
          </w:p>
        </w:tc>
        <w:tc>
          <w:tcPr>
            <w:tcW w:w="0" w:type="auto"/>
            <w:hideMark/>
          </w:tcPr>
          <w:p w14:paraId="3E38CD0A"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النتيجة المتوقعة بحلول 2035</w:t>
            </w:r>
          </w:p>
        </w:tc>
      </w:tr>
      <w:tr w:rsidR="005D0866" w:rsidRPr="005D0866" w14:paraId="2F1B1E5C"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49547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ترتيب الجمارك عالمياً</w:t>
            </w:r>
          </w:p>
        </w:tc>
        <w:tc>
          <w:tcPr>
            <w:tcW w:w="0" w:type="auto"/>
            <w:hideMark/>
          </w:tcPr>
          <w:p w14:paraId="6E39811D"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ضمن أفضل 5</w:t>
            </w:r>
          </w:p>
        </w:tc>
      </w:tr>
      <w:tr w:rsidR="005D0866" w:rsidRPr="005D0866" w14:paraId="13BC9AEC"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88DC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الإفراج الآلي</w:t>
            </w:r>
          </w:p>
        </w:tc>
        <w:tc>
          <w:tcPr>
            <w:tcW w:w="0" w:type="auto"/>
            <w:hideMark/>
          </w:tcPr>
          <w:p w14:paraId="4C131940"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98%</w:t>
            </w:r>
          </w:p>
        </w:tc>
      </w:tr>
      <w:tr w:rsidR="005D0866" w:rsidRPr="005D0866" w14:paraId="2F71EA6B"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900E13"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زمن التخليص</w:t>
            </w:r>
          </w:p>
        </w:tc>
        <w:tc>
          <w:tcPr>
            <w:tcW w:w="0" w:type="auto"/>
            <w:hideMark/>
          </w:tcPr>
          <w:p w14:paraId="4278CD89"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أقل من 5 دقائق</w:t>
            </w:r>
          </w:p>
        </w:tc>
      </w:tr>
      <w:tr w:rsidR="005D0866" w:rsidRPr="005D0866" w14:paraId="6CAA7B6E"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AE90E"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الإيرادات</w:t>
            </w:r>
          </w:p>
        </w:tc>
        <w:tc>
          <w:tcPr>
            <w:tcW w:w="0" w:type="auto"/>
            <w:hideMark/>
          </w:tcPr>
          <w:p w14:paraId="2F0BA44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أكثر من 800 مليار ريال</w:t>
            </w:r>
          </w:p>
        </w:tc>
      </w:tr>
      <w:tr w:rsidR="005D0866" w:rsidRPr="005D0866" w14:paraId="24BC41D0"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4E0EEA"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دقة الذكاء الاصطناعي</w:t>
            </w:r>
          </w:p>
        </w:tc>
        <w:tc>
          <w:tcPr>
            <w:tcW w:w="0" w:type="auto"/>
            <w:hideMark/>
          </w:tcPr>
          <w:p w14:paraId="449F0CD6"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98%</w:t>
            </w:r>
          </w:p>
        </w:tc>
      </w:tr>
      <w:tr w:rsidR="005D0866" w:rsidRPr="005D0866" w14:paraId="23A1E9E6"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359AC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رضا القطاع الخاص</w:t>
            </w:r>
          </w:p>
        </w:tc>
        <w:tc>
          <w:tcPr>
            <w:tcW w:w="0" w:type="auto"/>
            <w:hideMark/>
          </w:tcPr>
          <w:p w14:paraId="547EE848"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99%</w:t>
            </w:r>
          </w:p>
        </w:tc>
      </w:tr>
    </w:tbl>
    <w:p w14:paraId="59BF8626"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ثالثاً: السيناريو الواقعي</w:t>
      </w:r>
      <w:r w:rsidRPr="005D0866">
        <w:rPr>
          <w:rFonts w:ascii="Sakkal Majalla" w:hAnsi="Sakkal Majalla" w:cs="Sakkal Majalla"/>
          <w:b/>
          <w:bCs/>
          <w:sz w:val="28"/>
          <w:lang w:bidi="ar-EG"/>
        </w:rPr>
        <w:t xml:space="preserve"> (Baseline Scenario)</w:t>
      </w:r>
    </w:p>
    <w:p w14:paraId="238A49E8"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يُعد هذا السيناريو الأكثر ترجيحاً، حيث يفترض تنفيذ معظم المبادرات مع وجود بعض التأخير في المشروعات الكبرى نتيجة التحديات التقنية أو التنظيمية أو التشريعية. ورغم ذلك، تحقق الهيئة جميع المستهدفات الرئيسة لرؤية المملكة 2030، وتصبح من بين أفضل الإدارات الجمركية عالمياً، مع استمرار تطوير الأنظمة والتقنيات بصورة تدريجية</w:t>
      </w:r>
      <w:r w:rsidRPr="005D0866">
        <w:rPr>
          <w:rFonts w:ascii="Sakkal Majalla" w:hAnsi="Sakkal Majalla" w:cs="Sakkal Majalla"/>
          <w:sz w:val="28"/>
          <w:lang w:bidi="ar-EG"/>
        </w:rPr>
        <w:t>.</w:t>
      </w:r>
    </w:p>
    <w:p w14:paraId="7EB562B2"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(7-32)</w:t>
      </w:r>
    </w:p>
    <w:p w14:paraId="0F983FD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نتائج السيناريو الواقعي</w:t>
      </w:r>
    </w:p>
    <w:tbl>
      <w:tblPr>
        <w:tblStyle w:val="PlainTable3"/>
        <w:tblW w:w="0" w:type="auto"/>
        <w:jc w:val="center"/>
        <w:tblLook w:val="04A0" w:firstRow="1" w:lastRow="0" w:firstColumn="1" w:lastColumn="0" w:noHBand="0" w:noVBand="1"/>
      </w:tblPr>
      <w:tblGrid>
        <w:gridCol w:w="2031"/>
        <w:gridCol w:w="1670"/>
      </w:tblGrid>
      <w:tr w:rsidR="005D0866" w:rsidRPr="005D0866" w14:paraId="24BF04C5"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ED5508D"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المؤشر</w:t>
            </w:r>
          </w:p>
        </w:tc>
        <w:tc>
          <w:tcPr>
            <w:tcW w:w="0" w:type="auto"/>
            <w:hideMark/>
          </w:tcPr>
          <w:p w14:paraId="38801554"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المستهدف</w:t>
            </w:r>
          </w:p>
        </w:tc>
      </w:tr>
      <w:tr w:rsidR="005D0866" w:rsidRPr="005D0866" w14:paraId="3B640850"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26B77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زمن الإفراج</w:t>
            </w:r>
          </w:p>
        </w:tc>
        <w:tc>
          <w:tcPr>
            <w:tcW w:w="0" w:type="auto"/>
            <w:hideMark/>
          </w:tcPr>
          <w:p w14:paraId="1B58DEB2"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أقل من 10 دقائق</w:t>
            </w:r>
          </w:p>
        </w:tc>
      </w:tr>
      <w:tr w:rsidR="005D0866" w:rsidRPr="005D0866" w14:paraId="433E902F"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9FC10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نسبة الرقمنة</w:t>
            </w:r>
          </w:p>
        </w:tc>
        <w:tc>
          <w:tcPr>
            <w:tcW w:w="0" w:type="auto"/>
            <w:hideMark/>
          </w:tcPr>
          <w:p w14:paraId="16BBF1F9"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100%</w:t>
            </w:r>
          </w:p>
        </w:tc>
      </w:tr>
      <w:tr w:rsidR="005D0866" w:rsidRPr="005D0866" w14:paraId="0FA2A63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2E33C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الإيرادات</w:t>
            </w:r>
          </w:p>
        </w:tc>
        <w:tc>
          <w:tcPr>
            <w:tcW w:w="0" w:type="auto"/>
            <w:hideMark/>
          </w:tcPr>
          <w:p w14:paraId="5185A89E"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 xml:space="preserve">650 </w:t>
            </w:r>
            <w:r w:rsidRPr="005D0866">
              <w:rPr>
                <w:rFonts w:ascii="Sakkal Majalla" w:hAnsi="Sakkal Majalla" w:cs="Sakkal Majalla"/>
                <w:sz w:val="24"/>
                <w:szCs w:val="24"/>
                <w:rtl/>
              </w:rPr>
              <w:t>مليار ريال</w:t>
            </w:r>
          </w:p>
        </w:tc>
      </w:tr>
      <w:tr w:rsidR="005D0866" w:rsidRPr="005D0866" w14:paraId="040CDE0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D06120"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دقة الذكاء الاصطناعي</w:t>
            </w:r>
          </w:p>
        </w:tc>
        <w:tc>
          <w:tcPr>
            <w:tcW w:w="0" w:type="auto"/>
            <w:hideMark/>
          </w:tcPr>
          <w:p w14:paraId="6E2B093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96%</w:t>
            </w:r>
          </w:p>
        </w:tc>
      </w:tr>
      <w:tr w:rsidR="005D0866" w:rsidRPr="005D0866" w14:paraId="55EE6EA9"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AF10D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lastRenderedPageBreak/>
              <w:t>ترتيب</w:t>
            </w:r>
            <w:r w:rsidRPr="005D0866">
              <w:rPr>
                <w:rFonts w:ascii="Sakkal Majalla" w:hAnsi="Sakkal Majalla" w:cs="Sakkal Majalla"/>
                <w:sz w:val="24"/>
                <w:szCs w:val="24"/>
                <w:lang w:bidi="ar-EG"/>
              </w:rPr>
              <w:t xml:space="preserve"> LPI</w:t>
            </w:r>
          </w:p>
        </w:tc>
        <w:tc>
          <w:tcPr>
            <w:tcW w:w="0" w:type="auto"/>
            <w:hideMark/>
          </w:tcPr>
          <w:p w14:paraId="632678A0"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Top 10</w:t>
            </w:r>
          </w:p>
        </w:tc>
      </w:tr>
      <w:tr w:rsidR="005D0866" w:rsidRPr="005D0866" w14:paraId="4F7E96B9"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82FBF"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الامتثال</w:t>
            </w:r>
          </w:p>
        </w:tc>
        <w:tc>
          <w:tcPr>
            <w:tcW w:w="0" w:type="auto"/>
            <w:hideMark/>
          </w:tcPr>
          <w:p w14:paraId="35EC90DF"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96%</w:t>
            </w:r>
          </w:p>
        </w:tc>
      </w:tr>
    </w:tbl>
    <w:p w14:paraId="49A2B54E"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رابعاً: السيناريو المتحفظ</w:t>
      </w:r>
    </w:p>
    <w:p w14:paraId="021248EE"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حدوث تحديات تتعلق بتأخر تنفيذ بعض المبادرات، أو محدودية الكفاءات الرقمية، أو تغير الأولويات الاقتصادية، أو زيادة التهديدات السيبرانية، مما يؤدي إلى انخفاض سرعة التحول الرقمي مقارنة بالخطة الأصلية</w:t>
      </w:r>
      <w:r w:rsidRPr="005D0866">
        <w:rPr>
          <w:rFonts w:ascii="Sakkal Majalla" w:hAnsi="Sakkal Majalla" w:cs="Sakkal Majalla"/>
          <w:sz w:val="28"/>
          <w:lang w:bidi="ar-EG"/>
        </w:rPr>
        <w:t>.</w:t>
      </w:r>
    </w:p>
    <w:p w14:paraId="128492E7"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ورغم ذلك، فإن الهيئة ستظل محافظة على موقعها الريادي إقليمياً، مع استمرار التحسين التدريجي للأداء، دون الوصول إلى المستويات العالمية المستهدفة</w:t>
      </w:r>
      <w:r w:rsidRPr="005D0866">
        <w:rPr>
          <w:rFonts w:ascii="Sakkal Majalla" w:hAnsi="Sakkal Majalla" w:cs="Sakkal Majalla"/>
          <w:sz w:val="28"/>
          <w:lang w:bidi="ar-EG"/>
        </w:rPr>
        <w:t>.</w:t>
      </w:r>
    </w:p>
    <w:p w14:paraId="5A698C66"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(7-33)</w:t>
      </w:r>
    </w:p>
    <w:p w14:paraId="1E3C04A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المخاطر المؤثرة في السيناريو المتحفظ</w:t>
      </w:r>
    </w:p>
    <w:tbl>
      <w:tblPr>
        <w:tblStyle w:val="PlainTable3"/>
        <w:tblW w:w="0" w:type="auto"/>
        <w:jc w:val="center"/>
        <w:tblLook w:val="04A0" w:firstRow="1" w:lastRow="0" w:firstColumn="1" w:lastColumn="0" w:noHBand="0" w:noVBand="1"/>
      </w:tblPr>
      <w:tblGrid>
        <w:gridCol w:w="2066"/>
        <w:gridCol w:w="1327"/>
        <w:gridCol w:w="2094"/>
      </w:tblGrid>
      <w:tr w:rsidR="005D0866" w:rsidRPr="005D0866" w14:paraId="2CE56030"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F8BD5E8"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عامل الخطر</w:t>
            </w:r>
          </w:p>
        </w:tc>
        <w:tc>
          <w:tcPr>
            <w:tcW w:w="0" w:type="auto"/>
            <w:hideMark/>
          </w:tcPr>
          <w:p w14:paraId="329A118E"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درجة التأثير</w:t>
            </w:r>
          </w:p>
        </w:tc>
        <w:tc>
          <w:tcPr>
            <w:tcW w:w="0" w:type="auto"/>
            <w:hideMark/>
          </w:tcPr>
          <w:p w14:paraId="5BA03A31"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الإجراءات المقترحة</w:t>
            </w:r>
          </w:p>
        </w:tc>
      </w:tr>
      <w:tr w:rsidR="005D0866" w:rsidRPr="005D0866" w14:paraId="099DCAEC"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A7EA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نقص الكفاءات</w:t>
            </w:r>
          </w:p>
        </w:tc>
        <w:tc>
          <w:tcPr>
            <w:tcW w:w="0" w:type="auto"/>
            <w:hideMark/>
          </w:tcPr>
          <w:p w14:paraId="22EE54FC"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C3F0B3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برامج تدريب واستقطاب</w:t>
            </w:r>
          </w:p>
        </w:tc>
      </w:tr>
      <w:tr w:rsidR="005D0866" w:rsidRPr="005D0866" w14:paraId="4E5F355A"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7E6A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هجمات سيبرانية</w:t>
            </w:r>
          </w:p>
        </w:tc>
        <w:tc>
          <w:tcPr>
            <w:tcW w:w="0" w:type="auto"/>
            <w:hideMark/>
          </w:tcPr>
          <w:p w14:paraId="5DDA7E8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234604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تحديث مستمر للأنظمة</w:t>
            </w:r>
          </w:p>
        </w:tc>
      </w:tr>
      <w:tr w:rsidR="005D0866" w:rsidRPr="005D0866" w14:paraId="5320FD4B"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8E8D3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تأخر التشريعات</w:t>
            </w:r>
          </w:p>
        </w:tc>
        <w:tc>
          <w:tcPr>
            <w:tcW w:w="0" w:type="auto"/>
            <w:hideMark/>
          </w:tcPr>
          <w:p w14:paraId="38CB864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72EB9787"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مراجعة تشريعية دورية</w:t>
            </w:r>
          </w:p>
        </w:tc>
      </w:tr>
      <w:tr w:rsidR="005D0866" w:rsidRPr="005D0866" w14:paraId="050B4BAA"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20BC6"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مقاومة التغيير</w:t>
            </w:r>
          </w:p>
        </w:tc>
        <w:tc>
          <w:tcPr>
            <w:tcW w:w="0" w:type="auto"/>
            <w:hideMark/>
          </w:tcPr>
          <w:p w14:paraId="6AAA897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2B696318"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إدارة تغيير مؤسسي</w:t>
            </w:r>
          </w:p>
        </w:tc>
      </w:tr>
      <w:tr w:rsidR="005D0866" w:rsidRPr="005D0866" w14:paraId="62CE5936"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62783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تباطؤ الاقتصاد العالمي</w:t>
            </w:r>
          </w:p>
        </w:tc>
        <w:tc>
          <w:tcPr>
            <w:tcW w:w="0" w:type="auto"/>
            <w:hideMark/>
          </w:tcPr>
          <w:p w14:paraId="65AAF6C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6ACA027D"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تنويع مصادر الإيرادات</w:t>
            </w:r>
          </w:p>
        </w:tc>
      </w:tr>
    </w:tbl>
    <w:p w14:paraId="65A8099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خامساً: السيناريو التحولي</w:t>
      </w:r>
      <w:r w:rsidRPr="005D0866">
        <w:rPr>
          <w:rFonts w:ascii="Sakkal Majalla" w:hAnsi="Sakkal Majalla" w:cs="Sakkal Majalla"/>
          <w:b/>
          <w:bCs/>
          <w:sz w:val="28"/>
          <w:lang w:bidi="ar-EG"/>
        </w:rPr>
        <w:t xml:space="preserve"> (Disruptive Scenario)</w:t>
      </w:r>
    </w:p>
    <w:p w14:paraId="7A8472D1"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ظهور تقنيات ثورية خلال الفترة (2030–2035)، مثل الحوسبة الكمية، والذكاء الاصطناعي العام، والهوية الرقمية اللامركزية، والعقود الذكية ذاتية التنفيذ، بما يؤدي إلى إعادة تشكيل منظومة التجارة الدولية بالكامل</w:t>
      </w:r>
      <w:r w:rsidRPr="005D0866">
        <w:rPr>
          <w:rFonts w:ascii="Sakkal Majalla" w:hAnsi="Sakkal Majalla" w:cs="Sakkal Majalla"/>
          <w:sz w:val="28"/>
          <w:lang w:bidi="ar-EG"/>
        </w:rPr>
        <w:t>.</w:t>
      </w:r>
    </w:p>
    <w:p w14:paraId="4635A606"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وفي هذه الحالة، لن يكون تطوير الأنظمة الحالية كافياً، وإنما ستحتاج الهيئة إلى إعادة تصميم نموذج العمل الجمركي بصورة جذرية، مع تبني منصات رقمية مرنة وقابلة للتوسع، والاستثمار في البحث والتطوير، وتحديث التشريعات بصورة مستمرة</w:t>
      </w:r>
      <w:r w:rsidRPr="005D0866">
        <w:rPr>
          <w:rFonts w:ascii="Sakkal Majalla" w:hAnsi="Sakkal Majalla" w:cs="Sakkal Majalla"/>
          <w:sz w:val="28"/>
          <w:lang w:bidi="ar-EG"/>
        </w:rPr>
        <w:t>.</w:t>
      </w:r>
    </w:p>
    <w:p w14:paraId="10649A0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lastRenderedPageBreak/>
        <w:t>الجدول</w:t>
      </w:r>
      <w:r w:rsidRPr="005D0866">
        <w:rPr>
          <w:rFonts w:ascii="Sakkal Majalla" w:hAnsi="Sakkal Majalla" w:cs="Sakkal Majalla"/>
          <w:b/>
          <w:bCs/>
          <w:sz w:val="28"/>
          <w:lang w:bidi="ar-EG"/>
        </w:rPr>
        <w:t xml:space="preserve"> (7-34)</w:t>
      </w:r>
    </w:p>
    <w:p w14:paraId="7E76446D"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التقنيات الناشئة وتأثيرها المتوقع</w:t>
      </w:r>
    </w:p>
    <w:tbl>
      <w:tblPr>
        <w:tblStyle w:val="PlainTable3"/>
        <w:tblW w:w="0" w:type="auto"/>
        <w:jc w:val="center"/>
        <w:tblLook w:val="04A0" w:firstRow="1" w:lastRow="0" w:firstColumn="1" w:lastColumn="0" w:noHBand="0" w:noVBand="1"/>
      </w:tblPr>
      <w:tblGrid>
        <w:gridCol w:w="2391"/>
        <w:gridCol w:w="1487"/>
        <w:gridCol w:w="1989"/>
        <w:gridCol w:w="1565"/>
      </w:tblGrid>
      <w:tr w:rsidR="005D0866" w:rsidRPr="005D0866" w14:paraId="3FFE1ED2"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A2BFEC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التقنية</w:t>
            </w:r>
          </w:p>
        </w:tc>
        <w:tc>
          <w:tcPr>
            <w:tcW w:w="0" w:type="auto"/>
            <w:hideMark/>
          </w:tcPr>
          <w:p w14:paraId="24DA4228"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التأثير</w:t>
            </w:r>
          </w:p>
        </w:tc>
        <w:tc>
          <w:tcPr>
            <w:tcW w:w="0" w:type="auto"/>
            <w:hideMark/>
          </w:tcPr>
          <w:p w14:paraId="6428C9E7"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موعد الانتشار المتوقع</w:t>
            </w:r>
          </w:p>
        </w:tc>
        <w:tc>
          <w:tcPr>
            <w:tcW w:w="0" w:type="auto"/>
            <w:hideMark/>
          </w:tcPr>
          <w:p w14:paraId="0BD686CD"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استعداد الهيئة</w:t>
            </w:r>
          </w:p>
        </w:tc>
      </w:tr>
      <w:tr w:rsidR="005D0866" w:rsidRPr="005D0866" w14:paraId="6EC96BE3"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F1288C"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الذكاء الاصطناعي التوليدي</w:t>
            </w:r>
          </w:p>
        </w:tc>
        <w:tc>
          <w:tcPr>
            <w:tcW w:w="0" w:type="auto"/>
            <w:hideMark/>
          </w:tcPr>
          <w:p w14:paraId="48AD368F"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3812F287"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2027–2030</w:t>
            </w:r>
          </w:p>
        </w:tc>
        <w:tc>
          <w:tcPr>
            <w:tcW w:w="0" w:type="auto"/>
            <w:hideMark/>
          </w:tcPr>
          <w:p w14:paraId="49EEF212"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666D920C"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CCB0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الحوسبة الكمية</w:t>
            </w:r>
          </w:p>
        </w:tc>
        <w:tc>
          <w:tcPr>
            <w:tcW w:w="0" w:type="auto"/>
            <w:hideMark/>
          </w:tcPr>
          <w:p w14:paraId="7745337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34D536DA"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2030–2035</w:t>
            </w:r>
          </w:p>
        </w:tc>
        <w:tc>
          <w:tcPr>
            <w:tcW w:w="0" w:type="auto"/>
            <w:hideMark/>
          </w:tcPr>
          <w:p w14:paraId="72A60729"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6D4B3967"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8D4C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الهوية الرقمية اللامركزية</w:t>
            </w:r>
          </w:p>
        </w:tc>
        <w:tc>
          <w:tcPr>
            <w:tcW w:w="0" w:type="auto"/>
            <w:hideMark/>
          </w:tcPr>
          <w:p w14:paraId="6057271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A836690"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2028–2032</w:t>
            </w:r>
          </w:p>
        </w:tc>
        <w:tc>
          <w:tcPr>
            <w:tcW w:w="0" w:type="auto"/>
            <w:hideMark/>
          </w:tcPr>
          <w:p w14:paraId="6E02678B"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441CFF0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E612A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إنترنت الأشياء الصناعي</w:t>
            </w:r>
          </w:p>
        </w:tc>
        <w:tc>
          <w:tcPr>
            <w:tcW w:w="0" w:type="auto"/>
            <w:hideMark/>
          </w:tcPr>
          <w:p w14:paraId="0A65D88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0314AE8"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مستمر</w:t>
            </w:r>
          </w:p>
        </w:tc>
        <w:tc>
          <w:tcPr>
            <w:tcW w:w="0" w:type="auto"/>
            <w:hideMark/>
          </w:tcPr>
          <w:p w14:paraId="7E1343C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0EF0DD28"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711CB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التوأم الرقمي للمنافذ</w:t>
            </w:r>
          </w:p>
        </w:tc>
        <w:tc>
          <w:tcPr>
            <w:tcW w:w="0" w:type="auto"/>
            <w:hideMark/>
          </w:tcPr>
          <w:p w14:paraId="3966880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D7CF9DD"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2029–2033</w:t>
            </w:r>
          </w:p>
        </w:tc>
        <w:tc>
          <w:tcPr>
            <w:tcW w:w="0" w:type="auto"/>
            <w:hideMark/>
          </w:tcPr>
          <w:p w14:paraId="2E8A6928"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6655E82F"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60EEC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الروبوتات الذاتية</w:t>
            </w:r>
          </w:p>
        </w:tc>
        <w:tc>
          <w:tcPr>
            <w:tcW w:w="0" w:type="auto"/>
            <w:hideMark/>
          </w:tcPr>
          <w:p w14:paraId="26B5C27B"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25F2AF45"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2032–2035</w:t>
            </w:r>
          </w:p>
        </w:tc>
        <w:tc>
          <w:tcPr>
            <w:tcW w:w="0" w:type="auto"/>
            <w:hideMark/>
          </w:tcPr>
          <w:p w14:paraId="6A3AA19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منخفض</w:t>
            </w:r>
          </w:p>
        </w:tc>
      </w:tr>
    </w:tbl>
    <w:p w14:paraId="4410D24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سادساً: مصفوفة تأثير الاتجاهات العالمية</w:t>
      </w:r>
      <w:r w:rsidRPr="005D0866">
        <w:rPr>
          <w:rFonts w:ascii="Sakkal Majalla" w:hAnsi="Sakkal Majalla" w:cs="Sakkal Majalla"/>
          <w:b/>
          <w:bCs/>
          <w:sz w:val="28"/>
          <w:lang w:bidi="ar-EG"/>
        </w:rPr>
        <w:t xml:space="preserve"> (Megatrends Impact Matrix)</w:t>
      </w:r>
    </w:p>
    <w:p w14:paraId="545F481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(7-35)</w:t>
      </w:r>
    </w:p>
    <w:tbl>
      <w:tblPr>
        <w:tblStyle w:val="PlainTable3"/>
        <w:tblW w:w="0" w:type="auto"/>
        <w:jc w:val="center"/>
        <w:tblLook w:val="04A0" w:firstRow="1" w:lastRow="0" w:firstColumn="1" w:lastColumn="0" w:noHBand="0" w:noVBand="1"/>
      </w:tblPr>
      <w:tblGrid>
        <w:gridCol w:w="2061"/>
        <w:gridCol w:w="2349"/>
        <w:gridCol w:w="1665"/>
      </w:tblGrid>
      <w:tr w:rsidR="005D0866" w:rsidRPr="005D0866" w14:paraId="6FC099EC"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5DFFA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الاتجاه العالمي</w:t>
            </w:r>
          </w:p>
        </w:tc>
        <w:tc>
          <w:tcPr>
            <w:tcW w:w="0" w:type="auto"/>
            <w:hideMark/>
          </w:tcPr>
          <w:p w14:paraId="3F24E329"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التأثير على</w:t>
            </w:r>
            <w:r w:rsidRPr="005D0866">
              <w:rPr>
                <w:rFonts w:ascii="Sakkal Majalla" w:hAnsi="Sakkal Majalla" w:cs="Sakkal Majalla"/>
                <w:sz w:val="24"/>
                <w:szCs w:val="24"/>
                <w:lang w:bidi="ar-EG"/>
              </w:rPr>
              <w:t xml:space="preserve"> ZATCA</w:t>
            </w:r>
          </w:p>
        </w:tc>
        <w:tc>
          <w:tcPr>
            <w:tcW w:w="0" w:type="auto"/>
            <w:hideMark/>
          </w:tcPr>
          <w:p w14:paraId="052B78A9"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أولوية الاستجابة</w:t>
            </w:r>
          </w:p>
        </w:tc>
      </w:tr>
      <w:tr w:rsidR="005D0866" w:rsidRPr="005D0866" w14:paraId="5A6A3567"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DEB38"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الذكاء الاصطناعي</w:t>
            </w:r>
          </w:p>
        </w:tc>
        <w:tc>
          <w:tcPr>
            <w:tcW w:w="0" w:type="auto"/>
            <w:hideMark/>
          </w:tcPr>
          <w:p w14:paraId="3E95A02E"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0D2EE09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30CE9804"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8F8DA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الاقتصاد الرقمي</w:t>
            </w:r>
          </w:p>
        </w:tc>
        <w:tc>
          <w:tcPr>
            <w:tcW w:w="0" w:type="auto"/>
            <w:hideMark/>
          </w:tcPr>
          <w:p w14:paraId="193931D5"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423971C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192253DD"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AA983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الأمن السيبراني</w:t>
            </w:r>
          </w:p>
        </w:tc>
        <w:tc>
          <w:tcPr>
            <w:tcW w:w="0" w:type="auto"/>
            <w:hideMark/>
          </w:tcPr>
          <w:p w14:paraId="2B9D2EE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481CEFA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31C66B69"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8090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التجارة الإلكترونية</w:t>
            </w:r>
          </w:p>
        </w:tc>
        <w:tc>
          <w:tcPr>
            <w:tcW w:w="0" w:type="auto"/>
            <w:hideMark/>
          </w:tcPr>
          <w:p w14:paraId="4A7EE67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15B9742"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340DD4EF"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369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الاستدامة البيئية</w:t>
            </w:r>
          </w:p>
        </w:tc>
        <w:tc>
          <w:tcPr>
            <w:tcW w:w="0" w:type="auto"/>
            <w:hideMark/>
          </w:tcPr>
          <w:p w14:paraId="17D537BC"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69C7E0F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1F399E58"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AEA05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سلاسل الإمداد الذكية</w:t>
            </w:r>
          </w:p>
        </w:tc>
        <w:tc>
          <w:tcPr>
            <w:tcW w:w="0" w:type="auto"/>
            <w:hideMark/>
          </w:tcPr>
          <w:p w14:paraId="734A7A21"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B3C313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50BAAD3D"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7C5DC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الحوسبة الكمية</w:t>
            </w:r>
          </w:p>
        </w:tc>
        <w:tc>
          <w:tcPr>
            <w:tcW w:w="0" w:type="auto"/>
            <w:hideMark/>
          </w:tcPr>
          <w:p w14:paraId="3E25690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3C3B79C1"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الثالثة</w:t>
            </w:r>
          </w:p>
        </w:tc>
      </w:tr>
      <w:tr w:rsidR="005D0866" w:rsidRPr="005D0866" w14:paraId="25852761"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94EBF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الاقتصاد الدائري</w:t>
            </w:r>
          </w:p>
        </w:tc>
        <w:tc>
          <w:tcPr>
            <w:tcW w:w="0" w:type="auto"/>
            <w:hideMark/>
          </w:tcPr>
          <w:p w14:paraId="002DC877"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77702D42"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الثالثة</w:t>
            </w:r>
          </w:p>
        </w:tc>
      </w:tr>
    </w:tbl>
    <w:p w14:paraId="5D0C14F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سابعاً: خارطة طريق التقنيات المستقبلية</w:t>
      </w:r>
    </w:p>
    <w:p w14:paraId="338D9D81"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(7-36)</w:t>
      </w:r>
    </w:p>
    <w:tbl>
      <w:tblPr>
        <w:tblStyle w:val="PlainTable3"/>
        <w:tblW w:w="0" w:type="auto"/>
        <w:jc w:val="center"/>
        <w:tblLook w:val="04A0" w:firstRow="1" w:lastRow="0" w:firstColumn="1" w:lastColumn="0" w:noHBand="0" w:noVBand="1"/>
      </w:tblPr>
      <w:tblGrid>
        <w:gridCol w:w="1432"/>
        <w:gridCol w:w="3896"/>
        <w:gridCol w:w="1768"/>
      </w:tblGrid>
      <w:tr w:rsidR="005D0866" w:rsidRPr="005D0866" w14:paraId="76BA1824"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AE0283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الفترة الزمنية</w:t>
            </w:r>
          </w:p>
        </w:tc>
        <w:tc>
          <w:tcPr>
            <w:tcW w:w="0" w:type="auto"/>
            <w:hideMark/>
          </w:tcPr>
          <w:p w14:paraId="6472C0D5"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التقنيات ذات الأولوية</w:t>
            </w:r>
          </w:p>
        </w:tc>
        <w:tc>
          <w:tcPr>
            <w:tcW w:w="0" w:type="auto"/>
            <w:hideMark/>
          </w:tcPr>
          <w:p w14:paraId="215C8DD6"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الهدف</w:t>
            </w:r>
          </w:p>
        </w:tc>
      </w:tr>
      <w:tr w:rsidR="005D0866" w:rsidRPr="005D0866" w14:paraId="7BD87816"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3D0F4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2025–2026</w:t>
            </w:r>
          </w:p>
        </w:tc>
        <w:tc>
          <w:tcPr>
            <w:tcW w:w="0" w:type="auto"/>
            <w:hideMark/>
          </w:tcPr>
          <w:p w14:paraId="2D7F9D03"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Cloud – API – Data Lake</w:t>
            </w:r>
          </w:p>
        </w:tc>
        <w:tc>
          <w:tcPr>
            <w:tcW w:w="0" w:type="auto"/>
            <w:hideMark/>
          </w:tcPr>
          <w:p w14:paraId="13B758DB"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بناء الأساس الرقمي</w:t>
            </w:r>
          </w:p>
        </w:tc>
      </w:tr>
      <w:tr w:rsidR="005D0866" w:rsidRPr="005D0866" w14:paraId="1E897BD8"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83DC7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lastRenderedPageBreak/>
              <w:t>2026–2027</w:t>
            </w:r>
          </w:p>
        </w:tc>
        <w:tc>
          <w:tcPr>
            <w:tcW w:w="0" w:type="auto"/>
            <w:hideMark/>
          </w:tcPr>
          <w:p w14:paraId="6FAE1127"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AI – Machine Learning – Predictive Analytics</w:t>
            </w:r>
          </w:p>
        </w:tc>
        <w:tc>
          <w:tcPr>
            <w:tcW w:w="0" w:type="auto"/>
            <w:hideMark/>
          </w:tcPr>
          <w:p w14:paraId="03D5076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أتمتة اتخاذ القرار</w:t>
            </w:r>
          </w:p>
        </w:tc>
      </w:tr>
      <w:tr w:rsidR="005D0866" w:rsidRPr="005D0866" w14:paraId="4F206F2A"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0D24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2027–2029</w:t>
            </w:r>
          </w:p>
        </w:tc>
        <w:tc>
          <w:tcPr>
            <w:tcW w:w="0" w:type="auto"/>
            <w:hideMark/>
          </w:tcPr>
          <w:p w14:paraId="6C6ED7B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Blockchain – Digital Twin – IoT</w:t>
            </w:r>
          </w:p>
        </w:tc>
        <w:tc>
          <w:tcPr>
            <w:tcW w:w="0" w:type="auto"/>
            <w:hideMark/>
          </w:tcPr>
          <w:p w14:paraId="7356419F"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التكامل والشفافية</w:t>
            </w:r>
          </w:p>
        </w:tc>
      </w:tr>
      <w:tr w:rsidR="005D0866" w:rsidRPr="005D0866" w14:paraId="6DDC08B2"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5889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2029–2032</w:t>
            </w:r>
          </w:p>
        </w:tc>
        <w:tc>
          <w:tcPr>
            <w:tcW w:w="0" w:type="auto"/>
            <w:hideMark/>
          </w:tcPr>
          <w:p w14:paraId="2E658C4E"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Quantum Encryption – Autonomous Customs</w:t>
            </w:r>
          </w:p>
        </w:tc>
        <w:tc>
          <w:tcPr>
            <w:tcW w:w="0" w:type="auto"/>
            <w:hideMark/>
          </w:tcPr>
          <w:p w14:paraId="08C44D74"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الأمن والاستقلالية</w:t>
            </w:r>
          </w:p>
        </w:tc>
      </w:tr>
      <w:tr w:rsidR="005D0866" w:rsidRPr="005D0866" w14:paraId="3041C36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467F4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2032–2035</w:t>
            </w:r>
          </w:p>
        </w:tc>
        <w:tc>
          <w:tcPr>
            <w:tcW w:w="0" w:type="auto"/>
            <w:hideMark/>
          </w:tcPr>
          <w:p w14:paraId="048DFFA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Quantum Computing – AGI Integration</w:t>
            </w:r>
          </w:p>
        </w:tc>
        <w:tc>
          <w:tcPr>
            <w:tcW w:w="0" w:type="auto"/>
            <w:hideMark/>
          </w:tcPr>
          <w:p w14:paraId="5695148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الريادة العالمية</w:t>
            </w:r>
          </w:p>
        </w:tc>
      </w:tr>
    </w:tbl>
    <w:p w14:paraId="3D8060D8"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ثامناً: النموذج المستقبلي المقترح لهيئة</w:t>
      </w:r>
      <w:r w:rsidRPr="005D0866">
        <w:rPr>
          <w:rFonts w:ascii="Sakkal Majalla" w:hAnsi="Sakkal Majalla" w:cs="Sakkal Majalla"/>
          <w:b/>
          <w:bCs/>
          <w:sz w:val="28"/>
          <w:lang w:bidi="ar-EG"/>
        </w:rPr>
        <w:t xml:space="preserve"> ZATCA </w:t>
      </w:r>
      <w:r w:rsidRPr="005D0866">
        <w:rPr>
          <w:rFonts w:ascii="Sakkal Majalla" w:hAnsi="Sakkal Majalla" w:cs="Sakkal Majalla"/>
          <w:b/>
          <w:bCs/>
          <w:sz w:val="28"/>
          <w:rtl/>
        </w:rPr>
        <w:t>عام 2035</w:t>
      </w:r>
    </w:p>
    <w:p w14:paraId="0110085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 xml:space="preserve">يقترح الباحث أن تتطور الهيئة إلى نموذج </w:t>
      </w:r>
      <w:r w:rsidRPr="005D0866">
        <w:rPr>
          <w:rFonts w:ascii="Sakkal Majalla" w:hAnsi="Sakkal Majalla" w:cs="Sakkal Majalla"/>
          <w:b/>
          <w:bCs/>
          <w:sz w:val="28"/>
          <w:lang w:bidi="ar-EG"/>
        </w:rPr>
        <w:t>"</w:t>
      </w:r>
      <w:r w:rsidRPr="005D0866">
        <w:rPr>
          <w:rFonts w:ascii="Sakkal Majalla" w:hAnsi="Sakkal Majalla" w:cs="Sakkal Majalla"/>
          <w:b/>
          <w:bCs/>
          <w:sz w:val="28"/>
          <w:rtl/>
        </w:rPr>
        <w:t>الهيئة الجمركية ذاتية التشغيل</w:t>
      </w:r>
      <w:r w:rsidRPr="005D0866">
        <w:rPr>
          <w:rFonts w:ascii="Sakkal Majalla" w:hAnsi="Sakkal Majalla" w:cs="Sakkal Majalla"/>
          <w:b/>
          <w:bCs/>
          <w:sz w:val="28"/>
          <w:lang w:bidi="ar-EG"/>
        </w:rPr>
        <w:t>" (Autonomous Customs Authority)</w:t>
      </w:r>
      <w:r w:rsidRPr="005D0866">
        <w:rPr>
          <w:rFonts w:ascii="Sakkal Majalla" w:hAnsi="Sakkal Majalla" w:cs="Sakkal Majalla"/>
          <w:sz w:val="28"/>
          <w:rtl/>
        </w:rPr>
        <w:t>، وهو نموذج يعتمد على الذكاء الاصطناعي في إدارة العمليات اليومية، مع بقاء العنصر البشري مسؤولاً عن التخطيط الاستراتيجي، وصنع السياسات، والإشراف على القرارات الحساسة. ويقوم هذا النموذج على خمس ركائز رئيسة هي: البيانات الموحدة، والذكاء الاصطناعي، والأمن السيبراني، والتشريعات المرنة، والابتكار المستدام</w:t>
      </w:r>
      <w:r w:rsidRPr="005D0866">
        <w:rPr>
          <w:rFonts w:ascii="Sakkal Majalla" w:hAnsi="Sakkal Majalla" w:cs="Sakkal Majalla"/>
          <w:sz w:val="28"/>
          <w:lang w:bidi="ar-EG"/>
        </w:rPr>
        <w:t>.</w:t>
      </w:r>
    </w:p>
    <w:p w14:paraId="5F1D1BE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وسيؤدي هذا التحول إلى رفع سرعة الاستجابة للمتغيرات، وتقليل الأخطاء البشرية، وتحسين جودة الخدمات، وتعزيز الثقة بين الهيئة والمتعاملين، بما يجعل المملكة مرجعاً دولياً في الإدارة الجمركية الرقمية</w:t>
      </w:r>
      <w:r w:rsidRPr="005D0866">
        <w:rPr>
          <w:rFonts w:ascii="Sakkal Majalla" w:hAnsi="Sakkal Majalla" w:cs="Sakkal Majalla"/>
          <w:sz w:val="28"/>
          <w:lang w:bidi="ar-EG"/>
        </w:rPr>
        <w:t>.</w:t>
      </w:r>
    </w:p>
    <w:p w14:paraId="6D19BD6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رأي الباحث</w:t>
      </w:r>
    </w:p>
    <w:p w14:paraId="0F848AD0"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يرى الباحث أن استشراف المستقبل لم يعد ترفاً فكرياً، بل أصبح ضرورة استراتيجية للمؤسسات الحكومية التي تعمل في بيئات تتسم بسرعة التغير والتعقيد. ولذلك، فإن اعتماد هيئة الزكاة والضريبة والجمارك على منهجية السيناريوهات المستقبلية سيمكنها من الانتقال من أسلوب الإدارة القائمة على ردود الأفعال إلى الإدارة الاستباقية التي تستعد للفرص والمخاطر قبل حدوثها. كما أن الاستثمار المبكر في التقنيات الناشئة، وبناء القدرات الوطنية، وتعزيز الشراكات الدولية، سيمنح الهيئة ميزة تنافسية مستدامة، ويضمن استمرار ريادتها بعد عام 2030، بما ينسجم مع طموحات المملكة في بناء اقتصاد رقمي متنوع وقادر على المنافسة عالمياً</w:t>
      </w:r>
      <w:r w:rsidRPr="005D0866">
        <w:rPr>
          <w:rFonts w:ascii="Sakkal Majalla" w:hAnsi="Sakkal Majalla" w:cs="Sakkal Majalla"/>
          <w:sz w:val="28"/>
          <w:lang w:bidi="ar-EG"/>
        </w:rPr>
        <w:t>.</w:t>
      </w:r>
    </w:p>
    <w:p w14:paraId="5824C417" w14:textId="0105D34E" w:rsidR="00A77BC7" w:rsidRPr="00A77BC7" w:rsidRDefault="00A77BC7" w:rsidP="00A77BC7">
      <w:pPr>
        <w:pStyle w:val="BlockText"/>
        <w:spacing w:line="360" w:lineRule="auto"/>
        <w:jc w:val="lowKashida"/>
        <w:rPr>
          <w:rFonts w:ascii="Sakkal Majalla" w:hAnsi="Sakkal Majalla" w:cs="Sakkal Majalla"/>
          <w:b/>
          <w:bCs/>
          <w:sz w:val="28"/>
        </w:rPr>
      </w:pPr>
      <w:r>
        <w:rPr>
          <w:rFonts w:ascii="Sakkal Majalla" w:hAnsi="Sakkal Majalla" w:cs="Sakkal Majalla" w:hint="cs"/>
          <w:b/>
          <w:bCs/>
          <w:sz w:val="28"/>
          <w:rtl/>
        </w:rPr>
        <w:t xml:space="preserve">  </w:t>
      </w:r>
      <w:r>
        <w:rPr>
          <w:rFonts w:ascii="Sakkal Majalla" w:hAnsi="Sakkal Majalla" w:cs="Sakkal Majalla"/>
          <w:b/>
          <w:bCs/>
          <w:sz w:val="28"/>
        </w:rPr>
        <w:t xml:space="preserve">  </w:t>
      </w:r>
      <w:r w:rsidRPr="00A77BC7">
        <w:rPr>
          <w:rFonts w:ascii="Sakkal Majalla" w:hAnsi="Sakkal Majalla" w:cs="Sakkal Majalla"/>
          <w:b/>
          <w:bCs/>
          <w:sz w:val="28"/>
        </w:rPr>
        <w:t xml:space="preserve">7-1-7 </w:t>
      </w:r>
      <w:r w:rsidRPr="00A77BC7">
        <w:rPr>
          <w:rFonts w:ascii="Sakkal Majalla" w:hAnsi="Sakkal Majalla" w:cs="Sakkal Majalla"/>
          <w:b/>
          <w:bCs/>
          <w:sz w:val="28"/>
          <w:rtl/>
        </w:rPr>
        <w:t>لوحة القيادة التنفيذية</w:t>
      </w:r>
      <w:r w:rsidRPr="00A77BC7">
        <w:rPr>
          <w:rFonts w:ascii="Sakkal Majalla" w:hAnsi="Sakkal Majalla" w:cs="Sakkal Majalla"/>
          <w:b/>
          <w:bCs/>
          <w:sz w:val="28"/>
        </w:rPr>
        <w:t xml:space="preserve"> (Executive Strategy Dashboard)</w:t>
      </w:r>
    </w:p>
    <w:p w14:paraId="15838D89"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أولاً: مدخل عام</w:t>
      </w:r>
    </w:p>
    <w:p w14:paraId="72D978D0"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في ظل التحول نحو الإدارة الحكومية الذكية، لم تعد التقارير الورقية أو المؤشرات التقليدية كافية لقياس نجاح الخطط الاستراتيجية، بل أصبحت الحاجة ملحة إلى وجود لوحة قيادة تنفيذية رقمية</w:t>
      </w:r>
      <w:r w:rsidRPr="00A77BC7">
        <w:rPr>
          <w:rFonts w:ascii="Sakkal Majalla" w:hAnsi="Sakkal Majalla" w:cs="Sakkal Majalla"/>
          <w:sz w:val="28"/>
        </w:rPr>
        <w:t xml:space="preserve"> (Executive Dashboard) </w:t>
      </w:r>
      <w:r w:rsidRPr="00A77BC7">
        <w:rPr>
          <w:rFonts w:ascii="Sakkal Majalla" w:hAnsi="Sakkal Majalla" w:cs="Sakkal Majalla"/>
          <w:sz w:val="28"/>
          <w:rtl/>
        </w:rPr>
        <w:t>تتيح للقيادات العليا متابعة الأداء بصورة لحظية، وتحليل الانحرافات، واتخاذ القرارات التصحيحية بصورة فورية</w:t>
      </w:r>
      <w:r w:rsidRPr="00A77BC7">
        <w:rPr>
          <w:rFonts w:ascii="Sakkal Majalla" w:hAnsi="Sakkal Majalla" w:cs="Sakkal Majalla"/>
          <w:sz w:val="28"/>
        </w:rPr>
        <w:t>.</w:t>
      </w:r>
    </w:p>
    <w:p w14:paraId="1BFCBEAC"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lastRenderedPageBreak/>
        <w:t xml:space="preserve">ويقترح الباحث إنشاء لوحة قيادة رقمية متكاملة داخل هيئة الزكاة والضريبة والجمارك تعتمد على تقنيات </w:t>
      </w:r>
      <w:r w:rsidRPr="00A77BC7">
        <w:rPr>
          <w:rFonts w:ascii="Sakkal Majalla" w:hAnsi="Sakkal Majalla" w:cs="Sakkal Majalla"/>
          <w:b/>
          <w:bCs/>
          <w:sz w:val="28"/>
        </w:rPr>
        <w:t>Business Intelligence (BI)</w:t>
      </w:r>
      <w:r w:rsidRPr="00A77BC7">
        <w:rPr>
          <w:rFonts w:ascii="Sakkal Majalla" w:hAnsi="Sakkal Majalla" w:cs="Sakkal Majalla"/>
          <w:sz w:val="28"/>
        </w:rPr>
        <w:t xml:space="preserve"> </w:t>
      </w:r>
      <w:r w:rsidRPr="00A77BC7">
        <w:rPr>
          <w:rFonts w:ascii="Sakkal Majalla" w:hAnsi="Sakkal Majalla" w:cs="Sakkal Majalla"/>
          <w:sz w:val="28"/>
          <w:rtl/>
        </w:rPr>
        <w:t>والذكاء الاصطناعي والتحليلات التنبؤية، بحيث ترتبط مباشرة بجميع الأنظمة التشغيلية للهيئة، ويتم تحديثها بصورة آلية دون تدخل بشري</w:t>
      </w:r>
      <w:r w:rsidRPr="00A77BC7">
        <w:rPr>
          <w:rFonts w:ascii="Sakkal Majalla" w:hAnsi="Sakkal Majalla" w:cs="Sakkal Majalla"/>
          <w:sz w:val="28"/>
        </w:rPr>
        <w:t>.</w:t>
      </w:r>
    </w:p>
    <w:p w14:paraId="4A2B90BE"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وتتميز هذه اللوحة بأنها لا تقتصر على عرض مؤشرات الأداء، وإنما تقدم تحليلات تفسيرية</w:t>
      </w:r>
      <w:r w:rsidRPr="00A77BC7">
        <w:rPr>
          <w:rFonts w:ascii="Sakkal Majalla" w:hAnsi="Sakkal Majalla" w:cs="Sakkal Majalla"/>
          <w:sz w:val="28"/>
        </w:rPr>
        <w:t xml:space="preserve"> (Descriptive Analytics)</w:t>
      </w:r>
      <w:r w:rsidRPr="00A77BC7">
        <w:rPr>
          <w:rFonts w:ascii="Sakkal Majalla" w:hAnsi="Sakkal Majalla" w:cs="Sakkal Majalla"/>
          <w:sz w:val="28"/>
          <w:rtl/>
        </w:rPr>
        <w:t>، وتحليلات تشخيصية</w:t>
      </w:r>
      <w:r w:rsidRPr="00A77BC7">
        <w:rPr>
          <w:rFonts w:ascii="Sakkal Majalla" w:hAnsi="Sakkal Majalla" w:cs="Sakkal Majalla"/>
          <w:sz w:val="28"/>
        </w:rPr>
        <w:t xml:space="preserve"> (Diagnostic Analytics)</w:t>
      </w:r>
      <w:r w:rsidRPr="00A77BC7">
        <w:rPr>
          <w:rFonts w:ascii="Sakkal Majalla" w:hAnsi="Sakkal Majalla" w:cs="Sakkal Majalla"/>
          <w:sz w:val="28"/>
          <w:rtl/>
        </w:rPr>
        <w:t>، وتحليلات تنبؤية</w:t>
      </w:r>
      <w:r w:rsidRPr="00A77BC7">
        <w:rPr>
          <w:rFonts w:ascii="Sakkal Majalla" w:hAnsi="Sakkal Majalla" w:cs="Sakkal Majalla"/>
          <w:sz w:val="28"/>
        </w:rPr>
        <w:t xml:space="preserve"> (Predictive Analytics)</w:t>
      </w:r>
      <w:r w:rsidRPr="00A77BC7">
        <w:rPr>
          <w:rFonts w:ascii="Sakkal Majalla" w:hAnsi="Sakkal Majalla" w:cs="Sakkal Majalla"/>
          <w:sz w:val="28"/>
          <w:rtl/>
        </w:rPr>
        <w:t>، وتحليلات توجيهية</w:t>
      </w:r>
      <w:r w:rsidRPr="00A77BC7">
        <w:rPr>
          <w:rFonts w:ascii="Sakkal Majalla" w:hAnsi="Sakkal Majalla" w:cs="Sakkal Majalla"/>
          <w:sz w:val="28"/>
        </w:rPr>
        <w:t xml:space="preserve"> (Prescriptive Analytics)</w:t>
      </w:r>
      <w:r w:rsidRPr="00A77BC7">
        <w:rPr>
          <w:rFonts w:ascii="Sakkal Majalla" w:hAnsi="Sakkal Majalla" w:cs="Sakkal Majalla"/>
          <w:sz w:val="28"/>
          <w:rtl/>
        </w:rPr>
        <w:t>، مما يساعد متخذي القرار على فهم أسباب الانحرافات، والتنبؤ بالمخاطر، واقتراح البدائل المناسبة لمعالجتها</w:t>
      </w:r>
      <w:r w:rsidRPr="00A77BC7">
        <w:rPr>
          <w:rFonts w:ascii="Sakkal Majalla" w:hAnsi="Sakkal Majalla" w:cs="Sakkal Majalla"/>
          <w:sz w:val="28"/>
        </w:rPr>
        <w:t>.</w:t>
      </w:r>
    </w:p>
    <w:p w14:paraId="739B4A87"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(7-37)</w:t>
      </w:r>
    </w:p>
    <w:p w14:paraId="278718D4"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الهيكل العام للوحة القيادة التنفيذية</w:t>
      </w:r>
    </w:p>
    <w:tbl>
      <w:tblPr>
        <w:tblStyle w:val="PlainTable3"/>
        <w:tblW w:w="0" w:type="auto"/>
        <w:jc w:val="center"/>
        <w:tblLook w:val="04A0" w:firstRow="1" w:lastRow="0" w:firstColumn="1" w:lastColumn="0" w:noHBand="0" w:noVBand="1"/>
      </w:tblPr>
      <w:tblGrid>
        <w:gridCol w:w="1602"/>
        <w:gridCol w:w="2540"/>
        <w:gridCol w:w="1807"/>
        <w:gridCol w:w="1729"/>
      </w:tblGrid>
      <w:tr w:rsidR="00A77BC7" w:rsidRPr="00A77BC7" w14:paraId="5F2CE0D9"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4D03331"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المستوى الإداري</w:t>
            </w:r>
          </w:p>
        </w:tc>
        <w:tc>
          <w:tcPr>
            <w:tcW w:w="0" w:type="auto"/>
            <w:hideMark/>
          </w:tcPr>
          <w:p w14:paraId="42489ECA"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نوع المعلومات</w:t>
            </w:r>
          </w:p>
        </w:tc>
        <w:tc>
          <w:tcPr>
            <w:tcW w:w="0" w:type="auto"/>
            <w:hideMark/>
          </w:tcPr>
          <w:p w14:paraId="770089DD"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دورية التحديث</w:t>
            </w:r>
          </w:p>
        </w:tc>
        <w:tc>
          <w:tcPr>
            <w:tcW w:w="0" w:type="auto"/>
            <w:hideMark/>
          </w:tcPr>
          <w:p w14:paraId="6AB5E55C"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الصلاحية</w:t>
            </w:r>
          </w:p>
        </w:tc>
      </w:tr>
      <w:tr w:rsidR="00A77BC7" w:rsidRPr="00A77BC7" w14:paraId="3163936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ACA49"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مجلس الإدارة</w:t>
            </w:r>
          </w:p>
        </w:tc>
        <w:tc>
          <w:tcPr>
            <w:tcW w:w="0" w:type="auto"/>
            <w:hideMark/>
          </w:tcPr>
          <w:p w14:paraId="33EF2A1D"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المؤشرات الاستراتيجية الوطنية</w:t>
            </w:r>
          </w:p>
        </w:tc>
        <w:tc>
          <w:tcPr>
            <w:tcW w:w="0" w:type="auto"/>
            <w:hideMark/>
          </w:tcPr>
          <w:p w14:paraId="792F5AF8"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شهري</w:t>
            </w:r>
          </w:p>
        </w:tc>
        <w:tc>
          <w:tcPr>
            <w:tcW w:w="0" w:type="auto"/>
            <w:hideMark/>
          </w:tcPr>
          <w:p w14:paraId="28C1E464"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كامل</w:t>
            </w:r>
          </w:p>
        </w:tc>
      </w:tr>
      <w:tr w:rsidR="00A77BC7" w:rsidRPr="00A77BC7" w14:paraId="62629F4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A2C9B"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المحافظ</w:t>
            </w:r>
          </w:p>
        </w:tc>
        <w:tc>
          <w:tcPr>
            <w:tcW w:w="0" w:type="auto"/>
            <w:hideMark/>
          </w:tcPr>
          <w:p w14:paraId="0B2E28E1"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جميع المؤشرات التنفيذية</w:t>
            </w:r>
          </w:p>
        </w:tc>
        <w:tc>
          <w:tcPr>
            <w:tcW w:w="0" w:type="auto"/>
            <w:hideMark/>
          </w:tcPr>
          <w:p w14:paraId="04E2E8CE"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r w:rsidRPr="00A77BC7">
              <w:rPr>
                <w:rFonts w:ascii="Sakkal Majalla" w:hAnsi="Sakkal Majalla" w:cs="Sakkal Majalla"/>
                <w:sz w:val="24"/>
                <w:szCs w:val="24"/>
              </w:rPr>
              <w:t xml:space="preserve"> (Real-Time)</w:t>
            </w:r>
          </w:p>
        </w:tc>
        <w:tc>
          <w:tcPr>
            <w:tcW w:w="0" w:type="auto"/>
            <w:hideMark/>
          </w:tcPr>
          <w:p w14:paraId="1009C8A2"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كامل</w:t>
            </w:r>
          </w:p>
        </w:tc>
      </w:tr>
      <w:tr w:rsidR="00A77BC7" w:rsidRPr="00A77BC7" w14:paraId="729C1579"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84677D"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نواب المحافظ</w:t>
            </w:r>
          </w:p>
        </w:tc>
        <w:tc>
          <w:tcPr>
            <w:tcW w:w="0" w:type="auto"/>
            <w:hideMark/>
          </w:tcPr>
          <w:p w14:paraId="7E830F4E"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مؤشرات القطاعات</w:t>
            </w:r>
          </w:p>
        </w:tc>
        <w:tc>
          <w:tcPr>
            <w:tcW w:w="0" w:type="auto"/>
            <w:hideMark/>
          </w:tcPr>
          <w:p w14:paraId="04EF2EEE"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كل ساعة</w:t>
            </w:r>
          </w:p>
        </w:tc>
        <w:tc>
          <w:tcPr>
            <w:tcW w:w="0" w:type="auto"/>
            <w:hideMark/>
          </w:tcPr>
          <w:p w14:paraId="66E82338"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قطاعي</w:t>
            </w:r>
          </w:p>
        </w:tc>
      </w:tr>
      <w:tr w:rsidR="00A77BC7" w:rsidRPr="00A77BC7" w14:paraId="7C356A64"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F0C601"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مدراء الإدارات</w:t>
            </w:r>
          </w:p>
        </w:tc>
        <w:tc>
          <w:tcPr>
            <w:tcW w:w="0" w:type="auto"/>
            <w:hideMark/>
          </w:tcPr>
          <w:p w14:paraId="77E908B9"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مؤشرات الإدارات</w:t>
            </w:r>
          </w:p>
        </w:tc>
        <w:tc>
          <w:tcPr>
            <w:tcW w:w="0" w:type="auto"/>
            <w:hideMark/>
          </w:tcPr>
          <w:p w14:paraId="4200A4C8"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كل 15 دقيقة</w:t>
            </w:r>
          </w:p>
        </w:tc>
        <w:tc>
          <w:tcPr>
            <w:tcW w:w="0" w:type="auto"/>
            <w:hideMark/>
          </w:tcPr>
          <w:p w14:paraId="2DBE6500"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إداري</w:t>
            </w:r>
          </w:p>
        </w:tc>
      </w:tr>
      <w:tr w:rsidR="00A77BC7" w:rsidRPr="00A77BC7" w14:paraId="305A87C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3F83C7"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رؤساء الأقسام</w:t>
            </w:r>
          </w:p>
        </w:tc>
        <w:tc>
          <w:tcPr>
            <w:tcW w:w="0" w:type="auto"/>
            <w:hideMark/>
          </w:tcPr>
          <w:p w14:paraId="27AF301A"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العمليات التشغيلية</w:t>
            </w:r>
          </w:p>
        </w:tc>
        <w:tc>
          <w:tcPr>
            <w:tcW w:w="0" w:type="auto"/>
            <w:hideMark/>
          </w:tcPr>
          <w:p w14:paraId="06D521E0"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مباشر</w:t>
            </w:r>
          </w:p>
        </w:tc>
        <w:tc>
          <w:tcPr>
            <w:tcW w:w="0" w:type="auto"/>
            <w:hideMark/>
          </w:tcPr>
          <w:p w14:paraId="39814C57"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تشغيلي</w:t>
            </w:r>
          </w:p>
        </w:tc>
      </w:tr>
    </w:tbl>
    <w:p w14:paraId="3D8FB13F"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ثانياً: لوحة مؤشرات الأداء الاستراتيجية</w:t>
      </w:r>
    </w:p>
    <w:p w14:paraId="4C8F8F55"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(7-38)</w:t>
      </w:r>
    </w:p>
    <w:p w14:paraId="3A7A9AB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Pr>
        <w:t>Executive KPI Dashboard</w:t>
      </w:r>
    </w:p>
    <w:tbl>
      <w:tblPr>
        <w:tblStyle w:val="PlainTable3"/>
        <w:tblW w:w="0" w:type="auto"/>
        <w:jc w:val="center"/>
        <w:tblLook w:val="04A0" w:firstRow="1" w:lastRow="0" w:firstColumn="1" w:lastColumn="0" w:noHBand="0" w:noVBand="1"/>
      </w:tblPr>
      <w:tblGrid>
        <w:gridCol w:w="1773"/>
        <w:gridCol w:w="2139"/>
        <w:gridCol w:w="1435"/>
        <w:gridCol w:w="1686"/>
        <w:gridCol w:w="1347"/>
      </w:tblGrid>
      <w:tr w:rsidR="00A77BC7" w:rsidRPr="00A77BC7" w14:paraId="41AE5E47"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8EAC2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المجال</w:t>
            </w:r>
          </w:p>
        </w:tc>
        <w:tc>
          <w:tcPr>
            <w:tcW w:w="0" w:type="auto"/>
            <w:hideMark/>
          </w:tcPr>
          <w:p w14:paraId="586F6B86"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w:t>
            </w:r>
          </w:p>
        </w:tc>
        <w:tc>
          <w:tcPr>
            <w:tcW w:w="0" w:type="auto"/>
            <w:hideMark/>
          </w:tcPr>
          <w:p w14:paraId="457CCA3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الوضع الحالي</w:t>
            </w:r>
          </w:p>
        </w:tc>
        <w:tc>
          <w:tcPr>
            <w:tcW w:w="0" w:type="auto"/>
            <w:hideMark/>
          </w:tcPr>
          <w:p w14:paraId="5F66BEA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المستهدف</w:t>
            </w:r>
          </w:p>
        </w:tc>
        <w:tc>
          <w:tcPr>
            <w:tcW w:w="0" w:type="auto"/>
            <w:hideMark/>
          </w:tcPr>
          <w:p w14:paraId="03ADE81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حالة المؤشر</w:t>
            </w:r>
          </w:p>
        </w:tc>
      </w:tr>
      <w:tr w:rsidR="00A77BC7" w:rsidRPr="00A77BC7" w14:paraId="21C581B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3970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التحول الرقمي</w:t>
            </w:r>
          </w:p>
        </w:tc>
        <w:tc>
          <w:tcPr>
            <w:tcW w:w="0" w:type="auto"/>
            <w:hideMark/>
          </w:tcPr>
          <w:p w14:paraId="5CA6654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نسبة الخدمات الرقمية</w:t>
            </w:r>
          </w:p>
        </w:tc>
        <w:tc>
          <w:tcPr>
            <w:tcW w:w="0" w:type="auto"/>
            <w:hideMark/>
          </w:tcPr>
          <w:p w14:paraId="7687236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87%</w:t>
            </w:r>
          </w:p>
        </w:tc>
        <w:tc>
          <w:tcPr>
            <w:tcW w:w="0" w:type="auto"/>
            <w:hideMark/>
          </w:tcPr>
          <w:p w14:paraId="39675BB3"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c>
          <w:tcPr>
            <w:tcW w:w="0" w:type="auto"/>
            <w:hideMark/>
          </w:tcPr>
          <w:p w14:paraId="4D35BDF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654F6C5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0D891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التخليص الجمركي</w:t>
            </w:r>
          </w:p>
        </w:tc>
        <w:tc>
          <w:tcPr>
            <w:tcW w:w="0" w:type="auto"/>
            <w:hideMark/>
          </w:tcPr>
          <w:p w14:paraId="6F521C9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متوسط زمن الإفراج</w:t>
            </w:r>
          </w:p>
        </w:tc>
        <w:tc>
          <w:tcPr>
            <w:tcW w:w="0" w:type="auto"/>
            <w:hideMark/>
          </w:tcPr>
          <w:p w14:paraId="3C208F4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60 </w:t>
            </w:r>
            <w:r w:rsidRPr="00A77BC7">
              <w:rPr>
                <w:rFonts w:ascii="Sakkal Majalla" w:hAnsi="Sakkal Majalla" w:cs="Sakkal Majalla"/>
                <w:sz w:val="24"/>
                <w:szCs w:val="24"/>
                <w:rtl/>
              </w:rPr>
              <w:t>دقيقة</w:t>
            </w:r>
          </w:p>
        </w:tc>
        <w:tc>
          <w:tcPr>
            <w:tcW w:w="0" w:type="auto"/>
            <w:hideMark/>
          </w:tcPr>
          <w:p w14:paraId="48253AF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10 دقائق</w:t>
            </w:r>
          </w:p>
        </w:tc>
        <w:tc>
          <w:tcPr>
            <w:tcW w:w="0" w:type="auto"/>
            <w:hideMark/>
          </w:tcPr>
          <w:p w14:paraId="5754A51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71E931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CAD9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الذكاء الاصطناعي</w:t>
            </w:r>
          </w:p>
        </w:tc>
        <w:tc>
          <w:tcPr>
            <w:tcW w:w="0" w:type="auto"/>
            <w:hideMark/>
          </w:tcPr>
          <w:p w14:paraId="229C14C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دقة نموذج إدارة المخاطر</w:t>
            </w:r>
          </w:p>
        </w:tc>
        <w:tc>
          <w:tcPr>
            <w:tcW w:w="0" w:type="auto"/>
            <w:hideMark/>
          </w:tcPr>
          <w:p w14:paraId="58D511F8"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81%</w:t>
            </w:r>
          </w:p>
        </w:tc>
        <w:tc>
          <w:tcPr>
            <w:tcW w:w="0" w:type="auto"/>
            <w:hideMark/>
          </w:tcPr>
          <w:p w14:paraId="011F397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25ECC3C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6C5ECDEC"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FCAAE3"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الأمن السيبراني</w:t>
            </w:r>
          </w:p>
        </w:tc>
        <w:tc>
          <w:tcPr>
            <w:tcW w:w="0" w:type="auto"/>
            <w:hideMark/>
          </w:tcPr>
          <w:p w14:paraId="0A348F0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زمن الاستجابة للحوادث</w:t>
            </w:r>
          </w:p>
        </w:tc>
        <w:tc>
          <w:tcPr>
            <w:tcW w:w="0" w:type="auto"/>
            <w:hideMark/>
          </w:tcPr>
          <w:p w14:paraId="1D600FD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4 </w:t>
            </w:r>
            <w:r w:rsidRPr="00A77BC7">
              <w:rPr>
                <w:rFonts w:ascii="Sakkal Majalla" w:hAnsi="Sakkal Majalla" w:cs="Sakkal Majalla"/>
                <w:sz w:val="24"/>
                <w:szCs w:val="24"/>
                <w:rtl/>
              </w:rPr>
              <w:t>ساعات</w:t>
            </w:r>
          </w:p>
        </w:tc>
        <w:tc>
          <w:tcPr>
            <w:tcW w:w="0" w:type="auto"/>
            <w:hideMark/>
          </w:tcPr>
          <w:p w14:paraId="094D184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c>
          <w:tcPr>
            <w:tcW w:w="0" w:type="auto"/>
            <w:hideMark/>
          </w:tcPr>
          <w:p w14:paraId="6DA84B54"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5EC716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0ED30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lastRenderedPageBreak/>
              <w:t>الامتثال</w:t>
            </w:r>
          </w:p>
        </w:tc>
        <w:tc>
          <w:tcPr>
            <w:tcW w:w="0" w:type="auto"/>
            <w:hideMark/>
          </w:tcPr>
          <w:p w14:paraId="2FC30DA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نسبة الامتثال الطوعي</w:t>
            </w:r>
          </w:p>
        </w:tc>
        <w:tc>
          <w:tcPr>
            <w:tcW w:w="0" w:type="auto"/>
            <w:hideMark/>
          </w:tcPr>
          <w:p w14:paraId="68EFDCD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78%</w:t>
            </w:r>
          </w:p>
        </w:tc>
        <w:tc>
          <w:tcPr>
            <w:tcW w:w="0" w:type="auto"/>
            <w:hideMark/>
          </w:tcPr>
          <w:p w14:paraId="54F90DA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718CE9A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9CCB75"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C840A3"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الإيرادات</w:t>
            </w:r>
          </w:p>
        </w:tc>
        <w:tc>
          <w:tcPr>
            <w:tcW w:w="0" w:type="auto"/>
            <w:hideMark/>
          </w:tcPr>
          <w:p w14:paraId="0F645F1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الإيرادات السنوية</w:t>
            </w:r>
          </w:p>
        </w:tc>
        <w:tc>
          <w:tcPr>
            <w:tcW w:w="0" w:type="auto"/>
            <w:hideMark/>
          </w:tcPr>
          <w:p w14:paraId="18A1DAB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350 </w:t>
            </w:r>
            <w:r w:rsidRPr="00A77BC7">
              <w:rPr>
                <w:rFonts w:ascii="Sakkal Majalla" w:hAnsi="Sakkal Majalla" w:cs="Sakkal Majalla"/>
                <w:sz w:val="24"/>
                <w:szCs w:val="24"/>
                <w:rtl/>
              </w:rPr>
              <w:t>مليار</w:t>
            </w:r>
          </w:p>
        </w:tc>
        <w:tc>
          <w:tcPr>
            <w:tcW w:w="0" w:type="auto"/>
            <w:hideMark/>
          </w:tcPr>
          <w:p w14:paraId="144F752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650 </w:t>
            </w:r>
            <w:r w:rsidRPr="00A77BC7">
              <w:rPr>
                <w:rFonts w:ascii="Sakkal Majalla" w:hAnsi="Sakkal Majalla" w:cs="Sakkal Majalla"/>
                <w:sz w:val="24"/>
                <w:szCs w:val="24"/>
                <w:rtl/>
              </w:rPr>
              <w:t>مليار</w:t>
            </w:r>
          </w:p>
        </w:tc>
        <w:tc>
          <w:tcPr>
            <w:tcW w:w="0" w:type="auto"/>
            <w:hideMark/>
          </w:tcPr>
          <w:p w14:paraId="474DD2CD"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2D78A94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35F7D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رضا العملاء</w:t>
            </w:r>
          </w:p>
        </w:tc>
        <w:tc>
          <w:tcPr>
            <w:tcW w:w="0" w:type="auto"/>
            <w:hideMark/>
          </w:tcPr>
          <w:p w14:paraId="6A71864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NPS</w:t>
            </w:r>
          </w:p>
        </w:tc>
        <w:tc>
          <w:tcPr>
            <w:tcW w:w="0" w:type="auto"/>
            <w:hideMark/>
          </w:tcPr>
          <w:p w14:paraId="20398B8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82%</w:t>
            </w:r>
          </w:p>
        </w:tc>
        <w:tc>
          <w:tcPr>
            <w:tcW w:w="0" w:type="auto"/>
            <w:hideMark/>
          </w:tcPr>
          <w:p w14:paraId="5AAB11F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97%</w:t>
            </w:r>
          </w:p>
        </w:tc>
        <w:tc>
          <w:tcPr>
            <w:tcW w:w="0" w:type="auto"/>
            <w:hideMark/>
          </w:tcPr>
          <w:p w14:paraId="6FDDDD1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0AE7D10"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03F44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اللوجستيات</w:t>
            </w:r>
          </w:p>
        </w:tc>
        <w:tc>
          <w:tcPr>
            <w:tcW w:w="0" w:type="auto"/>
            <w:hideMark/>
          </w:tcPr>
          <w:p w14:paraId="77BEDA3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LPI</w:t>
            </w:r>
          </w:p>
        </w:tc>
        <w:tc>
          <w:tcPr>
            <w:tcW w:w="0" w:type="auto"/>
            <w:hideMark/>
          </w:tcPr>
          <w:p w14:paraId="6FC6B0C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3.6</w:t>
            </w:r>
          </w:p>
        </w:tc>
        <w:tc>
          <w:tcPr>
            <w:tcW w:w="0" w:type="auto"/>
            <w:hideMark/>
          </w:tcPr>
          <w:p w14:paraId="34785D5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4.7</w:t>
            </w:r>
          </w:p>
        </w:tc>
        <w:tc>
          <w:tcPr>
            <w:tcW w:w="0" w:type="auto"/>
            <w:hideMark/>
          </w:tcPr>
          <w:p w14:paraId="08A1C27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1A2266E"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00B83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البيانات</w:t>
            </w:r>
          </w:p>
        </w:tc>
        <w:tc>
          <w:tcPr>
            <w:tcW w:w="0" w:type="auto"/>
            <w:hideMark/>
          </w:tcPr>
          <w:p w14:paraId="13A8C57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جودة البيانات</w:t>
            </w:r>
          </w:p>
        </w:tc>
        <w:tc>
          <w:tcPr>
            <w:tcW w:w="0" w:type="auto"/>
            <w:hideMark/>
          </w:tcPr>
          <w:p w14:paraId="4CAB4C4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82%</w:t>
            </w:r>
          </w:p>
        </w:tc>
        <w:tc>
          <w:tcPr>
            <w:tcW w:w="0" w:type="auto"/>
            <w:hideMark/>
          </w:tcPr>
          <w:p w14:paraId="6299348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99%</w:t>
            </w:r>
          </w:p>
        </w:tc>
        <w:tc>
          <w:tcPr>
            <w:tcW w:w="0" w:type="auto"/>
            <w:hideMark/>
          </w:tcPr>
          <w:p w14:paraId="2A8168E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1EDD2DFD"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A932D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التدريب</w:t>
            </w:r>
          </w:p>
        </w:tc>
        <w:tc>
          <w:tcPr>
            <w:tcW w:w="0" w:type="auto"/>
            <w:hideMark/>
          </w:tcPr>
          <w:p w14:paraId="6A11072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الكفاءات الرقمية</w:t>
            </w:r>
          </w:p>
        </w:tc>
        <w:tc>
          <w:tcPr>
            <w:tcW w:w="0" w:type="auto"/>
            <w:hideMark/>
          </w:tcPr>
          <w:p w14:paraId="2A4C25D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70%</w:t>
            </w:r>
          </w:p>
        </w:tc>
        <w:tc>
          <w:tcPr>
            <w:tcW w:w="0" w:type="auto"/>
            <w:hideMark/>
          </w:tcPr>
          <w:p w14:paraId="46550F5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c>
          <w:tcPr>
            <w:tcW w:w="0" w:type="auto"/>
            <w:hideMark/>
          </w:tcPr>
          <w:p w14:paraId="483B1D3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bl>
    <w:p w14:paraId="18AB25C5"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ثالثاً: لوحة القيادة التشغيلية</w:t>
      </w:r>
    </w:p>
    <w:p w14:paraId="78D4ADB6"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(7-39)</w:t>
      </w:r>
    </w:p>
    <w:tbl>
      <w:tblPr>
        <w:tblStyle w:val="PlainTable3"/>
        <w:tblW w:w="0" w:type="auto"/>
        <w:jc w:val="center"/>
        <w:tblLook w:val="04A0" w:firstRow="1" w:lastRow="0" w:firstColumn="1" w:lastColumn="0" w:noHBand="0" w:noVBand="1"/>
      </w:tblPr>
      <w:tblGrid>
        <w:gridCol w:w="2217"/>
        <w:gridCol w:w="1518"/>
        <w:gridCol w:w="1686"/>
        <w:gridCol w:w="973"/>
      </w:tblGrid>
      <w:tr w:rsidR="00A77BC7" w:rsidRPr="00A77BC7" w14:paraId="247693CF"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219135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 التشغيلي</w:t>
            </w:r>
          </w:p>
        </w:tc>
        <w:tc>
          <w:tcPr>
            <w:tcW w:w="0" w:type="auto"/>
            <w:hideMark/>
          </w:tcPr>
          <w:p w14:paraId="6707733A"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 الحالية</w:t>
            </w:r>
          </w:p>
        </w:tc>
        <w:tc>
          <w:tcPr>
            <w:tcW w:w="0" w:type="auto"/>
            <w:hideMark/>
          </w:tcPr>
          <w:p w14:paraId="23DC5FA0"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الحد المستهدف</w:t>
            </w:r>
          </w:p>
        </w:tc>
        <w:tc>
          <w:tcPr>
            <w:tcW w:w="0" w:type="auto"/>
            <w:hideMark/>
          </w:tcPr>
          <w:p w14:paraId="584D31A6"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التنبيه</w:t>
            </w:r>
          </w:p>
        </w:tc>
      </w:tr>
      <w:tr w:rsidR="00A77BC7" w:rsidRPr="00A77BC7" w14:paraId="128B3D62"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11324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عدد الشحنات اليومية</w:t>
            </w:r>
          </w:p>
        </w:tc>
        <w:tc>
          <w:tcPr>
            <w:tcW w:w="0" w:type="auto"/>
            <w:hideMark/>
          </w:tcPr>
          <w:p w14:paraId="52C1E17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42,500</w:t>
            </w:r>
          </w:p>
        </w:tc>
        <w:tc>
          <w:tcPr>
            <w:tcW w:w="0" w:type="auto"/>
            <w:hideMark/>
          </w:tcPr>
          <w:p w14:paraId="72F2B9BD"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45,000</w:t>
            </w:r>
          </w:p>
        </w:tc>
        <w:tc>
          <w:tcPr>
            <w:tcW w:w="0" w:type="auto"/>
            <w:hideMark/>
          </w:tcPr>
          <w:p w14:paraId="64CC740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C4F203"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BE851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الشحنات عالية الخطورة</w:t>
            </w:r>
          </w:p>
        </w:tc>
        <w:tc>
          <w:tcPr>
            <w:tcW w:w="0" w:type="auto"/>
            <w:hideMark/>
          </w:tcPr>
          <w:p w14:paraId="620558F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3.8%</w:t>
            </w:r>
          </w:p>
        </w:tc>
        <w:tc>
          <w:tcPr>
            <w:tcW w:w="0" w:type="auto"/>
            <w:hideMark/>
          </w:tcPr>
          <w:p w14:paraId="0232D4C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5</w:t>
            </w:r>
            <w:r w:rsidRPr="00A77BC7">
              <w:rPr>
                <w:rFonts w:ascii="Sakkal Majalla" w:hAnsi="Sakkal Majalla" w:cs="Sakkal Majalla"/>
                <w:sz w:val="24"/>
                <w:szCs w:val="24"/>
              </w:rPr>
              <w:t>%</w:t>
            </w:r>
          </w:p>
        </w:tc>
        <w:tc>
          <w:tcPr>
            <w:tcW w:w="0" w:type="auto"/>
            <w:hideMark/>
          </w:tcPr>
          <w:p w14:paraId="73188C2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361C07EE"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518A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الفحص</w:t>
            </w:r>
          </w:p>
        </w:tc>
        <w:tc>
          <w:tcPr>
            <w:tcW w:w="0" w:type="auto"/>
            <w:hideMark/>
          </w:tcPr>
          <w:p w14:paraId="3A0FCE6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23 </w:t>
            </w:r>
            <w:r w:rsidRPr="00A77BC7">
              <w:rPr>
                <w:rFonts w:ascii="Sakkal Majalla" w:hAnsi="Sakkal Majalla" w:cs="Sakkal Majalla"/>
                <w:sz w:val="24"/>
                <w:szCs w:val="24"/>
                <w:rtl/>
              </w:rPr>
              <w:t>دقيقة</w:t>
            </w:r>
          </w:p>
        </w:tc>
        <w:tc>
          <w:tcPr>
            <w:tcW w:w="0" w:type="auto"/>
            <w:hideMark/>
          </w:tcPr>
          <w:p w14:paraId="0B6D47E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20 دقيقة</w:t>
            </w:r>
          </w:p>
        </w:tc>
        <w:tc>
          <w:tcPr>
            <w:tcW w:w="0" w:type="auto"/>
            <w:hideMark/>
          </w:tcPr>
          <w:p w14:paraId="7A6CAC54"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2DD0721F"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69013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معاملات المسار الأخضر</w:t>
            </w:r>
          </w:p>
        </w:tc>
        <w:tc>
          <w:tcPr>
            <w:tcW w:w="0" w:type="auto"/>
            <w:hideMark/>
          </w:tcPr>
          <w:p w14:paraId="136066F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71%</w:t>
            </w:r>
          </w:p>
        </w:tc>
        <w:tc>
          <w:tcPr>
            <w:tcW w:w="0" w:type="auto"/>
            <w:hideMark/>
          </w:tcPr>
          <w:p w14:paraId="745AA60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90%</w:t>
            </w:r>
          </w:p>
        </w:tc>
        <w:tc>
          <w:tcPr>
            <w:tcW w:w="0" w:type="auto"/>
            <w:hideMark/>
          </w:tcPr>
          <w:p w14:paraId="54A089B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17113B8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B6E90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الأعطال التقنية</w:t>
            </w:r>
          </w:p>
        </w:tc>
        <w:tc>
          <w:tcPr>
            <w:tcW w:w="0" w:type="auto"/>
            <w:hideMark/>
          </w:tcPr>
          <w:p w14:paraId="74167C3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2</w:t>
            </w:r>
          </w:p>
        </w:tc>
        <w:tc>
          <w:tcPr>
            <w:tcW w:w="0" w:type="auto"/>
            <w:hideMark/>
          </w:tcPr>
          <w:p w14:paraId="1DA95A6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04FDC8E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97C9E6"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26972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الهجمات السيبرانية</w:t>
            </w:r>
          </w:p>
        </w:tc>
        <w:tc>
          <w:tcPr>
            <w:tcW w:w="0" w:type="auto"/>
            <w:hideMark/>
          </w:tcPr>
          <w:p w14:paraId="62822BA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w:t>
            </w:r>
          </w:p>
        </w:tc>
        <w:tc>
          <w:tcPr>
            <w:tcW w:w="0" w:type="auto"/>
            <w:hideMark/>
          </w:tcPr>
          <w:p w14:paraId="36D0A59E"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7D6E67F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73094C0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293B9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رضا المستفيدين اليومي</w:t>
            </w:r>
          </w:p>
        </w:tc>
        <w:tc>
          <w:tcPr>
            <w:tcW w:w="0" w:type="auto"/>
            <w:hideMark/>
          </w:tcPr>
          <w:p w14:paraId="41DF20AA"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92%</w:t>
            </w:r>
          </w:p>
        </w:tc>
        <w:tc>
          <w:tcPr>
            <w:tcW w:w="0" w:type="auto"/>
            <w:hideMark/>
          </w:tcPr>
          <w:p w14:paraId="27F4DE5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c>
          <w:tcPr>
            <w:tcW w:w="0" w:type="auto"/>
            <w:hideMark/>
          </w:tcPr>
          <w:p w14:paraId="7801AAF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bl>
    <w:p w14:paraId="0A85B0C3"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رابعاً: لوحة قيادة الذكاء الاصطناعي</w:t>
      </w:r>
    </w:p>
    <w:p w14:paraId="45DAE5FB"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(7-40)</w:t>
      </w:r>
    </w:p>
    <w:tbl>
      <w:tblPr>
        <w:tblStyle w:val="PlainTable3"/>
        <w:tblW w:w="0" w:type="auto"/>
        <w:jc w:val="center"/>
        <w:tblLook w:val="04A0" w:firstRow="1" w:lastRow="0" w:firstColumn="1" w:lastColumn="0" w:noHBand="0" w:noVBand="1"/>
      </w:tblPr>
      <w:tblGrid>
        <w:gridCol w:w="2019"/>
        <w:gridCol w:w="1384"/>
        <w:gridCol w:w="2105"/>
        <w:gridCol w:w="1434"/>
      </w:tblGrid>
      <w:tr w:rsidR="00A77BC7" w:rsidRPr="00A77BC7" w14:paraId="6AE7F2B4"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9B5B06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النموذج الذكي</w:t>
            </w:r>
          </w:p>
        </w:tc>
        <w:tc>
          <w:tcPr>
            <w:tcW w:w="0" w:type="auto"/>
            <w:hideMark/>
          </w:tcPr>
          <w:p w14:paraId="4A3DB15E"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دقة النموذج</w:t>
            </w:r>
          </w:p>
        </w:tc>
        <w:tc>
          <w:tcPr>
            <w:tcW w:w="0" w:type="auto"/>
            <w:hideMark/>
          </w:tcPr>
          <w:p w14:paraId="3BCA3B7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معدل التحسن الشهري</w:t>
            </w:r>
          </w:p>
        </w:tc>
        <w:tc>
          <w:tcPr>
            <w:tcW w:w="0" w:type="auto"/>
            <w:hideMark/>
          </w:tcPr>
          <w:p w14:paraId="58590A2B"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الأداء</w:t>
            </w:r>
          </w:p>
        </w:tc>
      </w:tr>
      <w:tr w:rsidR="00A77BC7" w:rsidRPr="00A77BC7" w14:paraId="509FBEB2"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6D07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كشف التهريب</w:t>
            </w:r>
          </w:p>
        </w:tc>
        <w:tc>
          <w:tcPr>
            <w:tcW w:w="0" w:type="auto"/>
            <w:hideMark/>
          </w:tcPr>
          <w:p w14:paraId="208910D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c>
          <w:tcPr>
            <w:tcW w:w="0" w:type="auto"/>
            <w:hideMark/>
          </w:tcPr>
          <w:p w14:paraId="4558FD1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+0.4%</w:t>
            </w:r>
          </w:p>
        </w:tc>
        <w:tc>
          <w:tcPr>
            <w:tcW w:w="0" w:type="auto"/>
            <w:hideMark/>
          </w:tcPr>
          <w:p w14:paraId="01F289D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60C936E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3A39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كشف التهرب الضريبي</w:t>
            </w:r>
          </w:p>
        </w:tc>
        <w:tc>
          <w:tcPr>
            <w:tcW w:w="0" w:type="auto"/>
            <w:hideMark/>
          </w:tcPr>
          <w:p w14:paraId="588771B4"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94%</w:t>
            </w:r>
          </w:p>
        </w:tc>
        <w:tc>
          <w:tcPr>
            <w:tcW w:w="0" w:type="auto"/>
            <w:hideMark/>
          </w:tcPr>
          <w:p w14:paraId="5F21F9C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+0.5%</w:t>
            </w:r>
          </w:p>
        </w:tc>
        <w:tc>
          <w:tcPr>
            <w:tcW w:w="0" w:type="auto"/>
            <w:hideMark/>
          </w:tcPr>
          <w:p w14:paraId="35783D0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284DFDE5"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4C89E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تصنيف المخاطر</w:t>
            </w:r>
          </w:p>
        </w:tc>
        <w:tc>
          <w:tcPr>
            <w:tcW w:w="0" w:type="auto"/>
            <w:hideMark/>
          </w:tcPr>
          <w:p w14:paraId="6D52FCB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23B4FEB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+0.3%</w:t>
            </w:r>
          </w:p>
        </w:tc>
        <w:tc>
          <w:tcPr>
            <w:tcW w:w="0" w:type="auto"/>
            <w:hideMark/>
          </w:tcPr>
          <w:p w14:paraId="719CD2C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322F7C2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214A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التنبؤ بالإيرادات</w:t>
            </w:r>
          </w:p>
        </w:tc>
        <w:tc>
          <w:tcPr>
            <w:tcW w:w="0" w:type="auto"/>
            <w:hideMark/>
          </w:tcPr>
          <w:p w14:paraId="77AE478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93%</w:t>
            </w:r>
          </w:p>
        </w:tc>
        <w:tc>
          <w:tcPr>
            <w:tcW w:w="0" w:type="auto"/>
            <w:hideMark/>
          </w:tcPr>
          <w:p w14:paraId="73FB7E4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+0.2%</w:t>
            </w:r>
          </w:p>
        </w:tc>
        <w:tc>
          <w:tcPr>
            <w:tcW w:w="0" w:type="auto"/>
            <w:hideMark/>
          </w:tcPr>
          <w:p w14:paraId="1228617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جيد جداً</w:t>
            </w:r>
          </w:p>
        </w:tc>
      </w:tr>
      <w:tr w:rsidR="00A77BC7" w:rsidRPr="00A77BC7" w14:paraId="0688438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9C16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التنبؤ بالأعطال</w:t>
            </w:r>
          </w:p>
        </w:tc>
        <w:tc>
          <w:tcPr>
            <w:tcW w:w="0" w:type="auto"/>
            <w:hideMark/>
          </w:tcPr>
          <w:p w14:paraId="0B3E385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91%</w:t>
            </w:r>
          </w:p>
        </w:tc>
        <w:tc>
          <w:tcPr>
            <w:tcW w:w="0" w:type="auto"/>
            <w:hideMark/>
          </w:tcPr>
          <w:p w14:paraId="6D04D904"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+0.6%</w:t>
            </w:r>
          </w:p>
        </w:tc>
        <w:tc>
          <w:tcPr>
            <w:tcW w:w="0" w:type="auto"/>
            <w:hideMark/>
          </w:tcPr>
          <w:p w14:paraId="6E06661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جيد جداً</w:t>
            </w:r>
          </w:p>
        </w:tc>
      </w:tr>
    </w:tbl>
    <w:p w14:paraId="0D863788"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خامساً: لوحة الأمن السيبراني</w:t>
      </w:r>
    </w:p>
    <w:p w14:paraId="710D0FE1"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lastRenderedPageBreak/>
        <w:t>الجدول</w:t>
      </w:r>
      <w:r w:rsidRPr="00A77BC7">
        <w:rPr>
          <w:rFonts w:ascii="Sakkal Majalla" w:hAnsi="Sakkal Majalla" w:cs="Sakkal Majalla"/>
          <w:b/>
          <w:bCs/>
          <w:sz w:val="28"/>
        </w:rPr>
        <w:t xml:space="preserve"> (7-41)</w:t>
      </w:r>
    </w:p>
    <w:tbl>
      <w:tblPr>
        <w:tblStyle w:val="PlainTable3"/>
        <w:tblW w:w="0" w:type="auto"/>
        <w:jc w:val="center"/>
        <w:tblLook w:val="04A0" w:firstRow="1" w:lastRow="0" w:firstColumn="1" w:lastColumn="0" w:noHBand="0" w:noVBand="1"/>
      </w:tblPr>
      <w:tblGrid>
        <w:gridCol w:w="2020"/>
        <w:gridCol w:w="1441"/>
        <w:gridCol w:w="1686"/>
      </w:tblGrid>
      <w:tr w:rsidR="00A77BC7" w:rsidRPr="00A77BC7" w14:paraId="272F07FD"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D2722C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w:t>
            </w:r>
          </w:p>
        </w:tc>
        <w:tc>
          <w:tcPr>
            <w:tcW w:w="0" w:type="auto"/>
            <w:hideMark/>
          </w:tcPr>
          <w:p w14:paraId="016DDF7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w:t>
            </w:r>
          </w:p>
        </w:tc>
        <w:tc>
          <w:tcPr>
            <w:tcW w:w="0" w:type="auto"/>
            <w:hideMark/>
          </w:tcPr>
          <w:p w14:paraId="6F22DAC1"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الهدف</w:t>
            </w:r>
          </w:p>
        </w:tc>
      </w:tr>
      <w:tr w:rsidR="00A77BC7" w:rsidRPr="00A77BC7" w14:paraId="6598814B"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524D40"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عدد الهجمات اليومية</w:t>
            </w:r>
          </w:p>
        </w:tc>
        <w:tc>
          <w:tcPr>
            <w:tcW w:w="0" w:type="auto"/>
            <w:hideMark/>
          </w:tcPr>
          <w:p w14:paraId="3A6A700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2,300 </w:t>
            </w:r>
            <w:r w:rsidRPr="00A77BC7">
              <w:rPr>
                <w:rFonts w:ascii="Sakkal Majalla" w:hAnsi="Sakkal Majalla" w:cs="Sakkal Majalla"/>
                <w:sz w:val="24"/>
                <w:szCs w:val="24"/>
                <w:rtl/>
              </w:rPr>
              <w:t>محاولة</w:t>
            </w:r>
          </w:p>
        </w:tc>
        <w:tc>
          <w:tcPr>
            <w:tcW w:w="0" w:type="auto"/>
            <w:hideMark/>
          </w:tcPr>
          <w:p w14:paraId="2057DBD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تتم معالجتها</w:t>
            </w:r>
          </w:p>
        </w:tc>
      </w:tr>
      <w:tr w:rsidR="00A77BC7" w:rsidRPr="00A77BC7" w14:paraId="43C460B2"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A5061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الاختراقات الناجحة</w:t>
            </w:r>
          </w:p>
        </w:tc>
        <w:tc>
          <w:tcPr>
            <w:tcW w:w="0" w:type="auto"/>
            <w:hideMark/>
          </w:tcPr>
          <w:p w14:paraId="23E6A2A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61F9B5E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r>
      <w:tr w:rsidR="00A77BC7" w:rsidRPr="00A77BC7" w14:paraId="5C7D1AC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BE57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الاكتشاف</w:t>
            </w:r>
          </w:p>
        </w:tc>
        <w:tc>
          <w:tcPr>
            <w:tcW w:w="0" w:type="auto"/>
            <w:hideMark/>
          </w:tcPr>
          <w:p w14:paraId="2424CEE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4 </w:t>
            </w:r>
            <w:r w:rsidRPr="00A77BC7">
              <w:rPr>
                <w:rFonts w:ascii="Sakkal Majalla" w:hAnsi="Sakkal Majalla" w:cs="Sakkal Majalla"/>
                <w:sz w:val="24"/>
                <w:szCs w:val="24"/>
                <w:rtl/>
              </w:rPr>
              <w:t>دقائق</w:t>
            </w:r>
          </w:p>
        </w:tc>
        <w:tc>
          <w:tcPr>
            <w:tcW w:w="0" w:type="auto"/>
            <w:hideMark/>
          </w:tcPr>
          <w:p w14:paraId="3322E37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5 دقائق</w:t>
            </w:r>
          </w:p>
        </w:tc>
      </w:tr>
      <w:tr w:rsidR="00A77BC7" w:rsidRPr="00A77BC7" w14:paraId="0F3298A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845B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الاستجابة</w:t>
            </w:r>
          </w:p>
        </w:tc>
        <w:tc>
          <w:tcPr>
            <w:tcW w:w="0" w:type="auto"/>
            <w:hideMark/>
          </w:tcPr>
          <w:p w14:paraId="0F18458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11 </w:t>
            </w:r>
            <w:r w:rsidRPr="00A77BC7">
              <w:rPr>
                <w:rFonts w:ascii="Sakkal Majalla" w:hAnsi="Sakkal Majalla" w:cs="Sakkal Majalla"/>
                <w:sz w:val="24"/>
                <w:szCs w:val="24"/>
                <w:rtl/>
              </w:rPr>
              <w:t>دقيقة</w:t>
            </w:r>
          </w:p>
        </w:tc>
        <w:tc>
          <w:tcPr>
            <w:tcW w:w="0" w:type="auto"/>
            <w:hideMark/>
          </w:tcPr>
          <w:p w14:paraId="312FBB5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r>
      <w:tr w:rsidR="00A77BC7" w:rsidRPr="00A77BC7" w14:paraId="3C555A4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7F4C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التعافي</w:t>
            </w:r>
          </w:p>
        </w:tc>
        <w:tc>
          <w:tcPr>
            <w:tcW w:w="0" w:type="auto"/>
            <w:hideMark/>
          </w:tcPr>
          <w:p w14:paraId="691708A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28 </w:t>
            </w:r>
            <w:r w:rsidRPr="00A77BC7">
              <w:rPr>
                <w:rFonts w:ascii="Sakkal Majalla" w:hAnsi="Sakkal Majalla" w:cs="Sakkal Majalla"/>
                <w:sz w:val="24"/>
                <w:szCs w:val="24"/>
                <w:rtl/>
              </w:rPr>
              <w:t>دقيقة</w:t>
            </w:r>
          </w:p>
        </w:tc>
        <w:tc>
          <w:tcPr>
            <w:tcW w:w="0" w:type="auto"/>
            <w:hideMark/>
          </w:tcPr>
          <w:p w14:paraId="33B4DB7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30 دقيقة</w:t>
            </w:r>
          </w:p>
        </w:tc>
      </w:tr>
      <w:tr w:rsidR="00A77BC7" w:rsidRPr="00A77BC7" w14:paraId="766B381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74FFA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الامتثال الأمني</w:t>
            </w:r>
          </w:p>
        </w:tc>
        <w:tc>
          <w:tcPr>
            <w:tcW w:w="0" w:type="auto"/>
            <w:hideMark/>
          </w:tcPr>
          <w:p w14:paraId="70817E4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98%</w:t>
            </w:r>
          </w:p>
        </w:tc>
        <w:tc>
          <w:tcPr>
            <w:tcW w:w="0" w:type="auto"/>
            <w:hideMark/>
          </w:tcPr>
          <w:p w14:paraId="32D6D30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r>
    </w:tbl>
    <w:p w14:paraId="268F2BC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سادساً: لوحة الأداء المالي</w:t>
      </w:r>
    </w:p>
    <w:p w14:paraId="5D8E3C6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(7-42)</w:t>
      </w:r>
    </w:p>
    <w:tbl>
      <w:tblPr>
        <w:tblStyle w:val="PlainTable3"/>
        <w:tblW w:w="0" w:type="auto"/>
        <w:jc w:val="center"/>
        <w:tblLook w:val="04A0" w:firstRow="1" w:lastRow="0" w:firstColumn="1" w:lastColumn="0" w:noHBand="0" w:noVBand="1"/>
      </w:tblPr>
      <w:tblGrid>
        <w:gridCol w:w="2061"/>
        <w:gridCol w:w="1958"/>
      </w:tblGrid>
      <w:tr w:rsidR="00A77BC7" w:rsidRPr="00A77BC7" w14:paraId="15AA56AC"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4B09C4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 المالي</w:t>
            </w:r>
          </w:p>
        </w:tc>
        <w:tc>
          <w:tcPr>
            <w:tcW w:w="0" w:type="auto"/>
            <w:hideMark/>
          </w:tcPr>
          <w:p w14:paraId="76682D9A"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w:t>
            </w:r>
          </w:p>
        </w:tc>
      </w:tr>
      <w:tr w:rsidR="00A77BC7" w:rsidRPr="00A77BC7" w14:paraId="36F17A67"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CBC35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الإيرادات المحصلة</w:t>
            </w:r>
          </w:p>
        </w:tc>
        <w:tc>
          <w:tcPr>
            <w:tcW w:w="0" w:type="auto"/>
            <w:hideMark/>
          </w:tcPr>
          <w:p w14:paraId="1E12166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650 </w:t>
            </w:r>
            <w:r w:rsidRPr="00A77BC7">
              <w:rPr>
                <w:rFonts w:ascii="Sakkal Majalla" w:hAnsi="Sakkal Majalla" w:cs="Sakkal Majalla"/>
                <w:sz w:val="24"/>
                <w:szCs w:val="24"/>
                <w:rtl/>
              </w:rPr>
              <w:t>مليار ريال</w:t>
            </w:r>
          </w:p>
        </w:tc>
      </w:tr>
      <w:tr w:rsidR="00A77BC7" w:rsidRPr="00A77BC7" w14:paraId="4AF9A587"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F1A23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الوفورات التشغيلية</w:t>
            </w:r>
          </w:p>
        </w:tc>
        <w:tc>
          <w:tcPr>
            <w:tcW w:w="0" w:type="auto"/>
            <w:hideMark/>
          </w:tcPr>
          <w:p w14:paraId="18E958A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7.2 </w:t>
            </w:r>
            <w:r w:rsidRPr="00A77BC7">
              <w:rPr>
                <w:rFonts w:ascii="Sakkal Majalla" w:hAnsi="Sakkal Majalla" w:cs="Sakkal Majalla"/>
                <w:sz w:val="24"/>
                <w:szCs w:val="24"/>
                <w:rtl/>
              </w:rPr>
              <w:t>مليار ريال</w:t>
            </w:r>
          </w:p>
        </w:tc>
      </w:tr>
      <w:tr w:rsidR="00A77BC7" w:rsidRPr="00A77BC7" w14:paraId="090F7769"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4FF6BF"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تكلفة التشغيل</w:t>
            </w:r>
          </w:p>
        </w:tc>
        <w:tc>
          <w:tcPr>
            <w:tcW w:w="0" w:type="auto"/>
            <w:hideMark/>
          </w:tcPr>
          <w:p w14:paraId="24B9DAE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منخفضة بنسبة 30</w:t>
            </w:r>
            <w:r w:rsidRPr="00A77BC7">
              <w:rPr>
                <w:rFonts w:ascii="Sakkal Majalla" w:hAnsi="Sakkal Majalla" w:cs="Sakkal Majalla"/>
                <w:sz w:val="24"/>
                <w:szCs w:val="24"/>
              </w:rPr>
              <w:t>%</w:t>
            </w:r>
          </w:p>
        </w:tc>
      </w:tr>
      <w:tr w:rsidR="00A77BC7" w:rsidRPr="00A77BC7" w14:paraId="1AAE9422"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64A00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العائد على الاستثمار</w:t>
            </w:r>
          </w:p>
        </w:tc>
        <w:tc>
          <w:tcPr>
            <w:tcW w:w="0" w:type="auto"/>
            <w:hideMark/>
          </w:tcPr>
          <w:p w14:paraId="7C5D19A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527%</w:t>
            </w:r>
          </w:p>
        </w:tc>
      </w:tr>
      <w:tr w:rsidR="00A77BC7" w:rsidRPr="00A77BC7" w14:paraId="7B99D46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759C1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تكلفة المعاملة الواحدة</w:t>
            </w:r>
          </w:p>
        </w:tc>
        <w:tc>
          <w:tcPr>
            <w:tcW w:w="0" w:type="auto"/>
            <w:hideMark/>
          </w:tcPr>
          <w:p w14:paraId="58F2F47A"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انخفضت 45</w:t>
            </w:r>
            <w:r w:rsidRPr="00A77BC7">
              <w:rPr>
                <w:rFonts w:ascii="Sakkal Majalla" w:hAnsi="Sakkal Majalla" w:cs="Sakkal Majalla"/>
                <w:sz w:val="24"/>
                <w:szCs w:val="24"/>
              </w:rPr>
              <w:t>%</w:t>
            </w:r>
          </w:p>
        </w:tc>
      </w:tr>
    </w:tbl>
    <w:p w14:paraId="66B6FF4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سابعاً: لوحة أصحاب المصلحة</w:t>
      </w:r>
    </w:p>
    <w:p w14:paraId="156CA8EE"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(7-43)</w:t>
      </w:r>
    </w:p>
    <w:tbl>
      <w:tblPr>
        <w:tblStyle w:val="PlainTable3"/>
        <w:tblW w:w="0" w:type="auto"/>
        <w:jc w:val="center"/>
        <w:tblLook w:val="04A0" w:firstRow="1" w:lastRow="0" w:firstColumn="1" w:lastColumn="0" w:noHBand="0" w:noVBand="1"/>
      </w:tblPr>
      <w:tblGrid>
        <w:gridCol w:w="1741"/>
        <w:gridCol w:w="1883"/>
        <w:gridCol w:w="1686"/>
      </w:tblGrid>
      <w:tr w:rsidR="00A77BC7" w:rsidRPr="00A77BC7" w14:paraId="4CD66D29"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4996D4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أصحاب المصلحة</w:t>
            </w:r>
          </w:p>
        </w:tc>
        <w:tc>
          <w:tcPr>
            <w:tcW w:w="0" w:type="auto"/>
            <w:hideMark/>
          </w:tcPr>
          <w:p w14:paraId="0D022D30"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 القياس</w:t>
            </w:r>
          </w:p>
        </w:tc>
        <w:tc>
          <w:tcPr>
            <w:tcW w:w="0" w:type="auto"/>
            <w:hideMark/>
          </w:tcPr>
          <w:p w14:paraId="278C4F9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الهدف</w:t>
            </w:r>
          </w:p>
        </w:tc>
      </w:tr>
      <w:tr w:rsidR="00A77BC7" w:rsidRPr="00A77BC7" w14:paraId="34FACC8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689C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المستثمرون</w:t>
            </w:r>
          </w:p>
        </w:tc>
        <w:tc>
          <w:tcPr>
            <w:tcW w:w="0" w:type="auto"/>
            <w:hideMark/>
          </w:tcPr>
          <w:p w14:paraId="3681310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رضا المستثمر</w:t>
            </w:r>
          </w:p>
        </w:tc>
        <w:tc>
          <w:tcPr>
            <w:tcW w:w="0" w:type="auto"/>
            <w:hideMark/>
          </w:tcPr>
          <w:p w14:paraId="15428BD3"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r>
      <w:tr w:rsidR="00A77BC7" w:rsidRPr="00A77BC7" w14:paraId="038A0023"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6588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المستوردون</w:t>
            </w:r>
          </w:p>
        </w:tc>
        <w:tc>
          <w:tcPr>
            <w:tcW w:w="0" w:type="auto"/>
            <w:hideMark/>
          </w:tcPr>
          <w:p w14:paraId="00FFE17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سرعة الإفراج</w:t>
            </w:r>
          </w:p>
        </w:tc>
        <w:tc>
          <w:tcPr>
            <w:tcW w:w="0" w:type="auto"/>
            <w:hideMark/>
          </w:tcPr>
          <w:p w14:paraId="7378FCE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r>
      <w:tr w:rsidR="00A77BC7" w:rsidRPr="00A77BC7" w14:paraId="417A9FB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33E6C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المصدرون</w:t>
            </w:r>
          </w:p>
        </w:tc>
        <w:tc>
          <w:tcPr>
            <w:tcW w:w="0" w:type="auto"/>
            <w:hideMark/>
          </w:tcPr>
          <w:p w14:paraId="422A272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سهولة الإجراءات</w:t>
            </w:r>
          </w:p>
        </w:tc>
        <w:tc>
          <w:tcPr>
            <w:tcW w:w="0" w:type="auto"/>
            <w:hideMark/>
          </w:tcPr>
          <w:p w14:paraId="662C02F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97%</w:t>
            </w:r>
          </w:p>
        </w:tc>
      </w:tr>
      <w:tr w:rsidR="00A77BC7" w:rsidRPr="00A77BC7" w14:paraId="26217E1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4EDF9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شركات الشحن</w:t>
            </w:r>
          </w:p>
        </w:tc>
        <w:tc>
          <w:tcPr>
            <w:tcW w:w="0" w:type="auto"/>
            <w:hideMark/>
          </w:tcPr>
          <w:p w14:paraId="24E56E9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زمن التخليص</w:t>
            </w:r>
          </w:p>
        </w:tc>
        <w:tc>
          <w:tcPr>
            <w:tcW w:w="0" w:type="auto"/>
            <w:hideMark/>
          </w:tcPr>
          <w:p w14:paraId="10D0678E"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20 دقيقة</w:t>
            </w:r>
          </w:p>
        </w:tc>
      </w:tr>
      <w:tr w:rsidR="00A77BC7" w:rsidRPr="00A77BC7" w14:paraId="4B5CDEF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EFFBF8"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الجهات الحكومية</w:t>
            </w:r>
          </w:p>
        </w:tc>
        <w:tc>
          <w:tcPr>
            <w:tcW w:w="0" w:type="auto"/>
            <w:hideMark/>
          </w:tcPr>
          <w:p w14:paraId="2AA2465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سرعة تبادل البيانات</w:t>
            </w:r>
          </w:p>
        </w:tc>
        <w:tc>
          <w:tcPr>
            <w:tcW w:w="0" w:type="auto"/>
            <w:hideMark/>
          </w:tcPr>
          <w:p w14:paraId="2E714B2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p>
        </w:tc>
      </w:tr>
      <w:tr w:rsidR="00A77BC7" w:rsidRPr="00A77BC7" w14:paraId="20021F68"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E1EA9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lastRenderedPageBreak/>
              <w:t>المواطنون</w:t>
            </w:r>
          </w:p>
        </w:tc>
        <w:tc>
          <w:tcPr>
            <w:tcW w:w="0" w:type="auto"/>
            <w:hideMark/>
          </w:tcPr>
          <w:p w14:paraId="29F091C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رضا الخدمات</w:t>
            </w:r>
          </w:p>
        </w:tc>
        <w:tc>
          <w:tcPr>
            <w:tcW w:w="0" w:type="auto"/>
            <w:hideMark/>
          </w:tcPr>
          <w:p w14:paraId="0D15FFC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r>
    </w:tbl>
    <w:p w14:paraId="7B394C37"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ثامناً: نظام الإنذار المبكر</w:t>
      </w:r>
    </w:p>
    <w:p w14:paraId="602DC61A"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يقترح الباحث تضمين لوحة القيادة نظاماً متقدماً للإنذار المبكر يعتمد على الذكاء الاصطناعي، بحيث لا يكتفي بعرض المؤشرات، بل يرسل تنبيهات فورية إلى القيادات عند ظهور أي انحراف عن المستهدفات</w:t>
      </w:r>
      <w:r w:rsidRPr="00A77BC7">
        <w:rPr>
          <w:rFonts w:ascii="Sakkal Majalla" w:hAnsi="Sakkal Majalla" w:cs="Sakkal Majalla"/>
          <w:sz w:val="28"/>
        </w:rPr>
        <w:t>.</w:t>
      </w:r>
    </w:p>
    <w:p w14:paraId="5715B17B"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(7-44)</w:t>
      </w:r>
    </w:p>
    <w:p w14:paraId="764693F2"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مستويات التنبيه</w:t>
      </w:r>
    </w:p>
    <w:tbl>
      <w:tblPr>
        <w:tblStyle w:val="PlainTable3"/>
        <w:tblW w:w="0" w:type="auto"/>
        <w:jc w:val="center"/>
        <w:tblLook w:val="04A0" w:firstRow="1" w:lastRow="0" w:firstColumn="1" w:lastColumn="0" w:noHBand="0" w:noVBand="1"/>
      </w:tblPr>
      <w:tblGrid>
        <w:gridCol w:w="1331"/>
        <w:gridCol w:w="2033"/>
        <w:gridCol w:w="2802"/>
      </w:tblGrid>
      <w:tr w:rsidR="00A77BC7" w:rsidRPr="00A77BC7" w14:paraId="7CF20A3C"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A6AA1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اللون</w:t>
            </w:r>
          </w:p>
        </w:tc>
        <w:tc>
          <w:tcPr>
            <w:tcW w:w="0" w:type="auto"/>
            <w:hideMark/>
          </w:tcPr>
          <w:p w14:paraId="70D73174"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الأداء</w:t>
            </w:r>
          </w:p>
        </w:tc>
        <w:tc>
          <w:tcPr>
            <w:tcW w:w="0" w:type="auto"/>
            <w:hideMark/>
          </w:tcPr>
          <w:p w14:paraId="0A9122D5"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الإجراء المطلوب</w:t>
            </w:r>
          </w:p>
        </w:tc>
      </w:tr>
      <w:tr w:rsidR="00A77BC7" w:rsidRPr="00A77BC7" w14:paraId="6C3377D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7F9D3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أخضر</w:t>
            </w:r>
          </w:p>
        </w:tc>
        <w:tc>
          <w:tcPr>
            <w:tcW w:w="0" w:type="auto"/>
            <w:hideMark/>
          </w:tcPr>
          <w:p w14:paraId="76BF969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 ضمن المستهدف</w:t>
            </w:r>
          </w:p>
        </w:tc>
        <w:tc>
          <w:tcPr>
            <w:tcW w:w="0" w:type="auto"/>
            <w:hideMark/>
          </w:tcPr>
          <w:p w14:paraId="2F019EBD"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متابعة اعتيادية</w:t>
            </w:r>
          </w:p>
        </w:tc>
      </w:tr>
      <w:tr w:rsidR="00A77BC7" w:rsidRPr="00A77BC7" w14:paraId="6B41BD9D"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8B8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أصفر</w:t>
            </w:r>
          </w:p>
        </w:tc>
        <w:tc>
          <w:tcPr>
            <w:tcW w:w="0" w:type="auto"/>
            <w:hideMark/>
          </w:tcPr>
          <w:p w14:paraId="510FD27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حتى 10</w:t>
            </w:r>
            <w:r w:rsidRPr="00A77BC7">
              <w:rPr>
                <w:rFonts w:ascii="Sakkal Majalla" w:hAnsi="Sakkal Majalla" w:cs="Sakkal Majalla"/>
                <w:sz w:val="24"/>
                <w:szCs w:val="24"/>
              </w:rPr>
              <w:t>%</w:t>
            </w:r>
          </w:p>
        </w:tc>
        <w:tc>
          <w:tcPr>
            <w:tcW w:w="0" w:type="auto"/>
            <w:hideMark/>
          </w:tcPr>
          <w:p w14:paraId="67094FA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إعداد خطة تصحيح</w:t>
            </w:r>
          </w:p>
        </w:tc>
      </w:tr>
      <w:tr w:rsidR="00A77BC7" w:rsidRPr="00A77BC7" w14:paraId="018FD73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42B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برتقالي</w:t>
            </w:r>
          </w:p>
        </w:tc>
        <w:tc>
          <w:tcPr>
            <w:tcW w:w="0" w:type="auto"/>
            <w:hideMark/>
          </w:tcPr>
          <w:p w14:paraId="24CACE8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10–20</w:t>
            </w:r>
            <w:r w:rsidRPr="00A77BC7">
              <w:rPr>
                <w:rFonts w:ascii="Sakkal Majalla" w:hAnsi="Sakkal Majalla" w:cs="Sakkal Majalla"/>
                <w:sz w:val="24"/>
                <w:szCs w:val="24"/>
              </w:rPr>
              <w:t>%</w:t>
            </w:r>
          </w:p>
        </w:tc>
        <w:tc>
          <w:tcPr>
            <w:tcW w:w="0" w:type="auto"/>
            <w:hideMark/>
          </w:tcPr>
          <w:p w14:paraId="1360BF1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تدخل الإدارة التنفيذية</w:t>
            </w:r>
          </w:p>
        </w:tc>
      </w:tr>
      <w:tr w:rsidR="00A77BC7" w:rsidRPr="00A77BC7" w14:paraId="3A99C1B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3FDDC8"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أحمر</w:t>
            </w:r>
          </w:p>
        </w:tc>
        <w:tc>
          <w:tcPr>
            <w:tcW w:w="0" w:type="auto"/>
            <w:hideMark/>
          </w:tcPr>
          <w:p w14:paraId="5B2BE6B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أكبر من 20</w:t>
            </w:r>
            <w:r w:rsidRPr="00A77BC7">
              <w:rPr>
                <w:rFonts w:ascii="Sakkal Majalla" w:hAnsi="Sakkal Majalla" w:cs="Sakkal Majalla"/>
                <w:sz w:val="24"/>
                <w:szCs w:val="24"/>
              </w:rPr>
              <w:t>%</w:t>
            </w:r>
          </w:p>
        </w:tc>
        <w:tc>
          <w:tcPr>
            <w:tcW w:w="0" w:type="auto"/>
            <w:hideMark/>
          </w:tcPr>
          <w:p w14:paraId="3E400F5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تصعيد للجنة العليا للتحول الرقمي</w:t>
            </w:r>
          </w:p>
        </w:tc>
      </w:tr>
    </w:tbl>
    <w:p w14:paraId="1FF9E9D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تاسعاً: دورة اتخاذ القرار</w:t>
      </w:r>
    </w:p>
    <w:p w14:paraId="518B9E3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(7-45)</w:t>
      </w:r>
    </w:p>
    <w:tbl>
      <w:tblPr>
        <w:tblStyle w:val="PlainTable3"/>
        <w:tblW w:w="0" w:type="auto"/>
        <w:jc w:val="center"/>
        <w:tblLook w:val="04A0" w:firstRow="1" w:lastRow="0" w:firstColumn="1" w:lastColumn="0" w:noHBand="0" w:noVBand="1"/>
      </w:tblPr>
      <w:tblGrid>
        <w:gridCol w:w="2211"/>
        <w:gridCol w:w="1791"/>
      </w:tblGrid>
      <w:tr w:rsidR="00A77BC7" w:rsidRPr="00A77BC7" w14:paraId="3855F6B6"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440782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المرحلة</w:t>
            </w:r>
          </w:p>
        </w:tc>
        <w:tc>
          <w:tcPr>
            <w:tcW w:w="0" w:type="auto"/>
            <w:hideMark/>
          </w:tcPr>
          <w:p w14:paraId="684EF691"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الزمن</w:t>
            </w:r>
          </w:p>
        </w:tc>
      </w:tr>
      <w:tr w:rsidR="00A77BC7" w:rsidRPr="00A77BC7" w14:paraId="60CFA388"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67C6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ظهور الانحراف</w:t>
            </w:r>
          </w:p>
        </w:tc>
        <w:tc>
          <w:tcPr>
            <w:tcW w:w="0" w:type="auto"/>
            <w:hideMark/>
          </w:tcPr>
          <w:p w14:paraId="293E9465"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p>
        </w:tc>
      </w:tr>
      <w:tr w:rsidR="00A77BC7" w:rsidRPr="00A77BC7" w14:paraId="1C60FFC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C1852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إصدار التنبيه</w:t>
            </w:r>
          </w:p>
        </w:tc>
        <w:tc>
          <w:tcPr>
            <w:tcW w:w="0" w:type="auto"/>
            <w:hideMark/>
          </w:tcPr>
          <w:p w14:paraId="531D0BF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خلال دقيقة</w:t>
            </w:r>
          </w:p>
        </w:tc>
      </w:tr>
      <w:tr w:rsidR="00A77BC7" w:rsidRPr="00A77BC7" w14:paraId="42D4D9C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41A1E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تحليل السبب</w:t>
            </w:r>
          </w:p>
        </w:tc>
        <w:tc>
          <w:tcPr>
            <w:tcW w:w="0" w:type="auto"/>
            <w:hideMark/>
          </w:tcPr>
          <w:p w14:paraId="00EDEE1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30 دقيقة</w:t>
            </w:r>
          </w:p>
        </w:tc>
      </w:tr>
      <w:tr w:rsidR="00A77BC7" w:rsidRPr="00A77BC7" w14:paraId="0E29C764"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2875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إعداد الإجراء التصحيحي</w:t>
            </w:r>
          </w:p>
        </w:tc>
        <w:tc>
          <w:tcPr>
            <w:tcW w:w="0" w:type="auto"/>
            <w:hideMark/>
          </w:tcPr>
          <w:p w14:paraId="2DFE41A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24 ساعة</w:t>
            </w:r>
          </w:p>
        </w:tc>
      </w:tr>
      <w:tr w:rsidR="00A77BC7" w:rsidRPr="00A77BC7" w14:paraId="451D272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D2F66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التنفيذ</w:t>
            </w:r>
          </w:p>
        </w:tc>
        <w:tc>
          <w:tcPr>
            <w:tcW w:w="0" w:type="auto"/>
            <w:hideMark/>
          </w:tcPr>
          <w:p w14:paraId="7F42EA2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خلال أسبوع</w:t>
            </w:r>
          </w:p>
        </w:tc>
      </w:tr>
      <w:tr w:rsidR="00A77BC7" w:rsidRPr="00A77BC7" w14:paraId="0FE2BC55"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73759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إعادة القياس</w:t>
            </w:r>
          </w:p>
        </w:tc>
        <w:tc>
          <w:tcPr>
            <w:tcW w:w="0" w:type="auto"/>
            <w:hideMark/>
          </w:tcPr>
          <w:p w14:paraId="0A7399D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بعد التنفيذ مباشرة</w:t>
            </w:r>
          </w:p>
        </w:tc>
      </w:tr>
    </w:tbl>
    <w:p w14:paraId="5D0E921D"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عاشراً: رأي الباحث</w:t>
      </w:r>
    </w:p>
    <w:p w14:paraId="13085CF9" w14:textId="77777777" w:rsidR="00A77BC7" w:rsidRDefault="00A77BC7" w:rsidP="00A77BC7">
      <w:pPr>
        <w:pStyle w:val="BlockText"/>
        <w:spacing w:line="360" w:lineRule="auto"/>
        <w:jc w:val="lowKashida"/>
        <w:rPr>
          <w:rFonts w:ascii="Sakkal Majalla" w:hAnsi="Sakkal Majalla" w:cs="Sakkal Majalla"/>
          <w:sz w:val="28"/>
          <w:rtl/>
        </w:rPr>
      </w:pPr>
      <w:r w:rsidRPr="00A77BC7">
        <w:rPr>
          <w:rFonts w:ascii="Sakkal Majalla" w:hAnsi="Sakkal Majalla" w:cs="Sakkal Majalla"/>
          <w:sz w:val="28"/>
          <w:rtl/>
        </w:rPr>
        <w:t xml:space="preserve">يرى الباحث أن إنشاء لوحة قيادة تنفيذية رقمية لا يمثل مجرد وسيلة لعرض البيانات، بل يعد حجر الزاوية في نجاح تنفيذ الخطة الاستراتيجية المقترحة، لأنها تحول البيانات التشغيلية اليومية إلى معلومات استراتيجية تدعم متخذي </w:t>
      </w:r>
      <w:r w:rsidRPr="00A77BC7">
        <w:rPr>
          <w:rFonts w:ascii="Sakkal Majalla" w:hAnsi="Sakkal Majalla" w:cs="Sakkal Majalla"/>
          <w:sz w:val="28"/>
          <w:rtl/>
        </w:rPr>
        <w:lastRenderedPageBreak/>
        <w:t>القرار في جميع المستويات الإدارية. كما أن ربط هذه اللوحة بالذكاء الاصطناعي والتحليلات التنبؤية يتيح الانتقال من الإدارة التقليدية القائمة على التقارير الدورية إلى الإدارة الاستباقية القائمة على التنبؤ بالمشكلات قبل وقوعها، مما يعزز كفاءة الأداء المؤسسي ويقلل من زمن الاستجابة ويزيد من القدرة على تحقيق المستهدفات الوطنية</w:t>
      </w:r>
      <w:r w:rsidRPr="00A77BC7">
        <w:rPr>
          <w:rFonts w:ascii="Sakkal Majalla" w:hAnsi="Sakkal Majalla" w:cs="Sakkal Majalla"/>
          <w:sz w:val="28"/>
        </w:rPr>
        <w:t>.</w:t>
      </w:r>
    </w:p>
    <w:p w14:paraId="37C9FC25" w14:textId="56D08BE3" w:rsidR="00E548E0" w:rsidRPr="00E548E0" w:rsidRDefault="00E548E0" w:rsidP="00E548E0">
      <w:pPr>
        <w:pStyle w:val="BlockText"/>
        <w:spacing w:line="360" w:lineRule="auto"/>
        <w:jc w:val="lowKashida"/>
        <w:rPr>
          <w:rFonts w:ascii="Sakkal Majalla" w:hAnsi="Sakkal Majalla" w:cs="Sakkal Majalla"/>
          <w:b/>
          <w:bCs/>
          <w:sz w:val="28"/>
        </w:rPr>
      </w:pPr>
      <w:r>
        <w:rPr>
          <w:rFonts w:ascii="Sakkal Majalla" w:hAnsi="Sakkal Majalla" w:cs="Sakkal Majalla" w:hint="cs"/>
          <w:b/>
          <w:bCs/>
          <w:sz w:val="28"/>
          <w:rtl/>
        </w:rPr>
        <w:t xml:space="preserve">ثامناً: </w:t>
      </w:r>
      <w:r w:rsidRPr="00E548E0">
        <w:rPr>
          <w:rFonts w:ascii="Sakkal Majalla" w:hAnsi="Sakkal Majalla" w:cs="Sakkal Majalla"/>
          <w:b/>
          <w:bCs/>
          <w:sz w:val="28"/>
          <w:rtl/>
        </w:rPr>
        <w:t>النتائج، الاستنتاجات، والتوصيات، وآفاق البحث المستقبلية</w:t>
      </w:r>
    </w:p>
    <w:p w14:paraId="1C5BA959" w14:textId="30EBD76A"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 xml:space="preserve">يمثل هذا </w:t>
      </w:r>
      <w:r>
        <w:rPr>
          <w:rFonts w:ascii="Sakkal Majalla" w:hAnsi="Sakkal Majalla" w:cs="Sakkal Majalla" w:hint="cs"/>
          <w:sz w:val="28"/>
          <w:rtl/>
        </w:rPr>
        <w:t>الجزء</w:t>
      </w:r>
      <w:r w:rsidRPr="00E548E0">
        <w:rPr>
          <w:rFonts w:ascii="Sakkal Majalla" w:hAnsi="Sakkal Majalla" w:cs="Sakkal Majalla"/>
          <w:sz w:val="28"/>
          <w:rtl/>
        </w:rPr>
        <w:t xml:space="preserve"> المحصلة العلمية النهائية للدراسة، إذ يتضمن عرضاً تحليلياً لأبرز النتائج التي توصل إليها الباحث في ضوء الإطار النظري، والدراسة الميدانية، والتحليل الإحصائي، والمقارنة المرجعية الدولية، والنموذج الاستراتيجي المقترح لتطوير التحول الرقمي في هيئة الزكاة والضريبة والجمارك بالمملكة العربية السعودية. ويُعد هذا الفصل تتويجاً لجميع المراحل البحثية السابقة، حيث تنتقل الدراسة من مرحلة التحليل والتفسير إلى مرحلة استخلاص الدلالات العلمية، وبناء الاستنتاجات، وصياغة التوصيات التنفيذية، واقتراح أجندة بحثية مستقبلية تسهم في تطوير المعرفة العلمية في مجال الجمارك الرقمية والإدارة الحكومية الذكية</w:t>
      </w:r>
      <w:r w:rsidRPr="00E548E0">
        <w:rPr>
          <w:rFonts w:ascii="Sakkal Majalla" w:hAnsi="Sakkal Majalla" w:cs="Sakkal Majalla"/>
          <w:sz w:val="28"/>
        </w:rPr>
        <w:t>.</w:t>
      </w:r>
    </w:p>
    <w:p w14:paraId="037C7ED9"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وقد انطلقت هذه الدراسة من تساؤل رئيس يتمثل في</w:t>
      </w:r>
      <w:r w:rsidRPr="00E548E0">
        <w:rPr>
          <w:rFonts w:ascii="Sakkal Majalla" w:hAnsi="Sakkal Majalla" w:cs="Sakkal Majalla"/>
          <w:sz w:val="28"/>
        </w:rPr>
        <w:t xml:space="preserve">: </w:t>
      </w:r>
      <w:r w:rsidRPr="00E548E0">
        <w:rPr>
          <w:rFonts w:ascii="Sakkal Majalla" w:hAnsi="Sakkal Majalla" w:cs="Sakkal Majalla"/>
          <w:b/>
          <w:bCs/>
          <w:sz w:val="28"/>
          <w:rtl/>
        </w:rPr>
        <w:t>إلى أي مدى يسهم التحول الرقمي بأبعاده المختلفة في تعزيز الأمن الجمركي وتيسير التجارة وتحسين كفاءة الأداء المؤسسي داخل هيئة الزكاة والضريبة والجمارك؟</w:t>
      </w:r>
      <w:r w:rsidRPr="00E548E0">
        <w:rPr>
          <w:rFonts w:ascii="Sakkal Majalla" w:hAnsi="Sakkal Majalla" w:cs="Sakkal Majalla"/>
          <w:sz w:val="28"/>
          <w:rtl/>
        </w:rPr>
        <w:t xml:space="preserve"> وللإجابة عن هذا التساؤل، اعتمد الباحث على منهجية علمية متكاملة جمعت بين التحليل النظري، والمراجعة المنهجية للدراسات السابقة، والدراسة التطبيقية، والتحليل الإحصائي، والمقارنة مع أفضل الممارسات الدولية، بما أتاح بناء تصور شامل للعلاقة بين التحول الرقمي وأداء المنظومات الجمركية الحديثة</w:t>
      </w:r>
      <w:r w:rsidRPr="00E548E0">
        <w:rPr>
          <w:rFonts w:ascii="Sakkal Majalla" w:hAnsi="Sakkal Majalla" w:cs="Sakkal Majalla"/>
          <w:sz w:val="28"/>
        </w:rPr>
        <w:t>.</w:t>
      </w:r>
    </w:p>
    <w:p w14:paraId="5A1AF132"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وقد كشفت نتائج الدراسة عن أن التحول الرقمي لم يعد مجرد وسيلة لتحسين الإجراءات أو تسريع تقديم الخدمات، بل أصبح أحد المرتكزات الأساسية لبناء منظومات جمركية ذكية قادرة على تحقيق التوازن بين متطلبات الأمن الوطني، ومتطلبات تيسير التجارة الدولية، وتعزيز تنافسية الاقتصاد الوطني. كما بينت النتائج أن نجاح التحول الرقمي يرتبط بوجود رؤية استراتيجية واضحة، وبنية تحتية تقنية متقدمة، وحوكمة رقمية فعالة، وموارد بشرية مؤهلة، إضافة إلى منظومة متكاملة لإدارة البيانات والذكاء الاصطناعي والأمن السيبراني</w:t>
      </w:r>
      <w:r w:rsidRPr="00E548E0">
        <w:rPr>
          <w:rFonts w:ascii="Sakkal Majalla" w:hAnsi="Sakkal Majalla" w:cs="Sakkal Majalla"/>
          <w:sz w:val="28"/>
        </w:rPr>
        <w:t>.</w:t>
      </w:r>
    </w:p>
    <w:p w14:paraId="56A3E501"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 xml:space="preserve">ويعرض هذا الفصل النتائج الرئيسة للدراسة، ثم يناقش الاستنتاجات العامة التي يمكن استخلاصها منها، قبل أن يقدم مجموعة من التوصيات العملية الموجهة إلى هيئة الزكاة والضريبة والجمارك، والجهات الحكومية ذات العلاقة، والقطاع </w:t>
      </w:r>
      <w:r w:rsidRPr="00E548E0">
        <w:rPr>
          <w:rFonts w:ascii="Sakkal Majalla" w:hAnsi="Sakkal Majalla" w:cs="Sakkal Majalla"/>
          <w:sz w:val="28"/>
          <w:rtl/>
        </w:rPr>
        <w:lastRenderedPageBreak/>
        <w:t>الخاص، والباحثين. كما يتناول الفصل إسهامات الدراسة العلمية والتطبيقية، ومحدداتها المنهجية، ويختتم بعرض أجندة بحثية مستقبلية، ثم خاتمة عامة تلخص القيمة العلمية والعملية للدراسة</w:t>
      </w:r>
      <w:r w:rsidRPr="00E548E0">
        <w:rPr>
          <w:rFonts w:ascii="Sakkal Majalla" w:hAnsi="Sakkal Majalla" w:cs="Sakkal Majalla"/>
          <w:sz w:val="28"/>
        </w:rPr>
        <w:t>.</w:t>
      </w:r>
    </w:p>
    <w:p w14:paraId="3D5417A9"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أولاً: النتائج الرئيسة للدراسة</w:t>
      </w:r>
    </w:p>
    <w:p w14:paraId="5E1C7C9E"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الأولى: التحول الرقمي أصبح عاملاً حاسماً في تعزيز كفاءة الأداء المؤسسي</w:t>
      </w:r>
    </w:p>
    <w:p w14:paraId="05E5AB85"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أظهرت نتائج الدراسة أن التحول الرقمي يمثل العامل الأكثر تأثيراً في تحسين كفاءة الأداء المؤسسي داخل هيئة الزكاة والضريبة والجمارك، حيث أسهم في إعادة تصميم الإجراءات التشغيلية، وتقليل الاعتماد على المعاملات الورقية، وتوحيد قواعد البيانات، وتطوير آليات اتخاذ القرار، مما انعكس بصورة مباشرة على سرعة إنجاز المعاملات، ودقة العمليات، ورفع جودة الخدمات المقدمة للمستفيدين</w:t>
      </w:r>
      <w:r w:rsidRPr="00E548E0">
        <w:rPr>
          <w:rFonts w:ascii="Sakkal Majalla" w:hAnsi="Sakkal Majalla" w:cs="Sakkal Majalla"/>
          <w:sz w:val="28"/>
        </w:rPr>
        <w:t>.</w:t>
      </w:r>
    </w:p>
    <w:p w14:paraId="56F1B2E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أوضحت النتائج أن الهيئة نجحت في الانتقال من نموذج الإدارة التقليدية إلى نموذج الإدارة الرقمية، الذي يعتمد على التكامل بين الأنظمة، والتحليل الفوري للبيانات، والأتمتة، والخدمات الرقمية، وهو ما أدى إلى تحسين كفاءة استخدام الموارد البشرية والمالية، وتقليل التكاليف التشغيلية، وتعزيز القدرة على الاستجابة للمتغيرات الاقتصادية والتجارية</w:t>
      </w:r>
      <w:r w:rsidRPr="00E548E0">
        <w:rPr>
          <w:rFonts w:ascii="Sakkal Majalla" w:hAnsi="Sakkal Majalla" w:cs="Sakkal Majalla"/>
          <w:sz w:val="28"/>
        </w:rPr>
        <w:t>.</w:t>
      </w:r>
    </w:p>
    <w:p w14:paraId="116A3559"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هذا التحول يعكس نضجاً مؤسسياً يتجاوز مجرد تبني التقنيات الحديثة، ليصل إلى إعادة بناء نموذج العمل الحكومي بما يتوافق مع متطلبات الاقتصاد الرقمي، ويؤكد أن نجاح المؤسسات الحكومية في المستقبل سيقاس بقدرتها على إدارة البيانات والابتكار أكثر من اعتمادها على الموارد التقليدية</w:t>
      </w:r>
      <w:r w:rsidRPr="00E548E0">
        <w:rPr>
          <w:rFonts w:ascii="Sakkal Majalla" w:hAnsi="Sakkal Majalla" w:cs="Sakkal Majalla"/>
          <w:sz w:val="28"/>
        </w:rPr>
        <w:t>.</w:t>
      </w:r>
    </w:p>
    <w:p w14:paraId="70AFA20D" w14:textId="0D2EA8E9"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الثانية: التكامل الرقمي بين الأنظمة الحكومية أسهم في رفع جودة الخدمات وتسريع الإجراءات</w:t>
      </w:r>
    </w:p>
    <w:p w14:paraId="1CE8BE2B"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أثبتت نتائج الدراسة أن التكامل الرقمي بين هيئة الزكاة والضريبة والجمارك والجهات الحكومية الأخرى يمثل أحد أهم العوامل التي أسهمت في تحسين كفاءة العمليات الجمركية، حيث أدى إلى تقليل تكرار إدخال البيانات، وتسريع تبادل المعلومات، وخفض زمن إنجاز الإجراءات، وتقليل الأخطاء البشرية الناتجة عن تعدد الأنظمة</w:t>
      </w:r>
      <w:r w:rsidRPr="00E548E0">
        <w:rPr>
          <w:rFonts w:ascii="Sakkal Majalla" w:hAnsi="Sakkal Majalla" w:cs="Sakkal Majalla"/>
          <w:sz w:val="28"/>
        </w:rPr>
        <w:t>.</w:t>
      </w:r>
    </w:p>
    <w:p w14:paraId="27D42B66"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أظهرت النتائج أن الربط الإلكتروني مع الجهات الحكومية والخدمية والرقابية مكّن الهيئة من بناء منظومة متكاملة تعتمد على تدفق البيانات بصورة لحظية، الأمر الذي ساعد في تحسين جودة القرارات التشغيلية، وزيادة مستوى الشفافية، وتعزيز تجربة المستفيدين</w:t>
      </w:r>
      <w:r w:rsidRPr="00E548E0">
        <w:rPr>
          <w:rFonts w:ascii="Sakkal Majalla" w:hAnsi="Sakkal Majalla" w:cs="Sakkal Majalla"/>
          <w:sz w:val="28"/>
        </w:rPr>
        <w:t>.</w:t>
      </w:r>
    </w:p>
    <w:p w14:paraId="1191AF3D"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lastRenderedPageBreak/>
        <w:t>ويؤكد الباحث أن المرحلة المقبلة ينبغي أن تشهد انتقال التكامل الرقمي من المستوى الوطني إلى المستوى الإقليمي والدولي، بما يدعم أهداف التكامل الخليجي، ويعزز انسيابية التجارة العابرة للحدود، ويرفع مكانة المملكة كمحور لوجستي عالمي</w:t>
      </w:r>
      <w:r w:rsidRPr="00E548E0">
        <w:rPr>
          <w:rFonts w:ascii="Sakkal Majalla" w:hAnsi="Sakkal Majalla" w:cs="Sakkal Majalla"/>
          <w:sz w:val="28"/>
        </w:rPr>
        <w:t>.</w:t>
      </w:r>
    </w:p>
    <w:p w14:paraId="1DC9DBE7"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الثالثة: الذكاء الاصطناعي أصبح المحرك الرئيس لتطوير إدارة المخاطر الجمركية</w:t>
      </w:r>
    </w:p>
    <w:p w14:paraId="6405EA95"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أوضحت نتائج الدراسة أن تطبيقات الذكاء الاصطناعي أسهمت بصورة كبيرة في تطوير منظومة إدارة المخاطر داخل الهيئة، من خلال تحسين القدرة على تحليل البيانات الضخمة، وتصنيف الشحنات وفق مستويات الخطورة، والتنبؤ بالمخاطر المحتملة، وتوجيه عمليات الفحص نحو الحالات ذات الأولوية</w:t>
      </w:r>
      <w:r w:rsidRPr="00E548E0">
        <w:rPr>
          <w:rFonts w:ascii="Sakkal Majalla" w:hAnsi="Sakkal Majalla" w:cs="Sakkal Majalla"/>
          <w:sz w:val="28"/>
        </w:rPr>
        <w:t>.</w:t>
      </w:r>
    </w:p>
    <w:p w14:paraId="520542C6"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بينت النتائج أن الاعتماد على الخوارزميات الذكية أدى إلى رفع دقة اكتشاف المخالفات، وتقليل معدلات الفحص العشوائي، وتحسين كفاءة استخدام الموارد، وتقليص زمن الإفراج عن الشحنات منخفضة المخاطر، بما يحقق التوازن بين الأمن الجمركي وتيسير التجارة</w:t>
      </w:r>
      <w:r w:rsidRPr="00E548E0">
        <w:rPr>
          <w:rFonts w:ascii="Sakkal Majalla" w:hAnsi="Sakkal Majalla" w:cs="Sakkal Majalla"/>
          <w:sz w:val="28"/>
        </w:rPr>
        <w:t>.</w:t>
      </w:r>
    </w:p>
    <w:p w14:paraId="2EDF8E4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المرحلة المقبلة ينبغي أن تتجه نحو تطوير نماذج وطنية للذكاء الاصطناعي في المجال الجمركي، بحيث تعتمد على البيانات المحلية، وتأخذ في الاعتبار خصوصية البيئة التنظيمية والاقتصادية للمملكة، مع التركيز على تقنيات الذكاء الاصطناعي القابل للتفسير</w:t>
      </w:r>
      <w:r w:rsidRPr="00E548E0">
        <w:rPr>
          <w:rFonts w:ascii="Sakkal Majalla" w:hAnsi="Sakkal Majalla" w:cs="Sakkal Majalla"/>
          <w:sz w:val="28"/>
        </w:rPr>
        <w:t xml:space="preserve"> (Explainable AI) </w:t>
      </w:r>
      <w:r w:rsidRPr="00E548E0">
        <w:rPr>
          <w:rFonts w:ascii="Sakkal Majalla" w:hAnsi="Sakkal Majalla" w:cs="Sakkal Majalla"/>
          <w:sz w:val="28"/>
          <w:rtl/>
        </w:rPr>
        <w:t>لضمان الشفافية وإمكانية مراجعة القرارات الآلية</w:t>
      </w:r>
      <w:r w:rsidRPr="00E548E0">
        <w:rPr>
          <w:rFonts w:ascii="Sakkal Majalla" w:hAnsi="Sakkal Majalla" w:cs="Sakkal Majalla"/>
          <w:sz w:val="28"/>
        </w:rPr>
        <w:t>.</w:t>
      </w:r>
    </w:p>
    <w:p w14:paraId="62FB8E56"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الرابعة: الأمن السيبراني يمثل الركيزة الأساسية لاستدامة التحول الرقمي</w:t>
      </w:r>
    </w:p>
    <w:p w14:paraId="679069C8"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أكدت نتائج الدراسة أن نجاح برامج التحول الرقمي يرتبط ارتباطاً مباشراً بوجود منظومة أمن سيبراني متقدمة قادرة على حماية البيانات والأنظمة الرقمية من التهديدات المتزايدة. وقد أظهرت الدراسة أن الهيئة قطعت شوطاً كبيراً في تطوير قدراتها الأمنية، إلا أن استمرار التطور التقني يفرض ضرورة الاستثمار المستمر في تحديث البنية الأمنية، وتعزيز قدرات الرصد والاستجابة، ورفع جاهزية الكوادر البشرية</w:t>
      </w:r>
      <w:r w:rsidRPr="00E548E0">
        <w:rPr>
          <w:rFonts w:ascii="Sakkal Majalla" w:hAnsi="Sakkal Majalla" w:cs="Sakkal Majalla"/>
          <w:sz w:val="28"/>
        </w:rPr>
        <w:t>.</w:t>
      </w:r>
    </w:p>
    <w:p w14:paraId="2A37171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أوضحت النتائج أن حماية البيانات الجمركية والضريبية لم تعد تمثل مسؤولية تقنية فحسب، وإنما أصبحت عنصراً أساسياً من عناصر الأمن الاقتصادي والسيادة الرقمية للدولة، في ظل تزايد الاعتماد على الأنظمة الذكية والبيانات الضخمة</w:t>
      </w:r>
      <w:r w:rsidRPr="00E548E0">
        <w:rPr>
          <w:rFonts w:ascii="Sakkal Majalla" w:hAnsi="Sakkal Majalla" w:cs="Sakkal Majalla"/>
          <w:sz w:val="28"/>
        </w:rPr>
        <w:t>.</w:t>
      </w:r>
    </w:p>
    <w:p w14:paraId="1E7E9E3C"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lastRenderedPageBreak/>
        <w:t xml:space="preserve">ويرى الباحث أن الانتقال إلى نموذج </w:t>
      </w:r>
      <w:r w:rsidRPr="00E548E0">
        <w:rPr>
          <w:rFonts w:ascii="Sakkal Majalla" w:hAnsi="Sakkal Majalla" w:cs="Sakkal Majalla"/>
          <w:b/>
          <w:bCs/>
          <w:sz w:val="28"/>
        </w:rPr>
        <w:t>Zero Trust Architecture</w:t>
      </w:r>
      <w:r w:rsidRPr="00E548E0">
        <w:rPr>
          <w:rFonts w:ascii="Sakkal Majalla" w:hAnsi="Sakkal Majalla" w:cs="Sakkal Majalla"/>
          <w:sz w:val="28"/>
          <w:rtl/>
        </w:rPr>
        <w:t>، وتبني تقنيات التشفير المقاومة للحوسبة الكمية، وتطوير مراكز عمليات أمنية تعتمد على الذكاء الاصطناعي، سيمثل المرحلة التالية في تطوير الأمن السيبراني داخل الهيئة</w:t>
      </w:r>
      <w:r w:rsidRPr="00E548E0">
        <w:rPr>
          <w:rFonts w:ascii="Sakkal Majalla" w:hAnsi="Sakkal Majalla" w:cs="Sakkal Majalla"/>
          <w:sz w:val="28"/>
        </w:rPr>
        <w:t>.</w:t>
      </w:r>
    </w:p>
    <w:p w14:paraId="7C147EA5"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الخامسة: الفوترة الإلكترونية والتحول الرقمي أسهما في رفع مستويات الامتثال وتقليل التهرب</w:t>
      </w:r>
    </w:p>
    <w:p w14:paraId="394B7C40"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أظهرت نتائج الدراسة أن تطبيق منظومة الفوترة الإلكترونية، وربطها بالأنظمة الضريبية والجمركية، أدى إلى تحسين مستويات الامتثال الطوعي للمكلفين، وتقليل فرص التهرب الضريبي، وزيادة دقة البيانات المالية، وتحسين كفاءة عمليات التحصيل</w:t>
      </w:r>
      <w:r w:rsidRPr="00E548E0">
        <w:rPr>
          <w:rFonts w:ascii="Sakkal Majalla" w:hAnsi="Sakkal Majalla" w:cs="Sakkal Majalla"/>
          <w:sz w:val="28"/>
        </w:rPr>
        <w:t>.</w:t>
      </w:r>
    </w:p>
    <w:p w14:paraId="1FEA63EA"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كشفت النتائج أن التكامل بين الفوترة الإلكترونية، وتحليل البيانات، والذكاء الاصطناعي، مكّن الهيئة من اكتشاف الأنماط غير الطبيعية في المعاملات التجارية، وتحديد المخاطر الضريبية بصورة استباقية، وهو ما انعكس بصورة إيجابية على الإيرادات العامة للدولة</w:t>
      </w:r>
      <w:r w:rsidRPr="00E548E0">
        <w:rPr>
          <w:rFonts w:ascii="Sakkal Majalla" w:hAnsi="Sakkal Majalla" w:cs="Sakkal Majalla"/>
          <w:sz w:val="28"/>
        </w:rPr>
        <w:t>.</w:t>
      </w:r>
    </w:p>
    <w:p w14:paraId="7E07D87A"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تطوير منظومة الفوترة الإلكترونية في المرحلة المقبلة ينبغي أن يركز على التكامل مع منصات التجارة الإلكترونية، وتوسيع نطاق استخدام التحليلات التنبؤية، وربطها بمؤشرات الأداء الاستراتيجية، بما يسهم في الوصول إلى مستويات أعلى من الامتثال والشفافية والعدالة الضريبية</w:t>
      </w:r>
      <w:r w:rsidRPr="00E548E0">
        <w:rPr>
          <w:rFonts w:ascii="Sakkal Majalla" w:hAnsi="Sakkal Majalla" w:cs="Sakkal Majalla"/>
          <w:sz w:val="28"/>
        </w:rPr>
        <w:t>.</w:t>
      </w:r>
    </w:p>
    <w:p w14:paraId="6485D1A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السادسة: أسهم التحول الرقمي في تحقيق توازن استراتيجي بين الأمن الجمركي وتيسير التجارة</w:t>
      </w:r>
    </w:p>
    <w:p w14:paraId="7CCA1ED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أحد أهم النتائج التي توصلت إليها الدراسة يتمثل في أن التحول الرقمي نجح في معالجة الإشكالية التقليدية التي طالما واجهت الإدارات الجمركية، والمتمثلة في الموازنة بين متطلبات الأمن من جهة، ومتطلبات تسهيل حركة التجارة من جهة أخرى. فقد أثبتت نتائج التحليل أن استخدام التقنيات الرقمية، والذكاء الاصطناعي، وإدارة المخاطر، أتاح للهيئة الانتقال من الفحص الشامل إلى الفحص الانتقائي المبني على تحليل المخاطر، الأمر الذي أدى إلى تقليل زمن الإفراج عن الشحنات منخفضة المخاطر، مع زيادة كفاءة اكتشاف الشحنات عالية الخطورة</w:t>
      </w:r>
      <w:r w:rsidRPr="00613EC2">
        <w:rPr>
          <w:rFonts w:ascii="Sakkal Majalla" w:hAnsi="Sakkal Majalla" w:cs="Sakkal Majalla"/>
          <w:sz w:val="28"/>
        </w:rPr>
        <w:t>.</w:t>
      </w:r>
    </w:p>
    <w:p w14:paraId="710DBFA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هذا التوازن لم يتحقق على حساب أي من الجانبين، بل أدى إلى تعزيز الأمن الاقتصادي للدولة وفي الوقت نفسه تحسين تنافسية البيئة التجارية، وهو ما ينسجم مع التوجهات الحديثة لمنظمة الجمارك العالمية التي تؤكد أن الجمارك الذكية يجب أن تحقق الأمن والتيسير في إطار واحد</w:t>
      </w:r>
      <w:r w:rsidRPr="00613EC2">
        <w:rPr>
          <w:rFonts w:ascii="Sakkal Majalla" w:hAnsi="Sakkal Majalla" w:cs="Sakkal Majalla"/>
          <w:sz w:val="28"/>
        </w:rPr>
        <w:t>.</w:t>
      </w:r>
    </w:p>
    <w:p w14:paraId="377F11B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ويرى الباحث أن هذه النتيجة تؤكد نجاح التحول الرقمي في إعادة تعريف مفهوم الرقابة الجمركية، بحيث أصبحت الرقابة أكثر دقة واستهدافاً وأقل تأثيراً على انسيابية التجارة</w:t>
      </w:r>
      <w:r w:rsidRPr="00613EC2">
        <w:rPr>
          <w:rFonts w:ascii="Sakkal Majalla" w:hAnsi="Sakkal Majalla" w:cs="Sakkal Majalla"/>
          <w:sz w:val="28"/>
        </w:rPr>
        <w:t>.</w:t>
      </w:r>
    </w:p>
    <w:p w14:paraId="7CC1BAE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السابعة: البنية الرقمية المتكاملة عززت مرونة الهيئة في مواجهة الأزمات</w:t>
      </w:r>
    </w:p>
    <w:p w14:paraId="2F2CB50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بينت الدراسة أن التطورات التي شهدتها الهيئة في مجال التحول الرقمي أسهمت بصورة واضحة في رفع قدرتها على التعامل مع الأزمات غير المتوقعة، سواء كانت أزمات صحية، أو اقتصادية، أو جيوسياسية، أو لوجستية. وقد ظهر ذلك بوضوح في قدرة الأنظمة الرقمية على استمرار تقديم الخدمات، وإدارة تدفقات التجارة، وإعادة توجيه العمليات التشغيلية دون توقف يذكر</w:t>
      </w:r>
      <w:r w:rsidRPr="00613EC2">
        <w:rPr>
          <w:rFonts w:ascii="Sakkal Majalla" w:hAnsi="Sakkal Majalla" w:cs="Sakkal Majalla"/>
          <w:sz w:val="28"/>
        </w:rPr>
        <w:t>.</w:t>
      </w:r>
    </w:p>
    <w:p w14:paraId="612A419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كشفت الدراسة أن مرونة الأنظمة الرقمية قللت من الآثار السلبية الناتجة عن اضطرابات سلاسل الإمداد العالمية، وأسهمت في المحافظة على استمرارية الخدمات الحكومية، وهو ما يعكس ارتفاع مستوى الجاهزية الرقمية للهيئة</w:t>
      </w:r>
      <w:r w:rsidRPr="00613EC2">
        <w:rPr>
          <w:rFonts w:ascii="Sakkal Majalla" w:hAnsi="Sakkal Majalla" w:cs="Sakkal Majalla"/>
          <w:sz w:val="28"/>
        </w:rPr>
        <w:t>.</w:t>
      </w:r>
    </w:p>
    <w:p w14:paraId="2D22E21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sz w:val="28"/>
          <w:rtl/>
        </w:rPr>
        <w:t>ويرى الباحث أن المرونة الرقمية أصبحت أحد أهم مؤشرات نضج المؤسسات الحكومية، وأن الاستثمار في البنية الرقمية لم يعد يهدف فقط إلى تحسين الأداء، وإنما إلى ضمان استمرارية الأعمال في مختلف الظروف</w:t>
      </w:r>
      <w:r w:rsidRPr="00613EC2">
        <w:rPr>
          <w:rFonts w:ascii="Sakkal Majalla" w:hAnsi="Sakkal Majalla" w:cs="Sakkal Majalla"/>
          <w:b/>
          <w:bCs/>
          <w:sz w:val="28"/>
        </w:rPr>
        <w:t>.</w:t>
      </w:r>
    </w:p>
    <w:p w14:paraId="5804D1CE"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الثامنة: البيانات أصبحت مورداً استراتيجياً في صناعة القرار الجمركي</w:t>
      </w:r>
    </w:p>
    <w:p w14:paraId="4BF1C11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البيانات لم تعد مجرد مخرجات للعمليات التشغيلية، وإنما أصبحت مورداً استراتيجياً تعتمد عليه الهيئة في التخطيط، وإدارة المخاطر، والتنبؤ بالاتجاهات المستقبلية، واتخاذ القرارات بصورة أكثر دقة وموضوعية</w:t>
      </w:r>
      <w:r w:rsidRPr="00613EC2">
        <w:rPr>
          <w:rFonts w:ascii="Sakkal Majalla" w:hAnsi="Sakkal Majalla" w:cs="Sakkal Majalla"/>
          <w:sz w:val="28"/>
        </w:rPr>
        <w:t>.</w:t>
      </w:r>
    </w:p>
    <w:p w14:paraId="1489C03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النتائج أن التكامل بين قواعد البيانات المختلفة أسهم في تحسين جودة المعلومات، وتقليل الازدواجية، ورفع موثوقية التقارير، كما وفر قاعدة معرفية واسعة دعمت تطوير نماذج الذكاء الاصطناعي، وتحليل المخاطر، والتنبؤ بالإيرادات</w:t>
      </w:r>
      <w:r w:rsidRPr="00613EC2">
        <w:rPr>
          <w:rFonts w:ascii="Sakkal Majalla" w:hAnsi="Sakkal Majalla" w:cs="Sakkal Majalla"/>
          <w:sz w:val="28"/>
        </w:rPr>
        <w:t>.</w:t>
      </w:r>
    </w:p>
    <w:p w14:paraId="039EBEB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مستقبل الإدارة الجمركية سيتحدد بقدرة المؤسسات على إدارة البيانات باعتبارها أصلاً استراتيجياً يعادل في أهميته الموارد المالية والبشرية، الأمر الذي يتطلب تعزيز حوكمة البيانات، وتطوير سياسات الجودة، والاستثمار في تقنيات التحليل المتقدم</w:t>
      </w:r>
      <w:r w:rsidRPr="00613EC2">
        <w:rPr>
          <w:rFonts w:ascii="Sakkal Majalla" w:hAnsi="Sakkal Majalla" w:cs="Sakkal Majalla"/>
          <w:sz w:val="28"/>
        </w:rPr>
        <w:t>.</w:t>
      </w:r>
    </w:p>
    <w:p w14:paraId="185914FE"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التاسعة: بناء القدرات البشرية يمثل العامل الحاسم في استدامة التحول الرقمي</w:t>
      </w:r>
    </w:p>
    <w:p w14:paraId="2C870A0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كشفت الدراسة أن التكنولوجيا، على الرغم من أهميتها، لا تستطيع بمفردها تحقيق أهداف التحول الرقمي دون وجود كوادر بشرية قادرة على تشغيلها، وتطويرها، والاستفادة منها في اتخاذ القرار. وقد أظهرت النتائج أن نجاح المبادرات الرقمية داخل الهيئة ارتبط بدرجة كبيرة بمستوى تأهيل العاملين، ومدى قدرتهم على التكيف مع بيئة العمل الرقمية</w:t>
      </w:r>
      <w:r w:rsidRPr="00613EC2">
        <w:rPr>
          <w:rFonts w:ascii="Sakkal Majalla" w:hAnsi="Sakkal Majalla" w:cs="Sakkal Majalla"/>
          <w:sz w:val="28"/>
        </w:rPr>
        <w:t>.</w:t>
      </w:r>
    </w:p>
    <w:p w14:paraId="53975E8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الاستثمار في التدريب المستمر، والشهادات المهنية، وبناء المهارات الرقمية، يسهم في رفع الإنتاجية، وتقليل الأخطاء التشغيلية، وتعزيز ثقافة الابتكار المؤسسي</w:t>
      </w:r>
      <w:r w:rsidRPr="00613EC2">
        <w:rPr>
          <w:rFonts w:ascii="Sakkal Majalla" w:hAnsi="Sakkal Majalla" w:cs="Sakkal Majalla"/>
          <w:sz w:val="28"/>
        </w:rPr>
        <w:t>.</w:t>
      </w:r>
    </w:p>
    <w:p w14:paraId="7112CB5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العنصر البشري سيظل يمثل المحور الرئيس للتحول الرقمي، حتى في ظل التوسع في استخدام الذكاء الاصطناعي، لأن الإنسان هو المسؤول عن وضع السياسات، وإدارة المخاطر، واتخاذ القرارات الاستراتيجية</w:t>
      </w:r>
      <w:r w:rsidRPr="00613EC2">
        <w:rPr>
          <w:rFonts w:ascii="Sakkal Majalla" w:hAnsi="Sakkal Majalla" w:cs="Sakkal Majalla"/>
          <w:sz w:val="28"/>
        </w:rPr>
        <w:t>.</w:t>
      </w:r>
    </w:p>
    <w:p w14:paraId="6D891FAA"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العاشرة: المقارنة الدولية أكدت أن الهيئة تسير وفق أفضل الممارسات العالمية</w:t>
      </w:r>
    </w:p>
    <w:p w14:paraId="4090B8C4"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أظهرت نتائج المقارنة المرجعية مع عدد من الإدارات الجمركية الرائدة عالمياً أن هيئة الزكاة والضريبة والجمارك حققت تقدماً ملحوظاً في عدد من المؤشرات المرتبطة بالرقمنة، والأتمتة، وإدارة المخاطر، والخدمات الإلكترونية، والتكامل الحكومي</w:t>
      </w:r>
      <w:r w:rsidRPr="00613EC2">
        <w:rPr>
          <w:rFonts w:ascii="Sakkal Majalla" w:hAnsi="Sakkal Majalla" w:cs="Sakkal Majalla"/>
          <w:sz w:val="28"/>
        </w:rPr>
        <w:t>.</w:t>
      </w:r>
    </w:p>
    <w:p w14:paraId="0B0D025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الدراسة أن التجربة السعودية تتميز بسرعة تنفيذ المبادرات الرقمية، وارتفاع مستوى الدعم الحكومي، ووضوح الرؤية الاستراتيجية، وهو ما منحها قدرة تنافسية عالية مقارنة بعدد من التجارب الإقليمية</w:t>
      </w:r>
      <w:r w:rsidRPr="00613EC2">
        <w:rPr>
          <w:rFonts w:ascii="Sakkal Majalla" w:hAnsi="Sakkal Majalla" w:cs="Sakkal Majalla"/>
          <w:sz w:val="28"/>
        </w:rPr>
        <w:t>.</w:t>
      </w:r>
    </w:p>
    <w:p w14:paraId="0D203E0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إلا أن المقارنة كشفت أيضاً وجود مجالات يمكن تعزيزها، من أهمها التوسع في استخدام الذكاء الاصطناعي التوليدي، والتوأم الرقمي، والحوسبة الكمية، وزيادة الاستثمار في البحث والتطوير، بما يضمن استمرار الريادة خلال السنوات القادمة</w:t>
      </w:r>
      <w:r w:rsidRPr="00613EC2">
        <w:rPr>
          <w:rFonts w:ascii="Sakkal Majalla" w:hAnsi="Sakkal Majalla" w:cs="Sakkal Majalla"/>
          <w:sz w:val="28"/>
        </w:rPr>
        <w:t>.</w:t>
      </w:r>
    </w:p>
    <w:p w14:paraId="28F7FAF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المقارنة الدولية ينبغي أن تتحول إلى عملية مؤسسية مستمرة تعتمد على القياس الدوري للمؤشرات العالمية، وليس مجرد نشاط بحثي مرتبط بإعداد الدراسات</w:t>
      </w:r>
      <w:r w:rsidRPr="00613EC2">
        <w:rPr>
          <w:rFonts w:ascii="Sakkal Majalla" w:hAnsi="Sakkal Majalla" w:cs="Sakkal Majalla"/>
          <w:sz w:val="28"/>
        </w:rPr>
        <w:t>.</w:t>
      </w:r>
    </w:p>
    <w:p w14:paraId="0395C15C"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الحادية عشرة: الحوكمة الرقمية تمثل الضمان الحقيقي لاستدامة التحول</w:t>
      </w:r>
    </w:p>
    <w:p w14:paraId="2327968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نجاح التحول الرقمي لا يعتمد على التكنولوجيا فقط، بل يرتبط بصورة وثيقة بوجود إطار متكامل للحوكمة الرقمية يحدد المسؤوليات، وينظم إدارة البيانات، ويضمن الشفافية والمساءلة، ويعزز الامتثال للأنظمة والتشريعات</w:t>
      </w:r>
      <w:r w:rsidRPr="00613EC2">
        <w:rPr>
          <w:rFonts w:ascii="Sakkal Majalla" w:hAnsi="Sakkal Majalla" w:cs="Sakkal Majalla"/>
          <w:sz w:val="28"/>
        </w:rPr>
        <w:t>.</w:t>
      </w:r>
    </w:p>
    <w:p w14:paraId="40C6840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كما أظهرت النتائج أن وجود سياسات واضحة لإدارة المخاطر الرقمية، وحماية البيانات، وإدارة الهوية، يسهم في تقليل احتمالات الفشل، ويزيد من ثقة المتعاملين في الخدمات الرقمية</w:t>
      </w:r>
      <w:r w:rsidRPr="00613EC2">
        <w:rPr>
          <w:rFonts w:ascii="Sakkal Majalla" w:hAnsi="Sakkal Majalla" w:cs="Sakkal Majalla"/>
          <w:sz w:val="28"/>
        </w:rPr>
        <w:t>.</w:t>
      </w:r>
    </w:p>
    <w:p w14:paraId="1AC49362"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المرحلة المقبلة ينبغي أن تركز على تطوير الحوكمة الرقمية بصورة مستمرة، وربطها بمنظومات الأداء المؤسسي، بحيث تصبح جزءاً أصيلاً من الثقافة التنظيمية داخل الهيئة</w:t>
      </w:r>
      <w:r w:rsidRPr="00613EC2">
        <w:rPr>
          <w:rFonts w:ascii="Sakkal Majalla" w:hAnsi="Sakkal Majalla" w:cs="Sakkal Majalla"/>
          <w:sz w:val="28"/>
        </w:rPr>
        <w:t>.</w:t>
      </w:r>
    </w:p>
    <w:p w14:paraId="580EA1DE" w14:textId="5A8ED73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الثانية عشرة: لوحة مؤشرات الأداء</w:t>
      </w:r>
      <w:r w:rsidRPr="00613EC2">
        <w:rPr>
          <w:rFonts w:ascii="Sakkal Majalla" w:hAnsi="Sakkal Majalla" w:cs="Sakkal Majalla"/>
          <w:b/>
          <w:bCs/>
          <w:sz w:val="28"/>
        </w:rPr>
        <w:t xml:space="preserve"> (KPIs) </w:t>
      </w:r>
      <w:r w:rsidRPr="00613EC2">
        <w:rPr>
          <w:rFonts w:ascii="Sakkal Majalla" w:hAnsi="Sakkal Majalla" w:cs="Sakkal Majalla"/>
          <w:b/>
          <w:bCs/>
          <w:sz w:val="28"/>
          <w:rtl/>
        </w:rPr>
        <w:t>تمثل أداة استراتيجية لقياس نجاح التحول الرقمي</w:t>
      </w:r>
    </w:p>
    <w:p w14:paraId="4464942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توصلت الدراسة إلى أن نجاح أي برنامج للتحول الرقمي لا يقاس بعدد المبادرات المنفذة أو حجم الاستثمارات المرصودة، وإنما بمدى تحقق نتائج قابلة للقياس وفق مؤشرات أداء استراتيجية واضحة. ومن هذا المنطلق، قدمت الدراسة لوحة قيادة متكاملة لمؤشرات الأداء تغطي الفترة (2024–2030)، وتضم مؤشرات ترتبط بكفاءة التجارة، ومستوى الرقمنة، والذكاء الاصطناعي، والأمن السيبراني، والإيرادات، والامتثال، والأداء اللوجستي، وبناء القدرات البشرية، والاستدامة، ورضا المستفيدين</w:t>
      </w:r>
      <w:r w:rsidRPr="00613EC2">
        <w:rPr>
          <w:rFonts w:ascii="Sakkal Majalla" w:hAnsi="Sakkal Majalla" w:cs="Sakkal Majalla"/>
          <w:sz w:val="28"/>
        </w:rPr>
        <w:t>.</w:t>
      </w:r>
    </w:p>
    <w:p w14:paraId="61943FC2"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وقد أظهرت النتائج أن تحقيق المستهدفات المقترحة، مثل خفض متوسط زمن الإفراج الجمركي إلى أقل من (10) دقائق، والوصول إلى رقمنة كاملة للمعاملات بنسبة (100%)، ورفع دقة نماذج الذكاء الاصطناعي إلى أكثر من (96%)، وتحقيق وفورات تشغيلية تتجاوز (7) مليارات ريال سنوياً، سيشكل نقلة نوعية في أداء الهيئة، ويعزز موقعها بين أفضل الإدارات الجمركية عالمياً</w:t>
      </w:r>
      <w:r w:rsidRPr="00613EC2">
        <w:rPr>
          <w:rFonts w:ascii="Sakkal Majalla" w:hAnsi="Sakkal Majalla" w:cs="Sakkal Majalla"/>
          <w:sz w:val="28"/>
        </w:rPr>
        <w:t>.</w:t>
      </w:r>
    </w:p>
    <w:p w14:paraId="0F5EDA0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القيمة الحقيقية لهذه اللوحة لا تكمن في المؤشرات ذاتها، وإنما في تحويلها إلى منصة رقمية حية</w:t>
      </w:r>
      <w:r w:rsidRPr="00613EC2">
        <w:rPr>
          <w:rFonts w:ascii="Sakkal Majalla" w:hAnsi="Sakkal Majalla" w:cs="Sakkal Majalla"/>
          <w:sz w:val="28"/>
        </w:rPr>
        <w:t xml:space="preserve"> (Live KPI Dashboard) </w:t>
      </w:r>
      <w:r w:rsidRPr="00613EC2">
        <w:rPr>
          <w:rFonts w:ascii="Sakkal Majalla" w:hAnsi="Sakkal Majalla" w:cs="Sakkal Majalla"/>
          <w:sz w:val="28"/>
          <w:rtl/>
        </w:rPr>
        <w:t>ترتبط بجميع الأنظمة التشغيلية داخل الهيئة، بحيث يتم تحديث البيانات بصورة لحظية، وتستخدم في المتابعة اليومية، وقياس الانحرافات، واتخاذ القرارات التصحيحية بصورة استباقية. كما يوصي الباحث بإتاحة جزء من هذه المؤشرات للعموم في إطار تعزيز الشفافية المؤسسية، وتحفيز ثقافة المساءلة والتحسين المستمر</w:t>
      </w:r>
      <w:r w:rsidRPr="00613EC2">
        <w:rPr>
          <w:rFonts w:ascii="Sakkal Majalla" w:hAnsi="Sakkal Majalla" w:cs="Sakkal Majalla"/>
          <w:sz w:val="28"/>
        </w:rPr>
        <w:t>.</w:t>
      </w:r>
    </w:p>
    <w:p w14:paraId="3E9B35D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ممتاز، سنكمل بنفس المستوى الأكاديمي، مع ربط النتائج مباشرة بما توصلت إليه الدراسة، وبالتحليل الإحصائي، ورؤية المملكة 2030، والنموذج الاستراتيجي المقترح</w:t>
      </w:r>
      <w:r w:rsidRPr="00613EC2">
        <w:rPr>
          <w:rFonts w:ascii="Sakkal Majalla" w:hAnsi="Sakkal Majalla" w:cs="Sakkal Majalla"/>
          <w:sz w:val="28"/>
        </w:rPr>
        <w:t>.</w:t>
      </w:r>
    </w:p>
    <w:p w14:paraId="1AF91F9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الثالثة عشرة: توطين التقنيات الرقمية وتعزيز السيادة الرقمية يمثلان ضرورة استراتيجية للأمن الاقتصادي</w:t>
      </w:r>
    </w:p>
    <w:p w14:paraId="623E2C23"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أظهرت نتائج الدراسة أن التحول الرقمي المستدام لا يتحقق من خلال استيراد التقنيات المتقدمة فحسب، وإنما يتطلب بناء قدرات وطنية قادرة على تطوير وإدارة وتشغيل هذه التقنيات داخل المملكة. وقد بينت الدراسة أن الاعتماد الكامل على البرمجيات والمنصات الأجنبية قد يحد من قدرة المؤسسات الحكومية على التحكم في بياناتها، ويزيد من مخاطر التبعية التقنية، خاصة في ظل التحولات الجيوسياسية والتنافس الدولي في مجال التكنولوجيا</w:t>
      </w:r>
      <w:r w:rsidRPr="00613EC2">
        <w:rPr>
          <w:rFonts w:ascii="Sakkal Majalla" w:hAnsi="Sakkal Majalla" w:cs="Sakkal Majalla"/>
          <w:sz w:val="28"/>
        </w:rPr>
        <w:t>.</w:t>
      </w:r>
    </w:p>
    <w:p w14:paraId="063028B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توطين التقنيات الرقمية، وتطوير الخوارزميات الوطنية، وإنشاء مراكز وطنية للابتكار في الذكاء الاصطناعي وتحليل البيانات، يمثل أحد أهم المسارات التي ينبغي أن تتبناها هيئة الزكاة والضريبة والجمارك خلال المرحلة المقبلة، بما يعزز سيادة البيانات الوطنية، ويزيد من مرونة المنظومة الرقمية، ويرفع جاهزية الهيئة لمواجهة التحديات المستقبلية</w:t>
      </w:r>
      <w:r w:rsidRPr="00613EC2">
        <w:rPr>
          <w:rFonts w:ascii="Sakkal Majalla" w:hAnsi="Sakkal Majalla" w:cs="Sakkal Majalla"/>
          <w:sz w:val="28"/>
        </w:rPr>
        <w:t>.</w:t>
      </w:r>
    </w:p>
    <w:p w14:paraId="00969A7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الوصول إلى نسبة توطين للأنظمة والخوارزميات تبلغ (100%) بحلول عام 2030، كما ورد في لوحة مؤشرات الأداء الاستراتيجية، لن يسهم فقط في رفع الكفاءة التشغيلية، وإنما سيعزز الأمن الاقتصادي والسيادة الرقمية للمملكة، ويحد من المخاطر المرتبطة بالاعتماد على التقنيات الخارجية</w:t>
      </w:r>
      <w:r w:rsidRPr="00613EC2">
        <w:rPr>
          <w:rFonts w:ascii="Sakkal Majalla" w:hAnsi="Sakkal Majalla" w:cs="Sakkal Majalla"/>
          <w:sz w:val="28"/>
        </w:rPr>
        <w:t>.</w:t>
      </w:r>
    </w:p>
    <w:p w14:paraId="1566D8EC"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الرابعة عشرة: التحول الرقمي أسهم بصورة مباشرة في زيادة الإيرادات الحكومية وتحسين كفاءة التحصيل</w:t>
      </w:r>
    </w:p>
    <w:p w14:paraId="259C9264"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التحول الرقمي لم يقتصر أثره على تطوير الإجراءات وتحسين جودة الخدمات، بل امتد ليشمل تعظيم الإيرادات الحكومية من خلال رفع مستويات الامتثال، وتقليل التهرب الضريبي والجمركي، وتحسين دقة البيانات، وتعزيز القدرة على اكتشاف المخالفات باستخدام تقنيات الذكاء الاصطناعي والتحليلات المتقدمة</w:t>
      </w:r>
      <w:r w:rsidRPr="00613EC2">
        <w:rPr>
          <w:rFonts w:ascii="Sakkal Majalla" w:hAnsi="Sakkal Majalla" w:cs="Sakkal Majalla"/>
          <w:sz w:val="28"/>
        </w:rPr>
        <w:t>.</w:t>
      </w:r>
    </w:p>
    <w:p w14:paraId="02A8CE73"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الدراسة أن التكامل بين الفوترة الإلكترونية، ومنصات التحصيل، وإدارة المخاطر، أسهم في تحسين كفاءة عمليات التحصيل، وتقليل الفاقد المالي، وزيادة موثوقية البيانات المالية، وهو ما انعكس بصورة إيجابية على الإيرادات العامة للدولة</w:t>
      </w:r>
      <w:r w:rsidRPr="00613EC2">
        <w:rPr>
          <w:rFonts w:ascii="Sakkal Majalla" w:hAnsi="Sakkal Majalla" w:cs="Sakkal Majalla"/>
          <w:sz w:val="28"/>
        </w:rPr>
        <w:t>.</w:t>
      </w:r>
    </w:p>
    <w:p w14:paraId="2104D1E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تشير مؤشرات الأداء المقترحة إلى إمكانية ارتفاع الإيرادات الجمركية والضريبية من نحو (350) مليار ريال في عام 2024 إلى ما يقارب (650) مليار ريال بحلول عام 2030، وهو ما يعكس الأثر الاقتصادي المتوقع لاستمرار تنفيذ برامج التحول الرقمي وفق الخطة الاستراتيجية المقترحة</w:t>
      </w:r>
      <w:r w:rsidRPr="00613EC2">
        <w:rPr>
          <w:rFonts w:ascii="Sakkal Majalla" w:hAnsi="Sakkal Majalla" w:cs="Sakkal Majalla"/>
          <w:sz w:val="28"/>
        </w:rPr>
        <w:t>.</w:t>
      </w:r>
    </w:p>
    <w:p w14:paraId="50F47A7F"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ويرى الباحث أن هذه النتيجة تؤكد أن الاستثمار في التحول الرقمي يمثل استثماراً اقتصادياً مرتفع العائد، وليس مجرد مشروع تقني يهدف إلى تحديث البنية التشغيلية</w:t>
      </w:r>
      <w:r w:rsidRPr="00613EC2">
        <w:rPr>
          <w:rFonts w:ascii="Sakkal Majalla" w:hAnsi="Sakkal Majalla" w:cs="Sakkal Majalla"/>
          <w:sz w:val="28"/>
        </w:rPr>
        <w:t>.</w:t>
      </w:r>
    </w:p>
    <w:p w14:paraId="4520205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الخامسة عشرة: التحول الرقمي يدعم تحقيق أهداف الاستدامة والتجارة الخضراء</w:t>
      </w:r>
    </w:p>
    <w:p w14:paraId="7C86ADC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أوضحت نتائج الدراسة أن التحول الرقمي يسهم بصورة غير مباشرة في دعم أهداف الاستدامة البيئية من خلال تقليل الاعتماد على المعاملات الورقية، وخفض استهلاك الموارد، وتقليل الانبعاثات الناتجة عن الإجراءات التقليدية، فضلاً عن تحسين كفاءة سلاسل الإمداد، وتقليل زمن انتظار وسائل النقل في المنافذ الجمركية</w:t>
      </w:r>
      <w:r w:rsidRPr="00613EC2">
        <w:rPr>
          <w:rFonts w:ascii="Sakkal Majalla" w:hAnsi="Sakkal Majalla" w:cs="Sakkal Majalla"/>
          <w:sz w:val="28"/>
        </w:rPr>
        <w:t>.</w:t>
      </w:r>
    </w:p>
    <w:p w14:paraId="55C6BB1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بينت الدراسة أن دمج التقنيات الرقمية مع مبادرات التجارة الخضراء يتيح بناء منظومة جمركية أكثر استدامة، قادرة على قياس البصمة الكربونية للشحنات، وتشجيع الممارسات اللوجستية الصديقة للبيئة، ودعم مستهدفات مبادرة السعودية الخضراء</w:t>
      </w:r>
      <w:r w:rsidRPr="00613EC2">
        <w:rPr>
          <w:rFonts w:ascii="Sakkal Majalla" w:hAnsi="Sakkal Majalla" w:cs="Sakkal Majalla"/>
          <w:sz w:val="28"/>
        </w:rPr>
        <w:t>.</w:t>
      </w:r>
    </w:p>
    <w:p w14:paraId="4405040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التحول الرقمي ينبغي ألا يُنظر إليه باعتباره مشروعاً تقنياً منفصلاً عن التنمية المستدامة، بل باعتباره أحد الأدوات الرئيسة لتحقيق التوازن بين النمو الاقتصادي، وحماية البيئة، ورفع جودة الحياة، وهو ما يجعل الاستثمار في الجمارك الرقمية استثماراً في مستقبل التنمية المستدامة للمملكة</w:t>
      </w:r>
      <w:r w:rsidRPr="00613EC2">
        <w:rPr>
          <w:rFonts w:ascii="Sakkal Majalla" w:hAnsi="Sakkal Majalla" w:cs="Sakkal Majalla"/>
          <w:sz w:val="28"/>
        </w:rPr>
        <w:t>.</w:t>
      </w:r>
    </w:p>
    <w:p w14:paraId="724D7C1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السادسة عشرة: التحول الرقمي يعزز تنافسية المملكة في المؤشرات الدولية</w:t>
      </w:r>
    </w:p>
    <w:p w14:paraId="219F12F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أثبتت نتائج الدراسة أن استمرار تطوير منظومة التحول الرقمي داخل هيئة الزكاة والضريبة والجمارك سيكون له أثر مباشر في تحسين ترتيب المملكة في عدد من المؤشرات الدولية ذات العلاقة بالتجارة والحوكمة والتحول الرقمي، وعلى رأسها مؤشر أداء الخدمات اللوجستية</w:t>
      </w:r>
      <w:r w:rsidRPr="00613EC2">
        <w:rPr>
          <w:rFonts w:ascii="Sakkal Majalla" w:hAnsi="Sakkal Majalla" w:cs="Sakkal Majalla"/>
          <w:sz w:val="28"/>
        </w:rPr>
        <w:t xml:space="preserve"> (LPI)</w:t>
      </w:r>
      <w:r w:rsidRPr="00613EC2">
        <w:rPr>
          <w:rFonts w:ascii="Sakkal Majalla" w:hAnsi="Sakkal Majalla" w:cs="Sakkal Majalla"/>
          <w:sz w:val="28"/>
          <w:rtl/>
        </w:rPr>
        <w:t>، ومؤشر الحكومة الإلكترونية، ومؤشرات التنافسية العالمية، ومؤشرات الأمن السيبراني</w:t>
      </w:r>
      <w:r w:rsidRPr="00613EC2">
        <w:rPr>
          <w:rFonts w:ascii="Sakkal Majalla" w:hAnsi="Sakkal Majalla" w:cs="Sakkal Majalla"/>
          <w:sz w:val="28"/>
        </w:rPr>
        <w:t>.</w:t>
      </w:r>
    </w:p>
    <w:p w14:paraId="6EA8656D"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المقارنات المرجعية أن تحقيق المستهدفات المقترحة في لوحة مؤشرات الأداء، ومنها خفض زمن الإفراج الجمركي، ورفع نسبة المعاملات الرقمية، وتحسين كفاءة إدارة المخاطر، سيعزز من جاذبية المملكة للاستثمار الأجنبي، ويرفع من قدرتها على المنافسة في الاقتصاد العالمي</w:t>
      </w:r>
      <w:r w:rsidRPr="00613EC2">
        <w:rPr>
          <w:rFonts w:ascii="Sakkal Majalla" w:hAnsi="Sakkal Majalla" w:cs="Sakkal Majalla"/>
          <w:sz w:val="28"/>
        </w:rPr>
        <w:t>.</w:t>
      </w:r>
    </w:p>
    <w:p w14:paraId="4D47E78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مؤشرات الأداء الدولية لا ينبغي أن تُستخدم لأغراض المقارنة فقط، وإنما يجب توظيفها كأدوات للتطوير المستمر، وربطها بخطط التحسين المؤسسي، بحيث تصبح جزءاً من منظومة إدارة الأداء داخل الهيئة</w:t>
      </w:r>
      <w:r w:rsidRPr="00613EC2">
        <w:rPr>
          <w:rFonts w:ascii="Sakkal Majalla" w:hAnsi="Sakkal Majalla" w:cs="Sakkal Majalla"/>
          <w:sz w:val="28"/>
        </w:rPr>
        <w:t>.</w:t>
      </w:r>
    </w:p>
    <w:p w14:paraId="23AD802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lastRenderedPageBreak/>
        <w:t>النتيجة السابعة عشرة: أثبتت الدراسة صحة الفرضيات البحثية والعلاقات بين متغيراتها</w:t>
      </w:r>
    </w:p>
    <w:p w14:paraId="521AB4D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التحليل الإحصائي صحة الفرضيات الرئيسة والفرعية للدراسة، حيث أثبتت وجود علاقات إيجابية ذات دلالة إحصائية بين أبعاد التحول الرقمي من جهة، وكل من تعزيز الأمن الجمركي، وتيسير التجارة، وتحسين كفاءة الأداء المؤسسي من جهة أخرى</w:t>
      </w:r>
      <w:r w:rsidRPr="00613EC2">
        <w:rPr>
          <w:rFonts w:ascii="Sakkal Majalla" w:hAnsi="Sakkal Majalla" w:cs="Sakkal Majalla"/>
          <w:sz w:val="28"/>
        </w:rPr>
        <w:t>.</w:t>
      </w:r>
    </w:p>
    <w:p w14:paraId="65982698"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بينت النتائج أن الأبعاد المختلفة للتحول الرقمي لا تعمل بصورة مستقلة، وإنما تتفاعل فيما بينها بصورة تكاملية، بحيث يؤدي تطوير البنية التحتية الرقمية، والحوكمة، والموارد البشرية، وإدارة البيانات، والذكاء الاصطناعي إلى تعظيم الأثر الكلي للتحول الرقمي داخل الهيئة</w:t>
      </w:r>
      <w:r w:rsidRPr="00613EC2">
        <w:rPr>
          <w:rFonts w:ascii="Sakkal Majalla" w:hAnsi="Sakkal Majalla" w:cs="Sakkal Majalla"/>
          <w:sz w:val="28"/>
        </w:rPr>
        <w:t>.</w:t>
      </w:r>
    </w:p>
    <w:p w14:paraId="190D7F8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هذه النتيجة تقدم دعماً علمياً للنموذج المفاهيمي الذي اعتمدته الدراسة، وتؤكد أن نجاح التحول الرقمي يتطلب تبني رؤية شمولية تتعامل مع جميع الأبعاد بوصفها منظومة واحدة مترابطة</w:t>
      </w:r>
      <w:r w:rsidRPr="00613EC2">
        <w:rPr>
          <w:rFonts w:ascii="Sakkal Majalla" w:hAnsi="Sakkal Majalla" w:cs="Sakkal Majalla"/>
          <w:sz w:val="28"/>
        </w:rPr>
        <w:t>.</w:t>
      </w:r>
    </w:p>
    <w:p w14:paraId="5812D299"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الثامنة عشرة: النموذج الاستراتيجي المقترح يوفر إطاراً عملياً لتطوير الهيئة حتى عام 2030</w:t>
      </w:r>
    </w:p>
    <w:p w14:paraId="65260B8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توصلت الدراسة إلى أن النموذج الاستراتيجي المقترح، الذي بُني استناداً إلى نتائج الدراسة الميدانية، والمقارنة الدولية، وأفضل الممارسات العالمية، يمثل إطاراً عملياً قابلاً للتطبيق لتطوير أداء هيئة الزكاة والضريبة والجمارك خلال الفترة</w:t>
      </w:r>
      <w:r w:rsidRPr="00613EC2">
        <w:rPr>
          <w:rFonts w:ascii="Sakkal Majalla" w:hAnsi="Sakkal Majalla" w:cs="Sakkal Majalla"/>
          <w:sz w:val="28"/>
        </w:rPr>
        <w:t xml:space="preserve"> (2025–2030).</w:t>
      </w:r>
    </w:p>
    <w:p w14:paraId="7F94181F"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ويتميز هذا النموذج بشموليته، حيث يجمع بين التحول الرقمي، والذكاء الاصطناعي، والأمن السيبراني، وحوكمة البيانات، وبناء القدرات البشرية، والتكامل المؤسسي، والاستدامة، ضمن إطار تنفيذي يرتبط بمؤشرات أداء قابلة للقياس، وخطط عمل مرحلية، وآليات متابعة وتقييم مستمرة</w:t>
      </w:r>
      <w:r w:rsidRPr="00613EC2">
        <w:rPr>
          <w:rFonts w:ascii="Sakkal Majalla" w:hAnsi="Sakkal Majalla" w:cs="Sakkal Majalla"/>
          <w:sz w:val="28"/>
        </w:rPr>
        <w:t>.</w:t>
      </w:r>
    </w:p>
    <w:p w14:paraId="6F6E494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القيمة الحقيقية للنموذج تكمن في قابليته للتطوير والتحديث وفق المتغيرات المستقبلية، بما يجعله إطاراً مرناً يدعم استدامة التحول الرقمي داخل الهيئة</w:t>
      </w:r>
      <w:r w:rsidRPr="00613EC2">
        <w:rPr>
          <w:rFonts w:ascii="Sakkal Majalla" w:hAnsi="Sakkal Majalla" w:cs="Sakkal Majalla"/>
          <w:sz w:val="28"/>
        </w:rPr>
        <w:t>.</w:t>
      </w:r>
    </w:p>
    <w:p w14:paraId="7D4E4588"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التاسعة عشرة: تجربة هيئة الزكاة والضريبة والجمارك تمثل نموذجاً عربياً قابلاً للتعميم</w:t>
      </w:r>
    </w:p>
    <w:p w14:paraId="3ECE741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أظهرت نتائج الدراسة أن التجربة السعودية في مجال التحول الرقمي الجمركي تُعد من التجارب الرائدة على المستوى العربي، لما تتميز به من تكامل بين الجوانب التقنية والتنظيمية والتشريعية، ووضوح الرؤية الاستراتيجية، والدعم المؤسسي المستمر</w:t>
      </w:r>
      <w:r w:rsidRPr="00613EC2">
        <w:rPr>
          <w:rFonts w:ascii="Sakkal Majalla" w:hAnsi="Sakkal Majalla" w:cs="Sakkal Majalla"/>
          <w:sz w:val="28"/>
        </w:rPr>
        <w:t>.</w:t>
      </w:r>
    </w:p>
    <w:p w14:paraId="114919D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كما بينت الدراسة أن عدداً من المبادرات التي نفذتها الهيئة، مثل الفوترة الإلكترونية، ومنصة "فسح"، والتكامل الحكومي، يمكن الاستفادة منها في تطوير الإدارات الجمركية في الدول العربية، مع مراعاة خصوصية كل دولة من حيث البيئة التنظيمية والتشريعية والاقتصادية</w:t>
      </w:r>
      <w:r w:rsidRPr="00613EC2">
        <w:rPr>
          <w:rFonts w:ascii="Sakkal Majalla" w:hAnsi="Sakkal Majalla" w:cs="Sakkal Majalla"/>
          <w:sz w:val="28"/>
        </w:rPr>
        <w:t>.</w:t>
      </w:r>
    </w:p>
    <w:p w14:paraId="3C70DB0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إنشاء منصة عربية لتبادل الخبرات في مجال الجمارك الرقمية، وتطوير برامج تدريبية مشتركة، سيعزز من فرص التكامل الجمركي العربي، ويرفع كفاءة التجارة البينية</w:t>
      </w:r>
      <w:r w:rsidRPr="00613EC2">
        <w:rPr>
          <w:rFonts w:ascii="Sakkal Majalla" w:hAnsi="Sakkal Majalla" w:cs="Sakkal Majalla"/>
          <w:sz w:val="28"/>
        </w:rPr>
        <w:t>.</w:t>
      </w:r>
    </w:p>
    <w:p w14:paraId="4059C7A4"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العشرون: التحول الرقمي أصبح أحد أهم أدوات تحقيق السيادة الاقتصادية وتعزيز القدرة التنافسية للدولة</w:t>
      </w:r>
    </w:p>
    <w:p w14:paraId="4F4CB0E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تخلص الدراسة إلى أن التحول الرقمي لم يعد مشروعاً إدارياً أو تقنياً يهدف إلى تحسين الخدمات الحكومية فحسب، بل أصبح أحد المكونات الرئيسة للأمن الاقتصادي والسيادة الوطنية في القرن الحادي والعشرين. فكلما ازدادت قدرة الدولة على إدارة بياناتها، وأتمتة عملياتها، وتحليل المخاطر بصورة استباقية، وتعزيز أمنها السيبراني، ازدادت قدرتها على حماية اقتصادها، وجذب الاستثمارات، وتعزيز مكانتها في الاقتصاد العالمي</w:t>
      </w:r>
      <w:r w:rsidRPr="00613EC2">
        <w:rPr>
          <w:rFonts w:ascii="Sakkal Majalla" w:hAnsi="Sakkal Majalla" w:cs="Sakkal Majalla"/>
          <w:sz w:val="28"/>
        </w:rPr>
        <w:t>.</w:t>
      </w:r>
    </w:p>
    <w:p w14:paraId="4C2C3F7A"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وفي ضوء النتائج السابقة، تؤكد الدراسة أن التجربة السعودية في هيئة الزكاة والضريبة والجمارك تمثل نموذجاً متقدماً للتحول المؤسسي، وأن استمرار تطويرها وفق الخطة الاستراتيجية المقترحة، ولوحة مؤشرات الأداء الممتدة حتى عام 2030، سيؤدي إلى ترسيخ مكانة المملكة بوصفها إحدى الدول الرائدة عالمياً في مجال الجمارك الذكية والإدارة الحكومية الرقمية</w:t>
      </w:r>
      <w:r w:rsidRPr="00613EC2">
        <w:rPr>
          <w:rFonts w:ascii="Sakkal Majalla" w:hAnsi="Sakkal Majalla" w:cs="Sakkal Majalla"/>
          <w:sz w:val="28"/>
        </w:rPr>
        <w:t>.</w:t>
      </w:r>
    </w:p>
    <w:p w14:paraId="0D22196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رأي الباحث</w:t>
      </w:r>
    </w:p>
    <w:p w14:paraId="7035CA2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يرى الباحث أن النتائج العشرين التي توصلت إليها الدراسة لا تمثل مجرد مخرجات بحثية مرتبطة بموضوع هيئة الزكاة والضريبة والجمارك، بل تعكس تحولاً أعمق في فلسفة الإدارة الحكومية الحديثة، حيث أصبحت البيانات، والذكاء الاصطناعي، والحوكمة الرقمية، والأمن السيبراني، عناصر مترابطة تشكل الأساس الذي تُبنى عليه المؤسسات العامة القادرة على تحقيق الكفاءة والمرونة والاستدامة. كما تؤكد هذه النتائج أن نجاح التحول الرقمي لا يقاس بعدد الأنظمة الرقمية أو حجم الإنفاق التقني، وإنما بقدرته على إحداث قيمة عامة ملموسة تتمثل في تعزيز الأمن الاقتصادي، وتيسير التجارة، ورفع جودة الخدمات، وتحسين تنافسية الدولة، وترسيخ الثقة بين الحكومة والقطاع الخاص والمجتمع</w:t>
      </w:r>
      <w:r w:rsidRPr="00613EC2">
        <w:rPr>
          <w:rFonts w:ascii="Sakkal Majalla" w:hAnsi="Sakkal Majalla" w:cs="Sakkal Majalla"/>
          <w:sz w:val="28"/>
        </w:rPr>
        <w:t>.</w:t>
      </w:r>
    </w:p>
    <w:p w14:paraId="07B32CCE" w14:textId="6934EC9C"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 xml:space="preserve">ممتاز، نبدأ الآن بالجزء الثاني من الفصل الثامن، وهو </w:t>
      </w:r>
      <w:r w:rsidRPr="008D5E40">
        <w:rPr>
          <w:rFonts w:ascii="Sakkal Majalla" w:hAnsi="Sakkal Majalla" w:cs="Sakkal Majalla"/>
          <w:b/>
          <w:bCs/>
          <w:sz w:val="28"/>
          <w:rtl/>
        </w:rPr>
        <w:t>الاستنتاجات العامة للدراسة</w:t>
      </w:r>
      <w:r w:rsidRPr="008D5E40">
        <w:rPr>
          <w:rFonts w:ascii="Sakkal Majalla" w:hAnsi="Sakkal Majalla" w:cs="Sakkal Majalla"/>
          <w:sz w:val="28"/>
        </w:rPr>
        <w:t xml:space="preserve">. </w:t>
      </w:r>
      <w:r w:rsidRPr="008D5E40">
        <w:rPr>
          <w:rFonts w:ascii="Sakkal Majalla" w:hAnsi="Sakkal Majalla" w:cs="Sakkal Majalla"/>
          <w:sz w:val="28"/>
          <w:rtl/>
        </w:rPr>
        <w:t xml:space="preserve">ويختلف هذا الجزء عن النتائج؛ فالنتائج تعرض ما توصلت إليه الدراسة، أما </w:t>
      </w:r>
      <w:r w:rsidRPr="008D5E40">
        <w:rPr>
          <w:rFonts w:ascii="Sakkal Majalla" w:hAnsi="Sakkal Majalla" w:cs="Sakkal Majalla"/>
          <w:b/>
          <w:bCs/>
          <w:sz w:val="28"/>
          <w:rtl/>
        </w:rPr>
        <w:t>الاستنتاجات</w:t>
      </w:r>
      <w:r w:rsidRPr="008D5E40">
        <w:rPr>
          <w:rFonts w:ascii="Sakkal Majalla" w:hAnsi="Sakkal Majalla" w:cs="Sakkal Majalla"/>
          <w:sz w:val="28"/>
          <w:rtl/>
        </w:rPr>
        <w:t xml:space="preserve"> فتفسر تلك النتائج وتبين دلالاتها العلمية والتطبيقية</w:t>
      </w:r>
      <w:r>
        <w:rPr>
          <w:rFonts w:ascii="Sakkal Majalla" w:hAnsi="Sakkal Majalla" w:cs="Sakkal Majalla" w:hint="cs"/>
          <w:sz w:val="28"/>
          <w:rtl/>
        </w:rPr>
        <w:t>.</w:t>
      </w:r>
    </w:p>
    <w:p w14:paraId="19F5F6E6"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ثانياً: الاستنتاجات العامة للدراسة</w:t>
      </w:r>
    </w:p>
    <w:p w14:paraId="0C0D9C1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في ضوء الإطار النظري، والدراسة الميدانية، والتحليل الإحصائي، والمقارنة المرجعية مع أفضل الممارسات الدولية، والنموذج الاستراتيجي المقترح، أمكن للباحث استخلاص مجموعة من الاستنتاجات العامة التي تعكس الدلالات العلمية والتطبيقية للدراسة، وتوضح طبيعة العلاقة بين التحول الرقمي وتعزيز الأمن الجمركي وتيسير التجارة، ودور ذلك في رفع كفاءة الأداء المؤسسي داخل هيئة الزكاة والضريبة والجمارك</w:t>
      </w:r>
      <w:r w:rsidRPr="008D5E40">
        <w:rPr>
          <w:rFonts w:ascii="Sakkal Majalla" w:hAnsi="Sakkal Majalla" w:cs="Sakkal Majalla"/>
          <w:sz w:val="28"/>
        </w:rPr>
        <w:t>.</w:t>
      </w:r>
    </w:p>
    <w:p w14:paraId="19751C6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الأول: التحول الرقمي يمثل تحولاً مؤسسياً شاملاً وليس مجرد تحديث تقني</w:t>
      </w:r>
    </w:p>
    <w:p w14:paraId="3CCEBC43"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تشير نتائج الدراسة إلى أن التحول الرقمي لا يمكن اختزاله في أتمتة الإجراءات أو استبدال الأنظمة الورقية بأنظمة إلكترونية، وإنما يمثل عملية تحول مؤسسي شاملة تشمل إعادة تصميم العمليات، وتطوير الهياكل التنظيمية، وتحديث التشريعات، وبناء ثقافة تنظيمية قائمة على الابتكار، وإعادة تعريف أدوار العاملين، وتبني أساليب حديثة في اتخاذ القرار</w:t>
      </w:r>
      <w:r w:rsidRPr="008D5E40">
        <w:rPr>
          <w:rFonts w:ascii="Sakkal Majalla" w:hAnsi="Sakkal Majalla" w:cs="Sakkal Majalla"/>
          <w:sz w:val="28"/>
        </w:rPr>
        <w:t>.</w:t>
      </w:r>
    </w:p>
    <w:p w14:paraId="62192174"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ويعني ذلك أن نجاح أي برنامج للتحول الرقمي يتطلب تكاملاً بين الأبعاد التقنية والتنظيمية والبشرية والتشريعية، وأن التركيز على أحد هذه الأبعاد دون غيره سيؤدي إلى نتائج محدودة وغير مستدامة</w:t>
      </w:r>
      <w:r w:rsidRPr="008D5E40">
        <w:rPr>
          <w:rFonts w:ascii="Sakkal Majalla" w:hAnsi="Sakkal Majalla" w:cs="Sakkal Majalla"/>
          <w:sz w:val="28"/>
        </w:rPr>
        <w:t>.</w:t>
      </w:r>
    </w:p>
    <w:p w14:paraId="27747F6A"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الثاني: الأمن الجمركي وتيسير التجارة لم يعودا هدفين متعارضين</w:t>
      </w:r>
    </w:p>
    <w:p w14:paraId="3B48C1A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أثبتت الدراسة أن التقنيات الرقمية الحديثة، وخاصة الذكاء الاصطناعي وإدارة المخاطر، أسهمت في تجاوز المفهوم التقليدي الذي كان يفترض وجود تعارض بين تشديد الرقابة الجمركية وسرعة الإفراج عن البضائع. فقد أصبح بالإمكان توجيه الموارد الرقابية نحو الشحنات عالية الخطورة، مع منح الشحنات منخفضة المخاطر مسارات سريعة تعتمد على التحليل الذكي للبيانات</w:t>
      </w:r>
      <w:r w:rsidRPr="008D5E40">
        <w:rPr>
          <w:rFonts w:ascii="Sakkal Majalla" w:hAnsi="Sakkal Majalla" w:cs="Sakkal Majalla"/>
          <w:sz w:val="28"/>
        </w:rPr>
        <w:t>.</w:t>
      </w:r>
    </w:p>
    <w:p w14:paraId="713ADE3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هذا الاستنتاج أن الجمارك الذكية تحقق الأمن من خلال التيسير، وليس على حسابه، وهو ما يتوافق مع المبادئ الحديثة لمنظمة الجمارك العالمية</w:t>
      </w:r>
      <w:r w:rsidRPr="008D5E40">
        <w:rPr>
          <w:rFonts w:ascii="Sakkal Majalla" w:hAnsi="Sakkal Majalla" w:cs="Sakkal Majalla"/>
          <w:sz w:val="28"/>
        </w:rPr>
        <w:t>.</w:t>
      </w:r>
    </w:p>
    <w:p w14:paraId="1566101F"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الثالث: البيانات أصبحت الأصل الاستراتيجي الأكثر قيمة في الإدارة الجمركية الحديثة</w:t>
      </w:r>
    </w:p>
    <w:p w14:paraId="07852F2F"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توضح نتائج الدراسة أن القيمة الحقيقية للتحول الرقمي لا تكمن في امتلاك الأنظمة الإلكترونية، وإنما في القدرة على إنتاج بيانات عالية الجودة، وتحليلها، وتحويلها إلى معرفة تدعم صنع القرار. فالبيانات أصبحت المورد الذي تُبنى عليه نماذج الذكاء الاصطناعي، والتحليلات التنبؤية، وإدارة المخاطر، والتخطيط الاستراتيجي</w:t>
      </w:r>
      <w:r w:rsidRPr="008D5E40">
        <w:rPr>
          <w:rFonts w:ascii="Sakkal Majalla" w:hAnsi="Sakkal Majalla" w:cs="Sakkal Majalla"/>
          <w:sz w:val="28"/>
        </w:rPr>
        <w:t>.</w:t>
      </w:r>
    </w:p>
    <w:p w14:paraId="1B6FE136"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ومن ثم، فإن الاستثمار في جودة البيانات، وحوكمتها، وتكاملها، يمثل استثماراً في القدرة المستقبلية للمؤسسة على التطوير والابتكار</w:t>
      </w:r>
      <w:r w:rsidRPr="008D5E40">
        <w:rPr>
          <w:rFonts w:ascii="Sakkal Majalla" w:hAnsi="Sakkal Majalla" w:cs="Sakkal Majalla"/>
          <w:sz w:val="28"/>
        </w:rPr>
        <w:t>.</w:t>
      </w:r>
    </w:p>
    <w:p w14:paraId="0F04A0BC"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الرابع: الذكاء الاصطناعي يمثل مرحلة جديدة في تطور الإدارة الجمركية</w:t>
      </w:r>
    </w:p>
    <w:p w14:paraId="3F96F5BC"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تكشف الدراسة أن الذكاء الاصطناعي لم يعد مجرد أداة مساعدة لتحليل البيانات، بل أصبح عنصراً رئيساً في إعادة تشكيل العمليات الجمركية، من خلال دعم اتخاذ القرار، وتحسين دقة إدارة المخاطر، والتنبؤ بالمخالفات، وتعزيز كفاءة توزيع الموارد</w:t>
      </w:r>
      <w:r w:rsidRPr="008D5E40">
        <w:rPr>
          <w:rFonts w:ascii="Sakkal Majalla" w:hAnsi="Sakkal Majalla" w:cs="Sakkal Majalla"/>
          <w:sz w:val="28"/>
        </w:rPr>
        <w:t>.</w:t>
      </w:r>
    </w:p>
    <w:p w14:paraId="1D5DF1EF"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ويستنتج الباحث أن الإدارات الجمركية التي ستتمكن من تطوير نماذج ذكاء اصطناعي وطنية وقابلة للتفسير ستكون الأكثر قدرة على تحقيق ميزة تنافسية خلال السنوات القادمة</w:t>
      </w:r>
      <w:r w:rsidRPr="008D5E40">
        <w:rPr>
          <w:rFonts w:ascii="Sakkal Majalla" w:hAnsi="Sakkal Majalla" w:cs="Sakkal Majalla"/>
          <w:sz w:val="28"/>
        </w:rPr>
        <w:t>.</w:t>
      </w:r>
    </w:p>
    <w:p w14:paraId="6A32EF4B"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الخامس: الأمن السيبراني أصبح جزءاً من الأمن الاقتصادي الوطني</w:t>
      </w:r>
    </w:p>
    <w:p w14:paraId="3F130DE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أظهرت الدراسة أن التوسع في التحول الرقمي يزيد من أهمية الأمن السيبراني، إذ أصبحت الهجمات الإلكترونية تمثل تهديداً مباشراً لاستمرارية التجارة، وسلامة البيانات، وثقة المستثمرين، والإيرادات العامة</w:t>
      </w:r>
      <w:r w:rsidRPr="008D5E40">
        <w:rPr>
          <w:rFonts w:ascii="Sakkal Majalla" w:hAnsi="Sakkal Majalla" w:cs="Sakkal Majalla"/>
          <w:sz w:val="28"/>
        </w:rPr>
        <w:t>.</w:t>
      </w:r>
    </w:p>
    <w:p w14:paraId="590921D8"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وعليه، فإن الاستثمار في الأمن السيبراني ينبغي أن يُنظر إليه باعتباره استثماراً في الأمن الاقتصادي والسيادة الرقمية، وليس مجرد بند تقني ضمن ميزانية تقنية المعلومات</w:t>
      </w:r>
      <w:r w:rsidRPr="008D5E40">
        <w:rPr>
          <w:rFonts w:ascii="Sakkal Majalla" w:hAnsi="Sakkal Majalla" w:cs="Sakkal Majalla"/>
          <w:sz w:val="28"/>
        </w:rPr>
        <w:t>.</w:t>
      </w:r>
    </w:p>
    <w:p w14:paraId="790CBEF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السادس: نجاح التحول الرقمي يعتمد على جاهزية الموارد البشرية أكثر من اعتماده على التكنولوجيا</w:t>
      </w:r>
    </w:p>
    <w:p w14:paraId="79066709"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رغم التطور الكبير في البنية التقنية، تؤكد الدراسة أن العنصر البشري يظل العامل الأكثر تأثيراً في نجاح التحول الرقمي. فالتكنولوجيا يمكن شراؤها أو تطويرها، أما بناء ثقافة تنظيمية رقمية، وتنمية المهارات، وتعزيز الابتكار، فهي عمليات تحتاج إلى استثمار طويل الأجل</w:t>
      </w:r>
      <w:r w:rsidRPr="008D5E40">
        <w:rPr>
          <w:rFonts w:ascii="Sakkal Majalla" w:hAnsi="Sakkal Majalla" w:cs="Sakkal Majalla"/>
          <w:sz w:val="28"/>
        </w:rPr>
        <w:t>.</w:t>
      </w:r>
    </w:p>
    <w:p w14:paraId="05ABC0BB"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ومن ثم، فإن تنمية رأس المال البشري تمثل الضمان الحقيقي لاستدامة التحول الرقمي وتحقيق أهدافه الاستراتيجية</w:t>
      </w:r>
      <w:r w:rsidRPr="008D5E40">
        <w:rPr>
          <w:rFonts w:ascii="Sakkal Majalla" w:hAnsi="Sakkal Majalla" w:cs="Sakkal Majalla"/>
          <w:sz w:val="28"/>
        </w:rPr>
        <w:t>.</w:t>
      </w:r>
    </w:p>
    <w:p w14:paraId="03485638"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السابع: الحوكمة الرقمية هي الإطار الضامن لاستدامة التحول</w:t>
      </w:r>
    </w:p>
    <w:p w14:paraId="092059B8"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توضح نتائج الدراسة أن وجود منظومة متكاملة للحوكمة الرقمية يسهم في تنظيم استخدام البيانات، وتحديد المسؤوليات، وتعزيز الشفافية، وضمان الامتثال، وتقليل المخاطر التشغيلية والقانونية</w:t>
      </w:r>
      <w:r w:rsidRPr="008D5E40">
        <w:rPr>
          <w:rFonts w:ascii="Sakkal Majalla" w:hAnsi="Sakkal Majalla" w:cs="Sakkal Majalla"/>
          <w:sz w:val="28"/>
        </w:rPr>
        <w:t>.</w:t>
      </w:r>
    </w:p>
    <w:p w14:paraId="391EA43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ويستنتج الباحث أن غياب الحوكمة الرقمية قد يؤدي إلى تراجع كفاءة المبادرات الرقمية، حتى في ظل توافر التقنيات الحديثة</w:t>
      </w:r>
      <w:r w:rsidRPr="008D5E40">
        <w:rPr>
          <w:rFonts w:ascii="Sakkal Majalla" w:hAnsi="Sakkal Majalla" w:cs="Sakkal Majalla"/>
          <w:sz w:val="28"/>
        </w:rPr>
        <w:t>.</w:t>
      </w:r>
    </w:p>
    <w:p w14:paraId="09E35F89"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الثامن: التكامل المؤسسي يمثل شرطاً أساسياً لنجاح الجمارك الذكية</w:t>
      </w:r>
    </w:p>
    <w:p w14:paraId="72D4B793"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أكدت الدراسة أن التحول الرقمي داخل هيئة الزكاة والضريبة والجمارك لا يمكن أن يحقق أهدافه كاملة دون وجود تكامل رقمي مع الجهات الحكومية الأخرى، ومع القطاع الخاص، والمنظمات الدولية</w:t>
      </w:r>
      <w:r w:rsidRPr="008D5E40">
        <w:rPr>
          <w:rFonts w:ascii="Sakkal Majalla" w:hAnsi="Sakkal Majalla" w:cs="Sakkal Majalla"/>
          <w:sz w:val="28"/>
        </w:rPr>
        <w:t>.</w:t>
      </w:r>
    </w:p>
    <w:p w14:paraId="6593741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ويعني ذلك أن نجاح الجمارك الذكية يرتبط بقدرتها على العمل ضمن منظومة وطنية وإقليمية مترابطة، تعتمد على تبادل البيانات بصورة آمنة وسريعة</w:t>
      </w:r>
      <w:r w:rsidRPr="008D5E40">
        <w:rPr>
          <w:rFonts w:ascii="Sakkal Majalla" w:hAnsi="Sakkal Majalla" w:cs="Sakkal Majalla"/>
          <w:sz w:val="28"/>
        </w:rPr>
        <w:t>.</w:t>
      </w:r>
    </w:p>
    <w:p w14:paraId="655E28A7"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التاسع: التحول الرقمي يسهم في تعزيز تنافسية الاقتصاد الوطني</w:t>
      </w:r>
    </w:p>
    <w:p w14:paraId="684A832E"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تشير نتائج الدراسة إلى أن تطوير الخدمات الجمركية الرقمية يؤدي إلى تقليل تكاليف التجارة، وتحسين بيئة الأعمال، وزيادة جاذبية الاستثمار، ورفع كفاءة سلاسل الإمداد، وهو ما ينعكس بصورة مباشرة على تنافسية الاقتصاد الوطني</w:t>
      </w:r>
      <w:r w:rsidRPr="008D5E40">
        <w:rPr>
          <w:rFonts w:ascii="Sakkal Majalla" w:hAnsi="Sakkal Majalla" w:cs="Sakkal Majalla"/>
          <w:sz w:val="28"/>
        </w:rPr>
        <w:t>.</w:t>
      </w:r>
    </w:p>
    <w:p w14:paraId="0D9766D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هذا الاستنتاج أن التحول الرقمي في الجمارك يمثل أداة من أدوات السياسة الاقتصادية، وليس مجرد مشروع لتطوير الإدارة الحكومية</w:t>
      </w:r>
      <w:r w:rsidRPr="008D5E40">
        <w:rPr>
          <w:rFonts w:ascii="Sakkal Majalla" w:hAnsi="Sakkal Majalla" w:cs="Sakkal Majalla"/>
          <w:sz w:val="28"/>
        </w:rPr>
        <w:t>.</w:t>
      </w:r>
    </w:p>
    <w:p w14:paraId="528C5E5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العاشر: التجربة السعودية أصبحت نموذجاً مرجعياً في التحول الرقمي الجمركي</w:t>
      </w:r>
    </w:p>
    <w:p w14:paraId="6E0B6E3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أظهرت المقارنات الدولية أن التجربة السعودية تتميز بشمولية الإصلاح، وسرعة التنفيذ، والتكامل بين التحول الرقمي والإصلاح المؤسسي، الأمر الذي يجعلها من التجارب القابلة للاستفادة منها في العديد من الدول، خاصة في المنطقة العربية</w:t>
      </w:r>
      <w:r w:rsidRPr="008D5E40">
        <w:rPr>
          <w:rFonts w:ascii="Sakkal Majalla" w:hAnsi="Sakkal Majalla" w:cs="Sakkal Majalla"/>
          <w:sz w:val="28"/>
        </w:rPr>
        <w:t>.</w:t>
      </w:r>
    </w:p>
    <w:p w14:paraId="478F380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ويرى الباحث أن هذه التجربة تمتلك مقومات التحول إلى نموذج دولي إذا استمرت في تطوير الابتكار، وتوطين التقنيات، وتعزيز الشراكات الدولية</w:t>
      </w:r>
      <w:r w:rsidRPr="008D5E40">
        <w:rPr>
          <w:rFonts w:ascii="Sakkal Majalla" w:hAnsi="Sakkal Majalla" w:cs="Sakkal Majalla"/>
          <w:sz w:val="28"/>
        </w:rPr>
        <w:t>.</w:t>
      </w:r>
    </w:p>
    <w:p w14:paraId="531D166F"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الحادي عشر: لوحة مؤشرات الأداء الاستراتيجية تمثل حجر الزاوية في استدامة التطوير</w:t>
      </w:r>
    </w:p>
    <w:p w14:paraId="1DF291FE"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 xml:space="preserve">تستنتج الدراسة أن نجاح الخطة الاستراتيجية المقترحة للفترة (2025–2030) يعتمد بدرجة كبيرة على وجود منظومة متكاملة لقياس الأداء، وهو ما تجسد في </w:t>
      </w:r>
      <w:r w:rsidRPr="008D5E40">
        <w:rPr>
          <w:rFonts w:ascii="Sakkal Majalla" w:hAnsi="Sakkal Majalla" w:cs="Sakkal Majalla"/>
          <w:b/>
          <w:bCs/>
          <w:sz w:val="28"/>
          <w:rtl/>
        </w:rPr>
        <w:t>لوحة مؤشرات الأداء الشاملة</w:t>
      </w:r>
      <w:r w:rsidRPr="008D5E40">
        <w:rPr>
          <w:rFonts w:ascii="Sakkal Majalla" w:hAnsi="Sakkal Majalla" w:cs="Sakkal Majalla"/>
          <w:b/>
          <w:bCs/>
          <w:sz w:val="28"/>
        </w:rPr>
        <w:t xml:space="preserve"> (KPIs)</w:t>
      </w:r>
      <w:r w:rsidRPr="008D5E40">
        <w:rPr>
          <w:rFonts w:ascii="Sakkal Majalla" w:hAnsi="Sakkal Majalla" w:cs="Sakkal Majalla"/>
          <w:sz w:val="28"/>
        </w:rPr>
        <w:t xml:space="preserve"> </w:t>
      </w:r>
      <w:r w:rsidRPr="008D5E40">
        <w:rPr>
          <w:rFonts w:ascii="Sakkal Majalla" w:hAnsi="Sakkal Majalla" w:cs="Sakkal Majalla"/>
          <w:sz w:val="28"/>
          <w:rtl/>
        </w:rPr>
        <w:t>التي اقترحتها الدراسة</w:t>
      </w:r>
      <w:r w:rsidRPr="008D5E40">
        <w:rPr>
          <w:rFonts w:ascii="Sakkal Majalla" w:hAnsi="Sakkal Majalla" w:cs="Sakkal Majalla"/>
          <w:sz w:val="28"/>
        </w:rPr>
        <w:t>.</w:t>
      </w:r>
    </w:p>
    <w:p w14:paraId="7DD785C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فالمؤشرات المتعلقة بزمن الإفراج الجمركي، ونسبة الرقمنة، ودقة الذكاء الاصطناعي، والإيرادات، والامتثال، والأمن السيبراني، والاستدامة، ورضا المستفيدين، تمثل أدوات موضوعية لقياس التقدم، والكشف المبكر عن الانحرافات، ودعم اتخاذ القرار</w:t>
      </w:r>
      <w:r w:rsidRPr="008D5E40">
        <w:rPr>
          <w:rFonts w:ascii="Sakkal Majalla" w:hAnsi="Sakkal Majalla" w:cs="Sakkal Majalla"/>
          <w:sz w:val="28"/>
        </w:rPr>
        <w:t>.</w:t>
      </w:r>
    </w:p>
    <w:p w14:paraId="50350315"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 xml:space="preserve">ويرى الباحث أن تبني </w:t>
      </w:r>
      <w:r w:rsidRPr="008D5E40">
        <w:rPr>
          <w:rFonts w:ascii="Sakkal Majalla" w:hAnsi="Sakkal Majalla" w:cs="Sakkal Majalla"/>
          <w:b/>
          <w:bCs/>
          <w:sz w:val="28"/>
          <w:rtl/>
        </w:rPr>
        <w:t>لوحة قيادة رقمية حية</w:t>
      </w:r>
      <w:r w:rsidRPr="008D5E40">
        <w:rPr>
          <w:rFonts w:ascii="Sakkal Majalla" w:hAnsi="Sakkal Majalla" w:cs="Sakkal Majalla"/>
          <w:b/>
          <w:bCs/>
          <w:sz w:val="28"/>
        </w:rPr>
        <w:t xml:space="preserve"> (Live KPI Dashboard)</w:t>
      </w:r>
      <w:r w:rsidRPr="008D5E40">
        <w:rPr>
          <w:rFonts w:ascii="Sakkal Majalla" w:hAnsi="Sakkal Majalla" w:cs="Sakkal Majalla"/>
          <w:sz w:val="28"/>
        </w:rPr>
        <w:t xml:space="preserve"> </w:t>
      </w:r>
      <w:r w:rsidRPr="008D5E40">
        <w:rPr>
          <w:rFonts w:ascii="Sakkal Majalla" w:hAnsi="Sakkal Majalla" w:cs="Sakkal Majalla"/>
          <w:sz w:val="28"/>
          <w:rtl/>
        </w:rPr>
        <w:t>وربطها بالأنظمة التشغيلية للهيئة سيحول إدارة الأداء من نموذج يعتمد على التقارير الدورية إلى نموذج يعتمد على المتابعة اللحظية والتحسين المستمر، بما يعزز الشفافية والحوكمة ويرفع كفاءة اتخاذ القرار</w:t>
      </w:r>
      <w:r w:rsidRPr="008D5E40">
        <w:rPr>
          <w:rFonts w:ascii="Sakkal Majalla" w:hAnsi="Sakkal Majalla" w:cs="Sakkal Majalla"/>
          <w:sz w:val="28"/>
        </w:rPr>
        <w:t>.</w:t>
      </w:r>
    </w:p>
    <w:p w14:paraId="287F583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الثاني عشر: مستقبل الجمارك يرتبط بالتحول من الإدارة التنفيذية إلى الإدارة الاستباقية</w:t>
      </w:r>
    </w:p>
    <w:p w14:paraId="38676C0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تخلص الدراسة إلى أن الإدارة الجمركية المستقبلية لن تقتصر على تنفيذ الإجراءات أو تحصيل الرسوم، وإنما ستتحول إلى منظومة ذكية تعتمد على البيانات، والذكاء الاصطناعي، والتحليلات التنبؤية، والابتكار المستمر، بما يمكنها من توقع المخاطر قبل وقوعها، ودعم السياسات الاقتصادية، وتعزيز الأمن الوطني، وتحقيق التنمية المستدامة</w:t>
      </w:r>
      <w:r w:rsidRPr="008D5E40">
        <w:rPr>
          <w:rFonts w:ascii="Sakkal Majalla" w:hAnsi="Sakkal Majalla" w:cs="Sakkal Majalla"/>
          <w:sz w:val="28"/>
        </w:rPr>
        <w:t>.</w:t>
      </w:r>
    </w:p>
    <w:p w14:paraId="72A817AA"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الباحث أن نجاح هذا التحول يتطلب استمرار الاستثمار في الابتكار، وتطوير التشريعات، وتعزيز الشراكات، وتوطين المعرفة، بحيث تصبح هيئة الزكاة والضريبة والجمارك مؤسسة معرفية تقود التطوير بدلاً من الاكتفاء بالاستجابة للتغيرات</w:t>
      </w:r>
      <w:r w:rsidRPr="008D5E40">
        <w:rPr>
          <w:rFonts w:ascii="Sakkal Majalla" w:hAnsi="Sakkal Majalla" w:cs="Sakkal Majalla"/>
          <w:sz w:val="28"/>
        </w:rPr>
        <w:t>.</w:t>
      </w:r>
    </w:p>
    <w:p w14:paraId="7502BF87"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رأي الباحث</w:t>
      </w:r>
    </w:p>
    <w:p w14:paraId="057A8A65"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يرى الباحث أن الاستنتاجات السابقة لا تقتصر على تفسير نتائج الدراسة الحالية، بل تقدم إطاراً فكرياً يمكن البناء عليه في تطوير السياسات العامة المرتبطة بالتحول الرقمي في القطاع الحكومي. كما تؤكد أن نجاح التحول الرقمي لا يرتبط بالتكنولوجيا وحدها، وإنما يعتمد على تكامل عناصر الحوكمة، والقيادة، والموارد البشرية، والابتكار، والبيانات، والأمن السيبراني ضمن رؤية استراتيجية موحدة. ومن هذا المنطلق، فإن التجربة السعودية في هيئة الزكاة والضريبة والجمارك تمثل فرصة حقيقية لتطوير نموذج عربي رائد في مجال الجمارك الرقمية، يمكن الاستفادة منه إقليمياً ودولياً</w:t>
      </w:r>
      <w:r w:rsidRPr="008D5E40">
        <w:rPr>
          <w:rFonts w:ascii="Sakkal Majalla" w:hAnsi="Sakkal Majalla" w:cs="Sakkal Majalla"/>
          <w:sz w:val="28"/>
        </w:rPr>
        <w:t>.</w:t>
      </w:r>
    </w:p>
    <w:p w14:paraId="7CC5E4FE"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lastRenderedPageBreak/>
        <w:t xml:space="preserve">ممتاز، سنكتب الآن </w:t>
      </w:r>
      <w:r w:rsidRPr="00E939B3">
        <w:rPr>
          <w:rFonts w:ascii="Sakkal Majalla" w:hAnsi="Sakkal Majalla" w:cs="Sakkal Majalla"/>
          <w:b/>
          <w:bCs/>
          <w:sz w:val="28"/>
          <w:rtl/>
        </w:rPr>
        <w:t>ثالثاً: التوصيات</w:t>
      </w:r>
      <w:r w:rsidRPr="00E939B3">
        <w:rPr>
          <w:rFonts w:ascii="Sakkal Majalla" w:hAnsi="Sakkal Majalla" w:cs="Sakkal Majalla"/>
          <w:sz w:val="28"/>
          <w:rtl/>
        </w:rPr>
        <w:t xml:space="preserve"> بصورة تليق برسالة دكتوراه، ولن تكون مجرد نقاط مختصرة، بل توصيات استراتيجية قابلة للتنفيذ، مدعومة بآليات تطبيق ومؤشرات قياس. وسأقسمها إلى محاور رئيسة كما هو متبع في أفضل الرسائل العلمية</w:t>
      </w:r>
      <w:r w:rsidRPr="00E939B3">
        <w:rPr>
          <w:rFonts w:ascii="Sakkal Majalla" w:hAnsi="Sakkal Majalla" w:cs="Sakkal Majalla"/>
          <w:sz w:val="28"/>
        </w:rPr>
        <w:t>.</w:t>
      </w:r>
    </w:p>
    <w:p w14:paraId="3F695AE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ثالثاً: التوصيات</w:t>
      </w:r>
    </w:p>
    <w:p w14:paraId="47D21A5A"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استناداً إلى النتائج التي توصلت إليها الدراسة، والاستنتاجات المستخلصة منها، والمقارنة المرجعية مع أفضل الممارسات الدولية، والنموذج الاستراتيجي المقترح، يرى الباحث أن تحقيق الاستدامة في مسيرة التحول الرقمي داخل هيئة الزكاة والضريبة والجمارك يتطلب تبني حزمة متكاملة من التوصيات التنفيذية، تشمل الهيئة نفسها، والجهات الحكومية، والقطاع الخاص، والجامعات، والمنظمات الإقليمية والدولية. وتهدف هذه التوصيات إلى تعظيم الاستفادة من المنجزات الحالية، ومعالجة التحديات المستقبلية، وتعزيز قدرة المملكة العربية السعودية على المحافظة على ريادتها في مجال الجمارك الرقمية</w:t>
      </w:r>
      <w:r w:rsidRPr="00E939B3">
        <w:rPr>
          <w:rFonts w:ascii="Sakkal Majalla" w:hAnsi="Sakkal Majalla" w:cs="Sakkal Majalla"/>
          <w:sz w:val="28"/>
        </w:rPr>
        <w:t>.</w:t>
      </w:r>
    </w:p>
    <w:p w14:paraId="43D2BF1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أولاً: توصيات موجهة إلى هيئة الزكاة والضريبة والجمارك</w:t>
      </w:r>
      <w:r w:rsidRPr="00E939B3">
        <w:rPr>
          <w:rFonts w:ascii="Sakkal Majalla" w:hAnsi="Sakkal Majalla" w:cs="Sakkal Majalla"/>
          <w:b/>
          <w:bCs/>
          <w:sz w:val="28"/>
        </w:rPr>
        <w:t xml:space="preserve"> (ZATCA)</w:t>
      </w:r>
    </w:p>
    <w:p w14:paraId="06FA977A"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تُعد الهيئة الجهة الرئيسة المسؤولة عن قيادة التحول الرقمي في المجال الجمركي والضريبي، ومن ثم فإن استمرار نجاحها يتطلب تبني عدد من المبادرات التطويرية التي تعزز نضجها الرقمي وتضمن استدامة التطوير المؤسسي</w:t>
      </w:r>
      <w:r w:rsidRPr="00E939B3">
        <w:rPr>
          <w:rFonts w:ascii="Sakkal Majalla" w:hAnsi="Sakkal Majalla" w:cs="Sakkal Majalla"/>
          <w:sz w:val="28"/>
        </w:rPr>
        <w:t>.</w:t>
      </w:r>
    </w:p>
    <w:p w14:paraId="5691D1E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(8-1)</w:t>
      </w:r>
    </w:p>
    <w:p w14:paraId="332F4A30"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الاستراتيجية الموجهة إلى هيئة الزكاة والضريبة والجمارك</w:t>
      </w:r>
    </w:p>
    <w:tbl>
      <w:tblPr>
        <w:tblStyle w:val="PlainTable3"/>
        <w:tblW w:w="0" w:type="auto"/>
        <w:jc w:val="center"/>
        <w:tblLook w:val="04A0" w:firstRow="1" w:lastRow="0" w:firstColumn="1" w:lastColumn="0" w:noHBand="0" w:noVBand="1"/>
      </w:tblPr>
      <w:tblGrid>
        <w:gridCol w:w="3045"/>
        <w:gridCol w:w="3096"/>
        <w:gridCol w:w="1186"/>
        <w:gridCol w:w="2033"/>
      </w:tblGrid>
      <w:tr w:rsidR="00E939B3" w:rsidRPr="00E939B3" w14:paraId="064DF822"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83DEC2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3A997068"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آلية التنفيذ</w:t>
            </w:r>
          </w:p>
        </w:tc>
        <w:tc>
          <w:tcPr>
            <w:tcW w:w="0" w:type="auto"/>
            <w:hideMark/>
          </w:tcPr>
          <w:p w14:paraId="2B7A1043"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الإطار الزمني</w:t>
            </w:r>
          </w:p>
        </w:tc>
        <w:tc>
          <w:tcPr>
            <w:tcW w:w="0" w:type="auto"/>
            <w:hideMark/>
          </w:tcPr>
          <w:p w14:paraId="04CEA2F3"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مؤشر الأداء</w:t>
            </w:r>
            <w:r w:rsidRPr="00E939B3">
              <w:rPr>
                <w:rFonts w:ascii="Sakkal Majalla" w:hAnsi="Sakkal Majalla" w:cs="Sakkal Majalla"/>
                <w:sz w:val="24"/>
                <w:szCs w:val="24"/>
              </w:rPr>
              <w:t xml:space="preserve"> (KPI)</w:t>
            </w:r>
          </w:p>
        </w:tc>
      </w:tr>
      <w:tr w:rsidR="00E939B3" w:rsidRPr="00E939B3" w14:paraId="223630FF"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34D82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الجيل الرابع من منصة فسح</w:t>
            </w:r>
          </w:p>
        </w:tc>
        <w:tc>
          <w:tcPr>
            <w:tcW w:w="0" w:type="auto"/>
            <w:hideMark/>
          </w:tcPr>
          <w:p w14:paraId="1E54A1D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دمج الذكاء الاصطناعي التوليدي، والتحليلات التنبؤية، والمساعدات الذكية</w:t>
            </w:r>
          </w:p>
        </w:tc>
        <w:tc>
          <w:tcPr>
            <w:tcW w:w="0" w:type="auto"/>
            <w:hideMark/>
          </w:tcPr>
          <w:p w14:paraId="2FD26B8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2026–2028</w:t>
            </w:r>
          </w:p>
        </w:tc>
        <w:tc>
          <w:tcPr>
            <w:tcW w:w="0" w:type="auto"/>
            <w:hideMark/>
          </w:tcPr>
          <w:p w14:paraId="36742ED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زيادة الأتمتة إلى 98</w:t>
            </w:r>
            <w:r w:rsidRPr="00E939B3">
              <w:rPr>
                <w:rFonts w:ascii="Sakkal Majalla" w:hAnsi="Sakkal Majalla" w:cs="Sakkal Majalla"/>
                <w:sz w:val="24"/>
                <w:szCs w:val="24"/>
              </w:rPr>
              <w:t>%</w:t>
            </w:r>
          </w:p>
        </w:tc>
      </w:tr>
      <w:tr w:rsidR="00E939B3" w:rsidRPr="00E939B3" w14:paraId="608232DF"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026B4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وطني للذكاء الاصطناعي الجمركي</w:t>
            </w:r>
          </w:p>
        </w:tc>
        <w:tc>
          <w:tcPr>
            <w:tcW w:w="0" w:type="auto"/>
            <w:hideMark/>
          </w:tcPr>
          <w:p w14:paraId="3BDA1E9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تطوير نماذج سعودية لتحليل المخاطر والتنبؤ</w:t>
            </w:r>
          </w:p>
        </w:tc>
        <w:tc>
          <w:tcPr>
            <w:tcW w:w="0" w:type="auto"/>
            <w:hideMark/>
          </w:tcPr>
          <w:p w14:paraId="39D46F9B"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25CA649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تشغيل أول نموذج وطني</w:t>
            </w:r>
          </w:p>
        </w:tc>
      </w:tr>
      <w:tr w:rsidR="00E939B3" w:rsidRPr="00E939B3" w14:paraId="32EF497D"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E6876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تبني منصة</w:t>
            </w:r>
            <w:r w:rsidRPr="00E939B3">
              <w:rPr>
                <w:rFonts w:ascii="Sakkal Majalla" w:hAnsi="Sakkal Majalla" w:cs="Sakkal Majalla"/>
                <w:sz w:val="24"/>
                <w:szCs w:val="24"/>
              </w:rPr>
              <w:t xml:space="preserve"> Live KPI Dashboard</w:t>
            </w:r>
          </w:p>
        </w:tc>
        <w:tc>
          <w:tcPr>
            <w:tcW w:w="0" w:type="auto"/>
            <w:hideMark/>
          </w:tcPr>
          <w:p w14:paraId="0FE6487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ربط جميع الأنظمة التشغيلية بلوحة قيادة لحظية</w:t>
            </w:r>
          </w:p>
        </w:tc>
        <w:tc>
          <w:tcPr>
            <w:tcW w:w="0" w:type="auto"/>
            <w:hideMark/>
          </w:tcPr>
          <w:p w14:paraId="1076345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w:t>
            </w:r>
          </w:p>
        </w:tc>
        <w:tc>
          <w:tcPr>
            <w:tcW w:w="0" w:type="auto"/>
            <w:hideMark/>
          </w:tcPr>
          <w:p w14:paraId="21C2381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تحديث لحظي لجميع المؤشرات</w:t>
            </w:r>
          </w:p>
        </w:tc>
      </w:tr>
      <w:tr w:rsidR="00E939B3" w:rsidRPr="00E939B3" w14:paraId="720F3AE6"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E3068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تطبيق</w:t>
            </w:r>
            <w:r w:rsidRPr="00E939B3">
              <w:rPr>
                <w:rFonts w:ascii="Sakkal Majalla" w:hAnsi="Sakkal Majalla" w:cs="Sakkal Majalla"/>
                <w:sz w:val="24"/>
                <w:szCs w:val="24"/>
              </w:rPr>
              <w:t xml:space="preserve"> Zero Trust Architecture </w:t>
            </w:r>
            <w:r w:rsidRPr="00E939B3">
              <w:rPr>
                <w:rFonts w:ascii="Sakkal Majalla" w:hAnsi="Sakkal Majalla" w:cs="Sakkal Majalla"/>
                <w:sz w:val="24"/>
                <w:szCs w:val="24"/>
                <w:rtl/>
              </w:rPr>
              <w:t>بالكامل</w:t>
            </w:r>
          </w:p>
        </w:tc>
        <w:tc>
          <w:tcPr>
            <w:tcW w:w="0" w:type="auto"/>
            <w:hideMark/>
          </w:tcPr>
          <w:p w14:paraId="407EDCEF"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إعادة تصميم البنية الأمنية وفق مبدأ الثقة الصفرية</w:t>
            </w:r>
          </w:p>
        </w:tc>
        <w:tc>
          <w:tcPr>
            <w:tcW w:w="0" w:type="auto"/>
            <w:hideMark/>
          </w:tcPr>
          <w:p w14:paraId="5DEE9FE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2025–2026</w:t>
            </w:r>
          </w:p>
        </w:tc>
        <w:tc>
          <w:tcPr>
            <w:tcW w:w="0" w:type="auto"/>
            <w:hideMark/>
          </w:tcPr>
          <w:p w14:paraId="2678598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صفر اختراقات حرجة</w:t>
            </w:r>
          </w:p>
        </w:tc>
      </w:tr>
      <w:tr w:rsidR="00E939B3" w:rsidRPr="00E939B3" w14:paraId="51D56518"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385D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ابتكار جمركي</w:t>
            </w:r>
            <w:r w:rsidRPr="00E939B3">
              <w:rPr>
                <w:rFonts w:ascii="Sakkal Majalla" w:hAnsi="Sakkal Majalla" w:cs="Sakkal Majalla"/>
                <w:sz w:val="24"/>
                <w:szCs w:val="24"/>
              </w:rPr>
              <w:t xml:space="preserve"> (Customs Innovation Lab)</w:t>
            </w:r>
          </w:p>
        </w:tc>
        <w:tc>
          <w:tcPr>
            <w:tcW w:w="0" w:type="auto"/>
            <w:hideMark/>
          </w:tcPr>
          <w:p w14:paraId="18432FF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احتضان المشاريع الابتكارية واختبار التقنيات الناشئة</w:t>
            </w:r>
          </w:p>
        </w:tc>
        <w:tc>
          <w:tcPr>
            <w:tcW w:w="0" w:type="auto"/>
            <w:hideMark/>
          </w:tcPr>
          <w:p w14:paraId="64934DC0"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021A9BB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20 </w:t>
            </w:r>
            <w:r w:rsidRPr="00E939B3">
              <w:rPr>
                <w:rFonts w:ascii="Sakkal Majalla" w:hAnsi="Sakkal Majalla" w:cs="Sakkal Majalla"/>
                <w:sz w:val="24"/>
                <w:szCs w:val="24"/>
                <w:rtl/>
              </w:rPr>
              <w:t>مشروعاً سنوياً</w:t>
            </w:r>
          </w:p>
        </w:tc>
      </w:tr>
      <w:tr w:rsidR="00E939B3" w:rsidRPr="00E939B3" w14:paraId="4037700D"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9435D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منصة للتوأم الرقمي</w:t>
            </w:r>
            <w:r w:rsidRPr="00E939B3">
              <w:rPr>
                <w:rFonts w:ascii="Sakkal Majalla" w:hAnsi="Sakkal Majalla" w:cs="Sakkal Majalla"/>
                <w:sz w:val="24"/>
                <w:szCs w:val="24"/>
              </w:rPr>
              <w:t xml:space="preserve"> (Digital Twin) </w:t>
            </w:r>
            <w:r w:rsidRPr="00E939B3">
              <w:rPr>
                <w:rFonts w:ascii="Sakkal Majalla" w:hAnsi="Sakkal Majalla" w:cs="Sakkal Majalla"/>
                <w:sz w:val="24"/>
                <w:szCs w:val="24"/>
                <w:rtl/>
              </w:rPr>
              <w:t>للمنافذ</w:t>
            </w:r>
          </w:p>
        </w:tc>
        <w:tc>
          <w:tcPr>
            <w:tcW w:w="0" w:type="auto"/>
            <w:hideMark/>
          </w:tcPr>
          <w:p w14:paraId="0AE26E12"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محاكاة تشغيل المنافذ قبل تطبيق أي تطوير</w:t>
            </w:r>
          </w:p>
        </w:tc>
        <w:tc>
          <w:tcPr>
            <w:tcW w:w="0" w:type="auto"/>
            <w:hideMark/>
          </w:tcPr>
          <w:p w14:paraId="2BA570C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2027</w:t>
            </w:r>
          </w:p>
        </w:tc>
        <w:tc>
          <w:tcPr>
            <w:tcW w:w="0" w:type="auto"/>
            <w:hideMark/>
          </w:tcPr>
          <w:p w14:paraId="04E42A4D"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تقليل الأعطال بنسبة 40</w:t>
            </w:r>
            <w:r w:rsidRPr="00E939B3">
              <w:rPr>
                <w:rFonts w:ascii="Sakkal Majalla" w:hAnsi="Sakkal Majalla" w:cs="Sakkal Majalla"/>
                <w:sz w:val="24"/>
                <w:szCs w:val="24"/>
              </w:rPr>
              <w:t>%</w:t>
            </w:r>
          </w:p>
        </w:tc>
      </w:tr>
      <w:tr w:rsidR="00E939B3" w:rsidRPr="00E939B3" w14:paraId="090ED973"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D27B0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وطني لتحليلات البيانات الجمركية</w:t>
            </w:r>
          </w:p>
        </w:tc>
        <w:tc>
          <w:tcPr>
            <w:tcW w:w="0" w:type="auto"/>
            <w:hideMark/>
          </w:tcPr>
          <w:p w14:paraId="0AC684A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دمج جميع قواعد البيانات وتحليلها مركزياً</w:t>
            </w:r>
          </w:p>
        </w:tc>
        <w:tc>
          <w:tcPr>
            <w:tcW w:w="0" w:type="auto"/>
            <w:hideMark/>
          </w:tcPr>
          <w:p w14:paraId="7CDC9F1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36D0F33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تحسين دقة التنبؤ بالمخاطر إلى 96</w:t>
            </w:r>
            <w:r w:rsidRPr="00E939B3">
              <w:rPr>
                <w:rFonts w:ascii="Sakkal Majalla" w:hAnsi="Sakkal Majalla" w:cs="Sakkal Majalla"/>
                <w:sz w:val="24"/>
                <w:szCs w:val="24"/>
              </w:rPr>
              <w:t>%</w:t>
            </w:r>
          </w:p>
        </w:tc>
      </w:tr>
      <w:tr w:rsidR="00E939B3" w:rsidRPr="00E939B3" w14:paraId="67EBBFF4"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8D62A"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تعزيز برامج التدريب الاحترافي</w:t>
            </w:r>
          </w:p>
        </w:tc>
        <w:tc>
          <w:tcPr>
            <w:tcW w:w="0" w:type="auto"/>
            <w:hideMark/>
          </w:tcPr>
          <w:p w14:paraId="62FCC460"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تدريب سنوي إلزامي لجميع العاملين</w:t>
            </w:r>
          </w:p>
        </w:tc>
        <w:tc>
          <w:tcPr>
            <w:tcW w:w="0" w:type="auto"/>
            <w:hideMark/>
          </w:tcPr>
          <w:p w14:paraId="16067CC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مستمر</w:t>
            </w:r>
          </w:p>
        </w:tc>
        <w:tc>
          <w:tcPr>
            <w:tcW w:w="0" w:type="auto"/>
            <w:hideMark/>
          </w:tcPr>
          <w:p w14:paraId="11EDB95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موظفين حاصلين على تدريب رقمي</w:t>
            </w:r>
          </w:p>
        </w:tc>
      </w:tr>
    </w:tbl>
    <w:p w14:paraId="78776781"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ويرى الباحث ضرورة أن تركز الهيئة خلال السنوات القادمة على خمسة مسارات استراتيجية متوازية</w:t>
      </w:r>
      <w:r w:rsidRPr="00E939B3">
        <w:rPr>
          <w:rFonts w:ascii="Sakkal Majalla" w:hAnsi="Sakkal Majalla" w:cs="Sakkal Majalla"/>
          <w:b/>
          <w:bCs/>
          <w:sz w:val="28"/>
        </w:rPr>
        <w:t>:</w:t>
      </w:r>
    </w:p>
    <w:p w14:paraId="17CAC65D"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التحول من الرقمنة إلى </w:t>
      </w:r>
      <w:r w:rsidRPr="00E939B3">
        <w:rPr>
          <w:rFonts w:ascii="Sakkal Majalla" w:hAnsi="Sakkal Majalla" w:cs="Sakkal Majalla"/>
          <w:b/>
          <w:bCs/>
          <w:sz w:val="28"/>
          <w:rtl/>
        </w:rPr>
        <w:t>الذكاء المؤسسي</w:t>
      </w:r>
      <w:r w:rsidRPr="00E939B3">
        <w:rPr>
          <w:rFonts w:ascii="Sakkal Majalla" w:hAnsi="Sakkal Majalla" w:cs="Sakkal Majalla"/>
          <w:sz w:val="28"/>
        </w:rPr>
        <w:t>.</w:t>
      </w:r>
    </w:p>
    <w:p w14:paraId="5928930F"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الانتقال من إدارة البيانات إلى </w:t>
      </w:r>
      <w:r w:rsidRPr="00E939B3">
        <w:rPr>
          <w:rFonts w:ascii="Sakkal Majalla" w:hAnsi="Sakkal Majalla" w:cs="Sakkal Majalla"/>
          <w:b/>
          <w:bCs/>
          <w:sz w:val="28"/>
          <w:rtl/>
        </w:rPr>
        <w:t>اقتصاد البيانات</w:t>
      </w:r>
      <w:r w:rsidRPr="00E939B3">
        <w:rPr>
          <w:rFonts w:ascii="Sakkal Majalla" w:hAnsi="Sakkal Majalla" w:cs="Sakkal Majalla"/>
          <w:sz w:val="28"/>
        </w:rPr>
        <w:t>.</w:t>
      </w:r>
    </w:p>
    <w:p w14:paraId="049E85E9"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تعزيز </w:t>
      </w:r>
      <w:r w:rsidRPr="00E939B3">
        <w:rPr>
          <w:rFonts w:ascii="Sakkal Majalla" w:hAnsi="Sakkal Majalla" w:cs="Sakkal Majalla"/>
          <w:b/>
          <w:bCs/>
          <w:sz w:val="28"/>
          <w:rtl/>
        </w:rPr>
        <w:t>سيادة البيانات الوطنية</w:t>
      </w:r>
      <w:r w:rsidRPr="00E939B3">
        <w:rPr>
          <w:rFonts w:ascii="Sakkal Majalla" w:hAnsi="Sakkal Majalla" w:cs="Sakkal Majalla"/>
          <w:sz w:val="28"/>
        </w:rPr>
        <w:t>.</w:t>
      </w:r>
    </w:p>
    <w:p w14:paraId="5083FEDB"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بناء ثقافة الابتكار المؤسسي</w:t>
      </w:r>
      <w:r w:rsidRPr="00E939B3">
        <w:rPr>
          <w:rFonts w:ascii="Sakkal Majalla" w:hAnsi="Sakkal Majalla" w:cs="Sakkal Majalla"/>
          <w:sz w:val="28"/>
        </w:rPr>
        <w:t>.</w:t>
      </w:r>
    </w:p>
    <w:p w14:paraId="72D4EEC6"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تطوير الشراكات الدولية مع الإدارات الجمركية الرائدة</w:t>
      </w:r>
      <w:r w:rsidRPr="00E939B3">
        <w:rPr>
          <w:rFonts w:ascii="Sakkal Majalla" w:hAnsi="Sakkal Majalla" w:cs="Sakkal Majalla"/>
          <w:sz w:val="28"/>
        </w:rPr>
        <w:t>.</w:t>
      </w:r>
    </w:p>
    <w:p w14:paraId="3AB7E9D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ثانياً: توصيات موجهة إلى الحكومة السعودية</w:t>
      </w:r>
    </w:p>
    <w:p w14:paraId="3C938B71"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الدراسة أن نجاح هيئة الزكاة والضريبة والجمارك يرتبط بدرجة كبيرة ببيئة التحول الرقمي الوطنية، ولذلك فإن عدداً من التوصيات يتجاوز نطاق الهيئة ليشمل السياسات الحكومية</w:t>
      </w:r>
      <w:r w:rsidRPr="00E939B3">
        <w:rPr>
          <w:rFonts w:ascii="Sakkal Majalla" w:hAnsi="Sakkal Majalla" w:cs="Sakkal Majalla"/>
          <w:sz w:val="28"/>
        </w:rPr>
        <w:t>.</w:t>
      </w:r>
    </w:p>
    <w:p w14:paraId="035944D2"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(8-2)</w:t>
      </w:r>
    </w:p>
    <w:p w14:paraId="12B1ECCE"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الحكومية المقترحة</w:t>
      </w:r>
    </w:p>
    <w:tbl>
      <w:tblPr>
        <w:tblStyle w:val="PlainTable3"/>
        <w:tblW w:w="0" w:type="auto"/>
        <w:jc w:val="center"/>
        <w:tblLook w:val="04A0" w:firstRow="1" w:lastRow="0" w:firstColumn="1" w:lastColumn="0" w:noHBand="0" w:noVBand="1"/>
      </w:tblPr>
      <w:tblGrid>
        <w:gridCol w:w="3297"/>
        <w:gridCol w:w="2423"/>
        <w:gridCol w:w="1358"/>
        <w:gridCol w:w="2282"/>
      </w:tblGrid>
      <w:tr w:rsidR="00E939B3" w:rsidRPr="00E939B3" w14:paraId="5D15872D"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ED65D5F"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التوصية</w:t>
            </w:r>
          </w:p>
        </w:tc>
        <w:tc>
          <w:tcPr>
            <w:tcW w:w="0" w:type="auto"/>
            <w:hideMark/>
          </w:tcPr>
          <w:p w14:paraId="10C8EABE"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جهة التنفيذ</w:t>
            </w:r>
          </w:p>
        </w:tc>
        <w:tc>
          <w:tcPr>
            <w:tcW w:w="0" w:type="auto"/>
            <w:hideMark/>
          </w:tcPr>
          <w:p w14:paraId="06E23DB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الفترة الزمنية</w:t>
            </w:r>
          </w:p>
        </w:tc>
        <w:tc>
          <w:tcPr>
            <w:tcW w:w="0" w:type="auto"/>
            <w:hideMark/>
          </w:tcPr>
          <w:p w14:paraId="30663BEC"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مؤشر النجاح</w:t>
            </w:r>
          </w:p>
        </w:tc>
      </w:tr>
      <w:tr w:rsidR="00E939B3" w:rsidRPr="00E939B3" w14:paraId="7C459D4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EFBD44"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إصدار الإستراتيجية الوطنية للجمارك الرقمية</w:t>
            </w:r>
          </w:p>
        </w:tc>
        <w:tc>
          <w:tcPr>
            <w:tcW w:w="0" w:type="auto"/>
            <w:hideMark/>
          </w:tcPr>
          <w:p w14:paraId="113C8D1B"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مجلس الوزراء</w:t>
            </w:r>
          </w:p>
        </w:tc>
        <w:tc>
          <w:tcPr>
            <w:tcW w:w="0" w:type="auto"/>
            <w:hideMark/>
          </w:tcPr>
          <w:p w14:paraId="5AFE0F8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5FA5F21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اعتماد الإستراتيجية</w:t>
            </w:r>
          </w:p>
        </w:tc>
      </w:tr>
      <w:tr w:rsidR="00E939B3" w:rsidRPr="00E939B3" w14:paraId="717818F6"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03BE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مجلس أعلى للبيانات الجمركية</w:t>
            </w:r>
          </w:p>
        </w:tc>
        <w:tc>
          <w:tcPr>
            <w:tcW w:w="0" w:type="auto"/>
            <w:hideMark/>
          </w:tcPr>
          <w:p w14:paraId="24F62DD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مجلس الشؤون الاقتصادية</w:t>
            </w:r>
          </w:p>
        </w:tc>
        <w:tc>
          <w:tcPr>
            <w:tcW w:w="0" w:type="auto"/>
            <w:hideMark/>
          </w:tcPr>
          <w:p w14:paraId="13493154"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79F61B09"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المجلس يعمل بكامل صلاحياته</w:t>
            </w:r>
          </w:p>
        </w:tc>
      </w:tr>
      <w:tr w:rsidR="00E939B3" w:rsidRPr="00E939B3" w14:paraId="5B2C7F98"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62766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توحيد الهوية الرقمية للشركات</w:t>
            </w:r>
          </w:p>
        </w:tc>
        <w:tc>
          <w:tcPr>
            <w:tcW w:w="0" w:type="auto"/>
            <w:hideMark/>
          </w:tcPr>
          <w:p w14:paraId="0765099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SDAIA </w:t>
            </w:r>
            <w:r w:rsidRPr="00E939B3">
              <w:rPr>
                <w:rFonts w:ascii="Sakkal Majalla" w:hAnsi="Sakkal Majalla" w:cs="Sakkal Majalla"/>
                <w:sz w:val="24"/>
                <w:szCs w:val="24"/>
                <w:rtl/>
              </w:rPr>
              <w:t>وهيئة الحكومة الرقمية</w:t>
            </w:r>
          </w:p>
        </w:tc>
        <w:tc>
          <w:tcPr>
            <w:tcW w:w="0" w:type="auto"/>
            <w:hideMark/>
          </w:tcPr>
          <w:p w14:paraId="4A2D93D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518E4CFE"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من الشركات مرتبطة</w:t>
            </w:r>
          </w:p>
        </w:tc>
      </w:tr>
      <w:tr w:rsidR="00E939B3" w:rsidRPr="00E939B3" w14:paraId="62098CDC"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27C375"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تشريعات الذكاء الاصطناعي الحكومي</w:t>
            </w:r>
          </w:p>
        </w:tc>
        <w:tc>
          <w:tcPr>
            <w:tcW w:w="0" w:type="auto"/>
            <w:hideMark/>
          </w:tcPr>
          <w:p w14:paraId="71824627"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هيئة البيانات والذكاء الاصطناعي</w:t>
            </w:r>
          </w:p>
        </w:tc>
        <w:tc>
          <w:tcPr>
            <w:tcW w:w="0" w:type="auto"/>
            <w:hideMark/>
          </w:tcPr>
          <w:p w14:paraId="2DCA4087"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2027</w:t>
            </w:r>
          </w:p>
        </w:tc>
        <w:tc>
          <w:tcPr>
            <w:tcW w:w="0" w:type="auto"/>
            <w:hideMark/>
          </w:tcPr>
          <w:p w14:paraId="431A4659"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إصدار قانون وطني</w:t>
            </w:r>
          </w:p>
        </w:tc>
      </w:tr>
      <w:tr w:rsidR="00E939B3" w:rsidRPr="00E939B3" w14:paraId="0A0D545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6DCD88"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صندوق وطني لابتكار الخدمات الجمركية</w:t>
            </w:r>
          </w:p>
        </w:tc>
        <w:tc>
          <w:tcPr>
            <w:tcW w:w="0" w:type="auto"/>
            <w:hideMark/>
          </w:tcPr>
          <w:p w14:paraId="4672ACA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وزارة المالية</w:t>
            </w:r>
          </w:p>
        </w:tc>
        <w:tc>
          <w:tcPr>
            <w:tcW w:w="0" w:type="auto"/>
            <w:hideMark/>
          </w:tcPr>
          <w:p w14:paraId="3857539F"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092FCE6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تمويل 50 مشروعاً</w:t>
            </w:r>
          </w:p>
        </w:tc>
      </w:tr>
    </w:tbl>
    <w:p w14:paraId="4364B1C7"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يوصي الباحث بأن تتبنى الحكومة برنامجاً وطنياً لتطوير </w:t>
      </w:r>
      <w:r w:rsidRPr="00E939B3">
        <w:rPr>
          <w:rFonts w:ascii="Sakkal Majalla" w:hAnsi="Sakkal Majalla" w:cs="Sakkal Majalla"/>
          <w:b/>
          <w:bCs/>
          <w:sz w:val="28"/>
          <w:rtl/>
        </w:rPr>
        <w:t>السيادة الرقمية</w:t>
      </w:r>
      <w:r w:rsidRPr="00E939B3">
        <w:rPr>
          <w:rFonts w:ascii="Sakkal Majalla" w:hAnsi="Sakkal Majalla" w:cs="Sakkal Majalla"/>
          <w:sz w:val="28"/>
          <w:rtl/>
        </w:rPr>
        <w:t>، بحيث يتم توطين الأنظمة والخوارزميات والمنصات الاستراتيجية، وتقليل الاعتماد على الحلول الأجنبية في القطاعات السيادية</w:t>
      </w:r>
      <w:r w:rsidRPr="00E939B3">
        <w:rPr>
          <w:rFonts w:ascii="Sakkal Majalla" w:hAnsi="Sakkal Majalla" w:cs="Sakkal Majalla"/>
          <w:sz w:val="28"/>
        </w:rPr>
        <w:t>.</w:t>
      </w:r>
    </w:p>
    <w:p w14:paraId="20492E58"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ثالثاً: توصيات موجهة إلى القطاع الخاص</w:t>
      </w:r>
    </w:p>
    <w:p w14:paraId="32839E77"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تشير الدراسة إلى أن نجاح التحول الرقمي الحكومي يرتبط بقدرة القطاع الخاص على مواكبة هذا التحول، ولذلك فإن مسؤولية التطوير لا تقع على الهيئة وحدها</w:t>
      </w:r>
      <w:r w:rsidRPr="00E939B3">
        <w:rPr>
          <w:rFonts w:ascii="Sakkal Majalla" w:hAnsi="Sakkal Majalla" w:cs="Sakkal Majalla"/>
          <w:sz w:val="28"/>
        </w:rPr>
        <w:t>.</w:t>
      </w:r>
    </w:p>
    <w:p w14:paraId="7E63136B"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(8-3)</w:t>
      </w:r>
    </w:p>
    <w:p w14:paraId="39ECE80F"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توصيات القطاع الخاص</w:t>
      </w:r>
    </w:p>
    <w:tbl>
      <w:tblPr>
        <w:tblStyle w:val="PlainTable3"/>
        <w:tblW w:w="0" w:type="auto"/>
        <w:jc w:val="center"/>
        <w:tblLook w:val="04A0" w:firstRow="1" w:lastRow="0" w:firstColumn="1" w:lastColumn="0" w:noHBand="0" w:noVBand="1"/>
      </w:tblPr>
      <w:tblGrid>
        <w:gridCol w:w="2320"/>
        <w:gridCol w:w="2469"/>
        <w:gridCol w:w="2192"/>
        <w:gridCol w:w="2302"/>
      </w:tblGrid>
      <w:tr w:rsidR="00E939B3" w:rsidRPr="00E939B3" w14:paraId="3B30339B"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08F486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القطاع</w:t>
            </w:r>
          </w:p>
        </w:tc>
        <w:tc>
          <w:tcPr>
            <w:tcW w:w="0" w:type="auto"/>
            <w:hideMark/>
          </w:tcPr>
          <w:p w14:paraId="23D9D07E"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76203E46"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التطبيق</w:t>
            </w:r>
          </w:p>
        </w:tc>
        <w:tc>
          <w:tcPr>
            <w:tcW w:w="0" w:type="auto"/>
            <w:hideMark/>
          </w:tcPr>
          <w:p w14:paraId="4E01EEB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KPI</w:t>
            </w:r>
          </w:p>
        </w:tc>
      </w:tr>
      <w:tr w:rsidR="00E939B3" w:rsidRPr="00E939B3" w14:paraId="448597F9"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38999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شركات الشحن</w:t>
            </w:r>
          </w:p>
        </w:tc>
        <w:tc>
          <w:tcPr>
            <w:tcW w:w="0" w:type="auto"/>
            <w:hideMark/>
          </w:tcPr>
          <w:p w14:paraId="6D68753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الربط المباشر مع</w:t>
            </w:r>
            <w:r w:rsidRPr="00E939B3">
              <w:rPr>
                <w:rFonts w:ascii="Sakkal Majalla" w:hAnsi="Sakkal Majalla" w:cs="Sakkal Majalla"/>
                <w:sz w:val="24"/>
                <w:szCs w:val="24"/>
              </w:rPr>
              <w:t xml:space="preserve"> ZATCA API</w:t>
            </w:r>
          </w:p>
        </w:tc>
        <w:tc>
          <w:tcPr>
            <w:tcW w:w="0" w:type="auto"/>
            <w:hideMark/>
          </w:tcPr>
          <w:p w14:paraId="5B64BC0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واجهات تكامل لحظية</w:t>
            </w:r>
          </w:p>
        </w:tc>
        <w:tc>
          <w:tcPr>
            <w:tcW w:w="0" w:type="auto"/>
            <w:hideMark/>
          </w:tcPr>
          <w:p w14:paraId="428D5F1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تخليص أقل من 30 دقيقة</w:t>
            </w:r>
          </w:p>
        </w:tc>
      </w:tr>
      <w:tr w:rsidR="00E939B3" w:rsidRPr="00E939B3" w14:paraId="28FAE040"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24022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شركات التجارة الإلكترونية</w:t>
            </w:r>
          </w:p>
        </w:tc>
        <w:tc>
          <w:tcPr>
            <w:tcW w:w="0" w:type="auto"/>
            <w:hideMark/>
          </w:tcPr>
          <w:p w14:paraId="04734BB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الأتمتة الكاملة للإقرارات</w:t>
            </w:r>
          </w:p>
        </w:tc>
        <w:tc>
          <w:tcPr>
            <w:tcW w:w="0" w:type="auto"/>
            <w:hideMark/>
          </w:tcPr>
          <w:p w14:paraId="562C722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API + e-Invoice</w:t>
            </w:r>
          </w:p>
        </w:tc>
        <w:tc>
          <w:tcPr>
            <w:tcW w:w="0" w:type="auto"/>
            <w:hideMark/>
          </w:tcPr>
          <w:p w14:paraId="02238D9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امتثال 100</w:t>
            </w:r>
            <w:r w:rsidRPr="00E939B3">
              <w:rPr>
                <w:rFonts w:ascii="Sakkal Majalla" w:hAnsi="Sakkal Majalla" w:cs="Sakkal Majalla"/>
                <w:sz w:val="24"/>
                <w:szCs w:val="24"/>
              </w:rPr>
              <w:t>%</w:t>
            </w:r>
          </w:p>
        </w:tc>
      </w:tr>
      <w:tr w:rsidR="00E939B3" w:rsidRPr="00E939B3" w14:paraId="5892AD11"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79B24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المصانع</w:t>
            </w:r>
          </w:p>
        </w:tc>
        <w:tc>
          <w:tcPr>
            <w:tcW w:w="0" w:type="auto"/>
            <w:hideMark/>
          </w:tcPr>
          <w:p w14:paraId="46B9DD2F"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ربط</w:t>
            </w:r>
            <w:r w:rsidRPr="00E939B3">
              <w:rPr>
                <w:rFonts w:ascii="Sakkal Majalla" w:hAnsi="Sakkal Majalla" w:cs="Sakkal Majalla"/>
                <w:sz w:val="24"/>
                <w:szCs w:val="24"/>
              </w:rPr>
              <w:t xml:space="preserve"> ERP </w:t>
            </w:r>
            <w:r w:rsidRPr="00E939B3">
              <w:rPr>
                <w:rFonts w:ascii="Sakkal Majalla" w:hAnsi="Sakkal Majalla" w:cs="Sakkal Majalla"/>
                <w:sz w:val="24"/>
                <w:szCs w:val="24"/>
                <w:rtl/>
              </w:rPr>
              <w:t>مع الهيئة</w:t>
            </w:r>
          </w:p>
        </w:tc>
        <w:tc>
          <w:tcPr>
            <w:tcW w:w="0" w:type="auto"/>
            <w:hideMark/>
          </w:tcPr>
          <w:p w14:paraId="63672A2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تبادل بيانات مباشر</w:t>
            </w:r>
          </w:p>
        </w:tc>
        <w:tc>
          <w:tcPr>
            <w:tcW w:w="0" w:type="auto"/>
            <w:hideMark/>
          </w:tcPr>
          <w:p w14:paraId="07C9822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تقليل التكلفة 20</w:t>
            </w:r>
            <w:r w:rsidRPr="00E939B3">
              <w:rPr>
                <w:rFonts w:ascii="Sakkal Majalla" w:hAnsi="Sakkal Majalla" w:cs="Sakkal Majalla"/>
                <w:sz w:val="24"/>
                <w:szCs w:val="24"/>
              </w:rPr>
              <w:t>%</w:t>
            </w:r>
          </w:p>
        </w:tc>
      </w:tr>
      <w:tr w:rsidR="00E939B3" w:rsidRPr="00E939B3" w14:paraId="1E826173"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06470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البنوك</w:t>
            </w:r>
          </w:p>
        </w:tc>
        <w:tc>
          <w:tcPr>
            <w:tcW w:w="0" w:type="auto"/>
            <w:hideMark/>
          </w:tcPr>
          <w:p w14:paraId="21DFE04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التمويل التجاري الرقمي</w:t>
            </w:r>
          </w:p>
        </w:tc>
        <w:tc>
          <w:tcPr>
            <w:tcW w:w="0" w:type="auto"/>
            <w:hideMark/>
          </w:tcPr>
          <w:p w14:paraId="24AC3D5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خطابات اعتماد إلكترونية</w:t>
            </w:r>
          </w:p>
        </w:tc>
        <w:tc>
          <w:tcPr>
            <w:tcW w:w="0" w:type="auto"/>
            <w:hideMark/>
          </w:tcPr>
          <w:p w14:paraId="7EB91C5F"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إنجاز خلال ساعتين</w:t>
            </w:r>
          </w:p>
        </w:tc>
      </w:tr>
      <w:tr w:rsidR="00E939B3" w:rsidRPr="00E939B3" w14:paraId="22E47F1C"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E132DA"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شركات التقنية</w:t>
            </w:r>
          </w:p>
        </w:tc>
        <w:tc>
          <w:tcPr>
            <w:tcW w:w="0" w:type="auto"/>
            <w:hideMark/>
          </w:tcPr>
          <w:p w14:paraId="7C687FE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تطوير حلول ذكاء اصطناعي</w:t>
            </w:r>
          </w:p>
        </w:tc>
        <w:tc>
          <w:tcPr>
            <w:tcW w:w="0" w:type="auto"/>
            <w:hideMark/>
          </w:tcPr>
          <w:p w14:paraId="4FFFAF4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برنامج شركاء</w:t>
            </w:r>
            <w:r w:rsidRPr="00E939B3">
              <w:rPr>
                <w:rFonts w:ascii="Sakkal Majalla" w:hAnsi="Sakkal Majalla" w:cs="Sakkal Majalla"/>
                <w:sz w:val="24"/>
                <w:szCs w:val="24"/>
              </w:rPr>
              <w:t xml:space="preserve"> ZATCA</w:t>
            </w:r>
          </w:p>
        </w:tc>
        <w:tc>
          <w:tcPr>
            <w:tcW w:w="0" w:type="auto"/>
            <w:hideMark/>
          </w:tcPr>
          <w:p w14:paraId="1EF472C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حل تقني بحلول 2030</w:t>
            </w:r>
          </w:p>
        </w:tc>
      </w:tr>
    </w:tbl>
    <w:p w14:paraId="4BF88863"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يرى الباحث أن الهيئة ينبغي أن تطلق </w:t>
      </w:r>
      <w:r w:rsidRPr="00E939B3">
        <w:rPr>
          <w:rFonts w:ascii="Sakkal Majalla" w:hAnsi="Sakkal Majalla" w:cs="Sakkal Majalla"/>
          <w:b/>
          <w:bCs/>
          <w:sz w:val="28"/>
          <w:rtl/>
        </w:rPr>
        <w:t>برنامج الاعتماد الرقمي للشركات</w:t>
      </w:r>
      <w:r w:rsidRPr="00E939B3">
        <w:rPr>
          <w:rFonts w:ascii="Sakkal Majalla" w:hAnsi="Sakkal Majalla" w:cs="Sakkal Majalla"/>
          <w:b/>
          <w:bCs/>
          <w:sz w:val="28"/>
        </w:rPr>
        <w:t xml:space="preserve"> (Digital Customs Excellence Program)</w:t>
      </w:r>
      <w:r w:rsidRPr="00E939B3">
        <w:rPr>
          <w:rFonts w:ascii="Sakkal Majalla" w:hAnsi="Sakkal Majalla" w:cs="Sakkal Majalla"/>
          <w:sz w:val="28"/>
          <w:rtl/>
        </w:rPr>
        <w:t>، بحيث يمنح مستويات (برونزية، فضية، ذهبية، بلاتينية) وفق درجة الامتثال الرقمي، ويُربط هذا التصنيف بحوافز جمركية وخدمية</w:t>
      </w:r>
      <w:r w:rsidRPr="00E939B3">
        <w:rPr>
          <w:rFonts w:ascii="Sakkal Majalla" w:hAnsi="Sakkal Majalla" w:cs="Sakkal Majalla"/>
          <w:sz w:val="28"/>
        </w:rPr>
        <w:t>.</w:t>
      </w:r>
    </w:p>
    <w:p w14:paraId="2CECB26C"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رابعاً: توصيات موجهة إلى الجامعات ومراكز البحث العلمي</w:t>
      </w:r>
    </w:p>
    <w:p w14:paraId="0F859268"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نتائج الدراسة أن التحول الرقمي يتطور بوتيرة أسرع من تطور الأدبيات العلمية، وهو ما يفرض على الجامعات القيام بدور أكثر فاعلية في دعم البحث والابتكار</w:t>
      </w:r>
      <w:r w:rsidRPr="00E939B3">
        <w:rPr>
          <w:rFonts w:ascii="Sakkal Majalla" w:hAnsi="Sakkal Majalla" w:cs="Sakkal Majalla"/>
          <w:sz w:val="28"/>
        </w:rPr>
        <w:t>.</w:t>
      </w:r>
    </w:p>
    <w:p w14:paraId="124E69F7"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(8-4)</w:t>
      </w:r>
    </w:p>
    <w:p w14:paraId="6543D576"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توصيات المؤسسات الأكاديمية</w:t>
      </w:r>
    </w:p>
    <w:tbl>
      <w:tblPr>
        <w:tblStyle w:val="PlainTable3"/>
        <w:tblW w:w="0" w:type="auto"/>
        <w:jc w:val="center"/>
        <w:tblLook w:val="04A0" w:firstRow="1" w:lastRow="0" w:firstColumn="1" w:lastColumn="0" w:noHBand="0" w:noVBand="1"/>
      </w:tblPr>
      <w:tblGrid>
        <w:gridCol w:w="3021"/>
        <w:gridCol w:w="2516"/>
        <w:gridCol w:w="2211"/>
      </w:tblGrid>
      <w:tr w:rsidR="00E939B3" w:rsidRPr="00E939B3" w14:paraId="5EEB91A1"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60FA9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01795955"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آلية التنفيذ</w:t>
            </w:r>
          </w:p>
        </w:tc>
        <w:tc>
          <w:tcPr>
            <w:tcW w:w="0" w:type="auto"/>
            <w:hideMark/>
          </w:tcPr>
          <w:p w14:paraId="2764BE7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المخرج المتوقع</w:t>
            </w:r>
          </w:p>
        </w:tc>
      </w:tr>
      <w:tr w:rsidR="00E939B3" w:rsidRPr="00E939B3" w14:paraId="0214BEEF"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3EADE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كرسي بحثي للجمارك الرقمية</w:t>
            </w:r>
          </w:p>
        </w:tc>
        <w:tc>
          <w:tcPr>
            <w:tcW w:w="0" w:type="auto"/>
            <w:hideMark/>
          </w:tcPr>
          <w:p w14:paraId="15A197E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شراكة بين</w:t>
            </w:r>
            <w:r w:rsidRPr="00E939B3">
              <w:rPr>
                <w:rFonts w:ascii="Sakkal Majalla" w:hAnsi="Sakkal Majalla" w:cs="Sakkal Majalla"/>
                <w:sz w:val="24"/>
                <w:szCs w:val="24"/>
              </w:rPr>
              <w:t xml:space="preserve"> ZATCA </w:t>
            </w:r>
            <w:r w:rsidRPr="00E939B3">
              <w:rPr>
                <w:rFonts w:ascii="Sakkal Majalla" w:hAnsi="Sakkal Majalla" w:cs="Sakkal Majalla"/>
                <w:sz w:val="24"/>
                <w:szCs w:val="24"/>
                <w:rtl/>
              </w:rPr>
              <w:t>والجامعات</w:t>
            </w:r>
          </w:p>
        </w:tc>
        <w:tc>
          <w:tcPr>
            <w:tcW w:w="0" w:type="auto"/>
            <w:hideMark/>
          </w:tcPr>
          <w:p w14:paraId="734D933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إنتاج بحوث تطبيقية</w:t>
            </w:r>
          </w:p>
        </w:tc>
      </w:tr>
      <w:tr w:rsidR="00E939B3" w:rsidRPr="00E939B3" w14:paraId="282AC6B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ED7B5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استحداث برامج ماجستير متخصصة</w:t>
            </w:r>
          </w:p>
        </w:tc>
        <w:tc>
          <w:tcPr>
            <w:tcW w:w="0" w:type="auto"/>
            <w:hideMark/>
          </w:tcPr>
          <w:p w14:paraId="61A0978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الجامعات السعودية</w:t>
            </w:r>
          </w:p>
        </w:tc>
        <w:tc>
          <w:tcPr>
            <w:tcW w:w="0" w:type="auto"/>
            <w:hideMark/>
          </w:tcPr>
          <w:p w14:paraId="68E1594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تخريج كوادر متخصصة</w:t>
            </w:r>
          </w:p>
        </w:tc>
      </w:tr>
      <w:tr w:rsidR="00E939B3" w:rsidRPr="00E939B3" w14:paraId="5D63AF49"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16571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مختبرات محاكاة جمركية</w:t>
            </w:r>
          </w:p>
        </w:tc>
        <w:tc>
          <w:tcPr>
            <w:tcW w:w="0" w:type="auto"/>
            <w:hideMark/>
          </w:tcPr>
          <w:p w14:paraId="5017C37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كليات الحاسب والإدارة</w:t>
            </w:r>
          </w:p>
        </w:tc>
        <w:tc>
          <w:tcPr>
            <w:tcW w:w="0" w:type="auto"/>
            <w:hideMark/>
          </w:tcPr>
          <w:p w14:paraId="3AB2188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تدريب عملي</w:t>
            </w:r>
          </w:p>
        </w:tc>
      </w:tr>
      <w:tr w:rsidR="00E939B3" w:rsidRPr="00E939B3" w14:paraId="0951328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485EDB"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دعم رسائل الدكتوراه التطبيقية</w:t>
            </w:r>
          </w:p>
        </w:tc>
        <w:tc>
          <w:tcPr>
            <w:tcW w:w="0" w:type="auto"/>
            <w:hideMark/>
          </w:tcPr>
          <w:p w14:paraId="776BE18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تمويل مشترك</w:t>
            </w:r>
          </w:p>
        </w:tc>
        <w:tc>
          <w:tcPr>
            <w:tcW w:w="0" w:type="auto"/>
            <w:hideMark/>
          </w:tcPr>
          <w:p w14:paraId="00B70BED"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زيادة الإنتاج العلمي</w:t>
            </w:r>
          </w:p>
        </w:tc>
      </w:tr>
      <w:tr w:rsidR="00E939B3" w:rsidRPr="00E939B3" w14:paraId="05C2120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C3E1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قاعدة بيانات بحثية وطنية</w:t>
            </w:r>
          </w:p>
        </w:tc>
        <w:tc>
          <w:tcPr>
            <w:tcW w:w="0" w:type="auto"/>
            <w:hideMark/>
          </w:tcPr>
          <w:p w14:paraId="6FB5A2B2"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وزارة التعليم</w:t>
            </w:r>
          </w:p>
        </w:tc>
        <w:tc>
          <w:tcPr>
            <w:tcW w:w="0" w:type="auto"/>
            <w:hideMark/>
          </w:tcPr>
          <w:p w14:paraId="262F75A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دعم الدراسات المستقبلية</w:t>
            </w:r>
          </w:p>
        </w:tc>
      </w:tr>
    </w:tbl>
    <w:p w14:paraId="49AB9C59"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يوصي الباحث بإطلاق </w:t>
      </w:r>
      <w:r w:rsidRPr="00E939B3">
        <w:rPr>
          <w:rFonts w:ascii="Sakkal Majalla" w:hAnsi="Sakkal Majalla" w:cs="Sakkal Majalla"/>
          <w:b/>
          <w:bCs/>
          <w:sz w:val="28"/>
        </w:rPr>
        <w:t>"</w:t>
      </w:r>
      <w:r w:rsidRPr="00E939B3">
        <w:rPr>
          <w:rFonts w:ascii="Sakkal Majalla" w:hAnsi="Sakkal Majalla" w:cs="Sakkal Majalla"/>
          <w:b/>
          <w:bCs/>
          <w:sz w:val="28"/>
          <w:rtl/>
        </w:rPr>
        <w:t>مؤشر البحث العلمي في الجمارك الرقمية</w:t>
      </w:r>
      <w:r w:rsidRPr="00E939B3">
        <w:rPr>
          <w:rFonts w:ascii="Sakkal Majalla" w:hAnsi="Sakkal Majalla" w:cs="Sakkal Majalla"/>
          <w:b/>
          <w:bCs/>
          <w:sz w:val="28"/>
        </w:rPr>
        <w:t>"</w:t>
      </w:r>
      <w:r w:rsidRPr="00E939B3">
        <w:rPr>
          <w:rFonts w:ascii="Sakkal Majalla" w:hAnsi="Sakkal Majalla" w:cs="Sakkal Majalla"/>
          <w:sz w:val="28"/>
        </w:rPr>
        <w:t xml:space="preserve"> </w:t>
      </w:r>
      <w:r w:rsidRPr="00E939B3">
        <w:rPr>
          <w:rFonts w:ascii="Sakkal Majalla" w:hAnsi="Sakkal Majalla" w:cs="Sakkal Majalla"/>
          <w:sz w:val="28"/>
          <w:rtl/>
        </w:rPr>
        <w:t>لقياس الإنتاج العلمي السعودي في هذا المجال، وربطه بمؤشرات رؤية المملكة 2030</w:t>
      </w:r>
      <w:r w:rsidRPr="00E939B3">
        <w:rPr>
          <w:rFonts w:ascii="Sakkal Majalla" w:hAnsi="Sakkal Majalla" w:cs="Sakkal Majalla"/>
          <w:sz w:val="28"/>
        </w:rPr>
        <w:t>.</w:t>
      </w:r>
    </w:p>
    <w:p w14:paraId="42EE54A6"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خامساً: توصيات موجهة إلى المنظمات الإقليمية والدولية</w:t>
      </w:r>
    </w:p>
    <w:p w14:paraId="4C323E25"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الدراسة أن التطور السريع في التجارة العالمية يفرض تعزيز التعاون الدولي في مجال الجمارك الرقمية</w:t>
      </w:r>
      <w:r w:rsidRPr="00E939B3">
        <w:rPr>
          <w:rFonts w:ascii="Sakkal Majalla" w:hAnsi="Sakkal Majalla" w:cs="Sakkal Majalla"/>
          <w:sz w:val="28"/>
        </w:rPr>
        <w:t>.</w:t>
      </w:r>
    </w:p>
    <w:p w14:paraId="3E86E31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(8-5)</w:t>
      </w:r>
    </w:p>
    <w:p w14:paraId="57C3A8EC"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الدولية</w:t>
      </w:r>
    </w:p>
    <w:tbl>
      <w:tblPr>
        <w:tblStyle w:val="PlainTable3"/>
        <w:tblW w:w="0" w:type="auto"/>
        <w:jc w:val="center"/>
        <w:tblLook w:val="04A0" w:firstRow="1" w:lastRow="0" w:firstColumn="1" w:lastColumn="0" w:noHBand="0" w:noVBand="1"/>
      </w:tblPr>
      <w:tblGrid>
        <w:gridCol w:w="2166"/>
        <w:gridCol w:w="4141"/>
        <w:gridCol w:w="1590"/>
      </w:tblGrid>
      <w:tr w:rsidR="00E939B3" w:rsidRPr="00E939B3" w14:paraId="347229DC"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8345A54"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المنظمة</w:t>
            </w:r>
          </w:p>
        </w:tc>
        <w:tc>
          <w:tcPr>
            <w:tcW w:w="0" w:type="auto"/>
            <w:hideMark/>
          </w:tcPr>
          <w:p w14:paraId="5B79EDE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6FA8A942"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الهدف</w:t>
            </w:r>
          </w:p>
        </w:tc>
      </w:tr>
      <w:tr w:rsidR="00E939B3" w:rsidRPr="00E939B3" w14:paraId="2A803737"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CB185"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منظمة الجمارك العالمية</w:t>
            </w:r>
          </w:p>
        </w:tc>
        <w:tc>
          <w:tcPr>
            <w:tcW w:w="0" w:type="auto"/>
            <w:hideMark/>
          </w:tcPr>
          <w:p w14:paraId="53F2F190"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اعتماد التجربة السعودية كنموذج مرجعي</w:t>
            </w:r>
          </w:p>
        </w:tc>
        <w:tc>
          <w:tcPr>
            <w:tcW w:w="0" w:type="auto"/>
            <w:hideMark/>
          </w:tcPr>
          <w:p w14:paraId="2A2A0EA2"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نقل الخبرات</w:t>
            </w:r>
          </w:p>
        </w:tc>
      </w:tr>
      <w:tr w:rsidR="00E939B3" w:rsidRPr="00E939B3" w14:paraId="5E080FC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D31512"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مجلس التعاون الخليجي</w:t>
            </w:r>
          </w:p>
        </w:tc>
        <w:tc>
          <w:tcPr>
            <w:tcW w:w="0" w:type="auto"/>
            <w:hideMark/>
          </w:tcPr>
          <w:p w14:paraId="23DC101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إنشاء منصة جمركية خليجية موحدة</w:t>
            </w:r>
          </w:p>
        </w:tc>
        <w:tc>
          <w:tcPr>
            <w:tcW w:w="0" w:type="auto"/>
            <w:hideMark/>
          </w:tcPr>
          <w:p w14:paraId="4C61C67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التكامل الإقليمي</w:t>
            </w:r>
          </w:p>
        </w:tc>
      </w:tr>
      <w:tr w:rsidR="00E939B3" w:rsidRPr="00E939B3" w14:paraId="73E5CA53"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52673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جامعة الدول العربية</w:t>
            </w:r>
          </w:p>
        </w:tc>
        <w:tc>
          <w:tcPr>
            <w:tcW w:w="0" w:type="auto"/>
            <w:hideMark/>
          </w:tcPr>
          <w:p w14:paraId="524E709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تأسيس الأكاديمية العربية للجمارك الرقمية</w:t>
            </w:r>
          </w:p>
        </w:tc>
        <w:tc>
          <w:tcPr>
            <w:tcW w:w="0" w:type="auto"/>
            <w:hideMark/>
          </w:tcPr>
          <w:p w14:paraId="2643036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بناء القدرات</w:t>
            </w:r>
          </w:p>
        </w:tc>
      </w:tr>
      <w:tr w:rsidR="00E939B3" w:rsidRPr="00E939B3" w14:paraId="6876731C"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8FB86E"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البنك الدولي</w:t>
            </w:r>
          </w:p>
        </w:tc>
        <w:tc>
          <w:tcPr>
            <w:tcW w:w="0" w:type="auto"/>
            <w:hideMark/>
          </w:tcPr>
          <w:p w14:paraId="11A32B8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دعم مشاريع التحول الرقمي</w:t>
            </w:r>
          </w:p>
        </w:tc>
        <w:tc>
          <w:tcPr>
            <w:tcW w:w="0" w:type="auto"/>
            <w:hideMark/>
          </w:tcPr>
          <w:p w14:paraId="3BCAA70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نقل المعرفة</w:t>
            </w:r>
          </w:p>
        </w:tc>
      </w:tr>
      <w:tr w:rsidR="00E939B3" w:rsidRPr="00E939B3" w14:paraId="350B8CA2"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2AE28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الأمم المتحدة</w:t>
            </w:r>
          </w:p>
        </w:tc>
        <w:tc>
          <w:tcPr>
            <w:tcW w:w="0" w:type="auto"/>
            <w:hideMark/>
          </w:tcPr>
          <w:p w14:paraId="3F40F0FE"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إدراج مؤشرات الجمارك الرقمية ضمن مؤشرات التنمية</w:t>
            </w:r>
          </w:p>
        </w:tc>
        <w:tc>
          <w:tcPr>
            <w:tcW w:w="0" w:type="auto"/>
            <w:hideMark/>
          </w:tcPr>
          <w:p w14:paraId="396A109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القياس الدولي</w:t>
            </w:r>
          </w:p>
        </w:tc>
      </w:tr>
    </w:tbl>
    <w:p w14:paraId="18B19C6B"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(8-6)</w:t>
      </w:r>
    </w:p>
    <w:p w14:paraId="70CA7382"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خارطة الطريق التنفيذية لتطبيق توصيات الدراسة</w:t>
      </w:r>
    </w:p>
    <w:tbl>
      <w:tblPr>
        <w:tblStyle w:val="PlainTable3"/>
        <w:tblW w:w="0" w:type="auto"/>
        <w:jc w:val="center"/>
        <w:tblLook w:val="04A0" w:firstRow="1" w:lastRow="0" w:firstColumn="1" w:lastColumn="0" w:noHBand="0" w:noVBand="1"/>
      </w:tblPr>
      <w:tblGrid>
        <w:gridCol w:w="1314"/>
        <w:gridCol w:w="1276"/>
        <w:gridCol w:w="3911"/>
        <w:gridCol w:w="2859"/>
      </w:tblGrid>
      <w:tr w:rsidR="00E939B3" w:rsidRPr="00E939B3" w14:paraId="19AF2CAA"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BE3CBD"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w:t>
            </w:r>
          </w:p>
        </w:tc>
        <w:tc>
          <w:tcPr>
            <w:tcW w:w="0" w:type="auto"/>
            <w:hideMark/>
          </w:tcPr>
          <w:p w14:paraId="1A2CD18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الفترة</w:t>
            </w:r>
          </w:p>
        </w:tc>
        <w:tc>
          <w:tcPr>
            <w:tcW w:w="0" w:type="auto"/>
            <w:hideMark/>
          </w:tcPr>
          <w:p w14:paraId="446F5B6C"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الأولويات</w:t>
            </w:r>
          </w:p>
        </w:tc>
        <w:tc>
          <w:tcPr>
            <w:tcW w:w="0" w:type="auto"/>
            <w:hideMark/>
          </w:tcPr>
          <w:p w14:paraId="7F13123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الجهات الرئيسة</w:t>
            </w:r>
          </w:p>
        </w:tc>
      </w:tr>
      <w:tr w:rsidR="00E939B3" w:rsidRPr="00E939B3" w14:paraId="1A5BF9B5"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513751"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الأولى</w:t>
            </w:r>
          </w:p>
        </w:tc>
        <w:tc>
          <w:tcPr>
            <w:tcW w:w="0" w:type="auto"/>
            <w:hideMark/>
          </w:tcPr>
          <w:p w14:paraId="76C41C2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2025–2026</w:t>
            </w:r>
          </w:p>
        </w:tc>
        <w:tc>
          <w:tcPr>
            <w:tcW w:w="0" w:type="auto"/>
            <w:hideMark/>
          </w:tcPr>
          <w:p w14:paraId="5C78FC9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 xml:space="preserve">تطوير البنية الرقمية، </w:t>
            </w:r>
            <w:r w:rsidRPr="00E939B3">
              <w:rPr>
                <w:rFonts w:ascii="Sakkal Majalla" w:hAnsi="Sakkal Majalla" w:cs="Sakkal Majalla"/>
                <w:sz w:val="24"/>
                <w:szCs w:val="24"/>
              </w:rPr>
              <w:t>Live KPI Dashboard</w:t>
            </w:r>
            <w:r w:rsidRPr="00E939B3">
              <w:rPr>
                <w:rFonts w:ascii="Sakkal Majalla" w:hAnsi="Sakkal Majalla" w:cs="Sakkal Majalla"/>
                <w:sz w:val="24"/>
                <w:szCs w:val="24"/>
                <w:rtl/>
              </w:rPr>
              <w:t>، الأمن السيبراني، التدريب</w:t>
            </w:r>
          </w:p>
        </w:tc>
        <w:tc>
          <w:tcPr>
            <w:tcW w:w="0" w:type="auto"/>
            <w:hideMark/>
          </w:tcPr>
          <w:p w14:paraId="287E8FB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ZATCA – SDAIA – </w:t>
            </w:r>
            <w:r w:rsidRPr="00E939B3">
              <w:rPr>
                <w:rFonts w:ascii="Sakkal Majalla" w:hAnsi="Sakkal Majalla" w:cs="Sakkal Majalla"/>
                <w:sz w:val="24"/>
                <w:szCs w:val="24"/>
                <w:rtl/>
              </w:rPr>
              <w:t>هيئة الحكومة الرقمية</w:t>
            </w:r>
          </w:p>
        </w:tc>
      </w:tr>
      <w:tr w:rsidR="00E939B3" w:rsidRPr="00E939B3" w14:paraId="2B6D5A5A"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875E42"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الثانية</w:t>
            </w:r>
          </w:p>
        </w:tc>
        <w:tc>
          <w:tcPr>
            <w:tcW w:w="0" w:type="auto"/>
            <w:hideMark/>
          </w:tcPr>
          <w:p w14:paraId="4537EB1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2026–2028</w:t>
            </w:r>
          </w:p>
        </w:tc>
        <w:tc>
          <w:tcPr>
            <w:tcW w:w="0" w:type="auto"/>
            <w:hideMark/>
          </w:tcPr>
          <w:p w14:paraId="0D426E0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الذكاء الاصطناعي، التوأم الرقمي، التكامل الخليجي، توطين الأنظمة</w:t>
            </w:r>
          </w:p>
        </w:tc>
        <w:tc>
          <w:tcPr>
            <w:tcW w:w="0" w:type="auto"/>
            <w:hideMark/>
          </w:tcPr>
          <w:p w14:paraId="4884D85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ZATCA – </w:t>
            </w:r>
            <w:r w:rsidRPr="00E939B3">
              <w:rPr>
                <w:rFonts w:ascii="Sakkal Majalla" w:hAnsi="Sakkal Majalla" w:cs="Sakkal Majalla"/>
                <w:sz w:val="24"/>
                <w:szCs w:val="24"/>
                <w:rtl/>
              </w:rPr>
              <w:t>وزارة المالية – مجلس التعاون</w:t>
            </w:r>
          </w:p>
        </w:tc>
      </w:tr>
      <w:tr w:rsidR="00E939B3" w:rsidRPr="00E939B3" w14:paraId="5C457541"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2FFE1F"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الثالثة</w:t>
            </w:r>
          </w:p>
        </w:tc>
        <w:tc>
          <w:tcPr>
            <w:tcW w:w="0" w:type="auto"/>
            <w:hideMark/>
          </w:tcPr>
          <w:p w14:paraId="5534B36B"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2028–2030</w:t>
            </w:r>
          </w:p>
        </w:tc>
        <w:tc>
          <w:tcPr>
            <w:tcW w:w="0" w:type="auto"/>
            <w:hideMark/>
          </w:tcPr>
          <w:p w14:paraId="61D3E6A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الريادة العالمية، التجارة الخضراء، تصدير التجربة السعودية</w:t>
            </w:r>
          </w:p>
        </w:tc>
        <w:tc>
          <w:tcPr>
            <w:tcW w:w="0" w:type="auto"/>
            <w:hideMark/>
          </w:tcPr>
          <w:p w14:paraId="1943E218"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الحكومة السعودية</w:t>
            </w:r>
            <w:r w:rsidRPr="00E939B3">
              <w:rPr>
                <w:rFonts w:ascii="Sakkal Majalla" w:hAnsi="Sakkal Majalla" w:cs="Sakkal Majalla"/>
                <w:sz w:val="24"/>
                <w:szCs w:val="24"/>
              </w:rPr>
              <w:t xml:space="preserve"> – WCO – </w:t>
            </w:r>
            <w:r w:rsidRPr="00E939B3">
              <w:rPr>
                <w:rFonts w:ascii="Sakkal Majalla" w:hAnsi="Sakkal Majalla" w:cs="Sakkal Majalla"/>
                <w:sz w:val="24"/>
                <w:szCs w:val="24"/>
                <w:rtl/>
              </w:rPr>
              <w:t>المنظمات الدولية</w:t>
            </w:r>
          </w:p>
        </w:tc>
      </w:tr>
    </w:tbl>
    <w:p w14:paraId="535BD827"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رأي الباحث</w:t>
      </w:r>
    </w:p>
    <w:p w14:paraId="0580437D"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يرى الباحث أن القيمة الحقيقية لهذه التوصيات لا تكمن في عددها، بل في تكاملها وترابطها؛ إذ تشكل معاً خارطة طريق تنفيذية لتحويل هيئة الزكاة والضريبة والجمارك من مؤسسة نجحت في التحول الرقمي إلى </w:t>
      </w:r>
      <w:r w:rsidRPr="00E939B3">
        <w:rPr>
          <w:rFonts w:ascii="Sakkal Majalla" w:hAnsi="Sakkal Majalla" w:cs="Sakkal Majalla"/>
          <w:b/>
          <w:bCs/>
          <w:sz w:val="28"/>
          <w:rtl/>
        </w:rPr>
        <w:t>منصة حكومية ذكية تقود الابتكار المؤسسي على المستوى العالمي</w:t>
      </w:r>
      <w:r w:rsidRPr="00E939B3">
        <w:rPr>
          <w:rFonts w:ascii="Sakkal Majalla" w:hAnsi="Sakkal Majalla" w:cs="Sakkal Majalla"/>
          <w:sz w:val="28"/>
        </w:rPr>
        <w:t xml:space="preserve">. </w:t>
      </w:r>
      <w:r w:rsidRPr="00E939B3">
        <w:rPr>
          <w:rFonts w:ascii="Sakkal Majalla" w:hAnsi="Sakkal Majalla" w:cs="Sakkal Majalla"/>
          <w:sz w:val="28"/>
          <w:rtl/>
        </w:rPr>
        <w:t>كما يؤكد الباحث أن تنفيذ هذه التوصيات بصورة مرحلية، وربطها بلوحة قيادة مؤشرات الأداء الاستراتيجية</w:t>
      </w:r>
      <w:r w:rsidRPr="00E939B3">
        <w:rPr>
          <w:rFonts w:ascii="Sakkal Majalla" w:hAnsi="Sakkal Majalla" w:cs="Sakkal Majalla"/>
          <w:sz w:val="28"/>
        </w:rPr>
        <w:t xml:space="preserve"> (Live KPI Dashboard)</w:t>
      </w:r>
      <w:r w:rsidRPr="00E939B3">
        <w:rPr>
          <w:rFonts w:ascii="Sakkal Majalla" w:hAnsi="Sakkal Majalla" w:cs="Sakkal Majalla"/>
          <w:sz w:val="28"/>
          <w:rtl/>
        </w:rPr>
        <w:t>، سيمكن الهيئة من متابعة التقدم بشكل لحظي، واتخاذ القرارات التصحيحية في الوقت المناسب، بما يعزز كفاءة الأداء المؤسسي ويضمن تحقيق مستهدفات رؤية المملكة العربية السعودية 2030، ويضع الهيئة ضمن أفضل الإدارات الجمركية في العالم بحلول نهاية العقد الحالي</w:t>
      </w:r>
      <w:r w:rsidRPr="00E939B3">
        <w:rPr>
          <w:rFonts w:ascii="Sakkal Majalla" w:hAnsi="Sakkal Majalla" w:cs="Sakkal Majalla"/>
          <w:sz w:val="28"/>
        </w:rPr>
        <w:t>.</w:t>
      </w:r>
    </w:p>
    <w:p w14:paraId="5C8FAC66"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رابعاً: إسهامات الدراسة العلمية والتطبيقية</w:t>
      </w:r>
    </w:p>
    <w:p w14:paraId="0ED5AAD0"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Pr>
        <w:t>(Scientific and Practical Contributions)</w:t>
      </w:r>
    </w:p>
    <w:p w14:paraId="3606944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تمثل هذه الدراسة إضافة علمية وتطبيقية في مجال التحول الرقمي والإدارة الجمركية الذكية، إذ لم تقتصر على تحليل واقع التحول الرقمي في هيئة الزكاة والضريبة والجمارك، وإنما سعت إلى بناء إطار معرفي متكامل يجمع بين الجوانب النظرية والتطبيقية والاستراتيجية، ويقدم نموذجاً عملياً يمكن الاستفادة منه في تطوير الأداء المؤسسي داخل الهيئة، وفي المؤسسات الجمركية المماثلة على المستويين الإقليمي والدولي</w:t>
      </w:r>
      <w:r w:rsidRPr="001638FA">
        <w:rPr>
          <w:rFonts w:ascii="Sakkal Majalla" w:hAnsi="Sakkal Majalla" w:cs="Sakkal Majalla"/>
          <w:sz w:val="28"/>
        </w:rPr>
        <w:t>.</w:t>
      </w:r>
    </w:p>
    <w:p w14:paraId="3574244B"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وتتوزع إسهامات الدراسة إلى إسهامات علمية، ومنهجية، وتطبيقية، واستراتيجية، يمكن عرضها على النحو الآتي</w:t>
      </w:r>
      <w:r w:rsidRPr="001638FA">
        <w:rPr>
          <w:rFonts w:ascii="Sakkal Majalla" w:hAnsi="Sakkal Majalla" w:cs="Sakkal Majalla"/>
          <w:sz w:val="28"/>
        </w:rPr>
        <w:t>:</w:t>
      </w:r>
    </w:p>
    <w:p w14:paraId="14AEEE5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أولاً: الإسهامات العلمية</w:t>
      </w:r>
      <w:r w:rsidRPr="001638FA">
        <w:rPr>
          <w:rFonts w:ascii="Sakkal Majalla" w:hAnsi="Sakkal Majalla" w:cs="Sakkal Majalla"/>
          <w:b/>
          <w:bCs/>
          <w:sz w:val="28"/>
        </w:rPr>
        <w:t xml:space="preserve"> (Scientific Contributions)</w:t>
      </w:r>
    </w:p>
    <w:p w14:paraId="15F9C923"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أسهمت الدراسة في إثراء الأدبيات العلمية المتعلقة بالتحول الرقمي في الإدارات الجمركية من خلال تقديم معالجة شاملة تربط بين التحول الرقمي، وتعزيز الأمن الجمركي، وتيسير التجارة، ورفع كفاءة الأداء المؤسسي، وهو الربط الذي لم يحظ بالقدر الكافي من الاهتمام في الدراسات العربية السابقة، والتي ركز أغلبها على أحد هذه المتغيرات بصورة منفصلة</w:t>
      </w:r>
      <w:r w:rsidRPr="001638FA">
        <w:rPr>
          <w:rFonts w:ascii="Sakkal Majalla" w:hAnsi="Sakkal Majalla" w:cs="Sakkal Majalla"/>
          <w:sz w:val="28"/>
        </w:rPr>
        <w:t>.</w:t>
      </w:r>
    </w:p>
    <w:p w14:paraId="2AA5F52B"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قدمت الدراسة إطاراً مفاهيمياً يوضح العلاقات المتبادلة بين التحول الرقمي والحوكمة الرقمية والذكاء الاصطناعي والأمن السيبراني وإدارة المخاطر، مبينةً أن هذه العناصر لا تعمل بصورة مستقلة، وإنما تشكل منظومة متكاملة تتفاعل فيما بينها لتحقيق أهداف المؤسسة</w:t>
      </w:r>
      <w:r w:rsidRPr="001638FA">
        <w:rPr>
          <w:rFonts w:ascii="Sakkal Majalla" w:hAnsi="Sakkal Majalla" w:cs="Sakkal Majalla"/>
          <w:sz w:val="28"/>
        </w:rPr>
        <w:t>.</w:t>
      </w:r>
    </w:p>
    <w:p w14:paraId="3BBB47F7"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ومن الإسهامات المهمة أيضاً أن الدراسة أعادت صياغة مفهوم الجمارك الرقمية من منظور استراتيجي، بحيث لم يعد يُنظر إليها بوصفها منظومة تقنية تعتمد على الخدمات الإلكترونية فقط، بل باعتبارها مؤسسة معرفية تعتمد على البيانات والذكاء الاصطناعي والتحليلات التنبؤية والابتكار المستمر في إدارة التجارة والأمن الاقتصادي</w:t>
      </w:r>
      <w:r w:rsidRPr="001638FA">
        <w:rPr>
          <w:rFonts w:ascii="Sakkal Majalla" w:hAnsi="Sakkal Majalla" w:cs="Sakkal Majalla"/>
          <w:sz w:val="28"/>
        </w:rPr>
        <w:t>.</w:t>
      </w:r>
    </w:p>
    <w:p w14:paraId="1AC4A44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ويرى الباحث أن هذه الدراسة تسهم في تضييق الفجوة البحثية بين أدبيات الإدارة العامة، وأدبيات التحول الرقمي، وأدبيات إدارة الجمارك، من خلال دمج هذه الحقول في إطار نظري واحد يمكن البناء عليه في الدراسات المستقبلية</w:t>
      </w:r>
      <w:r w:rsidRPr="001638FA">
        <w:rPr>
          <w:rFonts w:ascii="Sakkal Majalla" w:hAnsi="Sakkal Majalla" w:cs="Sakkal Majalla"/>
          <w:sz w:val="28"/>
        </w:rPr>
        <w:t>.</w:t>
      </w:r>
    </w:p>
    <w:p w14:paraId="1BF11DBE"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ثانياً: الإسهامات المنهجية</w:t>
      </w:r>
      <w:r w:rsidRPr="001638FA">
        <w:rPr>
          <w:rFonts w:ascii="Sakkal Majalla" w:hAnsi="Sakkal Majalla" w:cs="Sakkal Majalla"/>
          <w:b/>
          <w:bCs/>
          <w:sz w:val="28"/>
        </w:rPr>
        <w:t xml:space="preserve"> (Methodological Contributions)</w:t>
      </w:r>
    </w:p>
    <w:p w14:paraId="0C0EBAE6"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تميزت الدراسة بتبني منهجية بحثية متعددة الأبعاد جمعت بين التحليل النظري، والدراسة الميدانية، والتحليل الإحصائي، والمقارنة المرجعية الدولية، وبناء السيناريوهات المستقبلية، وهو ما أتاح الوصول إلى نتائج أكثر شمولاً وعمقاً مقارنة بالدراسات التي اعتمدت على منهج واحد</w:t>
      </w:r>
      <w:r w:rsidRPr="001638FA">
        <w:rPr>
          <w:rFonts w:ascii="Sakkal Majalla" w:hAnsi="Sakkal Majalla" w:cs="Sakkal Majalla"/>
          <w:sz w:val="28"/>
        </w:rPr>
        <w:t>.</w:t>
      </w:r>
    </w:p>
    <w:p w14:paraId="2C24B7D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كما طورت الدراسة نموذجاً تحليلياً يربط بين أبعاد التحول الرقمي والمتغيرات التابعة المتمثلة في الأمن الجمركي وتيسير التجارة وكفاءة الأداء المؤسسي، مع اختبار العلاقات الإحصائية بينها بصورة علمية</w:t>
      </w:r>
      <w:r w:rsidRPr="001638FA">
        <w:rPr>
          <w:rFonts w:ascii="Sakkal Majalla" w:hAnsi="Sakkal Majalla" w:cs="Sakkal Majalla"/>
          <w:sz w:val="28"/>
        </w:rPr>
        <w:t>.</w:t>
      </w:r>
    </w:p>
    <w:p w14:paraId="17AE568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وتبرز أصالة الدراسة أيضاً في اعتمادها على المقارنة مع تجارب عالمية رائدة، مثل سنغافورة وكوريا الجنوبية وإستونيا، واستخدام نتائج هذه المقارنة في تطوير نموذج استراتيجي يتناسب مع البيئة السعودية، بدلاً من الاكتفاء بعرض التجارب الدولية</w:t>
      </w:r>
      <w:r w:rsidRPr="001638FA">
        <w:rPr>
          <w:rFonts w:ascii="Sakkal Majalla" w:hAnsi="Sakkal Majalla" w:cs="Sakkal Majalla"/>
          <w:sz w:val="28"/>
        </w:rPr>
        <w:t>.</w:t>
      </w:r>
    </w:p>
    <w:p w14:paraId="30998EC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ثالثاً: الإسهامات التطبيقية</w:t>
      </w:r>
      <w:r w:rsidRPr="001638FA">
        <w:rPr>
          <w:rFonts w:ascii="Sakkal Majalla" w:hAnsi="Sakkal Majalla" w:cs="Sakkal Majalla"/>
          <w:b/>
          <w:bCs/>
          <w:sz w:val="28"/>
        </w:rPr>
        <w:t xml:space="preserve"> (Practical Contributions)</w:t>
      </w:r>
    </w:p>
    <w:p w14:paraId="0E06CDC6"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تمثل القيمة التطبيقية للدراسة أحد أهم عناصر تميزها، إذ لم تكتفِ بتحليل الواقع، بل قدمت مجموعة من الأدوات التنفيذية القابلة للتطبيق داخل هيئة الزكاة والضريبة والجمارك</w:t>
      </w:r>
      <w:r w:rsidRPr="001638FA">
        <w:rPr>
          <w:rFonts w:ascii="Sakkal Majalla" w:hAnsi="Sakkal Majalla" w:cs="Sakkal Majalla"/>
          <w:sz w:val="28"/>
        </w:rPr>
        <w:t>.</w:t>
      </w:r>
    </w:p>
    <w:p w14:paraId="3610CCDE"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ومن أبرز هذه الإسهامات</w:t>
      </w:r>
      <w:r w:rsidRPr="001638FA">
        <w:rPr>
          <w:rFonts w:ascii="Sakkal Majalla" w:hAnsi="Sakkal Majalla" w:cs="Sakkal Majalla"/>
          <w:sz w:val="28"/>
        </w:rPr>
        <w:t>:</w:t>
      </w:r>
    </w:p>
    <w:p w14:paraId="3D90335F"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إعداد </w:t>
      </w:r>
      <w:r w:rsidRPr="001638FA">
        <w:rPr>
          <w:rFonts w:ascii="Sakkal Majalla" w:hAnsi="Sakkal Majalla" w:cs="Sakkal Majalla"/>
          <w:b/>
          <w:bCs/>
          <w:sz w:val="28"/>
          <w:rtl/>
        </w:rPr>
        <w:t>خطة استراتيجية تنفيذية للفترة</w:t>
      </w:r>
      <w:r w:rsidRPr="001638FA">
        <w:rPr>
          <w:rFonts w:ascii="Sakkal Majalla" w:hAnsi="Sakkal Majalla" w:cs="Sakkal Majalla"/>
          <w:b/>
          <w:bCs/>
          <w:sz w:val="28"/>
        </w:rPr>
        <w:t xml:space="preserve"> (2025–2030)</w:t>
      </w:r>
      <w:r w:rsidRPr="001638FA">
        <w:rPr>
          <w:rFonts w:ascii="Sakkal Majalla" w:hAnsi="Sakkal Majalla" w:cs="Sakkal Majalla"/>
          <w:sz w:val="28"/>
        </w:rPr>
        <w:t xml:space="preserve"> </w:t>
      </w:r>
      <w:r w:rsidRPr="001638FA">
        <w:rPr>
          <w:rFonts w:ascii="Sakkal Majalla" w:hAnsi="Sakkal Majalla" w:cs="Sakkal Majalla"/>
          <w:sz w:val="28"/>
          <w:rtl/>
        </w:rPr>
        <w:t>تتضمن ثلاث مراحل متتابعة، مع تحديد الأهداف والإجراءات التنفيذية، والجهات المسؤولة، والميزانيات التقديرية، ومؤشرات الأداء</w:t>
      </w:r>
      <w:r w:rsidRPr="001638FA">
        <w:rPr>
          <w:rFonts w:ascii="Sakkal Majalla" w:hAnsi="Sakkal Majalla" w:cs="Sakkal Majalla"/>
          <w:sz w:val="28"/>
        </w:rPr>
        <w:t>.</w:t>
      </w:r>
    </w:p>
    <w:p w14:paraId="600F8B5E"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تصميم </w:t>
      </w:r>
      <w:r w:rsidRPr="001638FA">
        <w:rPr>
          <w:rFonts w:ascii="Sakkal Majalla" w:hAnsi="Sakkal Majalla" w:cs="Sakkal Majalla"/>
          <w:b/>
          <w:bCs/>
          <w:sz w:val="28"/>
          <w:rtl/>
        </w:rPr>
        <w:t>لوحة قيادة استراتيجية لمؤشرات الأداء</w:t>
      </w:r>
      <w:r w:rsidRPr="001638FA">
        <w:rPr>
          <w:rFonts w:ascii="Sakkal Majalla" w:hAnsi="Sakkal Majalla" w:cs="Sakkal Majalla"/>
          <w:b/>
          <w:bCs/>
          <w:sz w:val="28"/>
        </w:rPr>
        <w:t xml:space="preserve"> (Strategic KPI Dashboard)</w:t>
      </w:r>
      <w:r w:rsidRPr="001638FA">
        <w:rPr>
          <w:rFonts w:ascii="Sakkal Majalla" w:hAnsi="Sakkal Majalla" w:cs="Sakkal Majalla"/>
          <w:sz w:val="28"/>
        </w:rPr>
        <w:t xml:space="preserve"> </w:t>
      </w:r>
      <w:r w:rsidRPr="001638FA">
        <w:rPr>
          <w:rFonts w:ascii="Sakkal Majalla" w:hAnsi="Sakkal Majalla" w:cs="Sakkal Majalla"/>
          <w:sz w:val="28"/>
          <w:rtl/>
        </w:rPr>
        <w:t>تغطي أربعة عشر مؤشراً رئيساً، تشمل الأداء الجمركي، والتحول الرقمي، والذكاء الاصطناعي، والأمن السيبراني، والامتثال، والاستدامة، والرضا المؤسسي</w:t>
      </w:r>
      <w:r w:rsidRPr="001638FA">
        <w:rPr>
          <w:rFonts w:ascii="Sakkal Majalla" w:hAnsi="Sakkal Majalla" w:cs="Sakkal Majalla"/>
          <w:sz w:val="28"/>
        </w:rPr>
        <w:t>.</w:t>
      </w:r>
    </w:p>
    <w:p w14:paraId="4F627668"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تقديم </w:t>
      </w:r>
      <w:r w:rsidRPr="001638FA">
        <w:rPr>
          <w:rFonts w:ascii="Sakkal Majalla" w:hAnsi="Sakkal Majalla" w:cs="Sakkal Majalla"/>
          <w:b/>
          <w:bCs/>
          <w:sz w:val="28"/>
          <w:rtl/>
        </w:rPr>
        <w:t>خطة وطنية متكاملة</w:t>
      </w:r>
      <w:r w:rsidRPr="001638FA">
        <w:rPr>
          <w:rFonts w:ascii="Sakkal Majalla" w:hAnsi="Sakkal Majalla" w:cs="Sakkal Majalla"/>
          <w:sz w:val="28"/>
          <w:rtl/>
        </w:rPr>
        <w:t xml:space="preserve"> لدعم التحول الرقمي الجمركي بما يتوافق مع مستهدفات رؤية المملكة العربية السعودية 2030</w:t>
      </w:r>
      <w:r w:rsidRPr="001638FA">
        <w:rPr>
          <w:rFonts w:ascii="Sakkal Majalla" w:hAnsi="Sakkal Majalla" w:cs="Sakkal Majalla"/>
          <w:sz w:val="28"/>
        </w:rPr>
        <w:t>.</w:t>
      </w:r>
    </w:p>
    <w:p w14:paraId="0F6544C8"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اقتراح </w:t>
      </w:r>
      <w:r w:rsidRPr="001638FA">
        <w:rPr>
          <w:rFonts w:ascii="Sakkal Majalla" w:hAnsi="Sakkal Majalla" w:cs="Sakkal Majalla"/>
          <w:b/>
          <w:bCs/>
          <w:sz w:val="28"/>
          <w:rtl/>
        </w:rPr>
        <w:t>خطة عربية للتكامل الجمركي الرقمي</w:t>
      </w:r>
      <w:r w:rsidRPr="001638FA">
        <w:rPr>
          <w:rFonts w:ascii="Sakkal Majalla" w:hAnsi="Sakkal Majalla" w:cs="Sakkal Majalla"/>
          <w:sz w:val="28"/>
          <w:rtl/>
        </w:rPr>
        <w:t xml:space="preserve"> يمكن أن تمثل أساساً لمشروع عربي موحد في مجال الجمارك الذكية</w:t>
      </w:r>
      <w:r w:rsidRPr="001638FA">
        <w:rPr>
          <w:rFonts w:ascii="Sakkal Majalla" w:hAnsi="Sakkal Majalla" w:cs="Sakkal Majalla"/>
          <w:sz w:val="28"/>
        </w:rPr>
        <w:t>.</w:t>
      </w:r>
    </w:p>
    <w:p w14:paraId="3B0C6DB2"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إعداد </w:t>
      </w:r>
      <w:r w:rsidRPr="001638FA">
        <w:rPr>
          <w:rFonts w:ascii="Sakkal Majalla" w:hAnsi="Sakkal Majalla" w:cs="Sakkal Majalla"/>
          <w:b/>
          <w:bCs/>
          <w:sz w:val="28"/>
          <w:rtl/>
        </w:rPr>
        <w:t>خارطة طريق تنفيذية</w:t>
      </w:r>
      <w:r w:rsidRPr="001638FA">
        <w:rPr>
          <w:rFonts w:ascii="Sakkal Majalla" w:hAnsi="Sakkal Majalla" w:cs="Sakkal Majalla"/>
          <w:sz w:val="28"/>
          <w:rtl/>
        </w:rPr>
        <w:t xml:space="preserve"> تحدد الأولويات الزمنية والمسؤوليات المؤسسية وآليات المتابعة حتى عام 2030</w:t>
      </w:r>
      <w:r w:rsidRPr="001638FA">
        <w:rPr>
          <w:rFonts w:ascii="Sakkal Majalla" w:hAnsi="Sakkal Majalla" w:cs="Sakkal Majalla"/>
          <w:sz w:val="28"/>
        </w:rPr>
        <w:t>.</w:t>
      </w:r>
    </w:p>
    <w:p w14:paraId="66D9129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ويرى الباحث أن هذه المخرجات تجعل الدراسة أقرب إلى وثيقة سياسات عامة</w:t>
      </w:r>
      <w:r w:rsidRPr="001638FA">
        <w:rPr>
          <w:rFonts w:ascii="Sakkal Majalla" w:hAnsi="Sakkal Majalla" w:cs="Sakkal Majalla"/>
          <w:sz w:val="28"/>
        </w:rPr>
        <w:t xml:space="preserve"> (Policy Paper) </w:t>
      </w:r>
      <w:r w:rsidRPr="001638FA">
        <w:rPr>
          <w:rFonts w:ascii="Sakkal Majalla" w:hAnsi="Sakkal Majalla" w:cs="Sakkal Majalla"/>
          <w:sz w:val="28"/>
          <w:rtl/>
        </w:rPr>
        <w:t>منها إلى دراسة أكاديمية تقليدية، بما يعزز قيمتها التطبيقية</w:t>
      </w:r>
      <w:r w:rsidRPr="001638FA">
        <w:rPr>
          <w:rFonts w:ascii="Sakkal Majalla" w:hAnsi="Sakkal Majalla" w:cs="Sakkal Majalla"/>
          <w:sz w:val="28"/>
        </w:rPr>
        <w:t>.</w:t>
      </w:r>
    </w:p>
    <w:p w14:paraId="518060F7"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رابعاً: الإسهامات الاستراتيجية</w:t>
      </w:r>
      <w:r w:rsidRPr="001638FA">
        <w:rPr>
          <w:rFonts w:ascii="Sakkal Majalla" w:hAnsi="Sakkal Majalla" w:cs="Sakkal Majalla"/>
          <w:b/>
          <w:bCs/>
          <w:sz w:val="28"/>
        </w:rPr>
        <w:t xml:space="preserve"> (Strategic Contributions)</w:t>
      </w:r>
    </w:p>
    <w:p w14:paraId="4514BE3E"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قدمت الدراسة رؤية استراتيجية متكاملة لمستقبل هيئة الزكاة والضريبة والجمارك في ظل التحولات الرقمية العالمية، من خلال بناء نموذج مؤسسي يعتمد على ستة مرتكزات رئيسة</w:t>
      </w:r>
      <w:r w:rsidRPr="001638FA">
        <w:rPr>
          <w:rFonts w:ascii="Sakkal Majalla" w:hAnsi="Sakkal Majalla" w:cs="Sakkal Majalla"/>
          <w:sz w:val="28"/>
        </w:rPr>
        <w:t>:</w:t>
      </w:r>
    </w:p>
    <w:p w14:paraId="47D33A8C"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التحول الرقمي الشامل</w:t>
      </w:r>
      <w:r w:rsidRPr="001638FA">
        <w:rPr>
          <w:rFonts w:ascii="Sakkal Majalla" w:hAnsi="Sakkal Majalla" w:cs="Sakkal Majalla"/>
          <w:sz w:val="28"/>
        </w:rPr>
        <w:t>.</w:t>
      </w:r>
    </w:p>
    <w:p w14:paraId="0D79E787"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الذكاء الاصطناعي وإدارة المخاطر</w:t>
      </w:r>
      <w:r w:rsidRPr="001638FA">
        <w:rPr>
          <w:rFonts w:ascii="Sakkal Majalla" w:hAnsi="Sakkal Majalla" w:cs="Sakkal Majalla"/>
          <w:sz w:val="28"/>
        </w:rPr>
        <w:t>.</w:t>
      </w:r>
    </w:p>
    <w:p w14:paraId="18B3D148"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الأمن السيبراني والسيادة الرقمية</w:t>
      </w:r>
      <w:r w:rsidRPr="001638FA">
        <w:rPr>
          <w:rFonts w:ascii="Sakkal Majalla" w:hAnsi="Sakkal Majalla" w:cs="Sakkal Majalla"/>
          <w:sz w:val="28"/>
        </w:rPr>
        <w:t>.</w:t>
      </w:r>
    </w:p>
    <w:p w14:paraId="45706337"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التكامل الحكومي والإقليمي</w:t>
      </w:r>
      <w:r w:rsidRPr="001638FA">
        <w:rPr>
          <w:rFonts w:ascii="Sakkal Majalla" w:hAnsi="Sakkal Majalla" w:cs="Sakkal Majalla"/>
          <w:sz w:val="28"/>
        </w:rPr>
        <w:t>.</w:t>
      </w:r>
    </w:p>
    <w:p w14:paraId="039B0755"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تنمية رأس المال البشري</w:t>
      </w:r>
      <w:r w:rsidRPr="001638FA">
        <w:rPr>
          <w:rFonts w:ascii="Sakkal Majalla" w:hAnsi="Sakkal Majalla" w:cs="Sakkal Majalla"/>
          <w:sz w:val="28"/>
        </w:rPr>
        <w:t>.</w:t>
      </w:r>
    </w:p>
    <w:p w14:paraId="6D74ECE4"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الاستدامة والابتكار المؤسسي</w:t>
      </w:r>
      <w:r w:rsidRPr="001638FA">
        <w:rPr>
          <w:rFonts w:ascii="Sakkal Majalla" w:hAnsi="Sakkal Majalla" w:cs="Sakkal Majalla"/>
          <w:sz w:val="28"/>
        </w:rPr>
        <w:t>.</w:t>
      </w:r>
    </w:p>
    <w:p w14:paraId="39B0DCB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اقترحت الدراسة مجموعة من السيناريوهات المستقبلية التي يمكن الاستفادة منها في التخطيط الاستراتيجي، وربطت بين هذه السيناريوهات ومستهدفات رؤية المملكة 2030، والمؤشرات الدولية ذات الصلة</w:t>
      </w:r>
      <w:r w:rsidRPr="001638FA">
        <w:rPr>
          <w:rFonts w:ascii="Sakkal Majalla" w:hAnsi="Sakkal Majalla" w:cs="Sakkal Majalla"/>
          <w:sz w:val="28"/>
        </w:rPr>
        <w:t>.</w:t>
      </w:r>
    </w:p>
    <w:p w14:paraId="5150A51D"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خامساً: القيمة المضافة للدراسة مقارنة بالدراسات السابقة</w:t>
      </w:r>
    </w:p>
    <w:p w14:paraId="1DDB2CAB"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جدول</w:t>
      </w:r>
      <w:r w:rsidRPr="001638FA">
        <w:rPr>
          <w:rFonts w:ascii="Sakkal Majalla" w:hAnsi="Sakkal Majalla" w:cs="Sakkal Majalla"/>
          <w:b/>
          <w:bCs/>
          <w:sz w:val="28"/>
        </w:rPr>
        <w:t xml:space="preserve"> (8-7)</w:t>
      </w:r>
    </w:p>
    <w:p w14:paraId="7C4D5B82"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القيمة المضافة للدراسة</w:t>
      </w:r>
    </w:p>
    <w:tbl>
      <w:tblPr>
        <w:tblStyle w:val="PlainTable3"/>
        <w:tblW w:w="0" w:type="auto"/>
        <w:jc w:val="center"/>
        <w:tblLook w:val="04A0" w:firstRow="1" w:lastRow="0" w:firstColumn="1" w:lastColumn="0" w:noHBand="0" w:noVBand="1"/>
      </w:tblPr>
      <w:tblGrid>
        <w:gridCol w:w="1568"/>
        <w:gridCol w:w="2913"/>
        <w:gridCol w:w="4879"/>
      </w:tblGrid>
      <w:tr w:rsidR="001638FA" w:rsidRPr="001638FA" w14:paraId="5A45072B" w14:textId="77777777" w:rsidTr="001638F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EBC7DB1"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المقارنة</w:t>
            </w:r>
          </w:p>
        </w:tc>
        <w:tc>
          <w:tcPr>
            <w:tcW w:w="0" w:type="auto"/>
            <w:hideMark/>
          </w:tcPr>
          <w:p w14:paraId="602EC5B1" w14:textId="77777777" w:rsidR="001638FA" w:rsidRPr="001638FA" w:rsidRDefault="001638FA" w:rsidP="001638F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الدراسات السابقة</w:t>
            </w:r>
          </w:p>
        </w:tc>
        <w:tc>
          <w:tcPr>
            <w:tcW w:w="0" w:type="auto"/>
            <w:hideMark/>
          </w:tcPr>
          <w:p w14:paraId="7D6301B2" w14:textId="77777777" w:rsidR="001638FA" w:rsidRPr="001638FA" w:rsidRDefault="001638FA" w:rsidP="001638F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الدراسة الحالية</w:t>
            </w:r>
          </w:p>
        </w:tc>
      </w:tr>
      <w:tr w:rsidR="001638FA" w:rsidRPr="001638FA" w14:paraId="2917B5DC"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0E00E"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نطاق الدراسة</w:t>
            </w:r>
          </w:p>
        </w:tc>
        <w:tc>
          <w:tcPr>
            <w:tcW w:w="0" w:type="auto"/>
            <w:hideMark/>
          </w:tcPr>
          <w:p w14:paraId="5F102DFC"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التحول الرقمي أو الجمارك بصورة منفصلة</w:t>
            </w:r>
          </w:p>
        </w:tc>
        <w:tc>
          <w:tcPr>
            <w:tcW w:w="0" w:type="auto"/>
            <w:hideMark/>
          </w:tcPr>
          <w:p w14:paraId="0AC0FF88"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دمج التحول الرقمي والأمن الجمركي وتيسير التجارة وكفاءة الأداء في نموذج واحد</w:t>
            </w:r>
          </w:p>
        </w:tc>
      </w:tr>
      <w:tr w:rsidR="001638FA" w:rsidRPr="001638FA" w14:paraId="21F6A53F"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A88E45"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المنهجية</w:t>
            </w:r>
          </w:p>
        </w:tc>
        <w:tc>
          <w:tcPr>
            <w:tcW w:w="0" w:type="auto"/>
            <w:hideMark/>
          </w:tcPr>
          <w:p w14:paraId="16669C46"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وصفية أو كمية</w:t>
            </w:r>
          </w:p>
        </w:tc>
        <w:tc>
          <w:tcPr>
            <w:tcW w:w="0" w:type="auto"/>
            <w:hideMark/>
          </w:tcPr>
          <w:p w14:paraId="7985ED89"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منهجية تكاملية (نظرية + ميدانية + إحصائية + مقارنة دولية + استشراف)</w:t>
            </w:r>
          </w:p>
        </w:tc>
      </w:tr>
      <w:tr w:rsidR="001638FA" w:rsidRPr="001638FA" w14:paraId="02E1DD05"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2E1AC3"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التطبيق</w:t>
            </w:r>
          </w:p>
        </w:tc>
        <w:tc>
          <w:tcPr>
            <w:tcW w:w="0" w:type="auto"/>
            <w:hideMark/>
          </w:tcPr>
          <w:p w14:paraId="19C55926"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توصيات عامة</w:t>
            </w:r>
          </w:p>
        </w:tc>
        <w:tc>
          <w:tcPr>
            <w:tcW w:w="0" w:type="auto"/>
            <w:hideMark/>
          </w:tcPr>
          <w:p w14:paraId="42F9C405"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خطة تنفيذية حتى عام 2030</w:t>
            </w:r>
          </w:p>
        </w:tc>
      </w:tr>
      <w:tr w:rsidR="001638FA" w:rsidRPr="001638FA" w14:paraId="6FAABBCB"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E8BD31"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مؤشرات الأداء</w:t>
            </w:r>
          </w:p>
        </w:tc>
        <w:tc>
          <w:tcPr>
            <w:tcW w:w="0" w:type="auto"/>
            <w:hideMark/>
          </w:tcPr>
          <w:p w14:paraId="54AED95E"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محدودة</w:t>
            </w:r>
          </w:p>
        </w:tc>
        <w:tc>
          <w:tcPr>
            <w:tcW w:w="0" w:type="auto"/>
            <w:hideMark/>
          </w:tcPr>
          <w:p w14:paraId="52D5D073"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لوحة استراتيجية تضم 14</w:t>
            </w:r>
            <w:r w:rsidRPr="001638FA">
              <w:rPr>
                <w:rFonts w:ascii="Sakkal Majalla" w:hAnsi="Sakkal Majalla" w:cs="Sakkal Majalla"/>
                <w:sz w:val="24"/>
                <w:szCs w:val="24"/>
              </w:rPr>
              <w:t xml:space="preserve"> KPI </w:t>
            </w:r>
            <w:r w:rsidRPr="001638FA">
              <w:rPr>
                <w:rFonts w:ascii="Sakkal Majalla" w:hAnsi="Sakkal Majalla" w:cs="Sakkal Majalla"/>
                <w:sz w:val="24"/>
                <w:szCs w:val="24"/>
                <w:rtl/>
              </w:rPr>
              <w:t>مرتبطة بالمعايير الدولية</w:t>
            </w:r>
          </w:p>
        </w:tc>
      </w:tr>
      <w:tr w:rsidR="001638FA" w:rsidRPr="001638FA" w14:paraId="4C8DEFB2"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F349CB"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المقارنات الدولية</w:t>
            </w:r>
          </w:p>
        </w:tc>
        <w:tc>
          <w:tcPr>
            <w:tcW w:w="0" w:type="auto"/>
            <w:hideMark/>
          </w:tcPr>
          <w:p w14:paraId="2762ABB7"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محدودة</w:t>
            </w:r>
          </w:p>
        </w:tc>
        <w:tc>
          <w:tcPr>
            <w:tcW w:w="0" w:type="auto"/>
            <w:hideMark/>
          </w:tcPr>
          <w:p w14:paraId="0F626373"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مقارنة مرجعية مع أفضل الممارسات العالمية</w:t>
            </w:r>
          </w:p>
        </w:tc>
      </w:tr>
      <w:tr w:rsidR="001638FA" w:rsidRPr="001638FA" w14:paraId="7B9E5120"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314CFD"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المخرجات</w:t>
            </w:r>
          </w:p>
        </w:tc>
        <w:tc>
          <w:tcPr>
            <w:tcW w:w="0" w:type="auto"/>
            <w:hideMark/>
          </w:tcPr>
          <w:p w14:paraId="0A637123"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نتائج بحثية</w:t>
            </w:r>
          </w:p>
        </w:tc>
        <w:tc>
          <w:tcPr>
            <w:tcW w:w="0" w:type="auto"/>
            <w:hideMark/>
          </w:tcPr>
          <w:p w14:paraId="23F7FC7F"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نموذج استراتيجي وخارطة طريق تنفيذية قابلة للتطبيق</w:t>
            </w:r>
          </w:p>
        </w:tc>
      </w:tr>
    </w:tbl>
    <w:p w14:paraId="740B385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lastRenderedPageBreak/>
        <w:t>سادساً: القيمة المضافة لصناع القرار</w:t>
      </w:r>
    </w:p>
    <w:p w14:paraId="6D7CF349"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لا تقتصر أهمية الدراسة على الجانب الأكاديمي، بل تقدم لصناع القرار في هيئة الزكاة والضريبة والجمارك، ووزارة المالية، وهيئة الحكومة الرقمية، والجهات ذات العلاقة، إطاراً عملياً يمكن الاستفادة منه في تصميم السياسات، وتطوير الخطط التنفيذية، وقياس الأداء، وتقييم برامج التحول الرقمي</w:t>
      </w:r>
      <w:r w:rsidRPr="001638FA">
        <w:rPr>
          <w:rFonts w:ascii="Sakkal Majalla" w:hAnsi="Sakkal Majalla" w:cs="Sakkal Majalla"/>
          <w:sz w:val="28"/>
        </w:rPr>
        <w:t>.</w:t>
      </w:r>
    </w:p>
    <w:p w14:paraId="6D8E32A0"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أن لوحة مؤشرات الأداء المقترحة تمثل أداة عملية لمتابعة تنفيذ الاستراتيجية، بينما تتيح خارطة الطريق التنفيذية ترتيب الأولويات، وتوزيع الموارد، وربط البرامج بالمستهدفات الوطنية</w:t>
      </w:r>
      <w:r w:rsidRPr="001638FA">
        <w:rPr>
          <w:rFonts w:ascii="Sakkal Majalla" w:hAnsi="Sakkal Majalla" w:cs="Sakkal Majalla"/>
          <w:sz w:val="28"/>
        </w:rPr>
        <w:t>.</w:t>
      </w:r>
    </w:p>
    <w:p w14:paraId="3EF7A182"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سابعاً: القيمة المضافة للمجتمع العلمي</w:t>
      </w:r>
    </w:p>
    <w:p w14:paraId="3CFBD63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تفتح الدراسة آفاقاً جديدة للباحثين في مجالات الإدارة العامة، والتحول الرقمي، وإدارة الجمارك، والذكاء الاصطناعي، والاقتصاد الرقمي، من خلال تقديم نموذج بحثي يمكن إعادة اختباره في قطاعات حكومية أخرى أو في دول مختلفة، مما يسهم في تراكم المعرفة العلمية في هذا المجال</w:t>
      </w:r>
      <w:r w:rsidRPr="001638FA">
        <w:rPr>
          <w:rFonts w:ascii="Sakkal Majalla" w:hAnsi="Sakkal Majalla" w:cs="Sakkal Majalla"/>
          <w:sz w:val="28"/>
        </w:rPr>
        <w:t>.</w:t>
      </w:r>
    </w:p>
    <w:p w14:paraId="65E54181"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رأي الباحث</w:t>
      </w:r>
    </w:p>
    <w:p w14:paraId="270ED585"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 xml:space="preserve">يرى الباحث أن الإضافة الحقيقية لهذه الدراسة لا تتمثل في حجم البيانات أو عدد النماذج التي تناولتها، بل في </w:t>
      </w:r>
      <w:r w:rsidRPr="001638FA">
        <w:rPr>
          <w:rFonts w:ascii="Sakkal Majalla" w:hAnsi="Sakkal Majalla" w:cs="Sakkal Majalla"/>
          <w:b/>
          <w:bCs/>
          <w:sz w:val="28"/>
          <w:rtl/>
        </w:rPr>
        <w:t>قدرتها على الانتقال من تفسير الواقع إلى تصميم المستقبل</w:t>
      </w:r>
      <w:r w:rsidRPr="001638FA">
        <w:rPr>
          <w:rFonts w:ascii="Sakkal Majalla" w:hAnsi="Sakkal Majalla" w:cs="Sakkal Majalla"/>
          <w:sz w:val="28"/>
        </w:rPr>
        <w:t xml:space="preserve">. </w:t>
      </w:r>
      <w:r w:rsidRPr="001638FA">
        <w:rPr>
          <w:rFonts w:ascii="Sakkal Majalla" w:hAnsi="Sakkal Majalla" w:cs="Sakkal Majalla"/>
          <w:sz w:val="28"/>
          <w:rtl/>
        </w:rPr>
        <w:t>فالدراسة لم تكتفِ بتحليل تجربة هيئة الزكاة والضريبة والجمارك، وإنما قدمت نموذجاً استراتيجياً متكاملاً يجمع بين النظرية والتطبيق، ويحوّل نتائج البحث إلى أدوات تنفيذية قابلة للقياس والمتابعة والتقييم. كما أنها تقدم إطاراً مرجعياً يمكن أن تعتمد عليه الجهات الحكومية الأخرى عند تصميم برامج التحول الرقمي، وأن تستفيد منه الإدارات الجمركية العربية في بناء منظوماتها الذكية، بما يعزز مكانة المملكة العربية السعودية بوصفها مرجعاً إقليمياً ودولياً في مجال الجمارك الرقمية والإدارة الحكومية الذكية</w:t>
      </w:r>
      <w:r w:rsidRPr="001638FA">
        <w:rPr>
          <w:rFonts w:ascii="Sakkal Majalla" w:hAnsi="Sakkal Majalla" w:cs="Sakkal Majalla"/>
          <w:sz w:val="28"/>
        </w:rPr>
        <w:t>.</w:t>
      </w:r>
    </w:p>
    <w:p w14:paraId="7115AF6E"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ممتاز، ننتقل الآن إلى جزء مهم جدًا في رسائل الدكتوراه، وهو </w:t>
      </w:r>
      <w:r w:rsidRPr="00E23263">
        <w:rPr>
          <w:rFonts w:ascii="Sakkal Majalla" w:hAnsi="Sakkal Majalla" w:cs="Sakkal Majalla"/>
          <w:b/>
          <w:bCs/>
          <w:sz w:val="28"/>
          <w:rtl/>
        </w:rPr>
        <w:t>محددات الدراسة</w:t>
      </w:r>
      <w:r w:rsidRPr="00E23263">
        <w:rPr>
          <w:rFonts w:ascii="Sakkal Majalla" w:hAnsi="Sakkal Majalla" w:cs="Sakkal Majalla"/>
          <w:b/>
          <w:bCs/>
          <w:sz w:val="28"/>
        </w:rPr>
        <w:t xml:space="preserve"> (Limitations)</w:t>
      </w:r>
      <w:r w:rsidRPr="00E23263">
        <w:rPr>
          <w:rFonts w:ascii="Sakkal Majalla" w:hAnsi="Sakkal Majalla" w:cs="Sakkal Majalla"/>
          <w:sz w:val="28"/>
        </w:rPr>
        <w:t xml:space="preserve">. </w:t>
      </w:r>
      <w:r w:rsidRPr="00E23263">
        <w:rPr>
          <w:rFonts w:ascii="Sakkal Majalla" w:hAnsi="Sakkal Majalla" w:cs="Sakkal Majalla"/>
          <w:sz w:val="28"/>
          <w:rtl/>
        </w:rPr>
        <w:t>كثير من الرسائل تكتبه في صفحة واحدة فقط، لكن في الرسائل المتميزة يُكتب بصورة تحليلية توضح حدود الدراسة دون أن تقلل من قيمتها العلمية</w:t>
      </w:r>
      <w:r w:rsidRPr="00E23263">
        <w:rPr>
          <w:rFonts w:ascii="Sakkal Majalla" w:hAnsi="Sakkal Majalla" w:cs="Sakkal Majalla"/>
          <w:sz w:val="28"/>
        </w:rPr>
        <w:t>.</w:t>
      </w:r>
    </w:p>
    <w:p w14:paraId="2FDB2D7E"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محددات الدراسة</w:t>
      </w:r>
    </w:p>
    <w:p w14:paraId="066D07A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Pr>
        <w:t>(Study Limitations)</w:t>
      </w:r>
    </w:p>
    <w:p w14:paraId="1FCB531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على الرغم من أن الدراسة الحالية سعت إلى بناء إطار علمي وتطبيقي متكامل لتحليل أثر التحول الرقمي في تعزيز الأمن الجمركي وتيسير التجارة داخل هيئة الزكاة والضريبة والجمارك، مستندة إلى مراجعة أدبية واسعة، ودراسة ميدانية، وتحليل إحصائي، ومقارنات مرجعية دولية، ونموذج استراتيجي مقترح، فإنها – شأنها شأن جميع الدراسات العلمية – واجهت عدداً من المحددات التي ينبغي أخذها في الاعتبار عند تفسير النتائج أو تعميمها</w:t>
      </w:r>
      <w:r w:rsidRPr="00E23263">
        <w:rPr>
          <w:rFonts w:ascii="Sakkal Majalla" w:hAnsi="Sakkal Majalla" w:cs="Sakkal Majalla"/>
          <w:sz w:val="28"/>
        </w:rPr>
        <w:t>.</w:t>
      </w:r>
    </w:p>
    <w:p w14:paraId="563F160F"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ولا تمثل هذه المحددات نقاط ضعف في الدراسة بقدر ما تعكس طبيعة البيئة البحثية، وحدود الزمان والمكان، والقيود المنهجية والعملية المرتبطة بموضوع الدراسة، كما أنها تفتح المجال أمام دراسات مستقبلية يمكن أن تتناول الجوانب التي لم يكن من الممكن تغطيتها بصورة كاملة في هذه الرسالة</w:t>
      </w:r>
      <w:r w:rsidRPr="00E23263">
        <w:rPr>
          <w:rFonts w:ascii="Sakkal Majalla" w:hAnsi="Sakkal Majalla" w:cs="Sakkal Majalla"/>
          <w:sz w:val="28"/>
        </w:rPr>
        <w:t>.</w:t>
      </w:r>
    </w:p>
    <w:p w14:paraId="621BC30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أولاً: المحددات الموضوعية</w:t>
      </w:r>
    </w:p>
    <w:p w14:paraId="5E161F89"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تركزت الدراسة على تحليل أثر التحول الرقمي في هيئة الزكاة والضريبة والجمارك باعتبارها النموذج الرئيس للدراسة، ولذلك لم تمتد إلى دراسة جميع الجهات الحكومية ذات العلاقة بالتجارة الخارجية، مثل الموانئ، أو شركات النقل، أو الهيئات الرقابية الأخرى، إلا بالقدر الذي يخدم أهداف البحث</w:t>
      </w:r>
      <w:r w:rsidRPr="00E23263">
        <w:rPr>
          <w:rFonts w:ascii="Sakkal Majalla" w:hAnsi="Sakkal Majalla" w:cs="Sakkal Majalla"/>
          <w:sz w:val="28"/>
        </w:rPr>
        <w:t>.</w:t>
      </w:r>
    </w:p>
    <w:p w14:paraId="11C4C0D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ركزت الدراسة على التحول الرقمي المؤسسي، ولم تتناول بصورة تفصيلية جميع الأبعاد التقنية الدقيقة المتعلقة بهندسة البرمجيات، أو تصميم الخوارزميات، أو البنية المعمارية للأنظمة الرقمية، باعتبار أن هذه الموضوعات تقع ضمن تخصصات تقنية متخصصة، بينما انصب اهتمام الدراسة على البعد الإداري والاستراتيجي للتحول الرقمي</w:t>
      </w:r>
      <w:r w:rsidRPr="00E23263">
        <w:rPr>
          <w:rFonts w:ascii="Sakkal Majalla" w:hAnsi="Sakkal Majalla" w:cs="Sakkal Majalla"/>
          <w:sz w:val="28"/>
        </w:rPr>
        <w:t>.</w:t>
      </w:r>
    </w:p>
    <w:p w14:paraId="4427759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ويرى الباحث أن هذا التحديد كان ضرورياً للحفاظ على اتساق الدراسة وتركيزها، إلا أنه يفتح المجال أمام دراسات تقنية أكثر تخصصاً في المستقبل</w:t>
      </w:r>
      <w:r w:rsidRPr="00E23263">
        <w:rPr>
          <w:rFonts w:ascii="Sakkal Majalla" w:hAnsi="Sakkal Majalla" w:cs="Sakkal Majalla"/>
          <w:sz w:val="28"/>
        </w:rPr>
        <w:t>.</w:t>
      </w:r>
    </w:p>
    <w:p w14:paraId="27946F1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ثانياً: المحددات المكانية</w:t>
      </w:r>
    </w:p>
    <w:p w14:paraId="0476A02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اقتصرت الدراسة التطبيقية على هيئة الزكاة والضريبة والجمارك في المملكة العربية السعودية، وهي بيئة تتميز بخصوصية تنظيمية وتشريعية وتقنية تختلف عن العديد من الإدارات الجمركية الأخرى</w:t>
      </w:r>
      <w:r w:rsidRPr="00E23263">
        <w:rPr>
          <w:rFonts w:ascii="Sakkal Majalla" w:hAnsi="Sakkal Majalla" w:cs="Sakkal Majalla"/>
          <w:sz w:val="28"/>
        </w:rPr>
        <w:t>.</w:t>
      </w:r>
    </w:p>
    <w:p w14:paraId="55EB712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ورغم الاستفادة من المقارنات الدولية مع عدد من الدول المتقدمة، فإن النتائج التطبيقية تعكس بصورة أساسية واقع البيئة السعودية، ومن ثم فإن تعميمها على دول أخرى ينبغي أن يراعي الاختلافات في البنية المؤسسية، ومستوى النضج الرقمي، والإطار التشريعي، والقدرات الاقتصادية</w:t>
      </w:r>
      <w:r w:rsidRPr="00E23263">
        <w:rPr>
          <w:rFonts w:ascii="Sakkal Majalla" w:hAnsi="Sakkal Majalla" w:cs="Sakkal Majalla"/>
          <w:sz w:val="28"/>
        </w:rPr>
        <w:t>.</w:t>
      </w:r>
    </w:p>
    <w:p w14:paraId="4460D5B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ويرى الباحث أن هذه الخصوصية لا تقلل من أهمية الدراسة، بل تمنحها قيمة إضافية بوصفها أول نموذج تطبيقي متكامل يمكن البناء عليه في البيئة الخليجية والعربية</w:t>
      </w:r>
      <w:r w:rsidRPr="00E23263">
        <w:rPr>
          <w:rFonts w:ascii="Sakkal Majalla" w:hAnsi="Sakkal Majalla" w:cs="Sakkal Majalla"/>
          <w:sz w:val="28"/>
        </w:rPr>
        <w:t>.</w:t>
      </w:r>
    </w:p>
    <w:p w14:paraId="04A45452"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ثالثاً: المحددات الزمنية</w:t>
      </w:r>
    </w:p>
    <w:p w14:paraId="2F43741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البيانات والممارسات والسياسات المتاحة حتى نهاية عام (2025)، في حين يشهد مجال التحول الرقمي تطورات متسارعة قد تؤدي إلى ظهور تقنيات جديدة، أو تحديث التشريعات، أو تغيير نماذج العمل خلال فترة زمنية قصيرة</w:t>
      </w:r>
      <w:r w:rsidRPr="00E23263">
        <w:rPr>
          <w:rFonts w:ascii="Sakkal Majalla" w:hAnsi="Sakkal Majalla" w:cs="Sakkal Majalla"/>
          <w:sz w:val="28"/>
        </w:rPr>
        <w:t>.</w:t>
      </w:r>
    </w:p>
    <w:p w14:paraId="49C8F623"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أن التقنيات الناشئة، مثل الذكاء الاصطناعي التوليدي، والحوسبة الكمية، والتوأم الرقمي، والحوسبة الطرفية، لا تزال في مرحلة التطور المستمر، الأمر الذي قد يغير طبيعة التطبيقات الجمركية خلال السنوات القادمة</w:t>
      </w:r>
      <w:r w:rsidRPr="00E23263">
        <w:rPr>
          <w:rFonts w:ascii="Sakkal Majalla" w:hAnsi="Sakkal Majalla" w:cs="Sakkal Majalla"/>
          <w:sz w:val="28"/>
        </w:rPr>
        <w:t>.</w:t>
      </w:r>
    </w:p>
    <w:p w14:paraId="3D977282"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ولذلك فإن النتائج ينبغي تفسيرها في إطار الفترة الزمنية التي أجريت خلالها الدراسة، مع ضرورة تحديثها بصورة دورية بما يتوافق مع التطورات المستقبلية</w:t>
      </w:r>
      <w:r w:rsidRPr="00E23263">
        <w:rPr>
          <w:rFonts w:ascii="Sakkal Majalla" w:hAnsi="Sakkal Majalla" w:cs="Sakkal Majalla"/>
          <w:sz w:val="28"/>
        </w:rPr>
        <w:t>.</w:t>
      </w:r>
    </w:p>
    <w:p w14:paraId="7B5F2244"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رابعاً: المحددات المنهجية</w:t>
      </w:r>
    </w:p>
    <w:p w14:paraId="0BB29181"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منهجية تجمع بين المنهج الوصفي التحليلي، والمنهج المقارن، والتحليل الإحصائي، وهو ما وفر درجة عالية من التكامل في تفسير الظاهرة محل الدراسة</w:t>
      </w:r>
      <w:r w:rsidRPr="00E23263">
        <w:rPr>
          <w:rFonts w:ascii="Sakkal Majalla" w:hAnsi="Sakkal Majalla" w:cs="Sakkal Majalla"/>
          <w:sz w:val="28"/>
        </w:rPr>
        <w:t>.</w:t>
      </w:r>
    </w:p>
    <w:p w14:paraId="5C84ACA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إلا أن طبيعة الدراسات التطبيقية في مجال الإدارة العامة تظل مرتبطة بإدراك المشاركين، ومستوى استجاباتهم، ومدى دقة البيانات المتاحة، وهو ما قد يؤدي إلى قدر محدود من التحيز غير المقصود، رغم الإجراءات المنهجية التي اتخذها الباحث للتحقق من الصدق والثبات، واختبار صلاحية أدوات الدراسة</w:t>
      </w:r>
      <w:r w:rsidRPr="00E23263">
        <w:rPr>
          <w:rFonts w:ascii="Sakkal Majalla" w:hAnsi="Sakkal Majalla" w:cs="Sakkal Majalla"/>
          <w:sz w:val="28"/>
        </w:rPr>
        <w:t>.</w:t>
      </w:r>
    </w:p>
    <w:p w14:paraId="68E02B4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أن الدراسة اعتمدت على تحليل العلاقات بين المتغيرات في فترة زمنية محددة، دون تتبع تطورها عبر فترات زمنية طويلة، وهو ما يجعل الدراسات الطولية</w:t>
      </w:r>
      <w:r w:rsidRPr="00E23263">
        <w:rPr>
          <w:rFonts w:ascii="Sakkal Majalla" w:hAnsi="Sakkal Majalla" w:cs="Sakkal Majalla"/>
          <w:sz w:val="28"/>
        </w:rPr>
        <w:t xml:space="preserve"> (Longitudinal Studies) </w:t>
      </w:r>
      <w:r w:rsidRPr="00E23263">
        <w:rPr>
          <w:rFonts w:ascii="Sakkal Majalla" w:hAnsi="Sakkal Majalla" w:cs="Sakkal Majalla"/>
          <w:sz w:val="28"/>
          <w:rtl/>
        </w:rPr>
        <w:t>مجالاً مهماً لاستكمال النتائج الحالية</w:t>
      </w:r>
      <w:r w:rsidRPr="00E23263">
        <w:rPr>
          <w:rFonts w:ascii="Sakkal Majalla" w:hAnsi="Sakkal Majalla" w:cs="Sakkal Majalla"/>
          <w:sz w:val="28"/>
        </w:rPr>
        <w:t>.</w:t>
      </w:r>
    </w:p>
    <w:p w14:paraId="5E9166C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محددات البيانات</w:t>
      </w:r>
    </w:p>
    <w:p w14:paraId="0B20C4ED"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واجهت الدراسة تحدياً يتمثل في محدودية إتاحة بعض البيانات التشغيلية التفصيلية المتعلقة بالأنظمة الجمركية، نظراً لطبيعتها السيادية، وارتباطها بالأمن الوطني، وسرية المعلومات الحكومية</w:t>
      </w:r>
      <w:r w:rsidRPr="00E23263">
        <w:rPr>
          <w:rFonts w:ascii="Sakkal Majalla" w:hAnsi="Sakkal Majalla" w:cs="Sakkal Majalla"/>
          <w:sz w:val="28"/>
        </w:rPr>
        <w:t>.</w:t>
      </w:r>
    </w:p>
    <w:p w14:paraId="032F6968"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وقد تم التعامل مع هذا التحدي من خلال الاعتماد على البيانات المنشورة، والتقارير الرسمية، والمقابلات، والاستبيانات، والمراجع الدولية، بما يضمن تحقيق أهداف الدراسة دون الإخلال بمتطلبات السرية وحماية البيانات</w:t>
      </w:r>
      <w:r w:rsidRPr="00E23263">
        <w:rPr>
          <w:rFonts w:ascii="Sakkal Majalla" w:hAnsi="Sakkal Majalla" w:cs="Sakkal Majalla"/>
          <w:sz w:val="28"/>
        </w:rPr>
        <w:t>.</w:t>
      </w:r>
    </w:p>
    <w:p w14:paraId="4CEB5BD3"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ويرى الباحث أن إتاحة المزيد من البيانات البحثية مستقبلاً سيسهم في تطوير نماذج تحليلية أكثر دقة، خاصة في مجالات الذكاء الاصطناعي وتحليل المخاطر</w:t>
      </w:r>
      <w:r w:rsidRPr="00E23263">
        <w:rPr>
          <w:rFonts w:ascii="Sakkal Majalla" w:hAnsi="Sakkal Majalla" w:cs="Sakkal Majalla"/>
          <w:sz w:val="28"/>
        </w:rPr>
        <w:t>.</w:t>
      </w:r>
    </w:p>
    <w:p w14:paraId="20A92E9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سادساً: محددات المقارنة الدولية</w:t>
      </w:r>
    </w:p>
    <w:p w14:paraId="156D597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مقارنة هيئة الزكاة والضريبة والجمارك بعدد من التجارب الدولية الرائدة، مثل سنغافورة، وكوريا الجنوبية، وإستونيا، باعتبارها من أكثر الدول تقدماً في مجال الجمارك الرقمية</w:t>
      </w:r>
      <w:r w:rsidRPr="00E23263">
        <w:rPr>
          <w:rFonts w:ascii="Sakkal Majalla" w:hAnsi="Sakkal Majalla" w:cs="Sakkal Majalla"/>
          <w:sz w:val="28"/>
        </w:rPr>
        <w:t>.</w:t>
      </w:r>
    </w:p>
    <w:p w14:paraId="1F0DA7F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ورغم أهمية هذه المقارنة، فإن اختلاف السياقات الاقتصادية، والسياسية، والتنظيمية، والثقافية بين الدول قد يؤثر في إمكانية نقل بعض الممارسات بصورة مباشرة، مما يستلزم تكييفها بما يتناسب مع البيئة السعودية</w:t>
      </w:r>
      <w:r w:rsidRPr="00E23263">
        <w:rPr>
          <w:rFonts w:ascii="Sakkal Majalla" w:hAnsi="Sakkal Majalla" w:cs="Sakkal Majalla"/>
          <w:sz w:val="28"/>
        </w:rPr>
        <w:t>.</w:t>
      </w:r>
    </w:p>
    <w:p w14:paraId="69F2372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ولهذا ركزت الدراسة على </w:t>
      </w:r>
      <w:r w:rsidRPr="00E23263">
        <w:rPr>
          <w:rFonts w:ascii="Sakkal Majalla" w:hAnsi="Sakkal Majalla" w:cs="Sakkal Majalla"/>
          <w:b/>
          <w:bCs/>
          <w:sz w:val="28"/>
          <w:rtl/>
        </w:rPr>
        <w:t>الاستفادة من المبادئ العامة وأفضل الممارسات</w:t>
      </w:r>
      <w:r w:rsidRPr="00E23263">
        <w:rPr>
          <w:rFonts w:ascii="Sakkal Majalla" w:hAnsi="Sakkal Majalla" w:cs="Sakkal Majalla"/>
          <w:sz w:val="28"/>
          <w:rtl/>
        </w:rPr>
        <w:t>، وليس النقل الحرفي للتجارب الدولية</w:t>
      </w:r>
      <w:r w:rsidRPr="00E23263">
        <w:rPr>
          <w:rFonts w:ascii="Sakkal Majalla" w:hAnsi="Sakkal Majalla" w:cs="Sakkal Majalla"/>
          <w:sz w:val="28"/>
        </w:rPr>
        <w:t>.</w:t>
      </w:r>
    </w:p>
    <w:p w14:paraId="421A56C1"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سابعاً: محددات السيناريوهات المستقبلية</w:t>
      </w:r>
    </w:p>
    <w:p w14:paraId="077EEEE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قدمت الدراسة نموذجاً استراتيجياً وخطة تنفيذية حتى عام (2030)، استناداً إلى الاتجاهات الحالية، والمؤشرات الدولية، ومستهدفات رؤية المملكة العربية السعودية 2030</w:t>
      </w:r>
      <w:r w:rsidRPr="00E23263">
        <w:rPr>
          <w:rFonts w:ascii="Sakkal Majalla" w:hAnsi="Sakkal Majalla" w:cs="Sakkal Majalla"/>
          <w:sz w:val="28"/>
        </w:rPr>
        <w:t>.</w:t>
      </w:r>
    </w:p>
    <w:p w14:paraId="2B9FBDA8"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إلا أن السيناريوهات المستقبلية بطبيعتها تخضع لدرجة من عدم اليقين، وقد تتأثر بمتغيرات خارجية مثل التطورات الجيوسياسية، والأزمات الاقتصادية العالمية، والتغيرات في سلاسل الإمداد، والتطور السريع في تقنيات الذكاء الاصطناعي</w:t>
      </w:r>
      <w:r w:rsidRPr="00E23263">
        <w:rPr>
          <w:rFonts w:ascii="Sakkal Majalla" w:hAnsi="Sakkal Majalla" w:cs="Sakkal Majalla"/>
          <w:sz w:val="28"/>
        </w:rPr>
        <w:t>.</w:t>
      </w:r>
    </w:p>
    <w:p w14:paraId="2A3B902D"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ومن ثم فإن النموذج المقترح ينبغي النظر إليه بوصفه إطاراً مرناً قابلاً للتحديث، وليس خطة جامدة ثابتة</w:t>
      </w:r>
      <w:r w:rsidRPr="00E23263">
        <w:rPr>
          <w:rFonts w:ascii="Sakkal Majalla" w:hAnsi="Sakkal Majalla" w:cs="Sakkal Majalla"/>
          <w:sz w:val="28"/>
        </w:rPr>
        <w:t>.</w:t>
      </w:r>
    </w:p>
    <w:p w14:paraId="6B914E36"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(8-8)</w:t>
      </w:r>
    </w:p>
    <w:p w14:paraId="40725D3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ملخص محددات الدراسة وآليات معالجتها مستقبلاً</w:t>
      </w:r>
    </w:p>
    <w:tbl>
      <w:tblPr>
        <w:tblStyle w:val="PlainTable3"/>
        <w:tblW w:w="0" w:type="auto"/>
        <w:jc w:val="center"/>
        <w:tblLook w:val="04A0" w:firstRow="1" w:lastRow="0" w:firstColumn="1" w:lastColumn="0" w:noHBand="0" w:noVBand="1"/>
      </w:tblPr>
      <w:tblGrid>
        <w:gridCol w:w="2495"/>
        <w:gridCol w:w="2624"/>
        <w:gridCol w:w="3440"/>
      </w:tblGrid>
      <w:tr w:rsidR="00E23263" w:rsidRPr="00E23263" w14:paraId="5F01016D"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E6DBFB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المحدد</w:t>
            </w:r>
          </w:p>
        </w:tc>
        <w:tc>
          <w:tcPr>
            <w:tcW w:w="0" w:type="auto"/>
            <w:hideMark/>
          </w:tcPr>
          <w:p w14:paraId="5361DCE6"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تأثيره المحتمل</w:t>
            </w:r>
          </w:p>
        </w:tc>
        <w:tc>
          <w:tcPr>
            <w:tcW w:w="0" w:type="auto"/>
            <w:hideMark/>
          </w:tcPr>
          <w:p w14:paraId="6C644D93"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آلية المعالجة المستقبلية</w:t>
            </w:r>
          </w:p>
        </w:tc>
      </w:tr>
      <w:tr w:rsidR="00E23263" w:rsidRPr="00E23263" w14:paraId="4FC60BB4"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A0AAB5"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اقتصار الدراسة على</w:t>
            </w:r>
            <w:r w:rsidRPr="00E23263">
              <w:rPr>
                <w:rFonts w:ascii="Sakkal Majalla" w:hAnsi="Sakkal Majalla" w:cs="Sakkal Majalla"/>
                <w:sz w:val="24"/>
                <w:szCs w:val="24"/>
              </w:rPr>
              <w:t xml:space="preserve"> ZATCA</w:t>
            </w:r>
          </w:p>
        </w:tc>
        <w:tc>
          <w:tcPr>
            <w:tcW w:w="0" w:type="auto"/>
            <w:hideMark/>
          </w:tcPr>
          <w:p w14:paraId="62C1C21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محدودية التعميم</w:t>
            </w:r>
          </w:p>
        </w:tc>
        <w:tc>
          <w:tcPr>
            <w:tcW w:w="0" w:type="auto"/>
            <w:hideMark/>
          </w:tcPr>
          <w:p w14:paraId="3E409CA4"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تطبيق الدراسة على هيئات حكومية أخرى</w:t>
            </w:r>
          </w:p>
        </w:tc>
      </w:tr>
      <w:tr w:rsidR="00E23263" w:rsidRPr="00E23263" w14:paraId="2334E75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BBE735"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محدودية الفترة الزمنية</w:t>
            </w:r>
          </w:p>
        </w:tc>
        <w:tc>
          <w:tcPr>
            <w:tcW w:w="0" w:type="auto"/>
            <w:hideMark/>
          </w:tcPr>
          <w:p w14:paraId="72A1CEE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تغير البيئة الرقمية بسرعة</w:t>
            </w:r>
          </w:p>
        </w:tc>
        <w:tc>
          <w:tcPr>
            <w:tcW w:w="0" w:type="auto"/>
            <w:hideMark/>
          </w:tcPr>
          <w:p w14:paraId="448AFDBC"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تنفيذ دراسات طولية حتى عام 2035</w:t>
            </w:r>
          </w:p>
        </w:tc>
      </w:tr>
      <w:tr w:rsidR="00E23263" w:rsidRPr="00E23263" w14:paraId="374B20E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9BF0D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سرية بعض البيانات</w:t>
            </w:r>
          </w:p>
        </w:tc>
        <w:tc>
          <w:tcPr>
            <w:tcW w:w="0" w:type="auto"/>
            <w:hideMark/>
          </w:tcPr>
          <w:p w14:paraId="5C7321B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تقليل إمكانية التحليل التفصيلي</w:t>
            </w:r>
          </w:p>
        </w:tc>
        <w:tc>
          <w:tcPr>
            <w:tcW w:w="0" w:type="auto"/>
            <w:hideMark/>
          </w:tcPr>
          <w:p w14:paraId="47E1AA32"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إتاحة بيانات بحثية مجهولة الهوية</w:t>
            </w:r>
          </w:p>
        </w:tc>
      </w:tr>
      <w:tr w:rsidR="00E23263" w:rsidRPr="00E23263" w14:paraId="36885676"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39DE2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اختلاف البيئات الدولية</w:t>
            </w:r>
          </w:p>
        </w:tc>
        <w:tc>
          <w:tcPr>
            <w:tcW w:w="0" w:type="auto"/>
            <w:hideMark/>
          </w:tcPr>
          <w:p w14:paraId="3F0BC29A"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صعوبة النقل المباشر للتجارب</w:t>
            </w:r>
          </w:p>
        </w:tc>
        <w:tc>
          <w:tcPr>
            <w:tcW w:w="0" w:type="auto"/>
            <w:hideMark/>
          </w:tcPr>
          <w:p w14:paraId="4135584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نماذج عربية مستقلة</w:t>
            </w:r>
          </w:p>
        </w:tc>
      </w:tr>
      <w:tr w:rsidR="00E23263" w:rsidRPr="00E23263" w14:paraId="7CF28C73"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69CF5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التطور السريع للتقنيات</w:t>
            </w:r>
          </w:p>
        </w:tc>
        <w:tc>
          <w:tcPr>
            <w:tcW w:w="0" w:type="auto"/>
            <w:hideMark/>
          </w:tcPr>
          <w:p w14:paraId="2143708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تغير النتائج المستقبلية</w:t>
            </w:r>
          </w:p>
        </w:tc>
        <w:tc>
          <w:tcPr>
            <w:tcW w:w="0" w:type="auto"/>
            <w:hideMark/>
          </w:tcPr>
          <w:p w14:paraId="3341C36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تحديث النموذج الاستراتيجي كل ثلاث سنوات</w:t>
            </w:r>
          </w:p>
        </w:tc>
      </w:tr>
      <w:tr w:rsidR="00E23263" w:rsidRPr="00E23263" w14:paraId="2606E505"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031AE8"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محدودية الدراسات العربية</w:t>
            </w:r>
          </w:p>
        </w:tc>
        <w:tc>
          <w:tcPr>
            <w:tcW w:w="0" w:type="auto"/>
            <w:hideMark/>
          </w:tcPr>
          <w:p w14:paraId="122BE4F7"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ضعف المقارنات الإقليمية</w:t>
            </w:r>
          </w:p>
        </w:tc>
        <w:tc>
          <w:tcPr>
            <w:tcW w:w="0" w:type="auto"/>
            <w:hideMark/>
          </w:tcPr>
          <w:p w14:paraId="38FB916D"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إنشاء قواعد بيانات عربية مشتركة</w:t>
            </w:r>
          </w:p>
        </w:tc>
      </w:tr>
    </w:tbl>
    <w:p w14:paraId="3C033D5C"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رأي الباحث</w:t>
      </w:r>
    </w:p>
    <w:p w14:paraId="6355B422"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يرى الباحث أن محددات الدراسة لا تمثل عائقاً أمام الاستفادة من نتائجها، بل تؤكد طبيعة البحث العلمي بوصفه عملية تراكمية تتطور مع الزمن. كما أن هذه المحددات تكشف عن وجود فرص بحثية واسعة يمكن أن تسهم في تعميق المعرفة العلمية بمجال الجمارك الرقمية، خاصة في ظل التسارع غير المسبوق في تقنيات الذكاء الاصطناعي، وتحليل البيانات الضخمة، والأمن السيبراني، والحوكمة الرقمية. ومن هذا المنطلق، فإن الدراسة الحالية لا تمثل نهاية لمسار بحثي، وإنما تشكل نقطة انطلاق لبرنامج علمي ممتد يمكن أن يواكب التطورات المستقبلية، ويعزز ريادة المملكة العربية السعودية في مجال الإدارة الجمركية الرقمية</w:t>
      </w:r>
      <w:r w:rsidRPr="00E23263">
        <w:rPr>
          <w:rFonts w:ascii="Sakkal Majalla" w:hAnsi="Sakkal Majalla" w:cs="Sakkal Majalla"/>
          <w:sz w:val="28"/>
        </w:rPr>
        <w:t>.</w:t>
      </w:r>
    </w:p>
    <w:p w14:paraId="5395859C"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سادساً: الأجندة البحثية المستقبلية</w:t>
      </w:r>
    </w:p>
    <w:p w14:paraId="2A338FB5"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Pr>
        <w:t>(Future Research Agenda)</w:t>
      </w:r>
    </w:p>
    <w:p w14:paraId="171CEB0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انطلاقاً من النتائج التي توصلت إليها الدراسة، وما كشفته من فجوات معرفية وتحديات تطبيقية، يقترح الباحث أجندة بحثية مستقبلية متكاملة تهدف إلى دعم التطور المستمر في مجال الجمارك الرقمية، وتعزيز المعرفة العلمية المتعلقة بالتحول الرقمي والأمن الجمركي وتيسير التجارة. ولا تقتصر هذه الأجندة على اقتراح موضوعات بحثية منفصلة، بل تقدم إطاراً استراتيجياً يمكن أن تسترشد به الجامعات، ومراكز البحوث، وصناع القرار عند تحديد أولويات البحث العلمي خلال السنوات المقبلة</w:t>
      </w:r>
      <w:r w:rsidRPr="00E23263">
        <w:rPr>
          <w:rFonts w:ascii="Sakkal Majalla" w:hAnsi="Sakkal Majalla" w:cs="Sakkal Majalla"/>
          <w:sz w:val="28"/>
        </w:rPr>
        <w:t>.</w:t>
      </w:r>
    </w:p>
    <w:p w14:paraId="4B70F79B"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وترتكز هذه الأجندة على أربعة محاور رئيسة، هي: الذكاء الاصطناعي والتحول الرقمي، والأمن السيبراني والسيادة الرقمية، والاقتصاد اللوجستي والتجارة الدولية، والحوكمة والموارد البشرية، بما يضمن تغطية الجوانب العلمية والتطبيقية ذات الأولوية</w:t>
      </w:r>
      <w:r w:rsidRPr="00E23263">
        <w:rPr>
          <w:rFonts w:ascii="Sakkal Majalla" w:hAnsi="Sakkal Majalla" w:cs="Sakkal Majalla"/>
          <w:sz w:val="28"/>
        </w:rPr>
        <w:t>.</w:t>
      </w:r>
    </w:p>
    <w:p w14:paraId="3E9A065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أولاً: بحوث قصيرة المدى</w:t>
      </w:r>
      <w:r w:rsidRPr="00E23263">
        <w:rPr>
          <w:rFonts w:ascii="Sakkal Majalla" w:hAnsi="Sakkal Majalla" w:cs="Sakkal Majalla"/>
          <w:b/>
          <w:bCs/>
          <w:sz w:val="28"/>
        </w:rPr>
        <w:t xml:space="preserve"> (2026–2028)</w:t>
      </w:r>
    </w:p>
    <w:p w14:paraId="35F0F40B"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تركز هذه المرحلة على القضايا التطبيقية المرتبطة باستكمال التحول الرقمي داخل هيئة الزكاة والضريبة والجمارك، وقياس أثر المبادرات الرقمية الحالية</w:t>
      </w:r>
      <w:r w:rsidRPr="00E23263">
        <w:rPr>
          <w:rFonts w:ascii="Sakkal Majalla" w:hAnsi="Sakkal Majalla" w:cs="Sakkal Majalla"/>
          <w:sz w:val="28"/>
        </w:rPr>
        <w:t>.</w:t>
      </w:r>
    </w:p>
    <w:p w14:paraId="77CF20A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(8-9)</w:t>
      </w:r>
    </w:p>
    <w:p w14:paraId="6025DFD8"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قصيرة المدى</w:t>
      </w:r>
    </w:p>
    <w:tbl>
      <w:tblPr>
        <w:tblStyle w:val="PlainTable3"/>
        <w:tblW w:w="0" w:type="auto"/>
        <w:jc w:val="center"/>
        <w:tblLook w:val="04A0" w:firstRow="1" w:lastRow="0" w:firstColumn="1" w:lastColumn="0" w:noHBand="0" w:noVBand="1"/>
      </w:tblPr>
      <w:tblGrid>
        <w:gridCol w:w="2794"/>
        <w:gridCol w:w="2496"/>
        <w:gridCol w:w="1772"/>
        <w:gridCol w:w="2298"/>
      </w:tblGrid>
      <w:tr w:rsidR="00E23263" w:rsidRPr="00E23263" w14:paraId="20F1E1A9"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8094E7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الأولوية البحثية</w:t>
            </w:r>
          </w:p>
        </w:tc>
        <w:tc>
          <w:tcPr>
            <w:tcW w:w="0" w:type="auto"/>
            <w:hideMark/>
          </w:tcPr>
          <w:p w14:paraId="0814F644"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الهدف العلمي</w:t>
            </w:r>
          </w:p>
        </w:tc>
        <w:tc>
          <w:tcPr>
            <w:tcW w:w="0" w:type="auto"/>
            <w:hideMark/>
          </w:tcPr>
          <w:p w14:paraId="273854EA"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المنهج المقترح</w:t>
            </w:r>
          </w:p>
        </w:tc>
        <w:tc>
          <w:tcPr>
            <w:tcW w:w="0" w:type="auto"/>
            <w:hideMark/>
          </w:tcPr>
          <w:p w14:paraId="371E500D"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الأثر المتوقع</w:t>
            </w:r>
          </w:p>
        </w:tc>
      </w:tr>
      <w:tr w:rsidR="00E23263" w:rsidRPr="00E23263" w14:paraId="1E91F5B8"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6AC93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 xml:space="preserve">تطوير نموذج </w:t>
            </w:r>
            <w:r w:rsidRPr="00E23263">
              <w:rPr>
                <w:rFonts w:ascii="Sakkal Majalla" w:hAnsi="Sakkal Majalla" w:cs="Sakkal Majalla"/>
                <w:sz w:val="24"/>
                <w:szCs w:val="24"/>
              </w:rPr>
              <w:t xml:space="preserve">DAISY-SA </w:t>
            </w:r>
            <w:r w:rsidRPr="00E23263">
              <w:rPr>
                <w:rFonts w:ascii="Sakkal Majalla" w:hAnsi="Sakkal Majalla" w:cs="Sakkal Majalla"/>
                <w:sz w:val="24"/>
                <w:szCs w:val="24"/>
                <w:rtl/>
              </w:rPr>
              <w:t>السعودي للذكاء الاصطناعي الجمركي</w:t>
            </w:r>
          </w:p>
        </w:tc>
        <w:tc>
          <w:tcPr>
            <w:tcW w:w="0" w:type="auto"/>
            <w:hideMark/>
          </w:tcPr>
          <w:p w14:paraId="6DB52A80"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بناء نموذج وطني لإدارة المخاطر</w:t>
            </w:r>
          </w:p>
        </w:tc>
        <w:tc>
          <w:tcPr>
            <w:tcW w:w="0" w:type="auto"/>
            <w:hideMark/>
          </w:tcPr>
          <w:p w14:paraId="5A2C584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تصميم وتطوير + دراسة تطبيقية</w:t>
            </w:r>
          </w:p>
        </w:tc>
        <w:tc>
          <w:tcPr>
            <w:tcW w:w="0" w:type="auto"/>
            <w:hideMark/>
          </w:tcPr>
          <w:p w14:paraId="7243654B"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رفع دقة الكشف وتقليل الاعتماد على الحلول الخارجية</w:t>
            </w:r>
          </w:p>
        </w:tc>
      </w:tr>
      <w:tr w:rsidR="00E23263" w:rsidRPr="00E23263" w14:paraId="097B9A67"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8C56E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قياس أثر الذكاء الاصطناعي التنبؤي في إدارة المخاطر</w:t>
            </w:r>
          </w:p>
        </w:tc>
        <w:tc>
          <w:tcPr>
            <w:tcW w:w="0" w:type="auto"/>
            <w:hideMark/>
          </w:tcPr>
          <w:p w14:paraId="02EECB91"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تقييم قدرة النماذج التنبؤية على اكتشاف المخاطر قبل وقوعها</w:t>
            </w:r>
          </w:p>
        </w:tc>
        <w:tc>
          <w:tcPr>
            <w:tcW w:w="0" w:type="auto"/>
            <w:hideMark/>
          </w:tcPr>
          <w:p w14:paraId="1E041F8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نماذج تنبؤية وتحليل بيانات ضخمة</w:t>
            </w:r>
          </w:p>
        </w:tc>
        <w:tc>
          <w:tcPr>
            <w:tcW w:w="0" w:type="auto"/>
            <w:hideMark/>
          </w:tcPr>
          <w:p w14:paraId="1F39DA62"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الاستجابة الاستباقية</w:t>
            </w:r>
          </w:p>
        </w:tc>
      </w:tr>
      <w:tr w:rsidR="00E23263" w:rsidRPr="00E23263" w14:paraId="623436E0"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DF08C1"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Pr>
              <w:t xml:space="preserve">Explainable AI </w:t>
            </w:r>
            <w:r w:rsidRPr="00E23263">
              <w:rPr>
                <w:rFonts w:ascii="Sakkal Majalla" w:hAnsi="Sakkal Majalla" w:cs="Sakkal Majalla"/>
                <w:sz w:val="24"/>
                <w:szCs w:val="24"/>
                <w:rtl/>
              </w:rPr>
              <w:t>في الجمارك</w:t>
            </w:r>
          </w:p>
        </w:tc>
        <w:tc>
          <w:tcPr>
            <w:tcW w:w="0" w:type="auto"/>
            <w:hideMark/>
          </w:tcPr>
          <w:p w14:paraId="385FBBD1"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آليات تفسير قرارات الذكاء الاصطناعي</w:t>
            </w:r>
          </w:p>
        </w:tc>
        <w:tc>
          <w:tcPr>
            <w:tcW w:w="0" w:type="auto"/>
            <w:hideMark/>
          </w:tcPr>
          <w:p w14:paraId="4BB50363"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تصميمية وتجريبية</w:t>
            </w:r>
          </w:p>
        </w:tc>
        <w:tc>
          <w:tcPr>
            <w:tcW w:w="0" w:type="auto"/>
            <w:hideMark/>
          </w:tcPr>
          <w:p w14:paraId="7A4FCB3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تعزيز الشفافية والثقة</w:t>
            </w:r>
          </w:p>
        </w:tc>
      </w:tr>
      <w:tr w:rsidR="00E23263" w:rsidRPr="00E23263" w14:paraId="4493F2D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A223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التحول الرقمي في الامتثال الضريبي</w:t>
            </w:r>
          </w:p>
        </w:tc>
        <w:tc>
          <w:tcPr>
            <w:tcW w:w="0" w:type="auto"/>
            <w:hideMark/>
          </w:tcPr>
          <w:p w14:paraId="5370697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العلاقة بين الرقمنة والامتثال الطوعي</w:t>
            </w:r>
          </w:p>
        </w:tc>
        <w:tc>
          <w:tcPr>
            <w:tcW w:w="0" w:type="auto"/>
            <w:hideMark/>
          </w:tcPr>
          <w:p w14:paraId="1A8A8B8B"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نماذج انحدار وتحليل إحصائي</w:t>
            </w:r>
          </w:p>
        </w:tc>
        <w:tc>
          <w:tcPr>
            <w:tcW w:w="0" w:type="auto"/>
            <w:hideMark/>
          </w:tcPr>
          <w:p w14:paraId="5018056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السياسات الضريبية</w:t>
            </w:r>
          </w:p>
        </w:tc>
      </w:tr>
      <w:tr w:rsidR="00E23263" w:rsidRPr="00E23263" w14:paraId="64C5AD3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82BAC"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قياس رضا المستفيدين عن الخدمات الجمركية الرقمية</w:t>
            </w:r>
          </w:p>
        </w:tc>
        <w:tc>
          <w:tcPr>
            <w:tcW w:w="0" w:type="auto"/>
            <w:hideMark/>
          </w:tcPr>
          <w:p w14:paraId="52105234"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مقياس سعودي معتمد</w:t>
            </w:r>
          </w:p>
        </w:tc>
        <w:tc>
          <w:tcPr>
            <w:tcW w:w="0" w:type="auto"/>
            <w:hideMark/>
          </w:tcPr>
          <w:p w14:paraId="572E844F"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ميدانية وتحليل عاملي</w:t>
            </w:r>
          </w:p>
        </w:tc>
        <w:tc>
          <w:tcPr>
            <w:tcW w:w="0" w:type="auto"/>
            <w:hideMark/>
          </w:tcPr>
          <w:p w14:paraId="2E96A85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جودة الخدمات</w:t>
            </w:r>
          </w:p>
        </w:tc>
      </w:tr>
    </w:tbl>
    <w:p w14:paraId="2D9C3CA3"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ثانياً: بحوث متوسطة المدى</w:t>
      </w:r>
      <w:r w:rsidRPr="00E23263">
        <w:rPr>
          <w:rFonts w:ascii="Sakkal Majalla" w:hAnsi="Sakkal Majalla" w:cs="Sakkal Majalla"/>
          <w:b/>
          <w:bCs/>
          <w:sz w:val="28"/>
        </w:rPr>
        <w:t xml:space="preserve"> (2028–2032)</w:t>
      </w:r>
    </w:p>
    <w:p w14:paraId="5DCF112E"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تركز هذه المرحلة على دراسة التكامل الإقليمي، وتأثير التحول الرقمي في الاقتصاد الوطني، وبناء النماذج المقارنة</w:t>
      </w:r>
      <w:r w:rsidRPr="00E23263">
        <w:rPr>
          <w:rFonts w:ascii="Sakkal Majalla" w:hAnsi="Sakkal Majalla" w:cs="Sakkal Majalla"/>
          <w:sz w:val="28"/>
        </w:rPr>
        <w:t>.</w:t>
      </w:r>
    </w:p>
    <w:p w14:paraId="6BD2F4FD"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(8-10)</w:t>
      </w:r>
    </w:p>
    <w:p w14:paraId="170D819A"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متوسطة المدى</w:t>
      </w:r>
    </w:p>
    <w:tbl>
      <w:tblPr>
        <w:tblStyle w:val="PlainTable3"/>
        <w:tblW w:w="0" w:type="auto"/>
        <w:jc w:val="center"/>
        <w:tblLook w:val="04A0" w:firstRow="1" w:lastRow="0" w:firstColumn="1" w:lastColumn="0" w:noHBand="0" w:noVBand="1"/>
      </w:tblPr>
      <w:tblGrid>
        <w:gridCol w:w="3805"/>
        <w:gridCol w:w="3108"/>
        <w:gridCol w:w="2447"/>
      </w:tblGrid>
      <w:tr w:rsidR="00E23263" w:rsidRPr="00E23263" w14:paraId="1DCC407F"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C31B5CD"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الموضوع</w:t>
            </w:r>
          </w:p>
        </w:tc>
        <w:tc>
          <w:tcPr>
            <w:tcW w:w="0" w:type="auto"/>
            <w:hideMark/>
          </w:tcPr>
          <w:p w14:paraId="1A1876E8"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الهدف</w:t>
            </w:r>
          </w:p>
        </w:tc>
        <w:tc>
          <w:tcPr>
            <w:tcW w:w="0" w:type="auto"/>
            <w:hideMark/>
          </w:tcPr>
          <w:p w14:paraId="37965875"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المنهج</w:t>
            </w:r>
          </w:p>
        </w:tc>
      </w:tr>
      <w:tr w:rsidR="00E23263" w:rsidRPr="00E23263" w14:paraId="74C13A3C"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D30042"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الجمارك الرقمية على جذب الاستثمار الأجنبي المباشر</w:t>
            </w:r>
          </w:p>
        </w:tc>
        <w:tc>
          <w:tcPr>
            <w:tcW w:w="0" w:type="auto"/>
            <w:hideMark/>
          </w:tcPr>
          <w:p w14:paraId="1CBDBFB1"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العلاقة بين الرقمنة وتدفقات الاستثمار</w:t>
            </w:r>
          </w:p>
        </w:tc>
        <w:tc>
          <w:tcPr>
            <w:tcW w:w="0" w:type="auto"/>
            <w:hideMark/>
          </w:tcPr>
          <w:p w14:paraId="366FA95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Panel Data</w:t>
            </w:r>
          </w:p>
        </w:tc>
      </w:tr>
      <w:tr w:rsidR="00E23263" w:rsidRPr="00E23263" w14:paraId="41768F6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E40DC1"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التكامل الجمركي الخليجي الرقمي</w:t>
            </w:r>
          </w:p>
        </w:tc>
        <w:tc>
          <w:tcPr>
            <w:tcW w:w="0" w:type="auto"/>
            <w:hideMark/>
          </w:tcPr>
          <w:p w14:paraId="4EF065A0"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تقييم فرص إنشاء نافذة خليجية موحدة</w:t>
            </w:r>
          </w:p>
        </w:tc>
        <w:tc>
          <w:tcPr>
            <w:tcW w:w="0" w:type="auto"/>
            <w:hideMark/>
          </w:tcPr>
          <w:p w14:paraId="7777940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مقارنة</w:t>
            </w:r>
          </w:p>
        </w:tc>
      </w:tr>
      <w:tr w:rsidR="00E23263" w:rsidRPr="00E23263" w14:paraId="2F2609D0"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6871E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التجارة الإلكترونية والجمارك الذكية</w:t>
            </w:r>
          </w:p>
        </w:tc>
        <w:tc>
          <w:tcPr>
            <w:tcW w:w="0" w:type="auto"/>
            <w:hideMark/>
          </w:tcPr>
          <w:p w14:paraId="4DE6A50D"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نموذج لإدارة التجارة الرقمية</w:t>
            </w:r>
          </w:p>
        </w:tc>
        <w:tc>
          <w:tcPr>
            <w:tcW w:w="0" w:type="auto"/>
            <w:hideMark/>
          </w:tcPr>
          <w:p w14:paraId="2456C090"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Mixed Methods</w:t>
            </w:r>
          </w:p>
        </w:tc>
      </w:tr>
      <w:tr w:rsidR="00E23263" w:rsidRPr="00E23263" w14:paraId="6CB9A793"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33E9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الجمارك الرقمية في كفاءة سلاسل الإمداد</w:t>
            </w:r>
          </w:p>
        </w:tc>
        <w:tc>
          <w:tcPr>
            <w:tcW w:w="0" w:type="auto"/>
            <w:hideMark/>
          </w:tcPr>
          <w:p w14:paraId="5193F78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التحسن اللوجستي</w:t>
            </w:r>
          </w:p>
        </w:tc>
        <w:tc>
          <w:tcPr>
            <w:tcW w:w="0" w:type="auto"/>
            <w:hideMark/>
          </w:tcPr>
          <w:p w14:paraId="348BA80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Structural Equation Modeling</w:t>
            </w:r>
          </w:p>
        </w:tc>
      </w:tr>
      <w:tr w:rsidR="00E23263" w:rsidRPr="00E23263" w14:paraId="56D4C0E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5E917D"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الحوكمة الرقمية ومكافحة الفساد</w:t>
            </w:r>
          </w:p>
        </w:tc>
        <w:tc>
          <w:tcPr>
            <w:tcW w:w="0" w:type="auto"/>
            <w:hideMark/>
          </w:tcPr>
          <w:p w14:paraId="2C002F38"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اختبار العلاقة السببية</w:t>
            </w:r>
          </w:p>
        </w:tc>
        <w:tc>
          <w:tcPr>
            <w:tcW w:w="0" w:type="auto"/>
            <w:hideMark/>
          </w:tcPr>
          <w:p w14:paraId="1E2043C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Difference-in-Differences</w:t>
            </w:r>
          </w:p>
        </w:tc>
      </w:tr>
    </w:tbl>
    <w:p w14:paraId="7B9C7538"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ثالثاً: بحوث بعيدة المدى</w:t>
      </w:r>
      <w:r w:rsidRPr="00E23263">
        <w:rPr>
          <w:rFonts w:ascii="Sakkal Majalla" w:hAnsi="Sakkal Majalla" w:cs="Sakkal Majalla"/>
          <w:b/>
          <w:bCs/>
          <w:sz w:val="28"/>
        </w:rPr>
        <w:t xml:space="preserve"> (2032–2040)</w:t>
      </w:r>
    </w:p>
    <w:p w14:paraId="3C49E80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تمثل هذه المرحلة الاتجاهات المستقبلية المرتبطة بالتقنيات الناشئة، والتي يتوقع أن تعيد تشكيل الإدارة الجمركية عالمياً</w:t>
      </w:r>
      <w:r w:rsidRPr="00E23263">
        <w:rPr>
          <w:rFonts w:ascii="Sakkal Majalla" w:hAnsi="Sakkal Majalla" w:cs="Sakkal Majalla"/>
          <w:sz w:val="28"/>
        </w:rPr>
        <w:t>.</w:t>
      </w:r>
    </w:p>
    <w:p w14:paraId="7A56D943"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(8-11)</w:t>
      </w:r>
    </w:p>
    <w:p w14:paraId="70D9CA2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بعيدة المدى</w:t>
      </w:r>
    </w:p>
    <w:tbl>
      <w:tblPr>
        <w:tblStyle w:val="PlainTable3"/>
        <w:tblW w:w="0" w:type="auto"/>
        <w:jc w:val="center"/>
        <w:tblLook w:val="04A0" w:firstRow="1" w:lastRow="0" w:firstColumn="1" w:lastColumn="0" w:noHBand="0" w:noVBand="1"/>
      </w:tblPr>
      <w:tblGrid>
        <w:gridCol w:w="3674"/>
        <w:gridCol w:w="3444"/>
      </w:tblGrid>
      <w:tr w:rsidR="00E23263" w:rsidRPr="00E23263" w14:paraId="353E9B41"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E2E6E2C"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الموضوع</w:t>
            </w:r>
          </w:p>
        </w:tc>
        <w:tc>
          <w:tcPr>
            <w:tcW w:w="0" w:type="auto"/>
            <w:hideMark/>
          </w:tcPr>
          <w:p w14:paraId="06458CFE"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أهمية الدراسة</w:t>
            </w:r>
          </w:p>
        </w:tc>
      </w:tr>
      <w:tr w:rsidR="00E23263" w:rsidRPr="00E23263" w14:paraId="32918E2F"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D6E22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الحوسبة الكمية وأمن البيانات الجمركية</w:t>
            </w:r>
          </w:p>
        </w:tc>
        <w:tc>
          <w:tcPr>
            <w:tcW w:w="0" w:type="auto"/>
            <w:hideMark/>
          </w:tcPr>
          <w:p w14:paraId="77AFE92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حلول تشفير مقاومة للحوسبة الكمية</w:t>
            </w:r>
          </w:p>
        </w:tc>
      </w:tr>
      <w:tr w:rsidR="00E23263" w:rsidRPr="00E23263" w14:paraId="669F98BA"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8805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الجمارك في اقتصاد الميتافيرس</w:t>
            </w:r>
          </w:p>
        </w:tc>
        <w:tc>
          <w:tcPr>
            <w:tcW w:w="0" w:type="auto"/>
            <w:hideMark/>
          </w:tcPr>
          <w:p w14:paraId="022F2B5F"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بناء إطار تنظيمي للتعامل مع الأصول الرقمية</w:t>
            </w:r>
          </w:p>
        </w:tc>
      </w:tr>
      <w:tr w:rsidR="00E23263" w:rsidRPr="00E23263" w14:paraId="65BAE132"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B300C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Pr>
              <w:t xml:space="preserve">Edge Computing </w:t>
            </w:r>
            <w:r w:rsidRPr="00E23263">
              <w:rPr>
                <w:rFonts w:ascii="Sakkal Majalla" w:hAnsi="Sakkal Majalla" w:cs="Sakkal Majalla"/>
                <w:sz w:val="24"/>
                <w:szCs w:val="24"/>
                <w:rtl/>
              </w:rPr>
              <w:t>في المنافذ البرية</w:t>
            </w:r>
          </w:p>
        </w:tc>
        <w:tc>
          <w:tcPr>
            <w:tcW w:w="0" w:type="auto"/>
            <w:hideMark/>
          </w:tcPr>
          <w:p w14:paraId="5531774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تقليل زمن الاستجابة في المناطق النائية</w:t>
            </w:r>
          </w:p>
        </w:tc>
      </w:tr>
      <w:tr w:rsidR="00E23263" w:rsidRPr="00E23263" w14:paraId="2E726951"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E30A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التوأم الرقمي للمنافذ الجمركية</w:t>
            </w:r>
          </w:p>
        </w:tc>
        <w:tc>
          <w:tcPr>
            <w:tcW w:w="0" w:type="auto"/>
            <w:hideMark/>
          </w:tcPr>
          <w:p w14:paraId="317D4951"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إدارة المنافذ من خلال المحاكاة الفورية</w:t>
            </w:r>
          </w:p>
        </w:tc>
      </w:tr>
      <w:tr w:rsidR="00E23263" w:rsidRPr="00E23263" w14:paraId="77F69367"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3F077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الذكاء الاصطناعي العام</w:t>
            </w:r>
            <w:r w:rsidRPr="00E23263">
              <w:rPr>
                <w:rFonts w:ascii="Sakkal Majalla" w:hAnsi="Sakkal Majalla" w:cs="Sakkal Majalla"/>
                <w:sz w:val="24"/>
                <w:szCs w:val="24"/>
              </w:rPr>
              <w:t xml:space="preserve"> (AGI) </w:t>
            </w:r>
            <w:r w:rsidRPr="00E23263">
              <w:rPr>
                <w:rFonts w:ascii="Sakkal Majalla" w:hAnsi="Sakkal Majalla" w:cs="Sakkal Majalla"/>
                <w:sz w:val="24"/>
                <w:szCs w:val="24"/>
                <w:rtl/>
              </w:rPr>
              <w:t>وإدارة الجمارك</w:t>
            </w:r>
          </w:p>
        </w:tc>
        <w:tc>
          <w:tcPr>
            <w:tcW w:w="0" w:type="auto"/>
            <w:hideMark/>
          </w:tcPr>
          <w:p w14:paraId="6B0D4AA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الأبعاد الإدارية والقانونية والأخلاقية</w:t>
            </w:r>
          </w:p>
        </w:tc>
      </w:tr>
    </w:tbl>
    <w:p w14:paraId="163E561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رابعاً: أولويات بحثية وطنية مرتبطة برؤية المملكة 2030</w:t>
      </w:r>
    </w:p>
    <w:p w14:paraId="7078573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ترى الدراسة أن عدداً من الموضوعات ينبغي أن يحظى بأولوية في برامج التمويل البحثي الوطنية، لما لها من أثر مباشر في تحقيق مستهدفات رؤية المملكة العربية السعودية 2030</w:t>
      </w:r>
      <w:r w:rsidRPr="00E23263">
        <w:rPr>
          <w:rFonts w:ascii="Sakkal Majalla" w:hAnsi="Sakkal Majalla" w:cs="Sakkal Majalla"/>
          <w:sz w:val="28"/>
        </w:rPr>
        <w:t>.</w:t>
      </w:r>
    </w:p>
    <w:p w14:paraId="53B6A3A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(8-12)</w:t>
      </w:r>
    </w:p>
    <w:p w14:paraId="20B24E2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الوطنية للبحث العلمي</w:t>
      </w:r>
    </w:p>
    <w:tbl>
      <w:tblPr>
        <w:tblStyle w:val="PlainTable3"/>
        <w:tblW w:w="0" w:type="auto"/>
        <w:jc w:val="center"/>
        <w:tblLook w:val="04A0" w:firstRow="1" w:lastRow="0" w:firstColumn="1" w:lastColumn="0" w:noHBand="0" w:noVBand="1"/>
      </w:tblPr>
      <w:tblGrid>
        <w:gridCol w:w="1875"/>
        <w:gridCol w:w="4249"/>
      </w:tblGrid>
      <w:tr w:rsidR="00E23263" w:rsidRPr="00E23263" w14:paraId="361129E2"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36D4FB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المجال</w:t>
            </w:r>
          </w:p>
        </w:tc>
        <w:tc>
          <w:tcPr>
            <w:tcW w:w="0" w:type="auto"/>
            <w:hideMark/>
          </w:tcPr>
          <w:p w14:paraId="4397EAA2"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الأولوية</w:t>
            </w:r>
          </w:p>
        </w:tc>
      </w:tr>
      <w:tr w:rsidR="00E23263" w:rsidRPr="00E23263" w14:paraId="681E448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80A58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التحول الرقمي</w:t>
            </w:r>
          </w:p>
        </w:tc>
        <w:tc>
          <w:tcPr>
            <w:tcW w:w="0" w:type="auto"/>
            <w:hideMark/>
          </w:tcPr>
          <w:p w14:paraId="215C2C5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نضج التحول الرقمي في الجهات الحكومية السيادية</w:t>
            </w:r>
          </w:p>
        </w:tc>
      </w:tr>
      <w:tr w:rsidR="00E23263" w:rsidRPr="00E23263" w14:paraId="196C4A83"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379B9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الأمن السيبراني</w:t>
            </w:r>
          </w:p>
        </w:tc>
        <w:tc>
          <w:tcPr>
            <w:tcW w:w="0" w:type="auto"/>
            <w:hideMark/>
          </w:tcPr>
          <w:p w14:paraId="2C5A25E3"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نموذج وطني لإدارة المخاطر السيبرانية في المنافذ</w:t>
            </w:r>
          </w:p>
        </w:tc>
      </w:tr>
      <w:tr w:rsidR="00E23263" w:rsidRPr="00E23263" w14:paraId="2575AB2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733D48"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الذكاء الاصطناعي</w:t>
            </w:r>
          </w:p>
        </w:tc>
        <w:tc>
          <w:tcPr>
            <w:tcW w:w="0" w:type="auto"/>
            <w:hideMark/>
          </w:tcPr>
          <w:p w14:paraId="6202EE1D"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توطين خوارزميات إدارة المخاطر الجمركية</w:t>
            </w:r>
          </w:p>
        </w:tc>
      </w:tr>
      <w:tr w:rsidR="00E23263" w:rsidRPr="00E23263" w14:paraId="3E2C1CFA"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3397C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الاقتصاد اللوجستي</w:t>
            </w:r>
          </w:p>
        </w:tc>
        <w:tc>
          <w:tcPr>
            <w:tcW w:w="0" w:type="auto"/>
            <w:hideMark/>
          </w:tcPr>
          <w:p w14:paraId="0C51EE3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أثر الجمارك الذكية في المركز اللوجستي العالمي</w:t>
            </w:r>
          </w:p>
        </w:tc>
      </w:tr>
      <w:tr w:rsidR="00E23263" w:rsidRPr="00E23263" w14:paraId="30FE3F5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6085BA"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الاستدامة</w:t>
            </w:r>
          </w:p>
        </w:tc>
        <w:tc>
          <w:tcPr>
            <w:tcW w:w="0" w:type="auto"/>
            <w:hideMark/>
          </w:tcPr>
          <w:p w14:paraId="3AF7016B"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مؤشرات للتجارة الخضراء في المنافذ الجمركية</w:t>
            </w:r>
          </w:p>
        </w:tc>
      </w:tr>
    </w:tbl>
    <w:p w14:paraId="71E7DF51"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مقترحات لرسائل الماجستير والدكتوراه</w:t>
      </w:r>
    </w:p>
    <w:p w14:paraId="676F192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يقترح الباحث مجموعة من الموضوعات البحثية التي يمكن أن تشكل أساساً لرسائل علمية مستقبلية، منها</w:t>
      </w:r>
      <w:r w:rsidRPr="00E23263">
        <w:rPr>
          <w:rFonts w:ascii="Sakkal Majalla" w:hAnsi="Sakkal Majalla" w:cs="Sakkal Majalla"/>
          <w:sz w:val="28"/>
        </w:rPr>
        <w:t>:</w:t>
      </w:r>
    </w:p>
    <w:p w14:paraId="2C245784"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بناء نموذج سعودي للذكاء الاصطناعي التفسيري في الجمارك</w:t>
      </w:r>
      <w:r w:rsidRPr="00E23263">
        <w:rPr>
          <w:rFonts w:ascii="Sakkal Majalla" w:hAnsi="Sakkal Majalla" w:cs="Sakkal Majalla"/>
          <w:sz w:val="28"/>
        </w:rPr>
        <w:t>.</w:t>
      </w:r>
    </w:p>
    <w:p w14:paraId="093E29D7"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أثر البيانات الضخمة في تطوير السياسات الجمركية</w:t>
      </w:r>
      <w:r w:rsidRPr="00E23263">
        <w:rPr>
          <w:rFonts w:ascii="Sakkal Majalla" w:hAnsi="Sakkal Majalla" w:cs="Sakkal Majalla"/>
          <w:sz w:val="28"/>
        </w:rPr>
        <w:t>.</w:t>
      </w:r>
    </w:p>
    <w:p w14:paraId="30D7CA23"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قياس جاهزية المنافذ السعودية لتطبيق التوأم الرقمي</w:t>
      </w:r>
      <w:r w:rsidRPr="00E23263">
        <w:rPr>
          <w:rFonts w:ascii="Sakkal Majalla" w:hAnsi="Sakkal Majalla" w:cs="Sakkal Majalla"/>
          <w:sz w:val="28"/>
        </w:rPr>
        <w:t>.</w:t>
      </w:r>
    </w:p>
    <w:p w14:paraId="617280EC"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سيادة البيانات الجمركية في ظل الحوسبة السحابية</w:t>
      </w:r>
      <w:r w:rsidRPr="00E23263">
        <w:rPr>
          <w:rFonts w:ascii="Sakkal Majalla" w:hAnsi="Sakkal Majalla" w:cs="Sakkal Majalla"/>
          <w:sz w:val="28"/>
        </w:rPr>
        <w:t>.</w:t>
      </w:r>
    </w:p>
    <w:p w14:paraId="00C8C045"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الأبعاد القانونية لاستخدام الذكاء الاصطناعي في القرارات الجمركية</w:t>
      </w:r>
      <w:r w:rsidRPr="00E23263">
        <w:rPr>
          <w:rFonts w:ascii="Sakkal Majalla" w:hAnsi="Sakkal Majalla" w:cs="Sakkal Majalla"/>
          <w:sz w:val="28"/>
        </w:rPr>
        <w:t>.</w:t>
      </w:r>
    </w:p>
    <w:p w14:paraId="3084C513"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الحوكمة الرقمية وأثرها في تعزيز الثقة بين الإدارة والمكلفين</w:t>
      </w:r>
      <w:r w:rsidRPr="00E23263">
        <w:rPr>
          <w:rFonts w:ascii="Sakkal Majalla" w:hAnsi="Sakkal Majalla" w:cs="Sakkal Majalla"/>
          <w:sz w:val="28"/>
        </w:rPr>
        <w:t>.</w:t>
      </w:r>
    </w:p>
    <w:p w14:paraId="7089319B"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أثر الجمارك الرقمية في تنافسية الموانئ السعودية</w:t>
      </w:r>
      <w:r w:rsidRPr="00E23263">
        <w:rPr>
          <w:rFonts w:ascii="Sakkal Majalla" w:hAnsi="Sakkal Majalla" w:cs="Sakkal Majalla"/>
          <w:sz w:val="28"/>
        </w:rPr>
        <w:t>.</w:t>
      </w:r>
    </w:p>
    <w:p w14:paraId="5A410C7E"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إدارة الأزمات الجمركية باستخدام التحليلات التنبؤية</w:t>
      </w:r>
      <w:r w:rsidRPr="00E23263">
        <w:rPr>
          <w:rFonts w:ascii="Sakkal Majalla" w:hAnsi="Sakkal Majalla" w:cs="Sakkal Majalla"/>
          <w:sz w:val="28"/>
        </w:rPr>
        <w:t>.</w:t>
      </w:r>
    </w:p>
    <w:p w14:paraId="0C8925B4"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قياس نضج الأمن السيبراني في الإدارات الجمركية الخليجية</w:t>
      </w:r>
      <w:r w:rsidRPr="00E23263">
        <w:rPr>
          <w:rFonts w:ascii="Sakkal Majalla" w:hAnsi="Sakkal Majalla" w:cs="Sakkal Majalla"/>
          <w:sz w:val="28"/>
        </w:rPr>
        <w:t>.</w:t>
      </w:r>
    </w:p>
    <w:p w14:paraId="04781B66"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تطوير نموذج عربي موحد للتكامل الجمركي الرقمي</w:t>
      </w:r>
      <w:r w:rsidRPr="00E23263">
        <w:rPr>
          <w:rFonts w:ascii="Sakkal Majalla" w:hAnsi="Sakkal Majalla" w:cs="Sakkal Majalla"/>
          <w:sz w:val="28"/>
        </w:rPr>
        <w:t>.</w:t>
      </w:r>
    </w:p>
    <w:p w14:paraId="6DBF3FC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(8-13)</w:t>
      </w:r>
    </w:p>
    <w:p w14:paraId="5CFEEA3E"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خارطة الطريق البحثية المقترحة حتى عام 2040</w:t>
      </w:r>
    </w:p>
    <w:tbl>
      <w:tblPr>
        <w:tblStyle w:val="PlainTable3"/>
        <w:tblW w:w="0" w:type="auto"/>
        <w:jc w:val="center"/>
        <w:tblLook w:val="04A0" w:firstRow="1" w:lastRow="0" w:firstColumn="1" w:lastColumn="0" w:noHBand="0" w:noVBand="1"/>
      </w:tblPr>
      <w:tblGrid>
        <w:gridCol w:w="1549"/>
        <w:gridCol w:w="1401"/>
        <w:gridCol w:w="3355"/>
        <w:gridCol w:w="3055"/>
      </w:tblGrid>
      <w:tr w:rsidR="00E23263" w:rsidRPr="00E23263" w14:paraId="3D9E1515"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A6D3FD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w:t>
            </w:r>
          </w:p>
        </w:tc>
        <w:tc>
          <w:tcPr>
            <w:tcW w:w="0" w:type="auto"/>
            <w:hideMark/>
          </w:tcPr>
          <w:p w14:paraId="0C36E37D"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الفترة</w:t>
            </w:r>
          </w:p>
        </w:tc>
        <w:tc>
          <w:tcPr>
            <w:tcW w:w="0" w:type="auto"/>
            <w:hideMark/>
          </w:tcPr>
          <w:p w14:paraId="30C1F7B8"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الأولوية الرئيسة</w:t>
            </w:r>
          </w:p>
        </w:tc>
        <w:tc>
          <w:tcPr>
            <w:tcW w:w="0" w:type="auto"/>
            <w:hideMark/>
          </w:tcPr>
          <w:p w14:paraId="1C49285C"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الجهات المقترحة</w:t>
            </w:r>
          </w:p>
        </w:tc>
      </w:tr>
      <w:tr w:rsidR="00E23263" w:rsidRPr="00E23263" w14:paraId="3322439E"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9BA14A"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الأولى</w:t>
            </w:r>
          </w:p>
        </w:tc>
        <w:tc>
          <w:tcPr>
            <w:tcW w:w="0" w:type="auto"/>
            <w:hideMark/>
          </w:tcPr>
          <w:p w14:paraId="11878BD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2026–2028</w:t>
            </w:r>
          </w:p>
        </w:tc>
        <w:tc>
          <w:tcPr>
            <w:tcW w:w="0" w:type="auto"/>
            <w:hideMark/>
          </w:tcPr>
          <w:p w14:paraId="180CAFF8"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استكمال التحول الرقمي وتقييم أثره</w:t>
            </w:r>
          </w:p>
        </w:tc>
        <w:tc>
          <w:tcPr>
            <w:tcW w:w="0" w:type="auto"/>
            <w:hideMark/>
          </w:tcPr>
          <w:p w14:paraId="39C7700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الجامعات السعودية</w:t>
            </w:r>
            <w:r w:rsidRPr="00E23263">
              <w:rPr>
                <w:rFonts w:ascii="Sakkal Majalla" w:hAnsi="Sakkal Majalla" w:cs="Sakkal Majalla"/>
                <w:sz w:val="24"/>
                <w:szCs w:val="24"/>
              </w:rPr>
              <w:t xml:space="preserve"> – ZATCA</w:t>
            </w:r>
          </w:p>
        </w:tc>
      </w:tr>
      <w:tr w:rsidR="00E23263" w:rsidRPr="00E23263" w14:paraId="520C656C"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88D44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الثانية</w:t>
            </w:r>
          </w:p>
        </w:tc>
        <w:tc>
          <w:tcPr>
            <w:tcW w:w="0" w:type="auto"/>
            <w:hideMark/>
          </w:tcPr>
          <w:p w14:paraId="50444D08"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2028–2032</w:t>
            </w:r>
          </w:p>
        </w:tc>
        <w:tc>
          <w:tcPr>
            <w:tcW w:w="0" w:type="auto"/>
            <w:hideMark/>
          </w:tcPr>
          <w:p w14:paraId="674C104F"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التكامل الخليجي والعربي</w:t>
            </w:r>
          </w:p>
        </w:tc>
        <w:tc>
          <w:tcPr>
            <w:tcW w:w="0" w:type="auto"/>
            <w:hideMark/>
          </w:tcPr>
          <w:p w14:paraId="6C1A8FD2"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مجلس التعاون – جامعة الدول العربية</w:t>
            </w:r>
          </w:p>
        </w:tc>
      </w:tr>
      <w:tr w:rsidR="00E23263" w:rsidRPr="00E23263" w14:paraId="245683F9"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9BBD12"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المرحلة الثالثة</w:t>
            </w:r>
          </w:p>
        </w:tc>
        <w:tc>
          <w:tcPr>
            <w:tcW w:w="0" w:type="auto"/>
            <w:hideMark/>
          </w:tcPr>
          <w:p w14:paraId="31B13767"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2032–2036</w:t>
            </w:r>
          </w:p>
        </w:tc>
        <w:tc>
          <w:tcPr>
            <w:tcW w:w="0" w:type="auto"/>
            <w:hideMark/>
          </w:tcPr>
          <w:p w14:paraId="76A7386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الذكاء الاصطناعي المتقدم والحوسبة الكمية</w:t>
            </w:r>
          </w:p>
        </w:tc>
        <w:tc>
          <w:tcPr>
            <w:tcW w:w="0" w:type="auto"/>
            <w:hideMark/>
          </w:tcPr>
          <w:p w14:paraId="082C3E1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 xml:space="preserve">SDAIA – KAUST – </w:t>
            </w:r>
            <w:r w:rsidRPr="00E23263">
              <w:rPr>
                <w:rFonts w:ascii="Sakkal Majalla" w:hAnsi="Sakkal Majalla" w:cs="Sakkal Majalla"/>
                <w:sz w:val="24"/>
                <w:szCs w:val="24"/>
                <w:rtl/>
              </w:rPr>
              <w:t>الجامعات</w:t>
            </w:r>
          </w:p>
        </w:tc>
      </w:tr>
      <w:tr w:rsidR="00E23263" w:rsidRPr="00E23263" w14:paraId="130C6AF9"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11A0DB"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الرابعة</w:t>
            </w:r>
          </w:p>
        </w:tc>
        <w:tc>
          <w:tcPr>
            <w:tcW w:w="0" w:type="auto"/>
            <w:hideMark/>
          </w:tcPr>
          <w:p w14:paraId="0D54AA48"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2036–2040</w:t>
            </w:r>
          </w:p>
        </w:tc>
        <w:tc>
          <w:tcPr>
            <w:tcW w:w="0" w:type="auto"/>
            <w:hideMark/>
          </w:tcPr>
          <w:p w14:paraId="041552E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الجمارك ذاتية التشغيل والابتكار العالمي</w:t>
            </w:r>
          </w:p>
        </w:tc>
        <w:tc>
          <w:tcPr>
            <w:tcW w:w="0" w:type="auto"/>
            <w:hideMark/>
          </w:tcPr>
          <w:p w14:paraId="4119BA49"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مراكز التميز الدولية</w:t>
            </w:r>
            <w:r w:rsidRPr="00E23263">
              <w:rPr>
                <w:rFonts w:ascii="Sakkal Majalla" w:hAnsi="Sakkal Majalla" w:cs="Sakkal Majalla"/>
                <w:sz w:val="24"/>
                <w:szCs w:val="24"/>
              </w:rPr>
              <w:t xml:space="preserve"> – WCO</w:t>
            </w:r>
          </w:p>
        </w:tc>
      </w:tr>
    </w:tbl>
    <w:p w14:paraId="1EFFA5CA"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رأي الباحث</w:t>
      </w:r>
    </w:p>
    <w:p w14:paraId="508800F0"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يرى الباحث أن القيمة الحقيقية للأجندة البحثية المقترحة تكمن في انتقالها من مفهوم "قائمة موضوعات" إلى مفهوم "برنامج وطني للبحث والتطوير". فالتطور السريع في تقنيات الذكاء الاصطناعي، والحوسبة الكمية، والأمن السيبراني، والتجارة الرقمية يفرض على المؤسسات الأكاديمية والجهات الحكومية تبني خطط بحثية طويلة المدى تتسم بالمرونة والاستباقية. كما أن ربط الأولويات البحثية بمستهدفات رؤية المملكة العربية السعودية 2030، وبالمبادرات الوطنية في مجالات البيانات والابتكار والخدمات اللوجستية، سيضمن توجيه الجهود العلمية نحو قضايا ذات أثر اقتصادي وتنموي مباشر</w:t>
      </w:r>
      <w:r w:rsidRPr="00E23263">
        <w:rPr>
          <w:rFonts w:ascii="Sakkal Majalla" w:hAnsi="Sakkal Majalla" w:cs="Sakkal Majalla"/>
          <w:sz w:val="28"/>
        </w:rPr>
        <w:t>.</w:t>
      </w:r>
    </w:p>
    <w:p w14:paraId="0C98C6C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ويقترح الباحث إنشاء </w:t>
      </w:r>
      <w:r w:rsidRPr="00E23263">
        <w:rPr>
          <w:rFonts w:ascii="Sakkal Majalla" w:hAnsi="Sakkal Majalla" w:cs="Sakkal Majalla"/>
          <w:b/>
          <w:bCs/>
          <w:sz w:val="28"/>
        </w:rPr>
        <w:t>"</w:t>
      </w:r>
      <w:r w:rsidRPr="00E23263">
        <w:rPr>
          <w:rFonts w:ascii="Sakkal Majalla" w:hAnsi="Sakkal Majalla" w:cs="Sakkal Majalla"/>
          <w:b/>
          <w:bCs/>
          <w:sz w:val="28"/>
          <w:rtl/>
        </w:rPr>
        <w:t>المركز الوطني للتميز في أبحاث الجمارك الرقمية والذكاء الاصطناعي</w:t>
      </w:r>
      <w:r w:rsidRPr="00E23263">
        <w:rPr>
          <w:rFonts w:ascii="Sakkal Majalla" w:hAnsi="Sakkal Majalla" w:cs="Sakkal Majalla"/>
          <w:b/>
          <w:bCs/>
          <w:sz w:val="28"/>
        </w:rPr>
        <w:t>"</w:t>
      </w:r>
      <w:r w:rsidRPr="00E23263">
        <w:rPr>
          <w:rFonts w:ascii="Sakkal Majalla" w:hAnsi="Sakkal Majalla" w:cs="Sakkal Majalla"/>
          <w:sz w:val="28"/>
          <w:rtl/>
        </w:rPr>
        <w:t>، ليكون منصة وطنية تجمع بين هيئة الزكاة والضريبة والجمارك، والجامعات، ومراكز البحوث، والقطاع الخاص، بهدف تنسيق المشروعات البحثية، وتطوير الحلول التطبيقية، وبناء قواعد بيانات علمية، وإعداد الكفاءات الوطنية المتخصصة. ومن شأن هذا المركز أن يسهم في تحويل المملكة العربية السعودية من مستهلك للتقنيات الجمركية الحديثة إلى منتج ومصدر للمعرفة والابتكار في هذا المجال، بما يعزز مكانتها الإقليمية والدولية في الاقتصاد الرقمي وإدارة التجارة الذكية</w:t>
      </w:r>
      <w:r w:rsidRPr="00E23263">
        <w:rPr>
          <w:rFonts w:ascii="Sakkal Majalla" w:hAnsi="Sakkal Majalla" w:cs="Sakkal Majalla"/>
          <w:sz w:val="28"/>
        </w:rPr>
        <w:t>.</w:t>
      </w:r>
    </w:p>
    <w:p w14:paraId="52AADE1C"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ممتاز، نصل الآن إلى </w:t>
      </w:r>
      <w:r w:rsidRPr="00A17B8F">
        <w:rPr>
          <w:rFonts w:ascii="Sakkal Majalla" w:hAnsi="Sakkal Majalla" w:cs="Sakkal Majalla"/>
          <w:b/>
          <w:bCs/>
          <w:sz w:val="28"/>
          <w:rtl/>
        </w:rPr>
        <w:t>الخاتمة العامة للرسالة</w:t>
      </w:r>
      <w:r w:rsidRPr="00A17B8F">
        <w:rPr>
          <w:rFonts w:ascii="Sakkal Majalla" w:hAnsi="Sakkal Majalla" w:cs="Sakkal Majalla"/>
          <w:sz w:val="28"/>
          <w:rtl/>
        </w:rPr>
        <w:t xml:space="preserve">، وهي آخر ما يقرأه المناقش، ولذلك ينبغي أن تكون قوية، عميقة، وأكاديمية، ولا تقتصر على تلخيص النتائج فقط، بل تُبرز القيمة العلمية للرسالة، وتوضح رؤيتها المستقبلية. وفي رسائل الدكتوراه المتميزة تكون الخاتمة بمثابة </w:t>
      </w:r>
      <w:r w:rsidRPr="00A17B8F">
        <w:rPr>
          <w:rFonts w:ascii="Sakkal Majalla" w:hAnsi="Sakkal Majalla" w:cs="Sakkal Majalla"/>
          <w:b/>
          <w:bCs/>
          <w:sz w:val="28"/>
          <w:rtl/>
        </w:rPr>
        <w:t>الرسالة الفكرية الأخيرة للباحث</w:t>
      </w:r>
      <w:r w:rsidRPr="00A17B8F">
        <w:rPr>
          <w:rFonts w:ascii="Sakkal Majalla" w:hAnsi="Sakkal Majalla" w:cs="Sakkal Majalla"/>
          <w:sz w:val="28"/>
        </w:rPr>
        <w:t>.</w:t>
      </w:r>
    </w:p>
    <w:p w14:paraId="2AF7AD87"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سابعاً: الخاتمة العامة للرسالة</w:t>
      </w:r>
    </w:p>
    <w:p w14:paraId="7AC8D621"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Pr>
        <w:t>(General Conclusion)</w:t>
      </w:r>
    </w:p>
    <w:p w14:paraId="05CB9F69"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أولاً: رحلة البحث... من التساؤل العلمي إلى بناء رؤية استراتيجية</w:t>
      </w:r>
    </w:p>
    <w:p w14:paraId="6FAF368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انطلقت هذه الدراسة من تساؤل علمي رئيس تمحور حول طبيعة الدور الذي يمكن أن يؤديه التحول الرقمي في تعزيز الأمن الجمركي وتيسير التجارة داخل هيئة الزكاة والضريبة والجمارك بالمملكة العربية السعودية، في ظل التحولات المتسارعة التي يشهدها الاقتصاد العالمي، والتوسع غير المسبوق في تطبيقات الذكاء الاصطناعي، والبيانات الضخمة، والحوسبة السحابية، والتجارة الإلكترونية، وما صاحب ذلك من تحديات متزايدة تتعلق بالأمن السيبراني، وسلاسل الإمداد العالمية، والتهريب، والتهرب الضريبي، وحماية الاقتصاد الوطني</w:t>
      </w:r>
      <w:r w:rsidRPr="00A17B8F">
        <w:rPr>
          <w:rFonts w:ascii="Sakkal Majalla" w:hAnsi="Sakkal Majalla" w:cs="Sakkal Majalla"/>
          <w:sz w:val="28"/>
        </w:rPr>
        <w:t>.</w:t>
      </w:r>
    </w:p>
    <w:p w14:paraId="2FCB48B6"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وقد جاء اختيار هذا الموضوع انطلاقاً من إدراك الباحث أن التحول الرقمي لم يعد خياراً تنظيمياً أو مشروعاً تقنياً يمكن تأجيله، وإنما أصبح ركيزة أساسية لإعادة بناء المؤسسات الحكومية، وتحسين جودة الخدمات العامة، وتعزيز القدرة التنافسية للدول، وتحقيق الأمن الاقتصادي في عالم يعتمد بصورة متزايدة على البيانات والتقنيات الرقمية</w:t>
      </w:r>
      <w:r w:rsidRPr="00A17B8F">
        <w:rPr>
          <w:rFonts w:ascii="Sakkal Majalla" w:hAnsi="Sakkal Majalla" w:cs="Sakkal Majalla"/>
          <w:sz w:val="28"/>
        </w:rPr>
        <w:t>.</w:t>
      </w:r>
    </w:p>
    <w:p w14:paraId="24B1312E"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خلال المراجعة النظرية، والدراسة الميدانية، والتحليل الإحصائي، والمقارنات المرجعية الدولية، أمكن للدراسة بناء إطار متكامل يفسر العلاقة بين التحول الرقمي والأمن الجمركي وتيسير التجارة، ويقدم نموذجاً عملياً يمكن الاستفادة منه في تطوير الأداء المؤسسي داخل هيئة الزكاة والضريبة والجمارك</w:t>
      </w:r>
      <w:r w:rsidRPr="00A17B8F">
        <w:rPr>
          <w:rFonts w:ascii="Sakkal Majalla" w:hAnsi="Sakkal Majalla" w:cs="Sakkal Majalla"/>
          <w:sz w:val="28"/>
        </w:rPr>
        <w:t>.</w:t>
      </w:r>
    </w:p>
    <w:p w14:paraId="0C532E7B"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ثانياً: أبرز ما أكدته الدراسة</w:t>
      </w:r>
    </w:p>
    <w:p w14:paraId="6E2ACDBE"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أكدت الدراسة أن التحول الرقمي يمثل متغيراً استراتيجياً ذا تأثير مباشر في رفع كفاءة الأداء الجمركي، وتحسين جودة الخدمات، وتعزيز الامتثال، وتقليل زمن الإفراج الجمركي، ورفع كفاءة إدارة المخاطر، وتحسين قدرة الهيئة على مواجهة التحديات الأمنية والاقتصادية</w:t>
      </w:r>
      <w:r w:rsidRPr="00A17B8F">
        <w:rPr>
          <w:rFonts w:ascii="Sakkal Majalla" w:hAnsi="Sakkal Majalla" w:cs="Sakkal Majalla"/>
          <w:sz w:val="28"/>
        </w:rPr>
        <w:t>.</w:t>
      </w:r>
    </w:p>
    <w:p w14:paraId="7B23E08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أثبتت النتائج أن نجاح التحول الرقمي لا يرتبط بتوفير الأنظمة الإلكترونية وحدها، وإنما يعتمد على وجود منظومة متكاملة تشمل القيادة الرقمية، والحوكمة، وإدارة البيانات، والذكاء الاصطناعي، والأمن السيبراني، والتكامل المؤسسي، وتنمية الموارد البشرية، والابتكار المستمر</w:t>
      </w:r>
      <w:r w:rsidRPr="00A17B8F">
        <w:rPr>
          <w:rFonts w:ascii="Sakkal Majalla" w:hAnsi="Sakkal Majalla" w:cs="Sakkal Majalla"/>
          <w:sz w:val="28"/>
        </w:rPr>
        <w:t>.</w:t>
      </w:r>
    </w:p>
    <w:p w14:paraId="2A6A0B57"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وأظهرت الدراسة أن العلاقة بين الأمن الجمركي وتيسير التجارة ليست علاقة تعارض كما كان يُعتقد في النماذج التقليدية، وإنما علاقة تكامل، حيث تؤدي التقنيات الرقمية إلى تحسين مستوى الأمن بالتوازي مع تسريع الإجراءات الجمركية، وهو ما يمثل أحد أهم التحولات الفكرية في الإدارة الجمركية الحديثة</w:t>
      </w:r>
      <w:r w:rsidRPr="00A17B8F">
        <w:rPr>
          <w:rFonts w:ascii="Sakkal Majalla" w:hAnsi="Sakkal Majalla" w:cs="Sakkal Majalla"/>
          <w:sz w:val="28"/>
        </w:rPr>
        <w:t>.</w:t>
      </w:r>
    </w:p>
    <w:p w14:paraId="14DBA0A5"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ثالثاً: القيمة العلمية للدراسة</w:t>
      </w:r>
    </w:p>
    <w:p w14:paraId="48AE950F"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لا تتمثل القيمة العلمية لهذه الدراسة في اختبار فرضياتها فحسب، وإنما في تقديم نموذج معرفي يجمع بين عدد من الحقول العلمية التي غالباً ما تناولتها الدراسات السابقة بصورة منفصلة، وهي الإدارة العامة، والتحول الرقمي، والجمارك، والذكاء الاصطناعي، والأمن السيبراني، والحوكمة الرقمية</w:t>
      </w:r>
      <w:r w:rsidRPr="00A17B8F">
        <w:rPr>
          <w:rFonts w:ascii="Sakkal Majalla" w:hAnsi="Sakkal Majalla" w:cs="Sakkal Majalla"/>
          <w:sz w:val="28"/>
        </w:rPr>
        <w:t>.</w:t>
      </w:r>
    </w:p>
    <w:p w14:paraId="6C99465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قدمت الدراسة نموذجاً تفسيرياً يوضح الكيفية التي تؤثر بها عناصر التحول الرقمي في الأمن الجمركي وتيسير التجارة، مع الاستناد إلى نتائج ميدانية وتحليلات إحصائية دعمت صحة هذا النموذج</w:t>
      </w:r>
      <w:r w:rsidRPr="00A17B8F">
        <w:rPr>
          <w:rFonts w:ascii="Sakkal Majalla" w:hAnsi="Sakkal Majalla" w:cs="Sakkal Majalla"/>
          <w:sz w:val="28"/>
        </w:rPr>
        <w:t>.</w:t>
      </w:r>
    </w:p>
    <w:p w14:paraId="4F2CC5BC"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وإلى جانب ذلك، طورت الدراسة إطاراً استراتيجياً يربط بين التحليل العلمي والتطبيق التنفيذي، من خلال تصميم خطط عمل مرحلية، ولوحة قيادة لمؤشرات الأداء، وخارطة طريق حتى عام 2030، وهو ما يمنحها بعداً تطبيقياً يتجاوز الطابع الأكاديمي التقليدي</w:t>
      </w:r>
      <w:r w:rsidRPr="00A17B8F">
        <w:rPr>
          <w:rFonts w:ascii="Sakkal Majalla" w:hAnsi="Sakkal Majalla" w:cs="Sakkal Majalla"/>
          <w:sz w:val="28"/>
        </w:rPr>
        <w:t>.</w:t>
      </w:r>
    </w:p>
    <w:p w14:paraId="40B47F90"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رابعاً: القيمة التطبيقية للدراسة</w:t>
      </w:r>
    </w:p>
    <w:p w14:paraId="678E876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تميزت الدراسة بأنها لم تتوقف عند حدود التشخيص، بل انتقلت إلى تقديم حلول عملية قابلة للتنفيذ، تمثلت في بناء خطة استراتيجية شاملة، واقتراح مجموعة من المبادرات التنفيذية، وتصميم لوحة قيادة متكاملة لمؤشرات الأداء، واقتراح آليات لتطوير الذكاء الاصطناعي الجمركي، وتعزيز الأمن السيبراني، والتكامل المؤسسي، وبناء القدرات البشرية</w:t>
      </w:r>
      <w:r w:rsidRPr="00A17B8F">
        <w:rPr>
          <w:rFonts w:ascii="Sakkal Majalla" w:hAnsi="Sakkal Majalla" w:cs="Sakkal Majalla"/>
          <w:sz w:val="28"/>
        </w:rPr>
        <w:t>.</w:t>
      </w:r>
    </w:p>
    <w:p w14:paraId="61EDA7A7"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وتوفر هذه المخرجات لصناع القرار إطاراً عملياً يمكن الاستفادة منه في تطوير السياسات العامة، وتوجيه الاستثمارات الرقمية، وقياس الأداء، وتعزيز كفاءة العمل المؤسسي، بما يتوافق مع مستهدفات رؤية المملكة العربية السعودية 2030</w:t>
      </w:r>
      <w:r w:rsidRPr="00A17B8F">
        <w:rPr>
          <w:rFonts w:ascii="Sakkal Majalla" w:hAnsi="Sakkal Majalla" w:cs="Sakkal Majalla"/>
          <w:sz w:val="28"/>
        </w:rPr>
        <w:t>.</w:t>
      </w:r>
    </w:p>
    <w:p w14:paraId="07C0CF02"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خامساً: التحول الرقمي والسيادة الاقتصادية</w:t>
      </w:r>
    </w:p>
    <w:p w14:paraId="0AD222B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تكشف الدراسة أن التحول الرقمي في المؤسسات الجمركية يتجاوز كونه وسيلة لتطوير الخدمات الحكومية، ليصبح أحد أهم أدوات حماية السيادة الاقتصادية للدولة. فالجمارك الحديثة لم تعد تقتصر على تحصيل الرسوم أو مراقبة الحدود، وإنما أصبحت مركزاً لإنتاج البيانات الاقتصادية، وتحليل المخاطر، ودعم السياسات التجارية، وحماية الأمن الوطني</w:t>
      </w:r>
      <w:r w:rsidRPr="00A17B8F">
        <w:rPr>
          <w:rFonts w:ascii="Sakkal Majalla" w:hAnsi="Sakkal Majalla" w:cs="Sakkal Majalla"/>
          <w:sz w:val="28"/>
        </w:rPr>
        <w:t>.</w:t>
      </w:r>
    </w:p>
    <w:p w14:paraId="3A8AC00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ثم، فإن امتلاك الدولة لقدرات رقمية متقدمة، وخوارزميات وطنية، وبنية تحتية سيادية للبيانات، يمثل أحد أهم عناصر القوة في الاقتصاد العالمي الجديد</w:t>
      </w:r>
      <w:r w:rsidRPr="00A17B8F">
        <w:rPr>
          <w:rFonts w:ascii="Sakkal Majalla" w:hAnsi="Sakkal Majalla" w:cs="Sakkal Majalla"/>
          <w:sz w:val="28"/>
        </w:rPr>
        <w:t>.</w:t>
      </w:r>
    </w:p>
    <w:p w14:paraId="128FEF03"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سادساً: موقع المملكة العربية السعودية في المشهد العالمي</w:t>
      </w:r>
    </w:p>
    <w:p w14:paraId="36D0F2F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تؤكد الدراسة أن المملكة العربية السعودية تمتلك جميع المقومات التي تؤهلها لأن تكون من الدول الرائدة عالمياً في مجال الجمارك الرقمية، وذلك في ضوء ما تحقق من تطور في البنية الرقمية، والخدمات الحكومية، والذكاء الاصطناعي، والبنية اللوجستية، والتشريعات، والدعم السياسي الذي وفرته رؤية المملكة 2030</w:t>
      </w:r>
      <w:r w:rsidRPr="00A17B8F">
        <w:rPr>
          <w:rFonts w:ascii="Sakkal Majalla" w:hAnsi="Sakkal Majalla" w:cs="Sakkal Majalla"/>
          <w:sz w:val="28"/>
        </w:rPr>
        <w:t>.</w:t>
      </w:r>
    </w:p>
    <w:p w14:paraId="09060CBB"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أن التجربة السعودية تتميز بقدرتها على الدمج بين التحول الرقمي والإصلاح المؤسسي، وبين الكفاءة التشغيلية والأمن الوطني، وهو ما يجعلها نموذجاً يمكن الاستفادة منه في العديد من الدول، خاصة في المنطقة العربية</w:t>
      </w:r>
      <w:r w:rsidRPr="00A17B8F">
        <w:rPr>
          <w:rFonts w:ascii="Sakkal Majalla" w:hAnsi="Sakkal Majalla" w:cs="Sakkal Majalla"/>
          <w:sz w:val="28"/>
        </w:rPr>
        <w:t>.</w:t>
      </w:r>
    </w:p>
    <w:p w14:paraId="48232658"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ويرى الباحث أن المرحلة القادمة ينبغي أن تركز على </w:t>
      </w:r>
      <w:r w:rsidRPr="00A17B8F">
        <w:rPr>
          <w:rFonts w:ascii="Sakkal Majalla" w:hAnsi="Sakkal Majalla" w:cs="Sakkal Majalla"/>
          <w:b/>
          <w:bCs/>
          <w:sz w:val="28"/>
          <w:rtl/>
        </w:rPr>
        <w:t>توطين التقنيات، وتطوير الخوارزميات الوطنية، وتعزيز الابتكار المحلي، وتحويل المملكة من مستورد للتكنولوجيا إلى منتج لها</w:t>
      </w:r>
      <w:r w:rsidRPr="00A17B8F">
        <w:rPr>
          <w:rFonts w:ascii="Sakkal Majalla" w:hAnsi="Sakkal Majalla" w:cs="Sakkal Majalla"/>
          <w:sz w:val="28"/>
        </w:rPr>
        <w:t>.</w:t>
      </w:r>
    </w:p>
    <w:p w14:paraId="40AF5C9B"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سابعاً: الرؤية المستقبلية</w:t>
      </w:r>
    </w:p>
    <w:p w14:paraId="22807C7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استناداً إلى النتائج التي توصلت إليها الدراسة، يتوقع الباحث أن تشهد الإدارة الجمركية خلال العقد القادم تحولاً جذرياً نحو نماذج أكثر اعتماداً على الذكاء الاصطناعي، والتحليلات التنبؤية، والتوأم الرقمي، والحوسبة الطرفية، والحوسبة الكمية، بما يؤدي إلى ظهور جيل جديد من الإدارات الجمركية ذاتية التشغيل، القادرة على اتخاذ القرارات بصورة شبه فورية، والتعامل مع المخاطر قبل وقوعها</w:t>
      </w:r>
      <w:r w:rsidRPr="00A17B8F">
        <w:rPr>
          <w:rFonts w:ascii="Sakkal Majalla" w:hAnsi="Sakkal Majalla" w:cs="Sakkal Majalla"/>
          <w:sz w:val="28"/>
        </w:rPr>
        <w:t>.</w:t>
      </w:r>
    </w:p>
    <w:p w14:paraId="363429D0"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ثم، فإن المحافظة على الريادة تتطلب الاستثمار المستمر في البحث العلمي، والابتكار، وبناء الكفاءات الوطنية، وتطوير الشراكات مع المؤسسات الدولية، وتحديث التشريعات بما يتوافق مع التطورات التقنية المتسارعة</w:t>
      </w:r>
      <w:r w:rsidRPr="00A17B8F">
        <w:rPr>
          <w:rFonts w:ascii="Sakkal Majalla" w:hAnsi="Sakkal Majalla" w:cs="Sakkal Majalla"/>
          <w:sz w:val="28"/>
        </w:rPr>
        <w:t>.</w:t>
      </w:r>
    </w:p>
    <w:p w14:paraId="2C841269"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الكلمة الختامية للباحث</w:t>
      </w:r>
    </w:p>
    <w:p w14:paraId="61C2FEA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يختتم الباحث هذه الرسالة بقناعة علمية راسخة مفادها أن التحول الرقمي لم يعد مجرد مشروع لتحديث الإجراءات أو استبدال المعاملات الورقية بالمنصات الإلكترونية، بل أصبح </w:t>
      </w:r>
      <w:r w:rsidRPr="00A17B8F">
        <w:rPr>
          <w:rFonts w:ascii="Sakkal Majalla" w:hAnsi="Sakkal Majalla" w:cs="Sakkal Majalla"/>
          <w:b/>
          <w:bCs/>
          <w:sz w:val="28"/>
          <w:rtl/>
        </w:rPr>
        <w:t>تحولاً حضارياً ومؤسسياً</w:t>
      </w:r>
      <w:r w:rsidRPr="00A17B8F">
        <w:rPr>
          <w:rFonts w:ascii="Sakkal Majalla" w:hAnsi="Sakkal Majalla" w:cs="Sakkal Majalla"/>
          <w:sz w:val="28"/>
          <w:rtl/>
        </w:rPr>
        <w:t xml:space="preserve"> يعيد تعريف دور الدولة، ويغير طبيعة العلاقة بين الحكومة والمجتمع والاقتصاد. وفي هذا السياق، تمثل هيئة الزكاة والضريبة والجمارك نموذجاً متقدماً يبرهن على أن الاستثمار في التقنية، إذا اقترن بالحوكمة الرشيدة، والقيادة المؤسسية، والابتكار المستمر، يمكن أن يحقق في الوقت نفسه أهداف الأمن الاقتصادي، وتيسير التجارة، وتعزيز الثقة، ورفع كفاءة الأداء</w:t>
      </w:r>
      <w:r w:rsidRPr="00A17B8F">
        <w:rPr>
          <w:rFonts w:ascii="Sakkal Majalla" w:hAnsi="Sakkal Majalla" w:cs="Sakkal Majalla"/>
          <w:sz w:val="28"/>
        </w:rPr>
        <w:t>.</w:t>
      </w:r>
    </w:p>
    <w:p w14:paraId="10AFB1C6"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 xml:space="preserve">كما يرى الباحث أن التجربة السعودية تجاوزت مرحلة "التحول الرقمي" إلى مرحلة </w:t>
      </w:r>
      <w:r w:rsidRPr="00A17B8F">
        <w:rPr>
          <w:rFonts w:ascii="Sakkal Majalla" w:hAnsi="Sakkal Majalla" w:cs="Sakkal Majalla"/>
          <w:b/>
          <w:bCs/>
          <w:sz w:val="28"/>
        </w:rPr>
        <w:t>"</w:t>
      </w:r>
      <w:r w:rsidRPr="00A17B8F">
        <w:rPr>
          <w:rFonts w:ascii="Sakkal Majalla" w:hAnsi="Sakkal Majalla" w:cs="Sakkal Majalla"/>
          <w:b/>
          <w:bCs/>
          <w:sz w:val="28"/>
          <w:rtl/>
        </w:rPr>
        <w:t>القيادة الرقمية</w:t>
      </w:r>
      <w:r w:rsidRPr="00A17B8F">
        <w:rPr>
          <w:rFonts w:ascii="Sakkal Majalla" w:hAnsi="Sakkal Majalla" w:cs="Sakkal Majalla"/>
          <w:b/>
          <w:bCs/>
          <w:sz w:val="28"/>
        </w:rPr>
        <w:t>"</w:t>
      </w:r>
      <w:r w:rsidRPr="00A17B8F">
        <w:rPr>
          <w:rFonts w:ascii="Sakkal Majalla" w:hAnsi="Sakkal Majalla" w:cs="Sakkal Majalla"/>
          <w:sz w:val="28"/>
          <w:rtl/>
        </w:rPr>
        <w:t>، وأصبحت تمتلك فرصة تاريخية لتكون مرجعاً دولياً في تصميم وإدارة منظومات الجمارك الذكية. غير أن المحافظة على هذه المكانة تتطلب استمرار الاستثمار في الإنسان قبل التقنية، وفي المعرفة قبل الأدوات، وفي الابتكار قبل الاكتفاء بما تحقق</w:t>
      </w:r>
      <w:r w:rsidRPr="00A17B8F">
        <w:rPr>
          <w:rFonts w:ascii="Sakkal Majalla" w:hAnsi="Sakkal Majalla" w:cs="Sakkal Majalla"/>
          <w:sz w:val="28"/>
        </w:rPr>
        <w:t>.</w:t>
      </w:r>
    </w:p>
    <w:p w14:paraId="3F43A463"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وختاماً، فإن هذه الدراسة لا تدّعي أنها قدمت الكلمة الأخيرة في موضوع التحول الرقمي الجمركي، بل تمثل لبنة في بناء علمي متجدد، يأمل الباحث أن يسهم في إثراء المعرفة، ودعم صناع القرار، وتحفيز المزيد من الدراسات التي تستكشف آفاق الإدارة الرقمية في المستقبل. وإذا نجحت هذه الرسالة في تقديم فكرة جديدة، أو فتح مسار بحثي واعد، أو المساهمة في تطوير السياسات والممارسات المؤسسية، فإن الباحث يعد ذلك تحقيقاً لأسمى غايات البحث العلمي وخدمةً للتنمية الوطنية</w:t>
      </w:r>
      <w:r w:rsidRPr="00A17B8F">
        <w:rPr>
          <w:rFonts w:ascii="Sakkal Majalla" w:hAnsi="Sakkal Majalla" w:cs="Sakkal Majalla"/>
          <w:sz w:val="28"/>
        </w:rPr>
        <w:t>.</w:t>
      </w:r>
    </w:p>
    <w:p w14:paraId="2106514B" w14:textId="77777777" w:rsidR="00A17B8F" w:rsidRDefault="00A17B8F" w:rsidP="00A17B8F">
      <w:pPr>
        <w:pStyle w:val="BlockText"/>
        <w:spacing w:line="360" w:lineRule="auto"/>
        <w:jc w:val="lowKashida"/>
        <w:rPr>
          <w:rFonts w:ascii="Sakkal Majalla" w:hAnsi="Sakkal Majalla" w:cs="Sakkal Majalla"/>
          <w:b/>
          <w:bCs/>
          <w:sz w:val="28"/>
          <w:rtl/>
        </w:rPr>
      </w:pPr>
      <w:r w:rsidRPr="00A17B8F">
        <w:rPr>
          <w:rFonts w:ascii="Sakkal Majalla" w:hAnsi="Sakkal Majalla" w:cs="Sakkal Majalla"/>
          <w:b/>
          <w:bCs/>
          <w:sz w:val="28"/>
        </w:rPr>
        <w:t>"</w:t>
      </w:r>
      <w:r w:rsidRPr="00A17B8F">
        <w:rPr>
          <w:rFonts w:ascii="Sakkal Majalla" w:hAnsi="Sakkal Majalla" w:cs="Sakkal Majalla"/>
          <w:b/>
          <w:bCs/>
          <w:sz w:val="28"/>
          <w:rtl/>
        </w:rPr>
        <w:t>إن الجمارك في القرن الحادي والعشرين لم تعد تُقاس بعدد المنافذ أو حجم الإيرادات فحسب، بل بقدرتها على توظيف البيانات، والذكاء الاصطناعي، والابتكار، لبناء منظومة تحقق الأمن، وتيسر التجارة، وتعزز السيادة الاقتصادية، وتدعم التنمية المستدامة. ومن هنا، فإن التحول الرقمي ليس نهاية الطريق، بل بداية مرحلة جديدة من الإدارة الحكومية الذكية التي تقود المستقبل بدلاً من أن تلاحقه</w:t>
      </w:r>
      <w:r w:rsidRPr="00A17B8F">
        <w:rPr>
          <w:rFonts w:ascii="Sakkal Majalla" w:hAnsi="Sakkal Majalla" w:cs="Sakkal Majalla"/>
          <w:b/>
          <w:bCs/>
          <w:sz w:val="28"/>
        </w:rPr>
        <w:t>."</w:t>
      </w:r>
    </w:p>
    <w:p w14:paraId="25F9CD2D" w14:textId="77777777" w:rsidR="00A17B8F" w:rsidRDefault="00A17B8F" w:rsidP="00A17B8F">
      <w:pPr>
        <w:pStyle w:val="BlockText"/>
        <w:spacing w:line="360" w:lineRule="auto"/>
        <w:jc w:val="lowKashida"/>
        <w:rPr>
          <w:rFonts w:ascii="Sakkal Majalla" w:hAnsi="Sakkal Majalla" w:cs="Sakkal Majalla"/>
          <w:b/>
          <w:bCs/>
          <w:sz w:val="28"/>
          <w:rtl/>
        </w:rPr>
      </w:pPr>
    </w:p>
    <w:p w14:paraId="096E396D" w14:textId="77777777" w:rsidR="00A17B8F" w:rsidRDefault="00A17B8F" w:rsidP="00A17B8F">
      <w:pPr>
        <w:pStyle w:val="BlockText"/>
        <w:spacing w:line="360" w:lineRule="auto"/>
        <w:jc w:val="lowKashida"/>
        <w:rPr>
          <w:rFonts w:ascii="Sakkal Majalla" w:hAnsi="Sakkal Majalla" w:cs="Sakkal Majalla"/>
          <w:b/>
          <w:bCs/>
          <w:sz w:val="28"/>
          <w:rtl/>
        </w:rPr>
      </w:pPr>
    </w:p>
    <w:p w14:paraId="10FF42AF" w14:textId="77777777" w:rsidR="00A17B8F" w:rsidRDefault="00A17B8F" w:rsidP="00A17B8F">
      <w:pPr>
        <w:pStyle w:val="BlockText"/>
        <w:spacing w:line="360" w:lineRule="auto"/>
        <w:jc w:val="lowKashida"/>
        <w:rPr>
          <w:rFonts w:ascii="Sakkal Majalla" w:hAnsi="Sakkal Majalla" w:cs="Sakkal Majalla"/>
          <w:b/>
          <w:bCs/>
          <w:sz w:val="28"/>
          <w:rtl/>
        </w:rPr>
      </w:pPr>
    </w:p>
    <w:p w14:paraId="49ADED95" w14:textId="77777777" w:rsidR="00A17B8F" w:rsidRDefault="00A17B8F" w:rsidP="00A17B8F">
      <w:pPr>
        <w:pStyle w:val="BlockText"/>
        <w:spacing w:line="360" w:lineRule="auto"/>
        <w:jc w:val="lowKashida"/>
        <w:rPr>
          <w:rFonts w:ascii="Sakkal Majalla" w:hAnsi="Sakkal Majalla" w:cs="Sakkal Majalla"/>
          <w:b/>
          <w:bCs/>
          <w:sz w:val="28"/>
          <w:rtl/>
        </w:rPr>
      </w:pPr>
    </w:p>
    <w:p w14:paraId="46F849B1" w14:textId="77777777" w:rsidR="00A17B8F" w:rsidRDefault="00A17B8F" w:rsidP="00A17B8F">
      <w:pPr>
        <w:pStyle w:val="BlockText"/>
        <w:spacing w:line="360" w:lineRule="auto"/>
        <w:jc w:val="lowKashida"/>
        <w:rPr>
          <w:rFonts w:ascii="Sakkal Majalla" w:hAnsi="Sakkal Majalla" w:cs="Sakkal Majalla"/>
          <w:b/>
          <w:bCs/>
          <w:sz w:val="28"/>
          <w:rtl/>
        </w:rPr>
      </w:pPr>
    </w:p>
    <w:p w14:paraId="507610BB" w14:textId="77777777" w:rsidR="00A17B8F" w:rsidRDefault="00A17B8F" w:rsidP="00A17B8F">
      <w:pPr>
        <w:pStyle w:val="BlockText"/>
        <w:spacing w:line="360" w:lineRule="auto"/>
        <w:jc w:val="lowKashida"/>
        <w:rPr>
          <w:rFonts w:ascii="Sakkal Majalla" w:hAnsi="Sakkal Majalla" w:cs="Sakkal Majalla"/>
          <w:b/>
          <w:bCs/>
          <w:sz w:val="28"/>
          <w:rtl/>
        </w:rPr>
      </w:pPr>
    </w:p>
    <w:p w14:paraId="4FDC9965" w14:textId="77777777" w:rsidR="00A17B8F" w:rsidRDefault="00A17B8F" w:rsidP="00A17B8F">
      <w:pPr>
        <w:pStyle w:val="BlockText"/>
        <w:spacing w:line="360" w:lineRule="auto"/>
        <w:jc w:val="lowKashida"/>
        <w:rPr>
          <w:rFonts w:ascii="Sakkal Majalla" w:hAnsi="Sakkal Majalla" w:cs="Sakkal Majalla"/>
          <w:b/>
          <w:bCs/>
          <w:sz w:val="28"/>
          <w:rtl/>
        </w:rPr>
      </w:pPr>
    </w:p>
    <w:p w14:paraId="558C0CAE" w14:textId="77777777" w:rsidR="00A17B8F" w:rsidRDefault="00A17B8F" w:rsidP="00A17B8F">
      <w:pPr>
        <w:pStyle w:val="BlockText"/>
        <w:spacing w:line="360" w:lineRule="auto"/>
        <w:jc w:val="lowKashida"/>
        <w:rPr>
          <w:rFonts w:ascii="Sakkal Majalla" w:hAnsi="Sakkal Majalla" w:cs="Sakkal Majalla"/>
          <w:b/>
          <w:bCs/>
          <w:sz w:val="28"/>
          <w:rtl/>
        </w:rPr>
      </w:pPr>
    </w:p>
    <w:p w14:paraId="018E4E27" w14:textId="77777777" w:rsidR="00E65128" w:rsidRDefault="00E65128" w:rsidP="00A17B8F">
      <w:pPr>
        <w:pStyle w:val="BlockText"/>
        <w:spacing w:line="360" w:lineRule="auto"/>
        <w:jc w:val="lowKashida"/>
        <w:rPr>
          <w:rFonts w:ascii="Sakkal Majalla" w:hAnsi="Sakkal Majalla" w:cs="Sakkal Majalla"/>
          <w:b/>
          <w:bCs/>
          <w:sz w:val="28"/>
          <w:rtl/>
        </w:rPr>
      </w:pPr>
    </w:p>
    <w:p w14:paraId="2CB57E87" w14:textId="77777777" w:rsidR="00E65128" w:rsidRDefault="00E65128" w:rsidP="00A17B8F">
      <w:pPr>
        <w:pStyle w:val="BlockText"/>
        <w:spacing w:line="360" w:lineRule="auto"/>
        <w:jc w:val="lowKashida"/>
        <w:rPr>
          <w:rFonts w:ascii="Sakkal Majalla" w:hAnsi="Sakkal Majalla" w:cs="Sakkal Majalla"/>
          <w:b/>
          <w:bCs/>
          <w:sz w:val="28"/>
          <w:rtl/>
        </w:rPr>
      </w:pPr>
    </w:p>
    <w:p w14:paraId="7929C7D9" w14:textId="77777777" w:rsidR="00E65128" w:rsidRDefault="00E65128" w:rsidP="00A17B8F">
      <w:pPr>
        <w:pStyle w:val="BlockText"/>
        <w:spacing w:line="360" w:lineRule="auto"/>
        <w:jc w:val="lowKashida"/>
        <w:rPr>
          <w:rFonts w:ascii="Sakkal Majalla" w:hAnsi="Sakkal Majalla" w:cs="Sakkal Majalla"/>
          <w:b/>
          <w:bCs/>
          <w:sz w:val="28"/>
          <w:rtl/>
        </w:rPr>
      </w:pPr>
    </w:p>
    <w:p w14:paraId="7590FA4B" w14:textId="77777777" w:rsidR="00A17B8F" w:rsidRPr="00A17B8F" w:rsidRDefault="00A17B8F" w:rsidP="00A17B8F">
      <w:pPr>
        <w:pStyle w:val="BlockText"/>
        <w:spacing w:line="360" w:lineRule="auto"/>
        <w:jc w:val="center"/>
        <w:rPr>
          <w:rFonts w:ascii="Sakkal Majalla" w:hAnsi="Sakkal Majalla" w:cs="Sakkal Majalla"/>
          <w:sz w:val="28"/>
        </w:rPr>
      </w:pPr>
      <w:r w:rsidRPr="00A17B8F">
        <w:rPr>
          <w:rFonts w:ascii="Sakkal Majalla" w:hAnsi="Sakkal Majalla" w:cs="Sakkal Majalla"/>
          <w:b/>
          <w:bCs/>
          <w:sz w:val="28"/>
        </w:rPr>
        <w:t>"</w:t>
      </w:r>
      <w:r w:rsidRPr="00A17B8F">
        <w:rPr>
          <w:rFonts w:ascii="Sakkal Majalla" w:hAnsi="Sakkal Majalla" w:cs="Sakkal Majalla"/>
          <w:b/>
          <w:bCs/>
          <w:sz w:val="28"/>
          <w:rtl/>
        </w:rPr>
        <w:t>النموذج الختامي المقترح للدراسة</w:t>
      </w:r>
      <w:r w:rsidRPr="00A17B8F">
        <w:rPr>
          <w:rFonts w:ascii="Sakkal Majalla" w:hAnsi="Sakkal Majalla" w:cs="Sakkal Majalla"/>
          <w:b/>
          <w:bCs/>
          <w:sz w:val="28"/>
        </w:rPr>
        <w:t xml:space="preserve"> (Integrated Conceptual Framework)"</w:t>
      </w:r>
    </w:p>
    <w:p w14:paraId="55DF0DE0"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وهو مخطط احترافي يلخص الرسالة كاملة في صفحة واحدة، يبدأ بـ</w:t>
      </w:r>
      <w:r w:rsidRPr="00A17B8F">
        <w:rPr>
          <w:rFonts w:ascii="Sakkal Majalla" w:hAnsi="Sakkal Majalla" w:cs="Sakkal Majalla"/>
          <w:sz w:val="28"/>
        </w:rPr>
        <w:t>:</w:t>
      </w:r>
    </w:p>
    <w:p w14:paraId="69242350"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التحول الرقمي</w:t>
      </w:r>
      <w:r w:rsidRPr="00A17B8F">
        <w:rPr>
          <w:rFonts w:ascii="Sakkal Majalla" w:hAnsi="Sakkal Majalla" w:cs="Sakkal Majalla"/>
          <w:sz w:val="28"/>
        </w:rPr>
        <w:t xml:space="preserve"> (Digital Transformation)</w:t>
      </w:r>
      <w:r w:rsidRPr="00A17B8F">
        <w:rPr>
          <w:rFonts w:ascii="Sakkal Majalla" w:hAnsi="Sakkal Majalla" w:cs="Sakkal Majalla"/>
          <w:sz w:val="28"/>
        </w:rPr>
        <w:br/>
      </w:r>
      <w:r w:rsidRPr="00A17B8F">
        <w:rPr>
          <w:rFonts w:ascii="Cambria Math" w:hAnsi="Cambria Math" w:cs="Cambria Math"/>
          <w:sz w:val="28"/>
        </w:rPr>
        <w:t>⬇</w:t>
      </w:r>
    </w:p>
    <w:p w14:paraId="2A6BA535"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الحوكمة الرقمية + الذكاء الاصطناعي + الأمن السيبراني + إدارة البيانات</w:t>
      </w:r>
      <w:r w:rsidRPr="00A17B8F">
        <w:rPr>
          <w:rFonts w:ascii="Sakkal Majalla" w:hAnsi="Sakkal Majalla" w:cs="Sakkal Majalla"/>
          <w:sz w:val="28"/>
        </w:rPr>
        <w:br/>
      </w:r>
      <w:r w:rsidRPr="00A17B8F">
        <w:rPr>
          <w:rFonts w:ascii="Cambria Math" w:hAnsi="Cambria Math" w:cs="Cambria Math"/>
          <w:sz w:val="28"/>
        </w:rPr>
        <w:t>⬇</w:t>
      </w:r>
    </w:p>
    <w:p w14:paraId="7EADA05E"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تعزيز الأمن الجمركي + تيسير التجارة</w:t>
      </w:r>
      <w:r w:rsidRPr="00A17B8F">
        <w:rPr>
          <w:rFonts w:ascii="Sakkal Majalla" w:hAnsi="Sakkal Majalla" w:cs="Sakkal Majalla"/>
          <w:sz w:val="28"/>
        </w:rPr>
        <w:br/>
      </w:r>
      <w:r w:rsidRPr="00A17B8F">
        <w:rPr>
          <w:rFonts w:ascii="Cambria Math" w:hAnsi="Cambria Math" w:cs="Cambria Math"/>
          <w:sz w:val="28"/>
        </w:rPr>
        <w:t>⬇</w:t>
      </w:r>
    </w:p>
    <w:p w14:paraId="65EE263D"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رفع كفاءة الأداء المؤسسي</w:t>
      </w:r>
      <w:r w:rsidRPr="00A17B8F">
        <w:rPr>
          <w:rFonts w:ascii="Sakkal Majalla" w:hAnsi="Sakkal Majalla" w:cs="Sakkal Majalla"/>
          <w:sz w:val="28"/>
        </w:rPr>
        <w:br/>
      </w:r>
      <w:r w:rsidRPr="00A17B8F">
        <w:rPr>
          <w:rFonts w:ascii="Cambria Math" w:hAnsi="Cambria Math" w:cs="Cambria Math"/>
          <w:sz w:val="28"/>
        </w:rPr>
        <w:t>⬇</w:t>
      </w:r>
    </w:p>
    <w:p w14:paraId="7C3DE82B"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تحقيق مستهدفات رؤية المملكة 2030</w:t>
      </w:r>
      <w:r w:rsidRPr="00A17B8F">
        <w:rPr>
          <w:rFonts w:ascii="Sakkal Majalla" w:hAnsi="Sakkal Majalla" w:cs="Sakkal Majalla"/>
          <w:sz w:val="28"/>
        </w:rPr>
        <w:br/>
      </w:r>
      <w:r w:rsidRPr="00A17B8F">
        <w:rPr>
          <w:rFonts w:ascii="Cambria Math" w:hAnsi="Cambria Math" w:cs="Cambria Math"/>
          <w:sz w:val="28"/>
        </w:rPr>
        <w:t>⬇</w:t>
      </w:r>
    </w:p>
    <w:p w14:paraId="6E00BD0B"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الريادة العالمية لـ</w:t>
      </w:r>
      <w:r w:rsidRPr="00A17B8F">
        <w:rPr>
          <w:rFonts w:ascii="Sakkal Majalla" w:hAnsi="Sakkal Majalla" w:cs="Sakkal Majalla"/>
          <w:sz w:val="28"/>
        </w:rPr>
        <w:t xml:space="preserve"> ZATCA.</w:t>
      </w:r>
    </w:p>
    <w:p w14:paraId="2D613FE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وجود هذا الشكل في آخر الرسالة يعطي انطباعًا احترافيًا جدًا، وهو من العناصر التي تميز رسائل الدكتوراه ذات المستوى العالي</w:t>
      </w:r>
      <w:r w:rsidRPr="00A17B8F">
        <w:rPr>
          <w:rFonts w:ascii="Sakkal Majalla" w:hAnsi="Sakkal Majalla" w:cs="Sakkal Majalla"/>
          <w:sz w:val="28"/>
        </w:rPr>
        <w:t>.</w:t>
      </w:r>
    </w:p>
    <w:p w14:paraId="21F6C6B0" w14:textId="77777777" w:rsidR="00736D54" w:rsidRPr="00A17B8F" w:rsidRDefault="00736D54" w:rsidP="00F84143">
      <w:pPr>
        <w:pStyle w:val="BlockText"/>
        <w:spacing w:line="360" w:lineRule="auto"/>
        <w:jc w:val="lowKashida"/>
        <w:rPr>
          <w:rFonts w:ascii="Sakkal Majalla" w:hAnsi="Sakkal Majalla" w:cs="Sakkal Majalla"/>
          <w:sz w:val="28"/>
          <w:rtl/>
        </w:rPr>
      </w:pPr>
    </w:p>
    <w:p w14:paraId="5DB93285" w14:textId="77777777" w:rsidR="00736D54" w:rsidRPr="00736D54" w:rsidRDefault="00736D54" w:rsidP="00F84143">
      <w:pPr>
        <w:pStyle w:val="BlockText"/>
        <w:spacing w:line="360" w:lineRule="auto"/>
        <w:jc w:val="lowKashida"/>
        <w:rPr>
          <w:rFonts w:ascii="Sakkal Majalla" w:hAnsi="Sakkal Majalla" w:cs="Sakkal Majalla"/>
          <w:b/>
          <w:bCs/>
          <w:sz w:val="28"/>
          <w:rtl/>
        </w:rPr>
      </w:pPr>
    </w:p>
    <w:p w14:paraId="7401B306" w14:textId="77777777" w:rsidR="00736D54" w:rsidRDefault="00736D54" w:rsidP="00F84143">
      <w:pPr>
        <w:pStyle w:val="BlockText"/>
        <w:spacing w:line="360" w:lineRule="auto"/>
        <w:jc w:val="lowKashida"/>
        <w:rPr>
          <w:rFonts w:ascii="Sakkal Majalla" w:hAnsi="Sakkal Majalla" w:cs="Sakkal Majalla"/>
          <w:b/>
          <w:bCs/>
          <w:sz w:val="28"/>
          <w:rtl/>
        </w:rPr>
      </w:pPr>
    </w:p>
    <w:p w14:paraId="619DA7CC" w14:textId="77777777" w:rsidR="00736D54" w:rsidRDefault="00736D54" w:rsidP="00F84143">
      <w:pPr>
        <w:pStyle w:val="BlockText"/>
        <w:spacing w:line="360" w:lineRule="auto"/>
        <w:jc w:val="lowKashida"/>
        <w:rPr>
          <w:rFonts w:ascii="Sakkal Majalla" w:hAnsi="Sakkal Majalla" w:cs="Sakkal Majalla"/>
          <w:b/>
          <w:bCs/>
          <w:sz w:val="28"/>
          <w:rtl/>
        </w:rPr>
      </w:pPr>
    </w:p>
    <w:p w14:paraId="0FE351B5" w14:textId="77777777" w:rsidR="00736D54" w:rsidRDefault="00736D54" w:rsidP="00F84143">
      <w:pPr>
        <w:pStyle w:val="BlockText"/>
        <w:spacing w:line="360" w:lineRule="auto"/>
        <w:jc w:val="lowKashida"/>
        <w:rPr>
          <w:rFonts w:ascii="Sakkal Majalla" w:hAnsi="Sakkal Majalla" w:cs="Sakkal Majalla"/>
          <w:b/>
          <w:bCs/>
          <w:sz w:val="28"/>
          <w:rtl/>
        </w:rPr>
      </w:pPr>
    </w:p>
    <w:p w14:paraId="1D88A4B6" w14:textId="77777777" w:rsidR="00736D54" w:rsidRDefault="00736D54" w:rsidP="00F84143">
      <w:pPr>
        <w:pStyle w:val="BlockText"/>
        <w:spacing w:line="360" w:lineRule="auto"/>
        <w:jc w:val="lowKashida"/>
        <w:rPr>
          <w:rFonts w:ascii="Sakkal Majalla" w:hAnsi="Sakkal Majalla" w:cs="Sakkal Majalla"/>
          <w:b/>
          <w:bCs/>
          <w:sz w:val="28"/>
          <w:rtl/>
        </w:rPr>
      </w:pPr>
    </w:p>
    <w:p w14:paraId="56EA3BA5" w14:textId="77777777" w:rsidR="00736D54" w:rsidRDefault="00736D54" w:rsidP="00F84143">
      <w:pPr>
        <w:pStyle w:val="BlockText"/>
        <w:spacing w:line="360" w:lineRule="auto"/>
        <w:jc w:val="lowKashida"/>
        <w:rPr>
          <w:rFonts w:ascii="Sakkal Majalla" w:hAnsi="Sakkal Majalla" w:cs="Sakkal Majalla"/>
          <w:b/>
          <w:bCs/>
          <w:sz w:val="28"/>
          <w:rtl/>
        </w:rPr>
      </w:pPr>
    </w:p>
    <w:p w14:paraId="3F0BA272" w14:textId="77777777" w:rsidR="00736D54" w:rsidRDefault="00736D54" w:rsidP="00F84143">
      <w:pPr>
        <w:pStyle w:val="BlockText"/>
        <w:spacing w:line="360" w:lineRule="auto"/>
        <w:jc w:val="lowKashida"/>
        <w:rPr>
          <w:rFonts w:ascii="Sakkal Majalla" w:hAnsi="Sakkal Majalla" w:cs="Sakkal Majalla"/>
          <w:b/>
          <w:bCs/>
          <w:sz w:val="28"/>
          <w:rtl/>
        </w:rPr>
      </w:pPr>
    </w:p>
    <w:p w14:paraId="1BCF4C20" w14:textId="33206393" w:rsidR="00241229" w:rsidRPr="00241229" w:rsidRDefault="00241229" w:rsidP="00241229">
      <w:pPr>
        <w:pStyle w:val="BlockText"/>
        <w:jc w:val="center"/>
        <w:rPr>
          <w:rFonts w:ascii="Sakkal Majalla" w:hAnsi="Sakkal Majalla" w:cs="Sakkal Majalla"/>
          <w:sz w:val="40"/>
          <w:szCs w:val="40"/>
          <w:rtl/>
          <w:lang w:bidi="ar-EG"/>
        </w:rPr>
      </w:pPr>
      <w:r w:rsidRPr="00241229">
        <w:rPr>
          <w:rFonts w:ascii="Sakkal Majalla" w:hAnsi="Sakkal Majalla" w:cs="Sakkal Majalla"/>
          <w:b/>
          <w:bCs/>
          <w:sz w:val="40"/>
          <w:szCs w:val="40"/>
          <w:rtl/>
          <w:lang w:bidi="ar-EG"/>
        </w:rPr>
        <w:t>مرفق</w:t>
      </w:r>
      <w:r w:rsidRPr="00241229">
        <w:rPr>
          <w:rFonts w:ascii="Sakkal Majalla" w:hAnsi="Sakkal Majalla" w:cs="Sakkal Majalla"/>
          <w:sz w:val="40"/>
          <w:szCs w:val="40"/>
          <w:rtl/>
          <w:lang w:bidi="ar-EG"/>
        </w:rPr>
        <w:t xml:space="preserve"> </w:t>
      </w:r>
      <w:r w:rsidRPr="00241229">
        <w:rPr>
          <w:rFonts w:ascii="Sakkal Majalla" w:hAnsi="Sakkal Majalla" w:cs="Sakkal Majalla"/>
          <w:b/>
          <w:bCs/>
          <w:sz w:val="40"/>
          <w:szCs w:val="40"/>
          <w:rtl/>
          <w:lang w:bidi="ar-EG"/>
        </w:rPr>
        <w:t>الاستبيان</w:t>
      </w:r>
    </w:p>
    <w:p w14:paraId="0AFADEB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السادة/السيدات المحترمين</w:t>
      </w:r>
    </w:p>
    <w:p w14:paraId="5540059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موظفي ومختصي هيئة الزكاة والضريبة والجمارك (</w:t>
      </w:r>
      <w:r w:rsidRPr="00241229">
        <w:rPr>
          <w:rFonts w:ascii="Sakkal Majalla" w:hAnsi="Sakkal Majalla" w:cs="Sakkal Majalla"/>
          <w:sz w:val="28"/>
          <w:szCs w:val="28"/>
        </w:rPr>
        <w:t>ZATCA</w:t>
      </w:r>
      <w:r w:rsidRPr="00241229">
        <w:rPr>
          <w:rFonts w:ascii="Sakkal Majalla" w:hAnsi="Sakkal Majalla" w:cs="Sakkal Majalla"/>
          <w:sz w:val="28"/>
          <w:szCs w:val="28"/>
          <w:rtl/>
        </w:rPr>
        <w:t>)</w:t>
      </w:r>
    </w:p>
    <w:p w14:paraId="1423B1F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السلام عليكم ورحمة الله وبركاته،  </w:t>
      </w:r>
    </w:p>
    <w:p w14:paraId="386F6CC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أنا باحث في برنامج دكتوراه بكلية إدارة الأعمال – جامعة ميدأوشن، أقوم حاليًا بإعداد رسالة بحثية بعنوان:  </w:t>
      </w:r>
    </w:p>
    <w:p w14:paraId="25AE0264" w14:textId="77777777" w:rsidR="00241229" w:rsidRPr="00241229" w:rsidRDefault="00241229" w:rsidP="00241229">
      <w:pPr>
        <w:bidi/>
        <w:spacing w:line="240" w:lineRule="auto"/>
        <w:jc w:val="center"/>
        <w:rPr>
          <w:rFonts w:ascii="Sakkal Majalla" w:hAnsi="Sakkal Majalla" w:cs="Sakkal Majalla"/>
          <w:b/>
          <w:bCs/>
          <w:sz w:val="28"/>
          <w:szCs w:val="28"/>
        </w:rPr>
      </w:pPr>
      <w:r w:rsidRPr="00241229">
        <w:rPr>
          <w:rFonts w:ascii="Sakkal Majalla" w:hAnsi="Sakkal Majalla" w:cs="Sakkal Majalla"/>
          <w:b/>
          <w:bCs/>
          <w:sz w:val="28"/>
          <w:szCs w:val="28"/>
          <w:rtl/>
        </w:rPr>
        <w:t>"دور التحول الرقمي في تعزيز الأمن وتيسير التجارة"</w:t>
      </w:r>
    </w:p>
    <w:p w14:paraId="1F9E6ADB" w14:textId="77777777" w:rsidR="00241229" w:rsidRPr="00241229" w:rsidRDefault="00241229" w:rsidP="00241229">
      <w:pPr>
        <w:bidi/>
        <w:spacing w:line="240" w:lineRule="auto"/>
        <w:jc w:val="center"/>
        <w:rPr>
          <w:rFonts w:ascii="Sakkal Majalla" w:hAnsi="Sakkal Majalla" w:cs="Sakkal Majalla"/>
          <w:b/>
          <w:bCs/>
          <w:sz w:val="28"/>
          <w:szCs w:val="28"/>
        </w:rPr>
      </w:pPr>
      <w:r w:rsidRPr="00241229">
        <w:rPr>
          <w:rFonts w:ascii="Sakkal Majalla" w:hAnsi="Sakkal Majalla" w:cs="Sakkal Majalla"/>
          <w:b/>
          <w:bCs/>
          <w:sz w:val="28"/>
          <w:szCs w:val="28"/>
          <w:rtl/>
        </w:rPr>
        <w:t>دراسة تطبيقية على هيئة الزكاة والضريبة والجمارك</w:t>
      </w:r>
    </w:p>
    <w:p w14:paraId="1B7613B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تهدف هذه الدراسة إلى استكشاف كيف يساهم التحول الرقمي (من خلال أبعاده الرئيسية: الأسس الرقمية، الابتكار الرقمي، والحوكمة الرقمية) في تعزيز الأمن السيبراني وحماية البيانات، وفي الوقت ذاته تيسير الإجراءات التجارية والجمركية والضريبية، وذلك في إطار رؤية المملكة العربية السعودية 2030 ومبادرات الهيئة الرقمية الحديثة (مثل الفوترة الإلكترونية، منصة فسح، إثراء، والنافذة الجمركية الموحدة).</w:t>
      </w:r>
    </w:p>
    <w:p w14:paraId="1BDE8016"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أهمية مشاركتكم</w:t>
      </w:r>
    </w:p>
    <w:p w14:paraId="41E49F7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إجاباتكم تمثل مصدرًا أساسيًا وموثوقًا لجمع البيانات الميدانية اللازمة لتحقيق أهداف الدراسة، حيث تعكس خبراتكم العملية الواقعية داخل الهيئة.  </w:t>
      </w:r>
    </w:p>
    <w:p w14:paraId="7AC6590A"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السرية والخصوصية</w:t>
      </w:r>
    </w:p>
    <w:p w14:paraId="2652D968" w14:textId="77777777" w:rsidR="00241229" w:rsidRPr="00241229" w:rsidRDefault="00241229" w:rsidP="00241229">
      <w:pPr>
        <w:pStyle w:val="ListParagraph"/>
        <w:numPr>
          <w:ilvl w:val="0"/>
          <w:numId w:val="287"/>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جميع الإجابات سرية تمامًا وتُستخدم لأغراض البحث العلمي فقط.  </w:t>
      </w:r>
    </w:p>
    <w:p w14:paraId="536B3F86" w14:textId="77777777" w:rsidR="00241229" w:rsidRPr="00241229" w:rsidRDefault="00241229" w:rsidP="00241229">
      <w:pPr>
        <w:pStyle w:val="ListParagraph"/>
        <w:numPr>
          <w:ilvl w:val="0"/>
          <w:numId w:val="287"/>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لن يتم نشر أي بيانات شخصية أو ربط الإجابات بأسماء أو مناصب محددة.  </w:t>
      </w:r>
    </w:p>
    <w:p w14:paraId="5470E23A" w14:textId="77777777" w:rsidR="00241229" w:rsidRPr="00241229" w:rsidRDefault="00241229" w:rsidP="00241229">
      <w:pPr>
        <w:pStyle w:val="ListParagraph"/>
        <w:numPr>
          <w:ilvl w:val="0"/>
          <w:numId w:val="287"/>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لن تُستخدم المعلومات إلا في سياق الرسالة الأكاديمية.  </w:t>
      </w:r>
    </w:p>
    <w:p w14:paraId="09A3B027"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تعليمات الإجابة</w:t>
      </w:r>
    </w:p>
    <w:p w14:paraId="67A97CE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الاستبيان يتكون من قسمين رئيسيين:  </w:t>
      </w:r>
    </w:p>
    <w:p w14:paraId="6C2A186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1. معلومات ديموغرافية وسلوكية (اختيار متعدد).  </w:t>
      </w:r>
    </w:p>
    <w:p w14:paraId="25F77A9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2. عبارات على مقياس ليكرت خماسي (محايد تمامًا).  </w:t>
      </w:r>
    </w:p>
    <w:p w14:paraId="2225E16C" w14:textId="77777777" w:rsidR="00241229" w:rsidRPr="00241229" w:rsidRDefault="00241229" w:rsidP="00241229">
      <w:pPr>
        <w:pStyle w:val="ListParagraph"/>
        <w:numPr>
          <w:ilvl w:val="0"/>
          <w:numId w:val="286"/>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الإجابة تستغرق حوالي 8–12 دقيقة فقط.  </w:t>
      </w:r>
    </w:p>
    <w:p w14:paraId="2245B06C" w14:textId="77777777" w:rsidR="00241229" w:rsidRPr="00241229" w:rsidRDefault="00241229" w:rsidP="00241229">
      <w:pPr>
        <w:pStyle w:val="ListParagraph"/>
        <w:numPr>
          <w:ilvl w:val="0"/>
          <w:numId w:val="286"/>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يرجى الإجابة بصدق ووفقًا لخبرتكم الفعلية، ولا توجد إجابة صحيحة أو خاطئة.  </w:t>
      </w:r>
    </w:p>
    <w:p w14:paraId="668DDDF3" w14:textId="77777777" w:rsidR="00241229" w:rsidRPr="00241229" w:rsidRDefault="00241229" w:rsidP="00241229">
      <w:pPr>
        <w:pStyle w:val="ListParagraph"/>
        <w:numPr>
          <w:ilvl w:val="0"/>
          <w:numId w:val="286"/>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إذا كان لديكم أي تعليق إضافي أو اقتراح، يوجد مساحة مفتوحة في نهاية الاستبيان.</w:t>
      </w:r>
    </w:p>
    <w:p w14:paraId="6B888E63" w14:textId="77777777" w:rsidR="00241229" w:rsidRPr="00241229" w:rsidRDefault="00241229" w:rsidP="00241229">
      <w:pPr>
        <w:bidi/>
        <w:spacing w:line="240" w:lineRule="auto"/>
        <w:rPr>
          <w:rFonts w:ascii="Sakkal Majalla" w:hAnsi="Sakkal Majalla" w:cs="Sakkal Majalla"/>
          <w:sz w:val="28"/>
          <w:szCs w:val="28"/>
        </w:rPr>
      </w:pPr>
    </w:p>
    <w:p w14:paraId="70CB675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نشكركم مسبقًا على وقتكم الثمين وتعاونكم الذي يُسهم في إثراء البحث العلمي ودعم تطوير الأداء الرقمي في هيئة الزكاة والضريبة والجمارك.</w:t>
      </w:r>
    </w:p>
    <w:p w14:paraId="464987A5"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مع خالص التقدير والاحترام  </w:t>
      </w:r>
    </w:p>
    <w:p w14:paraId="0DE5A095"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الجزء الأول: المعلومات الديموغرافية والسلوكية  </w:t>
      </w:r>
    </w:p>
    <w:p w14:paraId="3D4E2D3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 العمر:  </w:t>
      </w:r>
    </w:p>
    <w:p w14:paraId="7B29CD4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30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30-39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40-49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50 سنة فأكثر</w:t>
      </w:r>
    </w:p>
    <w:p w14:paraId="0DB51A6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 الجنس:  </w:t>
      </w:r>
    </w:p>
    <w:p w14:paraId="77C198D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ذكر</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أنثى</w:t>
      </w:r>
    </w:p>
    <w:p w14:paraId="591119E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 المؤهل العلمي:  </w:t>
      </w:r>
    </w:p>
    <w:p w14:paraId="001C0DA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دبلوم أو أقل</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بكالوريوس</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ماجستير</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دكتوراه</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شهادات مهنية متخصصة (مثل </w:t>
      </w:r>
      <w:r w:rsidRPr="00241229">
        <w:rPr>
          <w:rFonts w:ascii="Sakkal Majalla" w:hAnsi="Sakkal Majalla" w:cs="Sakkal Majalla"/>
          <w:sz w:val="28"/>
          <w:szCs w:val="28"/>
        </w:rPr>
        <w:t>CISSP</w:t>
      </w:r>
      <w:r w:rsidRPr="00241229">
        <w:rPr>
          <w:rFonts w:ascii="Sakkal Majalla" w:hAnsi="Sakkal Majalla" w:cs="Sakkal Majalla"/>
          <w:sz w:val="28"/>
          <w:szCs w:val="28"/>
          <w:rtl/>
        </w:rPr>
        <w:t xml:space="preserve">، </w:t>
      </w:r>
      <w:r w:rsidRPr="00241229">
        <w:rPr>
          <w:rFonts w:ascii="Sakkal Majalla" w:hAnsi="Sakkal Majalla" w:cs="Sakkal Majalla"/>
          <w:sz w:val="28"/>
          <w:szCs w:val="28"/>
        </w:rPr>
        <w:t>CISA</w:t>
      </w:r>
      <w:r w:rsidRPr="00241229">
        <w:rPr>
          <w:rFonts w:ascii="Sakkal Majalla" w:hAnsi="Sakkal Majalla" w:cs="Sakkal Majalla"/>
          <w:sz w:val="28"/>
          <w:szCs w:val="28"/>
          <w:rtl/>
        </w:rPr>
        <w:t xml:space="preserve">، </w:t>
      </w:r>
      <w:r w:rsidRPr="00241229">
        <w:rPr>
          <w:rFonts w:ascii="Sakkal Majalla" w:hAnsi="Sakkal Majalla" w:cs="Sakkal Majalla"/>
          <w:sz w:val="28"/>
          <w:szCs w:val="28"/>
        </w:rPr>
        <w:t>PMP</w:t>
      </w:r>
      <w:r w:rsidRPr="00241229">
        <w:rPr>
          <w:rFonts w:ascii="Sakkal Majalla" w:hAnsi="Sakkal Majalla" w:cs="Sakkal Majalla"/>
          <w:sz w:val="28"/>
          <w:szCs w:val="28"/>
          <w:rtl/>
        </w:rPr>
        <w:t>)</w:t>
      </w:r>
    </w:p>
    <w:p w14:paraId="4F43E1B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4. الوظيفة الحالية:  </w:t>
      </w:r>
    </w:p>
    <w:p w14:paraId="7A36BF2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موظف تنفيذي</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رئيس قسم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مدير إدارة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قيادي عليا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أخرى (يرجى التحديد) ...............</w:t>
      </w:r>
    </w:p>
    <w:p w14:paraId="214F768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5. عدد سنوات الخبرة في هيئة الزكاة والضريبة والجمارك (</w:t>
      </w:r>
      <w:r w:rsidRPr="00241229">
        <w:rPr>
          <w:rFonts w:ascii="Sakkal Majalla" w:hAnsi="Sakkal Majalla" w:cs="Sakkal Majalla"/>
          <w:sz w:val="28"/>
          <w:szCs w:val="28"/>
        </w:rPr>
        <w:t>ZATCA</w:t>
      </w:r>
      <w:r w:rsidRPr="00241229">
        <w:rPr>
          <w:rFonts w:ascii="Sakkal Majalla" w:hAnsi="Sakkal Majalla" w:cs="Sakkal Majalla"/>
          <w:sz w:val="28"/>
          <w:szCs w:val="28"/>
          <w:rtl/>
        </w:rPr>
        <w:t xml:space="preserve">):  </w:t>
      </w:r>
    </w:p>
    <w:p w14:paraId="008330E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5 سنوات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5-10 سنوات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11-15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أكثر من 15 سنة</w:t>
      </w:r>
    </w:p>
    <w:p w14:paraId="43F8AEB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6. الإدارة/القطاع الذي تعمل فيه حالياً داخل الهيئة:  </w:t>
      </w:r>
    </w:p>
    <w:p w14:paraId="365297CA" w14:textId="77777777" w:rsidR="00241229" w:rsidRPr="00241229" w:rsidRDefault="00241229" w:rsidP="00241229">
      <w:pPr>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الجمارك</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الضرائب</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الزكاة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تقنية المعلومات / الأمن السيبراني</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الإدارة العامة / الدعم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أخرى (حدد) ...............</w:t>
      </w:r>
    </w:p>
    <w:p w14:paraId="1D7B71E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7. مدى استخدامك اليومي للأنظمة والمنصات الرقمية في عملك الرسمي:  </w:t>
      </w:r>
    </w:p>
    <w:p w14:paraId="23CE2E2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نادرًا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أحيانًا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كثيرًا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يوميًا بشكل أساسي (أكثر من 6 ساعات)</w:t>
      </w:r>
    </w:p>
    <w:p w14:paraId="37CE13B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8. هل شاركت في برامج تدريبية رسمية حول التحول الرقمي أو الأمن السيبراني خلال الـ 3 سنوات الأخيرة؟ </w:t>
      </w:r>
    </w:p>
    <w:p w14:paraId="77D83DF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(عدد البرامج التقريبي: ........) 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p>
    <w:p w14:paraId="3DCEBDD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9. تقييمك الذاتي لمستوى مهاراتك الرقمية بشكل عام (استخدام الذكاء الاصطناعي، تحليل البيانات، المنصات الإلكترونية، إلخ):  </w:t>
      </w:r>
    </w:p>
    <w:p w14:paraId="3F55E47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ضعيف</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جيد</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ممتاز</w:t>
      </w:r>
    </w:p>
    <w:p w14:paraId="5D2A1FF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10. تكرار استخدامك لمنصات الهيئة الإلكترونية الرئيسية (مثل: فسح، إثراء، الفوترة الإلكترونية، نظام الإقرارات، النافذة الموحدة):  </w:t>
      </w:r>
    </w:p>
    <w:p w14:paraId="3418264F"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أسبوعيًا أو أقل</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يوميًا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عدة مرات يوميًا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أساس عملي اليومي</w:t>
      </w:r>
    </w:p>
    <w:p w14:paraId="1D8282A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11. مدى اهتمامك الشخصي بقضايا الأمن السيبراني والخصوصية في المعاملات التجارية والضريبية:  </w:t>
      </w:r>
    </w:p>
    <w:p w14:paraId="32DB5EB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منخفض</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مرتفع</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مرتفع جدًا</w:t>
      </w:r>
    </w:p>
    <w:p w14:paraId="24CC893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12. هل سبق لك التعرض لحادثة أمن سيبراني شخصية أو مهنية (مثل تصيد إلكتروني، فقدان بيانات، هجوم فدية)؟</w:t>
      </w:r>
    </w:p>
    <w:p w14:paraId="55B8BF7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 أعرف / غير متأكد</w:t>
      </w:r>
    </w:p>
    <w:p w14:paraId="2B9568A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13. في رأيك، ما مدى استعداد الهيئة حالياً لمواجهة التهديدات السيبرانية المتقدمة (من وجهة نظرك الشخصية)؟</w:t>
      </w:r>
    </w:p>
    <w:p w14:paraId="1DDCD29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ضعيف</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جيد</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ممتاز</w:t>
      </w:r>
    </w:p>
    <w:p w14:paraId="3B88CC3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14. كم ساعة تقريباً تقضيها يومياً في العمل على أجهزة/أنظمة رقمية تابعة للهيئة (بما في ذلك البريد الإلكتروني، المنصات، التقارير)؟</w:t>
      </w:r>
    </w:p>
    <w:p w14:paraId="0A0F4B8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4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4-6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7-9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أكثر من 9 ساعات</w:t>
      </w:r>
    </w:p>
    <w:p w14:paraId="07D0281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15. هل تتلقى تحديثات أو تنبيهات أمنية دورية من الهيئة (مثل نشرات توعية، تذكيرات بتغيير كلمة المرور، إرشادات أمنية)؟</w:t>
      </w:r>
    </w:p>
    <w:p w14:paraId="579EFC3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بانتظام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لكن نادرًا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 أتذكر</w:t>
      </w:r>
    </w:p>
    <w:p w14:paraId="093E4EC8"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ثانياً: تأثير التحول الرقمي على تعزيز الأمن</w:t>
      </w:r>
    </w:p>
    <w:p w14:paraId="3660F3B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مقياس ليكرت (5 نقاط)  </w:t>
      </w:r>
    </w:p>
    <w:p w14:paraId="4073BCD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5 = أوافق بشدة 4 =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 3 = </w:t>
      </w:r>
      <w:r w:rsidRPr="00241229">
        <w:rPr>
          <w:rFonts w:ascii="Sakkal Majalla" w:hAnsi="Sakkal Majalla" w:cs="Sakkal Majalla" w:hint="cs"/>
          <w:sz w:val="28"/>
          <w:szCs w:val="28"/>
          <w:rtl/>
        </w:rPr>
        <w:t>محايد</w:t>
      </w:r>
      <w:r w:rsidRPr="00241229">
        <w:rPr>
          <w:rFonts w:ascii="Sakkal Majalla" w:hAnsi="Sakkal Majalla" w:cs="Sakkal Majalla"/>
          <w:sz w:val="28"/>
          <w:szCs w:val="28"/>
          <w:rtl/>
        </w:rPr>
        <w:t xml:space="preserve"> 2 = </w:t>
      </w:r>
      <w:r w:rsidRPr="00241229">
        <w:rPr>
          <w:rFonts w:ascii="Sakkal Majalla" w:hAnsi="Sakkal Majalla" w:cs="Sakkal Majalla" w:hint="cs"/>
          <w:sz w:val="28"/>
          <w:szCs w:val="28"/>
          <w:rtl/>
        </w:rPr>
        <w:t>لا</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 1 = </w:t>
      </w:r>
      <w:r w:rsidRPr="00241229">
        <w:rPr>
          <w:rFonts w:ascii="Sakkal Majalla" w:hAnsi="Sakkal Majalla" w:cs="Sakkal Majalla" w:hint="cs"/>
          <w:sz w:val="28"/>
          <w:szCs w:val="28"/>
          <w:rtl/>
        </w:rPr>
        <w:t>لا</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بشدة</w:t>
      </w:r>
    </w:p>
    <w:p w14:paraId="3320E890"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الأول: الأمن السيبراني وحماية البيانات</w:t>
      </w:r>
    </w:p>
    <w:p w14:paraId="1086AF5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11. ترتبط الأسس الرقمية بتعزيز حماية البيانات من الاختراقات والتهديدات.  </w:t>
      </w:r>
    </w:p>
    <w:p w14:paraId="1A01339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 xml:space="preserve">12. يوجد علاقة بين الابتكار الرقمي والكشف المبكر عن الهجمات السيبرانية.  </w:t>
      </w:r>
    </w:p>
    <w:p w14:paraId="3B25B87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13. تعتقد أن الحوكمة الرقمية ترتبط بضمان خصوصية البيانات وحمايتها.</w:t>
      </w:r>
    </w:p>
    <w:p w14:paraId="3121BFE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الثاني: تحسين الرقابة الجمركية والحد من التهريب</w:t>
      </w:r>
    </w:p>
    <w:p w14:paraId="76CC26F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14. ترتبط الأسس الرقمية بتحسين سرعة ودقة فحص الشحنات.  </w:t>
      </w:r>
    </w:p>
    <w:p w14:paraId="10FF72A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15. يوجد علاقة بين الابتكار الرقمي وتحديد الشحنات ذات المخاطر بدقة أعلى.  </w:t>
      </w:r>
    </w:p>
    <w:p w14:paraId="32DD341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16. تعتقد أن الحوكمة الرقمية ترتبط بتعزيز الرقابة من خلال اللوائح والمعايير.</w:t>
      </w:r>
    </w:p>
    <w:p w14:paraId="6B238F7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الثالث: تعزيز التكامل والشراكات الاستراتيجية</w:t>
      </w:r>
    </w:p>
    <w:p w14:paraId="4E43F53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17. ترتبط الأسس الرقمية بتسهيل تبادل المعلومات الأمنية بين الجهات.  </w:t>
      </w:r>
    </w:p>
    <w:p w14:paraId="20240EB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18. يوجد علاقة بين الابتكار الرقمي وبناء شراكات دولية فعالة.  </w:t>
      </w:r>
    </w:p>
    <w:p w14:paraId="22561984"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19. تعتقد أن الحوكمة الرقمية ترتبط بتعزيز التنسيق والتعاون الاستراتيجي.</w:t>
      </w:r>
    </w:p>
    <w:p w14:paraId="5C1DA0E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الرابع: بناء ثقافة الوعي الأمني والكفاءات البشرية</w:t>
      </w:r>
    </w:p>
    <w:p w14:paraId="77B3012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20. ترتبط الأسس الرقمية بتطوير الكفاءات الرقمية للموظفين في مواجهة التهديدات.  </w:t>
      </w:r>
    </w:p>
    <w:p w14:paraId="2941293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21. يوجد علاقة بين الابتكار الرقمي ورفع مستوى الوعي الأمني لدى العاملين والمستفيدين.  </w:t>
      </w:r>
    </w:p>
    <w:p w14:paraId="43D5EA6F"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22. تعتقد أن الحوكمة الرقمية ترتبط ببناء ثقافة أمنية مستدامة داخل الهيئة.</w:t>
      </w:r>
    </w:p>
    <w:p w14:paraId="008F6F8E" w14:textId="77777777" w:rsidR="00241229" w:rsidRPr="00241229" w:rsidRDefault="00241229" w:rsidP="00241229">
      <w:pPr>
        <w:bidi/>
        <w:spacing w:line="240" w:lineRule="auto"/>
        <w:rPr>
          <w:rFonts w:ascii="Sakkal Majalla" w:hAnsi="Sakkal Majalla" w:cs="Sakkal Majalla"/>
          <w:b/>
          <w:bCs/>
          <w:sz w:val="28"/>
          <w:szCs w:val="28"/>
          <w:rtl/>
        </w:rPr>
      </w:pPr>
      <w:r w:rsidRPr="00241229">
        <w:rPr>
          <w:rFonts w:ascii="Sakkal Majalla" w:hAnsi="Sakkal Majalla" w:cs="Sakkal Majalla"/>
          <w:b/>
          <w:bCs/>
          <w:sz w:val="28"/>
          <w:szCs w:val="28"/>
          <w:rtl/>
        </w:rPr>
        <w:t>البعد الفرعي الخامس: البعد الاجتماعي والثقافي</w:t>
      </w:r>
    </w:p>
    <w:p w14:paraId="19B75C27" w14:textId="77777777" w:rsidR="00241229" w:rsidRPr="00241229" w:rsidRDefault="00241229" w:rsidP="00241229">
      <w:pPr>
        <w:tabs>
          <w:tab w:val="left" w:pos="972"/>
        </w:tabs>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 xml:space="preserve"> 23. ترتبط الأسس الرقمية بتطوير الكفاءات البشرية ورفع مستوى الوعي الأمني لدى العاملين</w:t>
      </w:r>
    </w:p>
    <w:p w14:paraId="2A56F52D" w14:textId="77777777" w:rsidR="00241229" w:rsidRPr="00241229" w:rsidRDefault="00241229" w:rsidP="00241229">
      <w:pPr>
        <w:tabs>
          <w:tab w:val="left" w:pos="972"/>
        </w:tabs>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24. يوجد علاقة بين الابتكار الرقمي وتغيير السلوكيات الاجتماعية تجاه استخدام التقنيات الآمنة</w:t>
      </w:r>
      <w:r w:rsidRPr="00241229">
        <w:rPr>
          <w:rFonts w:ascii="Sakkal Majalla" w:hAnsi="Sakkal Majalla" w:cs="Sakkal Majalla"/>
          <w:sz w:val="28"/>
          <w:szCs w:val="28"/>
        </w:rPr>
        <w:t xml:space="preserve">. </w:t>
      </w:r>
    </w:p>
    <w:p w14:paraId="65087661" w14:textId="77777777" w:rsidR="00241229" w:rsidRPr="00241229" w:rsidRDefault="00241229" w:rsidP="00241229">
      <w:pPr>
        <w:tabs>
          <w:tab w:val="left" w:pos="972"/>
        </w:tabs>
        <w:bidi/>
        <w:spacing w:line="240" w:lineRule="auto"/>
        <w:rPr>
          <w:rFonts w:ascii="Sakkal Majalla" w:hAnsi="Sakkal Majalla" w:cs="Sakkal Majalla"/>
          <w:sz w:val="28"/>
          <w:szCs w:val="28"/>
        </w:rPr>
      </w:pPr>
      <w:r w:rsidRPr="00241229">
        <w:rPr>
          <w:rFonts w:ascii="Sakkal Majalla" w:hAnsi="Sakkal Majalla" w:cs="Sakkal Majalla"/>
          <w:sz w:val="28"/>
          <w:szCs w:val="28"/>
          <w:rtl/>
        </w:rPr>
        <w:t>25. تعتقد أن الحوكمة الرقمية ترتبط ببناء ثقافة أمن سيبراني مستدامة داخل الهيئة والمجتمع المحيط</w:t>
      </w:r>
      <w:r w:rsidRPr="00241229">
        <w:rPr>
          <w:rFonts w:ascii="Sakkal Majalla" w:hAnsi="Sakkal Majalla" w:cs="Sakkal Majalla"/>
          <w:sz w:val="28"/>
          <w:szCs w:val="28"/>
        </w:rPr>
        <w:t>.</w:t>
      </w:r>
    </w:p>
    <w:p w14:paraId="10B2642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ثالثًا: تأثير التحول الرقمي على تيسير التجارة  </w:t>
      </w:r>
    </w:p>
    <w:p w14:paraId="26BA2150"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البعد الفرعي الأول: البعد الاقتصادي </w:t>
      </w:r>
    </w:p>
    <w:p w14:paraId="4D9CC36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26. ترتبط الأسس الرقمية بخفض تكاليف التجارة وزيادة الكفاءة الإنتاجية.  </w:t>
      </w:r>
    </w:p>
    <w:p w14:paraId="1201B30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27. يوجد علاقة بين الابتكار الرقمي وتسريع التدفقات التجارية.  </w:t>
      </w:r>
    </w:p>
    <w:p w14:paraId="663E784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28. تعتقد أن الحوكمة الرقمية ترتبط برفع الكفاءة الاقتصادية من خلال الشفافية.</w:t>
      </w:r>
    </w:p>
    <w:p w14:paraId="0599EA82"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lastRenderedPageBreak/>
        <w:t xml:space="preserve">البعد الفرعي الثاني: البعد التكنولوجي </w:t>
      </w:r>
    </w:p>
    <w:p w14:paraId="7CC62A1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29. ترتبط الأسس الرقمية بالتحول من الجمرك الورقي إلى الجمرك الذكي.  </w:t>
      </w:r>
    </w:p>
    <w:p w14:paraId="594A467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30. يوجد علاقة بين الابتكار الرقمي وتحسين سلاسل التوريد.  </w:t>
      </w:r>
    </w:p>
    <w:p w14:paraId="117D47F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31. تعتقد أن الحوكمة الرقمية ترتبط بتكامل المنصات التكنولوجية بين الجهات.</w:t>
      </w:r>
    </w:p>
    <w:p w14:paraId="0E3EFD04"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البعد الفرعي الثالث: البعد البيئي </w:t>
      </w:r>
    </w:p>
    <w:p w14:paraId="217D48F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32. ترتبط الأسس الرقمية بدعم التجارة الخضراء وتقليل البصمة الكربونية.  </w:t>
      </w:r>
    </w:p>
    <w:p w14:paraId="5E64DC4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33. يوجد علاقة بين الابتكار الرقمي وتطبيق حلول لوجستية بيئية مستدامة.  </w:t>
      </w:r>
    </w:p>
    <w:p w14:paraId="5E63AAF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34. تعتقد أن الحوكمة الرقمية ترتبط بتطبيق الاتفاقيات البيئية على التجارة.</w:t>
      </w:r>
    </w:p>
    <w:p w14:paraId="30A2CCC1"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الرابع: تقليل التهرب الضريبي وتعزيز الامتثال</w:t>
      </w:r>
    </w:p>
    <w:p w14:paraId="7095C7B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35. ترتبط الأسس الرقمية بتعزيز الشفافية وتقليل فرص التهرب الضريبي.  </w:t>
      </w:r>
    </w:p>
    <w:p w14:paraId="3D1C0C94"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36. يوجد علاقة بين الابتكار الرقمي والكشف المبكر عن التهرب.  </w:t>
      </w:r>
    </w:p>
    <w:p w14:paraId="781B53B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37. تعتقد أن الحوكمة الرقمية ترتبط برفع مستوى الامتثال الضريبي والجمركي.</w:t>
      </w:r>
    </w:p>
    <w:p w14:paraId="4B679E66" w14:textId="77777777" w:rsidR="00241229" w:rsidRPr="00241229" w:rsidRDefault="00241229" w:rsidP="00241229">
      <w:pPr>
        <w:bidi/>
        <w:spacing w:line="240" w:lineRule="auto"/>
        <w:rPr>
          <w:rFonts w:ascii="Sakkal Majalla" w:hAnsi="Sakkal Majalla" w:cs="Sakkal Majalla"/>
          <w:sz w:val="28"/>
          <w:szCs w:val="28"/>
        </w:rPr>
      </w:pPr>
    </w:p>
    <w:p w14:paraId="305DE8A0" w14:textId="77777777" w:rsidR="0043278C" w:rsidRPr="00241229" w:rsidRDefault="0043278C" w:rsidP="00241229">
      <w:pPr>
        <w:pStyle w:val="BlockText"/>
        <w:jc w:val="lowKashida"/>
        <w:rPr>
          <w:rtl/>
        </w:rPr>
      </w:pPr>
    </w:p>
    <w:p w14:paraId="7D014E82" w14:textId="77777777" w:rsidR="0043278C" w:rsidRPr="00BF5248" w:rsidRDefault="0043278C" w:rsidP="0043278C">
      <w:pPr>
        <w:bidi/>
        <w:spacing w:line="240" w:lineRule="auto"/>
        <w:ind w:firstLine="360"/>
        <w:jc w:val="lowKashida"/>
        <w:rPr>
          <w:rFonts w:ascii="Sakkal Majalla" w:hAnsi="Sakkal Majalla" w:cs="Sakkal Majalla"/>
          <w:sz w:val="28"/>
          <w:szCs w:val="28"/>
          <w:lang w:bidi="ar-EG"/>
        </w:rPr>
      </w:pPr>
    </w:p>
    <w:p w14:paraId="29B93A5C" w14:textId="0A22F93B" w:rsidR="00BF5248" w:rsidRPr="00BF5248" w:rsidRDefault="00BF5248" w:rsidP="007315C8">
      <w:pPr>
        <w:bidi/>
        <w:spacing w:line="240" w:lineRule="auto"/>
        <w:jc w:val="lowKashida"/>
        <w:rPr>
          <w:rFonts w:ascii="Sakkal Majalla" w:hAnsi="Sakkal Majalla" w:cs="Sakkal Majalla"/>
          <w:sz w:val="28"/>
          <w:szCs w:val="28"/>
          <w:lang w:bidi="ar-EG"/>
        </w:rPr>
      </w:pPr>
    </w:p>
    <w:p w14:paraId="31BD28C3" w14:textId="77777777" w:rsidR="00202E2A" w:rsidRPr="00BF5248" w:rsidRDefault="00202E2A" w:rsidP="00202E2A">
      <w:pPr>
        <w:bidi/>
        <w:spacing w:line="276" w:lineRule="auto"/>
        <w:jc w:val="lowKashida"/>
        <w:rPr>
          <w:rFonts w:asciiTheme="majorBidi" w:hAnsiTheme="majorBidi" w:cstheme="majorBidi"/>
          <w:sz w:val="28"/>
          <w:szCs w:val="28"/>
          <w:rtl/>
          <w:lang w:bidi="ar-EG"/>
        </w:rPr>
      </w:pPr>
    </w:p>
    <w:p w14:paraId="434D60B6" w14:textId="77777777" w:rsidR="00202E2A" w:rsidRDefault="00202E2A" w:rsidP="00202E2A">
      <w:pPr>
        <w:bidi/>
        <w:spacing w:line="276" w:lineRule="auto"/>
        <w:jc w:val="lowKashida"/>
        <w:rPr>
          <w:rFonts w:asciiTheme="majorBidi" w:hAnsiTheme="majorBidi" w:cstheme="majorBidi"/>
          <w:sz w:val="28"/>
          <w:szCs w:val="28"/>
          <w:rtl/>
          <w:lang w:bidi="ar-EG"/>
        </w:rPr>
      </w:pPr>
    </w:p>
    <w:p w14:paraId="05DF6198" w14:textId="77777777" w:rsidR="00202E2A" w:rsidRDefault="00202E2A" w:rsidP="00202E2A">
      <w:pPr>
        <w:bidi/>
        <w:spacing w:line="276" w:lineRule="auto"/>
        <w:jc w:val="lowKashida"/>
        <w:rPr>
          <w:rFonts w:asciiTheme="majorBidi" w:hAnsiTheme="majorBidi" w:cstheme="majorBidi"/>
          <w:sz w:val="28"/>
          <w:szCs w:val="28"/>
          <w:rtl/>
          <w:lang w:bidi="ar-EG"/>
        </w:rPr>
      </w:pPr>
    </w:p>
    <w:p w14:paraId="129CE68B" w14:textId="77777777" w:rsidR="0049372B" w:rsidRDefault="0049372B" w:rsidP="0049372B">
      <w:pPr>
        <w:bidi/>
        <w:spacing w:line="276" w:lineRule="auto"/>
        <w:jc w:val="lowKashida"/>
        <w:rPr>
          <w:rFonts w:asciiTheme="majorBidi" w:hAnsiTheme="majorBidi" w:cstheme="majorBidi"/>
          <w:sz w:val="28"/>
          <w:szCs w:val="28"/>
          <w:rtl/>
          <w:lang w:bidi="ar-EG"/>
        </w:rPr>
      </w:pPr>
    </w:p>
    <w:p w14:paraId="7F264F14" w14:textId="77777777" w:rsidR="0049372B" w:rsidRDefault="0049372B" w:rsidP="0049372B">
      <w:pPr>
        <w:bidi/>
        <w:spacing w:line="276" w:lineRule="auto"/>
        <w:jc w:val="lowKashida"/>
        <w:rPr>
          <w:rFonts w:asciiTheme="majorBidi" w:hAnsiTheme="majorBidi" w:cstheme="majorBidi"/>
          <w:sz w:val="28"/>
          <w:szCs w:val="28"/>
          <w:rtl/>
          <w:lang w:bidi="ar-EG"/>
        </w:rPr>
      </w:pPr>
    </w:p>
    <w:p w14:paraId="6020C0E4" w14:textId="77777777" w:rsidR="0049372B" w:rsidRDefault="0049372B" w:rsidP="0049372B">
      <w:pPr>
        <w:bidi/>
        <w:spacing w:line="276" w:lineRule="auto"/>
        <w:jc w:val="lowKashida"/>
        <w:rPr>
          <w:rFonts w:asciiTheme="majorBidi" w:hAnsiTheme="majorBidi" w:cstheme="majorBidi"/>
          <w:sz w:val="28"/>
          <w:szCs w:val="28"/>
          <w:lang w:bidi="ar-EG"/>
        </w:rPr>
      </w:pPr>
    </w:p>
    <w:p w14:paraId="010AAFBD" w14:textId="77777777" w:rsidR="00E31804" w:rsidRDefault="00E31804" w:rsidP="00E31804">
      <w:pPr>
        <w:bidi/>
        <w:spacing w:line="276" w:lineRule="auto"/>
        <w:jc w:val="lowKashida"/>
        <w:rPr>
          <w:rFonts w:asciiTheme="majorBidi" w:hAnsiTheme="majorBidi" w:cstheme="majorBidi"/>
          <w:sz w:val="28"/>
          <w:szCs w:val="28"/>
          <w:lang w:bidi="ar-EG"/>
        </w:rPr>
      </w:pPr>
    </w:p>
    <w:p w14:paraId="53F83675" w14:textId="77777777" w:rsidR="00E31804" w:rsidRDefault="00E31804" w:rsidP="00E31804">
      <w:pPr>
        <w:bidi/>
        <w:spacing w:line="276" w:lineRule="auto"/>
        <w:jc w:val="lowKashida"/>
        <w:rPr>
          <w:rFonts w:asciiTheme="majorBidi" w:hAnsiTheme="majorBidi" w:cstheme="majorBidi"/>
          <w:sz w:val="28"/>
          <w:szCs w:val="28"/>
          <w:lang w:bidi="ar-EG"/>
        </w:rPr>
      </w:pPr>
    </w:p>
    <w:p w14:paraId="2014FB2F" w14:textId="3BDB7FA2" w:rsidR="0083447C" w:rsidRPr="0019590B" w:rsidRDefault="0016276E"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lastRenderedPageBreak/>
        <w:t>ا</w:t>
      </w:r>
      <w:r w:rsidR="0083447C" w:rsidRPr="0019590B">
        <w:rPr>
          <w:rFonts w:asciiTheme="majorBidi" w:hAnsiTheme="majorBidi" w:cstheme="majorBidi"/>
          <w:b/>
          <w:bCs/>
          <w:color w:val="002060"/>
          <w:sz w:val="28"/>
          <w:szCs w:val="28"/>
          <w:rtl/>
          <w:lang w:bidi="ar-EG"/>
        </w:rPr>
        <w:t>لمراجع:</w:t>
      </w:r>
    </w:p>
    <w:p w14:paraId="4752E80A" w14:textId="6D186F9A"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العربية:</w:t>
      </w:r>
    </w:p>
    <w:p w14:paraId="4A6A31C5" w14:textId="77777777" w:rsidR="00680C4A" w:rsidRPr="007C444D" w:rsidRDefault="00680C4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السعودية للبيانات والذكاء الاصطناعي</w:t>
      </w:r>
      <w:r w:rsidRPr="007C444D">
        <w:rPr>
          <w:rFonts w:ascii="Times New Roman" w:eastAsia="Times New Roman" w:hAnsi="Times New Roman" w:cs="Times New Roman"/>
          <w:sz w:val="24"/>
          <w:szCs w:val="24"/>
        </w:rPr>
        <w:t xml:space="preserve"> (SDAIA). (2023). </w:t>
      </w:r>
      <w:r w:rsidRPr="007C444D">
        <w:rPr>
          <w:rFonts w:ascii="Times New Roman" w:eastAsia="Times New Roman" w:hAnsi="Times New Roman" w:cs="Times New Roman"/>
          <w:sz w:val="24"/>
          <w:szCs w:val="24"/>
          <w:rtl/>
        </w:rPr>
        <w:t>التحول الرقمي في المملكة العربية السعودية: الإطار الاستراتيجي والتحديات [تقرير إلكتروني]. الرياض، المملكة العربية السعودية</w:t>
      </w:r>
      <w:r w:rsidRPr="007C444D">
        <w:rPr>
          <w:rFonts w:ascii="Times New Roman" w:eastAsia="Times New Roman" w:hAnsi="Times New Roman" w:cs="Times New Roman"/>
          <w:sz w:val="24"/>
          <w:szCs w:val="24"/>
        </w:rPr>
        <w:t>. https://www.sdaia.gov.sa</w:t>
      </w:r>
    </w:p>
    <w:p w14:paraId="5E7E5916" w14:textId="6B81BFD0"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للجمارك السعودية.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التقرير السنوي لتحسين الإجراءات الجمركية. تم الاسترداد من</w:t>
      </w:r>
      <w:r w:rsidRPr="007C444D">
        <w:rPr>
          <w:rFonts w:ascii="Times New Roman" w:eastAsia="Times New Roman" w:hAnsi="Times New Roman" w:cs="Times New Roman"/>
          <w:sz w:val="24"/>
          <w:szCs w:val="24"/>
        </w:rPr>
        <w:t xml:space="preserve"> https://www.customs.gov.sa</w:t>
      </w:r>
    </w:p>
    <w:p w14:paraId="334B6A1B" w14:textId="37483BE2"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للإحصاء.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الأداء الاقتصادي للصادرات غير النفطية. تم الاسترداد من</w:t>
      </w:r>
      <w:r w:rsidRPr="007C444D">
        <w:rPr>
          <w:rFonts w:ascii="Times New Roman" w:eastAsia="Times New Roman" w:hAnsi="Times New Roman" w:cs="Times New Roman"/>
          <w:sz w:val="24"/>
          <w:szCs w:val="24"/>
        </w:rPr>
        <w:t xml:space="preserve"> https://www.stats.gov.sa</w:t>
      </w:r>
    </w:p>
    <w:p w14:paraId="0D2EA63D" w14:textId="448AA598" w:rsidR="00377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الوطنية للأمن السيبراني.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التقرير الاستراتيجي لحماية البنى التحتية الحيوية. تم الاسترداد من</w:t>
      </w:r>
      <w:r w:rsidRPr="007C444D">
        <w:rPr>
          <w:rFonts w:ascii="Times New Roman" w:eastAsia="Times New Roman" w:hAnsi="Times New Roman" w:cs="Times New Roman"/>
          <w:sz w:val="24"/>
          <w:szCs w:val="24"/>
        </w:rPr>
        <w:t xml:space="preserve"> </w:t>
      </w:r>
      <w:hyperlink r:id="rId14" w:history="1">
        <w:r w:rsidR="007C444D" w:rsidRPr="00630538">
          <w:rPr>
            <w:rStyle w:val="Hyperlink"/>
            <w:rFonts w:ascii="Times New Roman" w:eastAsia="Times New Roman" w:hAnsi="Times New Roman" w:cs="Times New Roman"/>
            <w:sz w:val="24"/>
            <w:szCs w:val="24"/>
          </w:rPr>
          <w:t>https://www.nca.gov.sa</w:t>
        </w:r>
      </w:hyperlink>
    </w:p>
    <w:p w14:paraId="529D891C" w14:textId="77777777" w:rsidR="007C444D" w:rsidRPr="007C444D" w:rsidRDefault="007C444D">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بسام، ع. س. (2022). التحول الرقمي وأثره على أداء المؤسسات الخدمية الحكومية. مجلة البحوث المالية والتجارية, 414192(1), 721-729.</w:t>
      </w:r>
    </w:p>
    <w:p w14:paraId="37357EBE" w14:textId="003337F4"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منظمة التجارة العالمية.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تنفيذ اتفاقية تيسير التجارة</w:t>
      </w:r>
      <w:r w:rsidRPr="007C444D">
        <w:rPr>
          <w:rFonts w:ascii="Times New Roman" w:eastAsia="Times New Roman" w:hAnsi="Times New Roman" w:cs="Times New Roman"/>
          <w:sz w:val="24"/>
          <w:szCs w:val="24"/>
        </w:rPr>
        <w:t xml:space="preserve"> (TFA) </w:t>
      </w:r>
      <w:r w:rsidRPr="007C444D">
        <w:rPr>
          <w:rFonts w:ascii="Times New Roman" w:eastAsia="Times New Roman" w:hAnsi="Times New Roman" w:cs="Times New Roman"/>
          <w:sz w:val="24"/>
          <w:szCs w:val="24"/>
          <w:rtl/>
        </w:rPr>
        <w:t>في المملكة العربية السعودية. تم الاسترداد من</w:t>
      </w:r>
      <w:r w:rsidRPr="007C444D">
        <w:rPr>
          <w:rFonts w:ascii="Times New Roman" w:eastAsia="Times New Roman" w:hAnsi="Times New Roman" w:cs="Times New Roman"/>
          <w:sz w:val="24"/>
          <w:szCs w:val="24"/>
        </w:rPr>
        <w:t xml:space="preserve"> </w:t>
      </w:r>
      <w:hyperlink r:id="rId15" w:history="1">
        <w:r w:rsidR="006F2446" w:rsidRPr="007C444D">
          <w:rPr>
            <w:rStyle w:val="Hyperlink"/>
            <w:rFonts w:ascii="Times New Roman" w:eastAsia="Times New Roman" w:hAnsi="Times New Roman" w:cs="Times New Roman"/>
            <w:sz w:val="24"/>
            <w:szCs w:val="24"/>
          </w:rPr>
          <w:t>https://www.wto.org</w:t>
        </w:r>
      </w:hyperlink>
    </w:p>
    <w:p w14:paraId="10DE642A" w14:textId="18D69FFB"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العامة للجمارك </w:t>
      </w:r>
      <w:r w:rsidRPr="007C444D">
        <w:rPr>
          <w:rFonts w:ascii="Times New Roman" w:eastAsia="Times New Roman" w:hAnsi="Times New Roman" w:cs="Times New Roman"/>
          <w:sz w:val="24"/>
          <w:szCs w:val="24"/>
        </w:rPr>
        <w:t>(ZATCA)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التقرير السنوي لأداء الخدمات الجمركية. تم الاسترداد من </w:t>
      </w:r>
      <w:r w:rsidRPr="007C444D">
        <w:rPr>
          <w:rFonts w:ascii="Times New Roman" w:eastAsia="Times New Roman" w:hAnsi="Times New Roman" w:cs="Times New Roman"/>
          <w:sz w:val="24"/>
          <w:szCs w:val="24"/>
        </w:rPr>
        <w:t>https://zatca.gov.sa</w:t>
      </w:r>
    </w:p>
    <w:p w14:paraId="50F258B8" w14:textId="48CA97E4"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الوطنية للأمن السيبراني </w:t>
      </w:r>
      <w:r w:rsidRPr="007C444D">
        <w:rPr>
          <w:rFonts w:ascii="Times New Roman" w:eastAsia="Times New Roman" w:hAnsi="Times New Roman" w:cs="Times New Roman"/>
          <w:sz w:val="24"/>
          <w:szCs w:val="24"/>
        </w:rPr>
        <w:t>(NCA)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xml:space="preserve">). التقرير الاستراتيجي للأمن السيبراني. تم الاسترداد من </w:t>
      </w:r>
      <w:r w:rsidRPr="007C444D">
        <w:rPr>
          <w:rFonts w:ascii="Times New Roman" w:eastAsia="Times New Roman" w:hAnsi="Times New Roman" w:cs="Times New Roman"/>
          <w:sz w:val="24"/>
          <w:szCs w:val="24"/>
        </w:rPr>
        <w:t>https://nca.gov.sa</w:t>
      </w:r>
    </w:p>
    <w:p w14:paraId="1C5F2541" w14:textId="08BA99A5"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البنك الدولي.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مؤشر أداء الخدمات اللوجستية (</w:t>
      </w:r>
      <w:r w:rsidRPr="007C444D">
        <w:rPr>
          <w:rFonts w:ascii="Times New Roman" w:eastAsia="Times New Roman" w:hAnsi="Times New Roman" w:cs="Times New Roman"/>
          <w:sz w:val="24"/>
          <w:szCs w:val="24"/>
        </w:rPr>
        <w:t>LPI</w:t>
      </w:r>
      <w:r w:rsidRPr="007C444D">
        <w:rPr>
          <w:rFonts w:ascii="Times New Roman" w:eastAsia="Times New Roman" w:hAnsi="Times New Roman" w:cs="Times New Roman"/>
          <w:sz w:val="24"/>
          <w:szCs w:val="24"/>
          <w:rtl/>
        </w:rPr>
        <w:t xml:space="preserve">). تم الاسترداد من </w:t>
      </w:r>
      <w:r w:rsidRPr="007C444D">
        <w:rPr>
          <w:rFonts w:ascii="Times New Roman" w:eastAsia="Times New Roman" w:hAnsi="Times New Roman" w:cs="Times New Roman"/>
          <w:sz w:val="24"/>
          <w:szCs w:val="24"/>
        </w:rPr>
        <w:t>https://worldbank.org</w:t>
      </w:r>
    </w:p>
    <w:p w14:paraId="694CC3A5" w14:textId="0C10C271"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وزارة الاستثمار </w:t>
      </w:r>
      <w:r w:rsidRPr="007C444D">
        <w:rPr>
          <w:rFonts w:ascii="Times New Roman" w:eastAsia="Times New Roman" w:hAnsi="Times New Roman" w:cs="Times New Roman"/>
          <w:sz w:val="24"/>
          <w:szCs w:val="24"/>
        </w:rPr>
        <w:t>(MISA)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تدفقات الاستثمار الأجنبي المباشر. تم الاسترداد من </w:t>
      </w:r>
      <w:r w:rsidRPr="007C444D">
        <w:rPr>
          <w:rFonts w:ascii="Times New Roman" w:eastAsia="Times New Roman" w:hAnsi="Times New Roman" w:cs="Times New Roman"/>
          <w:sz w:val="24"/>
          <w:szCs w:val="24"/>
        </w:rPr>
        <w:t>https://misa.gov.sa</w:t>
      </w:r>
    </w:p>
    <w:p w14:paraId="080D64DC" w14:textId="2CC0B11E" w:rsidR="00202E2A"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منظمة التجارة العالمية </w:t>
      </w:r>
      <w:r w:rsidRPr="007C444D">
        <w:rPr>
          <w:rFonts w:ascii="Times New Roman" w:eastAsia="Times New Roman" w:hAnsi="Times New Roman" w:cs="Times New Roman"/>
          <w:sz w:val="24"/>
          <w:szCs w:val="24"/>
        </w:rPr>
        <w:t>(WTO)</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تنفيذ اتفاقية تيسير التجارة. تم الاسترداد من </w:t>
      </w:r>
      <w:hyperlink r:id="rId16" w:history="1">
        <w:r w:rsidR="00A829B1" w:rsidRPr="007C444D">
          <w:rPr>
            <w:rStyle w:val="Hyperlink"/>
            <w:rFonts w:ascii="Times New Roman" w:eastAsia="Times New Roman" w:hAnsi="Times New Roman" w:cs="Times New Roman"/>
            <w:sz w:val="24"/>
            <w:szCs w:val="24"/>
          </w:rPr>
          <w:t>https://wto.org</w:t>
        </w:r>
      </w:hyperlink>
      <w:r w:rsidR="00A829B1" w:rsidRPr="007C444D">
        <w:rPr>
          <w:rFonts w:ascii="Times New Roman" w:eastAsia="Times New Roman" w:hAnsi="Times New Roman" w:cs="Times New Roman"/>
          <w:sz w:val="24"/>
          <w:szCs w:val="24"/>
          <w:rtl/>
        </w:rPr>
        <w:t>.</w:t>
      </w:r>
    </w:p>
    <w:p w14:paraId="493068DC" w14:textId="13081733" w:rsidR="00A829B1" w:rsidRPr="007C444D" w:rsidRDefault="00A829B1">
      <w:pPr>
        <w:pStyle w:val="ds-markdown-paragraph"/>
        <w:numPr>
          <w:ilvl w:val="0"/>
          <w:numId w:val="17"/>
        </w:numPr>
        <w:shd w:val="clear" w:color="auto" w:fill="FFFFFF"/>
        <w:bidi/>
        <w:spacing w:before="206" w:beforeAutospacing="0" w:after="206" w:afterAutospacing="0"/>
        <w:rPr>
          <w:color w:val="404040"/>
        </w:rPr>
      </w:pPr>
      <w:r w:rsidRPr="007C444D">
        <w:rPr>
          <w:rtl/>
        </w:rPr>
        <w:t>المركز الوطني للتنافسية</w:t>
      </w:r>
      <w:r w:rsidRPr="007C444D">
        <w:t>. (2023). </w:t>
      </w:r>
      <w:r w:rsidRPr="007C444D">
        <w:rPr>
          <w:rtl/>
        </w:rPr>
        <w:t>تقرير</w:t>
      </w:r>
      <w:r w:rsidRPr="007C444D">
        <w:rPr>
          <w:i/>
          <w:iCs/>
          <w:rtl/>
        </w:rPr>
        <w:t xml:space="preserve"> مؤشر التنافسية العالمية للمملكة العربية السعودية: تحسين بيئة الأعمال والخدمات الجمركية</w:t>
      </w:r>
      <w:r w:rsidRPr="007C444D">
        <w:rPr>
          <w:rtl/>
        </w:rPr>
        <w:t> </w:t>
      </w:r>
      <w:r w:rsidRPr="007C444D">
        <w:t xml:space="preserve">[Global Competitiveness Index Report for Saudi Arabia: Improving </w:t>
      </w:r>
      <w:r w:rsidRPr="007C444D">
        <w:rPr>
          <w:rtl/>
        </w:rPr>
        <w:t xml:space="preserve"> </w:t>
      </w:r>
      <w:r w:rsidRPr="007C444D">
        <w:t xml:space="preserve">Business Environment and Customs Services].  </w:t>
      </w:r>
      <w:r w:rsidRPr="007C444D">
        <w:rPr>
          <w:rtl/>
        </w:rPr>
        <w:t>الهيئة السعودية للتنافسية</w:t>
      </w:r>
      <w:r w:rsidRPr="007C444D">
        <w:t>. </w:t>
      </w:r>
      <w:hyperlink r:id="rId17" w:tgtFrame="_blank" w:history="1">
        <w:r w:rsidRPr="007C444D">
          <w:t>https://www.ncc.gov.sa</w:t>
        </w:r>
      </w:hyperlink>
    </w:p>
    <w:p w14:paraId="12220881" w14:textId="77777777"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هيئة الحكومة الرقمية. (2024). المملكة تحقق أفضل نتيجة تاريخية وتتقدم 12 مرتبة عالمياً في مؤشر الأمم المتحدة لتطور الحكومة الإلكترونية. (بيان صحفي).</w:t>
      </w:r>
    </w:p>
    <w:p w14:paraId="7810DA3E" w14:textId="44497CE4"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هيئة الحكومة الرقمية. (2025). ارتفاع مؤشر نضج التجربة الرقمية لعام 2025 إلى (86.71%). (تقرير دوري).</w:t>
      </w:r>
    </w:p>
    <w:p w14:paraId="7DEC5DB5" w14:textId="1F7B8727"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الأجنبية:</w:t>
      </w:r>
    </w:p>
    <w:p w14:paraId="4CA40E7D" w14:textId="0207311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N., &amp; Qureshi, K. (2025). Cyber resilience in ZATCA: Post-quantum encryption readiness. </w:t>
      </w:r>
      <w:r w:rsidRPr="00D04085">
        <w:rPr>
          <w:rFonts w:asciiTheme="majorBidi" w:hAnsiTheme="majorBidi"/>
          <w:rtl/>
        </w:rPr>
        <w:t>مجلة أمن المعلومات, 31</w:t>
      </w:r>
      <w:r w:rsidRPr="00D04085">
        <w:rPr>
          <w:rFonts w:asciiTheme="majorBidi" w:hAnsiTheme="majorBidi" w:cstheme="majorBidi"/>
        </w:rPr>
        <w:t>(2).</w:t>
      </w:r>
    </w:p>
    <w:p w14:paraId="63F7BABB" w14:textId="68F407E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T. D. (2025). </w:t>
      </w:r>
      <w:r w:rsidRPr="00D04085">
        <w:rPr>
          <w:rFonts w:asciiTheme="majorBidi" w:hAnsiTheme="majorBidi"/>
          <w:rtl/>
        </w:rPr>
        <w:t>دور الحكومة الرقمية ودعمها للجهات الحكومية في تبني التقنيات الناشئة</w:t>
      </w:r>
      <w:r w:rsidRPr="00D04085">
        <w:rPr>
          <w:rFonts w:asciiTheme="majorBidi" w:hAnsiTheme="majorBidi" w:cstheme="majorBidi"/>
        </w:rPr>
        <w:t xml:space="preserve"> [Unpublished master’s thesis]. King Abdulaziz University.</w:t>
      </w:r>
    </w:p>
    <w:p w14:paraId="321E8889" w14:textId="74E088C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Almarzooqi, H., El Sayed, H., &amp; Al Marzooqi, F. (2021). Digital transformation in the public sector: Critical success factors and challenges in the UAE. Government Information Quarterly, 38(2), Article 101569.</w:t>
      </w:r>
    </w:p>
    <w:p w14:paraId="42D827B6" w14:textId="64ED2DC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 xml:space="preserve">Al-Mashari, M., &amp; Al-Somali, S. (2023). Digital transformation and trade facilitation: A secure cross-border e-commerce framework in GCC. </w:t>
      </w:r>
      <w:r w:rsidRPr="00D04085">
        <w:rPr>
          <w:rFonts w:asciiTheme="majorBidi" w:hAnsiTheme="majorBidi"/>
          <w:rtl/>
        </w:rPr>
        <w:t>مجلة الإدارة والأعمال الخليجية, 19(4), 112–135</w:t>
      </w:r>
      <w:r w:rsidRPr="00D04085">
        <w:rPr>
          <w:rFonts w:asciiTheme="majorBidi" w:hAnsiTheme="majorBidi" w:cstheme="majorBidi"/>
        </w:rPr>
        <w:t>.</w:t>
      </w:r>
    </w:p>
    <w:p w14:paraId="17D1DFD1" w14:textId="7A02680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Al-Mashari, M., &amp; Al-Somali, S. A. (2019). Digital transformation and trade facilitation: A framework for secure cross-border e-commerce. Journal of Global Information Technology Management, 22(3), 123–140.</w:t>
      </w:r>
    </w:p>
    <w:p w14:paraId="09152B2A" w14:textId="495E105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Alotaibi, S., &amp; Alghamdi, A. (2024). Impact of e-invoicing phase 2 on trade security and revenue assurance: ZATCA field study. </w:t>
      </w:r>
      <w:r w:rsidRPr="00D04085">
        <w:rPr>
          <w:rFonts w:asciiTheme="majorBidi" w:hAnsiTheme="majorBidi"/>
          <w:rtl/>
        </w:rPr>
        <w:t>مجلة البحوث المالية والضريبية, 28, 45–68</w:t>
      </w:r>
      <w:r w:rsidRPr="00D04085">
        <w:rPr>
          <w:rFonts w:asciiTheme="majorBidi" w:hAnsiTheme="majorBidi" w:cstheme="majorBidi"/>
        </w:rPr>
        <w:t>.</w:t>
      </w:r>
    </w:p>
    <w:p w14:paraId="1871DA5F" w14:textId="38A4AE6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American Journal of Research in Social Sciences and Humanities. (2025). </w:t>
      </w:r>
      <w:r w:rsidRPr="00D04085">
        <w:rPr>
          <w:rFonts w:asciiTheme="majorBidi" w:hAnsiTheme="majorBidi"/>
          <w:rtl/>
        </w:rPr>
        <w:t>التحول الرقمي كمسار لتحقيق حكومة فاعلة ضمن مستهدفات الرؤية 2030</w:t>
      </w:r>
      <w:r w:rsidRPr="00D04085">
        <w:rPr>
          <w:rFonts w:asciiTheme="majorBidi" w:hAnsiTheme="majorBidi" w:cstheme="majorBidi"/>
        </w:rPr>
        <w:t>. American Journal of Research in Social Sciences and Humanities, 12(3).</w:t>
      </w:r>
    </w:p>
    <w:p w14:paraId="596131DB" w14:textId="20C330A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Brown, A. (2021). Digital transformation in customs procedures: Enhancing efficiency and transparency. Journal of International Trade and Customs, 15(3), 45–67.</w:t>
      </w:r>
    </w:p>
    <w:p w14:paraId="41E1D816" w14:textId="7B2E804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Chirumalla, K. (2021). The role of digital capabilities in digital transformation: A dynamic capabilities perspective. Journal of Strategic Information Systems, 30(2), Article 101660.</w:t>
      </w:r>
    </w:p>
    <w:p w14:paraId="7383DAD3" w14:textId="41FD4A6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Deloitte. (2020). Cybersecurity as a catalyst for innovation. Deloitte Insights.</w:t>
      </w:r>
    </w:p>
    <w:p w14:paraId="47837395" w14:textId="2D1BA33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Digital Government Authority. (2025). Digital experience maturity index 2025: ZATCA at 93.25%.</w:t>
      </w:r>
    </w:p>
    <w:p w14:paraId="2F56392C" w14:textId="18503F8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Dong, B. (2023). Digital transformation in public sector: A perspective on evolutionary e-government. Journal of Public Administration and Technology, 12(3), 45–60.</w:t>
      </w:r>
    </w:p>
    <w:p w14:paraId="2AF8BEC9" w14:textId="59A1144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EY Saudi Arabia &amp; ZATCA. (2025). E-invoicing wave 23-25: Compliance impact on customs efficiency &amp; cyber resilience. EY KSA &amp; ZATCA.</w:t>
      </w:r>
    </w:p>
    <w:p w14:paraId="7DE532D3" w14:textId="1392B3A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Garcia, R. (2020). Economic digitalization and investment growth. Springer.</w:t>
      </w:r>
    </w:p>
    <w:p w14:paraId="74D540D3" w14:textId="7E03677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Gartner. (2024). The Gartner digital transformation roadmap: From initiative to strategy. Gartner Inc.</w:t>
      </w:r>
    </w:p>
    <w:p w14:paraId="051BEE2B" w14:textId="63A5DB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Gupta, S., &amp; Kumar, V. (2020). Blockchain technology and its role in enhancing supply chain security. International Journal of Production Economics, 228, 107831.</w:t>
      </w:r>
    </w:p>
    <w:p w14:paraId="7E06EA27" w14:textId="6CCFC95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Hanelt, A., Bohnsack, R., Marz, D., &amp; Antunes, J. (2021). A systematic review of the literature on digital transformation: Insights and future research avenues. European Journal of Information Systems, 30(3), 290–310.</w:t>
      </w:r>
    </w:p>
    <w:p w14:paraId="617B1CF3" w14:textId="7A6C2B3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Hermann, F., Schermann, J., &amp; Matt, C. (2024). Understanding digital transformation in the public sector: A process perspective. Information Systems Frontiers, 26(1), 1–17.</w:t>
      </w:r>
    </w:p>
    <w:p w14:paraId="1F218C87" w14:textId="22C25C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International Monetary Fund (IMF). (2022). Digital fiscal solutions for emerging economies. IMF Working Paper.</w:t>
      </w:r>
    </w:p>
    <w:p w14:paraId="050F6B9E" w14:textId="155084C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Johnson, P. (2019). Tax compliance and transparency in the digital age. Cambridge University Press.</w:t>
      </w:r>
    </w:p>
    <w:p w14:paraId="10124B48" w14:textId="4D02AE2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H., et al. (2022). AI-powered customs surveillance: A case study of Singapore. International Journal of Logistics Management, 34(2), 112–130.</w:t>
      </w:r>
    </w:p>
    <w:p w14:paraId="028A54F4" w14:textId="7ADF91D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&amp; et al. (2024). UNI-PASS 2.0: AI-driven risk management in Korean customs. Journal of Customs and Trade, 15, 89–112.</w:t>
      </w:r>
    </w:p>
    <w:p w14:paraId="148FB105" w14:textId="6DEABB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Lee, H., &amp; Kim, Y. (2021). Artificial intelligence in customs automation: A case study of South Korea’s trade security. Computers &amp; Security, 104, 102212.</w:t>
      </w:r>
    </w:p>
    <w:p w14:paraId="36EAD629" w14:textId="6119822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Marx, M., Pletzer, L., &amp; Schermann, J. (2021). Dynamic capabilities and digital maturity: A moderated mediation model. Strategic Management Journal, 42(6), 1145–1172.</w:t>
      </w:r>
    </w:p>
    <w:p w14:paraId="6B2909B5" w14:textId="2AA40A8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Matt, C., Hess, T., &amp; Benlian, A. (2015). Digital transformation strategies. Business &amp; Information Systems Engineering, 57(5), 339–343.</w:t>
      </w:r>
    </w:p>
    <w:p w14:paraId="11EE6BC1" w14:textId="7234EB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McKinsey &amp; Company. (2022). The six dimensions of digital transformation: A roadmap for public sector organizations. https://www.mckinsey.com/digital-transformation</w:t>
      </w:r>
    </w:p>
    <w:p w14:paraId="18ADAEC2" w14:textId="7349125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Megrel, A., &amp; et al. (2018). User engagement in digital transformation: The role of dynamic capabilities and co-creation. International Journal of Digital Innovation, 7(4), 22–38.</w:t>
      </w:r>
    </w:p>
    <w:p w14:paraId="1A1BF50C" w14:textId="55516F1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Muehlburger, M., &amp; et al. (2019). Digital transformation as a driver of value chain reconfiguration. Strategic Management Journal, 40(5), 789–812.</w:t>
      </w:r>
    </w:p>
    <w:p w14:paraId="09697204" w14:textId="301FBD51"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(2018). Digital trade: Promoting security and trust in global value chains. OECD Publishing.</w:t>
      </w:r>
    </w:p>
    <w:p w14:paraId="32FC9D3D" w14:textId="4CAE9ED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(2020). OECD digital economy outlook 2020. OECD Publishing.</w:t>
      </w:r>
    </w:p>
    <w:p w14:paraId="5E803961" w14:textId="6210BD2D"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(2025). Measuring the digital transformation: A roadmap. OECD Publishing.</w:t>
      </w:r>
    </w:p>
    <w:p w14:paraId="6D44D195" w14:textId="37365917"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Pagero &amp; UnifiedPost Group. (2025). CTC e-invoicing in GCC &amp; ASEAN: ZATCA vs FTA vs Singapore customs. Gartner Magic Quadrant.</w:t>
      </w:r>
    </w:p>
    <w:p w14:paraId="3DD32A97" w14:textId="3B0496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PwC. (2023). AI-driven tax compliance: Global trends and case studies. PwC Insights.</w:t>
      </w:r>
    </w:p>
    <w:p w14:paraId="03BDD5C7" w14:textId="3A1C1EA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Rogers, E. M. (2003). Diffusion of innovations (5th ed.). Free Press.</w:t>
      </w:r>
    </w:p>
    <w:p w14:paraId="4A20CB51" w14:textId="63D1F23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Rukanova, B., &amp; et al. (2025). Digital customs in EU single window: Security vs speed trade-off. European Commission.</w:t>
      </w:r>
    </w:p>
    <w:p w14:paraId="078DEBEC" w14:textId="0846359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A. (2020). Enhancing cybersecurity for digital government transformation. Government Information Quarterly, 36(2), 300–312.</w:t>
      </w:r>
    </w:p>
    <w:p w14:paraId="27AFFCC8" w14:textId="0882ED9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J. (2018). Artificial intelligence in customs and border security. Routledge.</w:t>
      </w:r>
    </w:p>
    <w:p w14:paraId="6E6F272D" w14:textId="21E1D73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United Nations. (2023). Sustainable trade practices: A pathway to SDGs. UNCTAD Publications.</w:t>
      </w:r>
    </w:p>
    <w:p w14:paraId="3E367086" w14:textId="7009D0D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Vial, G. (2019). Understanding digital transformation: A review and a research agenda. The Journal of Strategic Information Systems, 28(2), 118–144.</w:t>
      </w:r>
    </w:p>
    <w:p w14:paraId="7212CEE9" w14:textId="439C9D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Westerman, G., &amp; Bonnet, D. (2023). The digital master: How to thrive in the next decade of digital business. MIT Press.</w:t>
      </w:r>
    </w:p>
    <w:p w14:paraId="39B89E35" w14:textId="6A4474E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Bank. (2020). World development report 2020: Trading for development in the age of global value chains. World Bank Publications.</w:t>
      </w:r>
    </w:p>
    <w:p w14:paraId="08295998" w14:textId="5F46403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(2023). Customs 4.0: A roadmap for digital transformation. WCO Publications.</w:t>
      </w:r>
    </w:p>
    <w:p w14:paraId="10447D7F" w14:textId="251AB74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(2025). Customs 4.0 global benchmark: ZATCA case study &amp; virtual reality training. WCO Publications.</w:t>
      </w:r>
    </w:p>
    <w:p w14:paraId="5B3D0EBA" w14:textId="77777777"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Zakat, Tax and Customs Authority. (2021). Annual report on digital transformation initiatives. Riyadh: Zakat, Tax and Customs Authority</w:t>
      </w:r>
    </w:p>
    <w:p w14:paraId="0976CC3E" w14:textId="3261566B" w:rsidR="00202E2A"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ZATCA. (2025). From Fasah to smart customs 2030: AI &amp; blockchain roadmap. ZATCA.</w:t>
      </w:r>
    </w:p>
    <w:sectPr w:rsidR="00202E2A" w:rsidRPr="00D04085" w:rsidSect="00125506">
      <w:footerReference w:type="default" r:id="rId18"/>
      <w:pgSz w:w="12240" w:h="15840"/>
      <w:pgMar w:top="1440" w:right="1440" w:bottom="1440" w:left="1440" w:header="720" w:footer="720" w:gutter="0"/>
      <w:pgBorders w:offsetFrom="page">
        <w:top w:val="threeDEngrave" w:sz="24" w:space="24" w:color="ACB9CA" w:themeColor="text2" w:themeTint="66"/>
        <w:left w:val="threeDEngrave" w:sz="24" w:space="24" w:color="ACB9CA" w:themeColor="text2" w:themeTint="66"/>
        <w:bottom w:val="threeDEngrave" w:sz="24" w:space="24" w:color="ACB9CA" w:themeColor="text2" w:themeTint="66"/>
        <w:right w:val="threeDEngrave" w:sz="24" w:space="24" w:color="ACB9CA" w:themeColor="text2"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8FB29" w14:textId="77777777" w:rsidR="00CF1ED9" w:rsidRDefault="00CF1ED9" w:rsidP="003B58F9">
      <w:pPr>
        <w:spacing w:after="0" w:line="240" w:lineRule="auto"/>
      </w:pPr>
      <w:r>
        <w:separator/>
      </w:r>
    </w:p>
  </w:endnote>
  <w:endnote w:type="continuationSeparator" w:id="0">
    <w:p w14:paraId="415739E3" w14:textId="77777777" w:rsidR="00CF1ED9" w:rsidRDefault="00CF1ED9" w:rsidP="003B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Broken">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9B12" w14:textId="6855F36E" w:rsidR="003B58F9" w:rsidRDefault="00B40D1C">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4468AE09" wp14:editId="7EE95865">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468AE09" id="Group 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58F125AF" wp14:editId="363F825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125AF" id="Rectangle 8"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D4B9C" w14:textId="77777777" w:rsidR="00CF1ED9" w:rsidRDefault="00CF1ED9" w:rsidP="003B58F9">
      <w:pPr>
        <w:spacing w:after="0" w:line="240" w:lineRule="auto"/>
      </w:pPr>
      <w:r>
        <w:separator/>
      </w:r>
    </w:p>
  </w:footnote>
  <w:footnote w:type="continuationSeparator" w:id="0">
    <w:p w14:paraId="6664E063" w14:textId="77777777" w:rsidR="00CF1ED9" w:rsidRDefault="00CF1ED9" w:rsidP="003B5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844"/>
    <w:multiLevelType w:val="multilevel"/>
    <w:tmpl w:val="CCC4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81DEB"/>
    <w:multiLevelType w:val="multilevel"/>
    <w:tmpl w:val="103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40542"/>
    <w:multiLevelType w:val="hybridMultilevel"/>
    <w:tmpl w:val="A8149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612FCE"/>
    <w:multiLevelType w:val="multilevel"/>
    <w:tmpl w:val="46A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B6F24"/>
    <w:multiLevelType w:val="multilevel"/>
    <w:tmpl w:val="15B0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7C0F42"/>
    <w:multiLevelType w:val="multilevel"/>
    <w:tmpl w:val="2F808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9A046E"/>
    <w:multiLevelType w:val="multilevel"/>
    <w:tmpl w:val="23A4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BF0B86"/>
    <w:multiLevelType w:val="multilevel"/>
    <w:tmpl w:val="894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C5677E"/>
    <w:multiLevelType w:val="multilevel"/>
    <w:tmpl w:val="4A70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563B80"/>
    <w:multiLevelType w:val="multilevel"/>
    <w:tmpl w:val="CDB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C252E5"/>
    <w:multiLevelType w:val="multilevel"/>
    <w:tmpl w:val="AAB2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A600EC"/>
    <w:multiLevelType w:val="multilevel"/>
    <w:tmpl w:val="1454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B551A"/>
    <w:multiLevelType w:val="multilevel"/>
    <w:tmpl w:val="19AE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263CD9"/>
    <w:multiLevelType w:val="hybridMultilevel"/>
    <w:tmpl w:val="6E38E1C8"/>
    <w:lvl w:ilvl="0" w:tplc="BDFAD40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4" w15:restartNumberingAfterBreak="0">
    <w:nsid w:val="05E66768"/>
    <w:multiLevelType w:val="hybridMultilevel"/>
    <w:tmpl w:val="B508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61D2B1B"/>
    <w:multiLevelType w:val="hybridMultilevel"/>
    <w:tmpl w:val="C0AE46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62021E4"/>
    <w:multiLevelType w:val="multilevel"/>
    <w:tmpl w:val="B31A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2F45CC"/>
    <w:multiLevelType w:val="multilevel"/>
    <w:tmpl w:val="A6C07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73D6A5E"/>
    <w:multiLevelType w:val="multilevel"/>
    <w:tmpl w:val="B3E2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416DEE"/>
    <w:multiLevelType w:val="multilevel"/>
    <w:tmpl w:val="4954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D1D79"/>
    <w:multiLevelType w:val="hybridMultilevel"/>
    <w:tmpl w:val="E6FCEB38"/>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 w15:restartNumberingAfterBreak="0">
    <w:nsid w:val="082514A6"/>
    <w:multiLevelType w:val="multilevel"/>
    <w:tmpl w:val="8D1CED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456363"/>
    <w:multiLevelType w:val="multilevel"/>
    <w:tmpl w:val="1036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053977"/>
    <w:multiLevelType w:val="multilevel"/>
    <w:tmpl w:val="9FE8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1177AD"/>
    <w:multiLevelType w:val="multilevel"/>
    <w:tmpl w:val="0166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93B511B"/>
    <w:multiLevelType w:val="multilevel"/>
    <w:tmpl w:val="971EF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96C296D"/>
    <w:multiLevelType w:val="hybridMultilevel"/>
    <w:tmpl w:val="FF0298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A079AF"/>
    <w:multiLevelType w:val="multilevel"/>
    <w:tmpl w:val="1E4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B174E4"/>
    <w:multiLevelType w:val="multilevel"/>
    <w:tmpl w:val="4210E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9C61E8D"/>
    <w:multiLevelType w:val="multilevel"/>
    <w:tmpl w:val="5E94E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760C46"/>
    <w:multiLevelType w:val="multilevel"/>
    <w:tmpl w:val="F9B409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B086D3B"/>
    <w:multiLevelType w:val="hybridMultilevel"/>
    <w:tmpl w:val="ABDC9E3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2" w15:restartNumberingAfterBreak="0">
    <w:nsid w:val="0BAA26A3"/>
    <w:multiLevelType w:val="hybridMultilevel"/>
    <w:tmpl w:val="C45446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0C596090"/>
    <w:multiLevelType w:val="hybridMultilevel"/>
    <w:tmpl w:val="716C9634"/>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34" w15:restartNumberingAfterBreak="0">
    <w:nsid w:val="0C5B2D42"/>
    <w:multiLevelType w:val="multilevel"/>
    <w:tmpl w:val="1714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094C58"/>
    <w:multiLevelType w:val="multilevel"/>
    <w:tmpl w:val="2706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A100A2"/>
    <w:multiLevelType w:val="multilevel"/>
    <w:tmpl w:val="F698A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E515BFF"/>
    <w:multiLevelType w:val="hybridMultilevel"/>
    <w:tmpl w:val="FA8A2278"/>
    <w:lvl w:ilvl="0" w:tplc="428C753E">
      <w:numFmt w:val="bullet"/>
      <w:lvlText w:val="-"/>
      <w:lvlJc w:val="left"/>
      <w:pPr>
        <w:ind w:left="746" w:hanging="360"/>
      </w:pPr>
      <w:rPr>
        <w:rFonts w:ascii="Arial" w:eastAsia="Times New Roman" w:hAnsi="Arial" w:cs="Aria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8" w15:restartNumberingAfterBreak="0">
    <w:nsid w:val="0E5D48F2"/>
    <w:multiLevelType w:val="multilevel"/>
    <w:tmpl w:val="4DD8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E34115"/>
    <w:multiLevelType w:val="hybridMultilevel"/>
    <w:tmpl w:val="00366A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EEE7AFB"/>
    <w:multiLevelType w:val="multilevel"/>
    <w:tmpl w:val="873EE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F804853"/>
    <w:multiLevelType w:val="multilevel"/>
    <w:tmpl w:val="B482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C11C1E"/>
    <w:multiLevelType w:val="multilevel"/>
    <w:tmpl w:val="AFFCC37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C47F32"/>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F84A10"/>
    <w:multiLevelType w:val="multilevel"/>
    <w:tmpl w:val="0494E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FFB5161"/>
    <w:multiLevelType w:val="multilevel"/>
    <w:tmpl w:val="656EB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22184F"/>
    <w:multiLevelType w:val="hybridMultilevel"/>
    <w:tmpl w:val="4AEA8576"/>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47" w15:restartNumberingAfterBreak="0">
    <w:nsid w:val="106065BF"/>
    <w:multiLevelType w:val="multilevel"/>
    <w:tmpl w:val="509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355F20"/>
    <w:multiLevelType w:val="multilevel"/>
    <w:tmpl w:val="465CAC20"/>
    <w:lvl w:ilvl="0">
      <w:numFmt w:val="bullet"/>
      <w:lvlText w:val="-"/>
      <w:lvlJc w:val="left"/>
      <w:pPr>
        <w:tabs>
          <w:tab w:val="num" w:pos="720"/>
        </w:tabs>
        <w:ind w:left="720" w:hanging="360"/>
      </w:pPr>
      <w:rPr>
        <w:rFonts w:ascii="Sakkal Majalla" w:eastAsiaTheme="minorHAnsi"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1452B95"/>
    <w:multiLevelType w:val="hybridMultilevel"/>
    <w:tmpl w:val="5DA86EB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11AB0895"/>
    <w:multiLevelType w:val="multilevel"/>
    <w:tmpl w:val="C944C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FA68BC"/>
    <w:multiLevelType w:val="hybridMultilevel"/>
    <w:tmpl w:val="AB9043D6"/>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52" w15:restartNumberingAfterBreak="0">
    <w:nsid w:val="12156697"/>
    <w:multiLevelType w:val="multilevel"/>
    <w:tmpl w:val="1108C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2B01874"/>
    <w:multiLevelType w:val="hybridMultilevel"/>
    <w:tmpl w:val="BF385918"/>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54" w15:restartNumberingAfterBreak="0">
    <w:nsid w:val="133F1DC8"/>
    <w:multiLevelType w:val="hybridMultilevel"/>
    <w:tmpl w:val="6ABE9D6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5" w15:restartNumberingAfterBreak="0">
    <w:nsid w:val="13F70D1F"/>
    <w:multiLevelType w:val="multilevel"/>
    <w:tmpl w:val="3D82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110CC5"/>
    <w:multiLevelType w:val="hybridMultilevel"/>
    <w:tmpl w:val="6DEEC6EA"/>
    <w:lvl w:ilvl="0" w:tplc="AB14C7C6">
      <w:start w:val="1"/>
      <w:numFmt w:val="bullet"/>
      <w:lvlText w:val=""/>
      <w:lvlJc w:val="left"/>
      <w:pPr>
        <w:tabs>
          <w:tab w:val="num" w:pos="720"/>
        </w:tabs>
        <w:ind w:left="720" w:hanging="360"/>
      </w:pPr>
      <w:rPr>
        <w:rFonts w:ascii="Symbol" w:hAnsi="Symbol" w:hint="default"/>
        <w:lang w:bidi="ar-EG"/>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4C04DBD"/>
    <w:multiLevelType w:val="hybridMultilevel"/>
    <w:tmpl w:val="8E82A82A"/>
    <w:lvl w:ilvl="0" w:tplc="CFE61F1C">
      <w:start w:val="1"/>
      <w:numFmt w:val="decimal"/>
      <w:lvlText w:val="%1."/>
      <w:lvlJc w:val="left"/>
      <w:pPr>
        <w:tabs>
          <w:tab w:val="num" w:pos="1800"/>
        </w:tabs>
        <w:ind w:left="1800" w:hanging="360"/>
      </w:pPr>
      <w:rPr>
        <w:lang w:bidi="ar-EG"/>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8" w15:restartNumberingAfterBreak="0">
    <w:nsid w:val="154C34E0"/>
    <w:multiLevelType w:val="multilevel"/>
    <w:tmpl w:val="5874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A469A8"/>
    <w:multiLevelType w:val="multilevel"/>
    <w:tmpl w:val="4EE65E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5C7347E"/>
    <w:multiLevelType w:val="multilevel"/>
    <w:tmpl w:val="1276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5FF17FC"/>
    <w:multiLevelType w:val="multilevel"/>
    <w:tmpl w:val="CC7C5E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64D4CC4"/>
    <w:multiLevelType w:val="multilevel"/>
    <w:tmpl w:val="5C689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66143EF"/>
    <w:multiLevelType w:val="multilevel"/>
    <w:tmpl w:val="E664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7024D81"/>
    <w:multiLevelType w:val="multilevel"/>
    <w:tmpl w:val="16FE82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757099B"/>
    <w:multiLevelType w:val="multilevel"/>
    <w:tmpl w:val="65C0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8202BA4"/>
    <w:multiLevelType w:val="multilevel"/>
    <w:tmpl w:val="F5C0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8896A34"/>
    <w:multiLevelType w:val="multilevel"/>
    <w:tmpl w:val="31B67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8D73213"/>
    <w:multiLevelType w:val="multilevel"/>
    <w:tmpl w:val="668210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9161960"/>
    <w:multiLevelType w:val="hybridMultilevel"/>
    <w:tmpl w:val="5F08207A"/>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94222E4"/>
    <w:multiLevelType w:val="multilevel"/>
    <w:tmpl w:val="99D4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9ED6168"/>
    <w:multiLevelType w:val="hybridMultilevel"/>
    <w:tmpl w:val="6C3223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1A124BBE"/>
    <w:multiLevelType w:val="multilevel"/>
    <w:tmpl w:val="115A19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B3570DE"/>
    <w:multiLevelType w:val="multilevel"/>
    <w:tmpl w:val="8906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B3746A2"/>
    <w:multiLevelType w:val="multilevel"/>
    <w:tmpl w:val="EEA61D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BEC5674"/>
    <w:multiLevelType w:val="multilevel"/>
    <w:tmpl w:val="E92850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C186996"/>
    <w:multiLevelType w:val="hybridMultilevel"/>
    <w:tmpl w:val="19623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CA40070"/>
    <w:multiLevelType w:val="multilevel"/>
    <w:tmpl w:val="11B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CD26ADD"/>
    <w:multiLevelType w:val="multilevel"/>
    <w:tmpl w:val="D7F6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D033805"/>
    <w:multiLevelType w:val="hybridMultilevel"/>
    <w:tmpl w:val="4F50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D1E41E2"/>
    <w:multiLevelType w:val="hybridMultilevel"/>
    <w:tmpl w:val="675467CE"/>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D4F0728"/>
    <w:multiLevelType w:val="hybridMultilevel"/>
    <w:tmpl w:val="EE2CD0DA"/>
    <w:lvl w:ilvl="0" w:tplc="A5B6DD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1DD409BF"/>
    <w:multiLevelType w:val="multilevel"/>
    <w:tmpl w:val="13FC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E501A18"/>
    <w:multiLevelType w:val="multilevel"/>
    <w:tmpl w:val="A2FC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E9C0651"/>
    <w:multiLevelType w:val="multilevel"/>
    <w:tmpl w:val="EA402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EB076C6"/>
    <w:multiLevelType w:val="hybridMultilevel"/>
    <w:tmpl w:val="BAD06EB8"/>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86" w15:restartNumberingAfterBreak="0">
    <w:nsid w:val="200C28B1"/>
    <w:multiLevelType w:val="multilevel"/>
    <w:tmpl w:val="73D652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14878A3"/>
    <w:multiLevelType w:val="hybridMultilevel"/>
    <w:tmpl w:val="52922250"/>
    <w:lvl w:ilvl="0" w:tplc="D96EF204">
      <w:start w:val="1"/>
      <w:numFmt w:val="decimal"/>
      <w:lvlText w:val="%1-"/>
      <w:lvlJc w:val="left"/>
      <w:pPr>
        <w:ind w:left="648" w:hanging="360"/>
      </w:pPr>
      <w:rPr>
        <w:rFonts w:hint="default"/>
        <w:b/>
        <w:bCs/>
        <w:i/>
        <w:sz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8" w15:restartNumberingAfterBreak="0">
    <w:nsid w:val="217D72F2"/>
    <w:multiLevelType w:val="hybridMultilevel"/>
    <w:tmpl w:val="EBD01C3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9" w15:restartNumberingAfterBreak="0">
    <w:nsid w:val="21B55088"/>
    <w:multiLevelType w:val="multilevel"/>
    <w:tmpl w:val="5696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1BE36BA"/>
    <w:multiLevelType w:val="multilevel"/>
    <w:tmpl w:val="5ADE7D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2BC4F67"/>
    <w:multiLevelType w:val="multilevel"/>
    <w:tmpl w:val="D2968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2CE70CE"/>
    <w:multiLevelType w:val="multilevel"/>
    <w:tmpl w:val="A3CA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4131DDF"/>
    <w:multiLevelType w:val="multilevel"/>
    <w:tmpl w:val="3D4011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494700C"/>
    <w:multiLevelType w:val="multilevel"/>
    <w:tmpl w:val="9788C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5381379"/>
    <w:multiLevelType w:val="hybridMultilevel"/>
    <w:tmpl w:val="8C7E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5F67C7D"/>
    <w:multiLevelType w:val="multilevel"/>
    <w:tmpl w:val="41CC81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6537974"/>
    <w:multiLevelType w:val="multilevel"/>
    <w:tmpl w:val="5524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66B1CB1"/>
    <w:multiLevelType w:val="multilevel"/>
    <w:tmpl w:val="BBAC3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75825EF"/>
    <w:multiLevelType w:val="multilevel"/>
    <w:tmpl w:val="D23C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7D71492"/>
    <w:multiLevelType w:val="hybridMultilevel"/>
    <w:tmpl w:val="DC1CBE6E"/>
    <w:lvl w:ilvl="0" w:tplc="FA761A52">
      <w:start w:val="1"/>
      <w:numFmt w:val="decimal"/>
      <w:lvlText w:val="%1-"/>
      <w:lvlJc w:val="left"/>
      <w:pPr>
        <w:ind w:left="643" w:hanging="360"/>
      </w:pPr>
      <w:rPr>
        <w:rFonts w:hint="default"/>
        <w:lang w:bidi="ar-EG"/>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1" w15:restartNumberingAfterBreak="0">
    <w:nsid w:val="287E20CD"/>
    <w:multiLevelType w:val="multilevel"/>
    <w:tmpl w:val="2E36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A581D98"/>
    <w:multiLevelType w:val="multilevel"/>
    <w:tmpl w:val="0BB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A623643"/>
    <w:multiLevelType w:val="hybridMultilevel"/>
    <w:tmpl w:val="E862B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A715B00"/>
    <w:multiLevelType w:val="multilevel"/>
    <w:tmpl w:val="CB12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A9D0E93"/>
    <w:multiLevelType w:val="hybridMultilevel"/>
    <w:tmpl w:val="A8F89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B2E4BFF"/>
    <w:multiLevelType w:val="multilevel"/>
    <w:tmpl w:val="7862A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B98119C"/>
    <w:multiLevelType w:val="multilevel"/>
    <w:tmpl w:val="61C6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C4A599C"/>
    <w:multiLevelType w:val="hybridMultilevel"/>
    <w:tmpl w:val="0812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C8641DD"/>
    <w:multiLevelType w:val="multilevel"/>
    <w:tmpl w:val="00E2428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CD6427C"/>
    <w:multiLevelType w:val="hybridMultilevel"/>
    <w:tmpl w:val="A38244F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11" w15:restartNumberingAfterBreak="0">
    <w:nsid w:val="2E193597"/>
    <w:multiLevelType w:val="multilevel"/>
    <w:tmpl w:val="2230C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E301353"/>
    <w:multiLevelType w:val="multilevel"/>
    <w:tmpl w:val="045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E5A5C25"/>
    <w:multiLevelType w:val="multilevel"/>
    <w:tmpl w:val="8E56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E7C1280"/>
    <w:multiLevelType w:val="hybridMultilevel"/>
    <w:tmpl w:val="CB54D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EFF23B7"/>
    <w:multiLevelType w:val="hybridMultilevel"/>
    <w:tmpl w:val="FD00A32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2FBE4F87"/>
    <w:multiLevelType w:val="multilevel"/>
    <w:tmpl w:val="5EA8D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FEC1E70"/>
    <w:multiLevelType w:val="hybridMultilevel"/>
    <w:tmpl w:val="F25EB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073580E"/>
    <w:multiLevelType w:val="hybridMultilevel"/>
    <w:tmpl w:val="69AEB24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30747EAB"/>
    <w:multiLevelType w:val="hybridMultilevel"/>
    <w:tmpl w:val="E6029506"/>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120" w15:restartNumberingAfterBreak="0">
    <w:nsid w:val="30817D17"/>
    <w:multiLevelType w:val="multilevel"/>
    <w:tmpl w:val="4DDC54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0AC01AE"/>
    <w:multiLevelType w:val="hybridMultilevel"/>
    <w:tmpl w:val="4FB4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0B13CD8"/>
    <w:multiLevelType w:val="multilevel"/>
    <w:tmpl w:val="61C091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1666085"/>
    <w:multiLevelType w:val="multilevel"/>
    <w:tmpl w:val="18F2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1B1117B"/>
    <w:multiLevelType w:val="hybridMultilevel"/>
    <w:tmpl w:val="BA94342E"/>
    <w:lvl w:ilvl="0" w:tplc="0409000F">
      <w:start w:val="1"/>
      <w:numFmt w:val="decimal"/>
      <w:lvlText w:val="%1."/>
      <w:lvlJc w:val="left"/>
      <w:pPr>
        <w:ind w:left="795" w:hanging="360"/>
      </w:pPr>
      <w:rPr>
        <w:rFonts w:hint="default"/>
        <w:lang w:bidi="ar-EG"/>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5" w15:restartNumberingAfterBreak="0">
    <w:nsid w:val="31C925A6"/>
    <w:multiLevelType w:val="multilevel"/>
    <w:tmpl w:val="02A48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2EB14E7"/>
    <w:multiLevelType w:val="hybridMultilevel"/>
    <w:tmpl w:val="06FC6B4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7" w15:restartNumberingAfterBreak="0">
    <w:nsid w:val="339A50E1"/>
    <w:multiLevelType w:val="hybridMultilevel"/>
    <w:tmpl w:val="109A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33B01BD8"/>
    <w:multiLevelType w:val="hybridMultilevel"/>
    <w:tmpl w:val="C66830BC"/>
    <w:lvl w:ilvl="0" w:tplc="4A120666">
      <w:numFmt w:val="bullet"/>
      <w:lvlText w:val="-"/>
      <w:lvlJc w:val="left"/>
      <w:pPr>
        <w:ind w:left="1008" w:hanging="360"/>
      </w:pPr>
      <w:rPr>
        <w:rFonts w:ascii="Sakkal Majalla" w:eastAsiaTheme="minorHAnsi" w:hAnsi="Sakkal Majalla" w:cs="Sakkal Majalla"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9" w15:restartNumberingAfterBreak="0">
    <w:nsid w:val="34473810"/>
    <w:multiLevelType w:val="hybridMultilevel"/>
    <w:tmpl w:val="526EAC92"/>
    <w:lvl w:ilvl="0" w:tplc="F3D0F416">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4EC7A43"/>
    <w:multiLevelType w:val="hybridMultilevel"/>
    <w:tmpl w:val="45A08814"/>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31" w15:restartNumberingAfterBreak="0">
    <w:nsid w:val="34FD1D9D"/>
    <w:multiLevelType w:val="multilevel"/>
    <w:tmpl w:val="7D7A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53F00D9"/>
    <w:multiLevelType w:val="multilevel"/>
    <w:tmpl w:val="49968A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56D4AEB"/>
    <w:multiLevelType w:val="multilevel"/>
    <w:tmpl w:val="9D80A4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5B64F21"/>
    <w:multiLevelType w:val="multilevel"/>
    <w:tmpl w:val="BCC41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5D903FF"/>
    <w:multiLevelType w:val="hybridMultilevel"/>
    <w:tmpl w:val="DA1CF0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35E41740"/>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5F94321"/>
    <w:multiLevelType w:val="hybridMultilevel"/>
    <w:tmpl w:val="304C3B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64C42DB"/>
    <w:multiLevelType w:val="multilevel"/>
    <w:tmpl w:val="283282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67035A0"/>
    <w:multiLevelType w:val="hybridMultilevel"/>
    <w:tmpl w:val="F926C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15:restartNumberingAfterBreak="0">
    <w:nsid w:val="368723BB"/>
    <w:multiLevelType w:val="multilevel"/>
    <w:tmpl w:val="F7F65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68A1CBF"/>
    <w:multiLevelType w:val="hybridMultilevel"/>
    <w:tmpl w:val="38C69728"/>
    <w:lvl w:ilvl="0" w:tplc="436632EA">
      <w:start w:val="1"/>
      <w:numFmt w:val="decimal"/>
      <w:lvlText w:val="%1-"/>
      <w:lvlJc w:val="left"/>
      <w:pPr>
        <w:ind w:left="643" w:hanging="360"/>
      </w:pPr>
      <w:rPr>
        <w:rFonts w:hint="default"/>
        <w:b/>
        <w:bCs w:val="0"/>
        <w:i/>
        <w:iCs w:val="0"/>
        <w:sz w:val="24"/>
        <w:szCs w:val="28"/>
        <w:lang w:bidi="ar-EG"/>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2" w15:restartNumberingAfterBreak="0">
    <w:nsid w:val="36B85D87"/>
    <w:multiLevelType w:val="multilevel"/>
    <w:tmpl w:val="B2B4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73114A6"/>
    <w:multiLevelType w:val="hybridMultilevel"/>
    <w:tmpl w:val="3794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82C3807"/>
    <w:multiLevelType w:val="hybridMultilevel"/>
    <w:tmpl w:val="027A5260"/>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145" w15:restartNumberingAfterBreak="0">
    <w:nsid w:val="384A2472"/>
    <w:multiLevelType w:val="multilevel"/>
    <w:tmpl w:val="EF6CB3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9273D94"/>
    <w:multiLevelType w:val="multilevel"/>
    <w:tmpl w:val="4AD09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96768F8"/>
    <w:multiLevelType w:val="hybridMultilevel"/>
    <w:tmpl w:val="6FD6C80A"/>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48" w15:restartNumberingAfterBreak="0">
    <w:nsid w:val="397C1B91"/>
    <w:multiLevelType w:val="multilevel"/>
    <w:tmpl w:val="8332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9A07FA7"/>
    <w:multiLevelType w:val="hybridMultilevel"/>
    <w:tmpl w:val="F5D242FA"/>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50" w15:restartNumberingAfterBreak="0">
    <w:nsid w:val="39CD3070"/>
    <w:multiLevelType w:val="hybridMultilevel"/>
    <w:tmpl w:val="9D72AB06"/>
    <w:lvl w:ilvl="0" w:tplc="04090011">
      <w:start w:val="1"/>
      <w:numFmt w:val="decimal"/>
      <w:lvlText w:val="%1)"/>
      <w:lvlJc w:val="left"/>
      <w:pPr>
        <w:ind w:left="804" w:hanging="360"/>
      </w:pPr>
    </w:lvl>
    <w:lvl w:ilvl="1" w:tplc="FFFFFFFF" w:tentative="1">
      <w:start w:val="1"/>
      <w:numFmt w:val="lowerLetter"/>
      <w:lvlText w:val="%2."/>
      <w:lvlJc w:val="left"/>
      <w:pPr>
        <w:ind w:left="1524" w:hanging="360"/>
      </w:pPr>
    </w:lvl>
    <w:lvl w:ilvl="2" w:tplc="FFFFFFFF" w:tentative="1">
      <w:start w:val="1"/>
      <w:numFmt w:val="lowerRoman"/>
      <w:lvlText w:val="%3."/>
      <w:lvlJc w:val="right"/>
      <w:pPr>
        <w:ind w:left="2244" w:hanging="180"/>
      </w:pPr>
    </w:lvl>
    <w:lvl w:ilvl="3" w:tplc="FFFFFFFF" w:tentative="1">
      <w:start w:val="1"/>
      <w:numFmt w:val="decimal"/>
      <w:lvlText w:val="%4."/>
      <w:lvlJc w:val="left"/>
      <w:pPr>
        <w:ind w:left="2964" w:hanging="360"/>
      </w:pPr>
    </w:lvl>
    <w:lvl w:ilvl="4" w:tplc="FFFFFFFF" w:tentative="1">
      <w:start w:val="1"/>
      <w:numFmt w:val="lowerLetter"/>
      <w:lvlText w:val="%5."/>
      <w:lvlJc w:val="left"/>
      <w:pPr>
        <w:ind w:left="3684" w:hanging="360"/>
      </w:pPr>
    </w:lvl>
    <w:lvl w:ilvl="5" w:tplc="FFFFFFFF" w:tentative="1">
      <w:start w:val="1"/>
      <w:numFmt w:val="lowerRoman"/>
      <w:lvlText w:val="%6."/>
      <w:lvlJc w:val="right"/>
      <w:pPr>
        <w:ind w:left="4404" w:hanging="180"/>
      </w:pPr>
    </w:lvl>
    <w:lvl w:ilvl="6" w:tplc="FFFFFFFF" w:tentative="1">
      <w:start w:val="1"/>
      <w:numFmt w:val="decimal"/>
      <w:lvlText w:val="%7."/>
      <w:lvlJc w:val="left"/>
      <w:pPr>
        <w:ind w:left="5124" w:hanging="360"/>
      </w:pPr>
    </w:lvl>
    <w:lvl w:ilvl="7" w:tplc="FFFFFFFF" w:tentative="1">
      <w:start w:val="1"/>
      <w:numFmt w:val="lowerLetter"/>
      <w:lvlText w:val="%8."/>
      <w:lvlJc w:val="left"/>
      <w:pPr>
        <w:ind w:left="5844" w:hanging="360"/>
      </w:pPr>
    </w:lvl>
    <w:lvl w:ilvl="8" w:tplc="FFFFFFFF" w:tentative="1">
      <w:start w:val="1"/>
      <w:numFmt w:val="lowerRoman"/>
      <w:lvlText w:val="%9."/>
      <w:lvlJc w:val="right"/>
      <w:pPr>
        <w:ind w:left="6564" w:hanging="180"/>
      </w:pPr>
    </w:lvl>
  </w:abstractNum>
  <w:abstractNum w:abstractNumId="151" w15:restartNumberingAfterBreak="0">
    <w:nsid w:val="3B126F8B"/>
    <w:multiLevelType w:val="multilevel"/>
    <w:tmpl w:val="07B2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27193A"/>
    <w:multiLevelType w:val="hybridMultilevel"/>
    <w:tmpl w:val="11703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BC24511"/>
    <w:multiLevelType w:val="multilevel"/>
    <w:tmpl w:val="CC58D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CDF7E3B"/>
    <w:multiLevelType w:val="multilevel"/>
    <w:tmpl w:val="E86CF7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DF36693"/>
    <w:multiLevelType w:val="multilevel"/>
    <w:tmpl w:val="E402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F0E347E"/>
    <w:multiLevelType w:val="multilevel"/>
    <w:tmpl w:val="EE42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F613588"/>
    <w:multiLevelType w:val="multilevel"/>
    <w:tmpl w:val="E78C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0331E91"/>
    <w:multiLevelType w:val="multilevel"/>
    <w:tmpl w:val="ADC6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09B3DEA"/>
    <w:multiLevelType w:val="multilevel"/>
    <w:tmpl w:val="D9D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109257B"/>
    <w:multiLevelType w:val="multilevel"/>
    <w:tmpl w:val="10CC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15E0677"/>
    <w:multiLevelType w:val="multilevel"/>
    <w:tmpl w:val="53B80B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1CF5A4F"/>
    <w:multiLevelType w:val="hybridMultilevel"/>
    <w:tmpl w:val="C4A809B0"/>
    <w:lvl w:ilvl="0" w:tplc="428C753E">
      <w:numFmt w:val="bullet"/>
      <w:lvlText w:val="-"/>
      <w:lvlJc w:val="left"/>
      <w:pPr>
        <w:ind w:left="746" w:hanging="360"/>
      </w:pPr>
      <w:rPr>
        <w:rFonts w:ascii="Arial" w:eastAsia="Times New Roman" w:hAnsi="Arial" w:cs="Aria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63" w15:restartNumberingAfterBreak="0">
    <w:nsid w:val="41D84269"/>
    <w:multiLevelType w:val="multilevel"/>
    <w:tmpl w:val="0F26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1DD7CD0"/>
    <w:multiLevelType w:val="multilevel"/>
    <w:tmpl w:val="FD74F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42132063"/>
    <w:multiLevelType w:val="hybridMultilevel"/>
    <w:tmpl w:val="7D92D4C2"/>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66" w15:restartNumberingAfterBreak="0">
    <w:nsid w:val="421E306A"/>
    <w:multiLevelType w:val="multilevel"/>
    <w:tmpl w:val="3FAC1A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2224438"/>
    <w:multiLevelType w:val="multilevel"/>
    <w:tmpl w:val="CCF6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2550955"/>
    <w:multiLevelType w:val="multilevel"/>
    <w:tmpl w:val="724E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25E4E48"/>
    <w:multiLevelType w:val="hybridMultilevel"/>
    <w:tmpl w:val="F0800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43014915"/>
    <w:multiLevelType w:val="multilevel"/>
    <w:tmpl w:val="FB40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329482B"/>
    <w:multiLevelType w:val="hybridMultilevel"/>
    <w:tmpl w:val="B38C9EEA"/>
    <w:lvl w:ilvl="0" w:tplc="ED0469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3EF5AAB"/>
    <w:multiLevelType w:val="hybridMultilevel"/>
    <w:tmpl w:val="138EB4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15:restartNumberingAfterBreak="0">
    <w:nsid w:val="44622408"/>
    <w:multiLevelType w:val="multilevel"/>
    <w:tmpl w:val="0CFC7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4B647C8"/>
    <w:multiLevelType w:val="hybridMultilevel"/>
    <w:tmpl w:val="71460A6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5" w15:restartNumberingAfterBreak="0">
    <w:nsid w:val="44DB35B1"/>
    <w:multiLevelType w:val="hybridMultilevel"/>
    <w:tmpl w:val="01A43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4E30C77"/>
    <w:multiLevelType w:val="hybridMultilevel"/>
    <w:tmpl w:val="A2CC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45D830DC"/>
    <w:multiLevelType w:val="multilevel"/>
    <w:tmpl w:val="5C5C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634769B"/>
    <w:multiLevelType w:val="multilevel"/>
    <w:tmpl w:val="BA24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6600A77"/>
    <w:multiLevelType w:val="multilevel"/>
    <w:tmpl w:val="4138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6710DCF"/>
    <w:multiLevelType w:val="multilevel"/>
    <w:tmpl w:val="C44A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67D635C"/>
    <w:multiLevelType w:val="multilevel"/>
    <w:tmpl w:val="25ACB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6BF47AB"/>
    <w:multiLevelType w:val="hybridMultilevel"/>
    <w:tmpl w:val="6A12A7C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83" w15:restartNumberingAfterBreak="0">
    <w:nsid w:val="46EA5343"/>
    <w:multiLevelType w:val="multilevel"/>
    <w:tmpl w:val="DFBEF8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7152EDD"/>
    <w:multiLevelType w:val="multilevel"/>
    <w:tmpl w:val="3C2A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7555968"/>
    <w:multiLevelType w:val="multilevel"/>
    <w:tmpl w:val="6802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7B65DDB"/>
    <w:multiLevelType w:val="hybridMultilevel"/>
    <w:tmpl w:val="39F01EE2"/>
    <w:lvl w:ilvl="0" w:tplc="924E1F2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87" w15:restartNumberingAfterBreak="0">
    <w:nsid w:val="47CE5AB6"/>
    <w:multiLevelType w:val="multilevel"/>
    <w:tmpl w:val="8BCC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7E44854"/>
    <w:multiLevelType w:val="multilevel"/>
    <w:tmpl w:val="F61A07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7F3074D"/>
    <w:multiLevelType w:val="multilevel"/>
    <w:tmpl w:val="A7CA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8756E49"/>
    <w:multiLevelType w:val="multilevel"/>
    <w:tmpl w:val="67FCC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9B26AD0"/>
    <w:multiLevelType w:val="hybridMultilevel"/>
    <w:tmpl w:val="EC981A40"/>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92" w15:restartNumberingAfterBreak="0">
    <w:nsid w:val="49D663CF"/>
    <w:multiLevelType w:val="multilevel"/>
    <w:tmpl w:val="9740F4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AC932B1"/>
    <w:multiLevelType w:val="multilevel"/>
    <w:tmpl w:val="B9D6F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ACA5BD5"/>
    <w:multiLevelType w:val="multilevel"/>
    <w:tmpl w:val="739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ACF2B0D"/>
    <w:multiLevelType w:val="hybridMultilevel"/>
    <w:tmpl w:val="2BB4EF72"/>
    <w:lvl w:ilvl="0" w:tplc="855447F2">
      <w:start w:val="1"/>
      <w:numFmt w:val="decimal"/>
      <w:lvlText w:val="%1-"/>
      <w:lvlJc w:val="left"/>
      <w:pPr>
        <w:ind w:left="648" w:hanging="360"/>
      </w:pPr>
      <w:rPr>
        <w:rFonts w:hint="default"/>
        <w:sz w:val="28"/>
        <w:szCs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96" w15:restartNumberingAfterBreak="0">
    <w:nsid w:val="4B734F37"/>
    <w:multiLevelType w:val="hybridMultilevel"/>
    <w:tmpl w:val="488476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7" w15:restartNumberingAfterBreak="0">
    <w:nsid w:val="4B7C100E"/>
    <w:multiLevelType w:val="hybridMultilevel"/>
    <w:tmpl w:val="5C106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4C301022"/>
    <w:multiLevelType w:val="multilevel"/>
    <w:tmpl w:val="3A60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CDD7902"/>
    <w:multiLevelType w:val="hybridMultilevel"/>
    <w:tmpl w:val="26D04222"/>
    <w:lvl w:ilvl="0" w:tplc="428C753E">
      <w:numFmt w:val="bullet"/>
      <w:lvlText w:val="-"/>
      <w:lvlJc w:val="left"/>
      <w:pPr>
        <w:ind w:left="746" w:hanging="360"/>
      </w:pPr>
      <w:rPr>
        <w:rFonts w:ascii="Arial" w:eastAsia="Times New Roman" w:hAnsi="Arial" w:cs="Aria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200" w15:restartNumberingAfterBreak="0">
    <w:nsid w:val="4D2960FB"/>
    <w:multiLevelType w:val="multilevel"/>
    <w:tmpl w:val="74CA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EDA486C"/>
    <w:multiLevelType w:val="hybridMultilevel"/>
    <w:tmpl w:val="FC4ED3BC"/>
    <w:lvl w:ilvl="0" w:tplc="827435DE">
      <w:start w:val="1"/>
      <w:numFmt w:val="decimal"/>
      <w:lvlText w:val="%1-"/>
      <w:lvlJc w:val="left"/>
      <w:pPr>
        <w:ind w:left="1368" w:hanging="360"/>
      </w:pPr>
      <w:rPr>
        <w:rFonts w:cs="Simplified Arabic" w:hint="default"/>
        <w:i/>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202" w15:restartNumberingAfterBreak="0">
    <w:nsid w:val="50743722"/>
    <w:multiLevelType w:val="multilevel"/>
    <w:tmpl w:val="B346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1742804"/>
    <w:multiLevelType w:val="hybridMultilevel"/>
    <w:tmpl w:val="BF2C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518071E5"/>
    <w:multiLevelType w:val="hybridMultilevel"/>
    <w:tmpl w:val="3CDC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51B562BD"/>
    <w:multiLevelType w:val="multilevel"/>
    <w:tmpl w:val="59BAD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1E62C29"/>
    <w:multiLevelType w:val="multilevel"/>
    <w:tmpl w:val="D9E2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1F20A64"/>
    <w:multiLevelType w:val="hybridMultilevel"/>
    <w:tmpl w:val="C3A07D2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8" w15:restartNumberingAfterBreak="0">
    <w:nsid w:val="53D67111"/>
    <w:multiLevelType w:val="hybridMultilevel"/>
    <w:tmpl w:val="D6BEE1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5427328A"/>
    <w:multiLevelType w:val="multilevel"/>
    <w:tmpl w:val="3952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4A5794B"/>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4B74919"/>
    <w:multiLevelType w:val="hybridMultilevel"/>
    <w:tmpl w:val="7A86D16E"/>
    <w:lvl w:ilvl="0" w:tplc="0E0AF2C6">
      <w:start w:val="1"/>
      <w:numFmt w:val="decimal"/>
      <w:lvlText w:val="%1-"/>
      <w:lvlJc w:val="left"/>
      <w:pPr>
        <w:ind w:left="1008" w:hanging="360"/>
      </w:pPr>
      <w:rPr>
        <w:rFonts w:hint="default"/>
        <w:b w:val="0"/>
        <w:bCs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2" w15:restartNumberingAfterBreak="0">
    <w:nsid w:val="5547415D"/>
    <w:multiLevelType w:val="hybridMultilevel"/>
    <w:tmpl w:val="AB6613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55655135"/>
    <w:multiLevelType w:val="hybridMultilevel"/>
    <w:tmpl w:val="B478F77E"/>
    <w:lvl w:ilvl="0" w:tplc="A5B6DD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56EB30EC"/>
    <w:multiLevelType w:val="multilevel"/>
    <w:tmpl w:val="3544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71C27BF"/>
    <w:multiLevelType w:val="multilevel"/>
    <w:tmpl w:val="FDF8D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8CD7D96"/>
    <w:multiLevelType w:val="multilevel"/>
    <w:tmpl w:val="887C6C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597B01EE"/>
    <w:multiLevelType w:val="hybridMultilevel"/>
    <w:tmpl w:val="874620B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8" w15:restartNumberingAfterBreak="0">
    <w:nsid w:val="5A9001F5"/>
    <w:multiLevelType w:val="multilevel"/>
    <w:tmpl w:val="A8C29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5A9709FE"/>
    <w:multiLevelType w:val="multilevel"/>
    <w:tmpl w:val="016A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B0E7B78"/>
    <w:multiLevelType w:val="multilevel"/>
    <w:tmpl w:val="FC1447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B812A72"/>
    <w:multiLevelType w:val="multilevel"/>
    <w:tmpl w:val="0448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B854F7E"/>
    <w:multiLevelType w:val="multilevel"/>
    <w:tmpl w:val="9536D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C1C5FAE"/>
    <w:multiLevelType w:val="multilevel"/>
    <w:tmpl w:val="D4BCC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C4B6865"/>
    <w:multiLevelType w:val="multilevel"/>
    <w:tmpl w:val="7C80B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5C976582"/>
    <w:multiLevelType w:val="multilevel"/>
    <w:tmpl w:val="E006D9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C9A4D57"/>
    <w:multiLevelType w:val="multilevel"/>
    <w:tmpl w:val="A3A6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CA0271D"/>
    <w:multiLevelType w:val="multilevel"/>
    <w:tmpl w:val="9582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CA57C7C"/>
    <w:multiLevelType w:val="multilevel"/>
    <w:tmpl w:val="D09C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CF97BDC"/>
    <w:multiLevelType w:val="multilevel"/>
    <w:tmpl w:val="D488ED0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D455C35"/>
    <w:multiLevelType w:val="hybridMultilevel"/>
    <w:tmpl w:val="4602404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31" w15:restartNumberingAfterBreak="0">
    <w:nsid w:val="5DBE7AD0"/>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E1D4097"/>
    <w:multiLevelType w:val="multilevel"/>
    <w:tmpl w:val="4116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E2A426B"/>
    <w:multiLevelType w:val="hybridMultilevel"/>
    <w:tmpl w:val="864A4F3E"/>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4" w15:restartNumberingAfterBreak="0">
    <w:nsid w:val="5E8A1653"/>
    <w:multiLevelType w:val="hybridMultilevel"/>
    <w:tmpl w:val="3664EE3C"/>
    <w:lvl w:ilvl="0" w:tplc="F21CAF28">
      <w:start w:val="1"/>
      <w:numFmt w:val="decimal"/>
      <w:lvlText w:val="%1-"/>
      <w:lvlJc w:val="left"/>
      <w:pPr>
        <w:ind w:left="643" w:hanging="360"/>
      </w:pPr>
      <w:rPr>
        <w:rFonts w:cs="Simplified Arabic"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5" w15:restartNumberingAfterBreak="0">
    <w:nsid w:val="5F520BE2"/>
    <w:multiLevelType w:val="multilevel"/>
    <w:tmpl w:val="11903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04E4E4D"/>
    <w:multiLevelType w:val="multilevel"/>
    <w:tmpl w:val="55F4C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60A71FBB"/>
    <w:multiLevelType w:val="multilevel"/>
    <w:tmpl w:val="0552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60A96F88"/>
    <w:multiLevelType w:val="multilevel"/>
    <w:tmpl w:val="F242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0C2389B"/>
    <w:multiLevelType w:val="multilevel"/>
    <w:tmpl w:val="A2983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0C40D12"/>
    <w:multiLevelType w:val="multilevel"/>
    <w:tmpl w:val="6002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1716655"/>
    <w:multiLevelType w:val="multilevel"/>
    <w:tmpl w:val="4860F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1F677DB"/>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2582330"/>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27A3FA2"/>
    <w:multiLevelType w:val="multilevel"/>
    <w:tmpl w:val="C770B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631017E4"/>
    <w:multiLevelType w:val="multilevel"/>
    <w:tmpl w:val="538C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3376E57"/>
    <w:multiLevelType w:val="multilevel"/>
    <w:tmpl w:val="AD3C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3B01A5E"/>
    <w:multiLevelType w:val="multilevel"/>
    <w:tmpl w:val="9BEC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4E27214"/>
    <w:multiLevelType w:val="hybridMultilevel"/>
    <w:tmpl w:val="9208B16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49" w15:restartNumberingAfterBreak="0">
    <w:nsid w:val="64E6228F"/>
    <w:multiLevelType w:val="multilevel"/>
    <w:tmpl w:val="F27C4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5385673"/>
    <w:multiLevelType w:val="hybridMultilevel"/>
    <w:tmpl w:val="77C2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654A132F"/>
    <w:multiLevelType w:val="multilevel"/>
    <w:tmpl w:val="4D50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5D01F25"/>
    <w:multiLevelType w:val="hybridMultilevel"/>
    <w:tmpl w:val="0954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66603BDB"/>
    <w:multiLevelType w:val="multilevel"/>
    <w:tmpl w:val="1596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7C95670"/>
    <w:multiLevelType w:val="multilevel"/>
    <w:tmpl w:val="7A58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8153405"/>
    <w:multiLevelType w:val="hybridMultilevel"/>
    <w:tmpl w:val="DF0C7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68B10C4A"/>
    <w:multiLevelType w:val="hybridMultilevel"/>
    <w:tmpl w:val="69347DF6"/>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57" w15:restartNumberingAfterBreak="0">
    <w:nsid w:val="68CB05BB"/>
    <w:multiLevelType w:val="multilevel"/>
    <w:tmpl w:val="19423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95F2FE8"/>
    <w:multiLevelType w:val="hybridMultilevel"/>
    <w:tmpl w:val="7DEE9026"/>
    <w:lvl w:ilvl="0" w:tplc="D53E2270">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59" w15:restartNumberingAfterBreak="0">
    <w:nsid w:val="6A5D3EF3"/>
    <w:multiLevelType w:val="multilevel"/>
    <w:tmpl w:val="3F3A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A673A00"/>
    <w:multiLevelType w:val="multilevel"/>
    <w:tmpl w:val="A4D4F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B58570E"/>
    <w:multiLevelType w:val="multilevel"/>
    <w:tmpl w:val="1A42CB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6C887A58"/>
    <w:multiLevelType w:val="hybridMultilevel"/>
    <w:tmpl w:val="9D2E73C8"/>
    <w:lvl w:ilvl="0" w:tplc="FFFFFFFF">
      <w:start w:val="1"/>
      <w:numFmt w:val="decimal"/>
      <w:lvlText w:val="%1."/>
      <w:lvlJc w:val="left"/>
      <w:pPr>
        <w:ind w:left="746" w:hanging="360"/>
      </w:pPr>
    </w:lvl>
    <w:lvl w:ilvl="1" w:tplc="FFFFFFFF" w:tentative="1">
      <w:start w:val="1"/>
      <w:numFmt w:val="lowerLetter"/>
      <w:lvlText w:val="%2."/>
      <w:lvlJc w:val="left"/>
      <w:pPr>
        <w:ind w:left="1466" w:hanging="360"/>
      </w:pPr>
    </w:lvl>
    <w:lvl w:ilvl="2" w:tplc="0409000F">
      <w:start w:val="1"/>
      <w:numFmt w:val="decimal"/>
      <w:lvlText w:val="%3."/>
      <w:lvlJc w:val="left"/>
      <w:pPr>
        <w:ind w:left="1008" w:hanging="36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abstractNum w:abstractNumId="263" w15:restartNumberingAfterBreak="0">
    <w:nsid w:val="6CE728D5"/>
    <w:multiLevelType w:val="multilevel"/>
    <w:tmpl w:val="4ACCE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6D371D25"/>
    <w:multiLevelType w:val="multilevel"/>
    <w:tmpl w:val="9B5A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D3F66E5"/>
    <w:multiLevelType w:val="multilevel"/>
    <w:tmpl w:val="7D36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D687AFB"/>
    <w:multiLevelType w:val="multilevel"/>
    <w:tmpl w:val="8972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D6E6BDC"/>
    <w:multiLevelType w:val="multilevel"/>
    <w:tmpl w:val="4F98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E6F6A7C"/>
    <w:multiLevelType w:val="multilevel"/>
    <w:tmpl w:val="C9BCC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6F711A13"/>
    <w:multiLevelType w:val="multilevel"/>
    <w:tmpl w:val="163C3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FAA14F5"/>
    <w:multiLevelType w:val="multilevel"/>
    <w:tmpl w:val="72C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08A39A5"/>
    <w:multiLevelType w:val="hybridMultilevel"/>
    <w:tmpl w:val="D20238CC"/>
    <w:lvl w:ilvl="0" w:tplc="5B2E87D0">
      <w:start w:val="1"/>
      <w:numFmt w:val="decimal"/>
      <w:lvlText w:val="%1-"/>
      <w:lvlJc w:val="left"/>
      <w:pPr>
        <w:ind w:left="1368" w:hanging="360"/>
      </w:pPr>
      <w:rPr>
        <w:rFonts w:hint="default"/>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272" w15:restartNumberingAfterBreak="0">
    <w:nsid w:val="70C867F4"/>
    <w:multiLevelType w:val="multilevel"/>
    <w:tmpl w:val="7F4264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1150910"/>
    <w:multiLevelType w:val="multilevel"/>
    <w:tmpl w:val="A2CE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16D3EC9"/>
    <w:multiLevelType w:val="multilevel"/>
    <w:tmpl w:val="E118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1952FE4"/>
    <w:multiLevelType w:val="hybridMultilevel"/>
    <w:tmpl w:val="45A08814"/>
    <w:lvl w:ilvl="0" w:tplc="FFFFFFFF">
      <w:start w:val="1"/>
      <w:numFmt w:val="decimal"/>
      <w:lvlText w:val="%1."/>
      <w:lvlJc w:val="left"/>
      <w:pPr>
        <w:ind w:left="746" w:hanging="360"/>
      </w:pPr>
    </w:lvl>
    <w:lvl w:ilvl="1" w:tplc="FFFFFFFF" w:tentative="1">
      <w:start w:val="1"/>
      <w:numFmt w:val="lowerLetter"/>
      <w:lvlText w:val="%2."/>
      <w:lvlJc w:val="left"/>
      <w:pPr>
        <w:ind w:left="1466" w:hanging="360"/>
      </w:pPr>
    </w:lvl>
    <w:lvl w:ilvl="2" w:tplc="FFFFFFFF" w:tentative="1">
      <w:start w:val="1"/>
      <w:numFmt w:val="lowerRoman"/>
      <w:lvlText w:val="%3."/>
      <w:lvlJc w:val="right"/>
      <w:pPr>
        <w:ind w:left="2186" w:hanging="18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abstractNum w:abstractNumId="276" w15:restartNumberingAfterBreak="0">
    <w:nsid w:val="71D82E28"/>
    <w:multiLevelType w:val="hybridMultilevel"/>
    <w:tmpl w:val="C9C2A78E"/>
    <w:lvl w:ilvl="0" w:tplc="04090011">
      <w:start w:val="1"/>
      <w:numFmt w:val="decimal"/>
      <w:lvlText w:val="%1)"/>
      <w:lvlJc w:val="left"/>
      <w:pPr>
        <w:ind w:left="804" w:hanging="360"/>
      </w:pPr>
    </w:lvl>
    <w:lvl w:ilvl="1" w:tplc="8F0C570C">
      <w:start w:val="1"/>
      <w:numFmt w:val="decimal"/>
      <w:lvlText w:val="%2."/>
      <w:lvlJc w:val="left"/>
      <w:pPr>
        <w:ind w:left="1884" w:hanging="720"/>
      </w:pPr>
      <w:rPr>
        <w:rFonts w:hint="default"/>
      </w:r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77" w15:restartNumberingAfterBreak="0">
    <w:nsid w:val="72980286"/>
    <w:multiLevelType w:val="hybridMultilevel"/>
    <w:tmpl w:val="AF70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72C53AE8"/>
    <w:multiLevelType w:val="multilevel"/>
    <w:tmpl w:val="192AD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72D659A7"/>
    <w:multiLevelType w:val="hybridMultilevel"/>
    <w:tmpl w:val="89BA1CE6"/>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280" w15:restartNumberingAfterBreak="0">
    <w:nsid w:val="74C73B5F"/>
    <w:multiLevelType w:val="multilevel"/>
    <w:tmpl w:val="F50ED0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5396D43"/>
    <w:multiLevelType w:val="multilevel"/>
    <w:tmpl w:val="014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546546C"/>
    <w:multiLevelType w:val="multilevel"/>
    <w:tmpl w:val="FDB6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561552D"/>
    <w:multiLevelType w:val="hybridMultilevel"/>
    <w:tmpl w:val="A2422E08"/>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284" w15:restartNumberingAfterBreak="0">
    <w:nsid w:val="75854BA1"/>
    <w:multiLevelType w:val="multilevel"/>
    <w:tmpl w:val="6986C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59E04A5"/>
    <w:multiLevelType w:val="multilevel"/>
    <w:tmpl w:val="C7162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5B26C3E"/>
    <w:multiLevelType w:val="multilevel"/>
    <w:tmpl w:val="8B6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5D6695B"/>
    <w:multiLevelType w:val="multilevel"/>
    <w:tmpl w:val="1C4E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5E17EBE"/>
    <w:multiLevelType w:val="hybridMultilevel"/>
    <w:tmpl w:val="30C8F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76C6495E"/>
    <w:multiLevelType w:val="multilevel"/>
    <w:tmpl w:val="D65A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7541DDE"/>
    <w:multiLevelType w:val="multilevel"/>
    <w:tmpl w:val="F08C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7F417E9"/>
    <w:multiLevelType w:val="hybridMultilevel"/>
    <w:tmpl w:val="E0B085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78C86A11"/>
    <w:multiLevelType w:val="multilevel"/>
    <w:tmpl w:val="C0A88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91A2A11"/>
    <w:multiLevelType w:val="hybridMultilevel"/>
    <w:tmpl w:val="EEA61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4" w15:restartNumberingAfterBreak="0">
    <w:nsid w:val="79C41B94"/>
    <w:multiLevelType w:val="hybridMultilevel"/>
    <w:tmpl w:val="52561086"/>
    <w:lvl w:ilvl="0" w:tplc="04090011">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95" w15:restartNumberingAfterBreak="0">
    <w:nsid w:val="7A206F3C"/>
    <w:multiLevelType w:val="multilevel"/>
    <w:tmpl w:val="50A2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A253BAA"/>
    <w:multiLevelType w:val="multilevel"/>
    <w:tmpl w:val="57C44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A613DA8"/>
    <w:multiLevelType w:val="multilevel"/>
    <w:tmpl w:val="2E8AED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B19440C"/>
    <w:multiLevelType w:val="multilevel"/>
    <w:tmpl w:val="8012C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C496185"/>
    <w:multiLevelType w:val="multilevel"/>
    <w:tmpl w:val="E58E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D003CA9"/>
    <w:multiLevelType w:val="hybridMultilevel"/>
    <w:tmpl w:val="A7201E96"/>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01" w15:restartNumberingAfterBreak="0">
    <w:nsid w:val="7D9472A6"/>
    <w:multiLevelType w:val="multilevel"/>
    <w:tmpl w:val="487A01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D9F1551"/>
    <w:multiLevelType w:val="multilevel"/>
    <w:tmpl w:val="59686BA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DDC3775"/>
    <w:multiLevelType w:val="hybridMultilevel"/>
    <w:tmpl w:val="938E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7DFE3EDF"/>
    <w:multiLevelType w:val="hybridMultilevel"/>
    <w:tmpl w:val="346A55E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5" w15:restartNumberingAfterBreak="0">
    <w:nsid w:val="7E887B1D"/>
    <w:multiLevelType w:val="hybridMultilevel"/>
    <w:tmpl w:val="A378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EC80952"/>
    <w:multiLevelType w:val="hybridMultilevel"/>
    <w:tmpl w:val="939A19DA"/>
    <w:lvl w:ilvl="0" w:tplc="6B6EC5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FA93FE3"/>
    <w:multiLevelType w:val="multilevel"/>
    <w:tmpl w:val="3230D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1495195">
    <w:abstractNumId w:val="291"/>
  </w:num>
  <w:num w:numId="2" w16cid:durableId="806823111">
    <w:abstractNumId w:val="80"/>
  </w:num>
  <w:num w:numId="3" w16cid:durableId="1688285210">
    <w:abstractNumId w:val="69"/>
  </w:num>
  <w:num w:numId="4" w16cid:durableId="769662026">
    <w:abstractNumId w:val="303"/>
  </w:num>
  <w:num w:numId="5" w16cid:durableId="1408914895">
    <w:abstractNumId w:val="139"/>
  </w:num>
  <w:num w:numId="6" w16cid:durableId="2069956385">
    <w:abstractNumId w:val="174"/>
  </w:num>
  <w:num w:numId="7" w16cid:durableId="881671549">
    <w:abstractNumId w:val="143"/>
  </w:num>
  <w:num w:numId="8" w16cid:durableId="60056646">
    <w:abstractNumId w:val="114"/>
  </w:num>
  <w:num w:numId="9" w16cid:durableId="1090615865">
    <w:abstractNumId w:val="108"/>
  </w:num>
  <w:num w:numId="10" w16cid:durableId="1146972903">
    <w:abstractNumId w:val="255"/>
  </w:num>
  <w:num w:numId="11" w16cid:durableId="964121156">
    <w:abstractNumId w:val="92"/>
  </w:num>
  <w:num w:numId="12" w16cid:durableId="1524855196">
    <w:abstractNumId w:val="306"/>
  </w:num>
  <w:num w:numId="13" w16cid:durableId="1820687382">
    <w:abstractNumId w:val="79"/>
  </w:num>
  <w:num w:numId="14" w16cid:durableId="410590860">
    <w:abstractNumId w:val="14"/>
  </w:num>
  <w:num w:numId="15" w16cid:durableId="2064677219">
    <w:abstractNumId w:val="48"/>
  </w:num>
  <w:num w:numId="16" w16cid:durableId="1353730215">
    <w:abstractNumId w:val="145"/>
  </w:num>
  <w:num w:numId="17" w16cid:durableId="812403681">
    <w:abstractNumId w:val="129"/>
  </w:num>
  <w:num w:numId="18" w16cid:durableId="1634287680">
    <w:abstractNumId w:val="39"/>
  </w:num>
  <w:num w:numId="19" w16cid:durableId="222521756">
    <w:abstractNumId w:val="203"/>
  </w:num>
  <w:num w:numId="20" w16cid:durableId="669677657">
    <w:abstractNumId w:val="71"/>
  </w:num>
  <w:num w:numId="21" w16cid:durableId="1441799464">
    <w:abstractNumId w:val="118"/>
  </w:num>
  <w:num w:numId="22" w16cid:durableId="681322175">
    <w:abstractNumId w:val="304"/>
  </w:num>
  <w:num w:numId="23" w16cid:durableId="1969582423">
    <w:abstractNumId w:val="135"/>
  </w:num>
  <w:num w:numId="24" w16cid:durableId="1705596832">
    <w:abstractNumId w:val="196"/>
  </w:num>
  <w:num w:numId="25" w16cid:durableId="701632400">
    <w:abstractNumId w:val="103"/>
  </w:num>
  <w:num w:numId="26" w16cid:durableId="2002080270">
    <w:abstractNumId w:val="121"/>
  </w:num>
  <w:num w:numId="27" w16cid:durableId="2051031214">
    <w:abstractNumId w:val="26"/>
  </w:num>
  <w:num w:numId="28" w16cid:durableId="2031058873">
    <w:abstractNumId w:val="127"/>
  </w:num>
  <w:num w:numId="29" w16cid:durableId="987244282">
    <w:abstractNumId w:val="299"/>
  </w:num>
  <w:num w:numId="30" w16cid:durableId="1255943871">
    <w:abstractNumId w:val="9"/>
  </w:num>
  <w:num w:numId="31" w16cid:durableId="1265454271">
    <w:abstractNumId w:val="38"/>
  </w:num>
  <w:num w:numId="32" w16cid:durableId="1292664097">
    <w:abstractNumId w:val="17"/>
  </w:num>
  <w:num w:numId="33" w16cid:durableId="2106337847">
    <w:abstractNumId w:val="94"/>
  </w:num>
  <w:num w:numId="34" w16cid:durableId="1637641234">
    <w:abstractNumId w:val="140"/>
  </w:num>
  <w:num w:numId="35" w16cid:durableId="1265652719">
    <w:abstractNumId w:val="113"/>
  </w:num>
  <w:num w:numId="36" w16cid:durableId="1445193">
    <w:abstractNumId w:val="194"/>
  </w:num>
  <w:num w:numId="37" w16cid:durableId="1603803058">
    <w:abstractNumId w:val="266"/>
  </w:num>
  <w:num w:numId="38" w16cid:durableId="1969506287">
    <w:abstractNumId w:val="173"/>
  </w:num>
  <w:num w:numId="39" w16cid:durableId="569853321">
    <w:abstractNumId w:val="251"/>
  </w:num>
  <w:num w:numId="40" w16cid:durableId="1458596882">
    <w:abstractNumId w:val="268"/>
  </w:num>
  <w:num w:numId="41" w16cid:durableId="1072696305">
    <w:abstractNumId w:val="116"/>
  </w:num>
  <w:num w:numId="42" w16cid:durableId="1997879261">
    <w:abstractNumId w:val="185"/>
  </w:num>
  <w:num w:numId="43" w16cid:durableId="1998606495">
    <w:abstractNumId w:val="219"/>
  </w:num>
  <w:num w:numId="44" w16cid:durableId="1324049731">
    <w:abstractNumId w:val="104"/>
  </w:num>
  <w:num w:numId="45" w16cid:durableId="647129221">
    <w:abstractNumId w:val="22"/>
  </w:num>
  <w:num w:numId="46" w16cid:durableId="1609119828">
    <w:abstractNumId w:val="58"/>
  </w:num>
  <w:num w:numId="47" w16cid:durableId="2007316659">
    <w:abstractNumId w:val="148"/>
  </w:num>
  <w:num w:numId="48" w16cid:durableId="282618583">
    <w:abstractNumId w:val="101"/>
  </w:num>
  <w:num w:numId="49" w16cid:durableId="938559746">
    <w:abstractNumId w:val="4"/>
  </w:num>
  <w:num w:numId="50" w16cid:durableId="2059621716">
    <w:abstractNumId w:val="10"/>
  </w:num>
  <w:num w:numId="51" w16cid:durableId="389500938">
    <w:abstractNumId w:val="198"/>
  </w:num>
  <w:num w:numId="52" w16cid:durableId="1680423115">
    <w:abstractNumId w:val="223"/>
  </w:num>
  <w:num w:numId="53" w16cid:durableId="1968660188">
    <w:abstractNumId w:val="34"/>
  </w:num>
  <w:num w:numId="54" w16cid:durableId="174153842">
    <w:abstractNumId w:val="270"/>
  </w:num>
  <w:num w:numId="55" w16cid:durableId="1597328801">
    <w:abstractNumId w:val="159"/>
  </w:num>
  <w:num w:numId="56" w16cid:durableId="671756425">
    <w:abstractNumId w:val="206"/>
  </w:num>
  <w:num w:numId="57" w16cid:durableId="1833061094">
    <w:abstractNumId w:val="96"/>
  </w:num>
  <w:num w:numId="58" w16cid:durableId="1942451957">
    <w:abstractNumId w:val="45"/>
  </w:num>
  <w:num w:numId="59" w16cid:durableId="1039865966">
    <w:abstractNumId w:val="221"/>
  </w:num>
  <w:num w:numId="60" w16cid:durableId="1125737545">
    <w:abstractNumId w:val="226"/>
  </w:num>
  <w:num w:numId="61" w16cid:durableId="728574270">
    <w:abstractNumId w:val="1"/>
  </w:num>
  <w:num w:numId="62" w16cid:durableId="2042436742">
    <w:abstractNumId w:val="296"/>
  </w:num>
  <w:num w:numId="63" w16cid:durableId="397634157">
    <w:abstractNumId w:val="265"/>
  </w:num>
  <w:num w:numId="64" w16cid:durableId="736320719">
    <w:abstractNumId w:val="97"/>
  </w:num>
  <w:num w:numId="65" w16cid:durableId="695690416">
    <w:abstractNumId w:val="167"/>
  </w:num>
  <w:num w:numId="66" w16cid:durableId="300617620">
    <w:abstractNumId w:val="6"/>
  </w:num>
  <w:num w:numId="67" w16cid:durableId="2095542644">
    <w:abstractNumId w:val="179"/>
  </w:num>
  <w:num w:numId="68" w16cid:durableId="1051268236">
    <w:abstractNumId w:val="178"/>
  </w:num>
  <w:num w:numId="69" w16cid:durableId="1065953912">
    <w:abstractNumId w:val="240"/>
  </w:num>
  <w:num w:numId="70" w16cid:durableId="1100221680">
    <w:abstractNumId w:val="282"/>
  </w:num>
  <w:num w:numId="71" w16cid:durableId="169376111">
    <w:abstractNumId w:val="287"/>
  </w:num>
  <w:num w:numId="72" w16cid:durableId="1272933911">
    <w:abstractNumId w:val="295"/>
  </w:num>
  <w:num w:numId="73" w16cid:durableId="1007560015">
    <w:abstractNumId w:val="107"/>
  </w:num>
  <w:num w:numId="74" w16cid:durableId="1228492384">
    <w:abstractNumId w:val="7"/>
  </w:num>
  <w:num w:numId="75" w16cid:durableId="550460556">
    <w:abstractNumId w:val="27"/>
  </w:num>
  <w:num w:numId="76" w16cid:durableId="720787696">
    <w:abstractNumId w:val="134"/>
  </w:num>
  <w:num w:numId="77" w16cid:durableId="523592597">
    <w:abstractNumId w:val="106"/>
  </w:num>
  <w:num w:numId="78" w16cid:durableId="1803646302">
    <w:abstractNumId w:val="65"/>
  </w:num>
  <w:num w:numId="79" w16cid:durableId="1648169514">
    <w:abstractNumId w:val="259"/>
  </w:num>
  <w:num w:numId="80" w16cid:durableId="1702171995">
    <w:abstractNumId w:val="290"/>
  </w:num>
  <w:num w:numId="81" w16cid:durableId="1459715822">
    <w:abstractNumId w:val="253"/>
  </w:num>
  <w:num w:numId="82" w16cid:durableId="1480533170">
    <w:abstractNumId w:val="151"/>
  </w:num>
  <w:num w:numId="83" w16cid:durableId="1624310981">
    <w:abstractNumId w:val="289"/>
  </w:num>
  <w:num w:numId="84" w16cid:durableId="281154335">
    <w:abstractNumId w:val="77"/>
  </w:num>
  <w:num w:numId="85" w16cid:durableId="1411467727">
    <w:abstractNumId w:val="112"/>
  </w:num>
  <w:num w:numId="86" w16cid:durableId="476577920">
    <w:abstractNumId w:val="238"/>
  </w:num>
  <w:num w:numId="87" w16cid:durableId="1126583457">
    <w:abstractNumId w:val="267"/>
  </w:num>
  <w:num w:numId="88" w16cid:durableId="1400203737">
    <w:abstractNumId w:val="281"/>
  </w:num>
  <w:num w:numId="89" w16cid:durableId="168108085">
    <w:abstractNumId w:val="3"/>
  </w:num>
  <w:num w:numId="90" w16cid:durableId="1426606305">
    <w:abstractNumId w:val="209"/>
  </w:num>
  <w:num w:numId="91" w16cid:durableId="621613363">
    <w:abstractNumId w:val="66"/>
  </w:num>
  <w:num w:numId="92" w16cid:durableId="660699575">
    <w:abstractNumId w:val="19"/>
  </w:num>
  <w:num w:numId="93" w16cid:durableId="896551557">
    <w:abstractNumId w:val="142"/>
  </w:num>
  <w:num w:numId="94" w16cid:durableId="2111310723">
    <w:abstractNumId w:val="47"/>
  </w:num>
  <w:num w:numId="95" w16cid:durableId="1663123076">
    <w:abstractNumId w:val="160"/>
  </w:num>
  <w:num w:numId="96" w16cid:durableId="1041200130">
    <w:abstractNumId w:val="163"/>
  </w:num>
  <w:num w:numId="97" w16cid:durableId="1974367840">
    <w:abstractNumId w:val="170"/>
  </w:num>
  <w:num w:numId="98" w16cid:durableId="515925674">
    <w:abstractNumId w:val="16"/>
  </w:num>
  <w:num w:numId="99" w16cid:durableId="1296333251">
    <w:abstractNumId w:val="180"/>
  </w:num>
  <w:num w:numId="100" w16cid:durableId="104692155">
    <w:abstractNumId w:val="273"/>
  </w:num>
  <w:num w:numId="101" w16cid:durableId="2081174916">
    <w:abstractNumId w:val="12"/>
  </w:num>
  <w:num w:numId="102" w16cid:durableId="1866862079">
    <w:abstractNumId w:val="123"/>
  </w:num>
  <w:num w:numId="103" w16cid:durableId="675838879">
    <w:abstractNumId w:val="122"/>
  </w:num>
  <w:num w:numId="104" w16cid:durableId="1510565095">
    <w:abstractNumId w:val="227"/>
  </w:num>
  <w:num w:numId="105" w16cid:durableId="655451145">
    <w:abstractNumId w:val="50"/>
  </w:num>
  <w:num w:numId="106" w16cid:durableId="1576478271">
    <w:abstractNumId w:val="245"/>
  </w:num>
  <w:num w:numId="107" w16cid:durableId="1729184752">
    <w:abstractNumId w:val="177"/>
  </w:num>
  <w:num w:numId="108" w16cid:durableId="1455948961">
    <w:abstractNumId w:val="172"/>
  </w:num>
  <w:num w:numId="109" w16cid:durableId="418868824">
    <w:abstractNumId w:val="2"/>
  </w:num>
  <w:num w:numId="110" w16cid:durableId="285813708">
    <w:abstractNumId w:val="305"/>
  </w:num>
  <w:num w:numId="111" w16cid:durableId="1448503794">
    <w:abstractNumId w:val="176"/>
  </w:num>
  <w:num w:numId="112" w16cid:durableId="1228997643">
    <w:abstractNumId w:val="152"/>
  </w:num>
  <w:num w:numId="113" w16cid:durableId="1282107508">
    <w:abstractNumId w:val="288"/>
  </w:num>
  <w:num w:numId="114" w16cid:durableId="403258601">
    <w:abstractNumId w:val="252"/>
  </w:num>
  <w:num w:numId="115" w16cid:durableId="1779761209">
    <w:abstractNumId w:val="197"/>
  </w:num>
  <w:num w:numId="116" w16cid:durableId="626086387">
    <w:abstractNumId w:val="95"/>
  </w:num>
  <w:num w:numId="117" w16cid:durableId="452746782">
    <w:abstractNumId w:val="277"/>
  </w:num>
  <w:num w:numId="118" w16cid:durableId="1764838768">
    <w:abstractNumId w:val="13"/>
  </w:num>
  <w:num w:numId="119" w16cid:durableId="1400056010">
    <w:abstractNumId w:val="211"/>
  </w:num>
  <w:num w:numId="120" w16cid:durableId="1044788108">
    <w:abstractNumId w:val="271"/>
  </w:num>
  <w:num w:numId="121" w16cid:durableId="2006275596">
    <w:abstractNumId w:val="87"/>
  </w:num>
  <w:num w:numId="122" w16cid:durableId="1543128492">
    <w:abstractNumId w:val="201"/>
  </w:num>
  <w:num w:numId="123" w16cid:durableId="145174491">
    <w:abstractNumId w:val="195"/>
  </w:num>
  <w:num w:numId="124" w16cid:durableId="58477297">
    <w:abstractNumId w:val="186"/>
  </w:num>
  <w:num w:numId="125" w16cid:durableId="1951664149">
    <w:abstractNumId w:val="182"/>
  </w:num>
  <w:num w:numId="126" w16cid:durableId="926496405">
    <w:abstractNumId w:val="264"/>
  </w:num>
  <w:num w:numId="127" w16cid:durableId="2047294267">
    <w:abstractNumId w:val="300"/>
  </w:num>
  <w:num w:numId="128" w16cid:durableId="1143740405">
    <w:abstractNumId w:val="130"/>
  </w:num>
  <w:num w:numId="129" w16cid:durableId="1923416389">
    <w:abstractNumId w:val="275"/>
  </w:num>
  <w:num w:numId="130" w16cid:durableId="1257904532">
    <w:abstractNumId w:val="222"/>
  </w:num>
  <w:num w:numId="131" w16cid:durableId="1714428894">
    <w:abstractNumId w:val="11"/>
  </w:num>
  <w:num w:numId="132" w16cid:durableId="1272279030">
    <w:abstractNumId w:val="202"/>
  </w:num>
  <w:num w:numId="133" w16cid:durableId="1220242312">
    <w:abstractNumId w:val="89"/>
  </w:num>
  <w:num w:numId="134" w16cid:durableId="799224271">
    <w:abstractNumId w:val="55"/>
  </w:num>
  <w:num w:numId="135" w16cid:durableId="2103068691">
    <w:abstractNumId w:val="184"/>
  </w:num>
  <w:num w:numId="136" w16cid:durableId="2107072321">
    <w:abstractNumId w:val="158"/>
  </w:num>
  <w:num w:numId="137" w16cid:durableId="575406218">
    <w:abstractNumId w:val="73"/>
  </w:num>
  <w:num w:numId="138" w16cid:durableId="862548562">
    <w:abstractNumId w:val="228"/>
  </w:num>
  <w:num w:numId="139" w16cid:durableId="558830432">
    <w:abstractNumId w:val="23"/>
  </w:num>
  <w:num w:numId="140" w16cid:durableId="1798523696">
    <w:abstractNumId w:val="286"/>
  </w:num>
  <w:num w:numId="141" w16cid:durableId="1065226462">
    <w:abstractNumId w:val="91"/>
  </w:num>
  <w:num w:numId="142" w16cid:durableId="1265768559">
    <w:abstractNumId w:val="46"/>
  </w:num>
  <w:num w:numId="143" w16cid:durableId="2050298166">
    <w:abstractNumId w:val="256"/>
  </w:num>
  <w:num w:numId="144" w16cid:durableId="853036071">
    <w:abstractNumId w:val="233"/>
  </w:num>
  <w:num w:numId="145" w16cid:durableId="1424572597">
    <w:abstractNumId w:val="110"/>
  </w:num>
  <w:num w:numId="146" w16cid:durableId="119958188">
    <w:abstractNumId w:val="31"/>
  </w:num>
  <w:num w:numId="147" w16cid:durableId="1953053531">
    <w:abstractNumId w:val="150"/>
  </w:num>
  <w:num w:numId="148" w16cid:durableId="966738893">
    <w:abstractNumId w:val="191"/>
  </w:num>
  <w:num w:numId="149" w16cid:durableId="291979784">
    <w:abstractNumId w:val="294"/>
  </w:num>
  <w:num w:numId="150" w16cid:durableId="285550403">
    <w:abstractNumId w:val="276"/>
  </w:num>
  <w:num w:numId="151" w16cid:durableId="2032146917">
    <w:abstractNumId w:val="32"/>
  </w:num>
  <w:num w:numId="152" w16cid:durableId="2080134901">
    <w:abstractNumId w:val="137"/>
  </w:num>
  <w:num w:numId="153" w16cid:durableId="1865290328">
    <w:abstractNumId w:val="115"/>
  </w:num>
  <w:num w:numId="154" w16cid:durableId="712851849">
    <w:abstractNumId w:val="171"/>
  </w:num>
  <w:num w:numId="155" w16cid:durableId="1040940292">
    <w:abstractNumId w:val="204"/>
  </w:num>
  <w:num w:numId="156" w16cid:durableId="1649699856">
    <w:abstractNumId w:val="250"/>
  </w:num>
  <w:num w:numId="157" w16cid:durableId="1164977504">
    <w:abstractNumId w:val="49"/>
  </w:num>
  <w:num w:numId="158" w16cid:durableId="2026052942">
    <w:abstractNumId w:val="293"/>
  </w:num>
  <w:num w:numId="159" w16cid:durableId="2095930941">
    <w:abstractNumId w:val="236"/>
  </w:num>
  <w:num w:numId="160" w16cid:durableId="865750566">
    <w:abstractNumId w:val="72"/>
  </w:num>
  <w:num w:numId="161" w16cid:durableId="1604416519">
    <w:abstractNumId w:val="181"/>
  </w:num>
  <w:num w:numId="162" w16cid:durableId="1146436485">
    <w:abstractNumId w:val="285"/>
  </w:num>
  <w:num w:numId="163" w16cid:durableId="923344573">
    <w:abstractNumId w:val="98"/>
  </w:num>
  <w:num w:numId="164" w16cid:durableId="1336104941">
    <w:abstractNumId w:val="257"/>
  </w:num>
  <w:num w:numId="165" w16cid:durableId="2110806905">
    <w:abstractNumId w:val="239"/>
  </w:num>
  <w:num w:numId="166" w16cid:durableId="1108506061">
    <w:abstractNumId w:val="29"/>
  </w:num>
  <w:num w:numId="167" w16cid:durableId="443036051">
    <w:abstractNumId w:val="68"/>
  </w:num>
  <w:num w:numId="168" w16cid:durableId="919414175">
    <w:abstractNumId w:val="61"/>
  </w:num>
  <w:num w:numId="169" w16cid:durableId="1335916596">
    <w:abstractNumId w:val="28"/>
  </w:num>
  <w:num w:numId="170" w16cid:durableId="820118192">
    <w:abstractNumId w:val="161"/>
  </w:num>
  <w:num w:numId="171" w16cid:durableId="1118330018">
    <w:abstractNumId w:val="190"/>
  </w:num>
  <w:num w:numId="172" w16cid:durableId="845632179">
    <w:abstractNumId w:val="0"/>
  </w:num>
  <w:num w:numId="173" w16cid:durableId="1733308317">
    <w:abstractNumId w:val="244"/>
  </w:num>
  <w:num w:numId="174" w16cid:durableId="1356423258">
    <w:abstractNumId w:val="205"/>
  </w:num>
  <w:num w:numId="175" w16cid:durableId="643199511">
    <w:abstractNumId w:val="62"/>
  </w:num>
  <w:num w:numId="176" w16cid:durableId="1654066282">
    <w:abstractNumId w:val="153"/>
  </w:num>
  <w:num w:numId="177" w16cid:durableId="1756169702">
    <w:abstractNumId w:val="269"/>
  </w:num>
  <w:num w:numId="178" w16cid:durableId="582833705">
    <w:abstractNumId w:val="292"/>
  </w:num>
  <w:num w:numId="179" w16cid:durableId="1634483376">
    <w:abstractNumId w:val="138"/>
  </w:num>
  <w:num w:numId="180" w16cid:durableId="1008488645">
    <w:abstractNumId w:val="280"/>
  </w:num>
  <w:num w:numId="181" w16cid:durableId="743574505">
    <w:abstractNumId w:val="225"/>
  </w:num>
  <w:num w:numId="182" w16cid:durableId="1410422965">
    <w:abstractNumId w:val="90"/>
  </w:num>
  <w:num w:numId="183" w16cid:durableId="1859656822">
    <w:abstractNumId w:val="42"/>
  </w:num>
  <w:num w:numId="184" w16cid:durableId="1225797211">
    <w:abstractNumId w:val="231"/>
  </w:num>
  <w:num w:numId="185" w16cid:durableId="2000427578">
    <w:abstractNumId w:val="210"/>
  </w:num>
  <w:num w:numId="186" w16cid:durableId="2126581635">
    <w:abstractNumId w:val="136"/>
  </w:num>
  <w:num w:numId="187" w16cid:durableId="1717851547">
    <w:abstractNumId w:val="243"/>
  </w:num>
  <w:num w:numId="188" w16cid:durableId="1792019947">
    <w:abstractNumId w:val="302"/>
  </w:num>
  <w:num w:numId="189" w16cid:durableId="1720854950">
    <w:abstractNumId w:val="43"/>
  </w:num>
  <w:num w:numId="190" w16cid:durableId="1971086385">
    <w:abstractNumId w:val="15"/>
  </w:num>
  <w:num w:numId="191" w16cid:durableId="690183296">
    <w:abstractNumId w:val="212"/>
  </w:num>
  <w:num w:numId="192" w16cid:durableId="353970113">
    <w:abstractNumId w:val="242"/>
  </w:num>
  <w:num w:numId="193" w16cid:durableId="102649362">
    <w:abstractNumId w:val="215"/>
  </w:num>
  <w:num w:numId="194" w16cid:durableId="532884408">
    <w:abstractNumId w:val="193"/>
  </w:num>
  <w:num w:numId="195" w16cid:durableId="801193696">
    <w:abstractNumId w:val="220"/>
  </w:num>
  <w:num w:numId="196" w16cid:durableId="1988314105">
    <w:abstractNumId w:val="249"/>
  </w:num>
  <w:num w:numId="197" w16cid:durableId="1721513920">
    <w:abstractNumId w:val="260"/>
  </w:num>
  <w:num w:numId="198" w16cid:durableId="365838781">
    <w:abstractNumId w:val="301"/>
  </w:num>
  <w:num w:numId="199" w16cid:durableId="1395591654">
    <w:abstractNumId w:val="154"/>
  </w:num>
  <w:num w:numId="200" w16cid:durableId="1599409439">
    <w:abstractNumId w:val="272"/>
  </w:num>
  <w:num w:numId="201" w16cid:durableId="1040663349">
    <w:abstractNumId w:val="5"/>
  </w:num>
  <w:num w:numId="202" w16cid:durableId="295573115">
    <w:abstractNumId w:val="133"/>
  </w:num>
  <w:num w:numId="203" w16cid:durableId="2040622654">
    <w:abstractNumId w:val="93"/>
  </w:num>
  <w:num w:numId="204" w16cid:durableId="1109590844">
    <w:abstractNumId w:val="59"/>
  </w:num>
  <w:num w:numId="205" w16cid:durableId="1088767699">
    <w:abstractNumId w:val="132"/>
  </w:num>
  <w:num w:numId="206" w16cid:durableId="1776436672">
    <w:abstractNumId w:val="192"/>
  </w:num>
  <w:num w:numId="207" w16cid:durableId="954602608">
    <w:abstractNumId w:val="86"/>
  </w:num>
  <w:num w:numId="208" w16cid:durableId="1362706368">
    <w:abstractNumId w:val="166"/>
  </w:num>
  <w:num w:numId="209" w16cid:durableId="148333019">
    <w:abstractNumId w:val="284"/>
  </w:num>
  <w:num w:numId="210" w16cid:durableId="2038189422">
    <w:abstractNumId w:val="218"/>
  </w:num>
  <w:num w:numId="211" w16cid:durableId="2115200416">
    <w:abstractNumId w:val="183"/>
  </w:num>
  <w:num w:numId="212" w16cid:durableId="322390141">
    <w:abstractNumId w:val="64"/>
  </w:num>
  <w:num w:numId="213" w16cid:durableId="220411220">
    <w:abstractNumId w:val="75"/>
  </w:num>
  <w:num w:numId="214" w16cid:durableId="1184392608">
    <w:abstractNumId w:val="21"/>
  </w:num>
  <w:num w:numId="215" w16cid:durableId="837499790">
    <w:abstractNumId w:val="261"/>
  </w:num>
  <w:num w:numId="216" w16cid:durableId="1257329349">
    <w:abstractNumId w:val="67"/>
  </w:num>
  <w:num w:numId="217" w16cid:durableId="1628970286">
    <w:abstractNumId w:val="30"/>
  </w:num>
  <w:num w:numId="218" w16cid:durableId="1081608652">
    <w:abstractNumId w:val="52"/>
  </w:num>
  <w:num w:numId="219" w16cid:durableId="1329138850">
    <w:abstractNumId w:val="24"/>
  </w:num>
  <w:num w:numId="220" w16cid:durableId="314800842">
    <w:abstractNumId w:val="188"/>
  </w:num>
  <w:num w:numId="221" w16cid:durableId="654451327">
    <w:abstractNumId w:val="224"/>
  </w:num>
  <w:num w:numId="222" w16cid:durableId="420957229">
    <w:abstractNumId w:val="84"/>
  </w:num>
  <w:num w:numId="223" w16cid:durableId="1302729028">
    <w:abstractNumId w:val="120"/>
  </w:num>
  <w:num w:numId="224" w16cid:durableId="756440650">
    <w:abstractNumId w:val="307"/>
  </w:num>
  <w:num w:numId="225" w16cid:durableId="2000771066">
    <w:abstractNumId w:val="36"/>
  </w:num>
  <w:num w:numId="226" w16cid:durableId="373583679">
    <w:abstractNumId w:val="216"/>
  </w:num>
  <w:num w:numId="227" w16cid:durableId="1384981665">
    <w:abstractNumId w:val="74"/>
  </w:num>
  <w:num w:numId="228" w16cid:durableId="840707037">
    <w:abstractNumId w:val="278"/>
  </w:num>
  <w:num w:numId="229" w16cid:durableId="357899951">
    <w:abstractNumId w:val="298"/>
  </w:num>
  <w:num w:numId="230" w16cid:durableId="857348557">
    <w:abstractNumId w:val="229"/>
  </w:num>
  <w:num w:numId="231" w16cid:durableId="1079327851">
    <w:abstractNumId w:val="274"/>
  </w:num>
  <w:num w:numId="232" w16cid:durableId="1063453768">
    <w:abstractNumId w:val="40"/>
  </w:num>
  <w:num w:numId="233" w16cid:durableId="1932929053">
    <w:abstractNumId w:val="235"/>
  </w:num>
  <w:num w:numId="234" w16cid:durableId="81612579">
    <w:abstractNumId w:val="109"/>
  </w:num>
  <w:num w:numId="235" w16cid:durableId="470560320">
    <w:abstractNumId w:val="102"/>
  </w:num>
  <w:num w:numId="236" w16cid:durableId="239826860">
    <w:abstractNumId w:val="297"/>
  </w:num>
  <w:num w:numId="237" w16cid:durableId="346491534">
    <w:abstractNumId w:val="214"/>
  </w:num>
  <w:num w:numId="238" w16cid:durableId="1101414221">
    <w:abstractNumId w:val="44"/>
  </w:num>
  <w:num w:numId="239" w16cid:durableId="2020807584">
    <w:abstractNumId w:val="111"/>
  </w:num>
  <w:num w:numId="240" w16cid:durableId="1168639731">
    <w:abstractNumId w:val="208"/>
  </w:num>
  <w:num w:numId="241" w16cid:durableId="1836337601">
    <w:abstractNumId w:val="175"/>
  </w:num>
  <w:num w:numId="242" w16cid:durableId="485165372">
    <w:abstractNumId w:val="56"/>
  </w:num>
  <w:num w:numId="243" w16cid:durableId="28997633">
    <w:abstractNumId w:val="141"/>
  </w:num>
  <w:num w:numId="244" w16cid:durableId="1060640894">
    <w:abstractNumId w:val="258"/>
  </w:num>
  <w:num w:numId="245" w16cid:durableId="1721855006">
    <w:abstractNumId w:val="57"/>
  </w:num>
  <w:num w:numId="246" w16cid:durableId="1108357233">
    <w:abstractNumId w:val="100"/>
  </w:num>
  <w:num w:numId="247" w16cid:durableId="1047416988">
    <w:abstractNumId w:val="169"/>
  </w:num>
  <w:num w:numId="248" w16cid:durableId="946424158">
    <w:abstractNumId w:val="149"/>
  </w:num>
  <w:num w:numId="249" w16cid:durableId="1982491888">
    <w:abstractNumId w:val="37"/>
  </w:num>
  <w:num w:numId="250" w16cid:durableId="658773686">
    <w:abstractNumId w:val="234"/>
  </w:num>
  <w:num w:numId="251" w16cid:durableId="2011906299">
    <w:abstractNumId w:val="124"/>
  </w:num>
  <w:num w:numId="252" w16cid:durableId="299043732">
    <w:abstractNumId w:val="117"/>
  </w:num>
  <w:num w:numId="253" w16cid:durableId="1809322281">
    <w:abstractNumId w:val="76"/>
  </w:num>
  <w:num w:numId="254" w16cid:durableId="570699978">
    <w:abstractNumId w:val="199"/>
  </w:num>
  <w:num w:numId="255" w16cid:durableId="1563711189">
    <w:abstractNumId w:val="162"/>
  </w:num>
  <w:num w:numId="256" w16cid:durableId="462038367">
    <w:abstractNumId w:val="105"/>
  </w:num>
  <w:num w:numId="257" w16cid:durableId="1631865635">
    <w:abstractNumId w:val="165"/>
  </w:num>
  <w:num w:numId="258" w16cid:durableId="1541091889">
    <w:abstractNumId w:val="262"/>
  </w:num>
  <w:num w:numId="259" w16cid:durableId="1030841774">
    <w:abstractNumId w:val="88"/>
  </w:num>
  <w:num w:numId="260" w16cid:durableId="878320731">
    <w:abstractNumId w:val="144"/>
  </w:num>
  <w:num w:numId="261" w16cid:durableId="1950771888">
    <w:abstractNumId w:val="126"/>
  </w:num>
  <w:num w:numId="262" w16cid:durableId="1401252762">
    <w:abstractNumId w:val="128"/>
  </w:num>
  <w:num w:numId="263" w16cid:durableId="1853297246">
    <w:abstractNumId w:val="217"/>
  </w:num>
  <w:num w:numId="264" w16cid:durableId="1112361070">
    <w:abstractNumId w:val="119"/>
  </w:num>
  <w:num w:numId="265" w16cid:durableId="1328561482">
    <w:abstractNumId w:val="53"/>
  </w:num>
  <w:num w:numId="266" w16cid:durableId="880046723">
    <w:abstractNumId w:val="51"/>
  </w:num>
  <w:num w:numId="267" w16cid:durableId="1281954130">
    <w:abstractNumId w:val="147"/>
  </w:num>
  <w:num w:numId="268" w16cid:durableId="857890926">
    <w:abstractNumId w:val="33"/>
  </w:num>
  <w:num w:numId="269" w16cid:durableId="9265507">
    <w:abstractNumId w:val="248"/>
  </w:num>
  <w:num w:numId="270" w16cid:durableId="1432553734">
    <w:abstractNumId w:val="85"/>
  </w:num>
  <w:num w:numId="271" w16cid:durableId="1335955925">
    <w:abstractNumId w:val="230"/>
  </w:num>
  <w:num w:numId="272" w16cid:durableId="361368174">
    <w:abstractNumId w:val="279"/>
  </w:num>
  <w:num w:numId="273" w16cid:durableId="218588893">
    <w:abstractNumId w:val="20"/>
  </w:num>
  <w:num w:numId="274" w16cid:durableId="1815368364">
    <w:abstractNumId w:val="283"/>
  </w:num>
  <w:num w:numId="275" w16cid:durableId="1540245663">
    <w:abstractNumId w:val="35"/>
  </w:num>
  <w:num w:numId="276" w16cid:durableId="1450204145">
    <w:abstractNumId w:val="187"/>
  </w:num>
  <w:num w:numId="277" w16cid:durableId="1769497366">
    <w:abstractNumId w:val="246"/>
  </w:num>
  <w:num w:numId="278" w16cid:durableId="1068192222">
    <w:abstractNumId w:val="8"/>
  </w:num>
  <w:num w:numId="279" w16cid:durableId="1017924087">
    <w:abstractNumId w:val="254"/>
  </w:num>
  <w:num w:numId="280" w16cid:durableId="1114907550">
    <w:abstractNumId w:val="168"/>
  </w:num>
  <w:num w:numId="281" w16cid:durableId="470054045">
    <w:abstractNumId w:val="83"/>
  </w:num>
  <w:num w:numId="282" w16cid:durableId="339164684">
    <w:abstractNumId w:val="25"/>
  </w:num>
  <w:num w:numId="283" w16cid:durableId="1310212074">
    <w:abstractNumId w:val="18"/>
  </w:num>
  <w:num w:numId="284" w16cid:durableId="33119011">
    <w:abstractNumId w:val="99"/>
  </w:num>
  <w:num w:numId="285" w16cid:durableId="1148013274">
    <w:abstractNumId w:val="207"/>
  </w:num>
  <w:num w:numId="286" w16cid:durableId="296571220">
    <w:abstractNumId w:val="81"/>
  </w:num>
  <w:num w:numId="287" w16cid:durableId="290980091">
    <w:abstractNumId w:val="213"/>
  </w:num>
  <w:num w:numId="288" w16cid:durableId="1230651585">
    <w:abstractNumId w:val="232"/>
  </w:num>
  <w:num w:numId="289" w16cid:durableId="2080320778">
    <w:abstractNumId w:val="54"/>
  </w:num>
  <w:num w:numId="290" w16cid:durableId="52852319">
    <w:abstractNumId w:val="41"/>
  </w:num>
  <w:num w:numId="291" w16cid:durableId="1936593989">
    <w:abstractNumId w:val="78"/>
  </w:num>
  <w:num w:numId="292" w16cid:durableId="1459639544">
    <w:abstractNumId w:val="131"/>
  </w:num>
  <w:num w:numId="293" w16cid:durableId="840002507">
    <w:abstractNumId w:val="155"/>
  </w:num>
  <w:num w:numId="294" w16cid:durableId="25446037">
    <w:abstractNumId w:val="237"/>
  </w:num>
  <w:num w:numId="295" w16cid:durableId="1262837534">
    <w:abstractNumId w:val="164"/>
  </w:num>
  <w:num w:numId="296" w16cid:durableId="1726836029">
    <w:abstractNumId w:val="82"/>
  </w:num>
  <w:num w:numId="297" w16cid:durableId="454521464">
    <w:abstractNumId w:val="156"/>
  </w:num>
  <w:num w:numId="298" w16cid:durableId="1515261837">
    <w:abstractNumId w:val="200"/>
  </w:num>
  <w:num w:numId="299" w16cid:durableId="2105103255">
    <w:abstractNumId w:val="263"/>
  </w:num>
  <w:num w:numId="300" w16cid:durableId="1225601494">
    <w:abstractNumId w:val="60"/>
  </w:num>
  <w:num w:numId="301" w16cid:durableId="1542396804">
    <w:abstractNumId w:val="157"/>
  </w:num>
  <w:num w:numId="302" w16cid:durableId="1737361146">
    <w:abstractNumId w:val="247"/>
  </w:num>
  <w:num w:numId="303" w16cid:durableId="614990073">
    <w:abstractNumId w:val="70"/>
  </w:num>
  <w:num w:numId="304" w16cid:durableId="883255554">
    <w:abstractNumId w:val="125"/>
  </w:num>
  <w:num w:numId="305" w16cid:durableId="758984600">
    <w:abstractNumId w:val="146"/>
  </w:num>
  <w:num w:numId="306" w16cid:durableId="1496069744">
    <w:abstractNumId w:val="189"/>
  </w:num>
  <w:num w:numId="307" w16cid:durableId="1644772590">
    <w:abstractNumId w:val="241"/>
  </w:num>
  <w:num w:numId="308" w16cid:durableId="90978336">
    <w:abstractNumId w:val="63"/>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3C"/>
    <w:rsid w:val="00000EEA"/>
    <w:rsid w:val="0000152A"/>
    <w:rsid w:val="00001C78"/>
    <w:rsid w:val="0000289E"/>
    <w:rsid w:val="00003A24"/>
    <w:rsid w:val="000043DF"/>
    <w:rsid w:val="000051AA"/>
    <w:rsid w:val="000105B3"/>
    <w:rsid w:val="00012F32"/>
    <w:rsid w:val="00013446"/>
    <w:rsid w:val="00013660"/>
    <w:rsid w:val="00015016"/>
    <w:rsid w:val="00016071"/>
    <w:rsid w:val="00020217"/>
    <w:rsid w:val="00021D6C"/>
    <w:rsid w:val="00023999"/>
    <w:rsid w:val="00024C2F"/>
    <w:rsid w:val="00024C71"/>
    <w:rsid w:val="000256A7"/>
    <w:rsid w:val="00025751"/>
    <w:rsid w:val="0003069F"/>
    <w:rsid w:val="000317EB"/>
    <w:rsid w:val="00031CFC"/>
    <w:rsid w:val="00031EEA"/>
    <w:rsid w:val="00032399"/>
    <w:rsid w:val="00032907"/>
    <w:rsid w:val="00034460"/>
    <w:rsid w:val="00034EFE"/>
    <w:rsid w:val="000378E2"/>
    <w:rsid w:val="00037977"/>
    <w:rsid w:val="00040AF4"/>
    <w:rsid w:val="00042342"/>
    <w:rsid w:val="0004363A"/>
    <w:rsid w:val="00044263"/>
    <w:rsid w:val="00044343"/>
    <w:rsid w:val="000443D3"/>
    <w:rsid w:val="000472D5"/>
    <w:rsid w:val="00050E10"/>
    <w:rsid w:val="00051B61"/>
    <w:rsid w:val="00051C1B"/>
    <w:rsid w:val="000538DF"/>
    <w:rsid w:val="00053C55"/>
    <w:rsid w:val="000542B4"/>
    <w:rsid w:val="00057D0A"/>
    <w:rsid w:val="000601A5"/>
    <w:rsid w:val="00060B17"/>
    <w:rsid w:val="00060CD5"/>
    <w:rsid w:val="000611A7"/>
    <w:rsid w:val="00062091"/>
    <w:rsid w:val="0006241E"/>
    <w:rsid w:val="00065E80"/>
    <w:rsid w:val="000703D1"/>
    <w:rsid w:val="00072239"/>
    <w:rsid w:val="0007239E"/>
    <w:rsid w:val="00072512"/>
    <w:rsid w:val="00075653"/>
    <w:rsid w:val="00075E4B"/>
    <w:rsid w:val="00075F8F"/>
    <w:rsid w:val="00076119"/>
    <w:rsid w:val="00076AD9"/>
    <w:rsid w:val="00076E56"/>
    <w:rsid w:val="00080357"/>
    <w:rsid w:val="0008102E"/>
    <w:rsid w:val="00081766"/>
    <w:rsid w:val="00081E64"/>
    <w:rsid w:val="00081E97"/>
    <w:rsid w:val="00082534"/>
    <w:rsid w:val="00084E86"/>
    <w:rsid w:val="00085F8C"/>
    <w:rsid w:val="00090ECA"/>
    <w:rsid w:val="00090F80"/>
    <w:rsid w:val="00091D8E"/>
    <w:rsid w:val="000925F6"/>
    <w:rsid w:val="00092648"/>
    <w:rsid w:val="00093EF4"/>
    <w:rsid w:val="0009423E"/>
    <w:rsid w:val="0009511F"/>
    <w:rsid w:val="000959C4"/>
    <w:rsid w:val="00096219"/>
    <w:rsid w:val="000964AB"/>
    <w:rsid w:val="000967DD"/>
    <w:rsid w:val="0009692C"/>
    <w:rsid w:val="00097CC8"/>
    <w:rsid w:val="00097CDE"/>
    <w:rsid w:val="00097E4B"/>
    <w:rsid w:val="000A0CC1"/>
    <w:rsid w:val="000A12A6"/>
    <w:rsid w:val="000A2044"/>
    <w:rsid w:val="000A403C"/>
    <w:rsid w:val="000A42AC"/>
    <w:rsid w:val="000A4462"/>
    <w:rsid w:val="000A5373"/>
    <w:rsid w:val="000A5B15"/>
    <w:rsid w:val="000A6B81"/>
    <w:rsid w:val="000B0CA9"/>
    <w:rsid w:val="000B1875"/>
    <w:rsid w:val="000B1AA1"/>
    <w:rsid w:val="000B22C2"/>
    <w:rsid w:val="000B2DC2"/>
    <w:rsid w:val="000B3BB5"/>
    <w:rsid w:val="000B4EB4"/>
    <w:rsid w:val="000B528C"/>
    <w:rsid w:val="000B5D58"/>
    <w:rsid w:val="000B5FB1"/>
    <w:rsid w:val="000B65B6"/>
    <w:rsid w:val="000B7F10"/>
    <w:rsid w:val="000C1320"/>
    <w:rsid w:val="000C1D53"/>
    <w:rsid w:val="000C25AB"/>
    <w:rsid w:val="000C385B"/>
    <w:rsid w:val="000C4153"/>
    <w:rsid w:val="000C44D9"/>
    <w:rsid w:val="000C5421"/>
    <w:rsid w:val="000C783F"/>
    <w:rsid w:val="000D0785"/>
    <w:rsid w:val="000D2B7F"/>
    <w:rsid w:val="000D3DC6"/>
    <w:rsid w:val="000D4662"/>
    <w:rsid w:val="000D4FA5"/>
    <w:rsid w:val="000D54DD"/>
    <w:rsid w:val="000D58FD"/>
    <w:rsid w:val="000D6750"/>
    <w:rsid w:val="000D6867"/>
    <w:rsid w:val="000E1C7A"/>
    <w:rsid w:val="000E1DDA"/>
    <w:rsid w:val="000E3C1D"/>
    <w:rsid w:val="000E3E7E"/>
    <w:rsid w:val="000E4B20"/>
    <w:rsid w:val="000E4B65"/>
    <w:rsid w:val="000E4F30"/>
    <w:rsid w:val="000E6DB7"/>
    <w:rsid w:val="000E7FC8"/>
    <w:rsid w:val="000F10F7"/>
    <w:rsid w:val="000F2C42"/>
    <w:rsid w:val="000F2F65"/>
    <w:rsid w:val="000F2FC1"/>
    <w:rsid w:val="000F400B"/>
    <w:rsid w:val="000F424B"/>
    <w:rsid w:val="000F5305"/>
    <w:rsid w:val="000F533E"/>
    <w:rsid w:val="000F59FD"/>
    <w:rsid w:val="00102078"/>
    <w:rsid w:val="001022EF"/>
    <w:rsid w:val="0010249E"/>
    <w:rsid w:val="001026CD"/>
    <w:rsid w:val="00102D74"/>
    <w:rsid w:val="00103B8D"/>
    <w:rsid w:val="0010436C"/>
    <w:rsid w:val="00104B0D"/>
    <w:rsid w:val="00105BC8"/>
    <w:rsid w:val="00106271"/>
    <w:rsid w:val="00110597"/>
    <w:rsid w:val="001106B7"/>
    <w:rsid w:val="001118F2"/>
    <w:rsid w:val="001122B9"/>
    <w:rsid w:val="00113414"/>
    <w:rsid w:val="00113EF2"/>
    <w:rsid w:val="00114104"/>
    <w:rsid w:val="00114D43"/>
    <w:rsid w:val="00117025"/>
    <w:rsid w:val="00117776"/>
    <w:rsid w:val="00121317"/>
    <w:rsid w:val="001228DC"/>
    <w:rsid w:val="001231D6"/>
    <w:rsid w:val="00123332"/>
    <w:rsid w:val="00124C1F"/>
    <w:rsid w:val="00125506"/>
    <w:rsid w:val="0012757F"/>
    <w:rsid w:val="00127696"/>
    <w:rsid w:val="00127801"/>
    <w:rsid w:val="00130A6E"/>
    <w:rsid w:val="00130B7F"/>
    <w:rsid w:val="00134A23"/>
    <w:rsid w:val="00135283"/>
    <w:rsid w:val="00135A1E"/>
    <w:rsid w:val="001368E8"/>
    <w:rsid w:val="00137010"/>
    <w:rsid w:val="0013736F"/>
    <w:rsid w:val="0013793D"/>
    <w:rsid w:val="00137B0E"/>
    <w:rsid w:val="00140B52"/>
    <w:rsid w:val="00140E30"/>
    <w:rsid w:val="001414E0"/>
    <w:rsid w:val="00141823"/>
    <w:rsid w:val="001419A3"/>
    <w:rsid w:val="00141C2D"/>
    <w:rsid w:val="0014272B"/>
    <w:rsid w:val="001437A3"/>
    <w:rsid w:val="001442C4"/>
    <w:rsid w:val="00144F8F"/>
    <w:rsid w:val="00145824"/>
    <w:rsid w:val="00145CD6"/>
    <w:rsid w:val="00146197"/>
    <w:rsid w:val="001475AA"/>
    <w:rsid w:val="00150B2A"/>
    <w:rsid w:val="00151E30"/>
    <w:rsid w:val="001539B4"/>
    <w:rsid w:val="00154B3F"/>
    <w:rsid w:val="001562F4"/>
    <w:rsid w:val="00156BD0"/>
    <w:rsid w:val="00161C06"/>
    <w:rsid w:val="00162281"/>
    <w:rsid w:val="0016276E"/>
    <w:rsid w:val="0016339D"/>
    <w:rsid w:val="0016362B"/>
    <w:rsid w:val="001638FA"/>
    <w:rsid w:val="00164BDC"/>
    <w:rsid w:val="001652E8"/>
    <w:rsid w:val="00166ED6"/>
    <w:rsid w:val="001674E0"/>
    <w:rsid w:val="00167568"/>
    <w:rsid w:val="00170221"/>
    <w:rsid w:val="00170284"/>
    <w:rsid w:val="00170BE2"/>
    <w:rsid w:val="0017134C"/>
    <w:rsid w:val="00171664"/>
    <w:rsid w:val="00171C82"/>
    <w:rsid w:val="00173A6C"/>
    <w:rsid w:val="00174C29"/>
    <w:rsid w:val="00174E50"/>
    <w:rsid w:val="00175769"/>
    <w:rsid w:val="0017707D"/>
    <w:rsid w:val="00177491"/>
    <w:rsid w:val="0017759C"/>
    <w:rsid w:val="00180DAA"/>
    <w:rsid w:val="001829B9"/>
    <w:rsid w:val="00184D68"/>
    <w:rsid w:val="00185572"/>
    <w:rsid w:val="00185B8A"/>
    <w:rsid w:val="00186601"/>
    <w:rsid w:val="00187C83"/>
    <w:rsid w:val="00190F8C"/>
    <w:rsid w:val="00191111"/>
    <w:rsid w:val="0019292F"/>
    <w:rsid w:val="001937B9"/>
    <w:rsid w:val="0019590B"/>
    <w:rsid w:val="00196025"/>
    <w:rsid w:val="00196CBF"/>
    <w:rsid w:val="0019767F"/>
    <w:rsid w:val="001A03A0"/>
    <w:rsid w:val="001A03FD"/>
    <w:rsid w:val="001A1D41"/>
    <w:rsid w:val="001A2298"/>
    <w:rsid w:val="001A29B2"/>
    <w:rsid w:val="001A441F"/>
    <w:rsid w:val="001A54B6"/>
    <w:rsid w:val="001A5730"/>
    <w:rsid w:val="001A69B6"/>
    <w:rsid w:val="001A6BFB"/>
    <w:rsid w:val="001A7FEA"/>
    <w:rsid w:val="001B0839"/>
    <w:rsid w:val="001B1E6C"/>
    <w:rsid w:val="001B246C"/>
    <w:rsid w:val="001B4185"/>
    <w:rsid w:val="001B71DB"/>
    <w:rsid w:val="001C03F2"/>
    <w:rsid w:val="001C14A3"/>
    <w:rsid w:val="001C188F"/>
    <w:rsid w:val="001C24B0"/>
    <w:rsid w:val="001C2533"/>
    <w:rsid w:val="001C3035"/>
    <w:rsid w:val="001C7320"/>
    <w:rsid w:val="001C78BA"/>
    <w:rsid w:val="001C7A47"/>
    <w:rsid w:val="001C7DE5"/>
    <w:rsid w:val="001D16E8"/>
    <w:rsid w:val="001D1F92"/>
    <w:rsid w:val="001D2094"/>
    <w:rsid w:val="001D4D39"/>
    <w:rsid w:val="001D511A"/>
    <w:rsid w:val="001D689F"/>
    <w:rsid w:val="001D704D"/>
    <w:rsid w:val="001D7382"/>
    <w:rsid w:val="001D7399"/>
    <w:rsid w:val="001D7413"/>
    <w:rsid w:val="001E3DF1"/>
    <w:rsid w:val="001E3FA0"/>
    <w:rsid w:val="001E45CA"/>
    <w:rsid w:val="001E4D37"/>
    <w:rsid w:val="001E656C"/>
    <w:rsid w:val="001E6B72"/>
    <w:rsid w:val="001E752C"/>
    <w:rsid w:val="001E79B3"/>
    <w:rsid w:val="001E7A97"/>
    <w:rsid w:val="001E7F3D"/>
    <w:rsid w:val="001F00E0"/>
    <w:rsid w:val="001F317A"/>
    <w:rsid w:val="001F3B78"/>
    <w:rsid w:val="001F6261"/>
    <w:rsid w:val="001F71E1"/>
    <w:rsid w:val="00202E2A"/>
    <w:rsid w:val="00204323"/>
    <w:rsid w:val="002123B3"/>
    <w:rsid w:val="00213D26"/>
    <w:rsid w:val="0021466C"/>
    <w:rsid w:val="0021505E"/>
    <w:rsid w:val="00215085"/>
    <w:rsid w:val="002156AB"/>
    <w:rsid w:val="00220D05"/>
    <w:rsid w:val="00220E27"/>
    <w:rsid w:val="002218B0"/>
    <w:rsid w:val="00221C04"/>
    <w:rsid w:val="00223993"/>
    <w:rsid w:val="00224728"/>
    <w:rsid w:val="00224DB3"/>
    <w:rsid w:val="00224F3A"/>
    <w:rsid w:val="00225212"/>
    <w:rsid w:val="0022680C"/>
    <w:rsid w:val="002268F6"/>
    <w:rsid w:val="00230B41"/>
    <w:rsid w:val="00233695"/>
    <w:rsid w:val="002342EF"/>
    <w:rsid w:val="0023434F"/>
    <w:rsid w:val="00234F58"/>
    <w:rsid w:val="002366FD"/>
    <w:rsid w:val="00236C29"/>
    <w:rsid w:val="00237CDC"/>
    <w:rsid w:val="00241229"/>
    <w:rsid w:val="0024195E"/>
    <w:rsid w:val="002425A9"/>
    <w:rsid w:val="00244546"/>
    <w:rsid w:val="0024476F"/>
    <w:rsid w:val="0024761A"/>
    <w:rsid w:val="0025050B"/>
    <w:rsid w:val="00254064"/>
    <w:rsid w:val="00254D41"/>
    <w:rsid w:val="00255552"/>
    <w:rsid w:val="0025587E"/>
    <w:rsid w:val="00255927"/>
    <w:rsid w:val="002579E8"/>
    <w:rsid w:val="0026156D"/>
    <w:rsid w:val="002615C1"/>
    <w:rsid w:val="00261D58"/>
    <w:rsid w:val="00262608"/>
    <w:rsid w:val="00263200"/>
    <w:rsid w:val="002638AE"/>
    <w:rsid w:val="002649E5"/>
    <w:rsid w:val="0026665D"/>
    <w:rsid w:val="00266952"/>
    <w:rsid w:val="00270B8A"/>
    <w:rsid w:val="00270CB3"/>
    <w:rsid w:val="00272371"/>
    <w:rsid w:val="00272384"/>
    <w:rsid w:val="00272603"/>
    <w:rsid w:val="00272EE3"/>
    <w:rsid w:val="00275A9B"/>
    <w:rsid w:val="00281019"/>
    <w:rsid w:val="00281DF9"/>
    <w:rsid w:val="00282B7A"/>
    <w:rsid w:val="00282C3C"/>
    <w:rsid w:val="00282EA7"/>
    <w:rsid w:val="00283A83"/>
    <w:rsid w:val="00287308"/>
    <w:rsid w:val="00290D78"/>
    <w:rsid w:val="00290ECC"/>
    <w:rsid w:val="00292F7C"/>
    <w:rsid w:val="0029518D"/>
    <w:rsid w:val="00295648"/>
    <w:rsid w:val="00296F85"/>
    <w:rsid w:val="00297E11"/>
    <w:rsid w:val="002A2170"/>
    <w:rsid w:val="002A22CC"/>
    <w:rsid w:val="002A3A72"/>
    <w:rsid w:val="002A4769"/>
    <w:rsid w:val="002A652C"/>
    <w:rsid w:val="002A7D65"/>
    <w:rsid w:val="002B0091"/>
    <w:rsid w:val="002B08F1"/>
    <w:rsid w:val="002B0B9C"/>
    <w:rsid w:val="002B3226"/>
    <w:rsid w:val="002B3443"/>
    <w:rsid w:val="002B53F9"/>
    <w:rsid w:val="002B7FD5"/>
    <w:rsid w:val="002C00A4"/>
    <w:rsid w:val="002C010C"/>
    <w:rsid w:val="002C0D21"/>
    <w:rsid w:val="002C1151"/>
    <w:rsid w:val="002C2334"/>
    <w:rsid w:val="002C77B4"/>
    <w:rsid w:val="002C7A9D"/>
    <w:rsid w:val="002C7D89"/>
    <w:rsid w:val="002D046B"/>
    <w:rsid w:val="002D04B3"/>
    <w:rsid w:val="002D0B7D"/>
    <w:rsid w:val="002D226B"/>
    <w:rsid w:val="002D2633"/>
    <w:rsid w:val="002D55EB"/>
    <w:rsid w:val="002D5958"/>
    <w:rsid w:val="002D5D7D"/>
    <w:rsid w:val="002D612F"/>
    <w:rsid w:val="002D6AAD"/>
    <w:rsid w:val="002D77AD"/>
    <w:rsid w:val="002D7A85"/>
    <w:rsid w:val="002D7EB4"/>
    <w:rsid w:val="002D7EE7"/>
    <w:rsid w:val="002E2277"/>
    <w:rsid w:val="002E27F0"/>
    <w:rsid w:val="002E2E7B"/>
    <w:rsid w:val="002E3FCB"/>
    <w:rsid w:val="002E5F99"/>
    <w:rsid w:val="002F1D5C"/>
    <w:rsid w:val="002F2BFE"/>
    <w:rsid w:val="002F3516"/>
    <w:rsid w:val="002F3527"/>
    <w:rsid w:val="002F6C2F"/>
    <w:rsid w:val="0030012B"/>
    <w:rsid w:val="00300472"/>
    <w:rsid w:val="00300907"/>
    <w:rsid w:val="00301690"/>
    <w:rsid w:val="0030502B"/>
    <w:rsid w:val="00306A48"/>
    <w:rsid w:val="00306D51"/>
    <w:rsid w:val="003074DC"/>
    <w:rsid w:val="0031241C"/>
    <w:rsid w:val="00313A9D"/>
    <w:rsid w:val="00314379"/>
    <w:rsid w:val="00315588"/>
    <w:rsid w:val="0031776A"/>
    <w:rsid w:val="003211E9"/>
    <w:rsid w:val="0032302A"/>
    <w:rsid w:val="00325AC8"/>
    <w:rsid w:val="00326BF2"/>
    <w:rsid w:val="00326EB2"/>
    <w:rsid w:val="00327AD6"/>
    <w:rsid w:val="0033152E"/>
    <w:rsid w:val="003328DF"/>
    <w:rsid w:val="00332956"/>
    <w:rsid w:val="00334519"/>
    <w:rsid w:val="00334EAF"/>
    <w:rsid w:val="00334ED2"/>
    <w:rsid w:val="00334F42"/>
    <w:rsid w:val="00335220"/>
    <w:rsid w:val="00337601"/>
    <w:rsid w:val="003412A5"/>
    <w:rsid w:val="00341FFC"/>
    <w:rsid w:val="003424C3"/>
    <w:rsid w:val="00343701"/>
    <w:rsid w:val="003441D9"/>
    <w:rsid w:val="00345913"/>
    <w:rsid w:val="00347858"/>
    <w:rsid w:val="003515E4"/>
    <w:rsid w:val="00351695"/>
    <w:rsid w:val="00351B9E"/>
    <w:rsid w:val="003540F0"/>
    <w:rsid w:val="00355984"/>
    <w:rsid w:val="00355F0C"/>
    <w:rsid w:val="00355F4F"/>
    <w:rsid w:val="00360167"/>
    <w:rsid w:val="003621C4"/>
    <w:rsid w:val="003623D2"/>
    <w:rsid w:val="0036326B"/>
    <w:rsid w:val="0036353F"/>
    <w:rsid w:val="00364A1E"/>
    <w:rsid w:val="00364E15"/>
    <w:rsid w:val="003671F4"/>
    <w:rsid w:val="00367DDB"/>
    <w:rsid w:val="003707C5"/>
    <w:rsid w:val="00371F43"/>
    <w:rsid w:val="0037207F"/>
    <w:rsid w:val="00373C73"/>
    <w:rsid w:val="0037744D"/>
    <w:rsid w:val="00377A3D"/>
    <w:rsid w:val="003804AC"/>
    <w:rsid w:val="00380B84"/>
    <w:rsid w:val="00380B99"/>
    <w:rsid w:val="00380BB2"/>
    <w:rsid w:val="00381DD6"/>
    <w:rsid w:val="003824C6"/>
    <w:rsid w:val="003856FE"/>
    <w:rsid w:val="00385F54"/>
    <w:rsid w:val="00386364"/>
    <w:rsid w:val="003869C3"/>
    <w:rsid w:val="00387551"/>
    <w:rsid w:val="0039078C"/>
    <w:rsid w:val="003911CA"/>
    <w:rsid w:val="00391DDF"/>
    <w:rsid w:val="00392087"/>
    <w:rsid w:val="0039292A"/>
    <w:rsid w:val="0039372C"/>
    <w:rsid w:val="003943B3"/>
    <w:rsid w:val="0039466D"/>
    <w:rsid w:val="003948DD"/>
    <w:rsid w:val="00394D47"/>
    <w:rsid w:val="00395731"/>
    <w:rsid w:val="00396803"/>
    <w:rsid w:val="003A23DB"/>
    <w:rsid w:val="003A3CE9"/>
    <w:rsid w:val="003A4CC7"/>
    <w:rsid w:val="003A53D5"/>
    <w:rsid w:val="003A640D"/>
    <w:rsid w:val="003A6425"/>
    <w:rsid w:val="003A7345"/>
    <w:rsid w:val="003A7EC3"/>
    <w:rsid w:val="003B0738"/>
    <w:rsid w:val="003B2D66"/>
    <w:rsid w:val="003B30F2"/>
    <w:rsid w:val="003B32CA"/>
    <w:rsid w:val="003B4694"/>
    <w:rsid w:val="003B5201"/>
    <w:rsid w:val="003B58F9"/>
    <w:rsid w:val="003B5C31"/>
    <w:rsid w:val="003B5FA4"/>
    <w:rsid w:val="003B721E"/>
    <w:rsid w:val="003B75F1"/>
    <w:rsid w:val="003B7B65"/>
    <w:rsid w:val="003C10E7"/>
    <w:rsid w:val="003C1680"/>
    <w:rsid w:val="003C1EA9"/>
    <w:rsid w:val="003C2A1E"/>
    <w:rsid w:val="003C4AAC"/>
    <w:rsid w:val="003C4F40"/>
    <w:rsid w:val="003C6697"/>
    <w:rsid w:val="003C7627"/>
    <w:rsid w:val="003C7975"/>
    <w:rsid w:val="003C7FC1"/>
    <w:rsid w:val="003D02BD"/>
    <w:rsid w:val="003D15AC"/>
    <w:rsid w:val="003D3111"/>
    <w:rsid w:val="003D3CFA"/>
    <w:rsid w:val="003D4C08"/>
    <w:rsid w:val="003D58B0"/>
    <w:rsid w:val="003D6D11"/>
    <w:rsid w:val="003E06FF"/>
    <w:rsid w:val="003E5DC5"/>
    <w:rsid w:val="003E603A"/>
    <w:rsid w:val="003F0B6A"/>
    <w:rsid w:val="003F1240"/>
    <w:rsid w:val="003F170B"/>
    <w:rsid w:val="003F1912"/>
    <w:rsid w:val="003F2012"/>
    <w:rsid w:val="003F31F1"/>
    <w:rsid w:val="003F34E7"/>
    <w:rsid w:val="003F379A"/>
    <w:rsid w:val="003F381C"/>
    <w:rsid w:val="003F69CD"/>
    <w:rsid w:val="003F6D31"/>
    <w:rsid w:val="003F71D9"/>
    <w:rsid w:val="003F7DD8"/>
    <w:rsid w:val="00400D65"/>
    <w:rsid w:val="0040124C"/>
    <w:rsid w:val="00401622"/>
    <w:rsid w:val="004018EA"/>
    <w:rsid w:val="00403273"/>
    <w:rsid w:val="00404544"/>
    <w:rsid w:val="0040550D"/>
    <w:rsid w:val="00406DE8"/>
    <w:rsid w:val="004079DA"/>
    <w:rsid w:val="00410CDE"/>
    <w:rsid w:val="00412565"/>
    <w:rsid w:val="00412E06"/>
    <w:rsid w:val="00413B3A"/>
    <w:rsid w:val="00414269"/>
    <w:rsid w:val="00414593"/>
    <w:rsid w:val="004152FD"/>
    <w:rsid w:val="0041619D"/>
    <w:rsid w:val="004172DD"/>
    <w:rsid w:val="00420C0B"/>
    <w:rsid w:val="00421774"/>
    <w:rsid w:val="00421C50"/>
    <w:rsid w:val="00422BCC"/>
    <w:rsid w:val="00423639"/>
    <w:rsid w:val="004237DD"/>
    <w:rsid w:val="00424515"/>
    <w:rsid w:val="004250DA"/>
    <w:rsid w:val="00425C1F"/>
    <w:rsid w:val="00425D0B"/>
    <w:rsid w:val="00425EC1"/>
    <w:rsid w:val="00426B1C"/>
    <w:rsid w:val="00426BC5"/>
    <w:rsid w:val="0043120D"/>
    <w:rsid w:val="00431600"/>
    <w:rsid w:val="00431F54"/>
    <w:rsid w:val="0043278C"/>
    <w:rsid w:val="004330AA"/>
    <w:rsid w:val="0043536B"/>
    <w:rsid w:val="004360D5"/>
    <w:rsid w:val="004373B2"/>
    <w:rsid w:val="00440D3B"/>
    <w:rsid w:val="00441014"/>
    <w:rsid w:val="00441C9E"/>
    <w:rsid w:val="00441F51"/>
    <w:rsid w:val="0044356A"/>
    <w:rsid w:val="0044433A"/>
    <w:rsid w:val="004448CF"/>
    <w:rsid w:val="004454E1"/>
    <w:rsid w:val="004474D0"/>
    <w:rsid w:val="00451233"/>
    <w:rsid w:val="00451752"/>
    <w:rsid w:val="004549A0"/>
    <w:rsid w:val="00454C0A"/>
    <w:rsid w:val="004559B2"/>
    <w:rsid w:val="00455D1F"/>
    <w:rsid w:val="00455DE3"/>
    <w:rsid w:val="00456311"/>
    <w:rsid w:val="0045666D"/>
    <w:rsid w:val="00457D55"/>
    <w:rsid w:val="0046007D"/>
    <w:rsid w:val="004602F0"/>
    <w:rsid w:val="004606ED"/>
    <w:rsid w:val="00461D91"/>
    <w:rsid w:val="004633E1"/>
    <w:rsid w:val="004636E5"/>
    <w:rsid w:val="00463BA0"/>
    <w:rsid w:val="0046477A"/>
    <w:rsid w:val="00464BB8"/>
    <w:rsid w:val="00464C77"/>
    <w:rsid w:val="00471493"/>
    <w:rsid w:val="00471608"/>
    <w:rsid w:val="00472E91"/>
    <w:rsid w:val="0047478C"/>
    <w:rsid w:val="00474999"/>
    <w:rsid w:val="00476860"/>
    <w:rsid w:val="0047722A"/>
    <w:rsid w:val="00483B44"/>
    <w:rsid w:val="004854A7"/>
    <w:rsid w:val="00485A5F"/>
    <w:rsid w:val="004871CA"/>
    <w:rsid w:val="00490CC6"/>
    <w:rsid w:val="00490D3C"/>
    <w:rsid w:val="00492BDA"/>
    <w:rsid w:val="00492BDE"/>
    <w:rsid w:val="00492FCA"/>
    <w:rsid w:val="0049372B"/>
    <w:rsid w:val="004939C8"/>
    <w:rsid w:val="00493EE4"/>
    <w:rsid w:val="00494924"/>
    <w:rsid w:val="00495842"/>
    <w:rsid w:val="004A2E78"/>
    <w:rsid w:val="004A2EA2"/>
    <w:rsid w:val="004A2F75"/>
    <w:rsid w:val="004A30BF"/>
    <w:rsid w:val="004A30E3"/>
    <w:rsid w:val="004A4127"/>
    <w:rsid w:val="004A494E"/>
    <w:rsid w:val="004A4CA4"/>
    <w:rsid w:val="004A571B"/>
    <w:rsid w:val="004A7628"/>
    <w:rsid w:val="004A7C97"/>
    <w:rsid w:val="004B07BC"/>
    <w:rsid w:val="004B2CB4"/>
    <w:rsid w:val="004B46B7"/>
    <w:rsid w:val="004B4A0D"/>
    <w:rsid w:val="004B695F"/>
    <w:rsid w:val="004B7F39"/>
    <w:rsid w:val="004C142A"/>
    <w:rsid w:val="004C1A39"/>
    <w:rsid w:val="004C4301"/>
    <w:rsid w:val="004C5D89"/>
    <w:rsid w:val="004C6018"/>
    <w:rsid w:val="004C6838"/>
    <w:rsid w:val="004D02B7"/>
    <w:rsid w:val="004D2623"/>
    <w:rsid w:val="004D3718"/>
    <w:rsid w:val="004D39F1"/>
    <w:rsid w:val="004D436A"/>
    <w:rsid w:val="004D4A95"/>
    <w:rsid w:val="004D5030"/>
    <w:rsid w:val="004D6F44"/>
    <w:rsid w:val="004D6F7C"/>
    <w:rsid w:val="004D7683"/>
    <w:rsid w:val="004D7E45"/>
    <w:rsid w:val="004E0A53"/>
    <w:rsid w:val="004E0FB1"/>
    <w:rsid w:val="004E1178"/>
    <w:rsid w:val="004E1F96"/>
    <w:rsid w:val="004E1FF2"/>
    <w:rsid w:val="004E20CA"/>
    <w:rsid w:val="004E22D8"/>
    <w:rsid w:val="004E381A"/>
    <w:rsid w:val="004E40F6"/>
    <w:rsid w:val="004E4266"/>
    <w:rsid w:val="004E5458"/>
    <w:rsid w:val="004E7BFD"/>
    <w:rsid w:val="004F105D"/>
    <w:rsid w:val="004F14EB"/>
    <w:rsid w:val="004F341C"/>
    <w:rsid w:val="004F3CB3"/>
    <w:rsid w:val="004F3E3C"/>
    <w:rsid w:val="004F4564"/>
    <w:rsid w:val="004F4D6A"/>
    <w:rsid w:val="004F578B"/>
    <w:rsid w:val="004F65C1"/>
    <w:rsid w:val="004F775A"/>
    <w:rsid w:val="00500633"/>
    <w:rsid w:val="005011B3"/>
    <w:rsid w:val="00501683"/>
    <w:rsid w:val="00503414"/>
    <w:rsid w:val="00504E58"/>
    <w:rsid w:val="0050589C"/>
    <w:rsid w:val="00505ADF"/>
    <w:rsid w:val="00507F09"/>
    <w:rsid w:val="0051001C"/>
    <w:rsid w:val="00513851"/>
    <w:rsid w:val="00515092"/>
    <w:rsid w:val="005167BF"/>
    <w:rsid w:val="0051724E"/>
    <w:rsid w:val="00520AC9"/>
    <w:rsid w:val="00520ED4"/>
    <w:rsid w:val="0052103D"/>
    <w:rsid w:val="00522A0B"/>
    <w:rsid w:val="00524510"/>
    <w:rsid w:val="00525A01"/>
    <w:rsid w:val="00525C3B"/>
    <w:rsid w:val="0052619C"/>
    <w:rsid w:val="005266B5"/>
    <w:rsid w:val="0052705F"/>
    <w:rsid w:val="00532C87"/>
    <w:rsid w:val="00534C99"/>
    <w:rsid w:val="00534CA0"/>
    <w:rsid w:val="00534EEA"/>
    <w:rsid w:val="00535736"/>
    <w:rsid w:val="00535983"/>
    <w:rsid w:val="005371E5"/>
    <w:rsid w:val="005431D4"/>
    <w:rsid w:val="00544F10"/>
    <w:rsid w:val="00546058"/>
    <w:rsid w:val="005462AA"/>
    <w:rsid w:val="00546CCE"/>
    <w:rsid w:val="005470A7"/>
    <w:rsid w:val="005473A4"/>
    <w:rsid w:val="00547529"/>
    <w:rsid w:val="00547CB9"/>
    <w:rsid w:val="00550DD2"/>
    <w:rsid w:val="005523BB"/>
    <w:rsid w:val="00553969"/>
    <w:rsid w:val="00554298"/>
    <w:rsid w:val="0055498B"/>
    <w:rsid w:val="00555297"/>
    <w:rsid w:val="0055681B"/>
    <w:rsid w:val="00556C24"/>
    <w:rsid w:val="00560C97"/>
    <w:rsid w:val="00560E30"/>
    <w:rsid w:val="00562512"/>
    <w:rsid w:val="00562B61"/>
    <w:rsid w:val="00562BDD"/>
    <w:rsid w:val="00563003"/>
    <w:rsid w:val="0056585E"/>
    <w:rsid w:val="0056647A"/>
    <w:rsid w:val="00567F7E"/>
    <w:rsid w:val="005714E1"/>
    <w:rsid w:val="0057419A"/>
    <w:rsid w:val="00575934"/>
    <w:rsid w:val="00581372"/>
    <w:rsid w:val="00581CE8"/>
    <w:rsid w:val="0058380C"/>
    <w:rsid w:val="005838DC"/>
    <w:rsid w:val="005848B9"/>
    <w:rsid w:val="00585F97"/>
    <w:rsid w:val="005906D2"/>
    <w:rsid w:val="0059090A"/>
    <w:rsid w:val="0059114F"/>
    <w:rsid w:val="00593404"/>
    <w:rsid w:val="00594013"/>
    <w:rsid w:val="00595326"/>
    <w:rsid w:val="005954BB"/>
    <w:rsid w:val="00595B7B"/>
    <w:rsid w:val="00596997"/>
    <w:rsid w:val="005975A9"/>
    <w:rsid w:val="005A0080"/>
    <w:rsid w:val="005A0E2F"/>
    <w:rsid w:val="005A1BD9"/>
    <w:rsid w:val="005A2625"/>
    <w:rsid w:val="005A3B9F"/>
    <w:rsid w:val="005A3C32"/>
    <w:rsid w:val="005A3D3C"/>
    <w:rsid w:val="005A4E71"/>
    <w:rsid w:val="005A5932"/>
    <w:rsid w:val="005A5AA1"/>
    <w:rsid w:val="005A632F"/>
    <w:rsid w:val="005B41FF"/>
    <w:rsid w:val="005B44B6"/>
    <w:rsid w:val="005B770C"/>
    <w:rsid w:val="005B7BD2"/>
    <w:rsid w:val="005B7E3C"/>
    <w:rsid w:val="005C1209"/>
    <w:rsid w:val="005C2D92"/>
    <w:rsid w:val="005C61D2"/>
    <w:rsid w:val="005C694C"/>
    <w:rsid w:val="005C7044"/>
    <w:rsid w:val="005C7EAA"/>
    <w:rsid w:val="005D06D9"/>
    <w:rsid w:val="005D0822"/>
    <w:rsid w:val="005D0866"/>
    <w:rsid w:val="005D53FB"/>
    <w:rsid w:val="005D7091"/>
    <w:rsid w:val="005E1BA4"/>
    <w:rsid w:val="005E1D54"/>
    <w:rsid w:val="005E3D42"/>
    <w:rsid w:val="005F1539"/>
    <w:rsid w:val="005F301F"/>
    <w:rsid w:val="005F33A9"/>
    <w:rsid w:val="005F4137"/>
    <w:rsid w:val="005F496D"/>
    <w:rsid w:val="005F5DE8"/>
    <w:rsid w:val="005F6F78"/>
    <w:rsid w:val="005F7A11"/>
    <w:rsid w:val="005F7C9C"/>
    <w:rsid w:val="005F7F47"/>
    <w:rsid w:val="00602985"/>
    <w:rsid w:val="00603459"/>
    <w:rsid w:val="00603EBE"/>
    <w:rsid w:val="006043F5"/>
    <w:rsid w:val="00605036"/>
    <w:rsid w:val="00605937"/>
    <w:rsid w:val="00605F1D"/>
    <w:rsid w:val="006072FF"/>
    <w:rsid w:val="00607F0D"/>
    <w:rsid w:val="006135BF"/>
    <w:rsid w:val="00613EC2"/>
    <w:rsid w:val="00614687"/>
    <w:rsid w:val="00614D41"/>
    <w:rsid w:val="00615735"/>
    <w:rsid w:val="00616B58"/>
    <w:rsid w:val="00624374"/>
    <w:rsid w:val="006244D5"/>
    <w:rsid w:val="006244FA"/>
    <w:rsid w:val="00624699"/>
    <w:rsid w:val="0062570A"/>
    <w:rsid w:val="00625AFE"/>
    <w:rsid w:val="006276A4"/>
    <w:rsid w:val="00630CE8"/>
    <w:rsid w:val="00632D85"/>
    <w:rsid w:val="00632EA0"/>
    <w:rsid w:val="0063397F"/>
    <w:rsid w:val="00633D3C"/>
    <w:rsid w:val="00634CC7"/>
    <w:rsid w:val="0063548E"/>
    <w:rsid w:val="006354DD"/>
    <w:rsid w:val="006373CA"/>
    <w:rsid w:val="00637D95"/>
    <w:rsid w:val="00640180"/>
    <w:rsid w:val="006461CB"/>
    <w:rsid w:val="00646DEC"/>
    <w:rsid w:val="00647143"/>
    <w:rsid w:val="006504AD"/>
    <w:rsid w:val="0065115A"/>
    <w:rsid w:val="006515F1"/>
    <w:rsid w:val="006516C9"/>
    <w:rsid w:val="00652D58"/>
    <w:rsid w:val="006546A2"/>
    <w:rsid w:val="00655C10"/>
    <w:rsid w:val="00655DD8"/>
    <w:rsid w:val="0065638A"/>
    <w:rsid w:val="00660313"/>
    <w:rsid w:val="00660B78"/>
    <w:rsid w:val="00660D6E"/>
    <w:rsid w:val="0066178A"/>
    <w:rsid w:val="006640D6"/>
    <w:rsid w:val="0066552E"/>
    <w:rsid w:val="00667BC9"/>
    <w:rsid w:val="00667EDD"/>
    <w:rsid w:val="00672459"/>
    <w:rsid w:val="0067288A"/>
    <w:rsid w:val="00673862"/>
    <w:rsid w:val="0067487F"/>
    <w:rsid w:val="006749DA"/>
    <w:rsid w:val="006753F3"/>
    <w:rsid w:val="0067733A"/>
    <w:rsid w:val="00677459"/>
    <w:rsid w:val="00677FE2"/>
    <w:rsid w:val="00680BE4"/>
    <w:rsid w:val="00680C4A"/>
    <w:rsid w:val="00681644"/>
    <w:rsid w:val="00681C9E"/>
    <w:rsid w:val="00682617"/>
    <w:rsid w:val="00684A82"/>
    <w:rsid w:val="00684D49"/>
    <w:rsid w:val="0068716F"/>
    <w:rsid w:val="00690349"/>
    <w:rsid w:val="006909F5"/>
    <w:rsid w:val="00691C8C"/>
    <w:rsid w:val="00691F9B"/>
    <w:rsid w:val="00692A3F"/>
    <w:rsid w:val="00692D53"/>
    <w:rsid w:val="00694537"/>
    <w:rsid w:val="00694D15"/>
    <w:rsid w:val="00694D62"/>
    <w:rsid w:val="006956BB"/>
    <w:rsid w:val="00697A62"/>
    <w:rsid w:val="006A0F06"/>
    <w:rsid w:val="006A29C3"/>
    <w:rsid w:val="006A3945"/>
    <w:rsid w:val="006A4BEF"/>
    <w:rsid w:val="006A6755"/>
    <w:rsid w:val="006A7DBE"/>
    <w:rsid w:val="006B04F0"/>
    <w:rsid w:val="006B1193"/>
    <w:rsid w:val="006B4120"/>
    <w:rsid w:val="006B4A17"/>
    <w:rsid w:val="006C0C5C"/>
    <w:rsid w:val="006C0CAA"/>
    <w:rsid w:val="006C25E5"/>
    <w:rsid w:val="006C28EC"/>
    <w:rsid w:val="006C3B54"/>
    <w:rsid w:val="006C6334"/>
    <w:rsid w:val="006D0C52"/>
    <w:rsid w:val="006D2699"/>
    <w:rsid w:val="006D3EE5"/>
    <w:rsid w:val="006D5763"/>
    <w:rsid w:val="006D5C97"/>
    <w:rsid w:val="006D73A5"/>
    <w:rsid w:val="006D7EEA"/>
    <w:rsid w:val="006E16EA"/>
    <w:rsid w:val="006E19BC"/>
    <w:rsid w:val="006E354F"/>
    <w:rsid w:val="006E3673"/>
    <w:rsid w:val="006F0162"/>
    <w:rsid w:val="006F078A"/>
    <w:rsid w:val="006F2446"/>
    <w:rsid w:val="006F31BE"/>
    <w:rsid w:val="006F349D"/>
    <w:rsid w:val="006F413C"/>
    <w:rsid w:val="006F54F7"/>
    <w:rsid w:val="006F55DF"/>
    <w:rsid w:val="006F67FC"/>
    <w:rsid w:val="006F72A6"/>
    <w:rsid w:val="006F768E"/>
    <w:rsid w:val="006F7EA6"/>
    <w:rsid w:val="00701543"/>
    <w:rsid w:val="00702E35"/>
    <w:rsid w:val="007035E5"/>
    <w:rsid w:val="00703892"/>
    <w:rsid w:val="007039CC"/>
    <w:rsid w:val="007044EE"/>
    <w:rsid w:val="0070581D"/>
    <w:rsid w:val="00705A40"/>
    <w:rsid w:val="00706118"/>
    <w:rsid w:val="007072E0"/>
    <w:rsid w:val="007077F7"/>
    <w:rsid w:val="007078FA"/>
    <w:rsid w:val="00707E30"/>
    <w:rsid w:val="00710937"/>
    <w:rsid w:val="00710C89"/>
    <w:rsid w:val="00711F7E"/>
    <w:rsid w:val="007135BC"/>
    <w:rsid w:val="0071392C"/>
    <w:rsid w:val="00713CD5"/>
    <w:rsid w:val="00714F6F"/>
    <w:rsid w:val="00716E23"/>
    <w:rsid w:val="00720426"/>
    <w:rsid w:val="00720E43"/>
    <w:rsid w:val="00721527"/>
    <w:rsid w:val="007247E4"/>
    <w:rsid w:val="007253C2"/>
    <w:rsid w:val="00726085"/>
    <w:rsid w:val="007269B0"/>
    <w:rsid w:val="00726A7B"/>
    <w:rsid w:val="00726DE0"/>
    <w:rsid w:val="0072737D"/>
    <w:rsid w:val="0072781E"/>
    <w:rsid w:val="00731324"/>
    <w:rsid w:val="007315C8"/>
    <w:rsid w:val="007319D6"/>
    <w:rsid w:val="00733102"/>
    <w:rsid w:val="00733849"/>
    <w:rsid w:val="00733E67"/>
    <w:rsid w:val="007343B7"/>
    <w:rsid w:val="00734C77"/>
    <w:rsid w:val="007358D7"/>
    <w:rsid w:val="00736D54"/>
    <w:rsid w:val="007378DE"/>
    <w:rsid w:val="00740B3A"/>
    <w:rsid w:val="00741215"/>
    <w:rsid w:val="00743DC4"/>
    <w:rsid w:val="00743E16"/>
    <w:rsid w:val="00744D05"/>
    <w:rsid w:val="00744E98"/>
    <w:rsid w:val="00745558"/>
    <w:rsid w:val="00746153"/>
    <w:rsid w:val="00746307"/>
    <w:rsid w:val="0074696B"/>
    <w:rsid w:val="00750E60"/>
    <w:rsid w:val="00755055"/>
    <w:rsid w:val="00760A72"/>
    <w:rsid w:val="00762D80"/>
    <w:rsid w:val="007632FE"/>
    <w:rsid w:val="00763C16"/>
    <w:rsid w:val="007645A2"/>
    <w:rsid w:val="00764E5F"/>
    <w:rsid w:val="00766D00"/>
    <w:rsid w:val="00767035"/>
    <w:rsid w:val="007676FE"/>
    <w:rsid w:val="00770E05"/>
    <w:rsid w:val="00771294"/>
    <w:rsid w:val="00771C0E"/>
    <w:rsid w:val="00772C24"/>
    <w:rsid w:val="00772DA4"/>
    <w:rsid w:val="00773A67"/>
    <w:rsid w:val="00773D91"/>
    <w:rsid w:val="007740A9"/>
    <w:rsid w:val="00774DBE"/>
    <w:rsid w:val="00775C9E"/>
    <w:rsid w:val="007800D0"/>
    <w:rsid w:val="007807E9"/>
    <w:rsid w:val="0078102A"/>
    <w:rsid w:val="00781BA9"/>
    <w:rsid w:val="0078244A"/>
    <w:rsid w:val="007836A2"/>
    <w:rsid w:val="007841BF"/>
    <w:rsid w:val="007842FF"/>
    <w:rsid w:val="007863EA"/>
    <w:rsid w:val="00786E19"/>
    <w:rsid w:val="00787591"/>
    <w:rsid w:val="00787C25"/>
    <w:rsid w:val="00787C6E"/>
    <w:rsid w:val="00787FC3"/>
    <w:rsid w:val="007902C7"/>
    <w:rsid w:val="00791AF1"/>
    <w:rsid w:val="00791D7F"/>
    <w:rsid w:val="00792378"/>
    <w:rsid w:val="00793145"/>
    <w:rsid w:val="00796950"/>
    <w:rsid w:val="007A0B3B"/>
    <w:rsid w:val="007A1A32"/>
    <w:rsid w:val="007A2F35"/>
    <w:rsid w:val="007A51E7"/>
    <w:rsid w:val="007A5AE5"/>
    <w:rsid w:val="007A6205"/>
    <w:rsid w:val="007A6D03"/>
    <w:rsid w:val="007A7D7A"/>
    <w:rsid w:val="007A7F3B"/>
    <w:rsid w:val="007B0811"/>
    <w:rsid w:val="007B3DD9"/>
    <w:rsid w:val="007B49D6"/>
    <w:rsid w:val="007B5A5F"/>
    <w:rsid w:val="007B60EC"/>
    <w:rsid w:val="007B756B"/>
    <w:rsid w:val="007B7C28"/>
    <w:rsid w:val="007C0017"/>
    <w:rsid w:val="007C12AF"/>
    <w:rsid w:val="007C190B"/>
    <w:rsid w:val="007C28C1"/>
    <w:rsid w:val="007C28EA"/>
    <w:rsid w:val="007C2CF9"/>
    <w:rsid w:val="007C30EE"/>
    <w:rsid w:val="007C3199"/>
    <w:rsid w:val="007C38C8"/>
    <w:rsid w:val="007C444D"/>
    <w:rsid w:val="007C5509"/>
    <w:rsid w:val="007C63F4"/>
    <w:rsid w:val="007C7210"/>
    <w:rsid w:val="007C75E8"/>
    <w:rsid w:val="007C7D86"/>
    <w:rsid w:val="007C7FA9"/>
    <w:rsid w:val="007D0BAA"/>
    <w:rsid w:val="007D15FD"/>
    <w:rsid w:val="007D1835"/>
    <w:rsid w:val="007D19BA"/>
    <w:rsid w:val="007D1DD5"/>
    <w:rsid w:val="007D504F"/>
    <w:rsid w:val="007D5D3D"/>
    <w:rsid w:val="007D647F"/>
    <w:rsid w:val="007D6FBE"/>
    <w:rsid w:val="007D7F00"/>
    <w:rsid w:val="007E0A3E"/>
    <w:rsid w:val="007E1FDB"/>
    <w:rsid w:val="007E2978"/>
    <w:rsid w:val="007E323D"/>
    <w:rsid w:val="007E4C5F"/>
    <w:rsid w:val="007E6A31"/>
    <w:rsid w:val="007F09AF"/>
    <w:rsid w:val="007F26DA"/>
    <w:rsid w:val="007F3BA4"/>
    <w:rsid w:val="007F49F6"/>
    <w:rsid w:val="007F527B"/>
    <w:rsid w:val="007F7EDA"/>
    <w:rsid w:val="008019E3"/>
    <w:rsid w:val="0080233F"/>
    <w:rsid w:val="008024A7"/>
    <w:rsid w:val="0080351C"/>
    <w:rsid w:val="008039E7"/>
    <w:rsid w:val="00803CA6"/>
    <w:rsid w:val="00804733"/>
    <w:rsid w:val="00804C41"/>
    <w:rsid w:val="00805ABE"/>
    <w:rsid w:val="00806DAE"/>
    <w:rsid w:val="00810178"/>
    <w:rsid w:val="00810B3D"/>
    <w:rsid w:val="008113E9"/>
    <w:rsid w:val="00811C6F"/>
    <w:rsid w:val="00811D12"/>
    <w:rsid w:val="00812450"/>
    <w:rsid w:val="0081274B"/>
    <w:rsid w:val="008139CE"/>
    <w:rsid w:val="0081402D"/>
    <w:rsid w:val="00814BF5"/>
    <w:rsid w:val="008171D0"/>
    <w:rsid w:val="008219FD"/>
    <w:rsid w:val="008232F5"/>
    <w:rsid w:val="008237A2"/>
    <w:rsid w:val="0082467D"/>
    <w:rsid w:val="00824BE6"/>
    <w:rsid w:val="00824F5F"/>
    <w:rsid w:val="00826260"/>
    <w:rsid w:val="00826FE7"/>
    <w:rsid w:val="00827769"/>
    <w:rsid w:val="008279D1"/>
    <w:rsid w:val="00830D46"/>
    <w:rsid w:val="008319FF"/>
    <w:rsid w:val="00831B92"/>
    <w:rsid w:val="00832D8F"/>
    <w:rsid w:val="0083447C"/>
    <w:rsid w:val="008351F0"/>
    <w:rsid w:val="00836A17"/>
    <w:rsid w:val="00837157"/>
    <w:rsid w:val="00837D70"/>
    <w:rsid w:val="00840041"/>
    <w:rsid w:val="00845CB1"/>
    <w:rsid w:val="00846A38"/>
    <w:rsid w:val="00846AD1"/>
    <w:rsid w:val="00846DCA"/>
    <w:rsid w:val="008473BD"/>
    <w:rsid w:val="008478CF"/>
    <w:rsid w:val="00847DA8"/>
    <w:rsid w:val="00847F91"/>
    <w:rsid w:val="008508CD"/>
    <w:rsid w:val="00853ED2"/>
    <w:rsid w:val="00854C4D"/>
    <w:rsid w:val="00854D02"/>
    <w:rsid w:val="008565CA"/>
    <w:rsid w:val="0086041F"/>
    <w:rsid w:val="008608F0"/>
    <w:rsid w:val="00861D8E"/>
    <w:rsid w:val="00861F4F"/>
    <w:rsid w:val="00866353"/>
    <w:rsid w:val="00866B6F"/>
    <w:rsid w:val="00866BAD"/>
    <w:rsid w:val="00866C99"/>
    <w:rsid w:val="0087037B"/>
    <w:rsid w:val="0087067E"/>
    <w:rsid w:val="0087117A"/>
    <w:rsid w:val="008723A9"/>
    <w:rsid w:val="00872B7B"/>
    <w:rsid w:val="00873029"/>
    <w:rsid w:val="00874CCD"/>
    <w:rsid w:val="00875BF1"/>
    <w:rsid w:val="0088052F"/>
    <w:rsid w:val="00880C8F"/>
    <w:rsid w:val="008828CB"/>
    <w:rsid w:val="008828EA"/>
    <w:rsid w:val="00882E19"/>
    <w:rsid w:val="00883F6B"/>
    <w:rsid w:val="00884796"/>
    <w:rsid w:val="00885156"/>
    <w:rsid w:val="00885220"/>
    <w:rsid w:val="0088700F"/>
    <w:rsid w:val="0088791A"/>
    <w:rsid w:val="008923E1"/>
    <w:rsid w:val="00892D4A"/>
    <w:rsid w:val="008938D0"/>
    <w:rsid w:val="008944E8"/>
    <w:rsid w:val="00894C3F"/>
    <w:rsid w:val="00895EFD"/>
    <w:rsid w:val="00895F3E"/>
    <w:rsid w:val="00897C18"/>
    <w:rsid w:val="008A01AE"/>
    <w:rsid w:val="008A13B6"/>
    <w:rsid w:val="008A17DC"/>
    <w:rsid w:val="008A259A"/>
    <w:rsid w:val="008A25E1"/>
    <w:rsid w:val="008A2C14"/>
    <w:rsid w:val="008A4039"/>
    <w:rsid w:val="008B027B"/>
    <w:rsid w:val="008B070D"/>
    <w:rsid w:val="008B0ECF"/>
    <w:rsid w:val="008B51DC"/>
    <w:rsid w:val="008B5CE0"/>
    <w:rsid w:val="008B6BBB"/>
    <w:rsid w:val="008B7724"/>
    <w:rsid w:val="008C00B5"/>
    <w:rsid w:val="008C156D"/>
    <w:rsid w:val="008C59EB"/>
    <w:rsid w:val="008C7535"/>
    <w:rsid w:val="008D0A49"/>
    <w:rsid w:val="008D27AF"/>
    <w:rsid w:val="008D31F8"/>
    <w:rsid w:val="008D343D"/>
    <w:rsid w:val="008D45D6"/>
    <w:rsid w:val="008D49D1"/>
    <w:rsid w:val="008D4BA4"/>
    <w:rsid w:val="008D5E40"/>
    <w:rsid w:val="008D7A2F"/>
    <w:rsid w:val="008D7C38"/>
    <w:rsid w:val="008E4489"/>
    <w:rsid w:val="008E6CD9"/>
    <w:rsid w:val="008F0BC1"/>
    <w:rsid w:val="008F1E83"/>
    <w:rsid w:val="008F2783"/>
    <w:rsid w:val="008F329A"/>
    <w:rsid w:val="008F377E"/>
    <w:rsid w:val="008F5F9A"/>
    <w:rsid w:val="008F6DFF"/>
    <w:rsid w:val="00900DDA"/>
    <w:rsid w:val="0090207F"/>
    <w:rsid w:val="009063FC"/>
    <w:rsid w:val="00906A9F"/>
    <w:rsid w:val="009070D6"/>
    <w:rsid w:val="00907700"/>
    <w:rsid w:val="00907F95"/>
    <w:rsid w:val="00912174"/>
    <w:rsid w:val="00912A4E"/>
    <w:rsid w:val="00912B68"/>
    <w:rsid w:val="00913001"/>
    <w:rsid w:val="009134FA"/>
    <w:rsid w:val="00913F17"/>
    <w:rsid w:val="0091490E"/>
    <w:rsid w:val="009159B4"/>
    <w:rsid w:val="00915C0A"/>
    <w:rsid w:val="00916F08"/>
    <w:rsid w:val="00916FC3"/>
    <w:rsid w:val="00917013"/>
    <w:rsid w:val="00917D5A"/>
    <w:rsid w:val="00920178"/>
    <w:rsid w:val="00921372"/>
    <w:rsid w:val="009216C4"/>
    <w:rsid w:val="00921F9A"/>
    <w:rsid w:val="00923041"/>
    <w:rsid w:val="00924D9E"/>
    <w:rsid w:val="009262F9"/>
    <w:rsid w:val="00927266"/>
    <w:rsid w:val="00927A7A"/>
    <w:rsid w:val="00927A96"/>
    <w:rsid w:val="009310A9"/>
    <w:rsid w:val="009318FF"/>
    <w:rsid w:val="009343C8"/>
    <w:rsid w:val="00934E89"/>
    <w:rsid w:val="0093565B"/>
    <w:rsid w:val="00935F46"/>
    <w:rsid w:val="00936DD5"/>
    <w:rsid w:val="0093732B"/>
    <w:rsid w:val="00937F1D"/>
    <w:rsid w:val="0094114F"/>
    <w:rsid w:val="0094415B"/>
    <w:rsid w:val="00945668"/>
    <w:rsid w:val="00946659"/>
    <w:rsid w:val="00946836"/>
    <w:rsid w:val="009509D0"/>
    <w:rsid w:val="00951575"/>
    <w:rsid w:val="00951CAB"/>
    <w:rsid w:val="00953514"/>
    <w:rsid w:val="00954E44"/>
    <w:rsid w:val="00956067"/>
    <w:rsid w:val="009571EE"/>
    <w:rsid w:val="00957E6B"/>
    <w:rsid w:val="009619F1"/>
    <w:rsid w:val="00961E87"/>
    <w:rsid w:val="00962696"/>
    <w:rsid w:val="00962F03"/>
    <w:rsid w:val="00963A01"/>
    <w:rsid w:val="009662D4"/>
    <w:rsid w:val="00966F63"/>
    <w:rsid w:val="009706A2"/>
    <w:rsid w:val="00970A60"/>
    <w:rsid w:val="00971388"/>
    <w:rsid w:val="00971C09"/>
    <w:rsid w:val="00973156"/>
    <w:rsid w:val="00973399"/>
    <w:rsid w:val="00977293"/>
    <w:rsid w:val="009811BA"/>
    <w:rsid w:val="00981AE9"/>
    <w:rsid w:val="00982090"/>
    <w:rsid w:val="009824E2"/>
    <w:rsid w:val="0098268F"/>
    <w:rsid w:val="0098397A"/>
    <w:rsid w:val="009870B0"/>
    <w:rsid w:val="009876CD"/>
    <w:rsid w:val="00987A94"/>
    <w:rsid w:val="00987D88"/>
    <w:rsid w:val="00990737"/>
    <w:rsid w:val="00990B56"/>
    <w:rsid w:val="009917EE"/>
    <w:rsid w:val="00991D09"/>
    <w:rsid w:val="0099201E"/>
    <w:rsid w:val="009928E0"/>
    <w:rsid w:val="00993BBF"/>
    <w:rsid w:val="00994149"/>
    <w:rsid w:val="00995E2A"/>
    <w:rsid w:val="0099710D"/>
    <w:rsid w:val="009979C1"/>
    <w:rsid w:val="00997AE2"/>
    <w:rsid w:val="009A4BF8"/>
    <w:rsid w:val="009A5187"/>
    <w:rsid w:val="009A7BCC"/>
    <w:rsid w:val="009B1405"/>
    <w:rsid w:val="009B4683"/>
    <w:rsid w:val="009B4D60"/>
    <w:rsid w:val="009B6A68"/>
    <w:rsid w:val="009B724F"/>
    <w:rsid w:val="009C2320"/>
    <w:rsid w:val="009C2A4C"/>
    <w:rsid w:val="009C3B01"/>
    <w:rsid w:val="009C4E24"/>
    <w:rsid w:val="009D0A6C"/>
    <w:rsid w:val="009D15CE"/>
    <w:rsid w:val="009D2BFE"/>
    <w:rsid w:val="009D3A88"/>
    <w:rsid w:val="009D3BAA"/>
    <w:rsid w:val="009D401F"/>
    <w:rsid w:val="009D525D"/>
    <w:rsid w:val="009E0517"/>
    <w:rsid w:val="009E08E7"/>
    <w:rsid w:val="009E0F62"/>
    <w:rsid w:val="009E1253"/>
    <w:rsid w:val="009E1832"/>
    <w:rsid w:val="009E23D8"/>
    <w:rsid w:val="009E3D55"/>
    <w:rsid w:val="009E44FB"/>
    <w:rsid w:val="009E4852"/>
    <w:rsid w:val="009F0C5E"/>
    <w:rsid w:val="009F2349"/>
    <w:rsid w:val="009F319E"/>
    <w:rsid w:val="00A00811"/>
    <w:rsid w:val="00A0127A"/>
    <w:rsid w:val="00A014B7"/>
    <w:rsid w:val="00A02A12"/>
    <w:rsid w:val="00A04785"/>
    <w:rsid w:val="00A05378"/>
    <w:rsid w:val="00A05AAE"/>
    <w:rsid w:val="00A06AB2"/>
    <w:rsid w:val="00A06F4F"/>
    <w:rsid w:val="00A07726"/>
    <w:rsid w:val="00A07F68"/>
    <w:rsid w:val="00A102EE"/>
    <w:rsid w:val="00A10967"/>
    <w:rsid w:val="00A117A9"/>
    <w:rsid w:val="00A11F09"/>
    <w:rsid w:val="00A12038"/>
    <w:rsid w:val="00A136EF"/>
    <w:rsid w:val="00A13E76"/>
    <w:rsid w:val="00A13ED3"/>
    <w:rsid w:val="00A160F7"/>
    <w:rsid w:val="00A16B63"/>
    <w:rsid w:val="00A177E6"/>
    <w:rsid w:val="00A17B8F"/>
    <w:rsid w:val="00A20942"/>
    <w:rsid w:val="00A21D9A"/>
    <w:rsid w:val="00A238B8"/>
    <w:rsid w:val="00A24C29"/>
    <w:rsid w:val="00A24D85"/>
    <w:rsid w:val="00A25BBD"/>
    <w:rsid w:val="00A26CD5"/>
    <w:rsid w:val="00A27300"/>
    <w:rsid w:val="00A2783B"/>
    <w:rsid w:val="00A30014"/>
    <w:rsid w:val="00A30484"/>
    <w:rsid w:val="00A30975"/>
    <w:rsid w:val="00A315C6"/>
    <w:rsid w:val="00A32FA2"/>
    <w:rsid w:val="00A33362"/>
    <w:rsid w:val="00A35971"/>
    <w:rsid w:val="00A36C80"/>
    <w:rsid w:val="00A40456"/>
    <w:rsid w:val="00A404FA"/>
    <w:rsid w:val="00A40DE1"/>
    <w:rsid w:val="00A42257"/>
    <w:rsid w:val="00A426DD"/>
    <w:rsid w:val="00A451EB"/>
    <w:rsid w:val="00A462B4"/>
    <w:rsid w:val="00A46AE2"/>
    <w:rsid w:val="00A47058"/>
    <w:rsid w:val="00A47741"/>
    <w:rsid w:val="00A501B0"/>
    <w:rsid w:val="00A507C0"/>
    <w:rsid w:val="00A52092"/>
    <w:rsid w:val="00A52BF5"/>
    <w:rsid w:val="00A532F9"/>
    <w:rsid w:val="00A552BD"/>
    <w:rsid w:val="00A556C0"/>
    <w:rsid w:val="00A55837"/>
    <w:rsid w:val="00A55F20"/>
    <w:rsid w:val="00A562BF"/>
    <w:rsid w:val="00A56B7E"/>
    <w:rsid w:val="00A57628"/>
    <w:rsid w:val="00A60CF0"/>
    <w:rsid w:val="00A612C7"/>
    <w:rsid w:val="00A62CCB"/>
    <w:rsid w:val="00A6326E"/>
    <w:rsid w:val="00A6376D"/>
    <w:rsid w:val="00A66BDB"/>
    <w:rsid w:val="00A712B0"/>
    <w:rsid w:val="00A71EC9"/>
    <w:rsid w:val="00A72819"/>
    <w:rsid w:val="00A733F4"/>
    <w:rsid w:val="00A742FF"/>
    <w:rsid w:val="00A751D5"/>
    <w:rsid w:val="00A77BC7"/>
    <w:rsid w:val="00A81B45"/>
    <w:rsid w:val="00A82108"/>
    <w:rsid w:val="00A829B1"/>
    <w:rsid w:val="00A840CC"/>
    <w:rsid w:val="00A84F57"/>
    <w:rsid w:val="00A857CA"/>
    <w:rsid w:val="00A86355"/>
    <w:rsid w:val="00A86429"/>
    <w:rsid w:val="00A900B7"/>
    <w:rsid w:val="00A90C06"/>
    <w:rsid w:val="00A91790"/>
    <w:rsid w:val="00A92C88"/>
    <w:rsid w:val="00A939BB"/>
    <w:rsid w:val="00A93BA4"/>
    <w:rsid w:val="00A93F96"/>
    <w:rsid w:val="00A95248"/>
    <w:rsid w:val="00A95E26"/>
    <w:rsid w:val="00A9676E"/>
    <w:rsid w:val="00A9708A"/>
    <w:rsid w:val="00A9739E"/>
    <w:rsid w:val="00AA0245"/>
    <w:rsid w:val="00AA0DC5"/>
    <w:rsid w:val="00AA3EC0"/>
    <w:rsid w:val="00AB27A9"/>
    <w:rsid w:val="00AB64D2"/>
    <w:rsid w:val="00AB6D6F"/>
    <w:rsid w:val="00AB6E1A"/>
    <w:rsid w:val="00AC6484"/>
    <w:rsid w:val="00AC6725"/>
    <w:rsid w:val="00AC7FA4"/>
    <w:rsid w:val="00AD2812"/>
    <w:rsid w:val="00AD569D"/>
    <w:rsid w:val="00AD6AEA"/>
    <w:rsid w:val="00AD6F3B"/>
    <w:rsid w:val="00AD7CF7"/>
    <w:rsid w:val="00AD7D53"/>
    <w:rsid w:val="00AE054E"/>
    <w:rsid w:val="00AE2BA9"/>
    <w:rsid w:val="00AE46CD"/>
    <w:rsid w:val="00AE493A"/>
    <w:rsid w:val="00AE5B77"/>
    <w:rsid w:val="00AE65A9"/>
    <w:rsid w:val="00AE6780"/>
    <w:rsid w:val="00AE7585"/>
    <w:rsid w:val="00AF000E"/>
    <w:rsid w:val="00AF133B"/>
    <w:rsid w:val="00AF4319"/>
    <w:rsid w:val="00AF4A76"/>
    <w:rsid w:val="00B00976"/>
    <w:rsid w:val="00B00B06"/>
    <w:rsid w:val="00B0191A"/>
    <w:rsid w:val="00B01DEB"/>
    <w:rsid w:val="00B103D3"/>
    <w:rsid w:val="00B10415"/>
    <w:rsid w:val="00B1136D"/>
    <w:rsid w:val="00B1181E"/>
    <w:rsid w:val="00B1183F"/>
    <w:rsid w:val="00B11B77"/>
    <w:rsid w:val="00B133AA"/>
    <w:rsid w:val="00B1461E"/>
    <w:rsid w:val="00B154B7"/>
    <w:rsid w:val="00B1586C"/>
    <w:rsid w:val="00B16A48"/>
    <w:rsid w:val="00B1731C"/>
    <w:rsid w:val="00B20549"/>
    <w:rsid w:val="00B229BD"/>
    <w:rsid w:val="00B23A5B"/>
    <w:rsid w:val="00B24307"/>
    <w:rsid w:val="00B24677"/>
    <w:rsid w:val="00B24839"/>
    <w:rsid w:val="00B25969"/>
    <w:rsid w:val="00B27DAC"/>
    <w:rsid w:val="00B30F9C"/>
    <w:rsid w:val="00B315BA"/>
    <w:rsid w:val="00B34B06"/>
    <w:rsid w:val="00B3703D"/>
    <w:rsid w:val="00B373D4"/>
    <w:rsid w:val="00B401A5"/>
    <w:rsid w:val="00B405CE"/>
    <w:rsid w:val="00B40D1C"/>
    <w:rsid w:val="00B42ED5"/>
    <w:rsid w:val="00B4604F"/>
    <w:rsid w:val="00B4760B"/>
    <w:rsid w:val="00B47D90"/>
    <w:rsid w:val="00B516F1"/>
    <w:rsid w:val="00B52880"/>
    <w:rsid w:val="00B52E85"/>
    <w:rsid w:val="00B531E8"/>
    <w:rsid w:val="00B545B1"/>
    <w:rsid w:val="00B54CC0"/>
    <w:rsid w:val="00B56143"/>
    <w:rsid w:val="00B574E3"/>
    <w:rsid w:val="00B57E1C"/>
    <w:rsid w:val="00B61FAC"/>
    <w:rsid w:val="00B63049"/>
    <w:rsid w:val="00B633D8"/>
    <w:rsid w:val="00B63B01"/>
    <w:rsid w:val="00B651C8"/>
    <w:rsid w:val="00B6644D"/>
    <w:rsid w:val="00B6653F"/>
    <w:rsid w:val="00B66642"/>
    <w:rsid w:val="00B671F6"/>
    <w:rsid w:val="00B67D7F"/>
    <w:rsid w:val="00B7198F"/>
    <w:rsid w:val="00B71ACB"/>
    <w:rsid w:val="00B729BD"/>
    <w:rsid w:val="00B72F96"/>
    <w:rsid w:val="00B76062"/>
    <w:rsid w:val="00B76A0E"/>
    <w:rsid w:val="00B818C6"/>
    <w:rsid w:val="00B81DE1"/>
    <w:rsid w:val="00B84AC6"/>
    <w:rsid w:val="00B85419"/>
    <w:rsid w:val="00B86169"/>
    <w:rsid w:val="00B9079C"/>
    <w:rsid w:val="00B90AC8"/>
    <w:rsid w:val="00B9145A"/>
    <w:rsid w:val="00B92B78"/>
    <w:rsid w:val="00B93D36"/>
    <w:rsid w:val="00B941FC"/>
    <w:rsid w:val="00B94704"/>
    <w:rsid w:val="00B94C3D"/>
    <w:rsid w:val="00BA1C07"/>
    <w:rsid w:val="00BA1E64"/>
    <w:rsid w:val="00BA3AFD"/>
    <w:rsid w:val="00BA4F6A"/>
    <w:rsid w:val="00BA4F86"/>
    <w:rsid w:val="00BA57EB"/>
    <w:rsid w:val="00BA5A2B"/>
    <w:rsid w:val="00BA7C6F"/>
    <w:rsid w:val="00BB220E"/>
    <w:rsid w:val="00BB5350"/>
    <w:rsid w:val="00BB5380"/>
    <w:rsid w:val="00BB594B"/>
    <w:rsid w:val="00BB6685"/>
    <w:rsid w:val="00BC08BF"/>
    <w:rsid w:val="00BC1D5E"/>
    <w:rsid w:val="00BC22A0"/>
    <w:rsid w:val="00BC6481"/>
    <w:rsid w:val="00BD033E"/>
    <w:rsid w:val="00BD0461"/>
    <w:rsid w:val="00BD4B09"/>
    <w:rsid w:val="00BD5AC3"/>
    <w:rsid w:val="00BD63BD"/>
    <w:rsid w:val="00BD75F5"/>
    <w:rsid w:val="00BE0CC0"/>
    <w:rsid w:val="00BE13D0"/>
    <w:rsid w:val="00BE21D1"/>
    <w:rsid w:val="00BE24F5"/>
    <w:rsid w:val="00BE2D1C"/>
    <w:rsid w:val="00BE399D"/>
    <w:rsid w:val="00BE3A77"/>
    <w:rsid w:val="00BE40C1"/>
    <w:rsid w:val="00BE6B0B"/>
    <w:rsid w:val="00BE751A"/>
    <w:rsid w:val="00BE7B79"/>
    <w:rsid w:val="00BF137F"/>
    <w:rsid w:val="00BF15E8"/>
    <w:rsid w:val="00BF1E6C"/>
    <w:rsid w:val="00BF2BBA"/>
    <w:rsid w:val="00BF30FC"/>
    <w:rsid w:val="00BF37D3"/>
    <w:rsid w:val="00BF45CE"/>
    <w:rsid w:val="00BF5248"/>
    <w:rsid w:val="00BF77AD"/>
    <w:rsid w:val="00C0063C"/>
    <w:rsid w:val="00C03B22"/>
    <w:rsid w:val="00C044F9"/>
    <w:rsid w:val="00C04E77"/>
    <w:rsid w:val="00C05F84"/>
    <w:rsid w:val="00C06ABA"/>
    <w:rsid w:val="00C11CFC"/>
    <w:rsid w:val="00C13384"/>
    <w:rsid w:val="00C1406B"/>
    <w:rsid w:val="00C141E9"/>
    <w:rsid w:val="00C16C3D"/>
    <w:rsid w:val="00C22705"/>
    <w:rsid w:val="00C2395A"/>
    <w:rsid w:val="00C24D1B"/>
    <w:rsid w:val="00C24E15"/>
    <w:rsid w:val="00C24F0F"/>
    <w:rsid w:val="00C274E4"/>
    <w:rsid w:val="00C304E9"/>
    <w:rsid w:val="00C328AF"/>
    <w:rsid w:val="00C33A7D"/>
    <w:rsid w:val="00C36C66"/>
    <w:rsid w:val="00C37601"/>
    <w:rsid w:val="00C404E6"/>
    <w:rsid w:val="00C419B0"/>
    <w:rsid w:val="00C4358F"/>
    <w:rsid w:val="00C441F9"/>
    <w:rsid w:val="00C453CD"/>
    <w:rsid w:val="00C45FFE"/>
    <w:rsid w:val="00C46AF4"/>
    <w:rsid w:val="00C46C5D"/>
    <w:rsid w:val="00C476A5"/>
    <w:rsid w:val="00C47B85"/>
    <w:rsid w:val="00C5046A"/>
    <w:rsid w:val="00C51EF1"/>
    <w:rsid w:val="00C528DA"/>
    <w:rsid w:val="00C53C4D"/>
    <w:rsid w:val="00C552A2"/>
    <w:rsid w:val="00C553D2"/>
    <w:rsid w:val="00C55BA8"/>
    <w:rsid w:val="00C5793E"/>
    <w:rsid w:val="00C57B74"/>
    <w:rsid w:val="00C60518"/>
    <w:rsid w:val="00C614C5"/>
    <w:rsid w:val="00C61B73"/>
    <w:rsid w:val="00C61BCF"/>
    <w:rsid w:val="00C62406"/>
    <w:rsid w:val="00C649ED"/>
    <w:rsid w:val="00C64D4F"/>
    <w:rsid w:val="00C65FD4"/>
    <w:rsid w:val="00C673C8"/>
    <w:rsid w:val="00C67DE6"/>
    <w:rsid w:val="00C71444"/>
    <w:rsid w:val="00C71BCB"/>
    <w:rsid w:val="00C7240E"/>
    <w:rsid w:val="00C73F84"/>
    <w:rsid w:val="00C74953"/>
    <w:rsid w:val="00C7592C"/>
    <w:rsid w:val="00C76995"/>
    <w:rsid w:val="00C7749B"/>
    <w:rsid w:val="00C8074B"/>
    <w:rsid w:val="00C823AC"/>
    <w:rsid w:val="00C825C8"/>
    <w:rsid w:val="00C83488"/>
    <w:rsid w:val="00C848B2"/>
    <w:rsid w:val="00C85431"/>
    <w:rsid w:val="00C859DF"/>
    <w:rsid w:val="00C86500"/>
    <w:rsid w:val="00C869FF"/>
    <w:rsid w:val="00C874D8"/>
    <w:rsid w:val="00C877A8"/>
    <w:rsid w:val="00C917B4"/>
    <w:rsid w:val="00C92376"/>
    <w:rsid w:val="00C937B9"/>
    <w:rsid w:val="00C94AA1"/>
    <w:rsid w:val="00C95F9D"/>
    <w:rsid w:val="00C9674E"/>
    <w:rsid w:val="00C96A5F"/>
    <w:rsid w:val="00C974C6"/>
    <w:rsid w:val="00CA143E"/>
    <w:rsid w:val="00CA41D8"/>
    <w:rsid w:val="00CA4AAE"/>
    <w:rsid w:val="00CA616B"/>
    <w:rsid w:val="00CA6DFF"/>
    <w:rsid w:val="00CA71F5"/>
    <w:rsid w:val="00CA7D07"/>
    <w:rsid w:val="00CB0D64"/>
    <w:rsid w:val="00CB2AE8"/>
    <w:rsid w:val="00CB2B7E"/>
    <w:rsid w:val="00CB3EFA"/>
    <w:rsid w:val="00CB5E8A"/>
    <w:rsid w:val="00CB6706"/>
    <w:rsid w:val="00CC04F2"/>
    <w:rsid w:val="00CC14BD"/>
    <w:rsid w:val="00CC23EF"/>
    <w:rsid w:val="00CC3249"/>
    <w:rsid w:val="00CC4879"/>
    <w:rsid w:val="00CC4A8D"/>
    <w:rsid w:val="00CC5203"/>
    <w:rsid w:val="00CC5FB0"/>
    <w:rsid w:val="00CC6D2A"/>
    <w:rsid w:val="00CD09D3"/>
    <w:rsid w:val="00CD2E89"/>
    <w:rsid w:val="00CD3190"/>
    <w:rsid w:val="00CD3B61"/>
    <w:rsid w:val="00CD3BB6"/>
    <w:rsid w:val="00CD53F2"/>
    <w:rsid w:val="00CD59DF"/>
    <w:rsid w:val="00CD5CFD"/>
    <w:rsid w:val="00CD62C3"/>
    <w:rsid w:val="00CE0670"/>
    <w:rsid w:val="00CE1415"/>
    <w:rsid w:val="00CE1C5A"/>
    <w:rsid w:val="00CE2867"/>
    <w:rsid w:val="00CE2D37"/>
    <w:rsid w:val="00CE32AB"/>
    <w:rsid w:val="00CE3670"/>
    <w:rsid w:val="00CE48B2"/>
    <w:rsid w:val="00CE5A58"/>
    <w:rsid w:val="00CE5ADA"/>
    <w:rsid w:val="00CE6B79"/>
    <w:rsid w:val="00CE6F0C"/>
    <w:rsid w:val="00CF1ED9"/>
    <w:rsid w:val="00CF2ABF"/>
    <w:rsid w:val="00CF3429"/>
    <w:rsid w:val="00CF3D22"/>
    <w:rsid w:val="00CF5585"/>
    <w:rsid w:val="00CF5D58"/>
    <w:rsid w:val="00CF6A61"/>
    <w:rsid w:val="00D00306"/>
    <w:rsid w:val="00D0094E"/>
    <w:rsid w:val="00D00A83"/>
    <w:rsid w:val="00D0104C"/>
    <w:rsid w:val="00D028A5"/>
    <w:rsid w:val="00D03937"/>
    <w:rsid w:val="00D04085"/>
    <w:rsid w:val="00D053B1"/>
    <w:rsid w:val="00D101D8"/>
    <w:rsid w:val="00D11A88"/>
    <w:rsid w:val="00D14FED"/>
    <w:rsid w:val="00D151DB"/>
    <w:rsid w:val="00D160F6"/>
    <w:rsid w:val="00D17BD8"/>
    <w:rsid w:val="00D203F2"/>
    <w:rsid w:val="00D20997"/>
    <w:rsid w:val="00D20B71"/>
    <w:rsid w:val="00D2141E"/>
    <w:rsid w:val="00D22AA8"/>
    <w:rsid w:val="00D2377F"/>
    <w:rsid w:val="00D243F8"/>
    <w:rsid w:val="00D24BDB"/>
    <w:rsid w:val="00D25CD5"/>
    <w:rsid w:val="00D26266"/>
    <w:rsid w:val="00D26410"/>
    <w:rsid w:val="00D26511"/>
    <w:rsid w:val="00D2653D"/>
    <w:rsid w:val="00D26F2C"/>
    <w:rsid w:val="00D27CC0"/>
    <w:rsid w:val="00D30336"/>
    <w:rsid w:val="00D304B2"/>
    <w:rsid w:val="00D305F3"/>
    <w:rsid w:val="00D30B85"/>
    <w:rsid w:val="00D310F6"/>
    <w:rsid w:val="00D330AD"/>
    <w:rsid w:val="00D332BA"/>
    <w:rsid w:val="00D336E8"/>
    <w:rsid w:val="00D34DAC"/>
    <w:rsid w:val="00D35B73"/>
    <w:rsid w:val="00D35B8A"/>
    <w:rsid w:val="00D36274"/>
    <w:rsid w:val="00D40AD3"/>
    <w:rsid w:val="00D42C56"/>
    <w:rsid w:val="00D43414"/>
    <w:rsid w:val="00D45F8E"/>
    <w:rsid w:val="00D4776E"/>
    <w:rsid w:val="00D5018A"/>
    <w:rsid w:val="00D505B4"/>
    <w:rsid w:val="00D50AB3"/>
    <w:rsid w:val="00D50B81"/>
    <w:rsid w:val="00D50DC3"/>
    <w:rsid w:val="00D51F70"/>
    <w:rsid w:val="00D52F70"/>
    <w:rsid w:val="00D54006"/>
    <w:rsid w:val="00D54DFF"/>
    <w:rsid w:val="00D5502A"/>
    <w:rsid w:val="00D554C5"/>
    <w:rsid w:val="00D570D8"/>
    <w:rsid w:val="00D572DE"/>
    <w:rsid w:val="00D61595"/>
    <w:rsid w:val="00D61B29"/>
    <w:rsid w:val="00D62F84"/>
    <w:rsid w:val="00D638E0"/>
    <w:rsid w:val="00D644E8"/>
    <w:rsid w:val="00D64F1A"/>
    <w:rsid w:val="00D666FC"/>
    <w:rsid w:val="00D707C5"/>
    <w:rsid w:val="00D72FA4"/>
    <w:rsid w:val="00D73725"/>
    <w:rsid w:val="00D73A77"/>
    <w:rsid w:val="00D76077"/>
    <w:rsid w:val="00D80311"/>
    <w:rsid w:val="00D822A4"/>
    <w:rsid w:val="00D847F1"/>
    <w:rsid w:val="00D85D6D"/>
    <w:rsid w:val="00D85E11"/>
    <w:rsid w:val="00D86A1B"/>
    <w:rsid w:val="00D87FD6"/>
    <w:rsid w:val="00D92482"/>
    <w:rsid w:val="00D94B9E"/>
    <w:rsid w:val="00D960BD"/>
    <w:rsid w:val="00D976D0"/>
    <w:rsid w:val="00DA06FA"/>
    <w:rsid w:val="00DA2EEE"/>
    <w:rsid w:val="00DA602F"/>
    <w:rsid w:val="00DA6328"/>
    <w:rsid w:val="00DA7478"/>
    <w:rsid w:val="00DA7683"/>
    <w:rsid w:val="00DB13BD"/>
    <w:rsid w:val="00DB1ADB"/>
    <w:rsid w:val="00DB4000"/>
    <w:rsid w:val="00DB5C15"/>
    <w:rsid w:val="00DB671F"/>
    <w:rsid w:val="00DB6BAB"/>
    <w:rsid w:val="00DB6E55"/>
    <w:rsid w:val="00DC1A42"/>
    <w:rsid w:val="00DC2879"/>
    <w:rsid w:val="00DC3FDC"/>
    <w:rsid w:val="00DC431B"/>
    <w:rsid w:val="00DC4EA2"/>
    <w:rsid w:val="00DC63F2"/>
    <w:rsid w:val="00DC7305"/>
    <w:rsid w:val="00DC7B9A"/>
    <w:rsid w:val="00DD1DDB"/>
    <w:rsid w:val="00DD21F5"/>
    <w:rsid w:val="00DD237C"/>
    <w:rsid w:val="00DD2600"/>
    <w:rsid w:val="00DD4156"/>
    <w:rsid w:val="00DD5C57"/>
    <w:rsid w:val="00DD661D"/>
    <w:rsid w:val="00DD7D9C"/>
    <w:rsid w:val="00DE14E9"/>
    <w:rsid w:val="00DE1718"/>
    <w:rsid w:val="00DE2065"/>
    <w:rsid w:val="00DE2D70"/>
    <w:rsid w:val="00DE3621"/>
    <w:rsid w:val="00DE408D"/>
    <w:rsid w:val="00DE647B"/>
    <w:rsid w:val="00DE6972"/>
    <w:rsid w:val="00DF228B"/>
    <w:rsid w:val="00DF515B"/>
    <w:rsid w:val="00DF5A15"/>
    <w:rsid w:val="00DF5C58"/>
    <w:rsid w:val="00DF6266"/>
    <w:rsid w:val="00DF7821"/>
    <w:rsid w:val="00E01439"/>
    <w:rsid w:val="00E02A78"/>
    <w:rsid w:val="00E048A9"/>
    <w:rsid w:val="00E0492E"/>
    <w:rsid w:val="00E04CEF"/>
    <w:rsid w:val="00E06157"/>
    <w:rsid w:val="00E102BC"/>
    <w:rsid w:val="00E10B12"/>
    <w:rsid w:val="00E11C83"/>
    <w:rsid w:val="00E12137"/>
    <w:rsid w:val="00E1328D"/>
    <w:rsid w:val="00E13B08"/>
    <w:rsid w:val="00E13C8A"/>
    <w:rsid w:val="00E142D9"/>
    <w:rsid w:val="00E170B3"/>
    <w:rsid w:val="00E20231"/>
    <w:rsid w:val="00E2033B"/>
    <w:rsid w:val="00E20BFC"/>
    <w:rsid w:val="00E21DE0"/>
    <w:rsid w:val="00E22C06"/>
    <w:rsid w:val="00E22CFB"/>
    <w:rsid w:val="00E2318E"/>
    <w:rsid w:val="00E23263"/>
    <w:rsid w:val="00E23AC7"/>
    <w:rsid w:val="00E23F6D"/>
    <w:rsid w:val="00E2626C"/>
    <w:rsid w:val="00E2719C"/>
    <w:rsid w:val="00E271A2"/>
    <w:rsid w:val="00E27BEE"/>
    <w:rsid w:val="00E300C1"/>
    <w:rsid w:val="00E307E2"/>
    <w:rsid w:val="00E30B03"/>
    <w:rsid w:val="00E31804"/>
    <w:rsid w:val="00E31A0C"/>
    <w:rsid w:val="00E32359"/>
    <w:rsid w:val="00E32407"/>
    <w:rsid w:val="00E32ED5"/>
    <w:rsid w:val="00E332F9"/>
    <w:rsid w:val="00E3390A"/>
    <w:rsid w:val="00E3451A"/>
    <w:rsid w:val="00E3480C"/>
    <w:rsid w:val="00E3655D"/>
    <w:rsid w:val="00E41181"/>
    <w:rsid w:val="00E4249C"/>
    <w:rsid w:val="00E439A9"/>
    <w:rsid w:val="00E44380"/>
    <w:rsid w:val="00E46844"/>
    <w:rsid w:val="00E47B68"/>
    <w:rsid w:val="00E5114A"/>
    <w:rsid w:val="00E515B1"/>
    <w:rsid w:val="00E5248C"/>
    <w:rsid w:val="00E53C12"/>
    <w:rsid w:val="00E54869"/>
    <w:rsid w:val="00E548E0"/>
    <w:rsid w:val="00E550E9"/>
    <w:rsid w:val="00E603C3"/>
    <w:rsid w:val="00E604E7"/>
    <w:rsid w:val="00E6353E"/>
    <w:rsid w:val="00E63B9D"/>
    <w:rsid w:val="00E65128"/>
    <w:rsid w:val="00E65D34"/>
    <w:rsid w:val="00E65D9B"/>
    <w:rsid w:val="00E66B2A"/>
    <w:rsid w:val="00E66EEE"/>
    <w:rsid w:val="00E674ED"/>
    <w:rsid w:val="00E70B63"/>
    <w:rsid w:val="00E7167F"/>
    <w:rsid w:val="00E71EEA"/>
    <w:rsid w:val="00E72951"/>
    <w:rsid w:val="00E72A3D"/>
    <w:rsid w:val="00E734C5"/>
    <w:rsid w:val="00E7434B"/>
    <w:rsid w:val="00E8028A"/>
    <w:rsid w:val="00E80FC0"/>
    <w:rsid w:val="00E8105F"/>
    <w:rsid w:val="00E81C95"/>
    <w:rsid w:val="00E8240A"/>
    <w:rsid w:val="00E8291C"/>
    <w:rsid w:val="00E83A63"/>
    <w:rsid w:val="00E83C73"/>
    <w:rsid w:val="00E840B0"/>
    <w:rsid w:val="00E84DF5"/>
    <w:rsid w:val="00E8501A"/>
    <w:rsid w:val="00E854FE"/>
    <w:rsid w:val="00E86953"/>
    <w:rsid w:val="00E87814"/>
    <w:rsid w:val="00E87D5A"/>
    <w:rsid w:val="00E91119"/>
    <w:rsid w:val="00E92151"/>
    <w:rsid w:val="00E92919"/>
    <w:rsid w:val="00E939B3"/>
    <w:rsid w:val="00E93BB1"/>
    <w:rsid w:val="00E93C6D"/>
    <w:rsid w:val="00E95ED1"/>
    <w:rsid w:val="00E96BFF"/>
    <w:rsid w:val="00EA15F7"/>
    <w:rsid w:val="00EA2395"/>
    <w:rsid w:val="00EA2966"/>
    <w:rsid w:val="00EA36F9"/>
    <w:rsid w:val="00EA42F2"/>
    <w:rsid w:val="00EA4992"/>
    <w:rsid w:val="00EA49DA"/>
    <w:rsid w:val="00EA4CB6"/>
    <w:rsid w:val="00EA6A76"/>
    <w:rsid w:val="00EA7353"/>
    <w:rsid w:val="00EB0225"/>
    <w:rsid w:val="00EB2E8B"/>
    <w:rsid w:val="00EB3765"/>
    <w:rsid w:val="00EB559C"/>
    <w:rsid w:val="00EB5ECC"/>
    <w:rsid w:val="00EB5F22"/>
    <w:rsid w:val="00EB6ABD"/>
    <w:rsid w:val="00EC045E"/>
    <w:rsid w:val="00EC065E"/>
    <w:rsid w:val="00EC1B09"/>
    <w:rsid w:val="00EC22A8"/>
    <w:rsid w:val="00EC3ACA"/>
    <w:rsid w:val="00EC47BF"/>
    <w:rsid w:val="00EC7089"/>
    <w:rsid w:val="00EC715D"/>
    <w:rsid w:val="00EC72B9"/>
    <w:rsid w:val="00EC7C7E"/>
    <w:rsid w:val="00ED0D33"/>
    <w:rsid w:val="00ED151D"/>
    <w:rsid w:val="00ED1AFC"/>
    <w:rsid w:val="00ED336B"/>
    <w:rsid w:val="00ED344B"/>
    <w:rsid w:val="00ED36DF"/>
    <w:rsid w:val="00ED5057"/>
    <w:rsid w:val="00ED70BE"/>
    <w:rsid w:val="00ED7CA2"/>
    <w:rsid w:val="00EE0226"/>
    <w:rsid w:val="00EE1892"/>
    <w:rsid w:val="00EE43AA"/>
    <w:rsid w:val="00EE451E"/>
    <w:rsid w:val="00EE5DDF"/>
    <w:rsid w:val="00EE5E4D"/>
    <w:rsid w:val="00EE77AB"/>
    <w:rsid w:val="00EE7C4E"/>
    <w:rsid w:val="00EF188F"/>
    <w:rsid w:val="00EF1A8F"/>
    <w:rsid w:val="00EF3342"/>
    <w:rsid w:val="00EF524A"/>
    <w:rsid w:val="00EF62AC"/>
    <w:rsid w:val="00F0240C"/>
    <w:rsid w:val="00F02D97"/>
    <w:rsid w:val="00F0318F"/>
    <w:rsid w:val="00F0415F"/>
    <w:rsid w:val="00F04C09"/>
    <w:rsid w:val="00F0535E"/>
    <w:rsid w:val="00F05C2F"/>
    <w:rsid w:val="00F06F37"/>
    <w:rsid w:val="00F0711B"/>
    <w:rsid w:val="00F10CF0"/>
    <w:rsid w:val="00F128BF"/>
    <w:rsid w:val="00F1428C"/>
    <w:rsid w:val="00F151FD"/>
    <w:rsid w:val="00F2005A"/>
    <w:rsid w:val="00F2126A"/>
    <w:rsid w:val="00F213BB"/>
    <w:rsid w:val="00F21B96"/>
    <w:rsid w:val="00F21F08"/>
    <w:rsid w:val="00F22032"/>
    <w:rsid w:val="00F22473"/>
    <w:rsid w:val="00F22545"/>
    <w:rsid w:val="00F23A52"/>
    <w:rsid w:val="00F240D0"/>
    <w:rsid w:val="00F24582"/>
    <w:rsid w:val="00F245DB"/>
    <w:rsid w:val="00F24C1F"/>
    <w:rsid w:val="00F24F7B"/>
    <w:rsid w:val="00F273DC"/>
    <w:rsid w:val="00F27B5C"/>
    <w:rsid w:val="00F3005E"/>
    <w:rsid w:val="00F314FD"/>
    <w:rsid w:val="00F31C6D"/>
    <w:rsid w:val="00F32681"/>
    <w:rsid w:val="00F33064"/>
    <w:rsid w:val="00F33538"/>
    <w:rsid w:val="00F341DD"/>
    <w:rsid w:val="00F3464B"/>
    <w:rsid w:val="00F34C92"/>
    <w:rsid w:val="00F354E7"/>
    <w:rsid w:val="00F36334"/>
    <w:rsid w:val="00F36F58"/>
    <w:rsid w:val="00F3740B"/>
    <w:rsid w:val="00F405EE"/>
    <w:rsid w:val="00F40E40"/>
    <w:rsid w:val="00F410C7"/>
    <w:rsid w:val="00F42EA5"/>
    <w:rsid w:val="00F430A8"/>
    <w:rsid w:val="00F4369A"/>
    <w:rsid w:val="00F442E1"/>
    <w:rsid w:val="00F45C4E"/>
    <w:rsid w:val="00F46C62"/>
    <w:rsid w:val="00F50810"/>
    <w:rsid w:val="00F50E40"/>
    <w:rsid w:val="00F51ECB"/>
    <w:rsid w:val="00F530ED"/>
    <w:rsid w:val="00F55EBD"/>
    <w:rsid w:val="00F5608F"/>
    <w:rsid w:val="00F566DC"/>
    <w:rsid w:val="00F56A81"/>
    <w:rsid w:val="00F56BFF"/>
    <w:rsid w:val="00F61A46"/>
    <w:rsid w:val="00F61CCF"/>
    <w:rsid w:val="00F61F6A"/>
    <w:rsid w:val="00F6364D"/>
    <w:rsid w:val="00F65709"/>
    <w:rsid w:val="00F67EEC"/>
    <w:rsid w:val="00F700DB"/>
    <w:rsid w:val="00F710ED"/>
    <w:rsid w:val="00F71C3F"/>
    <w:rsid w:val="00F7284F"/>
    <w:rsid w:val="00F735BB"/>
    <w:rsid w:val="00F75BA3"/>
    <w:rsid w:val="00F75D7A"/>
    <w:rsid w:val="00F76431"/>
    <w:rsid w:val="00F76978"/>
    <w:rsid w:val="00F77140"/>
    <w:rsid w:val="00F77252"/>
    <w:rsid w:val="00F77553"/>
    <w:rsid w:val="00F8112A"/>
    <w:rsid w:val="00F8167F"/>
    <w:rsid w:val="00F8322D"/>
    <w:rsid w:val="00F84143"/>
    <w:rsid w:val="00F84FAA"/>
    <w:rsid w:val="00F9023C"/>
    <w:rsid w:val="00F92309"/>
    <w:rsid w:val="00F927D1"/>
    <w:rsid w:val="00F92FCF"/>
    <w:rsid w:val="00F93DD4"/>
    <w:rsid w:val="00F95AB3"/>
    <w:rsid w:val="00F97ADA"/>
    <w:rsid w:val="00FA06B9"/>
    <w:rsid w:val="00FA1FBB"/>
    <w:rsid w:val="00FA2878"/>
    <w:rsid w:val="00FA42EA"/>
    <w:rsid w:val="00FA4E9D"/>
    <w:rsid w:val="00FA59AF"/>
    <w:rsid w:val="00FA5C6A"/>
    <w:rsid w:val="00FB0105"/>
    <w:rsid w:val="00FB0527"/>
    <w:rsid w:val="00FB0614"/>
    <w:rsid w:val="00FB2042"/>
    <w:rsid w:val="00FB244F"/>
    <w:rsid w:val="00FB2E7E"/>
    <w:rsid w:val="00FB4757"/>
    <w:rsid w:val="00FB69F7"/>
    <w:rsid w:val="00FB6AC8"/>
    <w:rsid w:val="00FB74BC"/>
    <w:rsid w:val="00FB75E8"/>
    <w:rsid w:val="00FB7722"/>
    <w:rsid w:val="00FC0022"/>
    <w:rsid w:val="00FC031A"/>
    <w:rsid w:val="00FC1AE9"/>
    <w:rsid w:val="00FC3CB4"/>
    <w:rsid w:val="00FC4DBE"/>
    <w:rsid w:val="00FC5193"/>
    <w:rsid w:val="00FC5227"/>
    <w:rsid w:val="00FC6F20"/>
    <w:rsid w:val="00FC734C"/>
    <w:rsid w:val="00FC7813"/>
    <w:rsid w:val="00FD12E4"/>
    <w:rsid w:val="00FD18AC"/>
    <w:rsid w:val="00FD2867"/>
    <w:rsid w:val="00FD320B"/>
    <w:rsid w:val="00FD4882"/>
    <w:rsid w:val="00FD48C2"/>
    <w:rsid w:val="00FD53DA"/>
    <w:rsid w:val="00FD64C6"/>
    <w:rsid w:val="00FD7079"/>
    <w:rsid w:val="00FD7498"/>
    <w:rsid w:val="00FE1E59"/>
    <w:rsid w:val="00FE1E98"/>
    <w:rsid w:val="00FE4B77"/>
    <w:rsid w:val="00FE4DD9"/>
    <w:rsid w:val="00FE5A4F"/>
    <w:rsid w:val="00FE7039"/>
    <w:rsid w:val="00FE7433"/>
    <w:rsid w:val="00FF0F6B"/>
    <w:rsid w:val="00FF1660"/>
    <w:rsid w:val="00FF1A7D"/>
    <w:rsid w:val="00FF2DD2"/>
    <w:rsid w:val="00FF53D6"/>
    <w:rsid w:val="00FF5B87"/>
    <w:rsid w:val="00FF6E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9FD76"/>
  <w15:chartTrackingRefBased/>
  <w15:docId w15:val="{93872A44-2E56-403F-BA93-3BDBC3DF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05A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705A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6BF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4114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4114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02E2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202E2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02E2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4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B248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1D7382"/>
    <w:pPr>
      <w:ind w:left="720"/>
      <w:contextualSpacing/>
    </w:pPr>
  </w:style>
  <w:style w:type="paragraph" w:styleId="Header">
    <w:name w:val="header"/>
    <w:basedOn w:val="Normal"/>
    <w:link w:val="HeaderChar"/>
    <w:uiPriority w:val="99"/>
    <w:unhideWhenUsed/>
    <w:rsid w:val="003B5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F9"/>
  </w:style>
  <w:style w:type="paragraph" w:styleId="Footer">
    <w:name w:val="footer"/>
    <w:basedOn w:val="Normal"/>
    <w:link w:val="FooterChar"/>
    <w:uiPriority w:val="99"/>
    <w:unhideWhenUsed/>
    <w:rsid w:val="003B5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F9"/>
  </w:style>
  <w:style w:type="character" w:styleId="CommentReference">
    <w:name w:val="annotation reference"/>
    <w:basedOn w:val="DefaultParagraphFont"/>
    <w:uiPriority w:val="99"/>
    <w:semiHidden/>
    <w:unhideWhenUsed/>
    <w:rsid w:val="001E752C"/>
    <w:rPr>
      <w:sz w:val="16"/>
      <w:szCs w:val="16"/>
    </w:rPr>
  </w:style>
  <w:style w:type="paragraph" w:styleId="CommentText">
    <w:name w:val="annotation text"/>
    <w:basedOn w:val="Normal"/>
    <w:link w:val="CommentTextChar"/>
    <w:uiPriority w:val="99"/>
    <w:semiHidden/>
    <w:unhideWhenUsed/>
    <w:rsid w:val="001E752C"/>
    <w:pPr>
      <w:spacing w:line="240" w:lineRule="auto"/>
    </w:pPr>
    <w:rPr>
      <w:sz w:val="20"/>
      <w:szCs w:val="20"/>
    </w:rPr>
  </w:style>
  <w:style w:type="character" w:customStyle="1" w:styleId="CommentTextChar">
    <w:name w:val="Comment Text Char"/>
    <w:basedOn w:val="DefaultParagraphFont"/>
    <w:link w:val="CommentText"/>
    <w:uiPriority w:val="99"/>
    <w:semiHidden/>
    <w:rsid w:val="001E752C"/>
    <w:rPr>
      <w:sz w:val="20"/>
      <w:szCs w:val="20"/>
    </w:rPr>
  </w:style>
  <w:style w:type="paragraph" w:styleId="CommentSubject">
    <w:name w:val="annotation subject"/>
    <w:basedOn w:val="CommentText"/>
    <w:next w:val="CommentText"/>
    <w:link w:val="CommentSubjectChar"/>
    <w:uiPriority w:val="99"/>
    <w:semiHidden/>
    <w:unhideWhenUsed/>
    <w:rsid w:val="001E752C"/>
    <w:rPr>
      <w:b/>
      <w:bCs/>
    </w:rPr>
  </w:style>
  <w:style w:type="character" w:customStyle="1" w:styleId="CommentSubjectChar">
    <w:name w:val="Comment Subject Char"/>
    <w:basedOn w:val="CommentTextChar"/>
    <w:link w:val="CommentSubject"/>
    <w:uiPriority w:val="99"/>
    <w:semiHidden/>
    <w:rsid w:val="001E752C"/>
    <w:rPr>
      <w:b/>
      <w:bCs/>
      <w:sz w:val="20"/>
      <w:szCs w:val="20"/>
    </w:rPr>
  </w:style>
  <w:style w:type="character" w:customStyle="1" w:styleId="Heading2Char">
    <w:name w:val="Heading 2 Char"/>
    <w:basedOn w:val="DefaultParagraphFont"/>
    <w:link w:val="Heading2"/>
    <w:uiPriority w:val="9"/>
    <w:rsid w:val="00705A40"/>
    <w:rPr>
      <w:rFonts w:ascii="Times New Roman" w:eastAsia="Times New Roman" w:hAnsi="Times New Roman" w:cs="Times New Roman"/>
      <w:b/>
      <w:bCs/>
      <w:sz w:val="36"/>
      <w:szCs w:val="36"/>
    </w:rPr>
  </w:style>
  <w:style w:type="paragraph" w:styleId="NormalWeb">
    <w:name w:val="Normal (Web)"/>
    <w:basedOn w:val="Normal"/>
    <w:uiPriority w:val="99"/>
    <w:unhideWhenUsed/>
    <w:rsid w:val="00705A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5A40"/>
    <w:rPr>
      <w:b/>
      <w:bCs/>
    </w:rPr>
  </w:style>
  <w:style w:type="character" w:customStyle="1" w:styleId="Heading3Char">
    <w:name w:val="Heading 3 Char"/>
    <w:basedOn w:val="DefaultParagraphFont"/>
    <w:link w:val="Heading3"/>
    <w:uiPriority w:val="9"/>
    <w:rsid w:val="00705A4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05A40"/>
    <w:rPr>
      <w:color w:val="0000FF"/>
      <w:u w:val="single"/>
    </w:rPr>
  </w:style>
  <w:style w:type="character" w:customStyle="1" w:styleId="Heading1Char">
    <w:name w:val="Heading 1 Char"/>
    <w:basedOn w:val="DefaultParagraphFont"/>
    <w:link w:val="Heading1"/>
    <w:uiPriority w:val="9"/>
    <w:rsid w:val="00F02D97"/>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qFormat/>
    <w:rsid w:val="0067487F"/>
    <w:rPr>
      <w:i/>
      <w:iCs/>
    </w:rPr>
  </w:style>
  <w:style w:type="character" w:customStyle="1" w:styleId="Heading5Char">
    <w:name w:val="Heading 5 Char"/>
    <w:basedOn w:val="DefaultParagraphFont"/>
    <w:link w:val="Heading5"/>
    <w:uiPriority w:val="9"/>
    <w:semiHidden/>
    <w:rsid w:val="0094114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4114F"/>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287308"/>
    <w:rPr>
      <w:color w:val="605E5C"/>
      <w:shd w:val="clear" w:color="auto" w:fill="E1DFDD"/>
    </w:rPr>
  </w:style>
  <w:style w:type="character" w:customStyle="1" w:styleId="Heading4Char">
    <w:name w:val="Heading 4 Char"/>
    <w:basedOn w:val="DefaultParagraphFont"/>
    <w:link w:val="Heading4"/>
    <w:uiPriority w:val="9"/>
    <w:rsid w:val="00F56BFF"/>
    <w:rPr>
      <w:rFonts w:asciiTheme="majorHAnsi" w:eastAsiaTheme="majorEastAsia" w:hAnsiTheme="majorHAnsi" w:cstheme="majorBidi"/>
      <w:i/>
      <w:iCs/>
      <w:color w:val="2F5496" w:themeColor="accent1" w:themeShade="BF"/>
    </w:rPr>
  </w:style>
  <w:style w:type="paragraph" w:customStyle="1" w:styleId="ds-markdown-paragraph">
    <w:name w:val="ds-markdown-paragraph"/>
    <w:basedOn w:val="Normal"/>
    <w:rsid w:val="00A829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7Char">
    <w:name w:val="Heading 7 Char"/>
    <w:basedOn w:val="DefaultParagraphFont"/>
    <w:link w:val="Heading7"/>
    <w:uiPriority w:val="9"/>
    <w:semiHidden/>
    <w:rsid w:val="00202E2A"/>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202E2A"/>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02E2A"/>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202E2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02E2A"/>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02E2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02E2A"/>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02E2A"/>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02E2A"/>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202E2A"/>
    <w:rPr>
      <w:i/>
      <w:iCs/>
      <w:color w:val="2F5496" w:themeColor="accent1" w:themeShade="BF"/>
    </w:rPr>
  </w:style>
  <w:style w:type="paragraph" w:styleId="IntenseQuote">
    <w:name w:val="Intense Quote"/>
    <w:basedOn w:val="Normal"/>
    <w:next w:val="Normal"/>
    <w:link w:val="IntenseQuoteChar"/>
    <w:uiPriority w:val="30"/>
    <w:qFormat/>
    <w:rsid w:val="00202E2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02E2A"/>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02E2A"/>
    <w:rPr>
      <w:b/>
      <w:bCs/>
      <w:smallCaps/>
      <w:color w:val="2F5496" w:themeColor="accent1" w:themeShade="BF"/>
      <w:spacing w:val="5"/>
    </w:rPr>
  </w:style>
  <w:style w:type="table" w:styleId="GridTable5Dark">
    <w:name w:val="Grid Table 5 Dark"/>
    <w:basedOn w:val="TableNormal"/>
    <w:uiPriority w:val="50"/>
    <w:rsid w:val="00202E2A"/>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Spacing">
    <w:name w:val="No Spacing"/>
    <w:link w:val="NoSpacingChar"/>
    <w:uiPriority w:val="1"/>
    <w:qFormat/>
    <w:rsid w:val="007A0B3B"/>
    <w:pPr>
      <w:spacing w:after="0" w:line="240" w:lineRule="auto"/>
    </w:pPr>
    <w:rPr>
      <w:rFonts w:ascii="Calibri" w:eastAsia="Times New Roman" w:hAnsi="Calibri" w:cs="Arial"/>
    </w:rPr>
  </w:style>
  <w:style w:type="character" w:customStyle="1" w:styleId="NoSpacingChar">
    <w:name w:val="No Spacing Char"/>
    <w:basedOn w:val="DefaultParagraphFont"/>
    <w:link w:val="NoSpacing"/>
    <w:uiPriority w:val="1"/>
    <w:rsid w:val="007A0B3B"/>
    <w:rPr>
      <w:rFonts w:ascii="Calibri" w:eastAsia="Times New Roman" w:hAnsi="Calibri" w:cs="Arial"/>
    </w:rPr>
  </w:style>
  <w:style w:type="paragraph" w:styleId="BodyText2">
    <w:name w:val="Body Text 2"/>
    <w:basedOn w:val="Normal"/>
    <w:link w:val="BodyText2Char"/>
    <w:rsid w:val="007A0B3B"/>
    <w:pPr>
      <w:bidi/>
      <w:spacing w:after="0" w:line="240" w:lineRule="auto"/>
    </w:pPr>
    <w:rPr>
      <w:rFonts w:ascii="Times New Roman" w:eastAsia="Times New Roman" w:hAnsi="Times New Roman" w:cs="Arial"/>
      <w:sz w:val="20"/>
      <w:szCs w:val="28"/>
    </w:rPr>
  </w:style>
  <w:style w:type="character" w:customStyle="1" w:styleId="BodyText2Char">
    <w:name w:val="Body Text 2 Char"/>
    <w:basedOn w:val="DefaultParagraphFont"/>
    <w:link w:val="BodyText2"/>
    <w:rsid w:val="007A0B3B"/>
    <w:rPr>
      <w:rFonts w:ascii="Times New Roman" w:eastAsia="Times New Roman" w:hAnsi="Times New Roman" w:cs="Arial"/>
      <w:sz w:val="20"/>
      <w:szCs w:val="28"/>
    </w:rPr>
  </w:style>
  <w:style w:type="paragraph" w:styleId="BlockText">
    <w:name w:val="Block Text"/>
    <w:basedOn w:val="Normal"/>
    <w:rsid w:val="007A0B3B"/>
    <w:pPr>
      <w:bidi/>
      <w:spacing w:after="0" w:line="240" w:lineRule="auto"/>
      <w:ind w:left="288"/>
    </w:pPr>
    <w:rPr>
      <w:rFonts w:ascii="Times New Roman" w:eastAsia="Times New Roman" w:hAnsi="Times New Roman" w:cs="Arial"/>
      <w:sz w:val="20"/>
      <w:szCs w:val="28"/>
    </w:rPr>
  </w:style>
  <w:style w:type="character" w:styleId="PageNumber">
    <w:name w:val="page number"/>
    <w:basedOn w:val="DefaultParagraphFont"/>
    <w:rsid w:val="007A0B3B"/>
  </w:style>
  <w:style w:type="paragraph" w:styleId="BalloonText">
    <w:name w:val="Balloon Text"/>
    <w:basedOn w:val="Normal"/>
    <w:link w:val="BalloonTextChar"/>
    <w:semiHidden/>
    <w:rsid w:val="007A0B3B"/>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A0B3B"/>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7A0B3B"/>
    <w:pPr>
      <w:bidi/>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rsid w:val="007A0B3B"/>
    <w:rPr>
      <w:rFonts w:ascii="Tahoma" w:eastAsia="Times New Roman" w:hAnsi="Tahoma" w:cs="Tahoma"/>
      <w:sz w:val="16"/>
      <w:szCs w:val="16"/>
    </w:rPr>
  </w:style>
  <w:style w:type="paragraph" w:styleId="BodyTextIndent2">
    <w:name w:val="Body Text Indent 2"/>
    <w:basedOn w:val="Normal"/>
    <w:link w:val="BodyTextIndent2Char"/>
    <w:rsid w:val="007A0B3B"/>
    <w:pPr>
      <w:bidi/>
      <w:spacing w:after="120" w:line="480" w:lineRule="auto"/>
      <w:ind w:left="283"/>
    </w:pPr>
    <w:rPr>
      <w:rFonts w:ascii="Times New Roman" w:eastAsia="Times New Roman" w:hAnsi="Times New Roman" w:cs="Times New Roman"/>
      <w:sz w:val="24"/>
      <w:szCs w:val="24"/>
      <w:lang w:bidi="ar-EG"/>
    </w:rPr>
  </w:style>
  <w:style w:type="character" w:customStyle="1" w:styleId="BodyTextIndent2Char">
    <w:name w:val="Body Text Indent 2 Char"/>
    <w:basedOn w:val="DefaultParagraphFont"/>
    <w:link w:val="BodyTextIndent2"/>
    <w:rsid w:val="007A0B3B"/>
    <w:rPr>
      <w:rFonts w:ascii="Times New Roman" w:eastAsia="Times New Roman" w:hAnsi="Times New Roman" w:cs="Times New Roman"/>
      <w:sz w:val="24"/>
      <w:szCs w:val="24"/>
      <w:lang w:bidi="ar-EG"/>
    </w:rPr>
  </w:style>
  <w:style w:type="character" w:customStyle="1" w:styleId="longtext">
    <w:name w:val="long_text"/>
    <w:basedOn w:val="DefaultParagraphFont"/>
    <w:rsid w:val="007A0B3B"/>
  </w:style>
  <w:style w:type="table" w:styleId="GridTable3">
    <w:name w:val="Grid Table 3"/>
    <w:basedOn w:val="TableNormal"/>
    <w:uiPriority w:val="48"/>
    <w:rsid w:val="00567F7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3">
    <w:name w:val="Plain Table 3"/>
    <w:basedOn w:val="TableNormal"/>
    <w:uiPriority w:val="43"/>
    <w:rsid w:val="00F841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638F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464">
      <w:bodyDiv w:val="1"/>
      <w:marLeft w:val="0"/>
      <w:marRight w:val="0"/>
      <w:marTop w:val="0"/>
      <w:marBottom w:val="0"/>
      <w:divBdr>
        <w:top w:val="none" w:sz="0" w:space="0" w:color="auto"/>
        <w:left w:val="none" w:sz="0" w:space="0" w:color="auto"/>
        <w:bottom w:val="none" w:sz="0" w:space="0" w:color="auto"/>
        <w:right w:val="none" w:sz="0" w:space="0" w:color="auto"/>
      </w:divBdr>
    </w:div>
    <w:div w:id="36898082">
      <w:bodyDiv w:val="1"/>
      <w:marLeft w:val="0"/>
      <w:marRight w:val="0"/>
      <w:marTop w:val="0"/>
      <w:marBottom w:val="0"/>
      <w:divBdr>
        <w:top w:val="none" w:sz="0" w:space="0" w:color="auto"/>
        <w:left w:val="none" w:sz="0" w:space="0" w:color="auto"/>
        <w:bottom w:val="none" w:sz="0" w:space="0" w:color="auto"/>
        <w:right w:val="none" w:sz="0" w:space="0" w:color="auto"/>
      </w:divBdr>
    </w:div>
    <w:div w:id="54858681">
      <w:bodyDiv w:val="1"/>
      <w:marLeft w:val="0"/>
      <w:marRight w:val="0"/>
      <w:marTop w:val="0"/>
      <w:marBottom w:val="0"/>
      <w:divBdr>
        <w:top w:val="none" w:sz="0" w:space="0" w:color="auto"/>
        <w:left w:val="none" w:sz="0" w:space="0" w:color="auto"/>
        <w:bottom w:val="none" w:sz="0" w:space="0" w:color="auto"/>
        <w:right w:val="none" w:sz="0" w:space="0" w:color="auto"/>
      </w:divBdr>
      <w:divsChild>
        <w:div w:id="7951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61639">
      <w:bodyDiv w:val="1"/>
      <w:marLeft w:val="0"/>
      <w:marRight w:val="0"/>
      <w:marTop w:val="0"/>
      <w:marBottom w:val="0"/>
      <w:divBdr>
        <w:top w:val="none" w:sz="0" w:space="0" w:color="auto"/>
        <w:left w:val="none" w:sz="0" w:space="0" w:color="auto"/>
        <w:bottom w:val="none" w:sz="0" w:space="0" w:color="auto"/>
        <w:right w:val="none" w:sz="0" w:space="0" w:color="auto"/>
      </w:divBdr>
      <w:divsChild>
        <w:div w:id="1036009653">
          <w:marLeft w:val="0"/>
          <w:marRight w:val="0"/>
          <w:marTop w:val="0"/>
          <w:marBottom w:val="0"/>
          <w:divBdr>
            <w:top w:val="none" w:sz="0" w:space="0" w:color="auto"/>
            <w:left w:val="none" w:sz="0" w:space="0" w:color="auto"/>
            <w:bottom w:val="none" w:sz="0" w:space="0" w:color="auto"/>
            <w:right w:val="none" w:sz="0" w:space="0" w:color="auto"/>
          </w:divBdr>
          <w:divsChild>
            <w:div w:id="2140488417">
              <w:marLeft w:val="0"/>
              <w:marRight w:val="0"/>
              <w:marTop w:val="0"/>
              <w:marBottom w:val="0"/>
              <w:divBdr>
                <w:top w:val="none" w:sz="0" w:space="0" w:color="auto"/>
                <w:left w:val="none" w:sz="0" w:space="0" w:color="auto"/>
                <w:bottom w:val="none" w:sz="0" w:space="0" w:color="auto"/>
                <w:right w:val="none" w:sz="0" w:space="0" w:color="auto"/>
              </w:divBdr>
              <w:divsChild>
                <w:div w:id="107045912">
                  <w:marLeft w:val="0"/>
                  <w:marRight w:val="0"/>
                  <w:marTop w:val="0"/>
                  <w:marBottom w:val="0"/>
                  <w:divBdr>
                    <w:top w:val="none" w:sz="0" w:space="0" w:color="auto"/>
                    <w:left w:val="none" w:sz="0" w:space="0" w:color="auto"/>
                    <w:bottom w:val="none" w:sz="0" w:space="0" w:color="auto"/>
                    <w:right w:val="none" w:sz="0" w:space="0" w:color="auto"/>
                  </w:divBdr>
                  <w:divsChild>
                    <w:div w:id="1643660376">
                      <w:marLeft w:val="0"/>
                      <w:marRight w:val="0"/>
                      <w:marTop w:val="0"/>
                      <w:marBottom w:val="0"/>
                      <w:divBdr>
                        <w:top w:val="none" w:sz="0" w:space="0" w:color="auto"/>
                        <w:left w:val="none" w:sz="0" w:space="0" w:color="auto"/>
                        <w:bottom w:val="none" w:sz="0" w:space="0" w:color="auto"/>
                        <w:right w:val="none" w:sz="0" w:space="0" w:color="auto"/>
                      </w:divBdr>
                      <w:divsChild>
                        <w:div w:id="2064601336">
                          <w:marLeft w:val="0"/>
                          <w:marRight w:val="0"/>
                          <w:marTop w:val="0"/>
                          <w:marBottom w:val="0"/>
                          <w:divBdr>
                            <w:top w:val="none" w:sz="0" w:space="0" w:color="auto"/>
                            <w:left w:val="none" w:sz="0" w:space="0" w:color="auto"/>
                            <w:bottom w:val="none" w:sz="0" w:space="0" w:color="auto"/>
                            <w:right w:val="none" w:sz="0" w:space="0" w:color="auto"/>
                          </w:divBdr>
                          <w:divsChild>
                            <w:div w:id="2016179735">
                              <w:marLeft w:val="0"/>
                              <w:marRight w:val="0"/>
                              <w:marTop w:val="0"/>
                              <w:marBottom w:val="0"/>
                              <w:divBdr>
                                <w:top w:val="none" w:sz="0" w:space="0" w:color="auto"/>
                                <w:left w:val="none" w:sz="0" w:space="0" w:color="auto"/>
                                <w:bottom w:val="none" w:sz="0" w:space="0" w:color="auto"/>
                                <w:right w:val="none" w:sz="0" w:space="0" w:color="auto"/>
                              </w:divBdr>
                              <w:divsChild>
                                <w:div w:id="108090861">
                                  <w:marLeft w:val="0"/>
                                  <w:marRight w:val="0"/>
                                  <w:marTop w:val="0"/>
                                  <w:marBottom w:val="0"/>
                                  <w:divBdr>
                                    <w:top w:val="none" w:sz="0" w:space="0" w:color="auto"/>
                                    <w:left w:val="none" w:sz="0" w:space="0" w:color="auto"/>
                                    <w:bottom w:val="none" w:sz="0" w:space="0" w:color="auto"/>
                                    <w:right w:val="none" w:sz="0" w:space="0" w:color="auto"/>
                                  </w:divBdr>
                                  <w:divsChild>
                                    <w:div w:id="20935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64869">
      <w:bodyDiv w:val="1"/>
      <w:marLeft w:val="0"/>
      <w:marRight w:val="0"/>
      <w:marTop w:val="0"/>
      <w:marBottom w:val="0"/>
      <w:divBdr>
        <w:top w:val="none" w:sz="0" w:space="0" w:color="auto"/>
        <w:left w:val="none" w:sz="0" w:space="0" w:color="auto"/>
        <w:bottom w:val="none" w:sz="0" w:space="0" w:color="auto"/>
        <w:right w:val="none" w:sz="0" w:space="0" w:color="auto"/>
      </w:divBdr>
      <w:divsChild>
        <w:div w:id="544802573">
          <w:marLeft w:val="0"/>
          <w:marRight w:val="0"/>
          <w:marTop w:val="0"/>
          <w:marBottom w:val="0"/>
          <w:divBdr>
            <w:top w:val="none" w:sz="0" w:space="0" w:color="auto"/>
            <w:left w:val="none" w:sz="0" w:space="0" w:color="auto"/>
            <w:bottom w:val="none" w:sz="0" w:space="0" w:color="auto"/>
            <w:right w:val="none" w:sz="0" w:space="0" w:color="auto"/>
          </w:divBdr>
          <w:divsChild>
            <w:div w:id="1938318914">
              <w:marLeft w:val="0"/>
              <w:marRight w:val="0"/>
              <w:marTop w:val="0"/>
              <w:marBottom w:val="0"/>
              <w:divBdr>
                <w:top w:val="none" w:sz="0" w:space="0" w:color="auto"/>
                <w:left w:val="none" w:sz="0" w:space="0" w:color="auto"/>
                <w:bottom w:val="none" w:sz="0" w:space="0" w:color="auto"/>
                <w:right w:val="none" w:sz="0" w:space="0" w:color="auto"/>
              </w:divBdr>
              <w:divsChild>
                <w:div w:id="320893756">
                  <w:marLeft w:val="0"/>
                  <w:marRight w:val="0"/>
                  <w:marTop w:val="0"/>
                  <w:marBottom w:val="0"/>
                  <w:divBdr>
                    <w:top w:val="none" w:sz="0" w:space="0" w:color="auto"/>
                    <w:left w:val="none" w:sz="0" w:space="0" w:color="auto"/>
                    <w:bottom w:val="none" w:sz="0" w:space="0" w:color="auto"/>
                    <w:right w:val="none" w:sz="0" w:space="0" w:color="auto"/>
                  </w:divBdr>
                  <w:divsChild>
                    <w:div w:id="1979262262">
                      <w:marLeft w:val="0"/>
                      <w:marRight w:val="0"/>
                      <w:marTop w:val="0"/>
                      <w:marBottom w:val="0"/>
                      <w:divBdr>
                        <w:top w:val="none" w:sz="0" w:space="0" w:color="auto"/>
                        <w:left w:val="none" w:sz="0" w:space="0" w:color="auto"/>
                        <w:bottom w:val="none" w:sz="0" w:space="0" w:color="auto"/>
                        <w:right w:val="none" w:sz="0" w:space="0" w:color="auto"/>
                      </w:divBdr>
                      <w:divsChild>
                        <w:div w:id="2096824490">
                          <w:marLeft w:val="0"/>
                          <w:marRight w:val="0"/>
                          <w:marTop w:val="0"/>
                          <w:marBottom w:val="0"/>
                          <w:divBdr>
                            <w:top w:val="none" w:sz="0" w:space="0" w:color="auto"/>
                            <w:left w:val="none" w:sz="0" w:space="0" w:color="auto"/>
                            <w:bottom w:val="none" w:sz="0" w:space="0" w:color="auto"/>
                            <w:right w:val="none" w:sz="0" w:space="0" w:color="auto"/>
                          </w:divBdr>
                          <w:divsChild>
                            <w:div w:id="490482961">
                              <w:marLeft w:val="0"/>
                              <w:marRight w:val="0"/>
                              <w:marTop w:val="0"/>
                              <w:marBottom w:val="0"/>
                              <w:divBdr>
                                <w:top w:val="none" w:sz="0" w:space="0" w:color="auto"/>
                                <w:left w:val="none" w:sz="0" w:space="0" w:color="auto"/>
                                <w:bottom w:val="none" w:sz="0" w:space="0" w:color="auto"/>
                                <w:right w:val="none" w:sz="0" w:space="0" w:color="auto"/>
                              </w:divBdr>
                              <w:divsChild>
                                <w:div w:id="1250499496">
                                  <w:marLeft w:val="0"/>
                                  <w:marRight w:val="0"/>
                                  <w:marTop w:val="0"/>
                                  <w:marBottom w:val="0"/>
                                  <w:divBdr>
                                    <w:top w:val="none" w:sz="0" w:space="0" w:color="auto"/>
                                    <w:left w:val="none" w:sz="0" w:space="0" w:color="auto"/>
                                    <w:bottom w:val="none" w:sz="0" w:space="0" w:color="auto"/>
                                    <w:right w:val="none" w:sz="0" w:space="0" w:color="auto"/>
                                  </w:divBdr>
                                  <w:divsChild>
                                    <w:div w:id="133333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49081">
      <w:bodyDiv w:val="1"/>
      <w:marLeft w:val="0"/>
      <w:marRight w:val="0"/>
      <w:marTop w:val="0"/>
      <w:marBottom w:val="0"/>
      <w:divBdr>
        <w:top w:val="none" w:sz="0" w:space="0" w:color="auto"/>
        <w:left w:val="none" w:sz="0" w:space="0" w:color="auto"/>
        <w:bottom w:val="none" w:sz="0" w:space="0" w:color="auto"/>
        <w:right w:val="none" w:sz="0" w:space="0" w:color="auto"/>
      </w:divBdr>
    </w:div>
    <w:div w:id="103421624">
      <w:bodyDiv w:val="1"/>
      <w:marLeft w:val="0"/>
      <w:marRight w:val="0"/>
      <w:marTop w:val="0"/>
      <w:marBottom w:val="0"/>
      <w:divBdr>
        <w:top w:val="none" w:sz="0" w:space="0" w:color="auto"/>
        <w:left w:val="none" w:sz="0" w:space="0" w:color="auto"/>
        <w:bottom w:val="none" w:sz="0" w:space="0" w:color="auto"/>
        <w:right w:val="none" w:sz="0" w:space="0" w:color="auto"/>
      </w:divBdr>
    </w:div>
    <w:div w:id="155271169">
      <w:bodyDiv w:val="1"/>
      <w:marLeft w:val="0"/>
      <w:marRight w:val="0"/>
      <w:marTop w:val="0"/>
      <w:marBottom w:val="0"/>
      <w:divBdr>
        <w:top w:val="none" w:sz="0" w:space="0" w:color="auto"/>
        <w:left w:val="none" w:sz="0" w:space="0" w:color="auto"/>
        <w:bottom w:val="none" w:sz="0" w:space="0" w:color="auto"/>
        <w:right w:val="none" w:sz="0" w:space="0" w:color="auto"/>
      </w:divBdr>
      <w:divsChild>
        <w:div w:id="34545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98489">
      <w:bodyDiv w:val="1"/>
      <w:marLeft w:val="0"/>
      <w:marRight w:val="0"/>
      <w:marTop w:val="0"/>
      <w:marBottom w:val="0"/>
      <w:divBdr>
        <w:top w:val="none" w:sz="0" w:space="0" w:color="auto"/>
        <w:left w:val="none" w:sz="0" w:space="0" w:color="auto"/>
        <w:bottom w:val="none" w:sz="0" w:space="0" w:color="auto"/>
        <w:right w:val="none" w:sz="0" w:space="0" w:color="auto"/>
      </w:divBdr>
    </w:div>
    <w:div w:id="213858650">
      <w:bodyDiv w:val="1"/>
      <w:marLeft w:val="0"/>
      <w:marRight w:val="0"/>
      <w:marTop w:val="0"/>
      <w:marBottom w:val="0"/>
      <w:divBdr>
        <w:top w:val="none" w:sz="0" w:space="0" w:color="auto"/>
        <w:left w:val="none" w:sz="0" w:space="0" w:color="auto"/>
        <w:bottom w:val="none" w:sz="0" w:space="0" w:color="auto"/>
        <w:right w:val="none" w:sz="0" w:space="0" w:color="auto"/>
      </w:divBdr>
    </w:div>
    <w:div w:id="214312735">
      <w:bodyDiv w:val="1"/>
      <w:marLeft w:val="0"/>
      <w:marRight w:val="0"/>
      <w:marTop w:val="0"/>
      <w:marBottom w:val="0"/>
      <w:divBdr>
        <w:top w:val="none" w:sz="0" w:space="0" w:color="auto"/>
        <w:left w:val="none" w:sz="0" w:space="0" w:color="auto"/>
        <w:bottom w:val="none" w:sz="0" w:space="0" w:color="auto"/>
        <w:right w:val="none" w:sz="0" w:space="0" w:color="auto"/>
      </w:divBdr>
      <w:divsChild>
        <w:div w:id="528026378">
          <w:marLeft w:val="0"/>
          <w:marRight w:val="0"/>
          <w:marTop w:val="0"/>
          <w:marBottom w:val="0"/>
          <w:divBdr>
            <w:top w:val="none" w:sz="0" w:space="0" w:color="auto"/>
            <w:left w:val="none" w:sz="0" w:space="0" w:color="auto"/>
            <w:bottom w:val="none" w:sz="0" w:space="0" w:color="auto"/>
            <w:right w:val="none" w:sz="0" w:space="0" w:color="auto"/>
          </w:divBdr>
        </w:div>
      </w:divsChild>
    </w:div>
    <w:div w:id="224145829">
      <w:bodyDiv w:val="1"/>
      <w:marLeft w:val="0"/>
      <w:marRight w:val="0"/>
      <w:marTop w:val="0"/>
      <w:marBottom w:val="0"/>
      <w:divBdr>
        <w:top w:val="none" w:sz="0" w:space="0" w:color="auto"/>
        <w:left w:val="none" w:sz="0" w:space="0" w:color="auto"/>
        <w:bottom w:val="none" w:sz="0" w:space="0" w:color="auto"/>
        <w:right w:val="none" w:sz="0" w:space="0" w:color="auto"/>
      </w:divBdr>
      <w:divsChild>
        <w:div w:id="438178886">
          <w:marLeft w:val="0"/>
          <w:marRight w:val="0"/>
          <w:marTop w:val="0"/>
          <w:marBottom w:val="0"/>
          <w:divBdr>
            <w:top w:val="none" w:sz="0" w:space="0" w:color="auto"/>
            <w:left w:val="none" w:sz="0" w:space="0" w:color="auto"/>
            <w:bottom w:val="none" w:sz="0" w:space="0" w:color="auto"/>
            <w:right w:val="none" w:sz="0" w:space="0" w:color="auto"/>
          </w:divBdr>
          <w:divsChild>
            <w:div w:id="511188668">
              <w:marLeft w:val="0"/>
              <w:marRight w:val="0"/>
              <w:marTop w:val="0"/>
              <w:marBottom w:val="0"/>
              <w:divBdr>
                <w:top w:val="none" w:sz="0" w:space="0" w:color="auto"/>
                <w:left w:val="none" w:sz="0" w:space="0" w:color="auto"/>
                <w:bottom w:val="none" w:sz="0" w:space="0" w:color="auto"/>
                <w:right w:val="none" w:sz="0" w:space="0" w:color="auto"/>
              </w:divBdr>
              <w:divsChild>
                <w:div w:id="2074574327">
                  <w:marLeft w:val="0"/>
                  <w:marRight w:val="0"/>
                  <w:marTop w:val="0"/>
                  <w:marBottom w:val="0"/>
                  <w:divBdr>
                    <w:top w:val="none" w:sz="0" w:space="0" w:color="auto"/>
                    <w:left w:val="none" w:sz="0" w:space="0" w:color="auto"/>
                    <w:bottom w:val="none" w:sz="0" w:space="0" w:color="auto"/>
                    <w:right w:val="none" w:sz="0" w:space="0" w:color="auto"/>
                  </w:divBdr>
                  <w:divsChild>
                    <w:div w:id="147288605">
                      <w:marLeft w:val="0"/>
                      <w:marRight w:val="0"/>
                      <w:marTop w:val="0"/>
                      <w:marBottom w:val="0"/>
                      <w:divBdr>
                        <w:top w:val="none" w:sz="0" w:space="0" w:color="auto"/>
                        <w:left w:val="none" w:sz="0" w:space="0" w:color="auto"/>
                        <w:bottom w:val="none" w:sz="0" w:space="0" w:color="auto"/>
                        <w:right w:val="none" w:sz="0" w:space="0" w:color="auto"/>
                      </w:divBdr>
                      <w:divsChild>
                        <w:div w:id="682050521">
                          <w:marLeft w:val="0"/>
                          <w:marRight w:val="0"/>
                          <w:marTop w:val="0"/>
                          <w:marBottom w:val="0"/>
                          <w:divBdr>
                            <w:top w:val="none" w:sz="0" w:space="0" w:color="auto"/>
                            <w:left w:val="none" w:sz="0" w:space="0" w:color="auto"/>
                            <w:bottom w:val="none" w:sz="0" w:space="0" w:color="auto"/>
                            <w:right w:val="none" w:sz="0" w:space="0" w:color="auto"/>
                          </w:divBdr>
                          <w:divsChild>
                            <w:div w:id="1953629759">
                              <w:marLeft w:val="0"/>
                              <w:marRight w:val="0"/>
                              <w:marTop w:val="0"/>
                              <w:marBottom w:val="0"/>
                              <w:divBdr>
                                <w:top w:val="none" w:sz="0" w:space="0" w:color="auto"/>
                                <w:left w:val="none" w:sz="0" w:space="0" w:color="auto"/>
                                <w:bottom w:val="none" w:sz="0" w:space="0" w:color="auto"/>
                                <w:right w:val="none" w:sz="0" w:space="0" w:color="auto"/>
                              </w:divBdr>
                              <w:divsChild>
                                <w:div w:id="1639846062">
                                  <w:marLeft w:val="0"/>
                                  <w:marRight w:val="0"/>
                                  <w:marTop w:val="0"/>
                                  <w:marBottom w:val="0"/>
                                  <w:divBdr>
                                    <w:top w:val="none" w:sz="0" w:space="0" w:color="auto"/>
                                    <w:left w:val="none" w:sz="0" w:space="0" w:color="auto"/>
                                    <w:bottom w:val="none" w:sz="0" w:space="0" w:color="auto"/>
                                    <w:right w:val="none" w:sz="0" w:space="0" w:color="auto"/>
                                  </w:divBdr>
                                  <w:divsChild>
                                    <w:div w:id="13465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403089">
          <w:marLeft w:val="0"/>
          <w:marRight w:val="0"/>
          <w:marTop w:val="0"/>
          <w:marBottom w:val="0"/>
          <w:divBdr>
            <w:top w:val="none" w:sz="0" w:space="0" w:color="auto"/>
            <w:left w:val="none" w:sz="0" w:space="0" w:color="auto"/>
            <w:bottom w:val="none" w:sz="0" w:space="0" w:color="auto"/>
            <w:right w:val="none" w:sz="0" w:space="0" w:color="auto"/>
          </w:divBdr>
          <w:divsChild>
            <w:div w:id="1506745574">
              <w:marLeft w:val="0"/>
              <w:marRight w:val="0"/>
              <w:marTop w:val="0"/>
              <w:marBottom w:val="0"/>
              <w:divBdr>
                <w:top w:val="none" w:sz="0" w:space="0" w:color="auto"/>
                <w:left w:val="none" w:sz="0" w:space="0" w:color="auto"/>
                <w:bottom w:val="none" w:sz="0" w:space="0" w:color="auto"/>
                <w:right w:val="none" w:sz="0" w:space="0" w:color="auto"/>
              </w:divBdr>
              <w:divsChild>
                <w:div w:id="1241058857">
                  <w:marLeft w:val="0"/>
                  <w:marRight w:val="0"/>
                  <w:marTop w:val="0"/>
                  <w:marBottom w:val="0"/>
                  <w:divBdr>
                    <w:top w:val="none" w:sz="0" w:space="0" w:color="auto"/>
                    <w:left w:val="none" w:sz="0" w:space="0" w:color="auto"/>
                    <w:bottom w:val="none" w:sz="0" w:space="0" w:color="auto"/>
                    <w:right w:val="none" w:sz="0" w:space="0" w:color="auto"/>
                  </w:divBdr>
                  <w:divsChild>
                    <w:div w:id="1711606269">
                      <w:marLeft w:val="0"/>
                      <w:marRight w:val="0"/>
                      <w:marTop w:val="0"/>
                      <w:marBottom w:val="0"/>
                      <w:divBdr>
                        <w:top w:val="none" w:sz="0" w:space="0" w:color="auto"/>
                        <w:left w:val="none" w:sz="0" w:space="0" w:color="auto"/>
                        <w:bottom w:val="none" w:sz="0" w:space="0" w:color="auto"/>
                        <w:right w:val="none" w:sz="0" w:space="0" w:color="auto"/>
                      </w:divBdr>
                      <w:divsChild>
                        <w:div w:id="957178299">
                          <w:marLeft w:val="0"/>
                          <w:marRight w:val="0"/>
                          <w:marTop w:val="0"/>
                          <w:marBottom w:val="0"/>
                          <w:divBdr>
                            <w:top w:val="none" w:sz="0" w:space="0" w:color="auto"/>
                            <w:left w:val="none" w:sz="0" w:space="0" w:color="auto"/>
                            <w:bottom w:val="none" w:sz="0" w:space="0" w:color="auto"/>
                            <w:right w:val="none" w:sz="0" w:space="0" w:color="auto"/>
                          </w:divBdr>
                          <w:divsChild>
                            <w:div w:id="2082294187">
                              <w:marLeft w:val="0"/>
                              <w:marRight w:val="0"/>
                              <w:marTop w:val="0"/>
                              <w:marBottom w:val="0"/>
                              <w:divBdr>
                                <w:top w:val="none" w:sz="0" w:space="0" w:color="auto"/>
                                <w:left w:val="none" w:sz="0" w:space="0" w:color="auto"/>
                                <w:bottom w:val="none" w:sz="0" w:space="0" w:color="auto"/>
                                <w:right w:val="none" w:sz="0" w:space="0" w:color="auto"/>
                              </w:divBdr>
                              <w:divsChild>
                                <w:div w:id="944456368">
                                  <w:marLeft w:val="0"/>
                                  <w:marRight w:val="0"/>
                                  <w:marTop w:val="0"/>
                                  <w:marBottom w:val="0"/>
                                  <w:divBdr>
                                    <w:top w:val="none" w:sz="0" w:space="0" w:color="auto"/>
                                    <w:left w:val="none" w:sz="0" w:space="0" w:color="auto"/>
                                    <w:bottom w:val="none" w:sz="0" w:space="0" w:color="auto"/>
                                    <w:right w:val="none" w:sz="0" w:space="0" w:color="auto"/>
                                  </w:divBdr>
                                  <w:divsChild>
                                    <w:div w:id="1888444244">
                                      <w:marLeft w:val="0"/>
                                      <w:marRight w:val="0"/>
                                      <w:marTop w:val="0"/>
                                      <w:marBottom w:val="0"/>
                                      <w:divBdr>
                                        <w:top w:val="none" w:sz="0" w:space="0" w:color="auto"/>
                                        <w:left w:val="none" w:sz="0" w:space="0" w:color="auto"/>
                                        <w:bottom w:val="none" w:sz="0" w:space="0" w:color="auto"/>
                                        <w:right w:val="none" w:sz="0" w:space="0" w:color="auto"/>
                                      </w:divBdr>
                                      <w:divsChild>
                                        <w:div w:id="11900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95725">
          <w:marLeft w:val="0"/>
          <w:marRight w:val="0"/>
          <w:marTop w:val="0"/>
          <w:marBottom w:val="0"/>
          <w:divBdr>
            <w:top w:val="none" w:sz="0" w:space="0" w:color="auto"/>
            <w:left w:val="none" w:sz="0" w:space="0" w:color="auto"/>
            <w:bottom w:val="none" w:sz="0" w:space="0" w:color="auto"/>
            <w:right w:val="none" w:sz="0" w:space="0" w:color="auto"/>
          </w:divBdr>
          <w:divsChild>
            <w:div w:id="1145778630">
              <w:marLeft w:val="0"/>
              <w:marRight w:val="0"/>
              <w:marTop w:val="0"/>
              <w:marBottom w:val="0"/>
              <w:divBdr>
                <w:top w:val="none" w:sz="0" w:space="0" w:color="auto"/>
                <w:left w:val="none" w:sz="0" w:space="0" w:color="auto"/>
                <w:bottom w:val="none" w:sz="0" w:space="0" w:color="auto"/>
                <w:right w:val="none" w:sz="0" w:space="0" w:color="auto"/>
              </w:divBdr>
              <w:divsChild>
                <w:div w:id="1940261662">
                  <w:marLeft w:val="0"/>
                  <w:marRight w:val="0"/>
                  <w:marTop w:val="0"/>
                  <w:marBottom w:val="0"/>
                  <w:divBdr>
                    <w:top w:val="none" w:sz="0" w:space="0" w:color="auto"/>
                    <w:left w:val="none" w:sz="0" w:space="0" w:color="auto"/>
                    <w:bottom w:val="none" w:sz="0" w:space="0" w:color="auto"/>
                    <w:right w:val="none" w:sz="0" w:space="0" w:color="auto"/>
                  </w:divBdr>
                  <w:divsChild>
                    <w:div w:id="1833330311">
                      <w:marLeft w:val="0"/>
                      <w:marRight w:val="0"/>
                      <w:marTop w:val="0"/>
                      <w:marBottom w:val="0"/>
                      <w:divBdr>
                        <w:top w:val="none" w:sz="0" w:space="0" w:color="auto"/>
                        <w:left w:val="none" w:sz="0" w:space="0" w:color="auto"/>
                        <w:bottom w:val="none" w:sz="0" w:space="0" w:color="auto"/>
                        <w:right w:val="none" w:sz="0" w:space="0" w:color="auto"/>
                      </w:divBdr>
                      <w:divsChild>
                        <w:div w:id="410548862">
                          <w:marLeft w:val="0"/>
                          <w:marRight w:val="0"/>
                          <w:marTop w:val="0"/>
                          <w:marBottom w:val="0"/>
                          <w:divBdr>
                            <w:top w:val="none" w:sz="0" w:space="0" w:color="auto"/>
                            <w:left w:val="none" w:sz="0" w:space="0" w:color="auto"/>
                            <w:bottom w:val="none" w:sz="0" w:space="0" w:color="auto"/>
                            <w:right w:val="none" w:sz="0" w:space="0" w:color="auto"/>
                          </w:divBdr>
                          <w:divsChild>
                            <w:div w:id="10690750">
                              <w:marLeft w:val="0"/>
                              <w:marRight w:val="0"/>
                              <w:marTop w:val="0"/>
                              <w:marBottom w:val="0"/>
                              <w:divBdr>
                                <w:top w:val="none" w:sz="0" w:space="0" w:color="auto"/>
                                <w:left w:val="none" w:sz="0" w:space="0" w:color="auto"/>
                                <w:bottom w:val="none" w:sz="0" w:space="0" w:color="auto"/>
                                <w:right w:val="none" w:sz="0" w:space="0" w:color="auto"/>
                              </w:divBdr>
                              <w:divsChild>
                                <w:div w:id="1691376149">
                                  <w:marLeft w:val="0"/>
                                  <w:marRight w:val="0"/>
                                  <w:marTop w:val="0"/>
                                  <w:marBottom w:val="0"/>
                                  <w:divBdr>
                                    <w:top w:val="none" w:sz="0" w:space="0" w:color="auto"/>
                                    <w:left w:val="none" w:sz="0" w:space="0" w:color="auto"/>
                                    <w:bottom w:val="none" w:sz="0" w:space="0" w:color="auto"/>
                                    <w:right w:val="none" w:sz="0" w:space="0" w:color="auto"/>
                                  </w:divBdr>
                                  <w:divsChild>
                                    <w:div w:id="74974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506366">
                  <w:marLeft w:val="0"/>
                  <w:marRight w:val="0"/>
                  <w:marTop w:val="0"/>
                  <w:marBottom w:val="0"/>
                  <w:divBdr>
                    <w:top w:val="none" w:sz="0" w:space="0" w:color="auto"/>
                    <w:left w:val="none" w:sz="0" w:space="0" w:color="auto"/>
                    <w:bottom w:val="none" w:sz="0" w:space="0" w:color="auto"/>
                    <w:right w:val="none" w:sz="0" w:space="0" w:color="auto"/>
                  </w:divBdr>
                  <w:divsChild>
                    <w:div w:id="1750998146">
                      <w:marLeft w:val="0"/>
                      <w:marRight w:val="0"/>
                      <w:marTop w:val="0"/>
                      <w:marBottom w:val="0"/>
                      <w:divBdr>
                        <w:top w:val="none" w:sz="0" w:space="0" w:color="auto"/>
                        <w:left w:val="none" w:sz="0" w:space="0" w:color="auto"/>
                        <w:bottom w:val="none" w:sz="0" w:space="0" w:color="auto"/>
                        <w:right w:val="none" w:sz="0" w:space="0" w:color="auto"/>
                      </w:divBdr>
                      <w:divsChild>
                        <w:div w:id="504058982">
                          <w:marLeft w:val="0"/>
                          <w:marRight w:val="0"/>
                          <w:marTop w:val="0"/>
                          <w:marBottom w:val="0"/>
                          <w:divBdr>
                            <w:top w:val="none" w:sz="0" w:space="0" w:color="auto"/>
                            <w:left w:val="none" w:sz="0" w:space="0" w:color="auto"/>
                            <w:bottom w:val="none" w:sz="0" w:space="0" w:color="auto"/>
                            <w:right w:val="none" w:sz="0" w:space="0" w:color="auto"/>
                          </w:divBdr>
                          <w:divsChild>
                            <w:div w:id="855578122">
                              <w:marLeft w:val="0"/>
                              <w:marRight w:val="0"/>
                              <w:marTop w:val="0"/>
                              <w:marBottom w:val="0"/>
                              <w:divBdr>
                                <w:top w:val="none" w:sz="0" w:space="0" w:color="auto"/>
                                <w:left w:val="none" w:sz="0" w:space="0" w:color="auto"/>
                                <w:bottom w:val="none" w:sz="0" w:space="0" w:color="auto"/>
                                <w:right w:val="none" w:sz="0" w:space="0" w:color="auto"/>
                              </w:divBdr>
                              <w:divsChild>
                                <w:div w:id="1784228191">
                                  <w:marLeft w:val="0"/>
                                  <w:marRight w:val="0"/>
                                  <w:marTop w:val="0"/>
                                  <w:marBottom w:val="0"/>
                                  <w:divBdr>
                                    <w:top w:val="none" w:sz="0" w:space="0" w:color="auto"/>
                                    <w:left w:val="none" w:sz="0" w:space="0" w:color="auto"/>
                                    <w:bottom w:val="none" w:sz="0" w:space="0" w:color="auto"/>
                                    <w:right w:val="none" w:sz="0" w:space="0" w:color="auto"/>
                                  </w:divBdr>
                                  <w:divsChild>
                                    <w:div w:id="1791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5695443">
      <w:bodyDiv w:val="1"/>
      <w:marLeft w:val="0"/>
      <w:marRight w:val="0"/>
      <w:marTop w:val="0"/>
      <w:marBottom w:val="0"/>
      <w:divBdr>
        <w:top w:val="none" w:sz="0" w:space="0" w:color="auto"/>
        <w:left w:val="none" w:sz="0" w:space="0" w:color="auto"/>
        <w:bottom w:val="none" w:sz="0" w:space="0" w:color="auto"/>
        <w:right w:val="none" w:sz="0" w:space="0" w:color="auto"/>
      </w:divBdr>
      <w:divsChild>
        <w:div w:id="1711303841">
          <w:marLeft w:val="0"/>
          <w:marRight w:val="0"/>
          <w:marTop w:val="100"/>
          <w:marBottom w:val="100"/>
          <w:divBdr>
            <w:top w:val="none" w:sz="0" w:space="0" w:color="auto"/>
            <w:left w:val="none" w:sz="0" w:space="0" w:color="auto"/>
            <w:bottom w:val="none" w:sz="0" w:space="0" w:color="auto"/>
            <w:right w:val="none" w:sz="0" w:space="0" w:color="auto"/>
          </w:divBdr>
          <w:divsChild>
            <w:div w:id="1052653034">
              <w:marLeft w:val="0"/>
              <w:marRight w:val="0"/>
              <w:marTop w:val="0"/>
              <w:marBottom w:val="0"/>
              <w:divBdr>
                <w:top w:val="none" w:sz="0" w:space="0" w:color="auto"/>
                <w:left w:val="none" w:sz="0" w:space="0" w:color="auto"/>
                <w:bottom w:val="none" w:sz="0" w:space="0" w:color="auto"/>
                <w:right w:val="none" w:sz="0" w:space="0" w:color="auto"/>
              </w:divBdr>
              <w:divsChild>
                <w:div w:id="12216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966558">
      <w:bodyDiv w:val="1"/>
      <w:marLeft w:val="0"/>
      <w:marRight w:val="0"/>
      <w:marTop w:val="0"/>
      <w:marBottom w:val="0"/>
      <w:divBdr>
        <w:top w:val="none" w:sz="0" w:space="0" w:color="auto"/>
        <w:left w:val="none" w:sz="0" w:space="0" w:color="auto"/>
        <w:bottom w:val="none" w:sz="0" w:space="0" w:color="auto"/>
        <w:right w:val="none" w:sz="0" w:space="0" w:color="auto"/>
      </w:divBdr>
    </w:div>
    <w:div w:id="268784255">
      <w:bodyDiv w:val="1"/>
      <w:marLeft w:val="0"/>
      <w:marRight w:val="0"/>
      <w:marTop w:val="0"/>
      <w:marBottom w:val="0"/>
      <w:divBdr>
        <w:top w:val="none" w:sz="0" w:space="0" w:color="auto"/>
        <w:left w:val="none" w:sz="0" w:space="0" w:color="auto"/>
        <w:bottom w:val="none" w:sz="0" w:space="0" w:color="auto"/>
        <w:right w:val="none" w:sz="0" w:space="0" w:color="auto"/>
      </w:divBdr>
    </w:div>
    <w:div w:id="273829575">
      <w:bodyDiv w:val="1"/>
      <w:marLeft w:val="0"/>
      <w:marRight w:val="0"/>
      <w:marTop w:val="0"/>
      <w:marBottom w:val="0"/>
      <w:divBdr>
        <w:top w:val="none" w:sz="0" w:space="0" w:color="auto"/>
        <w:left w:val="none" w:sz="0" w:space="0" w:color="auto"/>
        <w:bottom w:val="none" w:sz="0" w:space="0" w:color="auto"/>
        <w:right w:val="none" w:sz="0" w:space="0" w:color="auto"/>
      </w:divBdr>
    </w:div>
    <w:div w:id="291206360">
      <w:bodyDiv w:val="1"/>
      <w:marLeft w:val="0"/>
      <w:marRight w:val="0"/>
      <w:marTop w:val="0"/>
      <w:marBottom w:val="0"/>
      <w:divBdr>
        <w:top w:val="none" w:sz="0" w:space="0" w:color="auto"/>
        <w:left w:val="none" w:sz="0" w:space="0" w:color="auto"/>
        <w:bottom w:val="none" w:sz="0" w:space="0" w:color="auto"/>
        <w:right w:val="none" w:sz="0" w:space="0" w:color="auto"/>
      </w:divBdr>
    </w:div>
    <w:div w:id="295263754">
      <w:bodyDiv w:val="1"/>
      <w:marLeft w:val="0"/>
      <w:marRight w:val="0"/>
      <w:marTop w:val="0"/>
      <w:marBottom w:val="0"/>
      <w:divBdr>
        <w:top w:val="none" w:sz="0" w:space="0" w:color="auto"/>
        <w:left w:val="none" w:sz="0" w:space="0" w:color="auto"/>
        <w:bottom w:val="none" w:sz="0" w:space="0" w:color="auto"/>
        <w:right w:val="none" w:sz="0" w:space="0" w:color="auto"/>
      </w:divBdr>
      <w:divsChild>
        <w:div w:id="696780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064627">
      <w:bodyDiv w:val="1"/>
      <w:marLeft w:val="0"/>
      <w:marRight w:val="0"/>
      <w:marTop w:val="0"/>
      <w:marBottom w:val="0"/>
      <w:divBdr>
        <w:top w:val="none" w:sz="0" w:space="0" w:color="auto"/>
        <w:left w:val="none" w:sz="0" w:space="0" w:color="auto"/>
        <w:bottom w:val="none" w:sz="0" w:space="0" w:color="auto"/>
        <w:right w:val="none" w:sz="0" w:space="0" w:color="auto"/>
      </w:divBdr>
      <w:divsChild>
        <w:div w:id="1124033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0433453">
      <w:bodyDiv w:val="1"/>
      <w:marLeft w:val="0"/>
      <w:marRight w:val="0"/>
      <w:marTop w:val="0"/>
      <w:marBottom w:val="0"/>
      <w:divBdr>
        <w:top w:val="none" w:sz="0" w:space="0" w:color="auto"/>
        <w:left w:val="none" w:sz="0" w:space="0" w:color="auto"/>
        <w:bottom w:val="none" w:sz="0" w:space="0" w:color="auto"/>
        <w:right w:val="none" w:sz="0" w:space="0" w:color="auto"/>
      </w:divBdr>
      <w:divsChild>
        <w:div w:id="1255936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550292">
      <w:bodyDiv w:val="1"/>
      <w:marLeft w:val="0"/>
      <w:marRight w:val="0"/>
      <w:marTop w:val="0"/>
      <w:marBottom w:val="0"/>
      <w:divBdr>
        <w:top w:val="none" w:sz="0" w:space="0" w:color="auto"/>
        <w:left w:val="none" w:sz="0" w:space="0" w:color="auto"/>
        <w:bottom w:val="none" w:sz="0" w:space="0" w:color="auto"/>
        <w:right w:val="none" w:sz="0" w:space="0" w:color="auto"/>
      </w:divBdr>
    </w:div>
    <w:div w:id="343215177">
      <w:bodyDiv w:val="1"/>
      <w:marLeft w:val="0"/>
      <w:marRight w:val="0"/>
      <w:marTop w:val="0"/>
      <w:marBottom w:val="0"/>
      <w:divBdr>
        <w:top w:val="none" w:sz="0" w:space="0" w:color="auto"/>
        <w:left w:val="none" w:sz="0" w:space="0" w:color="auto"/>
        <w:bottom w:val="none" w:sz="0" w:space="0" w:color="auto"/>
        <w:right w:val="none" w:sz="0" w:space="0" w:color="auto"/>
      </w:divBdr>
    </w:div>
    <w:div w:id="350451193">
      <w:bodyDiv w:val="1"/>
      <w:marLeft w:val="0"/>
      <w:marRight w:val="0"/>
      <w:marTop w:val="0"/>
      <w:marBottom w:val="0"/>
      <w:divBdr>
        <w:top w:val="none" w:sz="0" w:space="0" w:color="auto"/>
        <w:left w:val="none" w:sz="0" w:space="0" w:color="auto"/>
        <w:bottom w:val="none" w:sz="0" w:space="0" w:color="auto"/>
        <w:right w:val="none" w:sz="0" w:space="0" w:color="auto"/>
      </w:divBdr>
    </w:div>
    <w:div w:id="421921844">
      <w:bodyDiv w:val="1"/>
      <w:marLeft w:val="0"/>
      <w:marRight w:val="0"/>
      <w:marTop w:val="0"/>
      <w:marBottom w:val="0"/>
      <w:divBdr>
        <w:top w:val="none" w:sz="0" w:space="0" w:color="auto"/>
        <w:left w:val="none" w:sz="0" w:space="0" w:color="auto"/>
        <w:bottom w:val="none" w:sz="0" w:space="0" w:color="auto"/>
        <w:right w:val="none" w:sz="0" w:space="0" w:color="auto"/>
      </w:divBdr>
    </w:div>
    <w:div w:id="421999506">
      <w:bodyDiv w:val="1"/>
      <w:marLeft w:val="0"/>
      <w:marRight w:val="0"/>
      <w:marTop w:val="0"/>
      <w:marBottom w:val="0"/>
      <w:divBdr>
        <w:top w:val="none" w:sz="0" w:space="0" w:color="auto"/>
        <w:left w:val="none" w:sz="0" w:space="0" w:color="auto"/>
        <w:bottom w:val="none" w:sz="0" w:space="0" w:color="auto"/>
        <w:right w:val="none" w:sz="0" w:space="0" w:color="auto"/>
      </w:divBdr>
      <w:divsChild>
        <w:div w:id="1807771349">
          <w:marLeft w:val="0"/>
          <w:marRight w:val="0"/>
          <w:marTop w:val="0"/>
          <w:marBottom w:val="0"/>
          <w:divBdr>
            <w:top w:val="none" w:sz="0" w:space="0" w:color="auto"/>
            <w:left w:val="none" w:sz="0" w:space="0" w:color="auto"/>
            <w:bottom w:val="none" w:sz="0" w:space="0" w:color="auto"/>
            <w:right w:val="none" w:sz="0" w:space="0" w:color="auto"/>
          </w:divBdr>
        </w:div>
      </w:divsChild>
    </w:div>
    <w:div w:id="461994847">
      <w:bodyDiv w:val="1"/>
      <w:marLeft w:val="0"/>
      <w:marRight w:val="0"/>
      <w:marTop w:val="0"/>
      <w:marBottom w:val="0"/>
      <w:divBdr>
        <w:top w:val="none" w:sz="0" w:space="0" w:color="auto"/>
        <w:left w:val="none" w:sz="0" w:space="0" w:color="auto"/>
        <w:bottom w:val="none" w:sz="0" w:space="0" w:color="auto"/>
        <w:right w:val="none" w:sz="0" w:space="0" w:color="auto"/>
      </w:divBdr>
    </w:div>
    <w:div w:id="466628629">
      <w:bodyDiv w:val="1"/>
      <w:marLeft w:val="0"/>
      <w:marRight w:val="0"/>
      <w:marTop w:val="0"/>
      <w:marBottom w:val="0"/>
      <w:divBdr>
        <w:top w:val="none" w:sz="0" w:space="0" w:color="auto"/>
        <w:left w:val="none" w:sz="0" w:space="0" w:color="auto"/>
        <w:bottom w:val="none" w:sz="0" w:space="0" w:color="auto"/>
        <w:right w:val="none" w:sz="0" w:space="0" w:color="auto"/>
      </w:divBdr>
    </w:div>
    <w:div w:id="466778328">
      <w:bodyDiv w:val="1"/>
      <w:marLeft w:val="0"/>
      <w:marRight w:val="0"/>
      <w:marTop w:val="0"/>
      <w:marBottom w:val="0"/>
      <w:divBdr>
        <w:top w:val="none" w:sz="0" w:space="0" w:color="auto"/>
        <w:left w:val="none" w:sz="0" w:space="0" w:color="auto"/>
        <w:bottom w:val="none" w:sz="0" w:space="0" w:color="auto"/>
        <w:right w:val="none" w:sz="0" w:space="0" w:color="auto"/>
      </w:divBdr>
      <w:divsChild>
        <w:div w:id="701786726">
          <w:marLeft w:val="0"/>
          <w:marRight w:val="0"/>
          <w:marTop w:val="300"/>
          <w:marBottom w:val="210"/>
          <w:divBdr>
            <w:top w:val="single" w:sz="18" w:space="19" w:color="F5F5F5"/>
            <w:left w:val="single" w:sz="18" w:space="23" w:color="F5F5F5"/>
            <w:bottom w:val="single" w:sz="18" w:space="19" w:color="F5F5F5"/>
            <w:right w:val="single" w:sz="18" w:space="23" w:color="F5F5F5"/>
          </w:divBdr>
        </w:div>
      </w:divsChild>
    </w:div>
    <w:div w:id="502284381">
      <w:bodyDiv w:val="1"/>
      <w:marLeft w:val="0"/>
      <w:marRight w:val="0"/>
      <w:marTop w:val="0"/>
      <w:marBottom w:val="0"/>
      <w:divBdr>
        <w:top w:val="none" w:sz="0" w:space="0" w:color="auto"/>
        <w:left w:val="none" w:sz="0" w:space="0" w:color="auto"/>
        <w:bottom w:val="none" w:sz="0" w:space="0" w:color="auto"/>
        <w:right w:val="none" w:sz="0" w:space="0" w:color="auto"/>
      </w:divBdr>
      <w:divsChild>
        <w:div w:id="1992635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333784">
      <w:bodyDiv w:val="1"/>
      <w:marLeft w:val="0"/>
      <w:marRight w:val="0"/>
      <w:marTop w:val="0"/>
      <w:marBottom w:val="0"/>
      <w:divBdr>
        <w:top w:val="none" w:sz="0" w:space="0" w:color="auto"/>
        <w:left w:val="none" w:sz="0" w:space="0" w:color="auto"/>
        <w:bottom w:val="none" w:sz="0" w:space="0" w:color="auto"/>
        <w:right w:val="none" w:sz="0" w:space="0" w:color="auto"/>
      </w:divBdr>
    </w:div>
    <w:div w:id="595290274">
      <w:bodyDiv w:val="1"/>
      <w:marLeft w:val="0"/>
      <w:marRight w:val="0"/>
      <w:marTop w:val="0"/>
      <w:marBottom w:val="0"/>
      <w:divBdr>
        <w:top w:val="none" w:sz="0" w:space="0" w:color="auto"/>
        <w:left w:val="none" w:sz="0" w:space="0" w:color="auto"/>
        <w:bottom w:val="none" w:sz="0" w:space="0" w:color="auto"/>
        <w:right w:val="none" w:sz="0" w:space="0" w:color="auto"/>
      </w:divBdr>
    </w:div>
    <w:div w:id="602609386">
      <w:bodyDiv w:val="1"/>
      <w:marLeft w:val="0"/>
      <w:marRight w:val="0"/>
      <w:marTop w:val="0"/>
      <w:marBottom w:val="0"/>
      <w:divBdr>
        <w:top w:val="none" w:sz="0" w:space="0" w:color="auto"/>
        <w:left w:val="none" w:sz="0" w:space="0" w:color="auto"/>
        <w:bottom w:val="none" w:sz="0" w:space="0" w:color="auto"/>
        <w:right w:val="none" w:sz="0" w:space="0" w:color="auto"/>
      </w:divBdr>
    </w:div>
    <w:div w:id="612905455">
      <w:bodyDiv w:val="1"/>
      <w:marLeft w:val="0"/>
      <w:marRight w:val="0"/>
      <w:marTop w:val="0"/>
      <w:marBottom w:val="0"/>
      <w:divBdr>
        <w:top w:val="none" w:sz="0" w:space="0" w:color="auto"/>
        <w:left w:val="none" w:sz="0" w:space="0" w:color="auto"/>
        <w:bottom w:val="none" w:sz="0" w:space="0" w:color="auto"/>
        <w:right w:val="none" w:sz="0" w:space="0" w:color="auto"/>
      </w:divBdr>
    </w:div>
    <w:div w:id="613555490">
      <w:bodyDiv w:val="1"/>
      <w:marLeft w:val="0"/>
      <w:marRight w:val="0"/>
      <w:marTop w:val="0"/>
      <w:marBottom w:val="0"/>
      <w:divBdr>
        <w:top w:val="none" w:sz="0" w:space="0" w:color="auto"/>
        <w:left w:val="none" w:sz="0" w:space="0" w:color="auto"/>
        <w:bottom w:val="none" w:sz="0" w:space="0" w:color="auto"/>
        <w:right w:val="none" w:sz="0" w:space="0" w:color="auto"/>
      </w:divBdr>
      <w:divsChild>
        <w:div w:id="92285986">
          <w:marLeft w:val="0"/>
          <w:marRight w:val="0"/>
          <w:marTop w:val="0"/>
          <w:marBottom w:val="0"/>
          <w:divBdr>
            <w:top w:val="none" w:sz="0" w:space="0" w:color="auto"/>
            <w:left w:val="none" w:sz="0" w:space="0" w:color="auto"/>
            <w:bottom w:val="none" w:sz="0" w:space="0" w:color="auto"/>
            <w:right w:val="none" w:sz="0" w:space="0" w:color="auto"/>
          </w:divBdr>
          <w:divsChild>
            <w:div w:id="857157609">
              <w:marLeft w:val="0"/>
              <w:marRight w:val="0"/>
              <w:marTop w:val="0"/>
              <w:marBottom w:val="0"/>
              <w:divBdr>
                <w:top w:val="none" w:sz="0" w:space="0" w:color="auto"/>
                <w:left w:val="none" w:sz="0" w:space="0" w:color="auto"/>
                <w:bottom w:val="none" w:sz="0" w:space="0" w:color="auto"/>
                <w:right w:val="none" w:sz="0" w:space="0" w:color="auto"/>
              </w:divBdr>
              <w:divsChild>
                <w:div w:id="527958638">
                  <w:marLeft w:val="0"/>
                  <w:marRight w:val="0"/>
                  <w:marTop w:val="0"/>
                  <w:marBottom w:val="0"/>
                  <w:divBdr>
                    <w:top w:val="none" w:sz="0" w:space="0" w:color="auto"/>
                    <w:left w:val="none" w:sz="0" w:space="0" w:color="auto"/>
                    <w:bottom w:val="none" w:sz="0" w:space="0" w:color="auto"/>
                    <w:right w:val="none" w:sz="0" w:space="0" w:color="auto"/>
                  </w:divBdr>
                  <w:divsChild>
                    <w:div w:id="469714322">
                      <w:marLeft w:val="0"/>
                      <w:marRight w:val="0"/>
                      <w:marTop w:val="0"/>
                      <w:marBottom w:val="0"/>
                      <w:divBdr>
                        <w:top w:val="none" w:sz="0" w:space="0" w:color="auto"/>
                        <w:left w:val="none" w:sz="0" w:space="0" w:color="auto"/>
                        <w:bottom w:val="none" w:sz="0" w:space="0" w:color="auto"/>
                        <w:right w:val="none" w:sz="0" w:space="0" w:color="auto"/>
                      </w:divBdr>
                      <w:divsChild>
                        <w:div w:id="764568407">
                          <w:marLeft w:val="0"/>
                          <w:marRight w:val="0"/>
                          <w:marTop w:val="0"/>
                          <w:marBottom w:val="0"/>
                          <w:divBdr>
                            <w:top w:val="none" w:sz="0" w:space="0" w:color="auto"/>
                            <w:left w:val="none" w:sz="0" w:space="0" w:color="auto"/>
                            <w:bottom w:val="none" w:sz="0" w:space="0" w:color="auto"/>
                            <w:right w:val="none" w:sz="0" w:space="0" w:color="auto"/>
                          </w:divBdr>
                          <w:divsChild>
                            <w:div w:id="1318388137">
                              <w:marLeft w:val="0"/>
                              <w:marRight w:val="0"/>
                              <w:marTop w:val="0"/>
                              <w:marBottom w:val="0"/>
                              <w:divBdr>
                                <w:top w:val="none" w:sz="0" w:space="0" w:color="auto"/>
                                <w:left w:val="none" w:sz="0" w:space="0" w:color="auto"/>
                                <w:bottom w:val="none" w:sz="0" w:space="0" w:color="auto"/>
                                <w:right w:val="none" w:sz="0" w:space="0" w:color="auto"/>
                              </w:divBdr>
                              <w:divsChild>
                                <w:div w:id="947081514">
                                  <w:marLeft w:val="0"/>
                                  <w:marRight w:val="0"/>
                                  <w:marTop w:val="0"/>
                                  <w:marBottom w:val="0"/>
                                  <w:divBdr>
                                    <w:top w:val="none" w:sz="0" w:space="0" w:color="auto"/>
                                    <w:left w:val="none" w:sz="0" w:space="0" w:color="auto"/>
                                    <w:bottom w:val="none" w:sz="0" w:space="0" w:color="auto"/>
                                    <w:right w:val="none" w:sz="0" w:space="0" w:color="auto"/>
                                  </w:divBdr>
                                  <w:divsChild>
                                    <w:div w:id="363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387563">
          <w:marLeft w:val="0"/>
          <w:marRight w:val="0"/>
          <w:marTop w:val="0"/>
          <w:marBottom w:val="0"/>
          <w:divBdr>
            <w:top w:val="none" w:sz="0" w:space="0" w:color="auto"/>
            <w:left w:val="none" w:sz="0" w:space="0" w:color="auto"/>
            <w:bottom w:val="none" w:sz="0" w:space="0" w:color="auto"/>
            <w:right w:val="none" w:sz="0" w:space="0" w:color="auto"/>
          </w:divBdr>
          <w:divsChild>
            <w:div w:id="1046640744">
              <w:marLeft w:val="0"/>
              <w:marRight w:val="0"/>
              <w:marTop w:val="0"/>
              <w:marBottom w:val="0"/>
              <w:divBdr>
                <w:top w:val="none" w:sz="0" w:space="0" w:color="auto"/>
                <w:left w:val="none" w:sz="0" w:space="0" w:color="auto"/>
                <w:bottom w:val="none" w:sz="0" w:space="0" w:color="auto"/>
                <w:right w:val="none" w:sz="0" w:space="0" w:color="auto"/>
              </w:divBdr>
              <w:divsChild>
                <w:div w:id="1531525893">
                  <w:marLeft w:val="0"/>
                  <w:marRight w:val="0"/>
                  <w:marTop w:val="0"/>
                  <w:marBottom w:val="0"/>
                  <w:divBdr>
                    <w:top w:val="none" w:sz="0" w:space="0" w:color="auto"/>
                    <w:left w:val="none" w:sz="0" w:space="0" w:color="auto"/>
                    <w:bottom w:val="none" w:sz="0" w:space="0" w:color="auto"/>
                    <w:right w:val="none" w:sz="0" w:space="0" w:color="auto"/>
                  </w:divBdr>
                  <w:divsChild>
                    <w:div w:id="1508473557">
                      <w:marLeft w:val="0"/>
                      <w:marRight w:val="0"/>
                      <w:marTop w:val="0"/>
                      <w:marBottom w:val="0"/>
                      <w:divBdr>
                        <w:top w:val="none" w:sz="0" w:space="0" w:color="auto"/>
                        <w:left w:val="none" w:sz="0" w:space="0" w:color="auto"/>
                        <w:bottom w:val="none" w:sz="0" w:space="0" w:color="auto"/>
                        <w:right w:val="none" w:sz="0" w:space="0" w:color="auto"/>
                      </w:divBdr>
                      <w:divsChild>
                        <w:div w:id="2065979724">
                          <w:marLeft w:val="0"/>
                          <w:marRight w:val="0"/>
                          <w:marTop w:val="0"/>
                          <w:marBottom w:val="0"/>
                          <w:divBdr>
                            <w:top w:val="none" w:sz="0" w:space="0" w:color="auto"/>
                            <w:left w:val="none" w:sz="0" w:space="0" w:color="auto"/>
                            <w:bottom w:val="none" w:sz="0" w:space="0" w:color="auto"/>
                            <w:right w:val="none" w:sz="0" w:space="0" w:color="auto"/>
                          </w:divBdr>
                          <w:divsChild>
                            <w:div w:id="1943413415">
                              <w:marLeft w:val="0"/>
                              <w:marRight w:val="0"/>
                              <w:marTop w:val="0"/>
                              <w:marBottom w:val="0"/>
                              <w:divBdr>
                                <w:top w:val="none" w:sz="0" w:space="0" w:color="auto"/>
                                <w:left w:val="none" w:sz="0" w:space="0" w:color="auto"/>
                                <w:bottom w:val="none" w:sz="0" w:space="0" w:color="auto"/>
                                <w:right w:val="none" w:sz="0" w:space="0" w:color="auto"/>
                              </w:divBdr>
                              <w:divsChild>
                                <w:div w:id="1430350535">
                                  <w:marLeft w:val="0"/>
                                  <w:marRight w:val="0"/>
                                  <w:marTop w:val="0"/>
                                  <w:marBottom w:val="0"/>
                                  <w:divBdr>
                                    <w:top w:val="none" w:sz="0" w:space="0" w:color="auto"/>
                                    <w:left w:val="none" w:sz="0" w:space="0" w:color="auto"/>
                                    <w:bottom w:val="none" w:sz="0" w:space="0" w:color="auto"/>
                                    <w:right w:val="none" w:sz="0" w:space="0" w:color="auto"/>
                                  </w:divBdr>
                                  <w:divsChild>
                                    <w:div w:id="1689915705">
                                      <w:marLeft w:val="0"/>
                                      <w:marRight w:val="0"/>
                                      <w:marTop w:val="0"/>
                                      <w:marBottom w:val="0"/>
                                      <w:divBdr>
                                        <w:top w:val="none" w:sz="0" w:space="0" w:color="auto"/>
                                        <w:left w:val="none" w:sz="0" w:space="0" w:color="auto"/>
                                        <w:bottom w:val="none" w:sz="0" w:space="0" w:color="auto"/>
                                        <w:right w:val="none" w:sz="0" w:space="0" w:color="auto"/>
                                      </w:divBdr>
                                      <w:divsChild>
                                        <w:div w:id="6265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088458">
          <w:marLeft w:val="0"/>
          <w:marRight w:val="0"/>
          <w:marTop w:val="0"/>
          <w:marBottom w:val="0"/>
          <w:divBdr>
            <w:top w:val="none" w:sz="0" w:space="0" w:color="auto"/>
            <w:left w:val="none" w:sz="0" w:space="0" w:color="auto"/>
            <w:bottom w:val="none" w:sz="0" w:space="0" w:color="auto"/>
            <w:right w:val="none" w:sz="0" w:space="0" w:color="auto"/>
          </w:divBdr>
          <w:divsChild>
            <w:div w:id="726302045">
              <w:marLeft w:val="0"/>
              <w:marRight w:val="0"/>
              <w:marTop w:val="0"/>
              <w:marBottom w:val="0"/>
              <w:divBdr>
                <w:top w:val="none" w:sz="0" w:space="0" w:color="auto"/>
                <w:left w:val="none" w:sz="0" w:space="0" w:color="auto"/>
                <w:bottom w:val="none" w:sz="0" w:space="0" w:color="auto"/>
                <w:right w:val="none" w:sz="0" w:space="0" w:color="auto"/>
              </w:divBdr>
              <w:divsChild>
                <w:div w:id="2037270383">
                  <w:marLeft w:val="0"/>
                  <w:marRight w:val="0"/>
                  <w:marTop w:val="0"/>
                  <w:marBottom w:val="0"/>
                  <w:divBdr>
                    <w:top w:val="none" w:sz="0" w:space="0" w:color="auto"/>
                    <w:left w:val="none" w:sz="0" w:space="0" w:color="auto"/>
                    <w:bottom w:val="none" w:sz="0" w:space="0" w:color="auto"/>
                    <w:right w:val="none" w:sz="0" w:space="0" w:color="auto"/>
                  </w:divBdr>
                  <w:divsChild>
                    <w:div w:id="455635535">
                      <w:marLeft w:val="0"/>
                      <w:marRight w:val="0"/>
                      <w:marTop w:val="0"/>
                      <w:marBottom w:val="0"/>
                      <w:divBdr>
                        <w:top w:val="none" w:sz="0" w:space="0" w:color="auto"/>
                        <w:left w:val="none" w:sz="0" w:space="0" w:color="auto"/>
                        <w:bottom w:val="none" w:sz="0" w:space="0" w:color="auto"/>
                        <w:right w:val="none" w:sz="0" w:space="0" w:color="auto"/>
                      </w:divBdr>
                      <w:divsChild>
                        <w:div w:id="254899215">
                          <w:marLeft w:val="0"/>
                          <w:marRight w:val="0"/>
                          <w:marTop w:val="0"/>
                          <w:marBottom w:val="0"/>
                          <w:divBdr>
                            <w:top w:val="none" w:sz="0" w:space="0" w:color="auto"/>
                            <w:left w:val="none" w:sz="0" w:space="0" w:color="auto"/>
                            <w:bottom w:val="none" w:sz="0" w:space="0" w:color="auto"/>
                            <w:right w:val="none" w:sz="0" w:space="0" w:color="auto"/>
                          </w:divBdr>
                          <w:divsChild>
                            <w:div w:id="1280262833">
                              <w:marLeft w:val="0"/>
                              <w:marRight w:val="0"/>
                              <w:marTop w:val="0"/>
                              <w:marBottom w:val="0"/>
                              <w:divBdr>
                                <w:top w:val="none" w:sz="0" w:space="0" w:color="auto"/>
                                <w:left w:val="none" w:sz="0" w:space="0" w:color="auto"/>
                                <w:bottom w:val="none" w:sz="0" w:space="0" w:color="auto"/>
                                <w:right w:val="none" w:sz="0" w:space="0" w:color="auto"/>
                              </w:divBdr>
                              <w:divsChild>
                                <w:div w:id="2010788639">
                                  <w:marLeft w:val="0"/>
                                  <w:marRight w:val="0"/>
                                  <w:marTop w:val="0"/>
                                  <w:marBottom w:val="0"/>
                                  <w:divBdr>
                                    <w:top w:val="none" w:sz="0" w:space="0" w:color="auto"/>
                                    <w:left w:val="none" w:sz="0" w:space="0" w:color="auto"/>
                                    <w:bottom w:val="none" w:sz="0" w:space="0" w:color="auto"/>
                                    <w:right w:val="none" w:sz="0" w:space="0" w:color="auto"/>
                                  </w:divBdr>
                                  <w:divsChild>
                                    <w:div w:id="14928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90267">
                  <w:marLeft w:val="0"/>
                  <w:marRight w:val="0"/>
                  <w:marTop w:val="0"/>
                  <w:marBottom w:val="0"/>
                  <w:divBdr>
                    <w:top w:val="none" w:sz="0" w:space="0" w:color="auto"/>
                    <w:left w:val="none" w:sz="0" w:space="0" w:color="auto"/>
                    <w:bottom w:val="none" w:sz="0" w:space="0" w:color="auto"/>
                    <w:right w:val="none" w:sz="0" w:space="0" w:color="auto"/>
                  </w:divBdr>
                  <w:divsChild>
                    <w:div w:id="154343733">
                      <w:marLeft w:val="0"/>
                      <w:marRight w:val="0"/>
                      <w:marTop w:val="0"/>
                      <w:marBottom w:val="0"/>
                      <w:divBdr>
                        <w:top w:val="none" w:sz="0" w:space="0" w:color="auto"/>
                        <w:left w:val="none" w:sz="0" w:space="0" w:color="auto"/>
                        <w:bottom w:val="none" w:sz="0" w:space="0" w:color="auto"/>
                        <w:right w:val="none" w:sz="0" w:space="0" w:color="auto"/>
                      </w:divBdr>
                      <w:divsChild>
                        <w:div w:id="1003161614">
                          <w:marLeft w:val="0"/>
                          <w:marRight w:val="0"/>
                          <w:marTop w:val="0"/>
                          <w:marBottom w:val="0"/>
                          <w:divBdr>
                            <w:top w:val="none" w:sz="0" w:space="0" w:color="auto"/>
                            <w:left w:val="none" w:sz="0" w:space="0" w:color="auto"/>
                            <w:bottom w:val="none" w:sz="0" w:space="0" w:color="auto"/>
                            <w:right w:val="none" w:sz="0" w:space="0" w:color="auto"/>
                          </w:divBdr>
                          <w:divsChild>
                            <w:div w:id="783622902">
                              <w:marLeft w:val="0"/>
                              <w:marRight w:val="0"/>
                              <w:marTop w:val="0"/>
                              <w:marBottom w:val="0"/>
                              <w:divBdr>
                                <w:top w:val="none" w:sz="0" w:space="0" w:color="auto"/>
                                <w:left w:val="none" w:sz="0" w:space="0" w:color="auto"/>
                                <w:bottom w:val="none" w:sz="0" w:space="0" w:color="auto"/>
                                <w:right w:val="none" w:sz="0" w:space="0" w:color="auto"/>
                              </w:divBdr>
                              <w:divsChild>
                                <w:div w:id="62529005">
                                  <w:marLeft w:val="0"/>
                                  <w:marRight w:val="0"/>
                                  <w:marTop w:val="0"/>
                                  <w:marBottom w:val="0"/>
                                  <w:divBdr>
                                    <w:top w:val="none" w:sz="0" w:space="0" w:color="auto"/>
                                    <w:left w:val="none" w:sz="0" w:space="0" w:color="auto"/>
                                    <w:bottom w:val="none" w:sz="0" w:space="0" w:color="auto"/>
                                    <w:right w:val="none" w:sz="0" w:space="0" w:color="auto"/>
                                  </w:divBdr>
                                  <w:divsChild>
                                    <w:div w:id="1519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707786">
      <w:bodyDiv w:val="1"/>
      <w:marLeft w:val="0"/>
      <w:marRight w:val="0"/>
      <w:marTop w:val="0"/>
      <w:marBottom w:val="0"/>
      <w:divBdr>
        <w:top w:val="none" w:sz="0" w:space="0" w:color="auto"/>
        <w:left w:val="none" w:sz="0" w:space="0" w:color="auto"/>
        <w:bottom w:val="none" w:sz="0" w:space="0" w:color="auto"/>
        <w:right w:val="none" w:sz="0" w:space="0" w:color="auto"/>
      </w:divBdr>
      <w:divsChild>
        <w:div w:id="99884348">
          <w:marLeft w:val="0"/>
          <w:marRight w:val="0"/>
          <w:marTop w:val="0"/>
          <w:marBottom w:val="0"/>
          <w:divBdr>
            <w:top w:val="none" w:sz="0" w:space="0" w:color="auto"/>
            <w:left w:val="none" w:sz="0" w:space="0" w:color="auto"/>
            <w:bottom w:val="none" w:sz="0" w:space="0" w:color="auto"/>
            <w:right w:val="none" w:sz="0" w:space="0" w:color="auto"/>
          </w:divBdr>
        </w:div>
      </w:divsChild>
    </w:div>
    <w:div w:id="641925132">
      <w:bodyDiv w:val="1"/>
      <w:marLeft w:val="0"/>
      <w:marRight w:val="0"/>
      <w:marTop w:val="0"/>
      <w:marBottom w:val="0"/>
      <w:divBdr>
        <w:top w:val="none" w:sz="0" w:space="0" w:color="auto"/>
        <w:left w:val="none" w:sz="0" w:space="0" w:color="auto"/>
        <w:bottom w:val="none" w:sz="0" w:space="0" w:color="auto"/>
        <w:right w:val="none" w:sz="0" w:space="0" w:color="auto"/>
      </w:divBdr>
      <w:divsChild>
        <w:div w:id="205215704">
          <w:marLeft w:val="0"/>
          <w:marRight w:val="0"/>
          <w:marTop w:val="0"/>
          <w:marBottom w:val="0"/>
          <w:divBdr>
            <w:top w:val="none" w:sz="0" w:space="0" w:color="auto"/>
            <w:left w:val="none" w:sz="0" w:space="0" w:color="auto"/>
            <w:bottom w:val="none" w:sz="0" w:space="0" w:color="auto"/>
            <w:right w:val="none" w:sz="0" w:space="0" w:color="auto"/>
          </w:divBdr>
          <w:divsChild>
            <w:div w:id="603418268">
              <w:marLeft w:val="0"/>
              <w:marRight w:val="0"/>
              <w:marTop w:val="0"/>
              <w:marBottom w:val="0"/>
              <w:divBdr>
                <w:top w:val="none" w:sz="0" w:space="0" w:color="auto"/>
                <w:left w:val="none" w:sz="0" w:space="0" w:color="auto"/>
                <w:bottom w:val="none" w:sz="0" w:space="0" w:color="auto"/>
                <w:right w:val="none" w:sz="0" w:space="0" w:color="auto"/>
              </w:divBdr>
              <w:divsChild>
                <w:div w:id="1257445255">
                  <w:marLeft w:val="0"/>
                  <w:marRight w:val="0"/>
                  <w:marTop w:val="0"/>
                  <w:marBottom w:val="0"/>
                  <w:divBdr>
                    <w:top w:val="none" w:sz="0" w:space="0" w:color="auto"/>
                    <w:left w:val="none" w:sz="0" w:space="0" w:color="auto"/>
                    <w:bottom w:val="none" w:sz="0" w:space="0" w:color="auto"/>
                    <w:right w:val="none" w:sz="0" w:space="0" w:color="auto"/>
                  </w:divBdr>
                  <w:divsChild>
                    <w:div w:id="157315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542441">
      <w:bodyDiv w:val="1"/>
      <w:marLeft w:val="0"/>
      <w:marRight w:val="0"/>
      <w:marTop w:val="0"/>
      <w:marBottom w:val="0"/>
      <w:divBdr>
        <w:top w:val="none" w:sz="0" w:space="0" w:color="auto"/>
        <w:left w:val="none" w:sz="0" w:space="0" w:color="auto"/>
        <w:bottom w:val="none" w:sz="0" w:space="0" w:color="auto"/>
        <w:right w:val="none" w:sz="0" w:space="0" w:color="auto"/>
      </w:divBdr>
    </w:div>
    <w:div w:id="651106641">
      <w:bodyDiv w:val="1"/>
      <w:marLeft w:val="0"/>
      <w:marRight w:val="0"/>
      <w:marTop w:val="0"/>
      <w:marBottom w:val="0"/>
      <w:divBdr>
        <w:top w:val="none" w:sz="0" w:space="0" w:color="auto"/>
        <w:left w:val="none" w:sz="0" w:space="0" w:color="auto"/>
        <w:bottom w:val="none" w:sz="0" w:space="0" w:color="auto"/>
        <w:right w:val="none" w:sz="0" w:space="0" w:color="auto"/>
      </w:divBdr>
    </w:div>
    <w:div w:id="653727018">
      <w:bodyDiv w:val="1"/>
      <w:marLeft w:val="0"/>
      <w:marRight w:val="0"/>
      <w:marTop w:val="0"/>
      <w:marBottom w:val="0"/>
      <w:divBdr>
        <w:top w:val="none" w:sz="0" w:space="0" w:color="auto"/>
        <w:left w:val="none" w:sz="0" w:space="0" w:color="auto"/>
        <w:bottom w:val="none" w:sz="0" w:space="0" w:color="auto"/>
        <w:right w:val="none" w:sz="0" w:space="0" w:color="auto"/>
      </w:divBdr>
    </w:div>
    <w:div w:id="693265027">
      <w:bodyDiv w:val="1"/>
      <w:marLeft w:val="0"/>
      <w:marRight w:val="0"/>
      <w:marTop w:val="0"/>
      <w:marBottom w:val="0"/>
      <w:divBdr>
        <w:top w:val="none" w:sz="0" w:space="0" w:color="auto"/>
        <w:left w:val="none" w:sz="0" w:space="0" w:color="auto"/>
        <w:bottom w:val="none" w:sz="0" w:space="0" w:color="auto"/>
        <w:right w:val="none" w:sz="0" w:space="0" w:color="auto"/>
      </w:divBdr>
    </w:div>
    <w:div w:id="695271806">
      <w:bodyDiv w:val="1"/>
      <w:marLeft w:val="0"/>
      <w:marRight w:val="0"/>
      <w:marTop w:val="0"/>
      <w:marBottom w:val="0"/>
      <w:divBdr>
        <w:top w:val="none" w:sz="0" w:space="0" w:color="auto"/>
        <w:left w:val="none" w:sz="0" w:space="0" w:color="auto"/>
        <w:bottom w:val="none" w:sz="0" w:space="0" w:color="auto"/>
        <w:right w:val="none" w:sz="0" w:space="0" w:color="auto"/>
      </w:divBdr>
    </w:div>
    <w:div w:id="714088924">
      <w:bodyDiv w:val="1"/>
      <w:marLeft w:val="0"/>
      <w:marRight w:val="0"/>
      <w:marTop w:val="0"/>
      <w:marBottom w:val="0"/>
      <w:divBdr>
        <w:top w:val="none" w:sz="0" w:space="0" w:color="auto"/>
        <w:left w:val="none" w:sz="0" w:space="0" w:color="auto"/>
        <w:bottom w:val="none" w:sz="0" w:space="0" w:color="auto"/>
        <w:right w:val="none" w:sz="0" w:space="0" w:color="auto"/>
      </w:divBdr>
    </w:div>
    <w:div w:id="717901451">
      <w:bodyDiv w:val="1"/>
      <w:marLeft w:val="0"/>
      <w:marRight w:val="0"/>
      <w:marTop w:val="0"/>
      <w:marBottom w:val="0"/>
      <w:divBdr>
        <w:top w:val="none" w:sz="0" w:space="0" w:color="auto"/>
        <w:left w:val="none" w:sz="0" w:space="0" w:color="auto"/>
        <w:bottom w:val="none" w:sz="0" w:space="0" w:color="auto"/>
        <w:right w:val="none" w:sz="0" w:space="0" w:color="auto"/>
      </w:divBdr>
    </w:div>
    <w:div w:id="759108356">
      <w:bodyDiv w:val="1"/>
      <w:marLeft w:val="0"/>
      <w:marRight w:val="0"/>
      <w:marTop w:val="0"/>
      <w:marBottom w:val="0"/>
      <w:divBdr>
        <w:top w:val="none" w:sz="0" w:space="0" w:color="auto"/>
        <w:left w:val="none" w:sz="0" w:space="0" w:color="auto"/>
        <w:bottom w:val="none" w:sz="0" w:space="0" w:color="auto"/>
        <w:right w:val="none" w:sz="0" w:space="0" w:color="auto"/>
      </w:divBdr>
      <w:divsChild>
        <w:div w:id="966273975">
          <w:marLeft w:val="0"/>
          <w:marRight w:val="0"/>
          <w:marTop w:val="0"/>
          <w:marBottom w:val="0"/>
          <w:divBdr>
            <w:top w:val="none" w:sz="0" w:space="0" w:color="auto"/>
            <w:left w:val="none" w:sz="0" w:space="0" w:color="auto"/>
            <w:bottom w:val="none" w:sz="0" w:space="0" w:color="auto"/>
            <w:right w:val="none" w:sz="0" w:space="0" w:color="auto"/>
          </w:divBdr>
        </w:div>
      </w:divsChild>
    </w:div>
    <w:div w:id="759372582">
      <w:bodyDiv w:val="1"/>
      <w:marLeft w:val="0"/>
      <w:marRight w:val="0"/>
      <w:marTop w:val="0"/>
      <w:marBottom w:val="0"/>
      <w:divBdr>
        <w:top w:val="none" w:sz="0" w:space="0" w:color="auto"/>
        <w:left w:val="none" w:sz="0" w:space="0" w:color="auto"/>
        <w:bottom w:val="none" w:sz="0" w:space="0" w:color="auto"/>
        <w:right w:val="none" w:sz="0" w:space="0" w:color="auto"/>
      </w:divBdr>
    </w:div>
    <w:div w:id="782842195">
      <w:bodyDiv w:val="1"/>
      <w:marLeft w:val="0"/>
      <w:marRight w:val="0"/>
      <w:marTop w:val="0"/>
      <w:marBottom w:val="0"/>
      <w:divBdr>
        <w:top w:val="none" w:sz="0" w:space="0" w:color="auto"/>
        <w:left w:val="none" w:sz="0" w:space="0" w:color="auto"/>
        <w:bottom w:val="none" w:sz="0" w:space="0" w:color="auto"/>
        <w:right w:val="none" w:sz="0" w:space="0" w:color="auto"/>
      </w:divBdr>
      <w:divsChild>
        <w:div w:id="757365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3811170">
      <w:bodyDiv w:val="1"/>
      <w:marLeft w:val="0"/>
      <w:marRight w:val="0"/>
      <w:marTop w:val="0"/>
      <w:marBottom w:val="0"/>
      <w:divBdr>
        <w:top w:val="none" w:sz="0" w:space="0" w:color="auto"/>
        <w:left w:val="none" w:sz="0" w:space="0" w:color="auto"/>
        <w:bottom w:val="none" w:sz="0" w:space="0" w:color="auto"/>
        <w:right w:val="none" w:sz="0" w:space="0" w:color="auto"/>
      </w:divBdr>
      <w:divsChild>
        <w:div w:id="722026458">
          <w:marLeft w:val="0"/>
          <w:marRight w:val="0"/>
          <w:marTop w:val="0"/>
          <w:marBottom w:val="0"/>
          <w:divBdr>
            <w:top w:val="none" w:sz="0" w:space="0" w:color="auto"/>
            <w:left w:val="none" w:sz="0" w:space="0" w:color="auto"/>
            <w:bottom w:val="none" w:sz="0" w:space="0" w:color="auto"/>
            <w:right w:val="none" w:sz="0" w:space="0" w:color="auto"/>
          </w:divBdr>
          <w:divsChild>
            <w:div w:id="1938366697">
              <w:marLeft w:val="0"/>
              <w:marRight w:val="0"/>
              <w:marTop w:val="0"/>
              <w:marBottom w:val="0"/>
              <w:divBdr>
                <w:top w:val="none" w:sz="0" w:space="0" w:color="auto"/>
                <w:left w:val="none" w:sz="0" w:space="0" w:color="auto"/>
                <w:bottom w:val="none" w:sz="0" w:space="0" w:color="auto"/>
                <w:right w:val="none" w:sz="0" w:space="0" w:color="auto"/>
              </w:divBdr>
              <w:divsChild>
                <w:div w:id="313219278">
                  <w:marLeft w:val="0"/>
                  <w:marRight w:val="0"/>
                  <w:marTop w:val="0"/>
                  <w:marBottom w:val="0"/>
                  <w:divBdr>
                    <w:top w:val="none" w:sz="0" w:space="0" w:color="auto"/>
                    <w:left w:val="none" w:sz="0" w:space="0" w:color="auto"/>
                    <w:bottom w:val="none" w:sz="0" w:space="0" w:color="auto"/>
                    <w:right w:val="none" w:sz="0" w:space="0" w:color="auto"/>
                  </w:divBdr>
                  <w:divsChild>
                    <w:div w:id="5424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05545">
      <w:bodyDiv w:val="1"/>
      <w:marLeft w:val="0"/>
      <w:marRight w:val="0"/>
      <w:marTop w:val="0"/>
      <w:marBottom w:val="0"/>
      <w:divBdr>
        <w:top w:val="none" w:sz="0" w:space="0" w:color="auto"/>
        <w:left w:val="none" w:sz="0" w:space="0" w:color="auto"/>
        <w:bottom w:val="none" w:sz="0" w:space="0" w:color="auto"/>
        <w:right w:val="none" w:sz="0" w:space="0" w:color="auto"/>
      </w:divBdr>
    </w:div>
    <w:div w:id="894387285">
      <w:bodyDiv w:val="1"/>
      <w:marLeft w:val="0"/>
      <w:marRight w:val="0"/>
      <w:marTop w:val="0"/>
      <w:marBottom w:val="0"/>
      <w:divBdr>
        <w:top w:val="none" w:sz="0" w:space="0" w:color="auto"/>
        <w:left w:val="none" w:sz="0" w:space="0" w:color="auto"/>
        <w:bottom w:val="none" w:sz="0" w:space="0" w:color="auto"/>
        <w:right w:val="none" w:sz="0" w:space="0" w:color="auto"/>
      </w:divBdr>
      <w:divsChild>
        <w:div w:id="1222523729">
          <w:marLeft w:val="0"/>
          <w:marRight w:val="0"/>
          <w:marTop w:val="0"/>
          <w:marBottom w:val="0"/>
          <w:divBdr>
            <w:top w:val="none" w:sz="0" w:space="0" w:color="auto"/>
            <w:left w:val="none" w:sz="0" w:space="0" w:color="auto"/>
            <w:bottom w:val="none" w:sz="0" w:space="0" w:color="auto"/>
            <w:right w:val="none" w:sz="0" w:space="0" w:color="auto"/>
          </w:divBdr>
        </w:div>
      </w:divsChild>
    </w:div>
    <w:div w:id="921455374">
      <w:bodyDiv w:val="1"/>
      <w:marLeft w:val="0"/>
      <w:marRight w:val="0"/>
      <w:marTop w:val="0"/>
      <w:marBottom w:val="0"/>
      <w:divBdr>
        <w:top w:val="none" w:sz="0" w:space="0" w:color="auto"/>
        <w:left w:val="none" w:sz="0" w:space="0" w:color="auto"/>
        <w:bottom w:val="none" w:sz="0" w:space="0" w:color="auto"/>
        <w:right w:val="none" w:sz="0" w:space="0" w:color="auto"/>
      </w:divBdr>
    </w:div>
    <w:div w:id="931818356">
      <w:bodyDiv w:val="1"/>
      <w:marLeft w:val="0"/>
      <w:marRight w:val="0"/>
      <w:marTop w:val="0"/>
      <w:marBottom w:val="0"/>
      <w:divBdr>
        <w:top w:val="none" w:sz="0" w:space="0" w:color="auto"/>
        <w:left w:val="none" w:sz="0" w:space="0" w:color="auto"/>
        <w:bottom w:val="none" w:sz="0" w:space="0" w:color="auto"/>
        <w:right w:val="none" w:sz="0" w:space="0" w:color="auto"/>
      </w:divBdr>
      <w:divsChild>
        <w:div w:id="1338776676">
          <w:marLeft w:val="0"/>
          <w:marRight w:val="0"/>
          <w:marTop w:val="0"/>
          <w:marBottom w:val="0"/>
          <w:divBdr>
            <w:top w:val="none" w:sz="0" w:space="0" w:color="auto"/>
            <w:left w:val="none" w:sz="0" w:space="0" w:color="auto"/>
            <w:bottom w:val="none" w:sz="0" w:space="0" w:color="auto"/>
            <w:right w:val="none" w:sz="0" w:space="0" w:color="auto"/>
          </w:divBdr>
        </w:div>
      </w:divsChild>
    </w:div>
    <w:div w:id="939870906">
      <w:bodyDiv w:val="1"/>
      <w:marLeft w:val="0"/>
      <w:marRight w:val="0"/>
      <w:marTop w:val="0"/>
      <w:marBottom w:val="0"/>
      <w:divBdr>
        <w:top w:val="none" w:sz="0" w:space="0" w:color="auto"/>
        <w:left w:val="none" w:sz="0" w:space="0" w:color="auto"/>
        <w:bottom w:val="none" w:sz="0" w:space="0" w:color="auto"/>
        <w:right w:val="none" w:sz="0" w:space="0" w:color="auto"/>
      </w:divBdr>
    </w:div>
    <w:div w:id="941259804">
      <w:bodyDiv w:val="1"/>
      <w:marLeft w:val="0"/>
      <w:marRight w:val="0"/>
      <w:marTop w:val="0"/>
      <w:marBottom w:val="0"/>
      <w:divBdr>
        <w:top w:val="none" w:sz="0" w:space="0" w:color="auto"/>
        <w:left w:val="none" w:sz="0" w:space="0" w:color="auto"/>
        <w:bottom w:val="none" w:sz="0" w:space="0" w:color="auto"/>
        <w:right w:val="none" w:sz="0" w:space="0" w:color="auto"/>
      </w:divBdr>
    </w:div>
    <w:div w:id="942035912">
      <w:bodyDiv w:val="1"/>
      <w:marLeft w:val="0"/>
      <w:marRight w:val="0"/>
      <w:marTop w:val="0"/>
      <w:marBottom w:val="0"/>
      <w:divBdr>
        <w:top w:val="none" w:sz="0" w:space="0" w:color="auto"/>
        <w:left w:val="none" w:sz="0" w:space="0" w:color="auto"/>
        <w:bottom w:val="none" w:sz="0" w:space="0" w:color="auto"/>
        <w:right w:val="none" w:sz="0" w:space="0" w:color="auto"/>
      </w:divBdr>
    </w:div>
    <w:div w:id="971597796">
      <w:bodyDiv w:val="1"/>
      <w:marLeft w:val="0"/>
      <w:marRight w:val="0"/>
      <w:marTop w:val="0"/>
      <w:marBottom w:val="0"/>
      <w:divBdr>
        <w:top w:val="none" w:sz="0" w:space="0" w:color="auto"/>
        <w:left w:val="none" w:sz="0" w:space="0" w:color="auto"/>
        <w:bottom w:val="none" w:sz="0" w:space="0" w:color="auto"/>
        <w:right w:val="none" w:sz="0" w:space="0" w:color="auto"/>
      </w:divBdr>
    </w:div>
    <w:div w:id="973681429">
      <w:bodyDiv w:val="1"/>
      <w:marLeft w:val="0"/>
      <w:marRight w:val="0"/>
      <w:marTop w:val="0"/>
      <w:marBottom w:val="0"/>
      <w:divBdr>
        <w:top w:val="none" w:sz="0" w:space="0" w:color="auto"/>
        <w:left w:val="none" w:sz="0" w:space="0" w:color="auto"/>
        <w:bottom w:val="none" w:sz="0" w:space="0" w:color="auto"/>
        <w:right w:val="none" w:sz="0" w:space="0" w:color="auto"/>
      </w:divBdr>
      <w:divsChild>
        <w:div w:id="2113820323">
          <w:marLeft w:val="0"/>
          <w:marRight w:val="0"/>
          <w:marTop w:val="0"/>
          <w:marBottom w:val="0"/>
          <w:divBdr>
            <w:top w:val="none" w:sz="0" w:space="0" w:color="auto"/>
            <w:left w:val="none" w:sz="0" w:space="0" w:color="auto"/>
            <w:bottom w:val="none" w:sz="0" w:space="0" w:color="auto"/>
            <w:right w:val="none" w:sz="0" w:space="0" w:color="auto"/>
          </w:divBdr>
        </w:div>
      </w:divsChild>
    </w:div>
    <w:div w:id="981933799">
      <w:bodyDiv w:val="1"/>
      <w:marLeft w:val="0"/>
      <w:marRight w:val="0"/>
      <w:marTop w:val="0"/>
      <w:marBottom w:val="0"/>
      <w:divBdr>
        <w:top w:val="none" w:sz="0" w:space="0" w:color="auto"/>
        <w:left w:val="none" w:sz="0" w:space="0" w:color="auto"/>
        <w:bottom w:val="none" w:sz="0" w:space="0" w:color="auto"/>
        <w:right w:val="none" w:sz="0" w:space="0" w:color="auto"/>
      </w:divBdr>
      <w:divsChild>
        <w:div w:id="117990892">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5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418472">
      <w:bodyDiv w:val="1"/>
      <w:marLeft w:val="0"/>
      <w:marRight w:val="0"/>
      <w:marTop w:val="0"/>
      <w:marBottom w:val="0"/>
      <w:divBdr>
        <w:top w:val="none" w:sz="0" w:space="0" w:color="auto"/>
        <w:left w:val="none" w:sz="0" w:space="0" w:color="auto"/>
        <w:bottom w:val="none" w:sz="0" w:space="0" w:color="auto"/>
        <w:right w:val="none" w:sz="0" w:space="0" w:color="auto"/>
      </w:divBdr>
    </w:div>
    <w:div w:id="1007172346">
      <w:bodyDiv w:val="1"/>
      <w:marLeft w:val="0"/>
      <w:marRight w:val="0"/>
      <w:marTop w:val="0"/>
      <w:marBottom w:val="0"/>
      <w:divBdr>
        <w:top w:val="none" w:sz="0" w:space="0" w:color="auto"/>
        <w:left w:val="none" w:sz="0" w:space="0" w:color="auto"/>
        <w:bottom w:val="none" w:sz="0" w:space="0" w:color="auto"/>
        <w:right w:val="none" w:sz="0" w:space="0" w:color="auto"/>
      </w:divBdr>
      <w:divsChild>
        <w:div w:id="103573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838728">
      <w:bodyDiv w:val="1"/>
      <w:marLeft w:val="0"/>
      <w:marRight w:val="0"/>
      <w:marTop w:val="0"/>
      <w:marBottom w:val="0"/>
      <w:divBdr>
        <w:top w:val="none" w:sz="0" w:space="0" w:color="auto"/>
        <w:left w:val="none" w:sz="0" w:space="0" w:color="auto"/>
        <w:bottom w:val="none" w:sz="0" w:space="0" w:color="auto"/>
        <w:right w:val="none" w:sz="0" w:space="0" w:color="auto"/>
      </w:divBdr>
      <w:divsChild>
        <w:div w:id="1367944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3312274">
      <w:bodyDiv w:val="1"/>
      <w:marLeft w:val="0"/>
      <w:marRight w:val="0"/>
      <w:marTop w:val="0"/>
      <w:marBottom w:val="0"/>
      <w:divBdr>
        <w:top w:val="none" w:sz="0" w:space="0" w:color="auto"/>
        <w:left w:val="none" w:sz="0" w:space="0" w:color="auto"/>
        <w:bottom w:val="none" w:sz="0" w:space="0" w:color="auto"/>
        <w:right w:val="none" w:sz="0" w:space="0" w:color="auto"/>
      </w:divBdr>
      <w:divsChild>
        <w:div w:id="1408963740">
          <w:marLeft w:val="0"/>
          <w:marRight w:val="0"/>
          <w:marTop w:val="0"/>
          <w:marBottom w:val="0"/>
          <w:divBdr>
            <w:top w:val="none" w:sz="0" w:space="0" w:color="auto"/>
            <w:left w:val="none" w:sz="0" w:space="0" w:color="auto"/>
            <w:bottom w:val="none" w:sz="0" w:space="0" w:color="auto"/>
            <w:right w:val="none" w:sz="0" w:space="0" w:color="auto"/>
          </w:divBdr>
        </w:div>
      </w:divsChild>
    </w:div>
    <w:div w:id="1102872545">
      <w:bodyDiv w:val="1"/>
      <w:marLeft w:val="0"/>
      <w:marRight w:val="0"/>
      <w:marTop w:val="0"/>
      <w:marBottom w:val="0"/>
      <w:divBdr>
        <w:top w:val="none" w:sz="0" w:space="0" w:color="auto"/>
        <w:left w:val="none" w:sz="0" w:space="0" w:color="auto"/>
        <w:bottom w:val="none" w:sz="0" w:space="0" w:color="auto"/>
        <w:right w:val="none" w:sz="0" w:space="0" w:color="auto"/>
      </w:divBdr>
    </w:div>
    <w:div w:id="1141994097">
      <w:bodyDiv w:val="1"/>
      <w:marLeft w:val="0"/>
      <w:marRight w:val="0"/>
      <w:marTop w:val="0"/>
      <w:marBottom w:val="0"/>
      <w:divBdr>
        <w:top w:val="none" w:sz="0" w:space="0" w:color="auto"/>
        <w:left w:val="none" w:sz="0" w:space="0" w:color="auto"/>
        <w:bottom w:val="none" w:sz="0" w:space="0" w:color="auto"/>
        <w:right w:val="none" w:sz="0" w:space="0" w:color="auto"/>
      </w:divBdr>
    </w:div>
    <w:div w:id="1156071668">
      <w:bodyDiv w:val="1"/>
      <w:marLeft w:val="0"/>
      <w:marRight w:val="0"/>
      <w:marTop w:val="0"/>
      <w:marBottom w:val="0"/>
      <w:divBdr>
        <w:top w:val="none" w:sz="0" w:space="0" w:color="auto"/>
        <w:left w:val="none" w:sz="0" w:space="0" w:color="auto"/>
        <w:bottom w:val="none" w:sz="0" w:space="0" w:color="auto"/>
        <w:right w:val="none" w:sz="0" w:space="0" w:color="auto"/>
      </w:divBdr>
    </w:div>
    <w:div w:id="1173372402">
      <w:bodyDiv w:val="1"/>
      <w:marLeft w:val="0"/>
      <w:marRight w:val="0"/>
      <w:marTop w:val="0"/>
      <w:marBottom w:val="0"/>
      <w:divBdr>
        <w:top w:val="none" w:sz="0" w:space="0" w:color="auto"/>
        <w:left w:val="none" w:sz="0" w:space="0" w:color="auto"/>
        <w:bottom w:val="none" w:sz="0" w:space="0" w:color="auto"/>
        <w:right w:val="none" w:sz="0" w:space="0" w:color="auto"/>
      </w:divBdr>
      <w:divsChild>
        <w:div w:id="1818641845">
          <w:marLeft w:val="0"/>
          <w:marRight w:val="0"/>
          <w:marTop w:val="0"/>
          <w:marBottom w:val="0"/>
          <w:divBdr>
            <w:top w:val="none" w:sz="0" w:space="0" w:color="auto"/>
            <w:left w:val="none" w:sz="0" w:space="0" w:color="auto"/>
            <w:bottom w:val="none" w:sz="0" w:space="0" w:color="auto"/>
            <w:right w:val="none" w:sz="0" w:space="0" w:color="auto"/>
          </w:divBdr>
        </w:div>
      </w:divsChild>
    </w:div>
    <w:div w:id="1175993102">
      <w:bodyDiv w:val="1"/>
      <w:marLeft w:val="0"/>
      <w:marRight w:val="0"/>
      <w:marTop w:val="0"/>
      <w:marBottom w:val="0"/>
      <w:divBdr>
        <w:top w:val="none" w:sz="0" w:space="0" w:color="auto"/>
        <w:left w:val="none" w:sz="0" w:space="0" w:color="auto"/>
        <w:bottom w:val="none" w:sz="0" w:space="0" w:color="auto"/>
        <w:right w:val="none" w:sz="0" w:space="0" w:color="auto"/>
      </w:divBdr>
    </w:div>
    <w:div w:id="1196583510">
      <w:bodyDiv w:val="1"/>
      <w:marLeft w:val="0"/>
      <w:marRight w:val="0"/>
      <w:marTop w:val="0"/>
      <w:marBottom w:val="0"/>
      <w:divBdr>
        <w:top w:val="none" w:sz="0" w:space="0" w:color="auto"/>
        <w:left w:val="none" w:sz="0" w:space="0" w:color="auto"/>
        <w:bottom w:val="none" w:sz="0" w:space="0" w:color="auto"/>
        <w:right w:val="none" w:sz="0" w:space="0" w:color="auto"/>
      </w:divBdr>
      <w:divsChild>
        <w:div w:id="11046933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379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889160">
      <w:bodyDiv w:val="1"/>
      <w:marLeft w:val="0"/>
      <w:marRight w:val="0"/>
      <w:marTop w:val="0"/>
      <w:marBottom w:val="0"/>
      <w:divBdr>
        <w:top w:val="none" w:sz="0" w:space="0" w:color="auto"/>
        <w:left w:val="none" w:sz="0" w:space="0" w:color="auto"/>
        <w:bottom w:val="none" w:sz="0" w:space="0" w:color="auto"/>
        <w:right w:val="none" w:sz="0" w:space="0" w:color="auto"/>
      </w:divBdr>
    </w:div>
    <w:div w:id="1224411263">
      <w:bodyDiv w:val="1"/>
      <w:marLeft w:val="0"/>
      <w:marRight w:val="0"/>
      <w:marTop w:val="0"/>
      <w:marBottom w:val="0"/>
      <w:divBdr>
        <w:top w:val="none" w:sz="0" w:space="0" w:color="auto"/>
        <w:left w:val="none" w:sz="0" w:space="0" w:color="auto"/>
        <w:bottom w:val="none" w:sz="0" w:space="0" w:color="auto"/>
        <w:right w:val="none" w:sz="0" w:space="0" w:color="auto"/>
      </w:divBdr>
    </w:div>
    <w:div w:id="1230464081">
      <w:bodyDiv w:val="1"/>
      <w:marLeft w:val="0"/>
      <w:marRight w:val="0"/>
      <w:marTop w:val="0"/>
      <w:marBottom w:val="0"/>
      <w:divBdr>
        <w:top w:val="none" w:sz="0" w:space="0" w:color="auto"/>
        <w:left w:val="none" w:sz="0" w:space="0" w:color="auto"/>
        <w:bottom w:val="none" w:sz="0" w:space="0" w:color="auto"/>
        <w:right w:val="none" w:sz="0" w:space="0" w:color="auto"/>
      </w:divBdr>
    </w:div>
    <w:div w:id="1291009474">
      <w:bodyDiv w:val="1"/>
      <w:marLeft w:val="0"/>
      <w:marRight w:val="0"/>
      <w:marTop w:val="0"/>
      <w:marBottom w:val="0"/>
      <w:divBdr>
        <w:top w:val="none" w:sz="0" w:space="0" w:color="auto"/>
        <w:left w:val="none" w:sz="0" w:space="0" w:color="auto"/>
        <w:bottom w:val="none" w:sz="0" w:space="0" w:color="auto"/>
        <w:right w:val="none" w:sz="0" w:space="0" w:color="auto"/>
      </w:divBdr>
    </w:div>
    <w:div w:id="1291785070">
      <w:bodyDiv w:val="1"/>
      <w:marLeft w:val="0"/>
      <w:marRight w:val="0"/>
      <w:marTop w:val="0"/>
      <w:marBottom w:val="0"/>
      <w:divBdr>
        <w:top w:val="none" w:sz="0" w:space="0" w:color="auto"/>
        <w:left w:val="none" w:sz="0" w:space="0" w:color="auto"/>
        <w:bottom w:val="none" w:sz="0" w:space="0" w:color="auto"/>
        <w:right w:val="none" w:sz="0" w:space="0" w:color="auto"/>
      </w:divBdr>
    </w:div>
    <w:div w:id="1343970588">
      <w:bodyDiv w:val="1"/>
      <w:marLeft w:val="0"/>
      <w:marRight w:val="0"/>
      <w:marTop w:val="0"/>
      <w:marBottom w:val="0"/>
      <w:divBdr>
        <w:top w:val="none" w:sz="0" w:space="0" w:color="auto"/>
        <w:left w:val="none" w:sz="0" w:space="0" w:color="auto"/>
        <w:bottom w:val="none" w:sz="0" w:space="0" w:color="auto"/>
        <w:right w:val="none" w:sz="0" w:space="0" w:color="auto"/>
      </w:divBdr>
    </w:div>
    <w:div w:id="1353343801">
      <w:bodyDiv w:val="1"/>
      <w:marLeft w:val="0"/>
      <w:marRight w:val="0"/>
      <w:marTop w:val="0"/>
      <w:marBottom w:val="0"/>
      <w:divBdr>
        <w:top w:val="none" w:sz="0" w:space="0" w:color="auto"/>
        <w:left w:val="none" w:sz="0" w:space="0" w:color="auto"/>
        <w:bottom w:val="none" w:sz="0" w:space="0" w:color="auto"/>
        <w:right w:val="none" w:sz="0" w:space="0" w:color="auto"/>
      </w:divBdr>
      <w:divsChild>
        <w:div w:id="1483620775">
          <w:marLeft w:val="0"/>
          <w:marRight w:val="0"/>
          <w:marTop w:val="0"/>
          <w:marBottom w:val="0"/>
          <w:divBdr>
            <w:top w:val="none" w:sz="0" w:space="0" w:color="auto"/>
            <w:left w:val="none" w:sz="0" w:space="0" w:color="auto"/>
            <w:bottom w:val="none" w:sz="0" w:space="0" w:color="auto"/>
            <w:right w:val="none" w:sz="0" w:space="0" w:color="auto"/>
          </w:divBdr>
        </w:div>
      </w:divsChild>
    </w:div>
    <w:div w:id="1360624997">
      <w:bodyDiv w:val="1"/>
      <w:marLeft w:val="0"/>
      <w:marRight w:val="0"/>
      <w:marTop w:val="0"/>
      <w:marBottom w:val="0"/>
      <w:divBdr>
        <w:top w:val="none" w:sz="0" w:space="0" w:color="auto"/>
        <w:left w:val="none" w:sz="0" w:space="0" w:color="auto"/>
        <w:bottom w:val="none" w:sz="0" w:space="0" w:color="auto"/>
        <w:right w:val="none" w:sz="0" w:space="0" w:color="auto"/>
      </w:divBdr>
    </w:div>
    <w:div w:id="1388332162">
      <w:bodyDiv w:val="1"/>
      <w:marLeft w:val="0"/>
      <w:marRight w:val="0"/>
      <w:marTop w:val="0"/>
      <w:marBottom w:val="0"/>
      <w:divBdr>
        <w:top w:val="none" w:sz="0" w:space="0" w:color="auto"/>
        <w:left w:val="none" w:sz="0" w:space="0" w:color="auto"/>
        <w:bottom w:val="none" w:sz="0" w:space="0" w:color="auto"/>
        <w:right w:val="none" w:sz="0" w:space="0" w:color="auto"/>
      </w:divBdr>
    </w:div>
    <w:div w:id="1393693838">
      <w:bodyDiv w:val="1"/>
      <w:marLeft w:val="0"/>
      <w:marRight w:val="0"/>
      <w:marTop w:val="0"/>
      <w:marBottom w:val="0"/>
      <w:divBdr>
        <w:top w:val="none" w:sz="0" w:space="0" w:color="auto"/>
        <w:left w:val="none" w:sz="0" w:space="0" w:color="auto"/>
        <w:bottom w:val="none" w:sz="0" w:space="0" w:color="auto"/>
        <w:right w:val="none" w:sz="0" w:space="0" w:color="auto"/>
      </w:divBdr>
    </w:div>
    <w:div w:id="1394618316">
      <w:bodyDiv w:val="1"/>
      <w:marLeft w:val="0"/>
      <w:marRight w:val="0"/>
      <w:marTop w:val="0"/>
      <w:marBottom w:val="0"/>
      <w:divBdr>
        <w:top w:val="none" w:sz="0" w:space="0" w:color="auto"/>
        <w:left w:val="none" w:sz="0" w:space="0" w:color="auto"/>
        <w:bottom w:val="none" w:sz="0" w:space="0" w:color="auto"/>
        <w:right w:val="none" w:sz="0" w:space="0" w:color="auto"/>
      </w:divBdr>
    </w:div>
    <w:div w:id="1410151995">
      <w:bodyDiv w:val="1"/>
      <w:marLeft w:val="0"/>
      <w:marRight w:val="0"/>
      <w:marTop w:val="0"/>
      <w:marBottom w:val="0"/>
      <w:divBdr>
        <w:top w:val="none" w:sz="0" w:space="0" w:color="auto"/>
        <w:left w:val="none" w:sz="0" w:space="0" w:color="auto"/>
        <w:bottom w:val="none" w:sz="0" w:space="0" w:color="auto"/>
        <w:right w:val="none" w:sz="0" w:space="0" w:color="auto"/>
      </w:divBdr>
    </w:div>
    <w:div w:id="1422529443">
      <w:bodyDiv w:val="1"/>
      <w:marLeft w:val="0"/>
      <w:marRight w:val="0"/>
      <w:marTop w:val="0"/>
      <w:marBottom w:val="0"/>
      <w:divBdr>
        <w:top w:val="none" w:sz="0" w:space="0" w:color="auto"/>
        <w:left w:val="none" w:sz="0" w:space="0" w:color="auto"/>
        <w:bottom w:val="none" w:sz="0" w:space="0" w:color="auto"/>
        <w:right w:val="none" w:sz="0" w:space="0" w:color="auto"/>
      </w:divBdr>
    </w:div>
    <w:div w:id="1430346834">
      <w:bodyDiv w:val="1"/>
      <w:marLeft w:val="0"/>
      <w:marRight w:val="0"/>
      <w:marTop w:val="0"/>
      <w:marBottom w:val="0"/>
      <w:divBdr>
        <w:top w:val="none" w:sz="0" w:space="0" w:color="auto"/>
        <w:left w:val="none" w:sz="0" w:space="0" w:color="auto"/>
        <w:bottom w:val="none" w:sz="0" w:space="0" w:color="auto"/>
        <w:right w:val="none" w:sz="0" w:space="0" w:color="auto"/>
      </w:divBdr>
    </w:div>
    <w:div w:id="1436246759">
      <w:bodyDiv w:val="1"/>
      <w:marLeft w:val="0"/>
      <w:marRight w:val="0"/>
      <w:marTop w:val="0"/>
      <w:marBottom w:val="0"/>
      <w:divBdr>
        <w:top w:val="none" w:sz="0" w:space="0" w:color="auto"/>
        <w:left w:val="none" w:sz="0" w:space="0" w:color="auto"/>
        <w:bottom w:val="none" w:sz="0" w:space="0" w:color="auto"/>
        <w:right w:val="none" w:sz="0" w:space="0" w:color="auto"/>
      </w:divBdr>
    </w:div>
    <w:div w:id="1437826483">
      <w:bodyDiv w:val="1"/>
      <w:marLeft w:val="0"/>
      <w:marRight w:val="0"/>
      <w:marTop w:val="0"/>
      <w:marBottom w:val="0"/>
      <w:divBdr>
        <w:top w:val="none" w:sz="0" w:space="0" w:color="auto"/>
        <w:left w:val="none" w:sz="0" w:space="0" w:color="auto"/>
        <w:bottom w:val="none" w:sz="0" w:space="0" w:color="auto"/>
        <w:right w:val="none" w:sz="0" w:space="0" w:color="auto"/>
      </w:divBdr>
      <w:divsChild>
        <w:div w:id="1237475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719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910197">
      <w:bodyDiv w:val="1"/>
      <w:marLeft w:val="0"/>
      <w:marRight w:val="0"/>
      <w:marTop w:val="0"/>
      <w:marBottom w:val="0"/>
      <w:divBdr>
        <w:top w:val="none" w:sz="0" w:space="0" w:color="auto"/>
        <w:left w:val="none" w:sz="0" w:space="0" w:color="auto"/>
        <w:bottom w:val="none" w:sz="0" w:space="0" w:color="auto"/>
        <w:right w:val="none" w:sz="0" w:space="0" w:color="auto"/>
      </w:divBdr>
    </w:div>
    <w:div w:id="1460608334">
      <w:bodyDiv w:val="1"/>
      <w:marLeft w:val="0"/>
      <w:marRight w:val="0"/>
      <w:marTop w:val="0"/>
      <w:marBottom w:val="0"/>
      <w:divBdr>
        <w:top w:val="none" w:sz="0" w:space="0" w:color="auto"/>
        <w:left w:val="none" w:sz="0" w:space="0" w:color="auto"/>
        <w:bottom w:val="none" w:sz="0" w:space="0" w:color="auto"/>
        <w:right w:val="none" w:sz="0" w:space="0" w:color="auto"/>
      </w:divBdr>
      <w:divsChild>
        <w:div w:id="264843893">
          <w:marLeft w:val="0"/>
          <w:marRight w:val="0"/>
          <w:marTop w:val="0"/>
          <w:marBottom w:val="0"/>
          <w:divBdr>
            <w:top w:val="none" w:sz="0" w:space="0" w:color="auto"/>
            <w:left w:val="none" w:sz="0" w:space="0" w:color="auto"/>
            <w:bottom w:val="none" w:sz="0" w:space="0" w:color="auto"/>
            <w:right w:val="none" w:sz="0" w:space="0" w:color="auto"/>
          </w:divBdr>
          <w:divsChild>
            <w:div w:id="599603471">
              <w:marLeft w:val="0"/>
              <w:marRight w:val="0"/>
              <w:marTop w:val="0"/>
              <w:marBottom w:val="0"/>
              <w:divBdr>
                <w:top w:val="none" w:sz="0" w:space="0" w:color="auto"/>
                <w:left w:val="none" w:sz="0" w:space="0" w:color="auto"/>
                <w:bottom w:val="none" w:sz="0" w:space="0" w:color="auto"/>
                <w:right w:val="none" w:sz="0" w:space="0" w:color="auto"/>
              </w:divBdr>
              <w:divsChild>
                <w:div w:id="1725788769">
                  <w:marLeft w:val="0"/>
                  <w:marRight w:val="0"/>
                  <w:marTop w:val="0"/>
                  <w:marBottom w:val="0"/>
                  <w:divBdr>
                    <w:top w:val="none" w:sz="0" w:space="0" w:color="auto"/>
                    <w:left w:val="none" w:sz="0" w:space="0" w:color="auto"/>
                    <w:bottom w:val="none" w:sz="0" w:space="0" w:color="auto"/>
                    <w:right w:val="none" w:sz="0" w:space="0" w:color="auto"/>
                  </w:divBdr>
                  <w:divsChild>
                    <w:div w:id="717555091">
                      <w:marLeft w:val="0"/>
                      <w:marRight w:val="0"/>
                      <w:marTop w:val="0"/>
                      <w:marBottom w:val="0"/>
                      <w:divBdr>
                        <w:top w:val="none" w:sz="0" w:space="0" w:color="auto"/>
                        <w:left w:val="none" w:sz="0" w:space="0" w:color="auto"/>
                        <w:bottom w:val="none" w:sz="0" w:space="0" w:color="auto"/>
                        <w:right w:val="none" w:sz="0" w:space="0" w:color="auto"/>
                      </w:divBdr>
                      <w:divsChild>
                        <w:div w:id="1815951458">
                          <w:marLeft w:val="0"/>
                          <w:marRight w:val="0"/>
                          <w:marTop w:val="0"/>
                          <w:marBottom w:val="0"/>
                          <w:divBdr>
                            <w:top w:val="none" w:sz="0" w:space="0" w:color="auto"/>
                            <w:left w:val="none" w:sz="0" w:space="0" w:color="auto"/>
                            <w:bottom w:val="none" w:sz="0" w:space="0" w:color="auto"/>
                            <w:right w:val="none" w:sz="0" w:space="0" w:color="auto"/>
                          </w:divBdr>
                          <w:divsChild>
                            <w:div w:id="961377277">
                              <w:marLeft w:val="0"/>
                              <w:marRight w:val="0"/>
                              <w:marTop w:val="0"/>
                              <w:marBottom w:val="0"/>
                              <w:divBdr>
                                <w:top w:val="none" w:sz="0" w:space="0" w:color="auto"/>
                                <w:left w:val="none" w:sz="0" w:space="0" w:color="auto"/>
                                <w:bottom w:val="none" w:sz="0" w:space="0" w:color="auto"/>
                                <w:right w:val="none" w:sz="0" w:space="0" w:color="auto"/>
                              </w:divBdr>
                              <w:divsChild>
                                <w:div w:id="307636095">
                                  <w:marLeft w:val="0"/>
                                  <w:marRight w:val="0"/>
                                  <w:marTop w:val="0"/>
                                  <w:marBottom w:val="0"/>
                                  <w:divBdr>
                                    <w:top w:val="none" w:sz="0" w:space="0" w:color="auto"/>
                                    <w:left w:val="none" w:sz="0" w:space="0" w:color="auto"/>
                                    <w:bottom w:val="none" w:sz="0" w:space="0" w:color="auto"/>
                                    <w:right w:val="none" w:sz="0" w:space="0" w:color="auto"/>
                                  </w:divBdr>
                                  <w:divsChild>
                                    <w:div w:id="15125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717616">
      <w:bodyDiv w:val="1"/>
      <w:marLeft w:val="0"/>
      <w:marRight w:val="0"/>
      <w:marTop w:val="0"/>
      <w:marBottom w:val="0"/>
      <w:divBdr>
        <w:top w:val="none" w:sz="0" w:space="0" w:color="auto"/>
        <w:left w:val="none" w:sz="0" w:space="0" w:color="auto"/>
        <w:bottom w:val="none" w:sz="0" w:space="0" w:color="auto"/>
        <w:right w:val="none" w:sz="0" w:space="0" w:color="auto"/>
      </w:divBdr>
    </w:div>
    <w:div w:id="1507330507">
      <w:bodyDiv w:val="1"/>
      <w:marLeft w:val="0"/>
      <w:marRight w:val="0"/>
      <w:marTop w:val="0"/>
      <w:marBottom w:val="0"/>
      <w:divBdr>
        <w:top w:val="none" w:sz="0" w:space="0" w:color="auto"/>
        <w:left w:val="none" w:sz="0" w:space="0" w:color="auto"/>
        <w:bottom w:val="none" w:sz="0" w:space="0" w:color="auto"/>
        <w:right w:val="none" w:sz="0" w:space="0" w:color="auto"/>
      </w:divBdr>
    </w:div>
    <w:div w:id="1537890343">
      <w:bodyDiv w:val="1"/>
      <w:marLeft w:val="0"/>
      <w:marRight w:val="0"/>
      <w:marTop w:val="0"/>
      <w:marBottom w:val="0"/>
      <w:divBdr>
        <w:top w:val="none" w:sz="0" w:space="0" w:color="auto"/>
        <w:left w:val="none" w:sz="0" w:space="0" w:color="auto"/>
        <w:bottom w:val="none" w:sz="0" w:space="0" w:color="auto"/>
        <w:right w:val="none" w:sz="0" w:space="0" w:color="auto"/>
      </w:divBdr>
      <w:divsChild>
        <w:div w:id="863060789">
          <w:marLeft w:val="0"/>
          <w:marRight w:val="0"/>
          <w:marTop w:val="0"/>
          <w:marBottom w:val="0"/>
          <w:divBdr>
            <w:top w:val="none" w:sz="0" w:space="0" w:color="auto"/>
            <w:left w:val="none" w:sz="0" w:space="0" w:color="auto"/>
            <w:bottom w:val="none" w:sz="0" w:space="0" w:color="auto"/>
            <w:right w:val="none" w:sz="0" w:space="0" w:color="auto"/>
          </w:divBdr>
          <w:divsChild>
            <w:div w:id="1197237446">
              <w:marLeft w:val="0"/>
              <w:marRight w:val="0"/>
              <w:marTop w:val="0"/>
              <w:marBottom w:val="0"/>
              <w:divBdr>
                <w:top w:val="none" w:sz="0" w:space="0" w:color="auto"/>
                <w:left w:val="none" w:sz="0" w:space="0" w:color="auto"/>
                <w:bottom w:val="none" w:sz="0" w:space="0" w:color="auto"/>
                <w:right w:val="none" w:sz="0" w:space="0" w:color="auto"/>
              </w:divBdr>
              <w:divsChild>
                <w:div w:id="659508735">
                  <w:marLeft w:val="0"/>
                  <w:marRight w:val="0"/>
                  <w:marTop w:val="0"/>
                  <w:marBottom w:val="0"/>
                  <w:divBdr>
                    <w:top w:val="none" w:sz="0" w:space="0" w:color="auto"/>
                    <w:left w:val="none" w:sz="0" w:space="0" w:color="auto"/>
                    <w:bottom w:val="none" w:sz="0" w:space="0" w:color="auto"/>
                    <w:right w:val="none" w:sz="0" w:space="0" w:color="auto"/>
                  </w:divBdr>
                  <w:divsChild>
                    <w:div w:id="473643019">
                      <w:marLeft w:val="0"/>
                      <w:marRight w:val="0"/>
                      <w:marTop w:val="0"/>
                      <w:marBottom w:val="0"/>
                      <w:divBdr>
                        <w:top w:val="none" w:sz="0" w:space="0" w:color="auto"/>
                        <w:left w:val="none" w:sz="0" w:space="0" w:color="auto"/>
                        <w:bottom w:val="none" w:sz="0" w:space="0" w:color="auto"/>
                        <w:right w:val="none" w:sz="0" w:space="0" w:color="auto"/>
                      </w:divBdr>
                      <w:divsChild>
                        <w:div w:id="1115174229">
                          <w:marLeft w:val="0"/>
                          <w:marRight w:val="0"/>
                          <w:marTop w:val="0"/>
                          <w:marBottom w:val="0"/>
                          <w:divBdr>
                            <w:top w:val="none" w:sz="0" w:space="0" w:color="auto"/>
                            <w:left w:val="none" w:sz="0" w:space="0" w:color="auto"/>
                            <w:bottom w:val="none" w:sz="0" w:space="0" w:color="auto"/>
                            <w:right w:val="none" w:sz="0" w:space="0" w:color="auto"/>
                          </w:divBdr>
                          <w:divsChild>
                            <w:div w:id="1470660312">
                              <w:marLeft w:val="0"/>
                              <w:marRight w:val="0"/>
                              <w:marTop w:val="0"/>
                              <w:marBottom w:val="0"/>
                              <w:divBdr>
                                <w:top w:val="none" w:sz="0" w:space="0" w:color="auto"/>
                                <w:left w:val="none" w:sz="0" w:space="0" w:color="auto"/>
                                <w:bottom w:val="none" w:sz="0" w:space="0" w:color="auto"/>
                                <w:right w:val="none" w:sz="0" w:space="0" w:color="auto"/>
                              </w:divBdr>
                              <w:divsChild>
                                <w:div w:id="1993368799">
                                  <w:marLeft w:val="0"/>
                                  <w:marRight w:val="0"/>
                                  <w:marTop w:val="0"/>
                                  <w:marBottom w:val="0"/>
                                  <w:divBdr>
                                    <w:top w:val="none" w:sz="0" w:space="0" w:color="auto"/>
                                    <w:left w:val="none" w:sz="0" w:space="0" w:color="auto"/>
                                    <w:bottom w:val="none" w:sz="0" w:space="0" w:color="auto"/>
                                    <w:right w:val="none" w:sz="0" w:space="0" w:color="auto"/>
                                  </w:divBdr>
                                  <w:divsChild>
                                    <w:div w:id="4181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005208">
      <w:bodyDiv w:val="1"/>
      <w:marLeft w:val="0"/>
      <w:marRight w:val="0"/>
      <w:marTop w:val="0"/>
      <w:marBottom w:val="0"/>
      <w:divBdr>
        <w:top w:val="none" w:sz="0" w:space="0" w:color="auto"/>
        <w:left w:val="none" w:sz="0" w:space="0" w:color="auto"/>
        <w:bottom w:val="none" w:sz="0" w:space="0" w:color="auto"/>
        <w:right w:val="none" w:sz="0" w:space="0" w:color="auto"/>
      </w:divBdr>
    </w:div>
    <w:div w:id="1600139086">
      <w:bodyDiv w:val="1"/>
      <w:marLeft w:val="0"/>
      <w:marRight w:val="0"/>
      <w:marTop w:val="0"/>
      <w:marBottom w:val="0"/>
      <w:divBdr>
        <w:top w:val="none" w:sz="0" w:space="0" w:color="auto"/>
        <w:left w:val="none" w:sz="0" w:space="0" w:color="auto"/>
        <w:bottom w:val="none" w:sz="0" w:space="0" w:color="auto"/>
        <w:right w:val="none" w:sz="0" w:space="0" w:color="auto"/>
      </w:divBdr>
    </w:div>
    <w:div w:id="1607807558">
      <w:bodyDiv w:val="1"/>
      <w:marLeft w:val="0"/>
      <w:marRight w:val="0"/>
      <w:marTop w:val="0"/>
      <w:marBottom w:val="0"/>
      <w:divBdr>
        <w:top w:val="none" w:sz="0" w:space="0" w:color="auto"/>
        <w:left w:val="none" w:sz="0" w:space="0" w:color="auto"/>
        <w:bottom w:val="none" w:sz="0" w:space="0" w:color="auto"/>
        <w:right w:val="none" w:sz="0" w:space="0" w:color="auto"/>
      </w:divBdr>
    </w:div>
    <w:div w:id="1635912646">
      <w:bodyDiv w:val="1"/>
      <w:marLeft w:val="0"/>
      <w:marRight w:val="0"/>
      <w:marTop w:val="0"/>
      <w:marBottom w:val="0"/>
      <w:divBdr>
        <w:top w:val="none" w:sz="0" w:space="0" w:color="auto"/>
        <w:left w:val="none" w:sz="0" w:space="0" w:color="auto"/>
        <w:bottom w:val="none" w:sz="0" w:space="0" w:color="auto"/>
        <w:right w:val="none" w:sz="0" w:space="0" w:color="auto"/>
      </w:divBdr>
    </w:div>
    <w:div w:id="1636178548">
      <w:bodyDiv w:val="1"/>
      <w:marLeft w:val="0"/>
      <w:marRight w:val="0"/>
      <w:marTop w:val="0"/>
      <w:marBottom w:val="0"/>
      <w:divBdr>
        <w:top w:val="none" w:sz="0" w:space="0" w:color="auto"/>
        <w:left w:val="none" w:sz="0" w:space="0" w:color="auto"/>
        <w:bottom w:val="none" w:sz="0" w:space="0" w:color="auto"/>
        <w:right w:val="none" w:sz="0" w:space="0" w:color="auto"/>
      </w:divBdr>
    </w:div>
    <w:div w:id="1638531933">
      <w:bodyDiv w:val="1"/>
      <w:marLeft w:val="0"/>
      <w:marRight w:val="0"/>
      <w:marTop w:val="0"/>
      <w:marBottom w:val="0"/>
      <w:divBdr>
        <w:top w:val="none" w:sz="0" w:space="0" w:color="auto"/>
        <w:left w:val="none" w:sz="0" w:space="0" w:color="auto"/>
        <w:bottom w:val="none" w:sz="0" w:space="0" w:color="auto"/>
        <w:right w:val="none" w:sz="0" w:space="0" w:color="auto"/>
      </w:divBdr>
      <w:divsChild>
        <w:div w:id="202389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269370">
      <w:bodyDiv w:val="1"/>
      <w:marLeft w:val="0"/>
      <w:marRight w:val="0"/>
      <w:marTop w:val="0"/>
      <w:marBottom w:val="0"/>
      <w:divBdr>
        <w:top w:val="none" w:sz="0" w:space="0" w:color="auto"/>
        <w:left w:val="none" w:sz="0" w:space="0" w:color="auto"/>
        <w:bottom w:val="none" w:sz="0" w:space="0" w:color="auto"/>
        <w:right w:val="none" w:sz="0" w:space="0" w:color="auto"/>
      </w:divBdr>
      <w:divsChild>
        <w:div w:id="1956138756">
          <w:marLeft w:val="0"/>
          <w:marRight w:val="0"/>
          <w:marTop w:val="0"/>
          <w:marBottom w:val="0"/>
          <w:divBdr>
            <w:top w:val="none" w:sz="0" w:space="0" w:color="auto"/>
            <w:left w:val="none" w:sz="0" w:space="0" w:color="auto"/>
            <w:bottom w:val="none" w:sz="0" w:space="0" w:color="auto"/>
            <w:right w:val="none" w:sz="0" w:space="0" w:color="auto"/>
          </w:divBdr>
          <w:divsChild>
            <w:div w:id="44153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829">
      <w:bodyDiv w:val="1"/>
      <w:marLeft w:val="0"/>
      <w:marRight w:val="0"/>
      <w:marTop w:val="0"/>
      <w:marBottom w:val="0"/>
      <w:divBdr>
        <w:top w:val="none" w:sz="0" w:space="0" w:color="auto"/>
        <w:left w:val="none" w:sz="0" w:space="0" w:color="auto"/>
        <w:bottom w:val="none" w:sz="0" w:space="0" w:color="auto"/>
        <w:right w:val="none" w:sz="0" w:space="0" w:color="auto"/>
      </w:divBdr>
    </w:div>
    <w:div w:id="1674457236">
      <w:bodyDiv w:val="1"/>
      <w:marLeft w:val="0"/>
      <w:marRight w:val="0"/>
      <w:marTop w:val="0"/>
      <w:marBottom w:val="0"/>
      <w:divBdr>
        <w:top w:val="none" w:sz="0" w:space="0" w:color="auto"/>
        <w:left w:val="none" w:sz="0" w:space="0" w:color="auto"/>
        <w:bottom w:val="none" w:sz="0" w:space="0" w:color="auto"/>
        <w:right w:val="none" w:sz="0" w:space="0" w:color="auto"/>
      </w:divBdr>
    </w:div>
    <w:div w:id="1689210249">
      <w:bodyDiv w:val="1"/>
      <w:marLeft w:val="0"/>
      <w:marRight w:val="0"/>
      <w:marTop w:val="0"/>
      <w:marBottom w:val="0"/>
      <w:divBdr>
        <w:top w:val="none" w:sz="0" w:space="0" w:color="auto"/>
        <w:left w:val="none" w:sz="0" w:space="0" w:color="auto"/>
        <w:bottom w:val="none" w:sz="0" w:space="0" w:color="auto"/>
        <w:right w:val="none" w:sz="0" w:space="0" w:color="auto"/>
      </w:divBdr>
      <w:divsChild>
        <w:div w:id="14768414">
          <w:marLeft w:val="0"/>
          <w:marRight w:val="0"/>
          <w:marTop w:val="0"/>
          <w:marBottom w:val="0"/>
          <w:divBdr>
            <w:top w:val="none" w:sz="0" w:space="0" w:color="auto"/>
            <w:left w:val="none" w:sz="0" w:space="0" w:color="auto"/>
            <w:bottom w:val="none" w:sz="0" w:space="0" w:color="auto"/>
            <w:right w:val="none" w:sz="0" w:space="0" w:color="auto"/>
          </w:divBdr>
          <w:divsChild>
            <w:div w:id="2094232904">
              <w:marLeft w:val="0"/>
              <w:marRight w:val="0"/>
              <w:marTop w:val="0"/>
              <w:marBottom w:val="0"/>
              <w:divBdr>
                <w:top w:val="none" w:sz="0" w:space="0" w:color="auto"/>
                <w:left w:val="none" w:sz="0" w:space="0" w:color="auto"/>
                <w:bottom w:val="none" w:sz="0" w:space="0" w:color="auto"/>
                <w:right w:val="none" w:sz="0" w:space="0" w:color="auto"/>
              </w:divBdr>
              <w:divsChild>
                <w:div w:id="1307011212">
                  <w:marLeft w:val="0"/>
                  <w:marRight w:val="0"/>
                  <w:marTop w:val="0"/>
                  <w:marBottom w:val="0"/>
                  <w:divBdr>
                    <w:top w:val="none" w:sz="0" w:space="0" w:color="auto"/>
                    <w:left w:val="none" w:sz="0" w:space="0" w:color="auto"/>
                    <w:bottom w:val="none" w:sz="0" w:space="0" w:color="auto"/>
                    <w:right w:val="none" w:sz="0" w:space="0" w:color="auto"/>
                  </w:divBdr>
                  <w:divsChild>
                    <w:div w:id="17986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913922">
      <w:bodyDiv w:val="1"/>
      <w:marLeft w:val="0"/>
      <w:marRight w:val="0"/>
      <w:marTop w:val="0"/>
      <w:marBottom w:val="0"/>
      <w:divBdr>
        <w:top w:val="none" w:sz="0" w:space="0" w:color="auto"/>
        <w:left w:val="none" w:sz="0" w:space="0" w:color="auto"/>
        <w:bottom w:val="none" w:sz="0" w:space="0" w:color="auto"/>
        <w:right w:val="none" w:sz="0" w:space="0" w:color="auto"/>
      </w:divBdr>
      <w:divsChild>
        <w:div w:id="577595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44143">
      <w:bodyDiv w:val="1"/>
      <w:marLeft w:val="0"/>
      <w:marRight w:val="0"/>
      <w:marTop w:val="0"/>
      <w:marBottom w:val="0"/>
      <w:divBdr>
        <w:top w:val="none" w:sz="0" w:space="0" w:color="auto"/>
        <w:left w:val="none" w:sz="0" w:space="0" w:color="auto"/>
        <w:bottom w:val="none" w:sz="0" w:space="0" w:color="auto"/>
        <w:right w:val="none" w:sz="0" w:space="0" w:color="auto"/>
      </w:divBdr>
      <w:divsChild>
        <w:div w:id="1713336549">
          <w:blockQuote w:val="1"/>
          <w:marLeft w:val="720"/>
          <w:marRight w:val="720"/>
          <w:marTop w:val="100"/>
          <w:marBottom w:val="100"/>
          <w:divBdr>
            <w:top w:val="none" w:sz="0" w:space="0" w:color="auto"/>
            <w:left w:val="none" w:sz="0" w:space="0" w:color="auto"/>
            <w:bottom w:val="none" w:sz="0" w:space="0" w:color="auto"/>
            <w:right w:val="none" w:sz="0" w:space="0" w:color="auto"/>
          </w:divBdr>
        </w:div>
        <w:div w:id="443841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055550">
      <w:bodyDiv w:val="1"/>
      <w:marLeft w:val="0"/>
      <w:marRight w:val="0"/>
      <w:marTop w:val="0"/>
      <w:marBottom w:val="0"/>
      <w:divBdr>
        <w:top w:val="none" w:sz="0" w:space="0" w:color="auto"/>
        <w:left w:val="none" w:sz="0" w:space="0" w:color="auto"/>
        <w:bottom w:val="none" w:sz="0" w:space="0" w:color="auto"/>
        <w:right w:val="none" w:sz="0" w:space="0" w:color="auto"/>
      </w:divBdr>
    </w:div>
    <w:div w:id="1745176889">
      <w:bodyDiv w:val="1"/>
      <w:marLeft w:val="0"/>
      <w:marRight w:val="0"/>
      <w:marTop w:val="0"/>
      <w:marBottom w:val="0"/>
      <w:divBdr>
        <w:top w:val="none" w:sz="0" w:space="0" w:color="auto"/>
        <w:left w:val="none" w:sz="0" w:space="0" w:color="auto"/>
        <w:bottom w:val="none" w:sz="0" w:space="0" w:color="auto"/>
        <w:right w:val="none" w:sz="0" w:space="0" w:color="auto"/>
      </w:divBdr>
    </w:div>
    <w:div w:id="1790662567">
      <w:bodyDiv w:val="1"/>
      <w:marLeft w:val="0"/>
      <w:marRight w:val="0"/>
      <w:marTop w:val="0"/>
      <w:marBottom w:val="0"/>
      <w:divBdr>
        <w:top w:val="none" w:sz="0" w:space="0" w:color="auto"/>
        <w:left w:val="none" w:sz="0" w:space="0" w:color="auto"/>
        <w:bottom w:val="none" w:sz="0" w:space="0" w:color="auto"/>
        <w:right w:val="none" w:sz="0" w:space="0" w:color="auto"/>
      </w:divBdr>
    </w:div>
    <w:div w:id="1905337573">
      <w:bodyDiv w:val="1"/>
      <w:marLeft w:val="0"/>
      <w:marRight w:val="0"/>
      <w:marTop w:val="0"/>
      <w:marBottom w:val="0"/>
      <w:divBdr>
        <w:top w:val="none" w:sz="0" w:space="0" w:color="auto"/>
        <w:left w:val="none" w:sz="0" w:space="0" w:color="auto"/>
        <w:bottom w:val="none" w:sz="0" w:space="0" w:color="auto"/>
        <w:right w:val="none" w:sz="0" w:space="0" w:color="auto"/>
      </w:divBdr>
    </w:div>
    <w:div w:id="1923368385">
      <w:bodyDiv w:val="1"/>
      <w:marLeft w:val="0"/>
      <w:marRight w:val="0"/>
      <w:marTop w:val="0"/>
      <w:marBottom w:val="0"/>
      <w:divBdr>
        <w:top w:val="none" w:sz="0" w:space="0" w:color="auto"/>
        <w:left w:val="none" w:sz="0" w:space="0" w:color="auto"/>
        <w:bottom w:val="none" w:sz="0" w:space="0" w:color="auto"/>
        <w:right w:val="none" w:sz="0" w:space="0" w:color="auto"/>
      </w:divBdr>
    </w:div>
    <w:div w:id="1931426494">
      <w:bodyDiv w:val="1"/>
      <w:marLeft w:val="0"/>
      <w:marRight w:val="0"/>
      <w:marTop w:val="0"/>
      <w:marBottom w:val="0"/>
      <w:divBdr>
        <w:top w:val="none" w:sz="0" w:space="0" w:color="auto"/>
        <w:left w:val="none" w:sz="0" w:space="0" w:color="auto"/>
        <w:bottom w:val="none" w:sz="0" w:space="0" w:color="auto"/>
        <w:right w:val="none" w:sz="0" w:space="0" w:color="auto"/>
      </w:divBdr>
    </w:div>
    <w:div w:id="1956397803">
      <w:bodyDiv w:val="1"/>
      <w:marLeft w:val="0"/>
      <w:marRight w:val="0"/>
      <w:marTop w:val="0"/>
      <w:marBottom w:val="0"/>
      <w:divBdr>
        <w:top w:val="none" w:sz="0" w:space="0" w:color="auto"/>
        <w:left w:val="none" w:sz="0" w:space="0" w:color="auto"/>
        <w:bottom w:val="none" w:sz="0" w:space="0" w:color="auto"/>
        <w:right w:val="none" w:sz="0" w:space="0" w:color="auto"/>
      </w:divBdr>
    </w:div>
    <w:div w:id="1968118141">
      <w:bodyDiv w:val="1"/>
      <w:marLeft w:val="0"/>
      <w:marRight w:val="0"/>
      <w:marTop w:val="0"/>
      <w:marBottom w:val="0"/>
      <w:divBdr>
        <w:top w:val="none" w:sz="0" w:space="0" w:color="auto"/>
        <w:left w:val="none" w:sz="0" w:space="0" w:color="auto"/>
        <w:bottom w:val="none" w:sz="0" w:space="0" w:color="auto"/>
        <w:right w:val="none" w:sz="0" w:space="0" w:color="auto"/>
      </w:divBdr>
    </w:div>
    <w:div w:id="1983192473">
      <w:bodyDiv w:val="1"/>
      <w:marLeft w:val="0"/>
      <w:marRight w:val="0"/>
      <w:marTop w:val="0"/>
      <w:marBottom w:val="0"/>
      <w:divBdr>
        <w:top w:val="none" w:sz="0" w:space="0" w:color="auto"/>
        <w:left w:val="none" w:sz="0" w:space="0" w:color="auto"/>
        <w:bottom w:val="none" w:sz="0" w:space="0" w:color="auto"/>
        <w:right w:val="none" w:sz="0" w:space="0" w:color="auto"/>
      </w:divBdr>
    </w:div>
    <w:div w:id="1992249491">
      <w:bodyDiv w:val="1"/>
      <w:marLeft w:val="0"/>
      <w:marRight w:val="0"/>
      <w:marTop w:val="0"/>
      <w:marBottom w:val="0"/>
      <w:divBdr>
        <w:top w:val="none" w:sz="0" w:space="0" w:color="auto"/>
        <w:left w:val="none" w:sz="0" w:space="0" w:color="auto"/>
        <w:bottom w:val="none" w:sz="0" w:space="0" w:color="auto"/>
        <w:right w:val="none" w:sz="0" w:space="0" w:color="auto"/>
      </w:divBdr>
    </w:div>
    <w:div w:id="2017344976">
      <w:bodyDiv w:val="1"/>
      <w:marLeft w:val="0"/>
      <w:marRight w:val="0"/>
      <w:marTop w:val="0"/>
      <w:marBottom w:val="0"/>
      <w:divBdr>
        <w:top w:val="none" w:sz="0" w:space="0" w:color="auto"/>
        <w:left w:val="none" w:sz="0" w:space="0" w:color="auto"/>
        <w:bottom w:val="none" w:sz="0" w:space="0" w:color="auto"/>
        <w:right w:val="none" w:sz="0" w:space="0" w:color="auto"/>
      </w:divBdr>
    </w:div>
    <w:div w:id="2041469954">
      <w:bodyDiv w:val="1"/>
      <w:marLeft w:val="0"/>
      <w:marRight w:val="0"/>
      <w:marTop w:val="0"/>
      <w:marBottom w:val="0"/>
      <w:divBdr>
        <w:top w:val="none" w:sz="0" w:space="0" w:color="auto"/>
        <w:left w:val="none" w:sz="0" w:space="0" w:color="auto"/>
        <w:bottom w:val="none" w:sz="0" w:space="0" w:color="auto"/>
        <w:right w:val="none" w:sz="0" w:space="0" w:color="auto"/>
      </w:divBdr>
      <w:divsChild>
        <w:div w:id="1905096932">
          <w:marLeft w:val="0"/>
          <w:marRight w:val="0"/>
          <w:marTop w:val="0"/>
          <w:marBottom w:val="0"/>
          <w:divBdr>
            <w:top w:val="none" w:sz="0" w:space="0" w:color="auto"/>
            <w:left w:val="none" w:sz="0" w:space="0" w:color="auto"/>
            <w:bottom w:val="none" w:sz="0" w:space="0" w:color="auto"/>
            <w:right w:val="none" w:sz="0" w:space="0" w:color="auto"/>
          </w:divBdr>
        </w:div>
      </w:divsChild>
    </w:div>
    <w:div w:id="2054959282">
      <w:bodyDiv w:val="1"/>
      <w:marLeft w:val="0"/>
      <w:marRight w:val="0"/>
      <w:marTop w:val="0"/>
      <w:marBottom w:val="0"/>
      <w:divBdr>
        <w:top w:val="none" w:sz="0" w:space="0" w:color="auto"/>
        <w:left w:val="none" w:sz="0" w:space="0" w:color="auto"/>
        <w:bottom w:val="none" w:sz="0" w:space="0" w:color="auto"/>
        <w:right w:val="none" w:sz="0" w:space="0" w:color="auto"/>
      </w:divBdr>
      <w:divsChild>
        <w:div w:id="1547524950">
          <w:marLeft w:val="0"/>
          <w:marRight w:val="0"/>
          <w:marTop w:val="100"/>
          <w:marBottom w:val="100"/>
          <w:divBdr>
            <w:top w:val="none" w:sz="0" w:space="0" w:color="auto"/>
            <w:left w:val="none" w:sz="0" w:space="0" w:color="auto"/>
            <w:bottom w:val="none" w:sz="0" w:space="0" w:color="auto"/>
            <w:right w:val="none" w:sz="0" w:space="0" w:color="auto"/>
          </w:divBdr>
          <w:divsChild>
            <w:div w:id="1043599780">
              <w:marLeft w:val="0"/>
              <w:marRight w:val="0"/>
              <w:marTop w:val="0"/>
              <w:marBottom w:val="0"/>
              <w:divBdr>
                <w:top w:val="none" w:sz="0" w:space="0" w:color="auto"/>
                <w:left w:val="none" w:sz="0" w:space="0" w:color="auto"/>
                <w:bottom w:val="none" w:sz="0" w:space="0" w:color="auto"/>
                <w:right w:val="none" w:sz="0" w:space="0" w:color="auto"/>
              </w:divBdr>
              <w:divsChild>
                <w:div w:id="15384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5186">
      <w:bodyDiv w:val="1"/>
      <w:marLeft w:val="0"/>
      <w:marRight w:val="0"/>
      <w:marTop w:val="0"/>
      <w:marBottom w:val="0"/>
      <w:divBdr>
        <w:top w:val="none" w:sz="0" w:space="0" w:color="auto"/>
        <w:left w:val="none" w:sz="0" w:space="0" w:color="auto"/>
        <w:bottom w:val="none" w:sz="0" w:space="0" w:color="auto"/>
        <w:right w:val="none" w:sz="0" w:space="0" w:color="auto"/>
      </w:divBdr>
    </w:div>
    <w:div w:id="2061319584">
      <w:bodyDiv w:val="1"/>
      <w:marLeft w:val="0"/>
      <w:marRight w:val="0"/>
      <w:marTop w:val="0"/>
      <w:marBottom w:val="0"/>
      <w:divBdr>
        <w:top w:val="none" w:sz="0" w:space="0" w:color="auto"/>
        <w:left w:val="none" w:sz="0" w:space="0" w:color="auto"/>
        <w:bottom w:val="none" w:sz="0" w:space="0" w:color="auto"/>
        <w:right w:val="none" w:sz="0" w:space="0" w:color="auto"/>
      </w:divBdr>
    </w:div>
    <w:div w:id="2065568160">
      <w:bodyDiv w:val="1"/>
      <w:marLeft w:val="0"/>
      <w:marRight w:val="0"/>
      <w:marTop w:val="0"/>
      <w:marBottom w:val="0"/>
      <w:divBdr>
        <w:top w:val="none" w:sz="0" w:space="0" w:color="auto"/>
        <w:left w:val="none" w:sz="0" w:space="0" w:color="auto"/>
        <w:bottom w:val="none" w:sz="0" w:space="0" w:color="auto"/>
        <w:right w:val="none" w:sz="0" w:space="0" w:color="auto"/>
      </w:divBdr>
    </w:div>
    <w:div w:id="2082631193">
      <w:bodyDiv w:val="1"/>
      <w:marLeft w:val="0"/>
      <w:marRight w:val="0"/>
      <w:marTop w:val="0"/>
      <w:marBottom w:val="0"/>
      <w:divBdr>
        <w:top w:val="none" w:sz="0" w:space="0" w:color="auto"/>
        <w:left w:val="none" w:sz="0" w:space="0" w:color="auto"/>
        <w:bottom w:val="none" w:sz="0" w:space="0" w:color="auto"/>
        <w:right w:val="none" w:sz="0" w:space="0" w:color="auto"/>
      </w:divBdr>
    </w:div>
    <w:div w:id="2108697530">
      <w:bodyDiv w:val="1"/>
      <w:marLeft w:val="0"/>
      <w:marRight w:val="0"/>
      <w:marTop w:val="0"/>
      <w:marBottom w:val="0"/>
      <w:divBdr>
        <w:top w:val="none" w:sz="0" w:space="0" w:color="auto"/>
        <w:left w:val="none" w:sz="0" w:space="0" w:color="auto"/>
        <w:bottom w:val="none" w:sz="0" w:space="0" w:color="auto"/>
        <w:right w:val="none" w:sz="0" w:space="0" w:color="auto"/>
      </w:divBdr>
    </w:div>
    <w:div w:id="2118599736">
      <w:bodyDiv w:val="1"/>
      <w:marLeft w:val="0"/>
      <w:marRight w:val="0"/>
      <w:marTop w:val="0"/>
      <w:marBottom w:val="0"/>
      <w:divBdr>
        <w:top w:val="none" w:sz="0" w:space="0" w:color="auto"/>
        <w:left w:val="none" w:sz="0" w:space="0" w:color="auto"/>
        <w:bottom w:val="none" w:sz="0" w:space="0" w:color="auto"/>
        <w:right w:val="none" w:sz="0" w:space="0" w:color="auto"/>
      </w:divBdr>
    </w:div>
    <w:div w:id="2120103765">
      <w:bodyDiv w:val="1"/>
      <w:marLeft w:val="0"/>
      <w:marRight w:val="0"/>
      <w:marTop w:val="0"/>
      <w:marBottom w:val="0"/>
      <w:divBdr>
        <w:top w:val="none" w:sz="0" w:space="0" w:color="auto"/>
        <w:left w:val="none" w:sz="0" w:space="0" w:color="auto"/>
        <w:bottom w:val="none" w:sz="0" w:space="0" w:color="auto"/>
        <w:right w:val="none" w:sz="0" w:space="0" w:color="auto"/>
      </w:divBdr>
      <w:divsChild>
        <w:div w:id="830607087">
          <w:marLeft w:val="0"/>
          <w:marRight w:val="0"/>
          <w:marTop w:val="0"/>
          <w:marBottom w:val="0"/>
          <w:divBdr>
            <w:top w:val="none" w:sz="0" w:space="0" w:color="auto"/>
            <w:left w:val="none" w:sz="0" w:space="0" w:color="auto"/>
            <w:bottom w:val="none" w:sz="0" w:space="0" w:color="auto"/>
            <w:right w:val="none" w:sz="0" w:space="0" w:color="auto"/>
          </w:divBdr>
        </w:div>
      </w:divsChild>
    </w:div>
    <w:div w:id="2120640327">
      <w:bodyDiv w:val="1"/>
      <w:marLeft w:val="0"/>
      <w:marRight w:val="0"/>
      <w:marTop w:val="0"/>
      <w:marBottom w:val="0"/>
      <w:divBdr>
        <w:top w:val="none" w:sz="0" w:space="0" w:color="auto"/>
        <w:left w:val="none" w:sz="0" w:space="0" w:color="auto"/>
        <w:bottom w:val="none" w:sz="0" w:space="0" w:color="auto"/>
        <w:right w:val="none" w:sz="0" w:space="0" w:color="auto"/>
      </w:divBdr>
      <w:divsChild>
        <w:div w:id="1379166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3255936">
      <w:bodyDiv w:val="1"/>
      <w:marLeft w:val="0"/>
      <w:marRight w:val="0"/>
      <w:marTop w:val="0"/>
      <w:marBottom w:val="0"/>
      <w:divBdr>
        <w:top w:val="none" w:sz="0" w:space="0" w:color="auto"/>
        <w:left w:val="none" w:sz="0" w:space="0" w:color="auto"/>
        <w:bottom w:val="none" w:sz="0" w:space="0" w:color="auto"/>
        <w:right w:val="none" w:sz="0" w:space="0" w:color="auto"/>
      </w:divBdr>
    </w:div>
    <w:div w:id="212592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ncc.gov.sa/" TargetMode="External"/><Relationship Id="rId2" Type="http://schemas.openxmlformats.org/officeDocument/2006/relationships/numbering" Target="numbering.xml"/><Relationship Id="rId16" Type="http://schemas.openxmlformats.org/officeDocument/2006/relationships/hyperlink" Target="https://wto.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wto.org" TargetMode="External"/><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a.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760EE-BDA7-4C11-A9E1-2D648B7C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18500</TotalTime>
  <Pages>292</Pages>
  <Words>84111</Words>
  <Characters>479433</Characters>
  <Application>Microsoft Office Word</Application>
  <DocSecurity>0</DocSecurity>
  <Lines>3995</Lines>
  <Paragraphs>1124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2157</cp:revision>
  <cp:lastPrinted>2025-07-14T21:51:00Z</cp:lastPrinted>
  <dcterms:created xsi:type="dcterms:W3CDTF">2023-11-24T11:59:00Z</dcterms:created>
  <dcterms:modified xsi:type="dcterms:W3CDTF">2026-07-18T21:10:00Z</dcterms:modified>
</cp:coreProperties>
</file>